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1208E" w14:textId="11814F95" w:rsidR="003B2F0C" w:rsidRDefault="003B2F0C" w:rsidP="003B2F0C">
      <w:pPr>
        <w:spacing w:line="480" w:lineRule="auto"/>
      </w:pPr>
      <w:r>
        <w:rPr>
          <w:rFonts w:ascii="Times New Roman" w:hAnsi="Times New Roman" w:cs="Times New Roman"/>
          <w:sz w:val="28"/>
          <w:szCs w:val="28"/>
        </w:rPr>
        <w:t xml:space="preserve"> </w:t>
      </w:r>
      <w:r>
        <w:rPr>
          <w:rFonts w:ascii="Times New Roman" w:hAnsi="Times New Roman" w:cs="Times New Roman"/>
          <w:b/>
          <w:bCs/>
          <w:noProof/>
          <w:sz w:val="24"/>
          <w:szCs w:val="24"/>
        </w:rPr>
        <w:drawing>
          <wp:inline distT="0" distB="0" distL="0" distR="0" wp14:anchorId="135ABE54" wp14:editId="5E963851">
            <wp:extent cx="1810385" cy="725170"/>
            <wp:effectExtent l="0" t="0" r="0" b="0"/>
            <wp:docPr id="1319442186" name="Picture 3"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442186" name="Picture 3" descr="A black and white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rsidRPr="003B2F0C">
        <w:rPr>
          <w:rFonts w:ascii="Times New Roman" w:hAnsi="Times New Roman" w:cs="Times New Roman"/>
          <w:sz w:val="28"/>
          <w:szCs w:val="28"/>
        </w:rPr>
        <w:br/>
      </w:r>
      <w:r>
        <w:t xml:space="preserve">   </w:t>
      </w:r>
    </w:p>
    <w:p w14:paraId="53178314" w14:textId="77777777" w:rsidR="003B2F0C" w:rsidRDefault="003B2F0C" w:rsidP="003B2F0C">
      <w:pPr>
        <w:spacing w:line="480" w:lineRule="auto"/>
      </w:pPr>
    </w:p>
    <w:p w14:paraId="6A81D411" w14:textId="77777777" w:rsidR="003B2F0C" w:rsidRDefault="003B2F0C" w:rsidP="003B2F0C">
      <w:pPr>
        <w:pStyle w:val="NoSpacing"/>
        <w:spacing w:line="360" w:lineRule="auto"/>
        <w:ind w:left="720"/>
        <w:rPr>
          <w:rFonts w:ascii="Times New Roman" w:hAnsi="Times New Roman" w:cs="Times New Roman"/>
          <w:b/>
          <w:bCs/>
          <w:color w:val="102F4C"/>
          <w:sz w:val="32"/>
          <w:szCs w:val="32"/>
          <w:lang w:val="en-GB"/>
        </w:rPr>
      </w:pPr>
    </w:p>
    <w:p w14:paraId="63EE4B8E" w14:textId="77777777" w:rsidR="003B2F0C" w:rsidRDefault="003B2F0C" w:rsidP="003B2F0C">
      <w:pPr>
        <w:pStyle w:val="NoSpacing"/>
        <w:spacing w:line="360" w:lineRule="auto"/>
        <w:ind w:left="720"/>
        <w:jc w:val="both"/>
        <w:rPr>
          <w:rFonts w:ascii="Times New Roman" w:hAnsi="Times New Roman" w:cs="Times New Roman"/>
          <w:b/>
          <w:bCs/>
          <w:color w:val="102F4C"/>
          <w:sz w:val="32"/>
          <w:szCs w:val="32"/>
          <w:lang w:val="en-GB"/>
        </w:rPr>
      </w:pPr>
    </w:p>
    <w:p w14:paraId="20E90DF1" w14:textId="5B4093BF" w:rsidR="003B2F0C" w:rsidRPr="00BC2BC2" w:rsidRDefault="003B2F0C" w:rsidP="003B2F0C">
      <w:pPr>
        <w:pStyle w:val="NoSpacing"/>
        <w:spacing w:line="360" w:lineRule="auto"/>
        <w:ind w:left="720"/>
        <w:jc w:val="both"/>
        <w:rPr>
          <w:rFonts w:ascii="Times New Roman" w:hAnsi="Times New Roman" w:cs="Times New Roman"/>
          <w:b/>
          <w:bCs/>
          <w:color w:val="102F4C"/>
          <w:sz w:val="32"/>
          <w:szCs w:val="32"/>
          <w:lang w:val="en-GB"/>
        </w:rPr>
      </w:pPr>
      <w:r w:rsidRPr="00BC2BC2">
        <w:rPr>
          <w:rFonts w:ascii="Times New Roman" w:hAnsi="Times New Roman" w:cs="Times New Roman"/>
          <w:b/>
          <w:bCs/>
          <w:color w:val="102F4C"/>
          <w:sz w:val="32"/>
          <w:szCs w:val="32"/>
          <w:lang w:val="en-GB"/>
        </w:rPr>
        <w:t>Module code</w:t>
      </w:r>
      <w:r w:rsidRPr="00BC2BC2">
        <w:rPr>
          <w:rFonts w:ascii="Times New Roman" w:hAnsi="Times New Roman" w:cs="Times New Roman"/>
          <w:color w:val="102F4C"/>
          <w:sz w:val="32"/>
          <w:szCs w:val="32"/>
          <w:lang w:val="en-GB"/>
        </w:rPr>
        <w:t xml:space="preserve"> </w:t>
      </w:r>
      <w:r>
        <w:rPr>
          <w:rFonts w:ascii="Times New Roman" w:hAnsi="Times New Roman" w:cs="Times New Roman"/>
          <w:color w:val="102F4C"/>
          <w:sz w:val="32"/>
          <w:szCs w:val="32"/>
          <w:lang w:val="en-GB"/>
        </w:rPr>
        <w:t>–</w:t>
      </w:r>
      <w:r w:rsidRPr="00BC2BC2">
        <w:rPr>
          <w:rFonts w:ascii="Times New Roman" w:hAnsi="Times New Roman" w:cs="Times New Roman"/>
          <w:color w:val="102F4C"/>
          <w:sz w:val="32"/>
          <w:szCs w:val="32"/>
          <w:lang w:val="en-GB"/>
        </w:rPr>
        <w:t xml:space="preserve"> </w:t>
      </w:r>
      <w:r>
        <w:rPr>
          <w:rFonts w:ascii="Times New Roman" w:hAnsi="Times New Roman" w:cs="Times New Roman"/>
          <w:color w:val="102F4C"/>
          <w:sz w:val="32"/>
          <w:szCs w:val="32"/>
          <w:lang w:val="en-GB"/>
        </w:rPr>
        <w:t>LCBB4016</w:t>
      </w:r>
    </w:p>
    <w:p w14:paraId="27C8878E" w14:textId="5770EC70" w:rsidR="003B2F0C" w:rsidRPr="00BC2BC2" w:rsidRDefault="003B2F0C" w:rsidP="003B2F0C">
      <w:pPr>
        <w:pStyle w:val="NoSpacing"/>
        <w:spacing w:line="360" w:lineRule="auto"/>
        <w:ind w:left="720"/>
        <w:jc w:val="both"/>
        <w:rPr>
          <w:rFonts w:ascii="Times New Roman" w:hAnsi="Times New Roman" w:cs="Times New Roman"/>
          <w:color w:val="102F4C"/>
          <w:sz w:val="32"/>
          <w:szCs w:val="32"/>
          <w:lang w:val="en-GB"/>
        </w:rPr>
      </w:pPr>
      <w:r w:rsidRPr="00BC2BC2">
        <w:rPr>
          <w:rFonts w:ascii="Times New Roman" w:hAnsi="Times New Roman" w:cs="Times New Roman"/>
          <w:b/>
          <w:bCs/>
          <w:color w:val="102F4C"/>
          <w:sz w:val="32"/>
          <w:szCs w:val="32"/>
          <w:lang w:val="en-GB"/>
        </w:rPr>
        <w:t>Module Name</w:t>
      </w:r>
      <w:r w:rsidRPr="00BC2BC2">
        <w:rPr>
          <w:rFonts w:ascii="Times New Roman" w:hAnsi="Times New Roman" w:cs="Times New Roman"/>
          <w:color w:val="102F4C"/>
          <w:sz w:val="32"/>
          <w:szCs w:val="32"/>
          <w:lang w:val="en-GB"/>
        </w:rPr>
        <w:t xml:space="preserve"> </w:t>
      </w:r>
      <w:r>
        <w:rPr>
          <w:rFonts w:ascii="Times New Roman" w:hAnsi="Times New Roman" w:cs="Times New Roman"/>
          <w:color w:val="102F4C"/>
          <w:sz w:val="32"/>
          <w:szCs w:val="32"/>
          <w:lang w:val="en-GB"/>
        </w:rPr>
        <w:t>–</w:t>
      </w:r>
      <w:r w:rsidRPr="00BC2BC2">
        <w:rPr>
          <w:rFonts w:ascii="Times New Roman" w:hAnsi="Times New Roman" w:cs="Times New Roman"/>
          <w:color w:val="102F4C"/>
          <w:sz w:val="32"/>
          <w:szCs w:val="32"/>
          <w:lang w:val="en-GB"/>
        </w:rPr>
        <w:t xml:space="preserve"> </w:t>
      </w:r>
      <w:r>
        <w:rPr>
          <w:rFonts w:ascii="Times New Roman" w:hAnsi="Times New Roman" w:cs="Times New Roman"/>
          <w:color w:val="102F4C"/>
          <w:sz w:val="32"/>
          <w:szCs w:val="32"/>
          <w:lang w:val="en-GB"/>
        </w:rPr>
        <w:t>Global Business Environment</w:t>
      </w:r>
    </w:p>
    <w:p w14:paraId="5305247B" w14:textId="66F1A1E9" w:rsidR="003B2F0C" w:rsidRPr="00BC2BC2" w:rsidRDefault="003B2F0C" w:rsidP="003B2F0C">
      <w:pPr>
        <w:pStyle w:val="NoSpacing"/>
        <w:spacing w:line="360" w:lineRule="auto"/>
        <w:ind w:left="720"/>
        <w:jc w:val="both"/>
        <w:rPr>
          <w:rFonts w:ascii="Times New Roman" w:hAnsi="Times New Roman" w:cs="Times New Roman"/>
          <w:color w:val="102F4C"/>
          <w:sz w:val="32"/>
          <w:szCs w:val="32"/>
          <w:lang w:val="en-GB"/>
        </w:rPr>
      </w:pPr>
      <w:r w:rsidRPr="00BC2BC2">
        <w:rPr>
          <w:rFonts w:ascii="Times New Roman" w:hAnsi="Times New Roman" w:cs="Times New Roman"/>
          <w:b/>
          <w:bCs/>
          <w:color w:val="102F4C"/>
          <w:sz w:val="32"/>
          <w:szCs w:val="32"/>
          <w:lang w:val="en-GB"/>
        </w:rPr>
        <w:t>Lecturer’s Name</w:t>
      </w:r>
      <w:r w:rsidRPr="00BC2BC2">
        <w:rPr>
          <w:rFonts w:ascii="Times New Roman" w:hAnsi="Times New Roman" w:cs="Times New Roman"/>
          <w:color w:val="102F4C"/>
          <w:sz w:val="32"/>
          <w:szCs w:val="32"/>
          <w:lang w:val="en-GB"/>
        </w:rPr>
        <w:t xml:space="preserve"> </w:t>
      </w:r>
      <w:r>
        <w:rPr>
          <w:rFonts w:ascii="Times New Roman" w:hAnsi="Times New Roman" w:cs="Times New Roman"/>
          <w:color w:val="102F4C"/>
          <w:sz w:val="32"/>
          <w:szCs w:val="32"/>
          <w:lang w:val="en-GB"/>
        </w:rPr>
        <w:t>–</w:t>
      </w:r>
      <w:r w:rsidRPr="00BC2BC2">
        <w:rPr>
          <w:rFonts w:ascii="Times New Roman" w:hAnsi="Times New Roman" w:cs="Times New Roman"/>
          <w:color w:val="102F4C"/>
          <w:sz w:val="32"/>
          <w:szCs w:val="32"/>
          <w:lang w:val="en-GB"/>
        </w:rPr>
        <w:t xml:space="preserve"> </w:t>
      </w:r>
      <w:r>
        <w:rPr>
          <w:rFonts w:ascii="Times New Roman" w:hAnsi="Times New Roman" w:cs="Times New Roman"/>
          <w:color w:val="102F4C"/>
          <w:sz w:val="32"/>
          <w:szCs w:val="32"/>
          <w:lang w:val="en-GB"/>
        </w:rPr>
        <w:t>Kareem Sani</w:t>
      </w:r>
    </w:p>
    <w:p w14:paraId="075570FB" w14:textId="77777777" w:rsidR="003B2F0C" w:rsidRPr="00BC2BC2" w:rsidRDefault="003B2F0C" w:rsidP="003B2F0C">
      <w:pPr>
        <w:pStyle w:val="NoSpacing"/>
        <w:spacing w:line="360" w:lineRule="auto"/>
        <w:ind w:left="720"/>
        <w:jc w:val="both"/>
        <w:rPr>
          <w:rFonts w:ascii="Times New Roman" w:hAnsi="Times New Roman" w:cs="Times New Roman"/>
          <w:color w:val="102F4C"/>
          <w:sz w:val="32"/>
          <w:szCs w:val="32"/>
          <w:lang w:val="en-GB"/>
        </w:rPr>
      </w:pPr>
      <w:r w:rsidRPr="00BC2BC2">
        <w:rPr>
          <w:rFonts w:ascii="Times New Roman" w:hAnsi="Times New Roman" w:cs="Times New Roman"/>
          <w:b/>
          <w:bCs/>
          <w:color w:val="102F4C"/>
          <w:sz w:val="32"/>
          <w:szCs w:val="32"/>
          <w:lang w:val="en-GB"/>
        </w:rPr>
        <w:t>Student Name</w:t>
      </w:r>
      <w:r w:rsidRPr="00BC2BC2">
        <w:rPr>
          <w:rFonts w:ascii="Times New Roman" w:hAnsi="Times New Roman" w:cs="Times New Roman"/>
          <w:color w:val="102F4C"/>
          <w:sz w:val="32"/>
          <w:szCs w:val="32"/>
          <w:lang w:val="en-GB"/>
        </w:rPr>
        <w:t xml:space="preserve"> - </w:t>
      </w:r>
      <w:r w:rsidRPr="00BC2BC2">
        <w:rPr>
          <w:rFonts w:ascii="Times New Roman" w:hAnsi="Times New Roman" w:cs="Times New Roman"/>
          <w:color w:val="102F4C"/>
          <w:sz w:val="32"/>
          <w:szCs w:val="32"/>
        </w:rPr>
        <w:t>Marian</w:t>
      </w:r>
      <w:r w:rsidRPr="00B277E9">
        <w:rPr>
          <w:rFonts w:ascii="Times New Roman" w:hAnsi="Times New Roman" w:cs="Times New Roman"/>
          <w:color w:val="102F4C"/>
          <w:sz w:val="32"/>
          <w:szCs w:val="32"/>
        </w:rPr>
        <w:t xml:space="preserve"> Emil Budica</w:t>
      </w:r>
    </w:p>
    <w:p w14:paraId="73DC0F0B" w14:textId="222B6DAA" w:rsidR="003B2F0C" w:rsidRPr="00BC2BC2" w:rsidRDefault="003B2F0C" w:rsidP="003B2F0C">
      <w:pPr>
        <w:pStyle w:val="NoSpacing"/>
        <w:spacing w:line="360" w:lineRule="auto"/>
        <w:ind w:left="720"/>
        <w:jc w:val="both"/>
        <w:rPr>
          <w:rFonts w:ascii="Times New Roman" w:hAnsi="Times New Roman" w:cs="Times New Roman"/>
          <w:color w:val="102F4C"/>
          <w:sz w:val="32"/>
          <w:szCs w:val="32"/>
        </w:rPr>
      </w:pPr>
      <w:r w:rsidRPr="00BC2BC2">
        <w:rPr>
          <w:rFonts w:ascii="Times New Roman" w:hAnsi="Times New Roman" w:cs="Times New Roman"/>
          <w:b/>
          <w:bCs/>
          <w:color w:val="102F4C"/>
          <w:sz w:val="32"/>
          <w:szCs w:val="32"/>
          <w:lang w:val="en-GB"/>
        </w:rPr>
        <w:t>Student Number</w:t>
      </w:r>
      <w:r w:rsidRPr="00BC2BC2">
        <w:rPr>
          <w:rFonts w:ascii="Times New Roman" w:hAnsi="Times New Roman" w:cs="Times New Roman"/>
          <w:color w:val="102F4C"/>
          <w:sz w:val="32"/>
          <w:szCs w:val="32"/>
          <w:lang w:val="en-GB"/>
        </w:rPr>
        <w:t xml:space="preserve"> - </w:t>
      </w:r>
      <w:r>
        <w:rPr>
          <w:rFonts w:ascii="Times New Roman" w:hAnsi="Times New Roman" w:cs="Times New Roman"/>
          <w:color w:val="102F4C"/>
          <w:sz w:val="32"/>
          <w:szCs w:val="32"/>
          <w:lang w:val="en-GB"/>
        </w:rPr>
        <w:t>2312379</w:t>
      </w:r>
    </w:p>
    <w:p w14:paraId="5C3A0C3C" w14:textId="771AD897" w:rsidR="003B2F0C" w:rsidRPr="00BC2BC2" w:rsidRDefault="003B2F0C" w:rsidP="003B2F0C">
      <w:pPr>
        <w:pStyle w:val="NoSpacing"/>
        <w:spacing w:line="360" w:lineRule="auto"/>
        <w:ind w:left="720"/>
        <w:jc w:val="both"/>
        <w:rPr>
          <w:rFonts w:ascii="Times New Roman" w:hAnsi="Times New Roman" w:cs="Times New Roman"/>
          <w:color w:val="102F4C"/>
          <w:sz w:val="32"/>
          <w:szCs w:val="32"/>
          <w:lang w:val="en-GB"/>
        </w:rPr>
      </w:pPr>
      <w:r w:rsidRPr="00BC2BC2">
        <w:rPr>
          <w:rFonts w:ascii="Times New Roman" w:hAnsi="Times New Roman" w:cs="Times New Roman"/>
          <w:b/>
          <w:color w:val="102F4C"/>
          <w:sz w:val="32"/>
          <w:szCs w:val="32"/>
          <w:lang w:val="en-GB"/>
        </w:rPr>
        <w:t xml:space="preserve">Submission deadline </w:t>
      </w:r>
      <w:r w:rsidRPr="00BC2BC2">
        <w:rPr>
          <w:rFonts w:ascii="Times New Roman" w:hAnsi="Times New Roman" w:cs="Times New Roman"/>
          <w:bCs/>
          <w:color w:val="102F4C"/>
          <w:sz w:val="32"/>
          <w:szCs w:val="32"/>
          <w:lang w:val="en-GB"/>
        </w:rPr>
        <w:t>- 21</w:t>
      </w:r>
      <w:r w:rsidRPr="00BC2BC2">
        <w:rPr>
          <w:rFonts w:ascii="Times New Roman" w:hAnsi="Times New Roman" w:cs="Times New Roman"/>
          <w:bCs/>
          <w:color w:val="102F4C"/>
          <w:sz w:val="32"/>
          <w:szCs w:val="32"/>
          <w:vertAlign w:val="superscript"/>
          <w:lang w:val="en-GB"/>
        </w:rPr>
        <w:t>st</w:t>
      </w:r>
      <w:r w:rsidRPr="00BC2BC2">
        <w:rPr>
          <w:rFonts w:ascii="Times New Roman" w:hAnsi="Times New Roman" w:cs="Times New Roman"/>
          <w:bCs/>
          <w:color w:val="102F4C"/>
          <w:sz w:val="32"/>
          <w:szCs w:val="32"/>
          <w:lang w:val="en-GB"/>
        </w:rPr>
        <w:t xml:space="preserve"> November 2025</w:t>
      </w:r>
    </w:p>
    <w:p w14:paraId="39F441B9" w14:textId="77777777" w:rsidR="003B2F0C" w:rsidRPr="00EF7B02" w:rsidRDefault="003B2F0C" w:rsidP="003B2F0C">
      <w:pPr>
        <w:pStyle w:val="NoSpacing"/>
        <w:jc w:val="both"/>
        <w:rPr>
          <w:color w:val="156082" w:themeColor="accent1"/>
          <w:sz w:val="26"/>
          <w:szCs w:val="26"/>
        </w:rPr>
      </w:pPr>
    </w:p>
    <w:p w14:paraId="3C429D3F" w14:textId="4786B669" w:rsidR="003B2F0C" w:rsidRPr="003B2F0C" w:rsidRDefault="003B2F0C" w:rsidP="003B2F0C">
      <w:pPr>
        <w:spacing w:line="480" w:lineRule="auto"/>
        <w:jc w:val="both"/>
        <w:rPr>
          <w:lang w:val="en-US"/>
        </w:rPr>
      </w:pPr>
    </w:p>
    <w:p w14:paraId="607FAEBE" w14:textId="77777777" w:rsidR="003B2F0C" w:rsidRDefault="003B2F0C" w:rsidP="003B2F0C">
      <w:pPr>
        <w:spacing w:line="480" w:lineRule="auto"/>
        <w:jc w:val="both"/>
      </w:pPr>
    </w:p>
    <w:p w14:paraId="78FAAAF3" w14:textId="52BCEB51" w:rsidR="003B2F0C" w:rsidRPr="003B2F0C" w:rsidRDefault="003B2F0C" w:rsidP="003B2F0C">
      <w:pPr>
        <w:spacing w:line="480" w:lineRule="auto"/>
        <w:jc w:val="both"/>
        <w:rPr>
          <w:rFonts w:ascii="Times New Roman" w:hAnsi="Times New Roman" w:cs="Times New Roman"/>
          <w:sz w:val="28"/>
          <w:szCs w:val="28"/>
        </w:rPr>
      </w:pPr>
      <w:r>
        <w:t xml:space="preserve">                         </w:t>
      </w:r>
    </w:p>
    <w:p w14:paraId="11986467" w14:textId="6CE3C0AE" w:rsidR="003B2F0C" w:rsidRDefault="003B2F0C" w:rsidP="003B2F0C">
      <w:pPr>
        <w:spacing w:line="480" w:lineRule="auto"/>
        <w:jc w:val="both"/>
        <w:rPr>
          <w:rFonts w:ascii="Times New Roman" w:hAnsi="Times New Roman" w:cs="Times New Roman"/>
          <w:b/>
          <w:bCs/>
          <w:sz w:val="28"/>
          <w:szCs w:val="28"/>
        </w:rPr>
      </w:pPr>
    </w:p>
    <w:p w14:paraId="107ADA88" w14:textId="77777777" w:rsidR="003B2F0C" w:rsidRDefault="003B2F0C" w:rsidP="003B2F0C">
      <w:pPr>
        <w:spacing w:line="480" w:lineRule="auto"/>
        <w:jc w:val="both"/>
        <w:rPr>
          <w:rFonts w:ascii="Times New Roman" w:hAnsi="Times New Roman" w:cs="Times New Roman"/>
          <w:b/>
          <w:bCs/>
          <w:sz w:val="28"/>
          <w:szCs w:val="28"/>
        </w:rPr>
      </w:pPr>
    </w:p>
    <w:p w14:paraId="1C985CA7" w14:textId="77777777" w:rsidR="003B2F0C" w:rsidRDefault="003B2F0C" w:rsidP="003B2F0C">
      <w:pPr>
        <w:spacing w:line="480" w:lineRule="auto"/>
        <w:jc w:val="both"/>
        <w:rPr>
          <w:rFonts w:ascii="Times New Roman" w:hAnsi="Times New Roman" w:cs="Times New Roman"/>
          <w:b/>
          <w:bCs/>
          <w:sz w:val="28"/>
          <w:szCs w:val="28"/>
        </w:rPr>
      </w:pPr>
    </w:p>
    <w:p w14:paraId="26FCD003" w14:textId="77777777" w:rsidR="003B2F0C" w:rsidRDefault="003B2F0C" w:rsidP="003B2F0C">
      <w:pPr>
        <w:spacing w:line="480" w:lineRule="auto"/>
        <w:jc w:val="both"/>
        <w:rPr>
          <w:rFonts w:ascii="Times New Roman" w:hAnsi="Times New Roman" w:cs="Times New Roman"/>
          <w:b/>
          <w:bCs/>
          <w:sz w:val="28"/>
          <w:szCs w:val="28"/>
        </w:rPr>
      </w:pPr>
    </w:p>
    <w:p w14:paraId="5563016C" w14:textId="77777777" w:rsidR="003B2F0C" w:rsidRDefault="003B2F0C" w:rsidP="003B2F0C">
      <w:pPr>
        <w:spacing w:line="480" w:lineRule="auto"/>
        <w:jc w:val="both"/>
        <w:rPr>
          <w:rFonts w:ascii="Times New Roman" w:hAnsi="Times New Roman" w:cs="Times New Roman"/>
          <w:b/>
          <w:bCs/>
          <w:sz w:val="28"/>
          <w:szCs w:val="28"/>
        </w:rPr>
      </w:pPr>
    </w:p>
    <w:p w14:paraId="38D3B7FB" w14:textId="10ABE2E9" w:rsidR="003B2F0C" w:rsidRPr="00D05869" w:rsidRDefault="003B2F0C" w:rsidP="003B2F0C">
      <w:pPr>
        <w:spacing w:line="480" w:lineRule="auto"/>
        <w:jc w:val="center"/>
        <w:rPr>
          <w:rFonts w:ascii="Times New Roman" w:hAnsi="Times New Roman" w:cs="Times New Roman"/>
          <w:b/>
          <w:bCs/>
          <w:sz w:val="28"/>
          <w:szCs w:val="28"/>
        </w:rPr>
      </w:pPr>
      <w:r w:rsidRPr="00D05869">
        <w:rPr>
          <w:rFonts w:ascii="Times New Roman" w:hAnsi="Times New Roman" w:cs="Times New Roman"/>
          <w:b/>
          <w:bCs/>
          <w:sz w:val="28"/>
          <w:szCs w:val="28"/>
        </w:rPr>
        <w:lastRenderedPageBreak/>
        <w:t>The Impact of AI Adoption, Geopolitical Supply Chain Tensions, and Sustainability Regulation on AstraZeneca’s International Strategy</w:t>
      </w:r>
    </w:p>
    <w:p w14:paraId="2D45F971" w14:textId="77777777" w:rsidR="003B2F0C" w:rsidRPr="00D05869" w:rsidRDefault="003B2F0C" w:rsidP="003B2F0C">
      <w:pPr>
        <w:spacing w:line="480" w:lineRule="auto"/>
        <w:jc w:val="center"/>
        <w:rPr>
          <w:rFonts w:ascii="Times New Roman" w:hAnsi="Times New Roman" w:cs="Times New Roman"/>
          <w:b/>
          <w:bCs/>
          <w:sz w:val="28"/>
          <w:szCs w:val="28"/>
        </w:rPr>
      </w:pPr>
    </w:p>
    <w:p w14:paraId="707F350C" w14:textId="77777777" w:rsidR="003B2F0C" w:rsidRPr="006E6191" w:rsidRDefault="003B2F0C" w:rsidP="003B2F0C">
      <w:pPr>
        <w:rPr>
          <w:rFonts w:ascii="Times New Roman" w:hAnsi="Times New Roman" w:cs="Times New Roman"/>
          <w:b/>
          <w:bCs/>
          <w:sz w:val="24"/>
          <w:szCs w:val="24"/>
        </w:rPr>
      </w:pPr>
      <w:r w:rsidRPr="006E6191">
        <w:rPr>
          <w:rFonts w:ascii="Times New Roman" w:hAnsi="Times New Roman" w:cs="Times New Roman"/>
          <w:b/>
          <w:bCs/>
          <w:sz w:val="24"/>
          <w:szCs w:val="24"/>
        </w:rPr>
        <w:t>Introduction</w:t>
      </w:r>
    </w:p>
    <w:p w14:paraId="5B22F4C2"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Globalisation refers to the increasing interconnectedness of economies, societies, and markets through flows of goods, services, capital, technology, and information. Despite recent debate about “globalisation,” globalisation continues to shape international business, particularly as firms face unprecedented technological, geopolitical, and sustainability-related pressures</w:t>
      </w:r>
      <w:r w:rsidRPr="004522BC">
        <w:rPr>
          <w:rFonts w:ascii="Times New Roman" w:hAnsi="Times New Roman" w:cs="Times New Roman"/>
          <w:sz w:val="24"/>
          <w:szCs w:val="24"/>
        </w:rPr>
        <w:t xml:space="preserve"> (Buysse and Essers, Dennis, 2022). According to Anagnostakos (2024), f</w:t>
      </w:r>
      <w:r w:rsidRPr="006E6191">
        <w:rPr>
          <w:rFonts w:ascii="Times New Roman" w:hAnsi="Times New Roman" w:cs="Times New Roman"/>
          <w:sz w:val="24"/>
          <w:szCs w:val="24"/>
        </w:rPr>
        <w:t>or multinational enterprises (MNEs), understanding these global forces is essential to maintaining competitiveness and adapting strategy in a rapidly changing environment.</w:t>
      </w:r>
    </w:p>
    <w:p w14:paraId="6714A9CA"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This essay</w:t>
      </w:r>
      <w:r w:rsidRPr="004522BC">
        <w:rPr>
          <w:rFonts w:ascii="Times New Roman" w:hAnsi="Times New Roman" w:cs="Times New Roman"/>
          <w:sz w:val="24"/>
          <w:szCs w:val="24"/>
        </w:rPr>
        <w:t xml:space="preserve"> will</w:t>
      </w:r>
      <w:r w:rsidRPr="006E6191">
        <w:rPr>
          <w:rFonts w:ascii="Times New Roman" w:hAnsi="Times New Roman" w:cs="Times New Roman"/>
          <w:sz w:val="24"/>
          <w:szCs w:val="24"/>
        </w:rPr>
        <w:t xml:space="preserve"> examine these issues in relation to </w:t>
      </w:r>
      <w:r w:rsidRPr="006E6191">
        <w:rPr>
          <w:rFonts w:ascii="Times New Roman" w:hAnsi="Times New Roman" w:cs="Times New Roman"/>
          <w:b/>
          <w:bCs/>
          <w:sz w:val="24"/>
          <w:szCs w:val="24"/>
        </w:rPr>
        <w:t>AstraZeneca</w:t>
      </w:r>
      <w:r w:rsidRPr="006E6191">
        <w:rPr>
          <w:rFonts w:ascii="Times New Roman" w:hAnsi="Times New Roman" w:cs="Times New Roman"/>
          <w:sz w:val="24"/>
          <w:szCs w:val="24"/>
        </w:rPr>
        <w:t>, a UK-based multinational pharmaceutical and biotechnology company operating in more than 100 countries</w:t>
      </w:r>
      <w:r w:rsidRPr="004522BC">
        <w:rPr>
          <w:rFonts w:ascii="Times New Roman" w:hAnsi="Times New Roman" w:cs="Times New Roman"/>
          <w:sz w:val="24"/>
          <w:szCs w:val="24"/>
        </w:rPr>
        <w:t xml:space="preserve"> (AstraZeneca, 2025a). </w:t>
      </w:r>
      <w:r w:rsidRPr="006E6191">
        <w:rPr>
          <w:rFonts w:ascii="Times New Roman" w:hAnsi="Times New Roman" w:cs="Times New Roman"/>
          <w:sz w:val="24"/>
          <w:szCs w:val="24"/>
        </w:rPr>
        <w:t>AstraZeneca plays a crucial role in the global healthcare market, with leading therapeutic areas including oncology, cardiovascular, respiratory, and rare diseases</w:t>
      </w:r>
      <w:r w:rsidRPr="004522BC">
        <w:rPr>
          <w:rFonts w:ascii="Times New Roman" w:hAnsi="Times New Roman" w:cs="Times New Roman"/>
          <w:sz w:val="24"/>
          <w:szCs w:val="24"/>
        </w:rPr>
        <w:t xml:space="preserve"> (Gautam and Pan, 2016).</w:t>
      </w:r>
      <w:r w:rsidRPr="006E6191">
        <w:rPr>
          <w:rFonts w:ascii="Times New Roman" w:hAnsi="Times New Roman" w:cs="Times New Roman"/>
          <w:sz w:val="24"/>
          <w:szCs w:val="24"/>
        </w:rPr>
        <w:t xml:space="preserve"> As an innovation-driven biopharmaceutical firm, its success depends heavily on international research collaboration, global supply chains, and adaptive strategies across multiple regulatory environments</w:t>
      </w:r>
      <w:r w:rsidRPr="004522BC">
        <w:rPr>
          <w:rFonts w:ascii="Times New Roman" w:hAnsi="Times New Roman" w:cs="Times New Roman"/>
          <w:sz w:val="24"/>
          <w:szCs w:val="24"/>
        </w:rPr>
        <w:t xml:space="preserve"> (Franz, 2017). </w:t>
      </w:r>
    </w:p>
    <w:p w14:paraId="1EC29921"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The purpose of this essay is to critically analyse how three major global forces</w:t>
      </w:r>
      <w:r w:rsidRPr="004522BC">
        <w:rPr>
          <w:rFonts w:ascii="Times New Roman" w:hAnsi="Times New Roman" w:cs="Times New Roman"/>
          <w:sz w:val="24"/>
          <w:szCs w:val="24"/>
        </w:rPr>
        <w:t xml:space="preserve">, i.e. </w:t>
      </w:r>
      <w:r w:rsidRPr="006E6191">
        <w:rPr>
          <w:rFonts w:ascii="Times New Roman" w:hAnsi="Times New Roman" w:cs="Times New Roman"/>
          <w:sz w:val="24"/>
          <w:szCs w:val="24"/>
        </w:rPr>
        <w:t>rapid artificial intelligence (AI) adoption, geopolitical supply chain tensions, and new sustainability demands such as the EU’s Corporate Sustainability Reporting Directive (CSRD)</w:t>
      </w:r>
      <w:r w:rsidRPr="004522BC">
        <w:rPr>
          <w:rFonts w:ascii="Times New Roman" w:hAnsi="Times New Roman" w:cs="Times New Roman"/>
          <w:sz w:val="24"/>
          <w:szCs w:val="24"/>
        </w:rPr>
        <w:t xml:space="preserve">, </w:t>
      </w:r>
      <w:r w:rsidRPr="006E6191">
        <w:rPr>
          <w:rFonts w:ascii="Times New Roman" w:hAnsi="Times New Roman" w:cs="Times New Roman"/>
          <w:sz w:val="24"/>
          <w:szCs w:val="24"/>
        </w:rPr>
        <w:t xml:space="preserve">create both opportunities and challenges for AstraZeneca. It </w:t>
      </w:r>
      <w:r w:rsidRPr="004522BC">
        <w:rPr>
          <w:rFonts w:ascii="Times New Roman" w:hAnsi="Times New Roman" w:cs="Times New Roman"/>
          <w:sz w:val="24"/>
          <w:szCs w:val="24"/>
        </w:rPr>
        <w:t xml:space="preserve">will then conclude with </w:t>
      </w:r>
      <w:r w:rsidRPr="006E6191">
        <w:rPr>
          <w:rFonts w:ascii="Times New Roman" w:hAnsi="Times New Roman" w:cs="Times New Roman"/>
          <w:sz w:val="24"/>
          <w:szCs w:val="24"/>
        </w:rPr>
        <w:t>strategic recommendations and reflecti</w:t>
      </w:r>
      <w:r w:rsidRPr="004522BC">
        <w:rPr>
          <w:rFonts w:ascii="Times New Roman" w:hAnsi="Times New Roman" w:cs="Times New Roman"/>
          <w:sz w:val="24"/>
          <w:szCs w:val="24"/>
        </w:rPr>
        <w:t xml:space="preserve">on </w:t>
      </w:r>
      <w:r w:rsidRPr="006E6191">
        <w:rPr>
          <w:rFonts w:ascii="Times New Roman" w:hAnsi="Times New Roman" w:cs="Times New Roman"/>
          <w:sz w:val="24"/>
          <w:szCs w:val="24"/>
        </w:rPr>
        <w:t>on the importance of understanding global dynamics for effective international strategy.</w:t>
      </w:r>
    </w:p>
    <w:p w14:paraId="2A794C4C" w14:textId="77777777" w:rsidR="003B2F0C" w:rsidRPr="006E6191" w:rsidRDefault="003B2F0C" w:rsidP="003B2F0C">
      <w:pPr>
        <w:spacing w:line="360" w:lineRule="auto"/>
        <w:jc w:val="both"/>
        <w:rPr>
          <w:rFonts w:ascii="Times New Roman" w:hAnsi="Times New Roman" w:cs="Times New Roman"/>
          <w:sz w:val="24"/>
          <w:szCs w:val="24"/>
        </w:rPr>
      </w:pPr>
    </w:p>
    <w:p w14:paraId="0A70DA20" w14:textId="77777777" w:rsidR="003B2F0C" w:rsidRDefault="003B2F0C" w:rsidP="003B2F0C">
      <w:pPr>
        <w:spacing w:line="360" w:lineRule="auto"/>
        <w:jc w:val="both"/>
        <w:rPr>
          <w:rFonts w:ascii="Times New Roman" w:hAnsi="Times New Roman" w:cs="Times New Roman"/>
          <w:b/>
          <w:bCs/>
          <w:sz w:val="24"/>
          <w:szCs w:val="24"/>
        </w:rPr>
      </w:pPr>
    </w:p>
    <w:p w14:paraId="266CC14A" w14:textId="77777777" w:rsidR="003B2F0C" w:rsidRDefault="003B2F0C" w:rsidP="003B2F0C">
      <w:pPr>
        <w:spacing w:line="360" w:lineRule="auto"/>
        <w:jc w:val="both"/>
        <w:rPr>
          <w:rFonts w:ascii="Times New Roman" w:hAnsi="Times New Roman" w:cs="Times New Roman"/>
          <w:b/>
          <w:bCs/>
          <w:sz w:val="24"/>
          <w:szCs w:val="24"/>
        </w:rPr>
      </w:pPr>
    </w:p>
    <w:p w14:paraId="28FEFF28" w14:textId="77777777" w:rsidR="003B2F0C" w:rsidRDefault="003B2F0C" w:rsidP="003B2F0C">
      <w:pPr>
        <w:spacing w:line="360" w:lineRule="auto"/>
        <w:jc w:val="both"/>
        <w:rPr>
          <w:rFonts w:ascii="Times New Roman" w:hAnsi="Times New Roman" w:cs="Times New Roman"/>
          <w:b/>
          <w:bCs/>
          <w:sz w:val="24"/>
          <w:szCs w:val="24"/>
        </w:rPr>
      </w:pPr>
    </w:p>
    <w:p w14:paraId="353FE82F" w14:textId="2D2CC143"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lastRenderedPageBreak/>
        <w:t>Opportunities and Challenges</w:t>
      </w:r>
    </w:p>
    <w:p w14:paraId="6FBB24AB"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Opportunities from AI Adoption</w:t>
      </w:r>
    </w:p>
    <w:p w14:paraId="797AACE7" w14:textId="23F1BC07" w:rsidR="003B2F0C" w:rsidRPr="006E6191" w:rsidRDefault="003B2F0C" w:rsidP="003B2F0C">
      <w:pPr>
        <w:spacing w:line="360" w:lineRule="auto"/>
        <w:jc w:val="both"/>
        <w:rPr>
          <w:rFonts w:ascii="Times New Roman" w:hAnsi="Times New Roman" w:cs="Times New Roman"/>
          <w:sz w:val="24"/>
          <w:szCs w:val="24"/>
        </w:rPr>
      </w:pPr>
      <w:r w:rsidRPr="004522BC">
        <w:rPr>
          <w:rFonts w:ascii="Times New Roman" w:hAnsi="Times New Roman" w:cs="Times New Roman"/>
          <w:sz w:val="24"/>
          <w:szCs w:val="24"/>
        </w:rPr>
        <w:t xml:space="preserve">Research shows that </w:t>
      </w:r>
      <w:r w:rsidRPr="006E6191">
        <w:rPr>
          <w:rFonts w:ascii="Times New Roman" w:hAnsi="Times New Roman" w:cs="Times New Roman"/>
          <w:sz w:val="24"/>
          <w:szCs w:val="24"/>
        </w:rPr>
        <w:t>AI is transforming drug discovery, clinical trials, and manufacturing</w:t>
      </w:r>
      <w:r w:rsidRPr="004522BC">
        <w:rPr>
          <w:rFonts w:ascii="Times New Roman" w:hAnsi="Times New Roman" w:cs="Times New Roman"/>
          <w:sz w:val="24"/>
          <w:szCs w:val="24"/>
        </w:rPr>
        <w:t xml:space="preserve"> (Serrano et al., 2024). </w:t>
      </w:r>
      <w:r w:rsidRPr="006E6191">
        <w:rPr>
          <w:rFonts w:ascii="Times New Roman" w:hAnsi="Times New Roman" w:cs="Times New Roman"/>
          <w:sz w:val="24"/>
          <w:szCs w:val="24"/>
        </w:rPr>
        <w:t>AstraZeneca has already integrated AI into its discovery platforms, such as using machine-learning models for compound screening and target identification</w:t>
      </w:r>
      <w:r w:rsidRPr="004522BC">
        <w:rPr>
          <w:rFonts w:ascii="Times New Roman" w:hAnsi="Times New Roman" w:cs="Times New Roman"/>
          <w:sz w:val="24"/>
          <w:szCs w:val="24"/>
        </w:rPr>
        <w:t xml:space="preserve"> (AstraZeneca, 2025). </w:t>
      </w:r>
      <w:r w:rsidRPr="006E6191">
        <w:rPr>
          <w:rFonts w:ascii="Times New Roman" w:hAnsi="Times New Roman" w:cs="Times New Roman"/>
          <w:sz w:val="24"/>
          <w:szCs w:val="24"/>
        </w:rPr>
        <w:t xml:space="preserve">For instance, AstraZeneca’s collaboration with </w:t>
      </w:r>
      <w:r w:rsidRPr="006E6191">
        <w:rPr>
          <w:rFonts w:ascii="Times New Roman" w:hAnsi="Times New Roman" w:cs="Times New Roman"/>
          <w:sz w:val="24"/>
          <w:szCs w:val="24"/>
        </w:rPr>
        <w:t>Benevolent AI</w:t>
      </w:r>
      <w:r w:rsidRPr="006E6191">
        <w:rPr>
          <w:rFonts w:ascii="Times New Roman" w:hAnsi="Times New Roman" w:cs="Times New Roman"/>
          <w:sz w:val="24"/>
          <w:szCs w:val="24"/>
        </w:rPr>
        <w:t xml:space="preserve"> and other AI-driven biotech firms has accelerated research by reducing the time and cost associated with discovering viable drug candidates</w:t>
      </w:r>
      <w:r w:rsidRPr="004522BC">
        <w:rPr>
          <w:rFonts w:ascii="Times New Roman" w:hAnsi="Times New Roman" w:cs="Times New Roman"/>
          <w:sz w:val="24"/>
          <w:szCs w:val="24"/>
        </w:rPr>
        <w:t xml:space="preserve"> (AstraZeneca, 2019). Furthermore, </w:t>
      </w:r>
      <w:r w:rsidRPr="006E6191">
        <w:rPr>
          <w:rFonts w:ascii="Times New Roman" w:hAnsi="Times New Roman" w:cs="Times New Roman"/>
          <w:sz w:val="24"/>
          <w:szCs w:val="24"/>
        </w:rPr>
        <w:t>AI offers substantial opportunities, including</w:t>
      </w:r>
      <w:r w:rsidRPr="004522BC">
        <w:rPr>
          <w:rFonts w:ascii="Times New Roman" w:hAnsi="Times New Roman" w:cs="Times New Roman"/>
          <w:sz w:val="24"/>
          <w:szCs w:val="24"/>
        </w:rPr>
        <w:t xml:space="preserve"> faster R&amp;D cycles, enhanced decision making and operational efficiency.  </w:t>
      </w:r>
      <w:r w:rsidRPr="006E6191">
        <w:rPr>
          <w:rFonts w:ascii="Times New Roman" w:hAnsi="Times New Roman" w:cs="Times New Roman"/>
          <w:sz w:val="24"/>
          <w:szCs w:val="24"/>
        </w:rPr>
        <w:t>AI can analyse chemical structures and predict biological interactions faster than traditional methods. This enables AstraZeneca to shorten drug-development timelines, which is critical in competitive therapeutic areas such as oncology</w:t>
      </w:r>
      <w:r w:rsidRPr="004522BC">
        <w:rPr>
          <w:rFonts w:ascii="Times New Roman" w:hAnsi="Times New Roman" w:cs="Times New Roman"/>
          <w:sz w:val="24"/>
          <w:szCs w:val="24"/>
        </w:rPr>
        <w:t xml:space="preserve"> (Tiwari et al., 2023). </w:t>
      </w:r>
      <w:r w:rsidRPr="006E6191">
        <w:rPr>
          <w:rFonts w:ascii="Times New Roman" w:hAnsi="Times New Roman" w:cs="Times New Roman"/>
          <w:sz w:val="24"/>
          <w:szCs w:val="24"/>
        </w:rPr>
        <w:br/>
        <w:t xml:space="preserve">AI-powered analytics </w:t>
      </w:r>
      <w:r w:rsidRPr="004522BC">
        <w:rPr>
          <w:rFonts w:ascii="Times New Roman" w:hAnsi="Times New Roman" w:cs="Times New Roman"/>
          <w:sz w:val="24"/>
          <w:szCs w:val="24"/>
        </w:rPr>
        <w:t xml:space="preserve">also </w:t>
      </w:r>
      <w:r w:rsidRPr="006E6191">
        <w:rPr>
          <w:rFonts w:ascii="Times New Roman" w:hAnsi="Times New Roman" w:cs="Times New Roman"/>
          <w:sz w:val="24"/>
          <w:szCs w:val="24"/>
        </w:rPr>
        <w:t>support more accurate forecasting of clinical trial outcomes, patient stratification, and personalised medicine</w:t>
      </w:r>
      <w:r w:rsidRPr="004522BC">
        <w:rPr>
          <w:rFonts w:ascii="Times New Roman" w:hAnsi="Times New Roman" w:cs="Times New Roman"/>
          <w:sz w:val="24"/>
          <w:szCs w:val="24"/>
        </w:rPr>
        <w:t xml:space="preserve"> (Sharma et al., 2024).</w:t>
      </w:r>
      <w:r w:rsidRPr="006E6191">
        <w:rPr>
          <w:rFonts w:ascii="Times New Roman" w:hAnsi="Times New Roman" w:cs="Times New Roman"/>
          <w:sz w:val="24"/>
          <w:szCs w:val="24"/>
        </w:rPr>
        <w:t xml:space="preserve"> These capabilities improve the probability of clinical success and reduce costly late-stage failures.</w:t>
      </w:r>
      <w:r w:rsidRPr="004522BC">
        <w:rPr>
          <w:rFonts w:ascii="Times New Roman" w:hAnsi="Times New Roman" w:cs="Times New Roman"/>
          <w:sz w:val="24"/>
          <w:szCs w:val="24"/>
        </w:rPr>
        <w:t xml:space="preserve"> McKinsey &amp; Company (2022) mentions that a</w:t>
      </w:r>
      <w:r w:rsidRPr="006E6191">
        <w:rPr>
          <w:rFonts w:ascii="Times New Roman" w:hAnsi="Times New Roman" w:cs="Times New Roman"/>
          <w:sz w:val="24"/>
          <w:szCs w:val="24"/>
        </w:rPr>
        <w:t>utomation and AI-driven optimisation in manufacturing can increase production reliability, essential for biologics and vaccines that require precision-controlled environments</w:t>
      </w:r>
      <w:r w:rsidRPr="004522BC">
        <w:rPr>
          <w:rFonts w:ascii="Times New Roman" w:hAnsi="Times New Roman" w:cs="Times New Roman"/>
          <w:sz w:val="24"/>
          <w:szCs w:val="24"/>
        </w:rPr>
        <w:t>.</w:t>
      </w:r>
    </w:p>
    <w:p w14:paraId="724812A0"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Challenges from AI Integration</w:t>
      </w:r>
    </w:p>
    <w:p w14:paraId="51FF75F1"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However, AI also creates significant challenges</w:t>
      </w:r>
      <w:r w:rsidRPr="004522BC">
        <w:rPr>
          <w:rFonts w:ascii="Times New Roman" w:hAnsi="Times New Roman" w:cs="Times New Roman"/>
          <w:sz w:val="24"/>
          <w:szCs w:val="24"/>
        </w:rPr>
        <w:t xml:space="preserve"> like regulatory uncertainty, data privacy concerns and talent gaps. According to Palaniappan et al., (2024), g</w:t>
      </w:r>
      <w:r w:rsidRPr="006E6191">
        <w:rPr>
          <w:rFonts w:ascii="Times New Roman" w:hAnsi="Times New Roman" w:cs="Times New Roman"/>
          <w:sz w:val="24"/>
          <w:szCs w:val="24"/>
        </w:rPr>
        <w:t>lobal regulators are still developing frameworks for AI in healthcare. AstraZeneca must navigate inconsistent standards across the EU, UK, US, and Asia, which may slow deployment.</w:t>
      </w:r>
      <w:r w:rsidRPr="004522BC">
        <w:rPr>
          <w:rFonts w:ascii="Times New Roman" w:hAnsi="Times New Roman" w:cs="Times New Roman"/>
          <w:sz w:val="24"/>
          <w:szCs w:val="24"/>
        </w:rPr>
        <w:t xml:space="preserve"> Moreover, </w:t>
      </w:r>
      <w:r w:rsidRPr="006E6191">
        <w:rPr>
          <w:rFonts w:ascii="Times New Roman" w:hAnsi="Times New Roman" w:cs="Times New Roman"/>
          <w:sz w:val="24"/>
          <w:szCs w:val="24"/>
        </w:rPr>
        <w:br/>
        <w:t>AI requires vast amounts of clinical and patient data</w:t>
      </w:r>
      <w:r w:rsidRPr="004522BC">
        <w:rPr>
          <w:rFonts w:ascii="Times New Roman" w:hAnsi="Times New Roman" w:cs="Times New Roman"/>
          <w:sz w:val="24"/>
          <w:szCs w:val="24"/>
        </w:rPr>
        <w:t xml:space="preserve"> to function</w:t>
      </w:r>
      <w:r w:rsidRPr="006E6191">
        <w:rPr>
          <w:rFonts w:ascii="Times New Roman" w:hAnsi="Times New Roman" w:cs="Times New Roman"/>
          <w:sz w:val="24"/>
          <w:szCs w:val="24"/>
        </w:rPr>
        <w:t>. AstraZeneca faces scrutiny over data governance, cybersecurity, and compliance with GDPR and similar regulations</w:t>
      </w:r>
      <w:r w:rsidRPr="004522BC">
        <w:rPr>
          <w:rFonts w:ascii="Times New Roman" w:hAnsi="Times New Roman" w:cs="Times New Roman"/>
          <w:sz w:val="24"/>
          <w:szCs w:val="24"/>
        </w:rPr>
        <w:t xml:space="preserve"> (TechCrunch, 2022).  Also, </w:t>
      </w:r>
      <w:r w:rsidRPr="006E6191">
        <w:rPr>
          <w:rFonts w:ascii="Times New Roman" w:hAnsi="Times New Roman" w:cs="Times New Roman"/>
          <w:sz w:val="24"/>
          <w:szCs w:val="24"/>
        </w:rPr>
        <w:t>AI adoption requires specialised data scientists, bioinformaticians, and machine-learning engineers. The global shortage of AI talent increases competition for skilled workers and pressures compensation budgets.</w:t>
      </w:r>
    </w:p>
    <w:p w14:paraId="505C7518" w14:textId="77777777" w:rsidR="003B2F0C" w:rsidRPr="006E6191" w:rsidRDefault="003B2F0C" w:rsidP="003B2F0C">
      <w:pPr>
        <w:spacing w:line="360" w:lineRule="auto"/>
        <w:jc w:val="both"/>
        <w:rPr>
          <w:rFonts w:ascii="Times New Roman" w:hAnsi="Times New Roman" w:cs="Times New Roman"/>
          <w:sz w:val="24"/>
          <w:szCs w:val="24"/>
        </w:rPr>
      </w:pPr>
    </w:p>
    <w:p w14:paraId="0604EBB2" w14:textId="77777777" w:rsidR="003B2F0C" w:rsidRDefault="003B2F0C" w:rsidP="003B2F0C">
      <w:pPr>
        <w:spacing w:line="360" w:lineRule="auto"/>
        <w:jc w:val="both"/>
        <w:rPr>
          <w:rFonts w:ascii="Times New Roman" w:hAnsi="Times New Roman" w:cs="Times New Roman"/>
          <w:b/>
          <w:bCs/>
          <w:sz w:val="24"/>
          <w:szCs w:val="24"/>
        </w:rPr>
      </w:pPr>
    </w:p>
    <w:p w14:paraId="05D2B434" w14:textId="77777777" w:rsidR="003B2F0C" w:rsidRDefault="003B2F0C" w:rsidP="003B2F0C">
      <w:pPr>
        <w:spacing w:line="360" w:lineRule="auto"/>
        <w:jc w:val="both"/>
        <w:rPr>
          <w:rFonts w:ascii="Times New Roman" w:hAnsi="Times New Roman" w:cs="Times New Roman"/>
          <w:b/>
          <w:bCs/>
          <w:sz w:val="24"/>
          <w:szCs w:val="24"/>
        </w:rPr>
      </w:pPr>
    </w:p>
    <w:p w14:paraId="7F57ECA1"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lastRenderedPageBreak/>
        <w:t>Opportunities from Geopolitical Supply Chain Tensions</w:t>
      </w:r>
    </w:p>
    <w:p w14:paraId="6B1DD01A" w14:textId="77777777" w:rsidR="003B2F0C" w:rsidRPr="004522BC" w:rsidRDefault="003B2F0C" w:rsidP="003B2F0C">
      <w:pPr>
        <w:spacing w:line="360" w:lineRule="auto"/>
        <w:jc w:val="both"/>
        <w:rPr>
          <w:rFonts w:ascii="Times New Roman" w:hAnsi="Times New Roman" w:cs="Times New Roman"/>
          <w:sz w:val="24"/>
          <w:szCs w:val="24"/>
        </w:rPr>
      </w:pPr>
      <w:r w:rsidRPr="004522BC">
        <w:rPr>
          <w:rFonts w:ascii="Times New Roman" w:hAnsi="Times New Roman" w:cs="Times New Roman"/>
          <w:sz w:val="24"/>
          <w:szCs w:val="24"/>
        </w:rPr>
        <w:t xml:space="preserve">Recent global disruptions like </w:t>
      </w:r>
      <w:r w:rsidRPr="006E6191">
        <w:rPr>
          <w:rFonts w:ascii="Times New Roman" w:hAnsi="Times New Roman" w:cs="Times New Roman"/>
          <w:sz w:val="24"/>
          <w:szCs w:val="24"/>
        </w:rPr>
        <w:t>Red Sea shipping blockages, US-China technological decoupling, and volatility surrounding China-Taiwan</w:t>
      </w:r>
      <w:r w:rsidRPr="004522BC">
        <w:rPr>
          <w:rFonts w:ascii="Times New Roman" w:hAnsi="Times New Roman" w:cs="Times New Roman"/>
          <w:sz w:val="24"/>
          <w:szCs w:val="24"/>
        </w:rPr>
        <w:t xml:space="preserve">, </w:t>
      </w:r>
      <w:r w:rsidRPr="006E6191">
        <w:rPr>
          <w:rFonts w:ascii="Times New Roman" w:hAnsi="Times New Roman" w:cs="Times New Roman"/>
          <w:sz w:val="24"/>
          <w:szCs w:val="24"/>
        </w:rPr>
        <w:t>have</w:t>
      </w:r>
      <w:r w:rsidRPr="004522BC">
        <w:rPr>
          <w:rFonts w:ascii="Times New Roman" w:hAnsi="Times New Roman" w:cs="Times New Roman"/>
          <w:sz w:val="24"/>
          <w:szCs w:val="24"/>
        </w:rPr>
        <w:t xml:space="preserve"> highlighted how vulnerable international supply chains can be</w:t>
      </w:r>
      <w:r w:rsidRPr="006E6191">
        <w:rPr>
          <w:rFonts w:ascii="Times New Roman" w:hAnsi="Times New Roman" w:cs="Times New Roman"/>
          <w:sz w:val="24"/>
          <w:szCs w:val="24"/>
        </w:rPr>
        <w:t>.</w:t>
      </w:r>
      <w:r w:rsidRPr="004522BC">
        <w:rPr>
          <w:rFonts w:ascii="Times New Roman" w:hAnsi="Times New Roman" w:cs="Times New Roman"/>
          <w:sz w:val="24"/>
          <w:szCs w:val="24"/>
        </w:rPr>
        <w:t xml:space="preserve"> For a global company like AstraZeneca</w:t>
      </w:r>
      <w:r w:rsidRPr="006E6191">
        <w:rPr>
          <w:rFonts w:ascii="Times New Roman" w:hAnsi="Times New Roman" w:cs="Times New Roman"/>
          <w:sz w:val="24"/>
          <w:szCs w:val="24"/>
        </w:rPr>
        <w:t>, these tensions create several strategic opportunities</w:t>
      </w:r>
      <w:r w:rsidRPr="004522BC">
        <w:rPr>
          <w:rFonts w:ascii="Times New Roman" w:hAnsi="Times New Roman" w:cs="Times New Roman"/>
          <w:sz w:val="24"/>
          <w:szCs w:val="24"/>
        </w:rPr>
        <w:t>. Firstly, t</w:t>
      </w:r>
      <w:r w:rsidRPr="006E6191">
        <w:rPr>
          <w:rFonts w:ascii="Times New Roman" w:hAnsi="Times New Roman" w:cs="Times New Roman"/>
          <w:sz w:val="24"/>
          <w:szCs w:val="24"/>
        </w:rPr>
        <w:t>he company can strengthen resilience by</w:t>
      </w:r>
      <w:r w:rsidRPr="004522BC">
        <w:rPr>
          <w:rFonts w:ascii="Times New Roman" w:hAnsi="Times New Roman" w:cs="Times New Roman"/>
          <w:sz w:val="24"/>
          <w:szCs w:val="24"/>
        </w:rPr>
        <w:t xml:space="preserve"> spreading production across different regions, adding backup suppliers for</w:t>
      </w:r>
      <w:r w:rsidRPr="006E6191">
        <w:rPr>
          <w:rFonts w:ascii="Times New Roman" w:hAnsi="Times New Roman" w:cs="Times New Roman"/>
          <w:sz w:val="24"/>
          <w:szCs w:val="24"/>
        </w:rPr>
        <w:t xml:space="preserve"> critical materials, and diversifying active pharmaceutical ingredient (API) suppliers. </w:t>
      </w:r>
      <w:r w:rsidRPr="004522BC">
        <w:rPr>
          <w:rFonts w:ascii="Times New Roman" w:hAnsi="Times New Roman" w:cs="Times New Roman"/>
          <w:sz w:val="24"/>
          <w:szCs w:val="24"/>
        </w:rPr>
        <w:t>AstraZeneca’s recent decisions to invest more in manufacturing facilities in the UK and the EU show how the company is already moving in this direction.</w:t>
      </w:r>
    </w:p>
    <w:p w14:paraId="71C559C6"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Western governments, concerned about pharmaceutical dependence on Asia, offer incentives for local production</w:t>
      </w:r>
      <w:r w:rsidRPr="004522BC">
        <w:rPr>
          <w:rFonts w:ascii="Times New Roman" w:hAnsi="Times New Roman" w:cs="Times New Roman"/>
          <w:sz w:val="24"/>
          <w:szCs w:val="24"/>
        </w:rPr>
        <w:t xml:space="preserve"> (CPA, 2025)</w:t>
      </w:r>
      <w:r w:rsidRPr="006E6191">
        <w:rPr>
          <w:rFonts w:ascii="Times New Roman" w:hAnsi="Times New Roman" w:cs="Times New Roman"/>
          <w:sz w:val="24"/>
          <w:szCs w:val="24"/>
        </w:rPr>
        <w:t xml:space="preserve">. AstraZeneca may benefit from grants, tax advantages, and </w:t>
      </w:r>
      <w:r w:rsidRPr="004522BC">
        <w:rPr>
          <w:rFonts w:ascii="Times New Roman" w:hAnsi="Times New Roman" w:cs="Times New Roman"/>
          <w:sz w:val="24"/>
          <w:szCs w:val="24"/>
        </w:rPr>
        <w:t xml:space="preserve">reshoring with </w:t>
      </w:r>
      <w:r w:rsidRPr="006E6191">
        <w:rPr>
          <w:rFonts w:ascii="Times New Roman" w:hAnsi="Times New Roman" w:cs="Times New Roman"/>
          <w:sz w:val="24"/>
          <w:szCs w:val="24"/>
        </w:rPr>
        <w:t>strategic partnerships, particularly in the US and Europe.</w:t>
      </w:r>
      <w:r w:rsidRPr="004522BC">
        <w:rPr>
          <w:rFonts w:ascii="Times New Roman" w:hAnsi="Times New Roman" w:cs="Times New Roman"/>
          <w:sz w:val="24"/>
          <w:szCs w:val="24"/>
        </w:rPr>
        <w:t xml:space="preserve"> </w:t>
      </w:r>
      <w:r w:rsidRPr="006E6191">
        <w:rPr>
          <w:rFonts w:ascii="Times New Roman" w:hAnsi="Times New Roman" w:cs="Times New Roman"/>
          <w:sz w:val="24"/>
          <w:szCs w:val="24"/>
        </w:rPr>
        <w:t>AstraZeneca’s strong presence in emerging markets such as India, Brazil, and the Middle East allows it to leverage geopolitical realignments and</w:t>
      </w:r>
      <w:r w:rsidRPr="004522BC">
        <w:rPr>
          <w:rFonts w:ascii="Times New Roman" w:hAnsi="Times New Roman" w:cs="Times New Roman"/>
          <w:sz w:val="24"/>
          <w:szCs w:val="24"/>
        </w:rPr>
        <w:t xml:space="preserve"> gain from its f</w:t>
      </w:r>
      <w:r w:rsidRPr="006E6191">
        <w:rPr>
          <w:rFonts w:ascii="Times New Roman" w:hAnsi="Times New Roman" w:cs="Times New Roman"/>
          <w:sz w:val="24"/>
          <w:szCs w:val="24"/>
        </w:rPr>
        <w:t>irst-</w:t>
      </w:r>
      <w:r w:rsidRPr="004522BC">
        <w:rPr>
          <w:rFonts w:ascii="Times New Roman" w:hAnsi="Times New Roman" w:cs="Times New Roman"/>
          <w:sz w:val="24"/>
          <w:szCs w:val="24"/>
        </w:rPr>
        <w:t>m</w:t>
      </w:r>
      <w:r w:rsidRPr="006E6191">
        <w:rPr>
          <w:rFonts w:ascii="Times New Roman" w:hAnsi="Times New Roman" w:cs="Times New Roman"/>
          <w:sz w:val="24"/>
          <w:szCs w:val="24"/>
        </w:rPr>
        <w:t xml:space="preserve">over </w:t>
      </w:r>
      <w:r w:rsidRPr="004522BC">
        <w:rPr>
          <w:rFonts w:ascii="Times New Roman" w:hAnsi="Times New Roman" w:cs="Times New Roman"/>
          <w:sz w:val="24"/>
          <w:szCs w:val="24"/>
        </w:rPr>
        <w:t>a</w:t>
      </w:r>
      <w:r w:rsidRPr="006E6191">
        <w:rPr>
          <w:rFonts w:ascii="Times New Roman" w:hAnsi="Times New Roman" w:cs="Times New Roman"/>
          <w:sz w:val="24"/>
          <w:szCs w:val="24"/>
        </w:rPr>
        <w:t>dvantage</w:t>
      </w:r>
      <w:r w:rsidRPr="004522BC">
        <w:rPr>
          <w:rFonts w:ascii="Times New Roman" w:hAnsi="Times New Roman" w:cs="Times New Roman"/>
          <w:sz w:val="24"/>
          <w:szCs w:val="24"/>
        </w:rPr>
        <w:t xml:space="preserve">. It also helps </w:t>
      </w:r>
      <w:r w:rsidRPr="006E6191">
        <w:rPr>
          <w:rFonts w:ascii="Times New Roman" w:hAnsi="Times New Roman" w:cs="Times New Roman"/>
          <w:sz w:val="24"/>
          <w:szCs w:val="24"/>
        </w:rPr>
        <w:t>deepen ties with fast-growing healthcare systems</w:t>
      </w:r>
      <w:r w:rsidRPr="004522BC">
        <w:rPr>
          <w:rFonts w:ascii="Times New Roman" w:hAnsi="Times New Roman" w:cs="Times New Roman"/>
          <w:sz w:val="24"/>
          <w:szCs w:val="24"/>
        </w:rPr>
        <w:t xml:space="preserve"> (World Economic Forum, 2025)</w:t>
      </w:r>
    </w:p>
    <w:p w14:paraId="3B11E329"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Challenges from Geopolitical Tensions</w:t>
      </w:r>
    </w:p>
    <w:p w14:paraId="38447AD4"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Nonetheless, these tensions impose substantial risks</w:t>
      </w:r>
      <w:r w:rsidRPr="004522BC">
        <w:rPr>
          <w:rFonts w:ascii="Times New Roman" w:hAnsi="Times New Roman" w:cs="Times New Roman"/>
          <w:sz w:val="24"/>
          <w:szCs w:val="24"/>
        </w:rPr>
        <w:t>. Firstly, r</w:t>
      </w:r>
      <w:r w:rsidRPr="006E6191">
        <w:rPr>
          <w:rFonts w:ascii="Times New Roman" w:hAnsi="Times New Roman" w:cs="Times New Roman"/>
          <w:sz w:val="24"/>
          <w:szCs w:val="24"/>
        </w:rPr>
        <w:t>erouted shipping, geopolitical insurance premiums, and disruptions to raw-material flows increase operational costs</w:t>
      </w:r>
      <w:r w:rsidRPr="004522BC">
        <w:rPr>
          <w:rFonts w:ascii="Times New Roman" w:hAnsi="Times New Roman" w:cs="Times New Roman"/>
          <w:sz w:val="24"/>
          <w:szCs w:val="24"/>
        </w:rPr>
        <w:t xml:space="preserve"> (Taheri Hosseinkhani, 2025).</w:t>
      </w:r>
      <w:r w:rsidRPr="004522BC">
        <w:rPr>
          <w:rFonts w:ascii="Times New Roman" w:hAnsi="Times New Roman" w:cs="Times New Roman"/>
          <w:i/>
          <w:iCs/>
          <w:sz w:val="24"/>
          <w:szCs w:val="24"/>
        </w:rPr>
        <w:t xml:space="preserve"> </w:t>
      </w:r>
      <w:r w:rsidRPr="006E6191">
        <w:rPr>
          <w:rFonts w:ascii="Times New Roman" w:hAnsi="Times New Roman" w:cs="Times New Roman"/>
          <w:sz w:val="24"/>
          <w:szCs w:val="24"/>
        </w:rPr>
        <w:t>For biologics and temperature-sensitive products, delays can be particularly damaging</w:t>
      </w:r>
      <w:r w:rsidRPr="004522BC">
        <w:rPr>
          <w:rFonts w:ascii="Times New Roman" w:hAnsi="Times New Roman" w:cs="Times New Roman"/>
          <w:sz w:val="24"/>
          <w:szCs w:val="24"/>
        </w:rPr>
        <w:t>.  Again, d</w:t>
      </w:r>
      <w:r w:rsidRPr="006E6191">
        <w:rPr>
          <w:rFonts w:ascii="Times New Roman" w:hAnsi="Times New Roman" w:cs="Times New Roman"/>
          <w:sz w:val="24"/>
          <w:szCs w:val="24"/>
        </w:rPr>
        <w:t>iverging geopolitical blocs lead to inconsistent pharmaceutical regulations and market-entry rules, complicating AstraZeneca’s international market strategy.</w:t>
      </w:r>
      <w:r w:rsidRPr="004522BC">
        <w:rPr>
          <w:rFonts w:ascii="Times New Roman" w:hAnsi="Times New Roman" w:cs="Times New Roman"/>
          <w:sz w:val="24"/>
          <w:szCs w:val="24"/>
        </w:rPr>
        <w:t xml:space="preserve"> </w:t>
      </w:r>
      <w:r w:rsidRPr="006E6191">
        <w:rPr>
          <w:rFonts w:ascii="Times New Roman" w:hAnsi="Times New Roman" w:cs="Times New Roman"/>
          <w:sz w:val="24"/>
          <w:szCs w:val="24"/>
        </w:rPr>
        <w:t>AstraZeneca derives significant revenue from China, one of its fastest-growing markets</w:t>
      </w:r>
      <w:r w:rsidRPr="004522BC">
        <w:rPr>
          <w:rFonts w:ascii="Times New Roman" w:hAnsi="Times New Roman" w:cs="Times New Roman"/>
          <w:sz w:val="24"/>
          <w:szCs w:val="24"/>
        </w:rPr>
        <w:t xml:space="preserve"> (Li and Volgina, 2023). </w:t>
      </w:r>
      <w:r w:rsidRPr="006E6191">
        <w:rPr>
          <w:rFonts w:ascii="Times New Roman" w:hAnsi="Times New Roman" w:cs="Times New Roman"/>
          <w:sz w:val="24"/>
          <w:szCs w:val="24"/>
        </w:rPr>
        <w:t>US-China tensions, potential sanctions, or restrictions on foreign pharmaceutical companies could reduce profitability and limit clinical-research collaboration.</w:t>
      </w:r>
    </w:p>
    <w:p w14:paraId="3628F62D" w14:textId="77777777" w:rsidR="003B2F0C" w:rsidRPr="006E6191" w:rsidRDefault="003B2F0C" w:rsidP="003B2F0C">
      <w:pPr>
        <w:spacing w:line="360" w:lineRule="auto"/>
        <w:jc w:val="both"/>
        <w:rPr>
          <w:rFonts w:ascii="Times New Roman" w:hAnsi="Times New Roman" w:cs="Times New Roman"/>
          <w:sz w:val="24"/>
          <w:szCs w:val="24"/>
        </w:rPr>
      </w:pPr>
    </w:p>
    <w:p w14:paraId="5C78EA0C"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Opportunities from Sustainability and CSRD</w:t>
      </w:r>
    </w:p>
    <w:p w14:paraId="25B7B610"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Sustainability has become a central feature of global business. The EU’s CSRD, which mandates comprehensive ESG reporting, applies to many UK companies with EU operations, including AstraZeneca. Compliance</w:t>
      </w:r>
      <w:r w:rsidRPr="004522BC">
        <w:rPr>
          <w:rFonts w:ascii="Times New Roman" w:hAnsi="Times New Roman" w:cs="Times New Roman"/>
          <w:sz w:val="24"/>
          <w:szCs w:val="24"/>
        </w:rPr>
        <w:t xml:space="preserve"> with the standards</w:t>
      </w:r>
      <w:r w:rsidRPr="006E6191">
        <w:rPr>
          <w:rFonts w:ascii="Times New Roman" w:hAnsi="Times New Roman" w:cs="Times New Roman"/>
          <w:sz w:val="24"/>
          <w:szCs w:val="24"/>
        </w:rPr>
        <w:t xml:space="preserve"> creates several opportunities</w:t>
      </w:r>
      <w:r w:rsidRPr="004522BC">
        <w:rPr>
          <w:rFonts w:ascii="Times New Roman" w:hAnsi="Times New Roman" w:cs="Times New Roman"/>
          <w:sz w:val="24"/>
          <w:szCs w:val="24"/>
        </w:rPr>
        <w:t xml:space="preserve">. </w:t>
      </w:r>
      <w:r w:rsidRPr="006E6191">
        <w:rPr>
          <w:rFonts w:ascii="Times New Roman" w:hAnsi="Times New Roman" w:cs="Times New Roman"/>
          <w:sz w:val="24"/>
          <w:szCs w:val="24"/>
        </w:rPr>
        <w:t xml:space="preserve">AstraZeneca’s commitment to reducing emissions, investing in green manufacturing, and improving ethical supply chains can strengthen its reputation amid increasing scrutiny from </w:t>
      </w:r>
      <w:r w:rsidRPr="006E6191">
        <w:rPr>
          <w:rFonts w:ascii="Times New Roman" w:hAnsi="Times New Roman" w:cs="Times New Roman"/>
          <w:sz w:val="24"/>
          <w:szCs w:val="24"/>
        </w:rPr>
        <w:lastRenderedPageBreak/>
        <w:t>investors, patients, and regulators.</w:t>
      </w:r>
      <w:r w:rsidRPr="004522BC">
        <w:rPr>
          <w:rFonts w:ascii="Times New Roman" w:hAnsi="Times New Roman" w:cs="Times New Roman"/>
          <w:sz w:val="24"/>
          <w:szCs w:val="24"/>
        </w:rPr>
        <w:t xml:space="preserve"> </w:t>
      </w:r>
      <w:r w:rsidRPr="006E6191">
        <w:rPr>
          <w:rFonts w:ascii="Times New Roman" w:hAnsi="Times New Roman" w:cs="Times New Roman"/>
          <w:sz w:val="24"/>
          <w:szCs w:val="24"/>
        </w:rPr>
        <w:t>The company’s “Ambition Zero Carbon” programme aims for zero carbon emissions from operations by 2025 and net-zero across its value chain by 20</w:t>
      </w:r>
      <w:r w:rsidRPr="004522BC">
        <w:rPr>
          <w:rFonts w:ascii="Times New Roman" w:hAnsi="Times New Roman" w:cs="Times New Roman"/>
          <w:sz w:val="24"/>
          <w:szCs w:val="24"/>
        </w:rPr>
        <w:t xml:space="preserve">30 (AstraZeneca, 2020). </w:t>
      </w:r>
      <w:r w:rsidRPr="006E6191">
        <w:rPr>
          <w:rFonts w:ascii="Times New Roman" w:hAnsi="Times New Roman" w:cs="Times New Roman"/>
          <w:sz w:val="24"/>
          <w:szCs w:val="24"/>
        </w:rPr>
        <w:t>Investments in renewable energy, green chemistry, and low-carbon manufacturing support cost savings and technological leadership</w:t>
      </w:r>
      <w:r w:rsidRPr="004522BC">
        <w:rPr>
          <w:rFonts w:ascii="Times New Roman" w:hAnsi="Times New Roman" w:cs="Times New Roman"/>
          <w:sz w:val="24"/>
          <w:szCs w:val="24"/>
        </w:rPr>
        <w:t xml:space="preserve">. </w:t>
      </w:r>
      <w:r w:rsidRPr="006E6191">
        <w:rPr>
          <w:rFonts w:ascii="Times New Roman" w:hAnsi="Times New Roman" w:cs="Times New Roman"/>
          <w:sz w:val="24"/>
          <w:szCs w:val="24"/>
        </w:rPr>
        <w:br/>
        <w:t>ESG leadership can differentiate AstraZeneca in tenders, government procurement contracts, and partnerships with hospitals and research institutions.</w:t>
      </w:r>
    </w:p>
    <w:p w14:paraId="13D04647"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Challenges from Sustainability Regulations</w:t>
      </w:r>
    </w:p>
    <w:p w14:paraId="3824C9B1" w14:textId="77777777" w:rsidR="003B2F0C" w:rsidRPr="006E6191" w:rsidRDefault="003B2F0C" w:rsidP="003B2F0C">
      <w:pPr>
        <w:tabs>
          <w:tab w:val="num" w:pos="720"/>
        </w:tabs>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However, sustainability pressures also create constraints</w:t>
      </w:r>
      <w:r w:rsidRPr="004522BC">
        <w:rPr>
          <w:rFonts w:ascii="Times New Roman" w:hAnsi="Times New Roman" w:cs="Times New Roman"/>
          <w:sz w:val="24"/>
          <w:szCs w:val="24"/>
        </w:rPr>
        <w:t xml:space="preserve">. The </w:t>
      </w:r>
      <w:r w:rsidRPr="006E6191">
        <w:rPr>
          <w:rFonts w:ascii="Times New Roman" w:hAnsi="Times New Roman" w:cs="Times New Roman"/>
          <w:sz w:val="24"/>
          <w:szCs w:val="24"/>
        </w:rPr>
        <w:t>CSRD requires detailed environmental and social reporting, auditing, and data integration across global subsidiaries.</w:t>
      </w:r>
      <w:r w:rsidRPr="004522BC">
        <w:rPr>
          <w:rFonts w:ascii="Times New Roman" w:hAnsi="Times New Roman" w:cs="Times New Roman"/>
          <w:sz w:val="24"/>
          <w:szCs w:val="24"/>
        </w:rPr>
        <w:t xml:space="preserve"> According to Sharma (2025), t</w:t>
      </w:r>
      <w:r w:rsidRPr="006E6191">
        <w:rPr>
          <w:rFonts w:ascii="Times New Roman" w:hAnsi="Times New Roman" w:cs="Times New Roman"/>
          <w:sz w:val="24"/>
          <w:szCs w:val="24"/>
        </w:rPr>
        <w:t>his increases administrative burden and technology investment.</w:t>
      </w:r>
    </w:p>
    <w:p w14:paraId="765A521B"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Many suppliers, especially in developing economies, lack the systems required for sustainability reporting</w:t>
      </w:r>
      <w:r w:rsidRPr="004522BC">
        <w:rPr>
          <w:rFonts w:ascii="Times New Roman" w:hAnsi="Times New Roman" w:cs="Times New Roman"/>
          <w:sz w:val="24"/>
          <w:szCs w:val="24"/>
        </w:rPr>
        <w:t xml:space="preserve"> (Coffie et al., 2018). </w:t>
      </w:r>
      <w:r w:rsidRPr="006E6191">
        <w:rPr>
          <w:rFonts w:ascii="Times New Roman" w:hAnsi="Times New Roman" w:cs="Times New Roman"/>
          <w:sz w:val="24"/>
          <w:szCs w:val="24"/>
        </w:rPr>
        <w:t>AstraZeneca must invest in capacity-building or risk supply interruptions.</w:t>
      </w:r>
      <w:r w:rsidRPr="004522BC">
        <w:rPr>
          <w:rFonts w:ascii="Times New Roman" w:hAnsi="Times New Roman" w:cs="Times New Roman"/>
          <w:sz w:val="24"/>
          <w:szCs w:val="24"/>
        </w:rPr>
        <w:t xml:space="preserve"> </w:t>
      </w:r>
      <w:r w:rsidRPr="006E6191">
        <w:rPr>
          <w:rFonts w:ascii="Times New Roman" w:hAnsi="Times New Roman" w:cs="Times New Roman"/>
          <w:sz w:val="24"/>
          <w:szCs w:val="24"/>
        </w:rPr>
        <w:t xml:space="preserve">Achieving net-zero supply chains may require costly shifts to sustainable materials, re-engineering of production processes, or changes in packaging—all impacting </w:t>
      </w:r>
      <w:r w:rsidRPr="004522BC">
        <w:rPr>
          <w:rFonts w:ascii="Times New Roman" w:hAnsi="Times New Roman" w:cs="Times New Roman"/>
          <w:sz w:val="24"/>
          <w:szCs w:val="24"/>
        </w:rPr>
        <w:t xml:space="preserve">profit </w:t>
      </w:r>
      <w:r w:rsidRPr="006E6191">
        <w:rPr>
          <w:rFonts w:ascii="Times New Roman" w:hAnsi="Times New Roman" w:cs="Times New Roman"/>
          <w:sz w:val="24"/>
          <w:szCs w:val="24"/>
        </w:rPr>
        <w:t>margins.</w:t>
      </w:r>
    </w:p>
    <w:p w14:paraId="020CC89A" w14:textId="77777777" w:rsidR="003B2F0C" w:rsidRPr="006E6191" w:rsidRDefault="003B2F0C" w:rsidP="003B2F0C">
      <w:pPr>
        <w:spacing w:line="360" w:lineRule="auto"/>
        <w:jc w:val="both"/>
        <w:rPr>
          <w:rFonts w:ascii="Times New Roman" w:hAnsi="Times New Roman" w:cs="Times New Roman"/>
          <w:sz w:val="24"/>
          <w:szCs w:val="24"/>
        </w:rPr>
      </w:pPr>
    </w:p>
    <w:p w14:paraId="3F7879E9"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Impact on AstraZeneca’s Market Positioning, Innovation, Talent, and Competitiveness</w:t>
      </w:r>
    </w:p>
    <w:p w14:paraId="0BE9C1CE"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Market Positioning</w:t>
      </w:r>
    </w:p>
    <w:p w14:paraId="21BCC45E" w14:textId="77777777" w:rsidR="003B2F0C" w:rsidRPr="007619DA" w:rsidRDefault="003B2F0C" w:rsidP="003B2F0C">
      <w:pPr>
        <w:spacing w:line="360" w:lineRule="auto"/>
        <w:jc w:val="both"/>
        <w:rPr>
          <w:rFonts w:ascii="Times New Roman" w:hAnsi="Times New Roman" w:cs="Times New Roman"/>
          <w:sz w:val="24"/>
          <w:szCs w:val="24"/>
        </w:rPr>
      </w:pPr>
      <w:r w:rsidRPr="007619DA">
        <w:rPr>
          <w:rFonts w:ascii="Times New Roman" w:hAnsi="Times New Roman" w:cs="Times New Roman"/>
          <w:sz w:val="24"/>
          <w:szCs w:val="24"/>
        </w:rPr>
        <w:t>Global forces are pushing AstraZeneca to rethink how it positions itself in the international market. The growing use of AI helps the company present itself as a leader in innovation, especially in areas like drug discovery and development. At the same time, AstraZeneca’s sustainability efforts boost its reputation and make it more attractive to investors and partners who prioritise ethical and environmentally responsible practices. However, rising geopolitical tensions create risks, particularly in important markets like China. If access to these markets becomes restricted, AstraZeneca could lose ground compared to competitors with fewer supply chain dependencies or less exposure to politically sensitive regions.</w:t>
      </w:r>
    </w:p>
    <w:p w14:paraId="61C61D64"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Innovation</w:t>
      </w:r>
    </w:p>
    <w:p w14:paraId="08627DF7" w14:textId="77777777" w:rsidR="003B2F0C" w:rsidRPr="004522BC"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 xml:space="preserve">AI accelerates research productivity, enabling AstraZeneca to bring innovative therapies to market faster. Geopolitical tensions, however, can obstruct cross-border scientific collaboration and limit access to critical research materials. Sustainability requirements also influence </w:t>
      </w:r>
      <w:r w:rsidRPr="006E6191">
        <w:rPr>
          <w:rFonts w:ascii="Times New Roman" w:hAnsi="Times New Roman" w:cs="Times New Roman"/>
          <w:sz w:val="24"/>
          <w:szCs w:val="24"/>
        </w:rPr>
        <w:lastRenderedPageBreak/>
        <w:t>innovation by encouraging low-carbon drug formulation and environmentally conscious clinical-trial design.</w:t>
      </w:r>
    </w:p>
    <w:p w14:paraId="45873124" w14:textId="77777777" w:rsidR="003B2F0C" w:rsidRDefault="003B2F0C" w:rsidP="003B2F0C">
      <w:pPr>
        <w:spacing w:line="360" w:lineRule="auto"/>
        <w:jc w:val="both"/>
        <w:rPr>
          <w:rFonts w:ascii="Times New Roman" w:hAnsi="Times New Roman" w:cs="Times New Roman"/>
          <w:b/>
          <w:bCs/>
          <w:sz w:val="24"/>
          <w:szCs w:val="24"/>
        </w:rPr>
      </w:pPr>
    </w:p>
    <w:p w14:paraId="6E7505B2"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Talent Management</w:t>
      </w:r>
    </w:p>
    <w:p w14:paraId="1A6872C8"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AI increases demand for specialised digital and data talent, requiring AstraZeneca to compete in a global labour market. Geopolitical tensions complicate international mobility for researchers, particularly between the US, China, and Europe. Sustainability commitments, however, can positively affect employer branding, making the company more attractive to purpose-driven employees.</w:t>
      </w:r>
    </w:p>
    <w:p w14:paraId="34081289"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Competitiveness</w:t>
      </w:r>
    </w:p>
    <w:p w14:paraId="34BBEE3B"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Collectively, these global forces influence AstraZeneca’s competitiveness through cost structures, R&amp;D productivity, supply chain resilience, and regulatory compliance. AI enhances productivity, but regulatory uncertainty may slow deployment. Supply chain tensions increase costs and risk exposure. Sustainability initiatives improve long-term efficiency but demand substantial upfront investment. The overall effect is a complex balance of risk and opportunity that requires careful strategic management.</w:t>
      </w:r>
    </w:p>
    <w:p w14:paraId="28AF2CD2" w14:textId="77777777" w:rsidR="003B2F0C" w:rsidRPr="006E6191" w:rsidRDefault="003B2F0C" w:rsidP="003B2F0C">
      <w:pPr>
        <w:spacing w:line="360" w:lineRule="auto"/>
        <w:jc w:val="both"/>
        <w:rPr>
          <w:rFonts w:ascii="Times New Roman" w:hAnsi="Times New Roman" w:cs="Times New Roman"/>
          <w:sz w:val="24"/>
          <w:szCs w:val="24"/>
        </w:rPr>
      </w:pPr>
    </w:p>
    <w:p w14:paraId="63573088"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Strategic Recommendations</w:t>
      </w:r>
    </w:p>
    <w:p w14:paraId="22EDACBF"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Based on the analysis, the following strategies are recommended to help AstraZeneca navigate these global forces:</w:t>
      </w:r>
    </w:p>
    <w:p w14:paraId="1308DEFA"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1. Accelerate AI Integration Through Strategic Partnerships</w:t>
      </w:r>
    </w:p>
    <w:p w14:paraId="565ECA27"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AstraZeneca should deepen collaborations with AI-driven biotech firms, academic AI labs, and cloud-computing providers to scale AI across drug discovery, clinical trials, and manufacturing</w:t>
      </w:r>
      <w:r w:rsidRPr="004522BC">
        <w:rPr>
          <w:rFonts w:ascii="Times New Roman" w:hAnsi="Times New Roman" w:cs="Times New Roman"/>
          <w:sz w:val="24"/>
          <w:szCs w:val="24"/>
        </w:rPr>
        <w:t xml:space="preserve"> (Bettanti et al., 2024). </w:t>
      </w:r>
      <w:r w:rsidRPr="006E6191">
        <w:rPr>
          <w:rFonts w:ascii="Times New Roman" w:hAnsi="Times New Roman" w:cs="Times New Roman"/>
          <w:sz w:val="24"/>
          <w:szCs w:val="24"/>
        </w:rPr>
        <w:t>Joint ventures can mitigate regulatory uncertainty by co-developing responsible-AI frameworks aligned with global standards.</w:t>
      </w:r>
    </w:p>
    <w:p w14:paraId="0D7E0FE4"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2. Strengthen Supply Chain Resilience and Regionalisation</w:t>
      </w:r>
    </w:p>
    <w:p w14:paraId="38344983"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The company should diversify suppliers beyond high-risk regions, increase API production in Europe and the UK, and develop dual-sourcing strategies. Investing in digital supply-chain technologies (e.g., real-time tracking, predictive analytics) can minimise disruption impacts.</w:t>
      </w:r>
    </w:p>
    <w:p w14:paraId="48F4FC75"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lastRenderedPageBreak/>
        <w:t>3. Enhance Compliance Readiness for CSRD and Global ESG Standards</w:t>
      </w:r>
    </w:p>
    <w:p w14:paraId="7985F47C"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AstraZeneca should implement integrated sustainability-reporting systems and support suppliers in adopting ESG data tools. Early compliance not only reduces regulatory risk but strengthens competitive positioning.</w:t>
      </w:r>
    </w:p>
    <w:p w14:paraId="23012D0A"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4. Invest in Talent Development and Cross-Border Mobility</w:t>
      </w:r>
    </w:p>
    <w:p w14:paraId="7F299300"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The company should expand AI-related training programmes, develop global talent hubs, and negotiate mobility arrangements to support seamless movement of scientists. Hybrid work models and digital collaboration tools can help mitigate geopolitical constraints.</w:t>
      </w:r>
    </w:p>
    <w:p w14:paraId="78F953F1"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5. Expand Presence in Emerging Markets</w:t>
      </w:r>
    </w:p>
    <w:p w14:paraId="101648F4"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Given geopolitical risks in China and supply chain uncertainties in Europe, AstraZeneca should strategically grow operations in rapidly developing markets (India, Gulf states, Latin America), diversifying revenue streams and reducing geopolitical exposure.</w:t>
      </w:r>
    </w:p>
    <w:p w14:paraId="41F96A9E" w14:textId="77777777" w:rsidR="003B2F0C" w:rsidRPr="006E6191" w:rsidRDefault="003B2F0C" w:rsidP="003B2F0C">
      <w:pPr>
        <w:spacing w:line="360" w:lineRule="auto"/>
        <w:jc w:val="both"/>
        <w:rPr>
          <w:rFonts w:ascii="Times New Roman" w:hAnsi="Times New Roman" w:cs="Times New Roman"/>
          <w:sz w:val="24"/>
          <w:szCs w:val="24"/>
        </w:rPr>
      </w:pPr>
    </w:p>
    <w:p w14:paraId="187C0F29" w14:textId="77777777" w:rsidR="003B2F0C" w:rsidRPr="006E6191" w:rsidRDefault="003B2F0C" w:rsidP="003B2F0C">
      <w:pPr>
        <w:spacing w:line="360" w:lineRule="auto"/>
        <w:jc w:val="both"/>
        <w:rPr>
          <w:rFonts w:ascii="Times New Roman" w:hAnsi="Times New Roman" w:cs="Times New Roman"/>
          <w:b/>
          <w:bCs/>
          <w:sz w:val="24"/>
          <w:szCs w:val="24"/>
        </w:rPr>
      </w:pPr>
      <w:r w:rsidRPr="006E6191">
        <w:rPr>
          <w:rFonts w:ascii="Times New Roman" w:hAnsi="Times New Roman" w:cs="Times New Roman"/>
          <w:b/>
          <w:bCs/>
          <w:sz w:val="24"/>
          <w:szCs w:val="24"/>
        </w:rPr>
        <w:t>Conclusion</w:t>
      </w:r>
    </w:p>
    <w:p w14:paraId="6A5E509D" w14:textId="77777777" w:rsidR="003B2F0C" w:rsidRPr="006E6191"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In today’s dynamic global environment, multinational firms such as AstraZeneca must navigate the intertwined forces of AI adoption, geopolitical supply chain disruptions, and increasing sustainability demands. These forces create significant opportunities to accelerate innovation, strengthen operational resilience, and enhance stakeholder trust. However, they also present substantial challenges, including regulatory inconsistency, rising operational costs, talent shortages, and complex compliance obligations.</w:t>
      </w:r>
    </w:p>
    <w:p w14:paraId="3F478422" w14:textId="77777777" w:rsidR="003B2F0C" w:rsidRPr="004522BC" w:rsidRDefault="003B2F0C" w:rsidP="003B2F0C">
      <w:pPr>
        <w:spacing w:line="360" w:lineRule="auto"/>
        <w:jc w:val="both"/>
        <w:rPr>
          <w:rFonts w:ascii="Times New Roman" w:hAnsi="Times New Roman" w:cs="Times New Roman"/>
          <w:sz w:val="24"/>
          <w:szCs w:val="24"/>
        </w:rPr>
      </w:pPr>
      <w:r w:rsidRPr="006E6191">
        <w:rPr>
          <w:rFonts w:ascii="Times New Roman" w:hAnsi="Times New Roman" w:cs="Times New Roman"/>
          <w:sz w:val="24"/>
          <w:szCs w:val="24"/>
        </w:rPr>
        <w:t>This essay has shown that these global dynamics profoundly influence AstraZeneca’s market positioning, innovation capacity, talent management, and competitiveness. Successfully managing them requires strategic agility, long-term investment, and proactive engagement with technological and regulatory change. Understanding global forces is therefore essential to shaping effective international business strategy. For AstraZeneca, those that embrace AI responsibly, build resilient supply chains, commit to sustainability, and diversify global operations will be best positioned to thrive in an increasingly uncertain but opportunity-rich global landscape.</w:t>
      </w:r>
    </w:p>
    <w:p w14:paraId="35A4D1D0" w14:textId="77777777" w:rsidR="003B2F0C" w:rsidRPr="004522BC" w:rsidRDefault="003B2F0C" w:rsidP="003B2F0C">
      <w:pPr>
        <w:spacing w:line="360" w:lineRule="auto"/>
        <w:jc w:val="both"/>
        <w:rPr>
          <w:rFonts w:ascii="Times New Roman" w:hAnsi="Times New Roman" w:cs="Times New Roman"/>
          <w:sz w:val="24"/>
          <w:szCs w:val="24"/>
        </w:rPr>
      </w:pPr>
      <w:r w:rsidRPr="004522BC">
        <w:rPr>
          <w:rFonts w:ascii="Times New Roman" w:hAnsi="Times New Roman" w:cs="Times New Roman"/>
          <w:sz w:val="24"/>
          <w:szCs w:val="24"/>
        </w:rPr>
        <w:br w:type="page"/>
      </w:r>
    </w:p>
    <w:p w14:paraId="0F11DAA7" w14:textId="77777777" w:rsidR="003B2F0C" w:rsidRPr="008629EB" w:rsidRDefault="003B2F0C" w:rsidP="003B2F0C">
      <w:pPr>
        <w:pStyle w:val="Heading1"/>
        <w:spacing w:line="480" w:lineRule="auto"/>
        <w:jc w:val="both"/>
        <w:rPr>
          <w:rFonts w:ascii="Times New Roman" w:hAnsi="Times New Roman" w:cs="Times New Roman"/>
          <w:color w:val="000000" w:themeColor="text1"/>
          <w:sz w:val="24"/>
          <w:szCs w:val="24"/>
        </w:rPr>
      </w:pPr>
      <w:r w:rsidRPr="008629EB">
        <w:rPr>
          <w:rFonts w:ascii="Times New Roman" w:hAnsi="Times New Roman" w:cs="Times New Roman"/>
          <w:color w:val="000000" w:themeColor="text1"/>
          <w:sz w:val="24"/>
          <w:szCs w:val="24"/>
        </w:rPr>
        <w:lastRenderedPageBreak/>
        <w:t xml:space="preserve">References: </w:t>
      </w:r>
    </w:p>
    <w:p w14:paraId="3AFDF416"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Anagnostakos, P., 2024. Balancing Resilience and Sustainability: Tensions, Trade-Offs, and Strategies for Multinational Enterprises in a Complex Global Landscape. </w:t>
      </w:r>
      <w:r w:rsidRPr="008629EB">
        <w:rPr>
          <w:rFonts w:ascii="Times New Roman" w:hAnsi="Times New Roman" w:cs="Times New Roman"/>
          <w:i/>
          <w:iCs/>
          <w:sz w:val="24"/>
          <w:szCs w:val="24"/>
        </w:rPr>
        <w:t>Trade-Offs, and Strategies for Multinational Enterprises in a Complex Global Landscape</w:t>
      </w:r>
      <w:r w:rsidRPr="008629EB">
        <w:rPr>
          <w:rFonts w:ascii="Times New Roman" w:hAnsi="Times New Roman" w:cs="Times New Roman"/>
          <w:sz w:val="24"/>
          <w:szCs w:val="24"/>
        </w:rPr>
        <w:t xml:space="preserve">. </w:t>
      </w:r>
    </w:p>
    <w:p w14:paraId="3B89CB68"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 xml:space="preserve">AstraZeneca., 2019. </w:t>
      </w:r>
      <w:r w:rsidRPr="008629EB">
        <w:rPr>
          <w:rFonts w:ascii="Times New Roman" w:hAnsi="Times New Roman" w:cs="Times New Roman"/>
          <w:i/>
          <w:iCs/>
          <w:sz w:val="24"/>
          <w:szCs w:val="24"/>
        </w:rPr>
        <w:t xml:space="preserve">AstraZeneca starts artificial intelligence collaboration to accelerate drug discovery. </w:t>
      </w:r>
      <w:r w:rsidRPr="008629EB">
        <w:rPr>
          <w:rFonts w:ascii="Times New Roman" w:hAnsi="Times New Roman" w:cs="Times New Roman"/>
          <w:sz w:val="24"/>
          <w:szCs w:val="24"/>
        </w:rPr>
        <w:t xml:space="preserve">Available at: </w:t>
      </w:r>
      <w:hyperlink r:id="rId5" w:history="1">
        <w:r w:rsidRPr="008629EB">
          <w:rPr>
            <w:rStyle w:val="Hyperlink"/>
            <w:rFonts w:ascii="Times New Roman" w:hAnsi="Times New Roman" w:cs="Times New Roman"/>
            <w:sz w:val="24"/>
            <w:szCs w:val="24"/>
          </w:rPr>
          <w:t>https://www.astrazeneca.com/media-centre/press-releases/2019/astrazeneca-starts-artificial-intelligence-collaboration-to-accelerate-drug-discovery-30042019.html</w:t>
        </w:r>
      </w:hyperlink>
      <w:r w:rsidRPr="008629EB">
        <w:rPr>
          <w:rFonts w:ascii="Times New Roman" w:hAnsi="Times New Roman" w:cs="Times New Roman"/>
          <w:sz w:val="24"/>
          <w:szCs w:val="24"/>
        </w:rPr>
        <w:t xml:space="preserve"> (Accessed 11 November 2025). </w:t>
      </w:r>
    </w:p>
    <w:p w14:paraId="304D1F56"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AstraZeneca., 2020.</w:t>
      </w:r>
      <w:r w:rsidRPr="008629EB">
        <w:rPr>
          <w:rFonts w:ascii="Times New Roman" w:hAnsi="Times New Roman" w:cs="Times New Roman"/>
          <w:i/>
          <w:iCs/>
          <w:color w:val="3C4242"/>
          <w:spacing w:val="17"/>
          <w:sz w:val="63"/>
          <w:szCs w:val="63"/>
        </w:rPr>
        <w:t xml:space="preserve"> </w:t>
      </w:r>
      <w:r w:rsidRPr="008629EB">
        <w:rPr>
          <w:rFonts w:ascii="Times New Roman" w:hAnsi="Times New Roman" w:cs="Times New Roman"/>
          <w:i/>
          <w:iCs/>
          <w:sz w:val="24"/>
          <w:szCs w:val="24"/>
        </w:rPr>
        <w:t xml:space="preserve">AstraZeneca’s ‘Ambition Zero Carbon’ strategy to eliminate emissions by 2025 and be carbon negative across the entire value chain by 2030. </w:t>
      </w:r>
      <w:r w:rsidRPr="008629EB">
        <w:rPr>
          <w:rFonts w:ascii="Times New Roman" w:hAnsi="Times New Roman" w:cs="Times New Roman"/>
          <w:sz w:val="24"/>
          <w:szCs w:val="24"/>
        </w:rPr>
        <w:t xml:space="preserve">Available at: </w:t>
      </w:r>
      <w:hyperlink r:id="rId6" w:history="1">
        <w:r w:rsidRPr="008629EB">
          <w:rPr>
            <w:rStyle w:val="Hyperlink"/>
            <w:rFonts w:ascii="Times New Roman" w:hAnsi="Times New Roman" w:cs="Times New Roman"/>
            <w:sz w:val="24"/>
            <w:szCs w:val="24"/>
          </w:rPr>
          <w:t>https://www.astrazeneca.com/media-centre/press-releases/2020/astrazenecas-ambition-zero-carbon-strategy-to-eliminate-emissions-by-2025-and-be-carbon-negative-across-the-entire-value-chain-by-2030-22012020.html</w:t>
        </w:r>
      </w:hyperlink>
      <w:r w:rsidRPr="008629EB">
        <w:rPr>
          <w:rFonts w:ascii="Times New Roman" w:hAnsi="Times New Roman" w:cs="Times New Roman"/>
          <w:sz w:val="24"/>
          <w:szCs w:val="24"/>
        </w:rPr>
        <w:t xml:space="preserve"> Accessed 11 November 2025). </w:t>
      </w:r>
    </w:p>
    <w:p w14:paraId="19B7F5D2"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lang w:val="it-IT"/>
        </w:rPr>
        <w:t xml:space="preserve">AstraZeneca., 2025. </w:t>
      </w:r>
      <w:r w:rsidRPr="008629EB">
        <w:rPr>
          <w:rFonts w:ascii="Times New Roman" w:hAnsi="Times New Roman" w:cs="Times New Roman"/>
          <w:i/>
          <w:iCs/>
          <w:sz w:val="24"/>
          <w:szCs w:val="24"/>
          <w:lang w:val="it-IT"/>
        </w:rPr>
        <w:t xml:space="preserve">Data Science &amp; Artificial Intelligence. </w:t>
      </w:r>
      <w:r w:rsidRPr="008629EB">
        <w:rPr>
          <w:rFonts w:ascii="Times New Roman" w:hAnsi="Times New Roman" w:cs="Times New Roman"/>
          <w:i/>
          <w:iCs/>
          <w:sz w:val="24"/>
          <w:szCs w:val="24"/>
        </w:rPr>
        <w:t>Unlocking new science insights</w:t>
      </w:r>
      <w:r w:rsidRPr="008629EB">
        <w:rPr>
          <w:rFonts w:ascii="Times New Roman" w:hAnsi="Times New Roman" w:cs="Times New Roman"/>
          <w:sz w:val="24"/>
          <w:szCs w:val="24"/>
        </w:rPr>
        <w:t xml:space="preserve">. Available at: </w:t>
      </w:r>
      <w:hyperlink r:id="rId7" w:history="1">
        <w:r w:rsidRPr="008629EB">
          <w:rPr>
            <w:rStyle w:val="Hyperlink"/>
            <w:rFonts w:ascii="Times New Roman" w:hAnsi="Times New Roman" w:cs="Times New Roman"/>
            <w:sz w:val="24"/>
            <w:szCs w:val="24"/>
          </w:rPr>
          <w:t>https://www.astrazeneca.com/r-d/data-science-and-ai.html</w:t>
        </w:r>
      </w:hyperlink>
      <w:r w:rsidRPr="008629EB">
        <w:rPr>
          <w:rFonts w:ascii="Times New Roman" w:hAnsi="Times New Roman" w:cs="Times New Roman"/>
          <w:sz w:val="24"/>
          <w:szCs w:val="24"/>
        </w:rPr>
        <w:t xml:space="preserve"> (Accessed 11 November 2025).</w:t>
      </w:r>
    </w:p>
    <w:p w14:paraId="415E2905"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 xml:space="preserve">AstraZeneca., 2025a. </w:t>
      </w:r>
      <w:r w:rsidRPr="008629EB">
        <w:rPr>
          <w:rFonts w:ascii="Times New Roman" w:hAnsi="Times New Roman" w:cs="Times New Roman"/>
          <w:i/>
          <w:iCs/>
          <w:sz w:val="24"/>
          <w:szCs w:val="24"/>
        </w:rPr>
        <w:t xml:space="preserve">Our Company. </w:t>
      </w:r>
      <w:r w:rsidRPr="008629EB">
        <w:rPr>
          <w:rFonts w:ascii="Times New Roman" w:hAnsi="Times New Roman" w:cs="Times New Roman"/>
          <w:sz w:val="24"/>
          <w:szCs w:val="24"/>
        </w:rPr>
        <w:t xml:space="preserve">Available at: </w:t>
      </w:r>
      <w:hyperlink r:id="rId8" w:history="1">
        <w:r w:rsidRPr="008629EB">
          <w:rPr>
            <w:rStyle w:val="Hyperlink"/>
            <w:rFonts w:ascii="Times New Roman" w:hAnsi="Times New Roman" w:cs="Times New Roman"/>
            <w:sz w:val="24"/>
            <w:szCs w:val="24"/>
          </w:rPr>
          <w:t>https://www.astrazeneca.com/our-company.html</w:t>
        </w:r>
      </w:hyperlink>
      <w:r w:rsidRPr="008629EB">
        <w:rPr>
          <w:rFonts w:ascii="Times New Roman" w:hAnsi="Times New Roman" w:cs="Times New Roman"/>
          <w:sz w:val="24"/>
          <w:szCs w:val="24"/>
        </w:rPr>
        <w:t xml:space="preserve">  (Accessed 11 November 2025). </w:t>
      </w:r>
    </w:p>
    <w:p w14:paraId="54587357"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lang w:val="it-IT"/>
        </w:rPr>
        <w:t xml:space="preserve">Bettanti, A., Beccari, A.R. and Biccarino, M., 2024. </w:t>
      </w:r>
      <w:r w:rsidRPr="008629EB">
        <w:rPr>
          <w:rFonts w:ascii="Times New Roman" w:hAnsi="Times New Roman" w:cs="Times New Roman"/>
          <w:sz w:val="24"/>
          <w:szCs w:val="24"/>
        </w:rPr>
        <w:t>Exploring the future of biopharmaceutical drug discovery: can advanced AI platforms overcome current challenges? </w:t>
      </w:r>
      <w:r w:rsidRPr="008629EB">
        <w:rPr>
          <w:rFonts w:ascii="Times New Roman" w:hAnsi="Times New Roman" w:cs="Times New Roman"/>
          <w:i/>
          <w:iCs/>
          <w:sz w:val="24"/>
          <w:szCs w:val="24"/>
        </w:rPr>
        <w:t>Discover Artificial Intelligence</w:t>
      </w:r>
      <w:r w:rsidRPr="008629EB">
        <w:rPr>
          <w:rFonts w:ascii="Times New Roman" w:hAnsi="Times New Roman" w:cs="Times New Roman"/>
          <w:sz w:val="24"/>
          <w:szCs w:val="24"/>
        </w:rPr>
        <w:t>, </w:t>
      </w:r>
      <w:r w:rsidRPr="008629EB">
        <w:rPr>
          <w:rFonts w:ascii="Times New Roman" w:hAnsi="Times New Roman" w:cs="Times New Roman"/>
          <w:i/>
          <w:iCs/>
          <w:sz w:val="24"/>
          <w:szCs w:val="24"/>
        </w:rPr>
        <w:t>4</w:t>
      </w:r>
      <w:r w:rsidRPr="008629EB">
        <w:rPr>
          <w:rFonts w:ascii="Times New Roman" w:hAnsi="Times New Roman" w:cs="Times New Roman"/>
          <w:sz w:val="24"/>
          <w:szCs w:val="24"/>
        </w:rPr>
        <w:t xml:space="preserve">(1), p.102. </w:t>
      </w:r>
    </w:p>
    <w:p w14:paraId="604DB83B"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 xml:space="preserve">Buysse, K. and Essers, Dennis., 2022. Are we entering an era of deglobalisation. In: NBB economic review S.1 -34.  Available at: </w:t>
      </w:r>
      <w:hyperlink r:id="rId9" w:history="1">
        <w:r w:rsidRPr="008629EB">
          <w:rPr>
            <w:rStyle w:val="Hyperlink"/>
            <w:rFonts w:ascii="Times New Roman" w:hAnsi="Times New Roman" w:cs="Times New Roman"/>
            <w:sz w:val="24"/>
            <w:szCs w:val="24"/>
          </w:rPr>
          <w:t>https://www.nbb.be/doc/ts/publications/economicreview/2022/ecorevi2022_h17.pdf</w:t>
        </w:r>
      </w:hyperlink>
      <w:r w:rsidRPr="008629EB">
        <w:rPr>
          <w:rFonts w:ascii="Times New Roman" w:hAnsi="Times New Roman" w:cs="Times New Roman"/>
          <w:sz w:val="24"/>
          <w:szCs w:val="24"/>
        </w:rPr>
        <w:t xml:space="preserve">. (Accessed 11 November 2025). </w:t>
      </w:r>
    </w:p>
    <w:p w14:paraId="20A1914B"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 xml:space="preserve">Coalition For a Prosperous America (CPA)., 2025. </w:t>
      </w:r>
      <w:r w:rsidRPr="008629EB">
        <w:rPr>
          <w:rFonts w:ascii="Times New Roman" w:hAnsi="Times New Roman" w:cs="Times New Roman"/>
          <w:i/>
          <w:iCs/>
          <w:sz w:val="24"/>
          <w:szCs w:val="24"/>
        </w:rPr>
        <w:t>Americans Are Dangerously Dependent on Foreign-made Generic Drugs. Tariffs Can Fix That</w:t>
      </w:r>
      <w:r w:rsidRPr="008629EB">
        <w:rPr>
          <w:rFonts w:ascii="Times New Roman" w:hAnsi="Times New Roman" w:cs="Times New Roman"/>
          <w:sz w:val="24"/>
          <w:szCs w:val="24"/>
        </w:rPr>
        <w:t xml:space="preserve">. Available at: </w:t>
      </w:r>
      <w:hyperlink r:id="rId10" w:history="1">
        <w:r w:rsidRPr="008629EB">
          <w:rPr>
            <w:rStyle w:val="Hyperlink"/>
            <w:rFonts w:ascii="Times New Roman" w:hAnsi="Times New Roman" w:cs="Times New Roman"/>
            <w:sz w:val="24"/>
            <w:szCs w:val="24"/>
          </w:rPr>
          <w:t>https://prosperousamerica.org/americans-are-dangerously-dependent-on-foreign-made-generic-drugs-tariffs-can-fix-that/</w:t>
        </w:r>
      </w:hyperlink>
      <w:r w:rsidRPr="008629EB">
        <w:rPr>
          <w:rFonts w:ascii="Times New Roman" w:hAnsi="Times New Roman" w:cs="Times New Roman"/>
          <w:sz w:val="24"/>
          <w:szCs w:val="24"/>
        </w:rPr>
        <w:t xml:space="preserve"> </w:t>
      </w:r>
    </w:p>
    <w:p w14:paraId="714FA643"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lastRenderedPageBreak/>
        <w:t>Coffie, W., Aboagye-Otchere, F. and Musah, A., 2018. Corporate social responsibility disclosures (CSRD), corporate governance and the degree of multinational activities: Evidence from a developing economy. </w:t>
      </w:r>
      <w:r w:rsidRPr="008629EB">
        <w:rPr>
          <w:rFonts w:ascii="Times New Roman" w:hAnsi="Times New Roman" w:cs="Times New Roman"/>
          <w:i/>
          <w:iCs/>
          <w:sz w:val="24"/>
          <w:szCs w:val="24"/>
        </w:rPr>
        <w:t>Journal of Accounting in Emerging Economies</w:t>
      </w:r>
      <w:r w:rsidRPr="008629EB">
        <w:rPr>
          <w:rFonts w:ascii="Times New Roman" w:hAnsi="Times New Roman" w:cs="Times New Roman"/>
          <w:sz w:val="24"/>
          <w:szCs w:val="24"/>
        </w:rPr>
        <w:t>, </w:t>
      </w:r>
      <w:r w:rsidRPr="008629EB">
        <w:rPr>
          <w:rFonts w:ascii="Times New Roman" w:hAnsi="Times New Roman" w:cs="Times New Roman"/>
          <w:i/>
          <w:iCs/>
          <w:sz w:val="24"/>
          <w:szCs w:val="24"/>
        </w:rPr>
        <w:t>8</w:t>
      </w:r>
      <w:r w:rsidRPr="008629EB">
        <w:rPr>
          <w:rFonts w:ascii="Times New Roman" w:hAnsi="Times New Roman" w:cs="Times New Roman"/>
          <w:sz w:val="24"/>
          <w:szCs w:val="24"/>
        </w:rPr>
        <w:t>(1), pp.106-123.</w:t>
      </w:r>
    </w:p>
    <w:p w14:paraId="17AA4523"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Franz, C., 2017. Innovation for health: success factors for the research-based pharmaceutical industry. In </w:t>
      </w:r>
      <w:r w:rsidRPr="008629EB">
        <w:rPr>
          <w:rFonts w:ascii="Times New Roman" w:hAnsi="Times New Roman" w:cs="Times New Roman"/>
          <w:i/>
          <w:iCs/>
          <w:sz w:val="24"/>
          <w:szCs w:val="24"/>
        </w:rPr>
        <w:t>Evolving business models: How CEOs transform traditional companies</w:t>
      </w:r>
      <w:r w:rsidRPr="008629EB">
        <w:rPr>
          <w:rFonts w:ascii="Times New Roman" w:hAnsi="Times New Roman" w:cs="Times New Roman"/>
          <w:sz w:val="24"/>
          <w:szCs w:val="24"/>
        </w:rPr>
        <w:t> (pp. 93-112). Cham: Springer International Publishing.</w:t>
      </w:r>
    </w:p>
    <w:p w14:paraId="7A2B1FA9"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Gautam, A. and Pan, X., 2016. The changing model of big pharma: impact of key trends. </w:t>
      </w:r>
      <w:r w:rsidRPr="008629EB">
        <w:rPr>
          <w:rFonts w:ascii="Times New Roman" w:hAnsi="Times New Roman" w:cs="Times New Roman"/>
          <w:i/>
          <w:iCs/>
          <w:sz w:val="24"/>
          <w:szCs w:val="24"/>
        </w:rPr>
        <w:t>Drug discovery today</w:t>
      </w:r>
      <w:r w:rsidRPr="008629EB">
        <w:rPr>
          <w:rFonts w:ascii="Times New Roman" w:hAnsi="Times New Roman" w:cs="Times New Roman"/>
          <w:sz w:val="24"/>
          <w:szCs w:val="24"/>
        </w:rPr>
        <w:t>, </w:t>
      </w:r>
      <w:r w:rsidRPr="008629EB">
        <w:rPr>
          <w:rFonts w:ascii="Times New Roman" w:hAnsi="Times New Roman" w:cs="Times New Roman"/>
          <w:i/>
          <w:iCs/>
          <w:sz w:val="24"/>
          <w:szCs w:val="24"/>
        </w:rPr>
        <w:t>21</w:t>
      </w:r>
      <w:r w:rsidRPr="008629EB">
        <w:rPr>
          <w:rFonts w:ascii="Times New Roman" w:hAnsi="Times New Roman" w:cs="Times New Roman"/>
          <w:sz w:val="24"/>
          <w:szCs w:val="24"/>
        </w:rPr>
        <w:t xml:space="preserve">(3), pp.379-384. </w:t>
      </w:r>
    </w:p>
    <w:p w14:paraId="636A8F54"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Li, N. and Volgina, N.A., 2023. Development of the Pharmaceutical Industry: Current Trends and the Role of China. In </w:t>
      </w:r>
      <w:r w:rsidRPr="008629EB">
        <w:rPr>
          <w:rFonts w:ascii="Times New Roman" w:hAnsi="Times New Roman" w:cs="Times New Roman"/>
          <w:i/>
          <w:iCs/>
          <w:sz w:val="24"/>
          <w:szCs w:val="24"/>
        </w:rPr>
        <w:t>Sustainable Development Risks and Risk Management: A Systemic View from the Positions of Economics and Law</w:t>
      </w:r>
      <w:r w:rsidRPr="008629EB">
        <w:rPr>
          <w:rFonts w:ascii="Times New Roman" w:hAnsi="Times New Roman" w:cs="Times New Roman"/>
          <w:sz w:val="24"/>
          <w:szCs w:val="24"/>
        </w:rPr>
        <w:t> (pp. 125-129). Cham: Springer International Publishing.</w:t>
      </w:r>
    </w:p>
    <w:p w14:paraId="0A0969F4"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 xml:space="preserve">McKinsey &amp; Company., 2022. </w:t>
      </w:r>
      <w:r w:rsidRPr="008629EB">
        <w:rPr>
          <w:rFonts w:ascii="Times New Roman" w:hAnsi="Times New Roman" w:cs="Times New Roman"/>
          <w:i/>
          <w:iCs/>
          <w:sz w:val="24"/>
          <w:szCs w:val="24"/>
        </w:rPr>
        <w:t>AI in biopharma research: A time to focus and scale</w:t>
      </w:r>
      <w:r w:rsidRPr="008629EB">
        <w:rPr>
          <w:rFonts w:ascii="Times New Roman" w:hAnsi="Times New Roman" w:cs="Times New Roman"/>
          <w:sz w:val="24"/>
          <w:szCs w:val="24"/>
        </w:rPr>
        <w:t xml:space="preserve">. Available at: </w:t>
      </w:r>
      <w:hyperlink r:id="rId11" w:history="1">
        <w:r w:rsidRPr="008629EB">
          <w:rPr>
            <w:rStyle w:val="Hyperlink"/>
            <w:rFonts w:ascii="Times New Roman" w:hAnsi="Times New Roman" w:cs="Times New Roman"/>
            <w:sz w:val="24"/>
            <w:szCs w:val="24"/>
          </w:rPr>
          <w:t>https://www.mckinsey.com/industries/life-sciences/our-insights/ai-in-biopharma-research-a-time-to-focus-and-scale</w:t>
        </w:r>
      </w:hyperlink>
      <w:r w:rsidRPr="008629EB">
        <w:rPr>
          <w:rFonts w:ascii="Times New Roman" w:hAnsi="Times New Roman" w:cs="Times New Roman"/>
          <w:sz w:val="24"/>
          <w:szCs w:val="24"/>
        </w:rPr>
        <w:t xml:space="preserve"> (Accessed 11 November 2025). </w:t>
      </w:r>
    </w:p>
    <w:p w14:paraId="2632605A"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Palaniappan, K., Lin, E.Y.T. and Vogel, S., 2024, February. Global regulatory frameworks for the use of artificial intelligence (AI) in the healthcare services sector. In </w:t>
      </w:r>
      <w:r w:rsidRPr="008629EB">
        <w:rPr>
          <w:rFonts w:ascii="Times New Roman" w:hAnsi="Times New Roman" w:cs="Times New Roman"/>
          <w:i/>
          <w:iCs/>
          <w:sz w:val="24"/>
          <w:szCs w:val="24"/>
        </w:rPr>
        <w:t>Healthcare</w:t>
      </w:r>
      <w:r w:rsidRPr="008629EB">
        <w:rPr>
          <w:rFonts w:ascii="Times New Roman" w:hAnsi="Times New Roman" w:cs="Times New Roman"/>
          <w:sz w:val="24"/>
          <w:szCs w:val="24"/>
        </w:rPr>
        <w:t> (Vol. 12, No. 5, p. 562). MDPI.</w:t>
      </w:r>
    </w:p>
    <w:p w14:paraId="75A724B3"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Serrano, D.R., Luciano, F.C., Anaya, B.J., Ongoren, B., Kara, A., Molina, G., Ramirez, B.I., Sánchez-Guirales, S.A., Simon, J.A., Tomietto, G. and Rapti, C., 2024. Artificial intelligence (AI) applications in drug discovery and drug delivery: Revolutionizing personalized medicine. </w:t>
      </w:r>
      <w:r w:rsidRPr="008629EB">
        <w:rPr>
          <w:rFonts w:ascii="Times New Roman" w:hAnsi="Times New Roman" w:cs="Times New Roman"/>
          <w:i/>
          <w:iCs/>
          <w:sz w:val="24"/>
          <w:szCs w:val="24"/>
        </w:rPr>
        <w:t>Pharmaceutics</w:t>
      </w:r>
      <w:r w:rsidRPr="008629EB">
        <w:rPr>
          <w:rFonts w:ascii="Times New Roman" w:hAnsi="Times New Roman" w:cs="Times New Roman"/>
          <w:sz w:val="24"/>
          <w:szCs w:val="24"/>
        </w:rPr>
        <w:t>, </w:t>
      </w:r>
      <w:r w:rsidRPr="008629EB">
        <w:rPr>
          <w:rFonts w:ascii="Times New Roman" w:hAnsi="Times New Roman" w:cs="Times New Roman"/>
          <w:i/>
          <w:iCs/>
          <w:sz w:val="24"/>
          <w:szCs w:val="24"/>
        </w:rPr>
        <w:t>16</w:t>
      </w:r>
      <w:r w:rsidRPr="008629EB">
        <w:rPr>
          <w:rFonts w:ascii="Times New Roman" w:hAnsi="Times New Roman" w:cs="Times New Roman"/>
          <w:sz w:val="24"/>
          <w:szCs w:val="24"/>
        </w:rPr>
        <w:t xml:space="preserve">(10), p.1328. </w:t>
      </w:r>
    </w:p>
    <w:p w14:paraId="2837D639"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Sharma, P., Pathak, L., Doke, R. and Mane, S., 2024. Artificial Intelligence in Clinical Trials: The Present Scenario and Future Prospects. In </w:t>
      </w:r>
      <w:r w:rsidRPr="008629EB">
        <w:rPr>
          <w:rFonts w:ascii="Times New Roman" w:hAnsi="Times New Roman" w:cs="Times New Roman"/>
          <w:i/>
          <w:iCs/>
          <w:sz w:val="24"/>
          <w:szCs w:val="24"/>
        </w:rPr>
        <w:t>AI Innovations in Drug Delivery and Pharmaceutical Sciences; Advancing Therapy through Technology</w:t>
      </w:r>
      <w:r w:rsidRPr="008629EB">
        <w:rPr>
          <w:rFonts w:ascii="Times New Roman" w:hAnsi="Times New Roman" w:cs="Times New Roman"/>
          <w:sz w:val="24"/>
          <w:szCs w:val="24"/>
        </w:rPr>
        <w:t> (pp. 229-257). Bentham Science Publishers.</w:t>
      </w:r>
    </w:p>
    <w:p w14:paraId="01221177"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Sharma, R., 2025. Unveiling the effects of the Corporate Sustainability Reporting Directive (CSRD) on company sustainability reporting practices: a case of German companies. </w:t>
      </w:r>
      <w:r w:rsidRPr="008629EB">
        <w:rPr>
          <w:rFonts w:ascii="Times New Roman" w:hAnsi="Times New Roman" w:cs="Times New Roman"/>
          <w:i/>
          <w:iCs/>
          <w:sz w:val="24"/>
          <w:szCs w:val="24"/>
        </w:rPr>
        <w:t>Sustainability Accounting, Management and Policy Journal</w:t>
      </w:r>
      <w:r w:rsidRPr="008629EB">
        <w:rPr>
          <w:rFonts w:ascii="Times New Roman" w:hAnsi="Times New Roman" w:cs="Times New Roman"/>
          <w:sz w:val="24"/>
          <w:szCs w:val="24"/>
        </w:rPr>
        <w:t>.</w:t>
      </w:r>
    </w:p>
    <w:p w14:paraId="1304C405"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lastRenderedPageBreak/>
        <w:t>Taheri Hosseinkhani, N., 2025. Geopolitical Turmoil, Supply-Chain Realignment, and Inflation: Commodity Shocks, Trade Fragmentation, and Policy Responses. </w:t>
      </w:r>
      <w:r w:rsidRPr="008629EB">
        <w:rPr>
          <w:rFonts w:ascii="Times New Roman" w:hAnsi="Times New Roman" w:cs="Times New Roman"/>
          <w:i/>
          <w:iCs/>
          <w:sz w:val="24"/>
          <w:szCs w:val="24"/>
        </w:rPr>
        <w:t>Supply-Chain Realignment, and Inflation: Commodity Shocks, Trade Fragmentation, and Policy Responses (August 28, 2025)</w:t>
      </w:r>
      <w:r w:rsidRPr="008629EB">
        <w:rPr>
          <w:rFonts w:ascii="Times New Roman" w:hAnsi="Times New Roman" w:cs="Times New Roman"/>
          <w:sz w:val="24"/>
          <w:szCs w:val="24"/>
        </w:rPr>
        <w:t>.</w:t>
      </w:r>
    </w:p>
    <w:p w14:paraId="38E0B9BA"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 xml:space="preserve">TechCrunch., 2022. </w:t>
      </w:r>
      <w:r w:rsidRPr="008629EB">
        <w:rPr>
          <w:rFonts w:ascii="Times New Roman" w:hAnsi="Times New Roman" w:cs="Times New Roman"/>
          <w:i/>
          <w:iCs/>
          <w:sz w:val="24"/>
          <w:szCs w:val="24"/>
        </w:rPr>
        <w:t xml:space="preserve">AstraZeneca password lapse exposed patient data. </w:t>
      </w:r>
      <w:r w:rsidRPr="008629EB">
        <w:rPr>
          <w:rFonts w:ascii="Times New Roman" w:hAnsi="Times New Roman" w:cs="Times New Roman"/>
          <w:sz w:val="24"/>
          <w:szCs w:val="24"/>
        </w:rPr>
        <w:t xml:space="preserve">Available at: </w:t>
      </w:r>
      <w:hyperlink r:id="rId12" w:history="1">
        <w:r w:rsidRPr="008629EB">
          <w:rPr>
            <w:rStyle w:val="Hyperlink"/>
            <w:rFonts w:ascii="Times New Roman" w:hAnsi="Times New Roman" w:cs="Times New Roman"/>
            <w:sz w:val="24"/>
            <w:szCs w:val="24"/>
          </w:rPr>
          <w:t>https://techcrunch.com/2022/11/03/astrazeneca-passwords-exposed-patient-data</w:t>
        </w:r>
      </w:hyperlink>
      <w:r w:rsidRPr="008629EB">
        <w:rPr>
          <w:rFonts w:ascii="Times New Roman" w:hAnsi="Times New Roman" w:cs="Times New Roman"/>
          <w:sz w:val="24"/>
          <w:szCs w:val="24"/>
        </w:rPr>
        <w:t xml:space="preserve"> (Accessed 11 November 2025). </w:t>
      </w:r>
    </w:p>
    <w:p w14:paraId="2041E59C"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Tiwari, P.C., Pal, R., Chaudhary, M.J. and Nath, R., 2023. Artificial intelligence revolutionizing drug development: Exploring opportunities and challenges. </w:t>
      </w:r>
      <w:r w:rsidRPr="008629EB">
        <w:rPr>
          <w:rFonts w:ascii="Times New Roman" w:hAnsi="Times New Roman" w:cs="Times New Roman"/>
          <w:i/>
          <w:iCs/>
          <w:sz w:val="24"/>
          <w:szCs w:val="24"/>
        </w:rPr>
        <w:t>Drug Development Research</w:t>
      </w:r>
      <w:r w:rsidRPr="008629EB">
        <w:rPr>
          <w:rFonts w:ascii="Times New Roman" w:hAnsi="Times New Roman" w:cs="Times New Roman"/>
          <w:sz w:val="24"/>
          <w:szCs w:val="24"/>
        </w:rPr>
        <w:t>, </w:t>
      </w:r>
      <w:r w:rsidRPr="008629EB">
        <w:rPr>
          <w:rFonts w:ascii="Times New Roman" w:hAnsi="Times New Roman" w:cs="Times New Roman"/>
          <w:i/>
          <w:iCs/>
          <w:sz w:val="24"/>
          <w:szCs w:val="24"/>
        </w:rPr>
        <w:t>84</w:t>
      </w:r>
      <w:r w:rsidRPr="008629EB">
        <w:rPr>
          <w:rFonts w:ascii="Times New Roman" w:hAnsi="Times New Roman" w:cs="Times New Roman"/>
          <w:sz w:val="24"/>
          <w:szCs w:val="24"/>
        </w:rPr>
        <w:t>(8), pp.1652-1663.</w:t>
      </w:r>
    </w:p>
    <w:p w14:paraId="1B1242FA" w14:textId="77777777" w:rsidR="003B2F0C" w:rsidRPr="008629EB" w:rsidRDefault="003B2F0C" w:rsidP="003B2F0C">
      <w:pPr>
        <w:spacing w:line="360" w:lineRule="auto"/>
        <w:jc w:val="both"/>
        <w:rPr>
          <w:rFonts w:ascii="Times New Roman" w:hAnsi="Times New Roman" w:cs="Times New Roman"/>
          <w:sz w:val="24"/>
          <w:szCs w:val="24"/>
        </w:rPr>
      </w:pPr>
      <w:r w:rsidRPr="008629EB">
        <w:rPr>
          <w:rFonts w:ascii="Times New Roman" w:hAnsi="Times New Roman" w:cs="Times New Roman"/>
          <w:sz w:val="24"/>
          <w:szCs w:val="24"/>
        </w:rPr>
        <w:t xml:space="preserve">World Economic Forum., 2025. </w:t>
      </w:r>
      <w:r w:rsidRPr="008629EB">
        <w:rPr>
          <w:rFonts w:ascii="Times New Roman" w:hAnsi="Times New Roman" w:cs="Times New Roman"/>
          <w:i/>
          <w:iCs/>
          <w:sz w:val="24"/>
          <w:szCs w:val="24"/>
        </w:rPr>
        <w:t xml:space="preserve">AstraZeneca. </w:t>
      </w:r>
      <w:r w:rsidRPr="008629EB">
        <w:rPr>
          <w:rFonts w:ascii="Times New Roman" w:hAnsi="Times New Roman" w:cs="Times New Roman"/>
          <w:sz w:val="24"/>
          <w:szCs w:val="24"/>
        </w:rPr>
        <w:t xml:space="preserve">Available at: </w:t>
      </w:r>
      <w:hyperlink r:id="rId13" w:history="1">
        <w:r w:rsidRPr="008629EB">
          <w:rPr>
            <w:rStyle w:val="Hyperlink"/>
            <w:rFonts w:ascii="Times New Roman" w:hAnsi="Times New Roman" w:cs="Times New Roman"/>
            <w:sz w:val="24"/>
            <w:szCs w:val="24"/>
          </w:rPr>
          <w:t>https://www.weforum.org/organizations/astrazeneca/</w:t>
        </w:r>
      </w:hyperlink>
      <w:r w:rsidRPr="008629EB">
        <w:rPr>
          <w:rFonts w:ascii="Times New Roman" w:hAnsi="Times New Roman" w:cs="Times New Roman"/>
          <w:sz w:val="24"/>
          <w:szCs w:val="24"/>
        </w:rPr>
        <w:t xml:space="preserve"> (Accessed 11 November 2025). </w:t>
      </w:r>
    </w:p>
    <w:p w14:paraId="26A0383B" w14:textId="77777777" w:rsidR="003B2F0C" w:rsidRPr="008629EB" w:rsidRDefault="003B2F0C" w:rsidP="003B2F0C">
      <w:pPr>
        <w:spacing w:line="360" w:lineRule="auto"/>
        <w:jc w:val="both"/>
        <w:rPr>
          <w:rFonts w:ascii="Times New Roman" w:hAnsi="Times New Roman" w:cs="Times New Roman"/>
          <w:sz w:val="24"/>
          <w:szCs w:val="24"/>
        </w:rPr>
      </w:pPr>
    </w:p>
    <w:p w14:paraId="127599E7" w14:textId="77777777" w:rsidR="003B2F0C" w:rsidRDefault="003B2F0C"/>
    <w:sectPr w:rsidR="003B2F0C" w:rsidSect="00493288">
      <w:pgSz w:w="11906" w:h="16838"/>
      <w:pgMar w:top="1440" w:right="1440" w:bottom="1440" w:left="1440" w:header="170"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F0C"/>
    <w:rsid w:val="003B2F0C"/>
    <w:rsid w:val="00452629"/>
    <w:rsid w:val="00493288"/>
    <w:rsid w:val="00771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6F656"/>
  <w15:chartTrackingRefBased/>
  <w15:docId w15:val="{3E0C82CE-1701-4964-A98C-3826AFA54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F0C"/>
    <w:pPr>
      <w:spacing w:line="259" w:lineRule="auto"/>
    </w:pPr>
    <w:rPr>
      <w:sz w:val="22"/>
      <w:szCs w:val="22"/>
    </w:rPr>
  </w:style>
  <w:style w:type="paragraph" w:styleId="Heading1">
    <w:name w:val="heading 1"/>
    <w:basedOn w:val="Normal"/>
    <w:next w:val="Normal"/>
    <w:link w:val="Heading1Char"/>
    <w:uiPriority w:val="9"/>
    <w:qFormat/>
    <w:rsid w:val="003B2F0C"/>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2F0C"/>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2F0C"/>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2F0C"/>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3B2F0C"/>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3B2F0C"/>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3B2F0C"/>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3B2F0C"/>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3B2F0C"/>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F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2F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2F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2F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2F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2F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2F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2F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2F0C"/>
    <w:rPr>
      <w:rFonts w:eastAsiaTheme="majorEastAsia" w:cstheme="majorBidi"/>
      <w:color w:val="272727" w:themeColor="text1" w:themeTint="D8"/>
    </w:rPr>
  </w:style>
  <w:style w:type="paragraph" w:styleId="Title">
    <w:name w:val="Title"/>
    <w:basedOn w:val="Normal"/>
    <w:next w:val="Normal"/>
    <w:link w:val="TitleChar"/>
    <w:uiPriority w:val="10"/>
    <w:qFormat/>
    <w:rsid w:val="003B2F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2F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2F0C"/>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2F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2F0C"/>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3B2F0C"/>
    <w:rPr>
      <w:i/>
      <w:iCs/>
      <w:color w:val="404040" w:themeColor="text1" w:themeTint="BF"/>
    </w:rPr>
  </w:style>
  <w:style w:type="paragraph" w:styleId="ListParagraph">
    <w:name w:val="List Paragraph"/>
    <w:basedOn w:val="Normal"/>
    <w:uiPriority w:val="34"/>
    <w:qFormat/>
    <w:rsid w:val="003B2F0C"/>
    <w:pPr>
      <w:spacing w:line="278" w:lineRule="auto"/>
      <w:ind w:left="720"/>
      <w:contextualSpacing/>
    </w:pPr>
    <w:rPr>
      <w:sz w:val="24"/>
      <w:szCs w:val="24"/>
    </w:rPr>
  </w:style>
  <w:style w:type="character" w:styleId="IntenseEmphasis">
    <w:name w:val="Intense Emphasis"/>
    <w:basedOn w:val="DefaultParagraphFont"/>
    <w:uiPriority w:val="21"/>
    <w:qFormat/>
    <w:rsid w:val="003B2F0C"/>
    <w:rPr>
      <w:i/>
      <w:iCs/>
      <w:color w:val="0F4761" w:themeColor="accent1" w:themeShade="BF"/>
    </w:rPr>
  </w:style>
  <w:style w:type="paragraph" w:styleId="IntenseQuote">
    <w:name w:val="Intense Quote"/>
    <w:basedOn w:val="Normal"/>
    <w:next w:val="Normal"/>
    <w:link w:val="IntenseQuoteChar"/>
    <w:uiPriority w:val="30"/>
    <w:qFormat/>
    <w:rsid w:val="003B2F0C"/>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3B2F0C"/>
    <w:rPr>
      <w:i/>
      <w:iCs/>
      <w:color w:val="0F4761" w:themeColor="accent1" w:themeShade="BF"/>
    </w:rPr>
  </w:style>
  <w:style w:type="character" w:styleId="IntenseReference">
    <w:name w:val="Intense Reference"/>
    <w:basedOn w:val="DefaultParagraphFont"/>
    <w:uiPriority w:val="32"/>
    <w:qFormat/>
    <w:rsid w:val="003B2F0C"/>
    <w:rPr>
      <w:b/>
      <w:bCs/>
      <w:smallCaps/>
      <w:color w:val="0F4761" w:themeColor="accent1" w:themeShade="BF"/>
      <w:spacing w:val="5"/>
    </w:rPr>
  </w:style>
  <w:style w:type="character" w:styleId="Hyperlink">
    <w:name w:val="Hyperlink"/>
    <w:basedOn w:val="DefaultParagraphFont"/>
    <w:uiPriority w:val="99"/>
    <w:unhideWhenUsed/>
    <w:rsid w:val="003B2F0C"/>
    <w:rPr>
      <w:color w:val="467886" w:themeColor="hyperlink"/>
      <w:u w:val="single"/>
    </w:rPr>
  </w:style>
  <w:style w:type="paragraph" w:styleId="NoSpacing">
    <w:name w:val="No Spacing"/>
    <w:link w:val="NoSpacingChar"/>
    <w:uiPriority w:val="1"/>
    <w:qFormat/>
    <w:rsid w:val="003B2F0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B2F0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razeneca.com/our-company.html" TargetMode="External"/><Relationship Id="rId13" Type="http://schemas.openxmlformats.org/officeDocument/2006/relationships/hyperlink" Target="https://www.weforum.org/organizations/astrazeneca/" TargetMode="External"/><Relationship Id="rId3" Type="http://schemas.openxmlformats.org/officeDocument/2006/relationships/webSettings" Target="webSettings.xml"/><Relationship Id="rId7" Type="http://schemas.openxmlformats.org/officeDocument/2006/relationships/hyperlink" Target="https://www.astrazeneca.com/r-d/data-science-and-ai.html" TargetMode="External"/><Relationship Id="rId12" Type="http://schemas.openxmlformats.org/officeDocument/2006/relationships/hyperlink" Target="https://techcrunch.com/2022/11/03/astrazeneca-passwords-exposed-patient-dat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strazeneca.com/media-centre/press-releases/2020/astrazenecas-ambition-zero-carbon-strategy-to-eliminate-emissions-by-2025-and-be-carbon-negative-across-the-entire-value-chain-by-2030-22012020.html" TargetMode="External"/><Relationship Id="rId11" Type="http://schemas.openxmlformats.org/officeDocument/2006/relationships/hyperlink" Target="https://www.mckinsey.com/industries/life-sciences/our-insights/ai-in-biopharma-research-a-time-to-focus-and-scale" TargetMode="External"/><Relationship Id="rId5" Type="http://schemas.openxmlformats.org/officeDocument/2006/relationships/hyperlink" Target="https://www.astrazeneca.com/media-centre/press-releases/2019/astrazeneca-starts-artificial-intelligence-collaboration-to-accelerate-drug-discovery-30042019.html" TargetMode="External"/><Relationship Id="rId15" Type="http://schemas.openxmlformats.org/officeDocument/2006/relationships/theme" Target="theme/theme1.xml"/><Relationship Id="rId10" Type="http://schemas.openxmlformats.org/officeDocument/2006/relationships/hyperlink" Target="https://prosperousamerica.org/americans-are-dangerously-dependent-on-foreign-made-generic-drugs-tariffs-can-fix-that/" TargetMode="External"/><Relationship Id="rId4" Type="http://schemas.openxmlformats.org/officeDocument/2006/relationships/image" Target="media/image1.png"/><Relationship Id="rId9" Type="http://schemas.openxmlformats.org/officeDocument/2006/relationships/hyperlink" Target="https://www.nbb.be/doc/ts/publications/economicreview/2022/ecorevi2022_h17.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2865</Words>
  <Characters>16333</Characters>
  <Application>Microsoft Office Word</Application>
  <DocSecurity>0</DocSecurity>
  <Lines>136</Lines>
  <Paragraphs>38</Paragraphs>
  <ScaleCrop>false</ScaleCrop>
  <Company/>
  <LinksUpToDate>false</LinksUpToDate>
  <CharactersWithSpaces>19160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Marian-Emil Budica (2312379)</dc:creator>
  <cp:keywords/>
  <dc:description/>
  <cp:lastModifiedBy>Marian-Emil Budica (2312379)</cp:lastModifiedBy>
  <cp:revision>1</cp:revision>
  <dcterms:created xsi:type="dcterms:W3CDTF">2025-11-18T21:55:00Z</dcterms:created>
  <dcterms:modified xsi:type="dcterms:W3CDTF">2025-11-18T22:04:00Z</dcterms:modified>
</cp:coreProperties>
</file>