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71E03" w14:textId="4AD07F92"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Participant’s name (pseudonym): Ch</w:t>
      </w:r>
      <w:r w:rsidR="007C3CF7">
        <w:rPr>
          <w:rFonts w:asciiTheme="majorBidi" w:hAnsiTheme="majorBidi" w:cstheme="majorBidi"/>
          <w:b/>
          <w:bCs/>
          <w:lang w:val="en-GB"/>
        </w:rPr>
        <w:t>ris</w:t>
      </w:r>
      <w:r w:rsidRPr="003B24C9">
        <w:rPr>
          <w:rFonts w:asciiTheme="majorBidi" w:hAnsiTheme="majorBidi" w:cstheme="majorBidi"/>
          <w:lang w:val="en-GB"/>
        </w:rPr>
        <w:br/>
      </w:r>
      <w:r w:rsidRPr="003B24C9">
        <w:rPr>
          <w:rFonts w:asciiTheme="majorBidi" w:hAnsiTheme="majorBidi" w:cstheme="majorBidi"/>
          <w:b/>
          <w:bCs/>
          <w:lang w:val="en-GB"/>
        </w:rPr>
        <w:t>Age:</w:t>
      </w:r>
      <w:r w:rsidRPr="003B24C9">
        <w:rPr>
          <w:rFonts w:asciiTheme="majorBidi" w:hAnsiTheme="majorBidi" w:cstheme="majorBidi"/>
          <w:lang w:val="en-GB"/>
        </w:rPr>
        <w:t xml:space="preserve"> 46</w:t>
      </w:r>
      <w:r w:rsidRPr="003B24C9">
        <w:rPr>
          <w:rFonts w:asciiTheme="majorBidi" w:hAnsiTheme="majorBidi" w:cstheme="majorBidi"/>
          <w:lang w:val="en-GB"/>
        </w:rPr>
        <w:br/>
      </w:r>
      <w:r w:rsidRPr="003B24C9">
        <w:rPr>
          <w:rFonts w:asciiTheme="majorBidi" w:hAnsiTheme="majorBidi" w:cstheme="majorBidi"/>
          <w:b/>
          <w:bCs/>
          <w:lang w:val="en-GB"/>
        </w:rPr>
        <w:t>Ethnicity:</w:t>
      </w:r>
      <w:r w:rsidRPr="003B24C9">
        <w:rPr>
          <w:rFonts w:asciiTheme="majorBidi" w:hAnsiTheme="majorBidi" w:cstheme="majorBidi"/>
          <w:lang w:val="en-GB"/>
        </w:rPr>
        <w:t xml:space="preserve"> White British</w:t>
      </w:r>
      <w:r w:rsidRPr="003B24C9">
        <w:rPr>
          <w:rFonts w:asciiTheme="majorBidi" w:hAnsiTheme="majorBidi" w:cstheme="majorBidi"/>
          <w:lang w:val="en-GB"/>
        </w:rPr>
        <w:br/>
      </w:r>
      <w:r w:rsidRPr="003B24C9">
        <w:rPr>
          <w:rFonts w:asciiTheme="majorBidi" w:hAnsiTheme="majorBidi" w:cstheme="majorBidi"/>
          <w:b/>
          <w:bCs/>
          <w:lang w:val="en-GB"/>
        </w:rPr>
        <w:t>Practice base:</w:t>
      </w:r>
      <w:r w:rsidRPr="003B24C9">
        <w:rPr>
          <w:rFonts w:asciiTheme="majorBidi" w:hAnsiTheme="majorBidi" w:cstheme="majorBidi"/>
          <w:lang w:val="en-GB"/>
        </w:rPr>
        <w:t xml:space="preserve"> Wales (independent practice; occasional agency work)</w:t>
      </w:r>
    </w:p>
    <w:p w14:paraId="218721C6" w14:textId="3CA0A4C3"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Interviewer (I):</w:t>
      </w:r>
      <w:r w:rsidRPr="003B24C9">
        <w:rPr>
          <w:rFonts w:asciiTheme="majorBidi" w:hAnsiTheme="majorBidi" w:cstheme="majorBidi"/>
          <w:lang w:val="en-GB"/>
        </w:rPr>
        <w:t xml:space="preserve"> Thanks for speaking with me, Chris. To start us off, could you share a little about your therapeutic philosophy?</w:t>
      </w:r>
    </w:p>
    <w:p w14:paraId="582763BF" w14:textId="76659272"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Counsellor (C):</w:t>
      </w:r>
      <w:r w:rsidRPr="16CA2F8E">
        <w:rPr>
          <w:rFonts w:asciiTheme="majorBidi" w:hAnsiTheme="majorBidi" w:cstheme="majorBidi"/>
          <w:lang w:val="en-GB"/>
        </w:rPr>
        <w:t xml:space="preserve"> Thanks for having me. I’d describe myself as a humanistic integrative counsellor. The humanistic part means I hold a deep trust in the person’s capacity for growth when the relationship offers psychological safety—empathy, unconditional positive regard, and congruence. The integrative part means I’ll draw gently from other approaches where it supports the client’s process—sometimes focusing, sometimes </w:t>
      </w:r>
      <w:r w:rsidR="5B862EDA" w:rsidRPr="16CA2F8E">
        <w:rPr>
          <w:rFonts w:asciiTheme="majorBidi" w:hAnsiTheme="majorBidi" w:cstheme="majorBidi"/>
          <w:lang w:val="en-GB"/>
        </w:rPr>
        <w:t>attachment informed</w:t>
      </w:r>
      <w:r w:rsidRPr="16CA2F8E">
        <w:rPr>
          <w:rFonts w:asciiTheme="majorBidi" w:hAnsiTheme="majorBidi" w:cstheme="majorBidi"/>
          <w:lang w:val="en-GB"/>
        </w:rPr>
        <w:t xml:space="preserve"> reflections—but the compass is always the </w:t>
      </w:r>
      <w:r w:rsidR="53387371" w:rsidRPr="16CA2F8E">
        <w:rPr>
          <w:rFonts w:asciiTheme="majorBidi" w:hAnsiTheme="majorBidi" w:cstheme="majorBidi"/>
          <w:lang w:val="en-GB"/>
        </w:rPr>
        <w:t>person-centred</w:t>
      </w:r>
      <w:r w:rsidRPr="16CA2F8E">
        <w:rPr>
          <w:rFonts w:asciiTheme="majorBidi" w:hAnsiTheme="majorBidi" w:cstheme="majorBidi"/>
          <w:lang w:val="en-GB"/>
        </w:rPr>
        <w:t xml:space="preserve"> values. I try to meet the whole person, not a diagnosis, and to work relationally rather than </w:t>
      </w:r>
      <w:r w:rsidR="27D645E7" w:rsidRPr="16CA2F8E">
        <w:rPr>
          <w:rFonts w:asciiTheme="majorBidi" w:hAnsiTheme="majorBidi" w:cstheme="majorBidi"/>
          <w:lang w:val="en-GB"/>
        </w:rPr>
        <w:t>technique first</w:t>
      </w:r>
      <w:r w:rsidRPr="16CA2F8E">
        <w:rPr>
          <w:rFonts w:asciiTheme="majorBidi" w:hAnsiTheme="majorBidi" w:cstheme="majorBidi"/>
          <w:lang w:val="en-GB"/>
        </w:rPr>
        <w:t>.</w:t>
      </w:r>
    </w:p>
    <w:p w14:paraId="7A2A86C7"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Where do boundaries sit in that picture?</w:t>
      </w:r>
    </w:p>
    <w:p w14:paraId="4C816BD1" w14:textId="5B340D8A"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For me, boundaries are part of the “conditions.” They’re not rigid fences; they’re the frame that lets trust and depth develop. If clients know what to expect</w:t>
      </w:r>
      <w:r w:rsidR="6FCA4D7E" w:rsidRPr="16CA2F8E">
        <w:rPr>
          <w:rFonts w:asciiTheme="majorBidi" w:hAnsiTheme="majorBidi" w:cstheme="majorBidi"/>
          <w:lang w:val="en-GB"/>
        </w:rPr>
        <w:t xml:space="preserve">, </w:t>
      </w:r>
      <w:r w:rsidRPr="16CA2F8E">
        <w:rPr>
          <w:rFonts w:asciiTheme="majorBidi" w:hAnsiTheme="majorBidi" w:cstheme="majorBidi"/>
          <w:lang w:val="en-GB"/>
        </w:rPr>
        <w:t>how long we’re together, what confidentiality means, how to contact me and when</w:t>
      </w:r>
      <w:r w:rsidR="1B9DDD42" w:rsidRPr="16CA2F8E">
        <w:rPr>
          <w:rFonts w:asciiTheme="majorBidi" w:hAnsiTheme="majorBidi" w:cstheme="majorBidi"/>
          <w:lang w:val="en-GB"/>
        </w:rPr>
        <w:t xml:space="preserve">, </w:t>
      </w:r>
      <w:r w:rsidRPr="16CA2F8E">
        <w:rPr>
          <w:rFonts w:asciiTheme="majorBidi" w:hAnsiTheme="majorBidi" w:cstheme="majorBidi"/>
          <w:lang w:val="en-GB"/>
        </w:rPr>
        <w:t xml:space="preserve">it lowers anxiety. The paradox is that clear limits expand freedom. With a secure frame, clients take more risks to be authentic. Without it, the ground feels </w:t>
      </w:r>
      <w:r w:rsidR="59549F18" w:rsidRPr="16CA2F8E">
        <w:rPr>
          <w:rFonts w:asciiTheme="majorBidi" w:hAnsiTheme="majorBidi" w:cstheme="majorBidi"/>
          <w:lang w:val="en-GB"/>
        </w:rPr>
        <w:t>wobbly,</w:t>
      </w:r>
      <w:r w:rsidRPr="16CA2F8E">
        <w:rPr>
          <w:rFonts w:asciiTheme="majorBidi" w:hAnsiTheme="majorBidi" w:cstheme="majorBidi"/>
          <w:lang w:val="en-GB"/>
        </w:rPr>
        <w:t xml:space="preserve"> and the work can become either </w:t>
      </w:r>
      <w:r w:rsidR="01951564" w:rsidRPr="16CA2F8E">
        <w:rPr>
          <w:rFonts w:asciiTheme="majorBidi" w:hAnsiTheme="majorBidi" w:cstheme="majorBidi"/>
          <w:lang w:val="en-GB"/>
        </w:rPr>
        <w:t>over intimate</w:t>
      </w:r>
      <w:r w:rsidRPr="16CA2F8E">
        <w:rPr>
          <w:rFonts w:asciiTheme="majorBidi" w:hAnsiTheme="majorBidi" w:cstheme="majorBidi"/>
          <w:lang w:val="en-GB"/>
        </w:rPr>
        <w:t xml:space="preserve"> or avoidant.</w:t>
      </w:r>
    </w:p>
    <w:p w14:paraId="1C11FD94" w14:textId="1A5A2A18"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What does that look like when you first meet someone</w:t>
      </w:r>
      <w:r w:rsidR="770BA1BC" w:rsidRPr="16CA2F8E">
        <w:rPr>
          <w:rFonts w:asciiTheme="majorBidi" w:hAnsiTheme="majorBidi" w:cstheme="majorBidi"/>
          <w:lang w:val="en-GB"/>
        </w:rPr>
        <w:t>. H</w:t>
      </w:r>
      <w:r w:rsidRPr="16CA2F8E">
        <w:rPr>
          <w:rFonts w:asciiTheme="majorBidi" w:hAnsiTheme="majorBidi" w:cstheme="majorBidi"/>
          <w:lang w:val="en-GB"/>
        </w:rPr>
        <w:t>ow do you contract?</w:t>
      </w:r>
    </w:p>
    <w:p w14:paraId="7939E9A2" w14:textId="62D25E30"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treat contracting as part of the relationship, not a legalistic prelude. I cover the essentials: confidentiality and its limits; session length and frequency; fees and cancellation; recordkeeping; how we’ll communicate; how I store data; and what to do in crisis. But I avoid jargon and ask for their words: “What would help this feel safe?” We cocreate practical agreements: for example, “If you’re more than ten minutes late, we’ll still end on time,” or “If the technology fails, I’ll call you.” I check for cultural or access needs and explicitly invite questions. It’s collaborative and revisited as needed</w:t>
      </w:r>
      <w:r>
        <w:br/>
      </w:r>
      <w:r w:rsidRPr="16CA2F8E">
        <w:rPr>
          <w:rFonts w:asciiTheme="majorBidi" w:hAnsiTheme="majorBidi" w:cstheme="majorBidi"/>
          <w:lang w:val="en-GB"/>
        </w:rPr>
        <w:t>contracts breathe.</w:t>
      </w:r>
    </w:p>
    <w:p w14:paraId="3DC4E802"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Time boundaries come up a lot for students. How do you experience them?</w:t>
      </w:r>
    </w:p>
    <w:p w14:paraId="5952C3A4" w14:textId="0841999F"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Time is a big teacher. I mark the </w:t>
      </w:r>
      <w:r w:rsidR="0C4694AE" w:rsidRPr="16CA2F8E">
        <w:rPr>
          <w:rFonts w:asciiTheme="majorBidi" w:hAnsiTheme="majorBidi" w:cstheme="majorBidi"/>
          <w:lang w:val="en-GB"/>
        </w:rPr>
        <w:t>beginning, perhaps</w:t>
      </w:r>
      <w:r w:rsidRPr="16CA2F8E">
        <w:rPr>
          <w:rFonts w:asciiTheme="majorBidi" w:hAnsiTheme="majorBidi" w:cstheme="majorBidi"/>
          <w:lang w:val="en-GB"/>
        </w:rPr>
        <w:t xml:space="preserve"> a short grounding or a simple, “How are you arriving?”—and I flag the ending with five minutes to go. Those rituals help clients anticipate closure. If someone arrives late, we still end on time; it’s not punitive, it’s consistent. If a disclosure lands at 59 minutes, I’ll attune to the feeling</w:t>
      </w:r>
      <w:r w:rsidR="4CF1EF43" w:rsidRPr="16CA2F8E">
        <w:rPr>
          <w:rFonts w:asciiTheme="majorBidi" w:hAnsiTheme="majorBidi" w:cstheme="majorBidi"/>
          <w:lang w:val="en-GB"/>
        </w:rPr>
        <w:t xml:space="preserve">. </w:t>
      </w:r>
      <w:r w:rsidRPr="16CA2F8E">
        <w:rPr>
          <w:rFonts w:asciiTheme="majorBidi" w:hAnsiTheme="majorBidi" w:cstheme="majorBidi"/>
          <w:lang w:val="en-GB"/>
        </w:rPr>
        <w:t>“</w:t>
      </w:r>
      <w:r w:rsidR="5A849817" w:rsidRPr="16CA2F8E">
        <w:rPr>
          <w:rFonts w:asciiTheme="majorBidi" w:hAnsiTheme="majorBidi" w:cstheme="majorBidi"/>
          <w:lang w:val="en-GB"/>
        </w:rPr>
        <w:t>These matters</w:t>
      </w:r>
      <w:r w:rsidRPr="16CA2F8E">
        <w:rPr>
          <w:rFonts w:asciiTheme="majorBidi" w:hAnsiTheme="majorBidi" w:cstheme="majorBidi"/>
          <w:lang w:val="en-GB"/>
        </w:rPr>
        <w:t xml:space="preserve">; let’s name it and pick it up next time”—rather than diving in and overrunning. Occasionally I might allow a minute to settle if we’ve touched something raw, but I name it as a </w:t>
      </w:r>
      <w:r w:rsidR="7DDEFC0B" w:rsidRPr="16CA2F8E">
        <w:rPr>
          <w:rFonts w:asciiTheme="majorBidi" w:hAnsiTheme="majorBidi" w:cstheme="majorBidi"/>
          <w:lang w:val="en-GB"/>
        </w:rPr>
        <w:t>one off</w:t>
      </w:r>
      <w:r w:rsidRPr="16CA2F8E">
        <w:rPr>
          <w:rFonts w:asciiTheme="majorBidi" w:hAnsiTheme="majorBidi" w:cstheme="majorBidi"/>
          <w:lang w:val="en-GB"/>
        </w:rPr>
        <w:t>. Consistency builds reliability; selective flexibility shows humanity.</w:t>
      </w:r>
    </w:p>
    <w:p w14:paraId="572846D0"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Can you share a moment when time became a live boundary in the work?</w:t>
      </w:r>
    </w:p>
    <w:p w14:paraId="6A978062" w14:textId="5E4869FF"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worked with a client who often tested endings</w:t>
      </w:r>
      <w:r w:rsidR="063E4555" w:rsidRPr="16CA2F8E">
        <w:rPr>
          <w:rFonts w:asciiTheme="majorBidi" w:hAnsiTheme="majorBidi" w:cstheme="majorBidi"/>
          <w:lang w:val="en-GB"/>
        </w:rPr>
        <w:t xml:space="preserve">, </w:t>
      </w:r>
      <w:r w:rsidRPr="16CA2F8E">
        <w:rPr>
          <w:rFonts w:asciiTheme="majorBidi" w:hAnsiTheme="majorBidi" w:cstheme="majorBidi"/>
          <w:lang w:val="en-GB"/>
        </w:rPr>
        <w:t>sharing something significant right as I signalled time. Instead of shaming or rescuing, we became curious. What did endings evoke? For them, endings had meant abandonment. Over weeks, we practiced noticing the feelings that surfaced at the time signal and building a bridge to the next session</w:t>
      </w:r>
      <w:r w:rsidR="17C7C733" w:rsidRPr="16CA2F8E">
        <w:rPr>
          <w:rFonts w:asciiTheme="majorBidi" w:hAnsiTheme="majorBidi" w:cstheme="majorBidi"/>
          <w:lang w:val="en-GB"/>
        </w:rPr>
        <w:t xml:space="preserve">, </w:t>
      </w:r>
      <w:r w:rsidRPr="16CA2F8E">
        <w:rPr>
          <w:rFonts w:asciiTheme="majorBidi" w:hAnsiTheme="majorBidi" w:cstheme="majorBidi"/>
          <w:lang w:val="en-GB"/>
        </w:rPr>
        <w:t xml:space="preserve">sometimes a written note, sometimes a </w:t>
      </w:r>
      <w:r w:rsidR="17A2DCB4" w:rsidRPr="16CA2F8E">
        <w:rPr>
          <w:rFonts w:asciiTheme="majorBidi" w:hAnsiTheme="majorBidi" w:cstheme="majorBidi"/>
          <w:lang w:val="en-GB"/>
        </w:rPr>
        <w:t>one-line</w:t>
      </w:r>
      <w:r w:rsidRPr="16CA2F8E">
        <w:rPr>
          <w:rFonts w:asciiTheme="majorBidi" w:hAnsiTheme="majorBidi" w:cstheme="majorBidi"/>
          <w:lang w:val="en-GB"/>
        </w:rPr>
        <w:t xml:space="preserve"> </w:t>
      </w:r>
      <w:r w:rsidRPr="16CA2F8E">
        <w:rPr>
          <w:rFonts w:asciiTheme="majorBidi" w:hAnsiTheme="majorBidi" w:cstheme="majorBidi"/>
          <w:lang w:val="en-GB"/>
        </w:rPr>
        <w:lastRenderedPageBreak/>
        <w:t>intention. The boundary stopped being a rejection and became part of the therapy: a chance to experience a safe, predictable ending.</w:t>
      </w:r>
    </w:p>
    <w:p w14:paraId="5125302E" w14:textId="24A50A03"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about physical space</w:t>
      </w:r>
      <w:r w:rsidR="53528BBB" w:rsidRPr="16CA2F8E">
        <w:rPr>
          <w:rFonts w:asciiTheme="majorBidi" w:hAnsiTheme="majorBidi" w:cstheme="majorBidi"/>
          <w:lang w:val="en-GB"/>
        </w:rPr>
        <w:t xml:space="preserve">, </w:t>
      </w:r>
      <w:r w:rsidRPr="16CA2F8E">
        <w:rPr>
          <w:rFonts w:asciiTheme="majorBidi" w:hAnsiTheme="majorBidi" w:cstheme="majorBidi"/>
          <w:lang w:val="en-GB"/>
        </w:rPr>
        <w:t>room layout, proximity, touch?</w:t>
      </w:r>
    </w:p>
    <w:p w14:paraId="58643D11" w14:textId="6EAEEC42"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pay attention to the felt sense of the room. Chairs at a comfortable angle, tissues in reach, water offered but not pushed, light that isn’t harsh. I sit grounded, feet on the floor, so my nervous system is settled. Regarding touch: my default is no touch, because the meaning of touch is complex, especially in trauma. If someone asks for a handshake at the end, I check in</w:t>
      </w:r>
      <w:r w:rsidR="467B7578" w:rsidRPr="16CA2F8E">
        <w:rPr>
          <w:rFonts w:asciiTheme="majorBidi" w:hAnsiTheme="majorBidi" w:cstheme="majorBidi"/>
          <w:lang w:val="en-GB"/>
        </w:rPr>
        <w:t xml:space="preserve">, </w:t>
      </w:r>
      <w:r w:rsidR="3CCEFBE2" w:rsidRPr="16CA2F8E">
        <w:rPr>
          <w:rFonts w:asciiTheme="majorBidi" w:hAnsiTheme="majorBidi" w:cstheme="majorBidi"/>
          <w:lang w:val="en-GB"/>
        </w:rPr>
        <w:t>— “</w:t>
      </w:r>
      <w:r w:rsidRPr="16CA2F8E">
        <w:rPr>
          <w:rFonts w:asciiTheme="majorBidi" w:hAnsiTheme="majorBidi" w:cstheme="majorBidi"/>
          <w:lang w:val="en-GB"/>
        </w:rPr>
        <w:t>Would that feel supportive for you?”</w:t>
      </w:r>
      <w:r w:rsidR="01FC7993" w:rsidRPr="16CA2F8E">
        <w:rPr>
          <w:rFonts w:asciiTheme="majorBidi" w:hAnsiTheme="majorBidi" w:cstheme="majorBidi"/>
          <w:lang w:val="en-GB"/>
        </w:rPr>
        <w:t xml:space="preserve">, </w:t>
      </w:r>
      <w:r w:rsidRPr="16CA2F8E">
        <w:rPr>
          <w:rFonts w:asciiTheme="majorBidi" w:hAnsiTheme="majorBidi" w:cstheme="majorBidi"/>
          <w:lang w:val="en-GB"/>
        </w:rPr>
        <w:t>and I track consent in the moment and across sessions. In humanistic work we’re embodied, but touch isn’t the only path to embodiment. Attunement</w:t>
      </w:r>
      <w:r w:rsidR="1BE5480C" w:rsidRPr="16CA2F8E">
        <w:rPr>
          <w:rFonts w:asciiTheme="majorBidi" w:hAnsiTheme="majorBidi" w:cstheme="majorBidi"/>
          <w:lang w:val="en-GB"/>
        </w:rPr>
        <w:t xml:space="preserve">, </w:t>
      </w:r>
      <w:r w:rsidRPr="16CA2F8E">
        <w:rPr>
          <w:rFonts w:asciiTheme="majorBidi" w:hAnsiTheme="majorBidi" w:cstheme="majorBidi"/>
          <w:lang w:val="en-GB"/>
        </w:rPr>
        <w:t>eye contact negotiated, voice tone, pacing—often does the work more safely.</w:t>
      </w:r>
    </w:p>
    <w:p w14:paraId="1887ABA4"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You mentioned digital boundaries. What’s your approach?</w:t>
      </w:r>
    </w:p>
    <w:p w14:paraId="01E7CD40" w14:textId="536404B5"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keep it simple and transparent. I don’t use WhatsApp with clients; we stick to email for scheduling and the therapy platform for sessions. I don’t accept social media requests, and my profiles are private. I clarify response times—within 24–48 hours on working days—and that I don’t offer crisis cover. We agree an emergency pathway (GP, out</w:t>
      </w:r>
      <w:r w:rsidR="70EB17A1" w:rsidRPr="16CA2F8E">
        <w:rPr>
          <w:rFonts w:asciiTheme="majorBidi" w:hAnsiTheme="majorBidi" w:cstheme="majorBidi"/>
          <w:lang w:val="en-GB"/>
        </w:rPr>
        <w:t>-</w:t>
      </w:r>
      <w:r w:rsidRPr="16CA2F8E">
        <w:rPr>
          <w:rFonts w:asciiTheme="majorBidi" w:hAnsiTheme="majorBidi" w:cstheme="majorBidi"/>
          <w:lang w:val="en-GB"/>
        </w:rPr>
        <w:t>of</w:t>
      </w:r>
      <w:r w:rsidR="7B852598" w:rsidRPr="16CA2F8E">
        <w:rPr>
          <w:rFonts w:asciiTheme="majorBidi" w:hAnsiTheme="majorBidi" w:cstheme="majorBidi"/>
          <w:lang w:val="en-GB"/>
        </w:rPr>
        <w:t>-</w:t>
      </w:r>
      <w:r w:rsidRPr="16CA2F8E">
        <w:rPr>
          <w:rFonts w:asciiTheme="majorBidi" w:hAnsiTheme="majorBidi" w:cstheme="majorBidi"/>
          <w:lang w:val="en-GB"/>
        </w:rPr>
        <w:t>hours services, Samaritans, relevant local crisis lines). If someone emails something therapeutically important, I acknowledge receipt but hold the processing until the session. That protects the therapeutic frame and my own capacity.</w:t>
      </w:r>
    </w:p>
    <w:p w14:paraId="34B9D423" w14:textId="3439E4E4"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w:t>
      </w:r>
      <w:r w:rsidR="2DACB606" w:rsidRPr="16CA2F8E">
        <w:rPr>
          <w:rFonts w:asciiTheme="majorBidi" w:hAnsiTheme="majorBidi" w:cstheme="majorBidi"/>
          <w:lang w:val="en-GB"/>
        </w:rPr>
        <w:t>Self disclosure</w:t>
      </w:r>
      <w:r w:rsidRPr="16CA2F8E">
        <w:rPr>
          <w:rFonts w:asciiTheme="majorBidi" w:hAnsiTheme="majorBidi" w:cstheme="majorBidi"/>
          <w:lang w:val="en-GB"/>
        </w:rPr>
        <w:t xml:space="preserve"> is a frequent grey area. How do you decide?</w:t>
      </w:r>
    </w:p>
    <w:p w14:paraId="613238F8" w14:textId="66B57CCA"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check three things. First, intention: is the disclosure in service of the client, or is it to ease my own discomfort? Second, proportionality: the smallest bit that could help. Third, timing: is the relationship strong enough to hold it? For instance, if a client feels isolated, I might disclose that I understand the terrain of loneliness, without details. Humanistic congruence isn’t a floodlight; it’s a carefully aimed lamp. And if I do disclose, we explore its impact—was it helpful, distracting, too much? The feedback loop is part of boundary practice.</w:t>
      </w:r>
    </w:p>
    <w:p w14:paraId="5EC072EF"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Money and cancellations can feel awkward. How do you hold those?</w:t>
      </w:r>
    </w:p>
    <w:p w14:paraId="180629CC" w14:textId="2AB916B2"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Money is relational, too. I state my fee and give the rationale—training, supervision, room hire, the value of consistent care. My cancellation policy is 48 hours; outside that window the fee is usually due, with discretion for emergencies. If someone faces hardship, we talk; I hold a few </w:t>
      </w:r>
      <w:r w:rsidR="26DC64B8" w:rsidRPr="16CA2F8E">
        <w:rPr>
          <w:rFonts w:asciiTheme="majorBidi" w:hAnsiTheme="majorBidi" w:cstheme="majorBidi"/>
          <w:lang w:val="en-GB"/>
        </w:rPr>
        <w:t>reduced fee</w:t>
      </w:r>
      <w:r w:rsidRPr="16CA2F8E">
        <w:rPr>
          <w:rFonts w:asciiTheme="majorBidi" w:hAnsiTheme="majorBidi" w:cstheme="majorBidi"/>
          <w:lang w:val="en-GB"/>
        </w:rPr>
        <w:t xml:space="preserve"> slots and review periodically to keep it sustainable. I invoice on the same day each month so it’s predictable. When a payment is missed, I raise it plainly and kindly. Clarity prevents shame and resentment from silently eroding the alliance.</w:t>
      </w:r>
    </w:p>
    <w:p w14:paraId="6642ED84" w14:textId="41D664AC"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Gifts?</w:t>
      </w:r>
    </w:p>
    <w:p w14:paraId="309ECC1A"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I don’t encourage gifts, but it happens—especially around endings. I tend to decline anything of monetary value and talk about what the gift symbolises. If it’s something modest—a card they’ve made, a small plant—I’ll consider accepting and we’ll reflect on the meaning. The boundary is less about a rule and more about what serves the relationship and avoids unintended obligations.</w:t>
      </w:r>
    </w:p>
    <w:p w14:paraId="5708D18B" w14:textId="77777777" w:rsidR="00585FA4" w:rsidRPr="003B24C9" w:rsidRDefault="00585FA4" w:rsidP="00585FA4">
      <w:pPr>
        <w:rPr>
          <w:rFonts w:asciiTheme="majorBidi" w:hAnsiTheme="majorBidi" w:cstheme="majorBidi"/>
          <w:lang w:val="en-GB"/>
        </w:rPr>
      </w:pPr>
    </w:p>
    <w:p w14:paraId="085BA202"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Dual relationships are hard to avoid in smaller communities. How do you navigate that in Wales?</w:t>
      </w:r>
    </w:p>
    <w:p w14:paraId="3E62D868" w14:textId="7450F62A"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lastRenderedPageBreak/>
        <w:t>C:</w:t>
      </w:r>
      <w:r w:rsidRPr="16CA2F8E">
        <w:rPr>
          <w:rFonts w:asciiTheme="majorBidi" w:hAnsiTheme="majorBidi" w:cstheme="majorBidi"/>
          <w:lang w:val="en-GB"/>
        </w:rPr>
        <w:t xml:space="preserve"> It’s real. I’ve bumped into clients at the supermarket, or we’ve had mutual acquaintances. I anticipate it in contracting: “If we see each other out, I’ll take your lead—you can choose whether to acknowledge me.” If a dual relationship risk emerges</w:t>
      </w:r>
      <w:r w:rsidR="7D53BAE2" w:rsidRPr="16CA2F8E">
        <w:rPr>
          <w:rFonts w:asciiTheme="majorBidi" w:hAnsiTheme="majorBidi" w:cstheme="majorBidi"/>
          <w:lang w:val="en-GB"/>
        </w:rPr>
        <w:t xml:space="preserve">, </w:t>
      </w:r>
      <w:r w:rsidRPr="16CA2F8E">
        <w:rPr>
          <w:rFonts w:asciiTheme="majorBidi" w:hAnsiTheme="majorBidi" w:cstheme="majorBidi"/>
          <w:lang w:val="en-GB"/>
        </w:rPr>
        <w:t>say, a potential referral from a colleague’s partner—we think through the power dynamics and confidentiality. Sometimes it’s manageable with transparency; sometimes it’s not and I’ll signpost to another counsellor. The humanistic piece is honesty and client choice, anchored by ethics.</w:t>
      </w:r>
    </w:p>
    <w:p w14:paraId="46BC5653" w14:textId="628881A4"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do you approach cultural and relational styles around boundaries?</w:t>
      </w:r>
    </w:p>
    <w:p w14:paraId="424899D3" w14:textId="4FB0D80B"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try not to universalise my own norms. Some clients come from collectivist backgrounds where care looks more interwoven; others prefer formality. I ask: “What helps you feel respected here? What would feel too distant, or too close?” I pay attention to language</w:t>
      </w:r>
      <w:r w:rsidR="07028E6C" w:rsidRPr="16CA2F8E">
        <w:rPr>
          <w:rFonts w:asciiTheme="majorBidi" w:hAnsiTheme="majorBidi" w:cstheme="majorBidi"/>
          <w:lang w:val="en-GB"/>
        </w:rPr>
        <w:t xml:space="preserve">, </w:t>
      </w:r>
      <w:r w:rsidRPr="16CA2F8E">
        <w:rPr>
          <w:rFonts w:asciiTheme="majorBidi" w:hAnsiTheme="majorBidi" w:cstheme="majorBidi"/>
          <w:lang w:val="en-GB"/>
        </w:rPr>
        <w:t>terms like “homework” can feel directive; “experiments” or “invitations” can feel more collaborative. Boundary work is always relational; culture is part of that relationship.</w:t>
      </w:r>
    </w:p>
    <w:p w14:paraId="76420E2A"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Could you share a composite vignette that illustrates boundary work from a humanistic lens?</w:t>
      </w:r>
    </w:p>
    <w:p w14:paraId="5F264B48" w14:textId="76FF2DCD"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Sure. Imagine “Alys,” late 20s, grew up with blurred boundaries—parentification, emotional enmeshment. In therapy, Alys often apologises for taking up space and asks for reassurance between sessions. The work begins with explicit safety: session structure, how to reach me, what to expect if I’m on leave. In the room I track her body—shallow breath at endings, gaze dropping when asking for reassurance. Rather than supplying reassurance on demand, I meet the need underneath: “I’m hearing the fear that I’ll vanish between sessions—can we stay with that together?” Over months, we practice tolerating the gap between sessions with tiny anchors: jotting a sentence at the end about what she’ll return to, agreeing a grounding practice she can use, and normalising that she can email to reschedule but not for ongoing therapeutic dialogue. The boundary becomes a live curriculum in </w:t>
      </w:r>
      <w:r w:rsidR="0E906DC4" w:rsidRPr="16CA2F8E">
        <w:rPr>
          <w:rFonts w:asciiTheme="majorBidi" w:hAnsiTheme="majorBidi" w:cstheme="majorBidi"/>
          <w:lang w:val="en-GB"/>
        </w:rPr>
        <w:t>self-trust</w:t>
      </w:r>
      <w:r w:rsidRPr="16CA2F8E">
        <w:rPr>
          <w:rFonts w:asciiTheme="majorBidi" w:hAnsiTheme="majorBidi" w:cstheme="majorBidi"/>
          <w:lang w:val="en-GB"/>
        </w:rPr>
        <w:t>. Her growth shows up when she says “no” to extra shifts and when she can feel the urge to text me and choose to journal instead. It’s slow, tender work.</w:t>
      </w:r>
    </w:p>
    <w:p w14:paraId="648DA0C1" w14:textId="1A24FC77"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do you repair when you get a boundary wrong?</w:t>
      </w:r>
    </w:p>
    <w:p w14:paraId="12F3A504" w14:textId="4F66071D"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With humility and speed. If I’ve been too flexible or too firm, I name it: “I realise I extended last week’s session and that may have muddied the waters. I’m sorry—that’s on me. Can we talk about how it landed?” Humanistic counselling values congruence; repair depends on it. Clients don’t need perfection; they need to know the relationship can hold mistakes. Repair often deepens trust more than perfect adherence would have.</w:t>
      </w:r>
    </w:p>
    <w:p w14:paraId="280E5250" w14:textId="19986E97"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Endings</w:t>
      </w:r>
      <w:r w:rsidR="1168C822" w:rsidRPr="16CA2F8E">
        <w:rPr>
          <w:rFonts w:asciiTheme="majorBidi" w:hAnsiTheme="majorBidi" w:cstheme="majorBidi"/>
          <w:lang w:val="en-GB"/>
        </w:rPr>
        <w:t xml:space="preserve">, </w:t>
      </w:r>
      <w:r w:rsidRPr="16CA2F8E">
        <w:rPr>
          <w:rFonts w:asciiTheme="majorBidi" w:hAnsiTheme="majorBidi" w:cstheme="majorBidi"/>
          <w:lang w:val="en-GB"/>
        </w:rPr>
        <w:t>planned and unplanned</w:t>
      </w:r>
      <w:r w:rsidR="4FA1EB02" w:rsidRPr="16CA2F8E">
        <w:rPr>
          <w:rFonts w:asciiTheme="majorBidi" w:hAnsiTheme="majorBidi" w:cstheme="majorBidi"/>
          <w:lang w:val="en-GB"/>
        </w:rPr>
        <w:t xml:space="preserve">, </w:t>
      </w:r>
      <w:r w:rsidRPr="16CA2F8E">
        <w:rPr>
          <w:rFonts w:asciiTheme="majorBidi" w:hAnsiTheme="majorBidi" w:cstheme="majorBidi"/>
          <w:lang w:val="en-GB"/>
        </w:rPr>
        <w:t>are another hot topic. How do you work with them?</w:t>
      </w:r>
    </w:p>
    <w:p w14:paraId="521E6500" w14:textId="5DFA7A84"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introduce endings early as part of safety: therapy has a beginning, a middle, and an end; we’ll plan endings where possible. As we approach closure, we review the journey: what they’re taking with them, what remains tender, what supports are in place. Some clients like a letter at the end summarising themes and strengths; others prefer simply to name it in the room. If the ending is unplanned—illness, relocation—we attend to the grief and try to create a transitional session if feasible. The boundary here is containment; good endings model that relationships can close with care.</w:t>
      </w:r>
    </w:p>
    <w:p w14:paraId="73159866"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What about breaks and holidays?</w:t>
      </w:r>
    </w:p>
    <w:p w14:paraId="1E84745F"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I give notice of breaks as early as I can and we talk about how to manage the gap. Some clients want a plan—journalling prompts, grounding practices; others simply want acknowledgement that the </w:t>
      </w:r>
      <w:r w:rsidRPr="003B24C9">
        <w:rPr>
          <w:rFonts w:asciiTheme="majorBidi" w:hAnsiTheme="majorBidi" w:cstheme="majorBidi"/>
          <w:lang w:val="en-GB"/>
        </w:rPr>
        <w:lastRenderedPageBreak/>
        <w:t>break may stir feelings. I hold my own boundary not to respond to emails when I’m away and I signpost again to crisis services. Predictability reduces rupture.</w:t>
      </w:r>
    </w:p>
    <w:p w14:paraId="423D7E5F" w14:textId="56F61D33"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does supervision feature in boundary work?</w:t>
      </w:r>
    </w:p>
    <w:p w14:paraId="4C25D8E7" w14:textId="4A071B39"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Supervision is where I </w:t>
      </w:r>
      <w:r w:rsidR="69E85933" w:rsidRPr="16CA2F8E">
        <w:rPr>
          <w:rFonts w:asciiTheme="majorBidi" w:hAnsiTheme="majorBidi" w:cstheme="majorBidi"/>
          <w:lang w:val="en-GB"/>
        </w:rPr>
        <w:t>reality check</w:t>
      </w:r>
      <w:r w:rsidRPr="16CA2F8E">
        <w:rPr>
          <w:rFonts w:asciiTheme="majorBidi" w:hAnsiTheme="majorBidi" w:cstheme="majorBidi"/>
          <w:lang w:val="en-GB"/>
        </w:rPr>
        <w:t xml:space="preserve"> my judgments and tend my own edges. If I feel unusually compelled to bend a boundary—or irritated by a client’s testing—I’ll take it to supervision and explore what’s mine. Am I tired? Is there an echo of my personal history? Humanistic practice asks for </w:t>
      </w:r>
      <w:r w:rsidR="6BE9E83F" w:rsidRPr="16CA2F8E">
        <w:rPr>
          <w:rFonts w:asciiTheme="majorBidi" w:hAnsiTheme="majorBidi" w:cstheme="majorBidi"/>
          <w:lang w:val="en-GB"/>
        </w:rPr>
        <w:t>self-awareness</w:t>
      </w:r>
      <w:r w:rsidRPr="16CA2F8E">
        <w:rPr>
          <w:rFonts w:asciiTheme="majorBidi" w:hAnsiTheme="majorBidi" w:cstheme="majorBidi"/>
          <w:lang w:val="en-GB"/>
        </w:rPr>
        <w:t>; supervision protects the client and me. It’s also a place to celebrate holding a tricky boundary with warmth.</w:t>
      </w:r>
    </w:p>
    <w:p w14:paraId="6BBBFA91" w14:textId="5E0B136F"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Has remote work changed your boundary landscape?</w:t>
      </w:r>
    </w:p>
    <w:p w14:paraId="7E3EB759" w14:textId="52AB5BF6"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Definitely. We lose some of the natural cues of the therapy room. So we cocreate a virtual frame: privacy at their end, headphones, notifications off, camera placement, a backup plan if the internet fails. I’m intentional about onscreen presence—no multitasking, steady gaze—but I also check preferences: some clients regulate better with the camera slightly off to the side. I end on time even if the platform drops and we reconnect; </w:t>
      </w:r>
      <w:r w:rsidR="430D6E30" w:rsidRPr="16CA2F8E">
        <w:rPr>
          <w:rFonts w:asciiTheme="majorBidi" w:hAnsiTheme="majorBidi" w:cstheme="majorBidi"/>
          <w:lang w:val="en-GB"/>
        </w:rPr>
        <w:t>otherwise,</w:t>
      </w:r>
      <w:r w:rsidRPr="16CA2F8E">
        <w:rPr>
          <w:rFonts w:asciiTheme="majorBidi" w:hAnsiTheme="majorBidi" w:cstheme="majorBidi"/>
          <w:lang w:val="en-GB"/>
        </w:rPr>
        <w:t xml:space="preserve"> online work can drift. After sessions I take a screen break; that’s a </w:t>
      </w:r>
      <w:r w:rsidR="6FC2D74F" w:rsidRPr="16CA2F8E">
        <w:rPr>
          <w:rFonts w:asciiTheme="majorBidi" w:hAnsiTheme="majorBidi" w:cstheme="majorBidi"/>
          <w:lang w:val="en-GB"/>
        </w:rPr>
        <w:t>self-boundary</w:t>
      </w:r>
      <w:r w:rsidRPr="16CA2F8E">
        <w:rPr>
          <w:rFonts w:asciiTheme="majorBidi" w:hAnsiTheme="majorBidi" w:cstheme="majorBidi"/>
          <w:lang w:val="en-GB"/>
        </w:rPr>
        <w:t>.</w:t>
      </w:r>
    </w:p>
    <w:p w14:paraId="470CC65F"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You mentioned safeguarding and confidentiality earlier. How do you talk about limits without scaring people off?</w:t>
      </w:r>
    </w:p>
    <w:p w14:paraId="5022F9DC"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Plain language and care. I might say, “What you share is confidential. The main exceptions are if there’s a risk of serious harm to you or someone else, or if I’m legally required. If I ever felt we were near that line, I’d try to talk to you about it.” I also explain supervision and minimal record</w:t>
      </w:r>
      <w:r w:rsidRPr="003B24C9">
        <w:rPr>
          <w:rFonts w:asciiTheme="majorBidi" w:hAnsiTheme="majorBidi" w:cstheme="majorBidi"/>
          <w:lang w:val="en-GB"/>
        </w:rPr>
        <w:noBreakHyphen/>
        <w:t>keeping. The message is: I’m on your side, and here’s how I keep you safe.</w:t>
      </w:r>
    </w:p>
    <w:p w14:paraId="4E2D80D8" w14:textId="500B2BED"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Some students wonder how to respond to frequent </w:t>
      </w:r>
      <w:r w:rsidR="48500DA0" w:rsidRPr="16CA2F8E">
        <w:rPr>
          <w:rFonts w:asciiTheme="majorBidi" w:hAnsiTheme="majorBidi" w:cstheme="majorBidi"/>
          <w:lang w:val="en-GB"/>
        </w:rPr>
        <w:t>between session</w:t>
      </w:r>
      <w:r w:rsidRPr="16CA2F8E">
        <w:rPr>
          <w:rFonts w:asciiTheme="majorBidi" w:hAnsiTheme="majorBidi" w:cstheme="majorBidi"/>
          <w:lang w:val="en-GB"/>
        </w:rPr>
        <w:t xml:space="preserve"> messages. Could you walk through your approach?</w:t>
      </w:r>
    </w:p>
    <w:p w14:paraId="2BF54A84" w14:textId="5EABED5A"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First I check the function of the messages</w:t>
      </w:r>
      <w:r w:rsidR="5BBC148B" w:rsidRPr="16CA2F8E">
        <w:rPr>
          <w:rFonts w:asciiTheme="majorBidi" w:hAnsiTheme="majorBidi" w:cstheme="majorBidi"/>
          <w:lang w:val="en-GB"/>
        </w:rPr>
        <w:t xml:space="preserve">: </w:t>
      </w:r>
      <w:r w:rsidRPr="16CA2F8E">
        <w:rPr>
          <w:rFonts w:asciiTheme="majorBidi" w:hAnsiTheme="majorBidi" w:cstheme="majorBidi"/>
          <w:lang w:val="en-GB"/>
        </w:rPr>
        <w:t>are they seeking regulation, reassurance, or influence over me? I respond once with empathy and a boundary: “Thanks for sharing this—it sounds hard. I’ll hold it for our session on Tuesday.” Then I bring the pattern into the room: “I notice messaging helps in the moment; does it help longer</w:t>
      </w:r>
      <w:r w:rsidR="382113C1" w:rsidRPr="16CA2F8E">
        <w:rPr>
          <w:rFonts w:asciiTheme="majorBidi" w:hAnsiTheme="majorBidi" w:cstheme="majorBidi"/>
          <w:lang w:val="en-GB"/>
        </w:rPr>
        <w:t xml:space="preserve"> </w:t>
      </w:r>
      <w:r w:rsidRPr="16CA2F8E">
        <w:rPr>
          <w:rFonts w:asciiTheme="majorBidi" w:hAnsiTheme="majorBidi" w:cstheme="majorBidi"/>
          <w:lang w:val="en-GB"/>
        </w:rPr>
        <w:t>term?” We might codesign alternatives—writing to themselves, a coping card—so the need is met without me becoming the regulator. If the messages escalate, I’ll restate the boundary and explore what’s stirring it. The point isn’t to block; it’s to transform.</w:t>
      </w:r>
    </w:p>
    <w:p w14:paraId="7C387D6B" w14:textId="01CD55B9"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What’s flexible and what’s </w:t>
      </w:r>
      <w:r w:rsidR="33230029" w:rsidRPr="16CA2F8E">
        <w:rPr>
          <w:rFonts w:asciiTheme="majorBidi" w:hAnsiTheme="majorBidi" w:cstheme="majorBidi"/>
          <w:lang w:val="en-GB"/>
        </w:rPr>
        <w:t>non-negotiable</w:t>
      </w:r>
      <w:r w:rsidRPr="16CA2F8E">
        <w:rPr>
          <w:rFonts w:asciiTheme="majorBidi" w:hAnsiTheme="majorBidi" w:cstheme="majorBidi"/>
          <w:lang w:val="en-GB"/>
        </w:rPr>
        <w:t xml:space="preserve"> for you?</w:t>
      </w:r>
    </w:p>
    <w:p w14:paraId="1E307F6A" w14:textId="26A2C2D3"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Flexible: how we use the last five minutes; whether we sit with silence or talk it through; occasional short extensions named as exceptions; session frequency; language and metaphors; integrating creative methods if it suits them. </w:t>
      </w:r>
      <w:r w:rsidR="7862E279" w:rsidRPr="16CA2F8E">
        <w:rPr>
          <w:rFonts w:asciiTheme="majorBidi" w:hAnsiTheme="majorBidi" w:cstheme="majorBidi"/>
          <w:lang w:val="en-GB"/>
        </w:rPr>
        <w:t>Non-negotiable</w:t>
      </w:r>
      <w:r w:rsidRPr="16CA2F8E">
        <w:rPr>
          <w:rFonts w:asciiTheme="majorBidi" w:hAnsiTheme="majorBidi" w:cstheme="majorBidi"/>
          <w:lang w:val="en-GB"/>
        </w:rPr>
        <w:t>: confidentiality limits; physical and psychological safety; not meeting socially or connecting on social media; not offering therapy via text; charging agreed fees and holding cancellation boundaries (with humane exceptions); ending on time as the norm; my availability outside hours; my need for supervision and breaks. The container protects the contents.</w:t>
      </w:r>
    </w:p>
    <w:p w14:paraId="763BA533" w14:textId="32CBD297"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How do you support clients with trauma histories around boundaries?</w:t>
      </w:r>
    </w:p>
    <w:p w14:paraId="693D7BF4" w14:textId="1F10A270"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lastRenderedPageBreak/>
        <w:t>C:</w:t>
      </w:r>
      <w:r w:rsidRPr="16CA2F8E">
        <w:rPr>
          <w:rFonts w:asciiTheme="majorBidi" w:hAnsiTheme="majorBidi" w:cstheme="majorBidi"/>
          <w:lang w:val="en-GB"/>
        </w:rPr>
        <w:t xml:space="preserve"> With trauma, pacing and consent are everything. We start with building </w:t>
      </w:r>
      <w:r w:rsidR="76ABE87B" w:rsidRPr="16CA2F8E">
        <w:rPr>
          <w:rFonts w:asciiTheme="majorBidi" w:hAnsiTheme="majorBidi" w:cstheme="majorBidi"/>
          <w:lang w:val="en-GB"/>
        </w:rPr>
        <w:t>present moment</w:t>
      </w:r>
      <w:r w:rsidRPr="16CA2F8E">
        <w:rPr>
          <w:rFonts w:asciiTheme="majorBidi" w:hAnsiTheme="majorBidi" w:cstheme="majorBidi"/>
          <w:lang w:val="en-GB"/>
        </w:rPr>
        <w:t xml:space="preserve"> resources—breath, orienting, choice—so they can stay within a window of tolerance. I seek permission for any shift: “Would it be okay if we slowed down here?” I track </w:t>
      </w:r>
      <w:r w:rsidR="63C27D7B" w:rsidRPr="16CA2F8E">
        <w:rPr>
          <w:rFonts w:asciiTheme="majorBidi" w:hAnsiTheme="majorBidi" w:cstheme="majorBidi"/>
          <w:lang w:val="en-GB"/>
        </w:rPr>
        <w:t>micro cues</w:t>
      </w:r>
      <w:r w:rsidRPr="16CA2F8E">
        <w:rPr>
          <w:rFonts w:asciiTheme="majorBidi" w:hAnsiTheme="majorBidi" w:cstheme="majorBidi"/>
          <w:lang w:val="en-GB"/>
        </w:rPr>
        <w:t>—foot tapping at the door, a freeze when I mention endings. We approach touch via language, not contact. And I’m transparent about my own regulation: “I’m here; we can pause.” Boundaries become a sanctuary rather than a rulebook.</w:t>
      </w:r>
    </w:p>
    <w:p w14:paraId="1DA3C12F" w14:textId="11AE435C"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Can you recall a time when a boundary you set directly facilitated therapeutic movement?</w:t>
      </w:r>
    </w:p>
    <w:p w14:paraId="0AEA7261" w14:textId="04F304A3"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A client used to ask me weekly to waive the cancellation fee after late changes, often with compelling reasons. Early on I was flexible; eventually the pattern created resentment in me—which is a sign something’s off. I named it gently: “I notice I’ve been making exceptions and it’s starting to feel uneven for me. Can we look at what’s happening around committing to this time?” This opened a conversation about ambivalence and fear of prioritising themselves. When we reestablished the boundary, they became more engaged and, interestingly, kinder to themselves. Sometimes the clearest limit is the kindest act.</w:t>
      </w:r>
    </w:p>
    <w:p w14:paraId="5F32AA75"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How do you keep boundaries from feeling cold?</w:t>
      </w:r>
    </w:p>
    <w:p w14:paraId="78F83C16" w14:textId="660AB017"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Warmth plus clarity. I slow my voice, validate feelings, and then state the limit plainly. “I care about your safety, and I’m not available outside our agreed times. Let’s plan what would support you between now and next week.” The relational message is: I’m here, I’m steady, and I won’t collude in patterns that ultimately harm you or me. Humanistic boundaries are compassion in structure.</w:t>
      </w:r>
    </w:p>
    <w:p w14:paraId="66261F50"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What would you say to trainees who worry that boundaries will make them seem uncaring?</w:t>
      </w:r>
    </w:p>
    <w:p w14:paraId="1D0F817D" w14:textId="113C4C72"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I’d say most clients experience the opposite. Inconsistent boundaries are experienced as unpredictability, which feels like not being cared for. Consistency is a form of love in professional clothing. If you’re anxious, script phrases that align with your values. Practice saying, “I wish we had more time; let’s hold this carefully for next week,” in a tone that feels like you. And take it to supervision when it’s hard—you’re learning.</w:t>
      </w:r>
    </w:p>
    <w:p w14:paraId="76E75B9E"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Have your own life experiences influenced the way you set boundaries?</w:t>
      </w:r>
    </w:p>
    <w:p w14:paraId="77959624" w14:textId="69C72151"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Of course. Early in my career I </w:t>
      </w:r>
      <w:r w:rsidR="5E8012C7" w:rsidRPr="16CA2F8E">
        <w:rPr>
          <w:rFonts w:asciiTheme="majorBidi" w:hAnsiTheme="majorBidi" w:cstheme="majorBidi"/>
          <w:lang w:val="en-GB"/>
        </w:rPr>
        <w:t>over gave</w:t>
      </w:r>
      <w:r w:rsidRPr="16CA2F8E">
        <w:rPr>
          <w:rFonts w:asciiTheme="majorBidi" w:hAnsiTheme="majorBidi" w:cstheme="majorBidi"/>
          <w:lang w:val="en-GB"/>
        </w:rPr>
        <w:t xml:space="preserve">—answering emails late, running over time—partly from imposter anxiety and a fear of letting people down. Burnout taught me that I can’t offer deep presence if my boundaries leak. Now I schedule buffer time between sessions, I eat lunch away from the desk, and I protect my evenings. My clients benefit from a steady counsellor more than from an </w:t>
      </w:r>
      <w:r w:rsidR="0C5B0D61" w:rsidRPr="16CA2F8E">
        <w:rPr>
          <w:rFonts w:asciiTheme="majorBidi" w:hAnsiTheme="majorBidi" w:cstheme="majorBidi"/>
          <w:lang w:val="en-GB"/>
        </w:rPr>
        <w:t>always available</w:t>
      </w:r>
      <w:r w:rsidRPr="16CA2F8E">
        <w:rPr>
          <w:rFonts w:asciiTheme="majorBidi" w:hAnsiTheme="majorBidi" w:cstheme="majorBidi"/>
          <w:lang w:val="en-GB"/>
        </w:rPr>
        <w:t xml:space="preserve"> one.</w:t>
      </w:r>
    </w:p>
    <w:p w14:paraId="40ADD99D"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How do you decide when to refer or signpost because of boundary considerations?</w:t>
      </w:r>
    </w:p>
    <w:p w14:paraId="686A8C40" w14:textId="16F97071"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If the client’s needs exceed my competence or the frame—acute risk requiring crisis response, complex specialist needs—I’ll discuss options and, with consent, liaise with GP or relevant services. Sometimes it’s about the fit: if a client needs a highly structured approach and my way isn’t meeting them, we talk honestly. Referral isn’t rejection; it’s care for the person’s goals and safety.</w:t>
      </w:r>
    </w:p>
    <w:p w14:paraId="5A9355A1"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Could you speak to record</w:t>
      </w:r>
      <w:r w:rsidRPr="003B24C9">
        <w:rPr>
          <w:rFonts w:asciiTheme="majorBidi" w:hAnsiTheme="majorBidi" w:cstheme="majorBidi"/>
          <w:lang w:val="en-GB"/>
        </w:rPr>
        <w:noBreakHyphen/>
        <w:t>keeping as a boundary practice?</w:t>
      </w:r>
    </w:p>
    <w:p w14:paraId="45EA3678" w14:textId="3E8BEAB7"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Minimal, respectful, and secure. I write brief process notes, not narratives, and I store them encrypted. I let clients know what I keep and for how long. The boundary is about dignity—writing </w:t>
      </w:r>
      <w:r w:rsidRPr="16CA2F8E">
        <w:rPr>
          <w:rFonts w:asciiTheme="majorBidi" w:hAnsiTheme="majorBidi" w:cstheme="majorBidi"/>
          <w:lang w:val="en-GB"/>
        </w:rPr>
        <w:lastRenderedPageBreak/>
        <w:t>only what’s necessary and remembering the person may one day see what I wrote. That thought alone is a good ethical guide.</w:t>
      </w:r>
    </w:p>
    <w:p w14:paraId="45386C2A"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Let’s touch on rupture—when a client feels a boundary as a slight or a rejection. What then?</w:t>
      </w:r>
    </w:p>
    <w:p w14:paraId="209A678B"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I invite it in: “Can we talk about what happened when I ended the session?” and I thank them for the courage to tell me. I listen for the history—often the hurt is older than the room. I don’t defend; I stay curious. Sometimes I’ll validate the wish: “I get why you wanted more time; what you shared matters,” and then restate the boundary and our commitment to keep working with the feelings it evokes. Rupture held well becomes material for growth rather than a reason to leave.</w:t>
      </w:r>
    </w:p>
    <w:p w14:paraId="6308D119" w14:textId="78C9DEE8"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Is there a time you adjusted a boundary after client feedback?</w:t>
      </w:r>
    </w:p>
    <w:p w14:paraId="1D16FCD8" w14:textId="1C429FCC"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Yes. One client found the five</w:t>
      </w:r>
      <w:r w:rsidR="5FC0536A" w:rsidRPr="16CA2F8E">
        <w:rPr>
          <w:rFonts w:asciiTheme="majorBidi" w:hAnsiTheme="majorBidi" w:cstheme="majorBidi"/>
          <w:lang w:val="en-GB"/>
        </w:rPr>
        <w:t xml:space="preserve"> </w:t>
      </w:r>
      <w:r w:rsidRPr="16CA2F8E">
        <w:rPr>
          <w:rFonts w:asciiTheme="majorBidi" w:hAnsiTheme="majorBidi" w:cstheme="majorBidi"/>
          <w:lang w:val="en-GB"/>
        </w:rPr>
        <w:t>minute time warning jolting. We experimented: I shifted to a gentler cue—naming we were “beginning to land”—and watched how it affected their regulation. They reported it felt kinder and less abrupt. The structure remained; the delivery changed.</w:t>
      </w:r>
    </w:p>
    <w:p w14:paraId="15EEAF1B"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How do you integrate creative elements—writing, drawing—within boundaries?</w:t>
      </w:r>
    </w:p>
    <w:p w14:paraId="6F54F2D7" w14:textId="348E2371"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We agree the purpose and the frame. If we use art materials, we set up and close down within the session time, and we talk about storage or taking work home. If we write letters (to self, to parts), we agree what happens to them—kept by them, shredded, saved. Creative work can stir strong emotion; having a clear start and finish contains it.</w:t>
      </w:r>
    </w:p>
    <w:p w14:paraId="28F51FC3"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What if a client asks to move to texting therapy or asks for ad</w:t>
      </w:r>
      <w:r w:rsidRPr="003B24C9">
        <w:rPr>
          <w:rFonts w:asciiTheme="majorBidi" w:hAnsiTheme="majorBidi" w:cstheme="majorBidi"/>
          <w:lang w:val="en-GB"/>
        </w:rPr>
        <w:noBreakHyphen/>
        <w:t>hoc support “just this once” during a crisis?</w:t>
      </w:r>
    </w:p>
    <w:p w14:paraId="78F54B92" w14:textId="7C8CC91F"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empathise and offer what’s within the frame. “I’m not able to offer therapy by text; what I can do is hold what you’ve shared for our session, and I can remind you of the crisis supports tonight.” If </w:t>
      </w:r>
      <w:proofErr w:type="spellStart"/>
      <w:r w:rsidRPr="16CA2F8E">
        <w:rPr>
          <w:rFonts w:asciiTheme="majorBidi" w:hAnsiTheme="majorBidi" w:cstheme="majorBidi"/>
          <w:lang w:val="en-GB"/>
        </w:rPr>
        <w:t>adhoc</w:t>
      </w:r>
      <w:proofErr w:type="spellEnd"/>
      <w:r w:rsidRPr="16CA2F8E">
        <w:rPr>
          <w:rFonts w:asciiTheme="majorBidi" w:hAnsiTheme="majorBidi" w:cstheme="majorBidi"/>
          <w:lang w:val="en-GB"/>
        </w:rPr>
        <w:t xml:space="preserve"> support becomes a pattern, we name the pattern. Boundaries aren’t a punishment; they’re the shape that keeps the work therapeutic rather than something else.</w:t>
      </w:r>
    </w:p>
    <w:p w14:paraId="7561154D" w14:textId="2E01C6F2"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I:</w:t>
      </w:r>
      <w:r w:rsidRPr="16CA2F8E">
        <w:rPr>
          <w:rFonts w:asciiTheme="majorBidi" w:hAnsiTheme="majorBidi" w:cstheme="majorBidi"/>
          <w:lang w:val="en-GB"/>
        </w:rPr>
        <w:t xml:space="preserve"> Could you walk through an example of boundary work around self</w:t>
      </w:r>
      <w:r w:rsidR="44A9ADD2" w:rsidRPr="16CA2F8E">
        <w:rPr>
          <w:rFonts w:asciiTheme="majorBidi" w:hAnsiTheme="majorBidi" w:cstheme="majorBidi"/>
          <w:lang w:val="en-GB"/>
        </w:rPr>
        <w:t>-</w:t>
      </w:r>
      <w:r w:rsidRPr="16CA2F8E">
        <w:rPr>
          <w:rFonts w:asciiTheme="majorBidi" w:hAnsiTheme="majorBidi" w:cstheme="majorBidi"/>
          <w:lang w:val="en-GB"/>
        </w:rPr>
        <w:t>disclosure in grief?</w:t>
      </w:r>
    </w:p>
    <w:p w14:paraId="14011F77" w14:textId="4B84A68F"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A client grieving a parent asked directly if I’d ever lost someone close. I checked my intention and the potential impact. I offered a contained truth: “Yes, I have experienced a significant loss.” I didn’t share details. We then explored what it meant for them to know that—did it help them feel less alone, or were they worried about burdening me? The disclosure was a doorway to their meaning, not a story about mine.</w:t>
      </w:r>
    </w:p>
    <w:p w14:paraId="0A20D8F9"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How do you evaluate whether your boundaries are working—for you and for clients?</w:t>
      </w:r>
    </w:p>
    <w:p w14:paraId="43B355A2" w14:textId="69ACE13E" w:rsidR="00585FA4" w:rsidRPr="003B24C9" w:rsidRDefault="00585FA4" w:rsidP="16CA2F8E">
      <w:pPr>
        <w:rPr>
          <w:rFonts w:asciiTheme="majorBidi" w:hAnsiTheme="majorBidi" w:cstheme="majorBidi"/>
          <w:lang w:val="en-GB"/>
        </w:rPr>
      </w:pPr>
      <w:r w:rsidRPr="16CA2F8E">
        <w:rPr>
          <w:rFonts w:asciiTheme="majorBidi" w:hAnsiTheme="majorBidi" w:cstheme="majorBidi"/>
          <w:b/>
          <w:bCs/>
          <w:lang w:val="en-GB"/>
        </w:rPr>
        <w:t>C:</w:t>
      </w:r>
      <w:r w:rsidRPr="16CA2F8E">
        <w:rPr>
          <w:rFonts w:asciiTheme="majorBidi" w:hAnsiTheme="majorBidi" w:cstheme="majorBidi"/>
          <w:lang w:val="en-GB"/>
        </w:rPr>
        <w:t xml:space="preserve"> I listen to my body—tension, dread, resentment are signals. If I’m consistently late to finish notes, skipping meals, or preoccupied, something needs resetting. With clients, I pay attention to clarity: Are we both clear about what happens when? Do they arrive and leave more regulated? Feedback helps; I’ll ask directly, “How are you finding the way we hold the time?” Boundaries should make the work feel safer and deeper, not tighter and smaller.</w:t>
      </w:r>
    </w:p>
    <w:p w14:paraId="51E91206"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I:</w:t>
      </w:r>
      <w:r w:rsidRPr="003B24C9">
        <w:rPr>
          <w:rFonts w:asciiTheme="majorBidi" w:hAnsiTheme="majorBidi" w:cstheme="majorBidi"/>
          <w:lang w:val="en-GB"/>
        </w:rPr>
        <w:t xml:space="preserve"> Finally, if you had to summarise the humanistic take on boundaries in a sentence or two?</w:t>
      </w:r>
    </w:p>
    <w:p w14:paraId="756558C7"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Boundaries are love with edges. They’re the reliable shape that lets two people meet with depth and honesty. Held with warmth and transparency, they don’t limit the relationship—they allow it.</w:t>
      </w:r>
    </w:p>
    <w:p w14:paraId="4C0BBA03" w14:textId="4858A6FC"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lastRenderedPageBreak/>
        <w:t>I:</w:t>
      </w:r>
      <w:r w:rsidRPr="003B24C9">
        <w:rPr>
          <w:rFonts w:asciiTheme="majorBidi" w:hAnsiTheme="majorBidi" w:cstheme="majorBidi"/>
          <w:lang w:val="en-GB"/>
        </w:rPr>
        <w:t xml:space="preserve"> Beautiful. Thank you, </w:t>
      </w:r>
      <w:r w:rsidR="00CB2697">
        <w:rPr>
          <w:rFonts w:asciiTheme="majorBidi" w:hAnsiTheme="majorBidi" w:cstheme="majorBidi"/>
          <w:lang w:val="en-GB"/>
        </w:rPr>
        <w:t>Chris</w:t>
      </w:r>
      <w:r w:rsidRPr="003B24C9">
        <w:rPr>
          <w:rFonts w:asciiTheme="majorBidi" w:hAnsiTheme="majorBidi" w:cstheme="majorBidi"/>
          <w:lang w:val="en-GB"/>
        </w:rPr>
        <w:t>.</w:t>
      </w:r>
    </w:p>
    <w:p w14:paraId="78EBD855" w14:textId="77777777" w:rsidR="00585FA4" w:rsidRPr="003B24C9" w:rsidRDefault="00585FA4" w:rsidP="00585FA4">
      <w:pPr>
        <w:rPr>
          <w:rFonts w:asciiTheme="majorBidi" w:hAnsiTheme="majorBidi" w:cstheme="majorBidi"/>
          <w:lang w:val="en-GB"/>
        </w:rPr>
      </w:pPr>
      <w:r w:rsidRPr="003B24C9">
        <w:rPr>
          <w:rFonts w:asciiTheme="majorBidi" w:hAnsiTheme="majorBidi" w:cstheme="majorBidi"/>
          <w:b/>
          <w:bCs/>
          <w:lang w:val="en-GB"/>
        </w:rPr>
        <w:t>C:</w:t>
      </w:r>
      <w:r w:rsidRPr="003B24C9">
        <w:rPr>
          <w:rFonts w:asciiTheme="majorBidi" w:hAnsiTheme="majorBidi" w:cstheme="majorBidi"/>
          <w:lang w:val="en-GB"/>
        </w:rPr>
        <w:t xml:space="preserve"> Thank you.</w:t>
      </w:r>
    </w:p>
    <w:p w14:paraId="0AD72D84" w14:textId="77777777" w:rsidR="00585FA4" w:rsidRPr="003B24C9" w:rsidRDefault="00585FA4" w:rsidP="00585FA4">
      <w:pPr>
        <w:rPr>
          <w:rFonts w:asciiTheme="majorBidi" w:hAnsiTheme="majorBidi" w:cstheme="majorBidi"/>
          <w:lang w:val="en-GB"/>
        </w:rPr>
      </w:pPr>
    </w:p>
    <w:p w14:paraId="13CEE66E" w14:textId="43B4BBB5" w:rsidR="00585FA4" w:rsidRPr="00585FA4" w:rsidRDefault="00585FA4" w:rsidP="00585FA4">
      <w:pPr>
        <w:pStyle w:val="Heading1"/>
        <w:rPr>
          <w:rFonts w:asciiTheme="majorBidi" w:hAnsiTheme="majorBidi"/>
          <w:color w:val="auto"/>
          <w:sz w:val="24"/>
          <w:szCs w:val="24"/>
        </w:rPr>
      </w:pPr>
      <w:r w:rsidRPr="00585FA4">
        <w:rPr>
          <w:rFonts w:asciiTheme="majorBidi" w:hAnsiTheme="majorBidi"/>
          <w:color w:val="auto"/>
          <w:sz w:val="24"/>
          <w:szCs w:val="24"/>
        </w:rPr>
        <w:t>Interview Schedule – Boundaries in Counselling</w:t>
      </w:r>
    </w:p>
    <w:p w14:paraId="036AC456"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1. Can you tell me about your counselling philosophy and approach?</w:t>
      </w:r>
    </w:p>
    <w:p w14:paraId="31FAB776"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2. How do you understand the role of boundaries within your therapeutic practice?</w:t>
      </w:r>
    </w:p>
    <w:p w14:paraId="7A5D07C0"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3. How do you explain and agree boundaries with new clients (e.g., confidentiality, time, fees)?</w:t>
      </w:r>
    </w:p>
    <w:p w14:paraId="5DFF4171"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4. Can you share an example of a time when time boundaries (session start/ending) became significant?</w:t>
      </w:r>
    </w:p>
    <w:p w14:paraId="247E6D16"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5. How do you approach physical space and touch in terms of boundaries?</w:t>
      </w:r>
    </w:p>
    <w:p w14:paraId="212BA116"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6. What is your approach to digital and online boundaries?</w:t>
      </w:r>
    </w:p>
    <w:p w14:paraId="21CF9665"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7. How do you decide when or how much to disclose about yourself to clients?</w:t>
      </w:r>
    </w:p>
    <w:p w14:paraId="33C96C85"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8. How do you manage boundaries around money, cancellations, and gifts?</w:t>
      </w:r>
    </w:p>
    <w:p w14:paraId="5154FD43"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9. What challenges have you faced in maintaining boundaries, and how have you navigated them?</w:t>
      </w:r>
    </w:p>
    <w:p w14:paraId="4484D01A"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10. Can you give an example of a situation where boundaries were tested or breached?</w:t>
      </w:r>
    </w:p>
    <w:p w14:paraId="36304A57"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11. How do you work with endings, both planned and unplanned?</w:t>
      </w:r>
    </w:p>
    <w:p w14:paraId="75A0BDB9"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12. How do you balance flexibility and firmness when it comes to boundaries?</w:t>
      </w:r>
    </w:p>
    <w:p w14:paraId="329B6568"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13. How do supervision and self-care support you in maintaining boundaries?</w:t>
      </w:r>
    </w:p>
    <w:p w14:paraId="0E8E22B9" w14:textId="77777777" w:rsidR="00585FA4" w:rsidRPr="003B24C9" w:rsidRDefault="00585FA4" w:rsidP="00585FA4">
      <w:pPr>
        <w:pStyle w:val="ListNumber"/>
        <w:numPr>
          <w:ilvl w:val="0"/>
          <w:numId w:val="0"/>
        </w:numPr>
        <w:rPr>
          <w:rFonts w:asciiTheme="majorBidi" w:hAnsiTheme="majorBidi" w:cstheme="majorBidi"/>
        </w:rPr>
      </w:pPr>
      <w:r w:rsidRPr="003B24C9">
        <w:rPr>
          <w:rFonts w:asciiTheme="majorBidi" w:hAnsiTheme="majorBidi" w:cstheme="majorBidi"/>
        </w:rPr>
        <w:t>14. Has your relationship to boundaries changed across your career? If so, how?</w:t>
      </w:r>
    </w:p>
    <w:p w14:paraId="5C046D7F" w14:textId="335B88FF" w:rsidR="00AB21A6" w:rsidRDefault="00AB21A6"/>
    <w:sectPr w:rsidR="00AB21A6">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E6503" w14:textId="77777777" w:rsidR="00533644" w:rsidRDefault="00533644" w:rsidP="00585FA4">
      <w:pPr>
        <w:spacing w:after="0" w:line="240" w:lineRule="auto"/>
      </w:pPr>
      <w:r>
        <w:separator/>
      </w:r>
    </w:p>
  </w:endnote>
  <w:endnote w:type="continuationSeparator" w:id="0">
    <w:p w14:paraId="6562C144" w14:textId="77777777" w:rsidR="00533644" w:rsidRDefault="00533644" w:rsidP="00585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296182"/>
      <w:docPartObj>
        <w:docPartGallery w:val="Page Numbers (Bottom of Page)"/>
        <w:docPartUnique/>
      </w:docPartObj>
    </w:sdtPr>
    <w:sdtEndPr>
      <w:rPr>
        <w:noProof/>
      </w:rPr>
    </w:sdtEndPr>
    <w:sdtContent>
      <w:p w14:paraId="0BE063E2" w14:textId="63949B35" w:rsidR="00585FA4" w:rsidRDefault="00585F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CF7AE7" w14:textId="77777777" w:rsidR="00585FA4" w:rsidRDefault="00585F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5D83C50" w14:paraId="7E67F734" w14:textId="77777777" w:rsidTr="45D83C50">
      <w:trPr>
        <w:trHeight w:val="300"/>
      </w:trPr>
      <w:tc>
        <w:tcPr>
          <w:tcW w:w="3005" w:type="dxa"/>
        </w:tcPr>
        <w:p w14:paraId="04C97668" w14:textId="10AF34D4" w:rsidR="45D83C50" w:rsidRDefault="45D83C50" w:rsidP="45D83C50">
          <w:pPr>
            <w:pStyle w:val="Header"/>
            <w:ind w:left="-115"/>
          </w:pPr>
        </w:p>
      </w:tc>
      <w:tc>
        <w:tcPr>
          <w:tcW w:w="3005" w:type="dxa"/>
        </w:tcPr>
        <w:p w14:paraId="3BB6E306" w14:textId="4CA0635E" w:rsidR="45D83C50" w:rsidRDefault="45D83C50" w:rsidP="45D83C50">
          <w:pPr>
            <w:pStyle w:val="Header"/>
            <w:jc w:val="center"/>
          </w:pPr>
        </w:p>
      </w:tc>
      <w:tc>
        <w:tcPr>
          <w:tcW w:w="3005" w:type="dxa"/>
        </w:tcPr>
        <w:p w14:paraId="65A02EAD" w14:textId="7CB9E5CD" w:rsidR="45D83C50" w:rsidRDefault="45D83C50" w:rsidP="45D83C50">
          <w:pPr>
            <w:pStyle w:val="Header"/>
            <w:ind w:right="-115"/>
            <w:jc w:val="right"/>
          </w:pPr>
        </w:p>
      </w:tc>
    </w:tr>
  </w:tbl>
  <w:p w14:paraId="78BB7B9A" w14:textId="519322C0" w:rsidR="00A15604" w:rsidRDefault="00A15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FC4EA" w14:textId="77777777" w:rsidR="00533644" w:rsidRDefault="00533644" w:rsidP="00585FA4">
      <w:pPr>
        <w:spacing w:after="0" w:line="240" w:lineRule="auto"/>
      </w:pPr>
      <w:r>
        <w:separator/>
      </w:r>
    </w:p>
  </w:footnote>
  <w:footnote w:type="continuationSeparator" w:id="0">
    <w:p w14:paraId="79081F5D" w14:textId="77777777" w:rsidR="00533644" w:rsidRDefault="00533644" w:rsidP="00585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5D83C50" w14:paraId="46B389F1" w14:textId="77777777" w:rsidTr="45D83C50">
      <w:trPr>
        <w:trHeight w:val="300"/>
      </w:trPr>
      <w:tc>
        <w:tcPr>
          <w:tcW w:w="3005" w:type="dxa"/>
        </w:tcPr>
        <w:p w14:paraId="23F4E857" w14:textId="778CA025" w:rsidR="45D83C50" w:rsidRDefault="45D83C50" w:rsidP="45D83C50">
          <w:pPr>
            <w:pStyle w:val="Header"/>
            <w:ind w:left="-115"/>
          </w:pPr>
        </w:p>
      </w:tc>
      <w:tc>
        <w:tcPr>
          <w:tcW w:w="3005" w:type="dxa"/>
        </w:tcPr>
        <w:p w14:paraId="2A3CA654" w14:textId="6B29596D" w:rsidR="45D83C50" w:rsidRDefault="45D83C50" w:rsidP="45D83C50">
          <w:pPr>
            <w:pStyle w:val="Header"/>
            <w:jc w:val="center"/>
          </w:pPr>
        </w:p>
      </w:tc>
      <w:tc>
        <w:tcPr>
          <w:tcW w:w="3005" w:type="dxa"/>
        </w:tcPr>
        <w:p w14:paraId="5F4FA5B2" w14:textId="47739AEB" w:rsidR="45D83C50" w:rsidRDefault="45D83C50" w:rsidP="45D83C50">
          <w:pPr>
            <w:pStyle w:val="Header"/>
            <w:ind w:right="-115"/>
            <w:jc w:val="right"/>
          </w:pPr>
        </w:p>
      </w:tc>
    </w:tr>
  </w:tbl>
  <w:p w14:paraId="0CD124CA" w14:textId="46F9D1CA" w:rsidR="00A15604" w:rsidRDefault="00A156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5D83C50" w14:paraId="3B8E63F1" w14:textId="77777777" w:rsidTr="45D83C50">
      <w:trPr>
        <w:trHeight w:val="300"/>
      </w:trPr>
      <w:tc>
        <w:tcPr>
          <w:tcW w:w="3005" w:type="dxa"/>
        </w:tcPr>
        <w:p w14:paraId="6BBF76BF" w14:textId="57CB5B10" w:rsidR="45D83C50" w:rsidRDefault="45D83C50" w:rsidP="45D83C50">
          <w:pPr>
            <w:pStyle w:val="Header"/>
            <w:ind w:left="-115"/>
          </w:pPr>
        </w:p>
      </w:tc>
      <w:tc>
        <w:tcPr>
          <w:tcW w:w="3005" w:type="dxa"/>
        </w:tcPr>
        <w:p w14:paraId="3538F0A2" w14:textId="79349CFC" w:rsidR="45D83C50" w:rsidRDefault="45D83C50" w:rsidP="45D83C50">
          <w:pPr>
            <w:pStyle w:val="Header"/>
            <w:jc w:val="center"/>
          </w:pPr>
        </w:p>
      </w:tc>
      <w:tc>
        <w:tcPr>
          <w:tcW w:w="3005" w:type="dxa"/>
        </w:tcPr>
        <w:p w14:paraId="0671CD53" w14:textId="26BF58EE" w:rsidR="45D83C50" w:rsidRDefault="45D83C50" w:rsidP="45D83C50">
          <w:pPr>
            <w:pStyle w:val="Header"/>
            <w:ind w:right="-115"/>
            <w:jc w:val="right"/>
          </w:pPr>
        </w:p>
      </w:tc>
    </w:tr>
  </w:tbl>
  <w:p w14:paraId="5AE84AAD" w14:textId="2D1F18BC" w:rsidR="00A15604" w:rsidRDefault="00A156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F6A9592"/>
    <w:lvl w:ilvl="0">
      <w:start w:val="1"/>
      <w:numFmt w:val="decimal"/>
      <w:pStyle w:val="ListNumber"/>
      <w:lvlText w:val="%1."/>
      <w:lvlJc w:val="left"/>
      <w:pPr>
        <w:tabs>
          <w:tab w:val="num" w:pos="360"/>
        </w:tabs>
        <w:ind w:left="360" w:hanging="360"/>
      </w:pPr>
    </w:lvl>
  </w:abstractNum>
  <w:abstractNum w:abstractNumId="1" w15:restartNumberingAfterBreak="0">
    <w:nsid w:val="3A755848"/>
    <w:multiLevelType w:val="multilevel"/>
    <w:tmpl w:val="35043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8732146">
    <w:abstractNumId w:val="0"/>
  </w:num>
  <w:num w:numId="2" w16cid:durableId="209002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FA4"/>
    <w:rsid w:val="000850FF"/>
    <w:rsid w:val="0012228D"/>
    <w:rsid w:val="003A6571"/>
    <w:rsid w:val="004C218A"/>
    <w:rsid w:val="00533644"/>
    <w:rsid w:val="00585FA4"/>
    <w:rsid w:val="005A0945"/>
    <w:rsid w:val="007C3CF7"/>
    <w:rsid w:val="00A15604"/>
    <w:rsid w:val="00AB21A6"/>
    <w:rsid w:val="00B60BCF"/>
    <w:rsid w:val="00BA7E63"/>
    <w:rsid w:val="00C45C6B"/>
    <w:rsid w:val="00CB2697"/>
    <w:rsid w:val="00D91969"/>
    <w:rsid w:val="00F445CE"/>
    <w:rsid w:val="01951564"/>
    <w:rsid w:val="01FC7993"/>
    <w:rsid w:val="063E4555"/>
    <w:rsid w:val="07028E6C"/>
    <w:rsid w:val="07E76638"/>
    <w:rsid w:val="09B294F3"/>
    <w:rsid w:val="0C4694AE"/>
    <w:rsid w:val="0C5B0D61"/>
    <w:rsid w:val="0CFAF1E4"/>
    <w:rsid w:val="0DA16B56"/>
    <w:rsid w:val="0E906DC4"/>
    <w:rsid w:val="1168C822"/>
    <w:rsid w:val="124E6452"/>
    <w:rsid w:val="15DB94E8"/>
    <w:rsid w:val="16CA2F8E"/>
    <w:rsid w:val="17A2DCB4"/>
    <w:rsid w:val="17C7C733"/>
    <w:rsid w:val="1B9DDD42"/>
    <w:rsid w:val="1BE5480C"/>
    <w:rsid w:val="1DE0BBF9"/>
    <w:rsid w:val="26DC64B8"/>
    <w:rsid w:val="27D645E7"/>
    <w:rsid w:val="2A4E568D"/>
    <w:rsid w:val="2CD8DEBA"/>
    <w:rsid w:val="2DACB606"/>
    <w:rsid w:val="325DCD55"/>
    <w:rsid w:val="33230029"/>
    <w:rsid w:val="378BB99D"/>
    <w:rsid w:val="382113C1"/>
    <w:rsid w:val="38B12AED"/>
    <w:rsid w:val="3CCEFBE2"/>
    <w:rsid w:val="3D63969E"/>
    <w:rsid w:val="42671409"/>
    <w:rsid w:val="42AF361E"/>
    <w:rsid w:val="430D6E30"/>
    <w:rsid w:val="4403F77D"/>
    <w:rsid w:val="44A9ADD2"/>
    <w:rsid w:val="45D83C50"/>
    <w:rsid w:val="467B7578"/>
    <w:rsid w:val="48500DA0"/>
    <w:rsid w:val="48D1028E"/>
    <w:rsid w:val="48E5373A"/>
    <w:rsid w:val="4ABFBCEC"/>
    <w:rsid w:val="4CF1EF43"/>
    <w:rsid w:val="4F3C4FAA"/>
    <w:rsid w:val="4FA1EB02"/>
    <w:rsid w:val="53387371"/>
    <w:rsid w:val="53528BBB"/>
    <w:rsid w:val="567C2F86"/>
    <w:rsid w:val="590647F5"/>
    <w:rsid w:val="59549F18"/>
    <w:rsid w:val="59FADE43"/>
    <w:rsid w:val="5A849817"/>
    <w:rsid w:val="5B862EDA"/>
    <w:rsid w:val="5BBC148B"/>
    <w:rsid w:val="5E8012C7"/>
    <w:rsid w:val="5FC0536A"/>
    <w:rsid w:val="614D84E2"/>
    <w:rsid w:val="63C27D7B"/>
    <w:rsid w:val="65D7C437"/>
    <w:rsid w:val="687A8516"/>
    <w:rsid w:val="69E85933"/>
    <w:rsid w:val="6BE9E83F"/>
    <w:rsid w:val="6EF3437F"/>
    <w:rsid w:val="6FC2D74F"/>
    <w:rsid w:val="6FCA4D7E"/>
    <w:rsid w:val="70EB17A1"/>
    <w:rsid w:val="724A1A0B"/>
    <w:rsid w:val="76ABE87B"/>
    <w:rsid w:val="770BA1BC"/>
    <w:rsid w:val="77271055"/>
    <w:rsid w:val="77EE8817"/>
    <w:rsid w:val="7862E279"/>
    <w:rsid w:val="79F3AF63"/>
    <w:rsid w:val="7B852598"/>
    <w:rsid w:val="7D53BAE2"/>
    <w:rsid w:val="7DDEFC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7AE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FA4"/>
    <w:pPr>
      <w:spacing w:after="200" w:line="276" w:lineRule="auto"/>
    </w:pPr>
    <w:rPr>
      <w:kern w:val="0"/>
      <w:sz w:val="22"/>
      <w:szCs w:val="22"/>
      <w:lang w:val="en-US" w:eastAsia="en-US"/>
      <w14:ligatures w14:val="none"/>
    </w:rPr>
  </w:style>
  <w:style w:type="paragraph" w:styleId="Heading1">
    <w:name w:val="heading 1"/>
    <w:basedOn w:val="Normal"/>
    <w:next w:val="Normal"/>
    <w:link w:val="Heading1Char"/>
    <w:uiPriority w:val="9"/>
    <w:qFormat/>
    <w:rsid w:val="00585F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F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F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F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F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F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F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F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F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F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F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F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F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F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F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F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F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FA4"/>
    <w:rPr>
      <w:rFonts w:eastAsiaTheme="majorEastAsia" w:cstheme="majorBidi"/>
      <w:color w:val="272727" w:themeColor="text1" w:themeTint="D8"/>
    </w:rPr>
  </w:style>
  <w:style w:type="paragraph" w:styleId="Title">
    <w:name w:val="Title"/>
    <w:basedOn w:val="Normal"/>
    <w:next w:val="Normal"/>
    <w:link w:val="TitleChar"/>
    <w:uiPriority w:val="10"/>
    <w:qFormat/>
    <w:rsid w:val="00585F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F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F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F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FA4"/>
    <w:pPr>
      <w:spacing w:before="160"/>
      <w:jc w:val="center"/>
    </w:pPr>
    <w:rPr>
      <w:i/>
      <w:iCs/>
      <w:color w:val="404040" w:themeColor="text1" w:themeTint="BF"/>
    </w:rPr>
  </w:style>
  <w:style w:type="character" w:customStyle="1" w:styleId="QuoteChar">
    <w:name w:val="Quote Char"/>
    <w:basedOn w:val="DefaultParagraphFont"/>
    <w:link w:val="Quote"/>
    <w:uiPriority w:val="29"/>
    <w:rsid w:val="00585FA4"/>
    <w:rPr>
      <w:i/>
      <w:iCs/>
      <w:color w:val="404040" w:themeColor="text1" w:themeTint="BF"/>
    </w:rPr>
  </w:style>
  <w:style w:type="paragraph" w:styleId="ListParagraph">
    <w:name w:val="List Paragraph"/>
    <w:basedOn w:val="Normal"/>
    <w:uiPriority w:val="34"/>
    <w:qFormat/>
    <w:rsid w:val="00585FA4"/>
    <w:pPr>
      <w:ind w:left="720"/>
      <w:contextualSpacing/>
    </w:pPr>
  </w:style>
  <w:style w:type="character" w:styleId="IntenseEmphasis">
    <w:name w:val="Intense Emphasis"/>
    <w:basedOn w:val="DefaultParagraphFont"/>
    <w:uiPriority w:val="21"/>
    <w:qFormat/>
    <w:rsid w:val="00585FA4"/>
    <w:rPr>
      <w:i/>
      <w:iCs/>
      <w:color w:val="0F4761" w:themeColor="accent1" w:themeShade="BF"/>
    </w:rPr>
  </w:style>
  <w:style w:type="paragraph" w:styleId="IntenseQuote">
    <w:name w:val="Intense Quote"/>
    <w:basedOn w:val="Normal"/>
    <w:next w:val="Normal"/>
    <w:link w:val="IntenseQuoteChar"/>
    <w:uiPriority w:val="30"/>
    <w:qFormat/>
    <w:rsid w:val="00585F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FA4"/>
    <w:rPr>
      <w:i/>
      <w:iCs/>
      <w:color w:val="0F4761" w:themeColor="accent1" w:themeShade="BF"/>
    </w:rPr>
  </w:style>
  <w:style w:type="character" w:styleId="IntenseReference">
    <w:name w:val="Intense Reference"/>
    <w:basedOn w:val="DefaultParagraphFont"/>
    <w:uiPriority w:val="32"/>
    <w:qFormat/>
    <w:rsid w:val="00585FA4"/>
    <w:rPr>
      <w:b/>
      <w:bCs/>
      <w:smallCaps/>
      <w:color w:val="0F4761" w:themeColor="accent1" w:themeShade="BF"/>
      <w:spacing w:val="5"/>
    </w:rPr>
  </w:style>
  <w:style w:type="paragraph" w:styleId="ListNumber">
    <w:name w:val="List Number"/>
    <w:basedOn w:val="Normal"/>
    <w:uiPriority w:val="99"/>
    <w:unhideWhenUsed/>
    <w:rsid w:val="00585FA4"/>
    <w:pPr>
      <w:numPr>
        <w:numId w:val="1"/>
      </w:numPr>
      <w:tabs>
        <w:tab w:val="clear" w:pos="360"/>
      </w:tabs>
      <w:ind w:left="0" w:firstLine="0"/>
      <w:contextualSpacing/>
    </w:pPr>
  </w:style>
  <w:style w:type="paragraph" w:styleId="Header">
    <w:name w:val="header"/>
    <w:basedOn w:val="Normal"/>
    <w:link w:val="HeaderChar"/>
    <w:uiPriority w:val="99"/>
    <w:unhideWhenUsed/>
    <w:rsid w:val="00585F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FA4"/>
    <w:rPr>
      <w:kern w:val="0"/>
      <w:sz w:val="22"/>
      <w:szCs w:val="22"/>
      <w:lang w:val="en-US" w:eastAsia="en-US"/>
      <w14:ligatures w14:val="none"/>
    </w:rPr>
  </w:style>
  <w:style w:type="paragraph" w:styleId="Footer">
    <w:name w:val="footer"/>
    <w:basedOn w:val="Normal"/>
    <w:link w:val="FooterChar"/>
    <w:uiPriority w:val="99"/>
    <w:unhideWhenUsed/>
    <w:rsid w:val="00585F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FA4"/>
    <w:rPr>
      <w:kern w:val="0"/>
      <w:sz w:val="22"/>
      <w:szCs w:val="22"/>
      <w:lang w:val="en-US" w:eastAsia="en-US"/>
      <w14:ligatures w14:val="none"/>
    </w:rPr>
  </w:style>
  <w:style w:type="table" w:styleId="TableGrid">
    <w:name w:val="Table Grid"/>
    <w:basedOn w:val="TableNormal"/>
    <w:uiPriority w:val="59"/>
    <w:rsid w:val="00A1560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3154</Words>
  <Characters>17979</Characters>
  <Application>Microsoft Office Word</Application>
  <DocSecurity>0</DocSecurity>
  <Lines>149</Lines>
  <Paragraphs>42</Paragraphs>
  <ScaleCrop>false</ScaleCrop>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2025-11-14T11:29:00Z</dcterms:created>
  <dcterms:modified xsi:type="dcterms:W3CDTF">2025-11-14T11:32:00Z</dcterms:modified>
</cp:coreProperties>
</file>