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5C7CB3" w:rsidRDefault="00756543" w:rsidP="00756543">
      <w:pPr>
        <w:rPr>
          <w:b/>
          <w:sz w:val="36"/>
          <w:lang w:eastAsia="en-GB"/>
        </w:rPr>
      </w:pPr>
      <w:r w:rsidRPr="00756543">
        <w:rPr>
          <w:b/>
          <w:noProof/>
          <w:sz w:val="36"/>
          <w:lang w:eastAsia="en-GB"/>
        </w:rPr>
        <w:drawing>
          <wp:inline distT="0" distB="0" distL="0" distR="0" wp14:anchorId="0A0FC42D" wp14:editId="75D49599">
            <wp:extent cx="2263336" cy="929721"/>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63336" cy="929721"/>
                    </a:xfrm>
                    <a:prstGeom prst="rect">
                      <a:avLst/>
                    </a:prstGeom>
                  </pic:spPr>
                </pic:pic>
              </a:graphicData>
            </a:graphic>
          </wp:inline>
        </w:drawing>
      </w:r>
    </w:p>
    <w:p w14:paraId="0A37501D" w14:textId="77777777" w:rsidR="00756543" w:rsidRDefault="00756543" w:rsidP="00756543">
      <w:pPr>
        <w:rPr>
          <w:b/>
          <w:sz w:val="36"/>
          <w:lang w:eastAsia="en-GB"/>
        </w:rPr>
      </w:pPr>
    </w:p>
    <w:p w14:paraId="5DAB6C7B" w14:textId="77777777" w:rsidR="00756543" w:rsidRDefault="00756543" w:rsidP="00756543">
      <w:pPr>
        <w:rPr>
          <w:b/>
          <w:sz w:val="36"/>
          <w:lang w:eastAsia="en-GB"/>
        </w:rPr>
      </w:pPr>
    </w:p>
    <w:p w14:paraId="0B3DBEBA" w14:textId="77777777" w:rsidR="00756543" w:rsidRDefault="00756543" w:rsidP="00756543">
      <w:pPr>
        <w:rPr>
          <w:b/>
          <w:sz w:val="36"/>
          <w:lang w:eastAsia="en-GB"/>
        </w:rPr>
      </w:pPr>
      <w:r w:rsidRPr="00756543">
        <w:rPr>
          <w:b/>
          <w:sz w:val="36"/>
          <w:lang w:eastAsia="en-GB"/>
        </w:rPr>
        <w:t>Module: Introduction to Health and Social Care</w:t>
      </w:r>
    </w:p>
    <w:p w14:paraId="747A2268" w14:textId="77777777" w:rsidR="00756543" w:rsidRDefault="00756543" w:rsidP="00756543">
      <w:pPr>
        <w:rPr>
          <w:b/>
          <w:sz w:val="36"/>
          <w:lang w:eastAsia="en-GB"/>
        </w:rPr>
      </w:pPr>
      <w:r w:rsidRPr="00756543">
        <w:rPr>
          <w:b/>
          <w:sz w:val="36"/>
          <w:lang w:eastAsia="en-GB"/>
        </w:rPr>
        <w:t>Module code: LCHS4003</w:t>
      </w:r>
    </w:p>
    <w:p w14:paraId="02EB378F" w14:textId="77777777" w:rsidR="00756543" w:rsidRDefault="00756543" w:rsidP="00756543">
      <w:pPr>
        <w:rPr>
          <w:b/>
          <w:sz w:val="36"/>
          <w:lang w:eastAsia="en-GB"/>
        </w:rPr>
      </w:pPr>
    </w:p>
    <w:p w14:paraId="15672DD3" w14:textId="77777777" w:rsidR="00756543" w:rsidRDefault="00756543" w:rsidP="00756543">
      <w:pPr>
        <w:rPr>
          <w:b/>
          <w:sz w:val="36"/>
          <w:lang w:eastAsia="en-GB"/>
        </w:rPr>
      </w:pPr>
      <w:r>
        <w:rPr>
          <w:b/>
          <w:sz w:val="36"/>
          <w:lang w:eastAsia="en-GB"/>
        </w:rPr>
        <w:t xml:space="preserve">Assignment Title: Component 2 </w:t>
      </w:r>
      <w:r w:rsidRPr="00756543">
        <w:rPr>
          <w:b/>
          <w:sz w:val="36"/>
          <w:lang w:eastAsia="en-GB"/>
        </w:rPr>
        <w:t>Written Assignment</w:t>
      </w:r>
    </w:p>
    <w:p w14:paraId="6A05A809" w14:textId="77777777" w:rsidR="00756543" w:rsidRDefault="00756543" w:rsidP="00756543">
      <w:pPr>
        <w:rPr>
          <w:b/>
          <w:sz w:val="36"/>
          <w:lang w:eastAsia="en-GB"/>
        </w:rPr>
      </w:pPr>
    </w:p>
    <w:p w14:paraId="5A39BBE3" w14:textId="77777777" w:rsidR="00756543" w:rsidRDefault="00756543" w:rsidP="00756543">
      <w:pPr>
        <w:rPr>
          <w:b/>
          <w:sz w:val="36"/>
          <w:lang w:eastAsia="en-GB"/>
        </w:rPr>
      </w:pPr>
    </w:p>
    <w:p w14:paraId="6C8DD3D4" w14:textId="2C46910D" w:rsidR="00756543" w:rsidRDefault="00756543" w:rsidP="7D42C052">
      <w:pPr>
        <w:rPr>
          <w:b/>
          <w:bCs/>
          <w:sz w:val="36"/>
          <w:szCs w:val="36"/>
          <w:lang w:eastAsia="en-GB"/>
        </w:rPr>
      </w:pPr>
      <w:r w:rsidRPr="7D42C052">
        <w:rPr>
          <w:b/>
          <w:bCs/>
          <w:sz w:val="36"/>
          <w:szCs w:val="36"/>
          <w:lang w:eastAsia="en-GB"/>
        </w:rPr>
        <w:t>Student name:</w:t>
      </w:r>
      <w:r w:rsidR="37676BDD" w:rsidRPr="7D42C052">
        <w:rPr>
          <w:b/>
          <w:bCs/>
          <w:sz w:val="36"/>
          <w:szCs w:val="36"/>
          <w:lang w:eastAsia="en-GB"/>
        </w:rPr>
        <w:t xml:space="preserve"> Marilyne Cassell</w:t>
      </w:r>
    </w:p>
    <w:p w14:paraId="0E559CC5" w14:textId="1595B373" w:rsidR="00756543" w:rsidRDefault="00756543" w:rsidP="7D42C052">
      <w:pPr>
        <w:rPr>
          <w:b/>
          <w:bCs/>
          <w:sz w:val="36"/>
          <w:szCs w:val="36"/>
          <w:lang w:eastAsia="en-GB"/>
        </w:rPr>
      </w:pPr>
      <w:r w:rsidRPr="7D42C052">
        <w:rPr>
          <w:b/>
          <w:bCs/>
          <w:sz w:val="36"/>
          <w:szCs w:val="36"/>
          <w:lang w:eastAsia="en-GB"/>
        </w:rPr>
        <w:t>Student ID:</w:t>
      </w:r>
      <w:r w:rsidR="7715D6FB" w:rsidRPr="7D42C052">
        <w:rPr>
          <w:b/>
          <w:bCs/>
          <w:sz w:val="36"/>
          <w:szCs w:val="36"/>
          <w:lang w:eastAsia="en-GB"/>
        </w:rPr>
        <w:t xml:space="preserve"> 2529</w:t>
      </w:r>
      <w:r w:rsidR="59DF38A1" w:rsidRPr="7D42C052">
        <w:rPr>
          <w:b/>
          <w:bCs/>
          <w:sz w:val="36"/>
          <w:szCs w:val="36"/>
          <w:lang w:eastAsia="en-GB"/>
        </w:rPr>
        <w:t>83</w:t>
      </w:r>
      <w:r w:rsidR="7715D6FB" w:rsidRPr="7D42C052">
        <w:rPr>
          <w:b/>
          <w:bCs/>
          <w:sz w:val="36"/>
          <w:szCs w:val="36"/>
          <w:lang w:eastAsia="en-GB"/>
        </w:rPr>
        <w:t>9</w:t>
      </w:r>
    </w:p>
    <w:p w14:paraId="22E0FC93" w14:textId="06C7F54B" w:rsidR="00E076F8" w:rsidRPr="00B51199" w:rsidRDefault="00756543" w:rsidP="00B51199">
      <w:pPr>
        <w:rPr>
          <w:b/>
          <w:bCs/>
          <w:sz w:val="36"/>
          <w:szCs w:val="36"/>
          <w:lang w:eastAsia="en-GB"/>
        </w:rPr>
      </w:pPr>
      <w:r w:rsidRPr="7D42C052">
        <w:rPr>
          <w:b/>
          <w:bCs/>
          <w:sz w:val="36"/>
          <w:szCs w:val="36"/>
          <w:lang w:eastAsia="en-GB"/>
        </w:rPr>
        <w:t>Tutor name:</w:t>
      </w:r>
      <w:r w:rsidR="6B531170" w:rsidRPr="7D42C052">
        <w:rPr>
          <w:b/>
          <w:bCs/>
          <w:sz w:val="36"/>
          <w:szCs w:val="36"/>
          <w:lang w:eastAsia="en-GB"/>
        </w:rPr>
        <w:t xml:space="preserve"> Sam Parker</w:t>
      </w:r>
      <w:r w:rsidR="00E56A71">
        <w:rPr>
          <w:rFonts w:eastAsia="Times New Roman"/>
          <w:b/>
          <w:bCs/>
          <w:kern w:val="36"/>
          <w:sz w:val="48"/>
          <w:szCs w:val="48"/>
          <w:lang w:eastAsia="en-GB"/>
        </w:rPr>
        <w:br w:type="page"/>
      </w:r>
      <w:r w:rsidR="00E56A71" w:rsidRPr="005C7CB3">
        <w:rPr>
          <w:b/>
          <w:sz w:val="32"/>
          <w:lang w:eastAsia="en-GB"/>
        </w:rPr>
        <w:lastRenderedPageBreak/>
        <w:t>Table of Contents</w:t>
      </w:r>
    </w:p>
    <w:p w14:paraId="666E202A" w14:textId="77777777" w:rsidR="00756543" w:rsidRDefault="00E56A71">
      <w:pPr>
        <w:pStyle w:val="TOC1"/>
        <w:tabs>
          <w:tab w:val="left" w:pos="480"/>
          <w:tab w:val="right" w:leader="dot" w:pos="9016"/>
        </w:tabs>
        <w:rPr>
          <w:rFonts w:asciiTheme="minorHAnsi" w:eastAsiaTheme="minorEastAsia" w:hAnsiTheme="minorHAnsi" w:cstheme="minorBidi"/>
          <w:noProof/>
          <w:lang w:val="en-US"/>
        </w:rPr>
      </w:pPr>
      <w:r>
        <w:rPr>
          <w:lang w:eastAsia="en-GB"/>
        </w:rPr>
        <w:fldChar w:fldCharType="begin"/>
      </w:r>
      <w:r>
        <w:rPr>
          <w:lang w:eastAsia="en-GB"/>
        </w:rPr>
        <w:instrText xml:space="preserve"> TOC \o "1-3" \h \z \u </w:instrText>
      </w:r>
      <w:r>
        <w:rPr>
          <w:lang w:eastAsia="en-GB"/>
        </w:rPr>
        <w:fldChar w:fldCharType="separate"/>
      </w:r>
      <w:hyperlink w:anchor="_Toc236316819" w:history="1">
        <w:r w:rsidR="00756543" w:rsidRPr="009B48CC">
          <w:rPr>
            <w:rStyle w:val="Hyperlink"/>
            <w:noProof/>
          </w:rPr>
          <w:t>I.</w:t>
        </w:r>
        <w:r w:rsidR="00756543">
          <w:rPr>
            <w:rFonts w:asciiTheme="minorHAnsi" w:eastAsiaTheme="minorEastAsia" w:hAnsiTheme="minorHAnsi" w:cstheme="minorBidi"/>
            <w:noProof/>
            <w:lang w:val="en-US"/>
          </w:rPr>
          <w:tab/>
        </w:r>
        <w:r w:rsidR="00756543" w:rsidRPr="009B48CC">
          <w:rPr>
            <w:rStyle w:val="Hyperlink"/>
            <w:noProof/>
          </w:rPr>
          <w:t>Introduction</w:t>
        </w:r>
        <w:r w:rsidR="00756543">
          <w:rPr>
            <w:noProof/>
            <w:webHidden/>
          </w:rPr>
          <w:tab/>
        </w:r>
        <w:r w:rsidR="00756543">
          <w:rPr>
            <w:noProof/>
            <w:webHidden/>
          </w:rPr>
          <w:fldChar w:fldCharType="begin"/>
        </w:r>
        <w:r w:rsidR="00756543">
          <w:rPr>
            <w:noProof/>
            <w:webHidden/>
          </w:rPr>
          <w:instrText xml:space="preserve"> PAGEREF _Toc236316819 \h </w:instrText>
        </w:r>
        <w:r w:rsidR="00756543">
          <w:rPr>
            <w:noProof/>
            <w:webHidden/>
          </w:rPr>
        </w:r>
        <w:r w:rsidR="00756543">
          <w:rPr>
            <w:noProof/>
            <w:webHidden/>
          </w:rPr>
          <w:fldChar w:fldCharType="separate"/>
        </w:r>
        <w:r w:rsidR="00756543">
          <w:rPr>
            <w:noProof/>
            <w:webHidden/>
          </w:rPr>
          <w:t>2</w:t>
        </w:r>
        <w:r w:rsidR="00756543">
          <w:rPr>
            <w:noProof/>
            <w:webHidden/>
          </w:rPr>
          <w:fldChar w:fldCharType="end"/>
        </w:r>
      </w:hyperlink>
    </w:p>
    <w:p w14:paraId="1C00C8ED" w14:textId="77777777" w:rsidR="00756543" w:rsidRDefault="00756543">
      <w:pPr>
        <w:pStyle w:val="TOC1"/>
        <w:tabs>
          <w:tab w:val="left" w:pos="480"/>
          <w:tab w:val="right" w:leader="dot" w:pos="9016"/>
        </w:tabs>
        <w:rPr>
          <w:rFonts w:asciiTheme="minorHAnsi" w:eastAsiaTheme="minorEastAsia" w:hAnsiTheme="minorHAnsi" w:cstheme="minorBidi"/>
          <w:noProof/>
          <w:lang w:val="en-US"/>
        </w:rPr>
      </w:pPr>
      <w:hyperlink w:anchor="_Toc236316820" w:history="1">
        <w:r w:rsidRPr="009B48CC">
          <w:rPr>
            <w:rStyle w:val="Hyperlink"/>
            <w:noProof/>
          </w:rPr>
          <w:t>II.</w:t>
        </w:r>
        <w:r>
          <w:rPr>
            <w:rFonts w:asciiTheme="minorHAnsi" w:eastAsiaTheme="minorEastAsia" w:hAnsiTheme="minorHAnsi" w:cstheme="minorBidi"/>
            <w:noProof/>
            <w:lang w:val="en-US"/>
          </w:rPr>
          <w:tab/>
        </w:r>
        <w:r w:rsidRPr="009B48CC">
          <w:rPr>
            <w:rStyle w:val="Hyperlink"/>
            <w:noProof/>
          </w:rPr>
          <w:t>Importance of Effective Communication</w:t>
        </w:r>
        <w:r>
          <w:rPr>
            <w:noProof/>
            <w:webHidden/>
          </w:rPr>
          <w:tab/>
        </w:r>
        <w:r>
          <w:rPr>
            <w:noProof/>
            <w:webHidden/>
          </w:rPr>
          <w:fldChar w:fldCharType="begin"/>
        </w:r>
        <w:r>
          <w:rPr>
            <w:noProof/>
            <w:webHidden/>
          </w:rPr>
          <w:instrText xml:space="preserve"> PAGEREF _Toc236316820 \h </w:instrText>
        </w:r>
        <w:r>
          <w:rPr>
            <w:noProof/>
            <w:webHidden/>
          </w:rPr>
        </w:r>
        <w:r>
          <w:rPr>
            <w:noProof/>
            <w:webHidden/>
          </w:rPr>
          <w:fldChar w:fldCharType="separate"/>
        </w:r>
        <w:r>
          <w:rPr>
            <w:noProof/>
            <w:webHidden/>
          </w:rPr>
          <w:t>2</w:t>
        </w:r>
        <w:r>
          <w:rPr>
            <w:noProof/>
            <w:webHidden/>
          </w:rPr>
          <w:fldChar w:fldCharType="end"/>
        </w:r>
      </w:hyperlink>
    </w:p>
    <w:p w14:paraId="59B28777" w14:textId="77777777" w:rsidR="00756543" w:rsidRDefault="00756543">
      <w:pPr>
        <w:pStyle w:val="TOC1"/>
        <w:tabs>
          <w:tab w:val="left" w:pos="660"/>
          <w:tab w:val="right" w:leader="dot" w:pos="9016"/>
        </w:tabs>
        <w:rPr>
          <w:rFonts w:asciiTheme="minorHAnsi" w:eastAsiaTheme="minorEastAsia" w:hAnsiTheme="minorHAnsi" w:cstheme="minorBidi"/>
          <w:noProof/>
          <w:lang w:val="en-US"/>
        </w:rPr>
      </w:pPr>
      <w:hyperlink w:anchor="_Toc236316821" w:history="1">
        <w:r w:rsidRPr="009B48CC">
          <w:rPr>
            <w:rStyle w:val="Hyperlink"/>
            <w:noProof/>
          </w:rPr>
          <w:t>III.</w:t>
        </w:r>
        <w:r>
          <w:rPr>
            <w:rFonts w:asciiTheme="minorHAnsi" w:eastAsiaTheme="minorEastAsia" w:hAnsiTheme="minorHAnsi" w:cstheme="minorBidi"/>
            <w:noProof/>
            <w:lang w:val="en-US"/>
          </w:rPr>
          <w:tab/>
        </w:r>
        <w:r w:rsidRPr="009B48CC">
          <w:rPr>
            <w:rStyle w:val="Hyperlink"/>
            <w:noProof/>
          </w:rPr>
          <w:t>Good Administrative Skills and Record Keeping</w:t>
        </w:r>
        <w:r>
          <w:rPr>
            <w:noProof/>
            <w:webHidden/>
          </w:rPr>
          <w:tab/>
        </w:r>
        <w:r>
          <w:rPr>
            <w:noProof/>
            <w:webHidden/>
          </w:rPr>
          <w:fldChar w:fldCharType="begin"/>
        </w:r>
        <w:r>
          <w:rPr>
            <w:noProof/>
            <w:webHidden/>
          </w:rPr>
          <w:instrText xml:space="preserve"> PAGEREF _Toc236316821 \h </w:instrText>
        </w:r>
        <w:r>
          <w:rPr>
            <w:noProof/>
            <w:webHidden/>
          </w:rPr>
        </w:r>
        <w:r>
          <w:rPr>
            <w:noProof/>
            <w:webHidden/>
          </w:rPr>
          <w:fldChar w:fldCharType="separate"/>
        </w:r>
        <w:r>
          <w:rPr>
            <w:noProof/>
            <w:webHidden/>
          </w:rPr>
          <w:t>4</w:t>
        </w:r>
        <w:r>
          <w:rPr>
            <w:noProof/>
            <w:webHidden/>
          </w:rPr>
          <w:fldChar w:fldCharType="end"/>
        </w:r>
      </w:hyperlink>
    </w:p>
    <w:p w14:paraId="39AE2024" w14:textId="77777777" w:rsidR="00756543" w:rsidRDefault="00756543">
      <w:pPr>
        <w:pStyle w:val="TOC1"/>
        <w:tabs>
          <w:tab w:val="left" w:pos="660"/>
          <w:tab w:val="right" w:leader="dot" w:pos="9016"/>
        </w:tabs>
        <w:rPr>
          <w:rFonts w:asciiTheme="minorHAnsi" w:eastAsiaTheme="minorEastAsia" w:hAnsiTheme="minorHAnsi" w:cstheme="minorBidi"/>
          <w:noProof/>
          <w:lang w:val="en-US"/>
        </w:rPr>
      </w:pPr>
      <w:hyperlink w:anchor="_Toc236316822" w:history="1">
        <w:r w:rsidRPr="009B48CC">
          <w:rPr>
            <w:rStyle w:val="Hyperlink"/>
            <w:noProof/>
          </w:rPr>
          <w:t>IV.</w:t>
        </w:r>
        <w:r>
          <w:rPr>
            <w:rFonts w:asciiTheme="minorHAnsi" w:eastAsiaTheme="minorEastAsia" w:hAnsiTheme="minorHAnsi" w:cstheme="minorBidi"/>
            <w:noProof/>
            <w:lang w:val="en-US"/>
          </w:rPr>
          <w:tab/>
        </w:r>
        <w:r w:rsidRPr="009B48CC">
          <w:rPr>
            <w:rStyle w:val="Hyperlink"/>
            <w:noProof/>
          </w:rPr>
          <w:t>Partnership Working</w:t>
        </w:r>
        <w:r>
          <w:rPr>
            <w:noProof/>
            <w:webHidden/>
          </w:rPr>
          <w:tab/>
        </w:r>
        <w:r>
          <w:rPr>
            <w:noProof/>
            <w:webHidden/>
          </w:rPr>
          <w:fldChar w:fldCharType="begin"/>
        </w:r>
        <w:r>
          <w:rPr>
            <w:noProof/>
            <w:webHidden/>
          </w:rPr>
          <w:instrText xml:space="preserve"> PAGEREF _Toc236316822 \h </w:instrText>
        </w:r>
        <w:r>
          <w:rPr>
            <w:noProof/>
            <w:webHidden/>
          </w:rPr>
        </w:r>
        <w:r>
          <w:rPr>
            <w:noProof/>
            <w:webHidden/>
          </w:rPr>
          <w:fldChar w:fldCharType="separate"/>
        </w:r>
        <w:r>
          <w:rPr>
            <w:noProof/>
            <w:webHidden/>
          </w:rPr>
          <w:t>5</w:t>
        </w:r>
        <w:r>
          <w:rPr>
            <w:noProof/>
            <w:webHidden/>
          </w:rPr>
          <w:fldChar w:fldCharType="end"/>
        </w:r>
      </w:hyperlink>
    </w:p>
    <w:p w14:paraId="6562222E" w14:textId="77777777" w:rsidR="00756543" w:rsidRDefault="00756543">
      <w:pPr>
        <w:pStyle w:val="TOC1"/>
        <w:tabs>
          <w:tab w:val="left" w:pos="480"/>
          <w:tab w:val="right" w:leader="dot" w:pos="9016"/>
        </w:tabs>
        <w:rPr>
          <w:rFonts w:asciiTheme="minorHAnsi" w:eastAsiaTheme="minorEastAsia" w:hAnsiTheme="minorHAnsi" w:cstheme="minorBidi"/>
          <w:noProof/>
          <w:lang w:val="en-US"/>
        </w:rPr>
      </w:pPr>
      <w:hyperlink w:anchor="_Toc236316823" w:history="1">
        <w:r w:rsidRPr="009B48CC">
          <w:rPr>
            <w:rStyle w:val="Hyperlink"/>
            <w:noProof/>
            <w:lang w:eastAsia="en-GB"/>
          </w:rPr>
          <w:t>V.</w:t>
        </w:r>
        <w:r>
          <w:rPr>
            <w:rFonts w:asciiTheme="minorHAnsi" w:eastAsiaTheme="minorEastAsia" w:hAnsiTheme="minorHAnsi" w:cstheme="minorBidi"/>
            <w:noProof/>
            <w:lang w:val="en-US"/>
          </w:rPr>
          <w:tab/>
        </w:r>
        <w:r w:rsidRPr="009B48CC">
          <w:rPr>
            <w:rStyle w:val="Hyperlink"/>
            <w:noProof/>
            <w:lang w:eastAsia="en-GB"/>
          </w:rPr>
          <w:t>Conclusion</w:t>
        </w:r>
        <w:r>
          <w:rPr>
            <w:noProof/>
            <w:webHidden/>
          </w:rPr>
          <w:tab/>
        </w:r>
        <w:r>
          <w:rPr>
            <w:noProof/>
            <w:webHidden/>
          </w:rPr>
          <w:fldChar w:fldCharType="begin"/>
        </w:r>
        <w:r>
          <w:rPr>
            <w:noProof/>
            <w:webHidden/>
          </w:rPr>
          <w:instrText xml:space="preserve"> PAGEREF _Toc236316823 \h </w:instrText>
        </w:r>
        <w:r>
          <w:rPr>
            <w:noProof/>
            <w:webHidden/>
          </w:rPr>
        </w:r>
        <w:r>
          <w:rPr>
            <w:noProof/>
            <w:webHidden/>
          </w:rPr>
          <w:fldChar w:fldCharType="separate"/>
        </w:r>
        <w:r>
          <w:rPr>
            <w:noProof/>
            <w:webHidden/>
          </w:rPr>
          <w:t>5</w:t>
        </w:r>
        <w:r>
          <w:rPr>
            <w:noProof/>
            <w:webHidden/>
          </w:rPr>
          <w:fldChar w:fldCharType="end"/>
        </w:r>
      </w:hyperlink>
    </w:p>
    <w:p w14:paraId="292B40C2" w14:textId="77777777" w:rsidR="00756543" w:rsidRDefault="00756543">
      <w:pPr>
        <w:pStyle w:val="TOC1"/>
        <w:tabs>
          <w:tab w:val="right" w:leader="dot" w:pos="9016"/>
        </w:tabs>
        <w:rPr>
          <w:rFonts w:asciiTheme="minorHAnsi" w:eastAsiaTheme="minorEastAsia" w:hAnsiTheme="minorHAnsi" w:cstheme="minorBidi"/>
          <w:noProof/>
          <w:lang w:val="en-US"/>
        </w:rPr>
      </w:pPr>
      <w:hyperlink w:anchor="_Toc236316824" w:history="1">
        <w:r w:rsidRPr="009B48CC">
          <w:rPr>
            <w:rStyle w:val="Hyperlink"/>
            <w:noProof/>
            <w:lang w:eastAsia="en-GB"/>
          </w:rPr>
          <w:t>Reference List</w:t>
        </w:r>
        <w:r>
          <w:rPr>
            <w:noProof/>
            <w:webHidden/>
          </w:rPr>
          <w:tab/>
        </w:r>
        <w:r>
          <w:rPr>
            <w:noProof/>
            <w:webHidden/>
          </w:rPr>
          <w:fldChar w:fldCharType="begin"/>
        </w:r>
        <w:r>
          <w:rPr>
            <w:noProof/>
            <w:webHidden/>
          </w:rPr>
          <w:instrText xml:space="preserve"> PAGEREF _Toc236316824 \h </w:instrText>
        </w:r>
        <w:r>
          <w:rPr>
            <w:noProof/>
            <w:webHidden/>
          </w:rPr>
        </w:r>
        <w:r>
          <w:rPr>
            <w:noProof/>
            <w:webHidden/>
          </w:rPr>
          <w:fldChar w:fldCharType="separate"/>
        </w:r>
        <w:r>
          <w:rPr>
            <w:noProof/>
            <w:webHidden/>
          </w:rPr>
          <w:t>7</w:t>
        </w:r>
        <w:r>
          <w:rPr>
            <w:noProof/>
            <w:webHidden/>
          </w:rPr>
          <w:fldChar w:fldCharType="end"/>
        </w:r>
      </w:hyperlink>
    </w:p>
    <w:p w14:paraId="72A3D3EC" w14:textId="77777777" w:rsidR="00C655F1" w:rsidRPr="00C655F1" w:rsidRDefault="00E56A71" w:rsidP="00C655F1">
      <w:pPr>
        <w:rPr>
          <w:lang w:eastAsia="en-GB"/>
        </w:rPr>
      </w:pPr>
      <w:r>
        <w:rPr>
          <w:lang w:eastAsia="en-GB"/>
        </w:rPr>
        <w:fldChar w:fldCharType="end"/>
      </w:r>
    </w:p>
    <w:p w14:paraId="0D0B940D" w14:textId="77777777" w:rsidR="00E076F8" w:rsidRDefault="00E56A71">
      <w:pPr>
        <w:spacing w:line="259" w:lineRule="auto"/>
        <w:jc w:val="left"/>
        <w:rPr>
          <w:b/>
          <w:sz w:val="32"/>
        </w:rPr>
      </w:pPr>
      <w:r>
        <w:br w:type="page"/>
      </w:r>
    </w:p>
    <w:p w14:paraId="3E7A9F1C" w14:textId="77777777" w:rsidR="00E86472" w:rsidRPr="00E86472" w:rsidRDefault="00E56A71" w:rsidP="00E86472">
      <w:pPr>
        <w:pStyle w:val="Heading1"/>
      </w:pPr>
      <w:bookmarkStart w:id="0" w:name="_Toc236316819"/>
      <w:r w:rsidRPr="00E86472">
        <w:lastRenderedPageBreak/>
        <w:t>Introduction</w:t>
      </w:r>
      <w:bookmarkEnd w:id="0"/>
    </w:p>
    <w:p w14:paraId="2FE07519" w14:textId="77777777" w:rsidR="00E86472" w:rsidRDefault="00E56A71" w:rsidP="00756543">
      <w:r>
        <w:t>Mrs Thompson is an older adult who suffers from mild dementia and has recently been discharged from hospital. During this time, she has become confused, forgotten her medication dosages and had a safeguarding concern when she was found outside in the cold. There are around 500,000 people in England with a recorded diagnosis of dementia, and this is set to rise as the population ages, according to NHS England (2025). NHS England (2025a) also stated that more than half a million people are living with a diagnosed dementia condition, and need co-ordinated support from GPs, community nurses, pharmacists, carers and social care.</w:t>
      </w:r>
    </w:p>
    <w:p w14:paraId="16BEA500" w14:textId="77777777" w:rsidR="00E86472" w:rsidRDefault="00E56A71" w:rsidP="00756543">
      <w:r>
        <w:t>This report will explore the key role that effective communication, accurate record keeping and working in partnership play in providing safe and person-centred care to vulnerable people such as Mrs Thompson. It is based on relevant legislation, including the Equality Act 2010, Data Protection Act 2018, Care Act 2014, and Health and Social Care Act 2012, as well as theoretical frameworks such as McCormack and McCance's person-centred care framework and Argyle's Communication Cycle. The report illustrates the importance of coordinated multidisciplinary practice in the context of Mrs Thompson, and how this can improve the safety, dignity and outcomes for older people with dementia.</w:t>
      </w:r>
    </w:p>
    <w:p w14:paraId="51C9E5B6" w14:textId="77777777" w:rsidR="00E86472" w:rsidRDefault="00E56A71" w:rsidP="00E86472">
      <w:pPr>
        <w:pStyle w:val="Heading1"/>
      </w:pPr>
      <w:bookmarkStart w:id="1" w:name="_Toc236316820"/>
      <w:r>
        <w:t>Importance of Effective Communication</w:t>
      </w:r>
      <w:bookmarkEnd w:id="1"/>
    </w:p>
    <w:p w14:paraId="491B4E21" w14:textId="77777777" w:rsidR="00857EAD" w:rsidRDefault="00E56A71" w:rsidP="00857EAD">
      <w:r>
        <w:t xml:space="preserve">Communication in a dementia setting is best person-centred. McCormack and McCance (2021) posit that staff interactions should be flexed according to the individual's values, preferences and life history. That is, being aware of Mrs. Thompson's past and routine to make it personal for her. Harris et al. (2024) noted that the guidelines on communicating with people with dementia stress </w:t>
      </w:r>
      <w:r w:rsidRPr="00756543">
        <w:t>supporting communication strengths</w:t>
      </w:r>
      <w:r>
        <w:t xml:space="preserve"> and </w:t>
      </w:r>
      <w:r w:rsidR="00756543" w:rsidRPr="00756543">
        <w:t>knowing the individual</w:t>
      </w:r>
      <w:r w:rsidRPr="00756543">
        <w:t xml:space="preserve">. </w:t>
      </w:r>
      <w:proofErr w:type="gramStart"/>
      <w:r>
        <w:t>In reality, a</w:t>
      </w:r>
      <w:proofErr w:type="gramEnd"/>
      <w:r>
        <w:t xml:space="preserve"> carer may start at eye l</w:t>
      </w:r>
      <w:r w:rsidR="00756543">
        <w:t>evel, talk in simple sentences not too fast and use familiar words allow time to process</w:t>
      </w:r>
      <w:r>
        <w:t xml:space="preserve">. The use of respectful listening and asking one question at a time is conducive to maintaining the person's dignity, according to Alsawy et al. (2017). For instance, when Argyle gives feedback to Mrs Thompson, reminding her to take her antibiotics, he might say, </w:t>
      </w:r>
      <w:r w:rsidRPr="00756543">
        <w:t>Mrs</w:t>
      </w:r>
      <w:r w:rsidR="00756543" w:rsidRPr="00756543">
        <w:t xml:space="preserve"> T., please take this pill now.</w:t>
      </w:r>
      <w:r>
        <w:t xml:space="preserve"> Then, take a break to wait for Mrs Thompson's response. If Mrs Thompson appears confused, the carer reformulates the instruction or demons</w:t>
      </w:r>
      <w:r w:rsidR="00756543">
        <w:t xml:space="preserve">trates the meaning of the pill </w:t>
      </w:r>
      <w:r>
        <w:t xml:space="preserve">using the same approach </w:t>
      </w:r>
      <w:r w:rsidR="00756543">
        <w:t>as Argyle's Communication Cycle</w:t>
      </w:r>
      <w:r>
        <w:t>. This is an iterative, back-and-forth process that leads to understanding: Argyle (1972) said that communication is a process that involves the sending, receiving and confirming of messages.</w:t>
      </w:r>
    </w:p>
    <w:p w14:paraId="2ECAEAE2" w14:textId="77777777" w:rsidR="00857EAD" w:rsidRDefault="00E56A71" w:rsidP="00857EAD">
      <w:r>
        <w:t xml:space="preserve">Such flexible and adaptable communication is necessary. Ismail et al. (2026) found that communication strategies </w:t>
      </w:r>
      <w:proofErr w:type="gramStart"/>
      <w:r>
        <w:t>have to</w:t>
      </w:r>
      <w:proofErr w:type="gramEnd"/>
      <w:r>
        <w:t xml:space="preserve"> be adapted to the cognitive level and context and that the use of language may be greatly enhanced </w:t>
      </w:r>
      <w:proofErr w:type="gramStart"/>
      <w:r>
        <w:t>by the use of</w:t>
      </w:r>
      <w:proofErr w:type="gramEnd"/>
      <w:r>
        <w:t xml:space="preserve"> nonverbal cues. Similarly, Harris et </w:t>
      </w:r>
      <w:r>
        <w:lastRenderedPageBreak/>
        <w:t xml:space="preserve">al. (2024) noted that there are important strategies for implementing online dementia advice: 'adapting communication for the situation' and </w:t>
      </w:r>
      <w:r w:rsidRPr="00A47DE1">
        <w:rPr>
          <w:i/>
        </w:rPr>
        <w:t>‘providing emotional safety’.</w:t>
      </w:r>
      <w:r>
        <w:t xml:space="preserve"> This might include asking short, yes/no questions </w:t>
      </w:r>
      <w:r w:rsidR="00756543" w:rsidRPr="00756543">
        <w:t>Are you feeling cold</w:t>
      </w:r>
      <w:r w:rsidRPr="00756543">
        <w:t>,</w:t>
      </w:r>
      <w:r>
        <w:t xml:space="preserve"> employing gestures (pointing to the door if outside is cold), or visual memory supports (such as a calendar or medication chart). National guidance in relation to dementia</w:t>
      </w:r>
      <w:r w:rsidR="00756543">
        <w:t xml:space="preserve"> care promotes the use of such lay person</w:t>
      </w:r>
      <w:r>
        <w:t xml:space="preserve"> and patient communication, as this will support memory and comfort (Alsawy et al., 2017; Ismail et al., 2026).</w:t>
      </w:r>
    </w:p>
    <w:p w14:paraId="7D62B8CF" w14:textId="77777777" w:rsidR="00857EAD" w:rsidRDefault="00E56A71" w:rsidP="00857EAD">
      <w:r>
        <w:t xml:space="preserve">It's also important to involve family members. Smith et al. (2021) commented that informal carers should be regarded as “equal partners in care provision and decision making”. This means that Mrs Thompson is actively communicating with her daughter or family member about her care plans. A GP or district nurse should explain a medicine schedule to the </w:t>
      </w:r>
      <w:proofErr w:type="gramStart"/>
      <w:r>
        <w:t>family, and</w:t>
      </w:r>
      <w:proofErr w:type="gramEnd"/>
      <w:r>
        <w:t xml:space="preserve"> ask for questions and concerns. Family involvement can be used to reinforce messages: a daughter could help to ensure that Mrs Thompson understands her medication </w:t>
      </w:r>
      <w:proofErr w:type="gramStart"/>
      <w:r>
        <w:t>routine, and</w:t>
      </w:r>
      <w:proofErr w:type="gramEnd"/>
      <w:r>
        <w:t xml:space="preserve"> remind her of appointments. Good communication with family also hel</w:t>
      </w:r>
      <w:r w:rsidR="00756543">
        <w:t>ps with capacity if</w:t>
      </w:r>
      <w:r>
        <w:t xml:space="preserve"> Mrs Thompson's dementia becomes more severe, family will be needed to make decisions in her best interest (Dixon et al 2025). To sum up, multi-way communication guarantees that everyone knows what is happening and carers not part of the health service are involved in Mrs. Thompson's care.</w:t>
      </w:r>
    </w:p>
    <w:p w14:paraId="2E8B4B19" w14:textId="77777777" w:rsidR="00857EAD" w:rsidRDefault="00E56A71" w:rsidP="00857EAD">
      <w:proofErr w:type="gramStart"/>
      <w:r>
        <w:t>Last but not least</w:t>
      </w:r>
      <w:proofErr w:type="gramEnd"/>
      <w:r>
        <w:t xml:space="preserve">, all communication will have to comply with the Equality Act 2010. Under the Act, a person with dementia is a protected disability, and Mrs Thompson has a right to reasonable adjustments to communication. Under the law, health providers </w:t>
      </w:r>
      <w:r w:rsidRPr="00756543">
        <w:t xml:space="preserve">must remove barriers individuals face </w:t>
      </w:r>
      <w:proofErr w:type="gramStart"/>
      <w:r w:rsidRPr="00756543">
        <w:t>as</w:t>
      </w:r>
      <w:r w:rsidR="00756543">
        <w:t xml:space="preserve"> a result of</w:t>
      </w:r>
      <w:proofErr w:type="gramEnd"/>
      <w:r w:rsidR="00756543">
        <w:t xml:space="preserve"> their</w:t>
      </w:r>
      <w:r w:rsidR="00756543" w:rsidRPr="00756543">
        <w:t xml:space="preserve"> disability</w:t>
      </w:r>
      <w:r w:rsidRPr="00A816CA">
        <w:rPr>
          <w:i/>
        </w:rPr>
        <w:t xml:space="preserve">. </w:t>
      </w:r>
      <w:r>
        <w:t>In practice, this means that staff will have to change their manner of speaking. A GP letter reporting test results, for example, shou</w:t>
      </w:r>
      <w:r w:rsidR="00756543">
        <w:t>ld be written in plain English or large print to</w:t>
      </w:r>
      <w:r>
        <w:t xml:space="preserve"> make it easier for people to understand what is written; appointment reminders may involve a telephone call in the case of anxiety in the waiting room. The NHS states </w:t>
      </w:r>
      <w:proofErr w:type="gramStart"/>
      <w:r>
        <w:t>in particular that</w:t>
      </w:r>
      <w:proofErr w:type="gramEnd"/>
      <w:r>
        <w:t xml:space="preserve"> changes such as communication charts for dementia are recommended. Carers ensure information is accessible, for example, additional time, a quiet environment, prompts to memory, thus complying with the Equality Act and the principles of person-centred care (McCormack </w:t>
      </w:r>
      <w:r w:rsidR="00CE6FE4">
        <w:t>and</w:t>
      </w:r>
      <w:r>
        <w:t xml:space="preserve"> McCance, 2021). This legal support will make it clear that changing </w:t>
      </w:r>
      <w:r w:rsidR="00756543">
        <w:t>communication is not an option it</w:t>
      </w:r>
      <w:r>
        <w:t xml:space="preserve"> is a necessity for ensuring that Mrs Thompson is treated fairly and maintained in good health.</w:t>
      </w:r>
    </w:p>
    <w:p w14:paraId="0E27B00A" w14:textId="77777777" w:rsidR="00756543" w:rsidRDefault="00756543" w:rsidP="00857EAD"/>
    <w:p w14:paraId="60061E4C" w14:textId="77777777" w:rsidR="00756543" w:rsidRDefault="00756543" w:rsidP="00857EAD"/>
    <w:p w14:paraId="44EAFD9C" w14:textId="77777777" w:rsidR="00756543" w:rsidRDefault="00756543" w:rsidP="00857EAD"/>
    <w:p w14:paraId="4B94D5A5" w14:textId="77777777" w:rsidR="00756543" w:rsidRDefault="00756543" w:rsidP="00857EAD"/>
    <w:p w14:paraId="3DEEC669" w14:textId="77777777" w:rsidR="00756543" w:rsidRDefault="00756543" w:rsidP="00857EAD"/>
    <w:p w14:paraId="2DFA7F58" w14:textId="77777777" w:rsidR="00E86472" w:rsidRDefault="00E56A71" w:rsidP="00E86472">
      <w:pPr>
        <w:pStyle w:val="Heading1"/>
      </w:pPr>
      <w:bookmarkStart w:id="2" w:name="_Toc236316821"/>
      <w:r w:rsidRPr="00E86472">
        <w:lastRenderedPageBreak/>
        <w:t>Good Administrative Skills and Record Keeping</w:t>
      </w:r>
      <w:bookmarkEnd w:id="2"/>
      <w:r w:rsidRPr="00E86472">
        <w:t xml:space="preserve"> </w:t>
      </w:r>
    </w:p>
    <w:p w14:paraId="6B5C0095" w14:textId="77777777" w:rsidR="00E86472" w:rsidRDefault="00E56A71" w:rsidP="00E86472">
      <w:r>
        <w:t>Administrative skills and record keeping are essential for continuity, safety and accountability. Good records should be accurate, factual, timely, legible, confidential and complete. In the last year (April 2025 data), the proportion of all people with a recorded dementia diagnosis who had a dementia care plan or review was around 72.7%, with only 6.5% having a care plan with a medication review. This statistic highlights the level of risk, such as Mrs Thompson's not taking her medication as well as the need for a timely review.</w:t>
      </w:r>
    </w:p>
    <w:p w14:paraId="0623EA36" w14:textId="77777777" w:rsidR="00E86472" w:rsidRDefault="00756543" w:rsidP="00E86472">
      <w:r>
        <w:t>For Mrs Thompson, every event</w:t>
      </w:r>
      <w:r w:rsidR="00E56A71">
        <w:t xml:space="preserve"> missed doses, cold-weather incident, hospital</w:t>
      </w:r>
      <w:r>
        <w:t xml:space="preserve"> discharge and council reviews must</w:t>
      </w:r>
      <w:r w:rsidR="00E56A71">
        <w:t xml:space="preserve"> be documented properly to avoid any mistakes, help with continuity and safeguarding. As Smith et al. (2021) found in their qualitative evidence synthesis on integrated dementia care experiences, poor records might result in repeat admissions, medication issues, and lawsuits.</w:t>
      </w:r>
      <w:r w:rsidR="00045747">
        <w:t xml:space="preserve"> </w:t>
      </w:r>
      <w:r w:rsidR="00E56A71">
        <w:t>The Data Protection Act 2018 is the legislation that regulates the processing of personal informati</w:t>
      </w:r>
      <w:r>
        <w:t xml:space="preserve">on, with a focus on </w:t>
      </w:r>
      <w:r w:rsidR="00E56A71">
        <w:t>lawful processing, accuracy, security, confide</w:t>
      </w:r>
      <w:r>
        <w:t>ntiality, and data minimisation</w:t>
      </w:r>
      <w:r w:rsidR="00E56A71">
        <w:t>. These principles have been outlined by legislation.gov.uk (2018) and match the UK GDPR. Mrs Thompson feels only involved professionals should have access to her records and believes consent should be necessary for the sharing of family information or by law. This helps to safeguard her rights and facilitates care coordination.</w:t>
      </w:r>
    </w:p>
    <w:p w14:paraId="50794788" w14:textId="77777777" w:rsidR="00E86472" w:rsidRDefault="00E56A71" w:rsidP="00E86472">
      <w:r>
        <w:t>The Care Act 2014 includes provisions for local authorities to fulfil duties to prevent neglect (including in relation to adults), and the Health and Social Care Act 2012 will support integrated services. These frameworks have been set out in legislation.gov.uk (2014, 2026, 2012). Yates et al. (2021) highlighted the difficulties in disclosure of the diagnosis and continued care documentation, highlighting the importance of good records in the case of dementia.</w:t>
      </w:r>
    </w:p>
    <w:p w14:paraId="3D8DEC1C" w14:textId="77777777" w:rsidR="00E86472" w:rsidRDefault="00E56A71" w:rsidP="00E86472">
      <w:r>
        <w:t>Shared records were identified as a key element of coordination of health and care services for older people with dementia in the study by Österholm et al. (2023). Poor documentation in Mrs Thompson's care, if used at a critical level, could increase the risk to her safety and health, including the risk of falling, which Campbell (2026) has estimated costs the NHS approximately £4.4 billion each year and is the most common cause of injury-related deaths for those over age 65.</w:t>
      </w:r>
      <w:r w:rsidR="00045747">
        <w:t xml:space="preserve"> </w:t>
      </w:r>
      <w:r>
        <w:t xml:space="preserve">Vulnerable adults are therefore </w:t>
      </w:r>
      <w:proofErr w:type="gramStart"/>
      <w:r>
        <w:t>protected</w:t>
      </w:r>
      <w:proofErr w:type="gramEnd"/>
      <w:r>
        <w:t xml:space="preserve"> and professional practices are maintained through good administration.</w:t>
      </w:r>
    </w:p>
    <w:p w14:paraId="3656B9AB" w14:textId="77777777" w:rsidR="00756543" w:rsidRDefault="00756543" w:rsidP="00E86472"/>
    <w:p w14:paraId="45FB0818" w14:textId="77777777" w:rsidR="00756543" w:rsidRDefault="00756543" w:rsidP="00E86472"/>
    <w:p w14:paraId="049F31CB" w14:textId="77777777" w:rsidR="00756543" w:rsidRDefault="00756543" w:rsidP="00E86472"/>
    <w:p w14:paraId="53128261" w14:textId="77777777" w:rsidR="00756543" w:rsidRDefault="00756543" w:rsidP="00E86472"/>
    <w:p w14:paraId="62486C05" w14:textId="77777777" w:rsidR="00756543" w:rsidRDefault="00756543" w:rsidP="00E86472"/>
    <w:p w14:paraId="4101652C" w14:textId="77777777" w:rsidR="00756543" w:rsidRDefault="00756543" w:rsidP="00E86472"/>
    <w:p w14:paraId="0751C2EC" w14:textId="77777777" w:rsidR="00E86472" w:rsidRDefault="00E56A71" w:rsidP="00E86472">
      <w:pPr>
        <w:pStyle w:val="Heading1"/>
      </w:pPr>
      <w:bookmarkStart w:id="3" w:name="_Toc236316822"/>
      <w:r w:rsidRPr="00E86472">
        <w:lastRenderedPageBreak/>
        <w:t>Partnership Working</w:t>
      </w:r>
      <w:bookmarkEnd w:id="3"/>
      <w:r w:rsidRPr="00E86472">
        <w:t xml:space="preserve"> </w:t>
      </w:r>
    </w:p>
    <w:p w14:paraId="05223125" w14:textId="77777777" w:rsidR="00E86472" w:rsidRDefault="00E56A71" w:rsidP="00E86472">
      <w:r>
        <w:t>Partnership working is about professionals taking responsibility for co-ordinated person-centred care. As the population ages, the scale of dementia is one of the greatest health and s</w:t>
      </w:r>
      <w:r w:rsidR="00756543">
        <w:t>ocial care challenges in the UK</w:t>
      </w:r>
      <w:r>
        <w:t xml:space="preserve"> this requires multidisciplinary working, further highlighted by NHS England (2025a).</w:t>
      </w:r>
      <w:r w:rsidR="00045747">
        <w:t xml:space="preserve"> </w:t>
      </w:r>
      <w:r>
        <w:t>The key professionals working with Mrs Thompson are her GP to review her medication and monitor her health, community nurses for recovery and dementia assessment, domiciliary care workers to provide day-to-day support and prompt, pharmacists for medication compliance and review, and social workers for safeguarding and care review. In their scoping review, Johannes Österholm et al. (2023) showed the need to map this type of coordination.</w:t>
      </w:r>
    </w:p>
    <w:p w14:paraId="62AF9025" w14:textId="77777777" w:rsidR="00E86472" w:rsidRDefault="00E56A71" w:rsidP="00E86472">
      <w:r>
        <w:t xml:space="preserve">Collaborative practice such as multidisciplinary team (MDT) meetings, shared care plans, electronic records and regular meetings </w:t>
      </w:r>
      <w:proofErr w:type="gramStart"/>
      <w:r>
        <w:t>encourage</w:t>
      </w:r>
      <w:proofErr w:type="gramEnd"/>
      <w:r>
        <w:t xml:space="preserve"> effective working partnerships. When integration happens, Smith et al. (2021) noted positive experiences.</w:t>
      </w:r>
      <w:r w:rsidR="00045747">
        <w:t xml:space="preserve"> </w:t>
      </w:r>
      <w:r>
        <w:t>Issues such as communication problems, slow feedback, privacy issues and varied priorities pose challenges. A solution to these is good documentation, shared objectives, mutual respect, leadership and technology. McCormack and McCance (2021) stated that collaborative working is the foundation for the success of person-centred practice.</w:t>
      </w:r>
      <w:r w:rsidR="00045747">
        <w:t xml:space="preserve"> </w:t>
      </w:r>
      <w:r>
        <w:t>Strong partnership would mean that medication reviews, fall prevention and comprehensive support would be addressed, minimising risks identified by Campbell (2026) for Mrs Thompson.</w:t>
      </w:r>
    </w:p>
    <w:p w14:paraId="0B1A40C9" w14:textId="77777777" w:rsidR="00E86472" w:rsidRDefault="00E56A71" w:rsidP="00943D25">
      <w:pPr>
        <w:pStyle w:val="Heading1"/>
        <w:rPr>
          <w:lang w:eastAsia="en-GB"/>
        </w:rPr>
      </w:pPr>
      <w:bookmarkStart w:id="4" w:name="_Toc236316823"/>
      <w:r w:rsidRPr="006A31C4">
        <w:rPr>
          <w:lang w:eastAsia="en-GB"/>
        </w:rPr>
        <w:t>Conclusion</w:t>
      </w:r>
      <w:bookmarkEnd w:id="4"/>
      <w:r w:rsidRPr="006A31C4">
        <w:rPr>
          <w:lang w:eastAsia="en-GB"/>
        </w:rPr>
        <w:t xml:space="preserve"> </w:t>
      </w:r>
    </w:p>
    <w:p w14:paraId="15B18A74" w14:textId="77777777" w:rsidR="00857EAD" w:rsidRDefault="00E56A71" w:rsidP="00C655F1">
      <w:proofErr w:type="gramStart"/>
      <w:r>
        <w:t>Thus,  Mrs</w:t>
      </w:r>
      <w:proofErr w:type="gramEnd"/>
      <w:r>
        <w:t xml:space="preserve"> Thompson’s case demonstrates that effective communication, accurate record keeping and strong partnership working are fundamental to delivering safe, person-centred dementia care. Applying Argyle’s Communication Cycle, the Person-Centred Care Framework, and key legislation, including the Equality Act 2010, the Data Protection Act 2018 and the Care Act 2014, supports high-quality practice. As highlighted above, dementia remains one of England's greatest health and social care challenges, making collaborative, legally compliant and compassionate care essential for improving patient safety, dignity and wellbeing.</w:t>
      </w:r>
    </w:p>
    <w:p w14:paraId="4B99056E" w14:textId="77777777" w:rsidR="0059070D" w:rsidRDefault="00E56A71">
      <w:pPr>
        <w:spacing w:line="259" w:lineRule="auto"/>
        <w:jc w:val="left"/>
        <w:rPr>
          <w:b/>
          <w:sz w:val="32"/>
          <w:lang w:eastAsia="en-GB"/>
        </w:rPr>
      </w:pPr>
      <w:r>
        <w:rPr>
          <w:lang w:eastAsia="en-GB"/>
        </w:rPr>
        <w:br w:type="page"/>
      </w:r>
    </w:p>
    <w:p w14:paraId="6403A368" w14:textId="77777777" w:rsidR="00C655F1" w:rsidRPr="006A31C4" w:rsidRDefault="00E56A71" w:rsidP="002045DA">
      <w:pPr>
        <w:pStyle w:val="Heading1"/>
        <w:numPr>
          <w:ilvl w:val="0"/>
          <w:numId w:val="0"/>
        </w:numPr>
        <w:rPr>
          <w:lang w:eastAsia="en-GB"/>
        </w:rPr>
      </w:pPr>
      <w:bookmarkStart w:id="5" w:name="_Toc236316824"/>
      <w:r w:rsidRPr="006A31C4">
        <w:rPr>
          <w:lang w:eastAsia="en-GB"/>
        </w:rPr>
        <w:lastRenderedPageBreak/>
        <w:t>Reference List</w:t>
      </w:r>
      <w:bookmarkEnd w:id="5"/>
      <w:r w:rsidRPr="006A31C4">
        <w:rPr>
          <w:lang w:eastAsia="en-GB"/>
        </w:rPr>
        <w:t xml:space="preserve"> </w:t>
      </w:r>
    </w:p>
    <w:p w14:paraId="35CE1035" w14:textId="77777777" w:rsidR="00347A7A" w:rsidRPr="00C655F1" w:rsidRDefault="00347A7A" w:rsidP="00C655F1">
      <w:pPr>
        <w:ind w:left="720" w:hanging="720"/>
      </w:pPr>
      <w:proofErr w:type="spellStart"/>
      <w:r w:rsidRPr="00C655F1">
        <w:rPr>
          <w:color w:val="222222"/>
          <w:shd w:val="clear" w:color="auto" w:fill="FFFFFF"/>
        </w:rPr>
        <w:t>Alsawy</w:t>
      </w:r>
      <w:proofErr w:type="spellEnd"/>
      <w:r w:rsidRPr="00C655F1">
        <w:rPr>
          <w:color w:val="222222"/>
          <w:shd w:val="clear" w:color="auto" w:fill="FFFFFF"/>
        </w:rPr>
        <w:t>, S., Mansell, W., McEvoy, P. and Tai, S., 2017. What is good communication for people living with dementia? A mixed-methods systematic review. </w:t>
      </w:r>
      <w:r w:rsidRPr="00C655F1">
        <w:rPr>
          <w:i/>
          <w:iCs/>
          <w:color w:val="222222"/>
          <w:shd w:val="clear" w:color="auto" w:fill="FFFFFF"/>
        </w:rPr>
        <w:t>International Psychogeriatrics</w:t>
      </w:r>
      <w:r w:rsidRPr="00C655F1">
        <w:rPr>
          <w:color w:val="222222"/>
          <w:shd w:val="clear" w:color="auto" w:fill="FFFFFF"/>
        </w:rPr>
        <w:t>, </w:t>
      </w:r>
      <w:r w:rsidRPr="00C655F1">
        <w:rPr>
          <w:i/>
          <w:iCs/>
          <w:color w:val="222222"/>
          <w:shd w:val="clear" w:color="auto" w:fill="FFFFFF"/>
        </w:rPr>
        <w:t>29</w:t>
      </w:r>
      <w:r w:rsidRPr="00C655F1">
        <w:rPr>
          <w:color w:val="222222"/>
          <w:shd w:val="clear" w:color="auto" w:fill="FFFFFF"/>
        </w:rPr>
        <w:t xml:space="preserve">(11), pp.1785-1800. </w:t>
      </w:r>
      <w:hyperlink r:id="rId12" w:history="1">
        <w:r w:rsidRPr="00C655F1">
          <w:rPr>
            <w:rStyle w:val="Hyperlink"/>
            <w:szCs w:val="24"/>
            <w:shd w:val="clear" w:color="auto" w:fill="FFFFFF"/>
          </w:rPr>
          <w:t>https://www.cambridge.org/core/journals/international-psychogeriatrics/article/what-is-good-communication-for-people-living-with-dementia-a-mixedmethods-systematic-review/28A6C1C6A44CE0D6C164E573095C98BD</w:t>
        </w:r>
      </w:hyperlink>
      <w:r w:rsidRPr="00C655F1">
        <w:rPr>
          <w:color w:val="222222"/>
          <w:shd w:val="clear" w:color="auto" w:fill="FFFFFF"/>
        </w:rPr>
        <w:t xml:space="preserve"> </w:t>
      </w:r>
    </w:p>
    <w:p w14:paraId="07F969E5" w14:textId="77777777" w:rsidR="00347A7A" w:rsidRPr="00C655F1" w:rsidRDefault="00347A7A" w:rsidP="00C655F1">
      <w:pPr>
        <w:ind w:left="720" w:hanging="720"/>
      </w:pPr>
      <w:r>
        <w:t xml:space="preserve">Argyle, M. (1972) </w:t>
      </w:r>
      <w:r>
        <w:rPr>
          <w:rStyle w:val="Emphasis"/>
        </w:rPr>
        <w:t>The Social Psychology of Work</w:t>
      </w:r>
      <w:r>
        <w:t xml:space="preserve">. Harmondsworth: Penguin. </w:t>
      </w:r>
      <w:hyperlink r:id="rId13" w:history="1">
        <w:r w:rsidRPr="00C655F1">
          <w:rPr>
            <w:rStyle w:val="Hyperlink"/>
            <w:szCs w:val="24"/>
          </w:rPr>
          <w:t>https://cir.nii.ac.jp/crid/1970304959944002764</w:t>
        </w:r>
      </w:hyperlink>
      <w:r w:rsidRPr="00C655F1">
        <w:t xml:space="preserve"> </w:t>
      </w:r>
    </w:p>
    <w:p w14:paraId="414FCA21" w14:textId="77777777" w:rsidR="00347A7A" w:rsidRPr="00C655F1" w:rsidRDefault="00347A7A" w:rsidP="00C655F1">
      <w:pPr>
        <w:ind w:left="720" w:hanging="720"/>
      </w:pPr>
      <w:r w:rsidRPr="00C655F1">
        <w:t xml:space="preserve">Campbell, D. (2026) </w:t>
      </w:r>
      <w:r w:rsidRPr="00C655F1">
        <w:rPr>
          <w:rStyle w:val="Emphasis"/>
          <w:szCs w:val="24"/>
        </w:rPr>
        <w:t>GPs in England too 'overloaded' to help older people at risk of falling, say MPs</w:t>
      </w:r>
      <w:r w:rsidRPr="00C655F1">
        <w:t xml:space="preserve">. </w:t>
      </w:r>
      <w:r w:rsidRPr="00C655F1">
        <w:rPr>
          <w:rStyle w:val="Emphasis"/>
          <w:szCs w:val="24"/>
        </w:rPr>
        <w:t>The Guardian</w:t>
      </w:r>
      <w:r w:rsidRPr="00C655F1">
        <w:t xml:space="preserve">, 3 June. Available at: </w:t>
      </w:r>
      <w:hyperlink r:id="rId14" w:tgtFrame="_blank" w:history="1">
        <w:r w:rsidRPr="00C655F1">
          <w:rPr>
            <w:rStyle w:val="Hyperlink"/>
            <w:szCs w:val="24"/>
          </w:rPr>
          <w:t>https://www.theguardian.com/society/2026/jun/03/gps-in-england-too-overloaded-to-help-older-people-at-risk-of-falling-say-mps</w:t>
        </w:r>
      </w:hyperlink>
      <w:r w:rsidRPr="00C655F1">
        <w:t xml:space="preserve"> (Accessed: 21 July 2026). </w:t>
      </w:r>
    </w:p>
    <w:p w14:paraId="0FE4C0FC" w14:textId="77777777" w:rsidR="00347A7A" w:rsidRPr="00C655F1" w:rsidRDefault="00347A7A" w:rsidP="00C655F1">
      <w:pPr>
        <w:ind w:left="720" w:hanging="720"/>
        <w:rPr>
          <w:rFonts w:eastAsia="Times New Roman"/>
          <w:color w:val="000000"/>
          <w:lang w:eastAsia="en-GB"/>
        </w:rPr>
      </w:pPr>
      <w:r w:rsidRPr="00C655F1">
        <w:rPr>
          <w:rFonts w:eastAsia="Times New Roman"/>
          <w:color w:val="000000"/>
          <w:lang w:eastAsia="en-GB"/>
        </w:rPr>
        <w:t xml:space="preserve">Dixon, J., Bark, H., Fang, C., Laing, J. and Patsios, D. (2025). The Use of Mental Capacity and Mental Health Laws in the Care of People Living </w:t>
      </w:r>
      <w:proofErr w:type="gramStart"/>
      <w:r w:rsidRPr="00C655F1">
        <w:rPr>
          <w:rFonts w:eastAsia="Times New Roman"/>
          <w:color w:val="000000"/>
          <w:lang w:eastAsia="en-GB"/>
        </w:rPr>
        <w:t>With</w:t>
      </w:r>
      <w:proofErr w:type="gramEnd"/>
      <w:r w:rsidRPr="00C655F1">
        <w:rPr>
          <w:rFonts w:eastAsia="Times New Roman"/>
          <w:color w:val="000000"/>
          <w:lang w:eastAsia="en-GB"/>
        </w:rPr>
        <w:t xml:space="preserve"> Dementia in Residential and Hospital Settings: A Systematic Review of the Literature. </w:t>
      </w:r>
      <w:r w:rsidRPr="00C655F1">
        <w:rPr>
          <w:rFonts w:eastAsia="Times New Roman"/>
          <w:i/>
          <w:iCs/>
          <w:color w:val="000000"/>
          <w:lang w:eastAsia="en-GB"/>
        </w:rPr>
        <w:t>Dementia</w:t>
      </w:r>
      <w:r w:rsidR="00691A44">
        <w:rPr>
          <w:rFonts w:eastAsia="Times New Roman"/>
          <w:color w:val="000000"/>
          <w:lang w:eastAsia="en-GB"/>
        </w:rPr>
        <w:t>.</w:t>
      </w:r>
      <w:r w:rsidR="008521D5">
        <w:rPr>
          <w:rFonts w:eastAsia="Times New Roman"/>
          <w:color w:val="000000"/>
          <w:lang w:eastAsia="en-GB"/>
        </w:rPr>
        <w:t xml:space="preserve"> </w:t>
      </w:r>
      <w:hyperlink r:id="rId15" w:history="1">
        <w:r w:rsidR="008521D5" w:rsidRPr="000D2CAB">
          <w:rPr>
            <w:rStyle w:val="Hyperlink"/>
            <w:rFonts w:eastAsia="Times New Roman"/>
            <w:lang w:eastAsia="en-GB"/>
          </w:rPr>
          <w:t>https://journals.sagepub.com/doi/pdf/10.1177/14713012251367810</w:t>
        </w:r>
      </w:hyperlink>
      <w:r w:rsidR="008521D5">
        <w:rPr>
          <w:rFonts w:eastAsia="Times New Roman"/>
          <w:color w:val="000000"/>
          <w:lang w:eastAsia="en-GB"/>
        </w:rPr>
        <w:t xml:space="preserve"> </w:t>
      </w:r>
    </w:p>
    <w:p w14:paraId="51FA0FDA" w14:textId="77777777" w:rsidR="00347A7A" w:rsidRPr="00EC1BE7" w:rsidRDefault="00347A7A" w:rsidP="00C655F1">
      <w:pPr>
        <w:ind w:left="720" w:hanging="720"/>
        <w:rPr>
          <w:rFonts w:eastAsia="Times New Roman"/>
          <w:color w:val="000000"/>
          <w:lang w:eastAsia="en-GB"/>
        </w:rPr>
      </w:pPr>
      <w:r w:rsidRPr="00EC1BE7">
        <w:rPr>
          <w:rFonts w:eastAsia="Times New Roman"/>
          <w:color w:val="000000"/>
          <w:lang w:eastAsia="en-GB"/>
        </w:rPr>
        <w:t xml:space="preserve">Harris, C., Webber, R., Livingston, G. and Beeke, S. (2024). What are the communication guidelines for people with dementia and their carers on the internet and are they evidence-based? A systematic review. </w:t>
      </w:r>
      <w:r w:rsidRPr="00EC1BE7">
        <w:rPr>
          <w:rFonts w:eastAsia="Times New Roman"/>
          <w:i/>
          <w:iCs/>
          <w:color w:val="000000"/>
          <w:lang w:eastAsia="en-GB"/>
        </w:rPr>
        <w:t>Dementia</w:t>
      </w:r>
      <w:r w:rsidRPr="00EC1BE7">
        <w:rPr>
          <w:rFonts w:eastAsia="Times New Roman"/>
          <w:color w:val="000000"/>
          <w:lang w:eastAsia="en-GB"/>
        </w:rPr>
        <w:t xml:space="preserve">, 24(3). </w:t>
      </w:r>
      <w:r w:rsidR="008521D5">
        <w:rPr>
          <w:rFonts w:eastAsia="Times New Roman"/>
          <w:color w:val="000000"/>
          <w:lang w:eastAsia="en-GB"/>
        </w:rPr>
        <w:t xml:space="preserve"> </w:t>
      </w:r>
      <w:hyperlink r:id="rId16" w:history="1">
        <w:r w:rsidR="008521D5" w:rsidRPr="000D2CAB">
          <w:rPr>
            <w:rStyle w:val="Hyperlink"/>
            <w:rFonts w:eastAsia="Times New Roman"/>
            <w:lang w:eastAsia="en-GB"/>
          </w:rPr>
          <w:t>https://journals.sagepub.com/doi/pdf/10.1177/14713012241292486</w:t>
        </w:r>
      </w:hyperlink>
      <w:r w:rsidR="008521D5">
        <w:rPr>
          <w:rFonts w:eastAsia="Times New Roman"/>
          <w:color w:val="000000"/>
          <w:lang w:eastAsia="en-GB"/>
        </w:rPr>
        <w:t xml:space="preserve"> </w:t>
      </w:r>
    </w:p>
    <w:p w14:paraId="2442ABD3" w14:textId="77777777" w:rsidR="00347A7A" w:rsidRPr="00C655F1" w:rsidRDefault="00347A7A" w:rsidP="00C655F1">
      <w:pPr>
        <w:ind w:left="720" w:hanging="720"/>
      </w:pPr>
      <w:r w:rsidRPr="00C655F1">
        <w:rPr>
          <w:color w:val="222222"/>
          <w:shd w:val="clear" w:color="auto" w:fill="FFFFFF"/>
        </w:rPr>
        <w:t>Ismail, R.B., Binti Asyraf, N.W., Binti Mat, N.H. and Binti Rahizal, N.A., 2026. Caregiver–Elderly Communication in Dementia Care: A Systematic Literature Review. </w:t>
      </w:r>
      <w:r w:rsidRPr="00C655F1">
        <w:rPr>
          <w:i/>
          <w:iCs/>
          <w:color w:val="222222"/>
          <w:shd w:val="clear" w:color="auto" w:fill="FFFFFF"/>
        </w:rPr>
        <w:t>F1000Research</w:t>
      </w:r>
      <w:r w:rsidRPr="00C655F1">
        <w:rPr>
          <w:color w:val="222222"/>
          <w:shd w:val="clear" w:color="auto" w:fill="FFFFFF"/>
        </w:rPr>
        <w:t>, </w:t>
      </w:r>
      <w:r w:rsidRPr="00C655F1">
        <w:rPr>
          <w:i/>
          <w:iCs/>
          <w:color w:val="222222"/>
          <w:shd w:val="clear" w:color="auto" w:fill="FFFFFF"/>
        </w:rPr>
        <w:t>15</w:t>
      </w:r>
      <w:r w:rsidRPr="00C655F1">
        <w:rPr>
          <w:color w:val="222222"/>
          <w:shd w:val="clear" w:color="auto" w:fill="FFFFFF"/>
        </w:rPr>
        <w:t xml:space="preserve">, p.100. </w:t>
      </w:r>
      <w:hyperlink r:id="rId17" w:history="1">
        <w:r w:rsidRPr="00C655F1">
          <w:rPr>
            <w:rStyle w:val="Hyperlink"/>
            <w:szCs w:val="24"/>
            <w:shd w:val="clear" w:color="auto" w:fill="FFFFFF"/>
          </w:rPr>
          <w:t>https://f1000research.com/articles/15-100</w:t>
        </w:r>
      </w:hyperlink>
    </w:p>
    <w:p w14:paraId="083F42B9" w14:textId="77777777" w:rsidR="00347A7A" w:rsidRPr="00C655F1" w:rsidRDefault="00347A7A" w:rsidP="00C655F1">
      <w:pPr>
        <w:ind w:left="720" w:hanging="720"/>
        <w:rPr>
          <w:rFonts w:eastAsia="Times New Roman"/>
          <w:color w:val="000000"/>
          <w:lang w:eastAsia="en-GB"/>
        </w:rPr>
      </w:pPr>
      <w:r w:rsidRPr="00EC1BE7">
        <w:rPr>
          <w:rFonts w:eastAsia="Times New Roman"/>
          <w:color w:val="000000"/>
          <w:lang w:eastAsia="en-GB"/>
        </w:rPr>
        <w:t>‌</w:t>
      </w:r>
      <w:r w:rsidRPr="00C655F1">
        <w:rPr>
          <w:rFonts w:eastAsia="Times New Roman"/>
          <w:color w:val="000000"/>
          <w:lang w:eastAsia="en-GB"/>
        </w:rPr>
        <w:t>Johannes Österholm, Larsson Ranada, Å. and Nedlund, A.-C. (2023). Mapping Collaboration and Coordination of Health and Care Services for Older People with Dementia: A Scoping Review. </w:t>
      </w:r>
      <w:r w:rsidRPr="00C655F1">
        <w:rPr>
          <w:rFonts w:eastAsia="Times New Roman"/>
          <w:i/>
          <w:iCs/>
          <w:color w:val="000000"/>
          <w:lang w:eastAsia="en-GB"/>
        </w:rPr>
        <w:t>Health &amp; Social Care in the Community</w:t>
      </w:r>
      <w:r w:rsidRPr="00C655F1">
        <w:rPr>
          <w:rFonts w:eastAsia="Times New Roman"/>
          <w:color w:val="000000"/>
          <w:lang w:eastAsia="en-GB"/>
        </w:rPr>
        <w:t>, [online] 2023(1), p.8858773. doi:</w:t>
      </w:r>
      <w:r w:rsidRPr="00BE2DA7">
        <w:rPr>
          <w:rStyle w:val="Hyperlink"/>
          <w:szCs w:val="24"/>
          <w:shd w:val="clear" w:color="auto" w:fill="FFFFFF"/>
        </w:rPr>
        <w:t>10.1155/2023/8858773.</w:t>
      </w:r>
    </w:p>
    <w:p w14:paraId="2F1AB2F2" w14:textId="77777777" w:rsidR="00347A7A" w:rsidRPr="009478D4" w:rsidRDefault="00347A7A" w:rsidP="00C655F1">
      <w:pPr>
        <w:ind w:left="720" w:hanging="720"/>
        <w:rPr>
          <w:rFonts w:eastAsia="Times New Roman"/>
          <w:color w:val="000000"/>
          <w:lang w:eastAsia="en-GB"/>
        </w:rPr>
      </w:pPr>
      <w:r w:rsidRPr="009478D4">
        <w:rPr>
          <w:rFonts w:eastAsia="Times New Roman"/>
          <w:color w:val="000000"/>
          <w:lang w:eastAsia="en-GB"/>
        </w:rPr>
        <w:t>Legislation.gov.uk. (2018). </w:t>
      </w:r>
      <w:r w:rsidRPr="009478D4">
        <w:rPr>
          <w:rFonts w:eastAsia="Times New Roman"/>
          <w:i/>
          <w:iCs/>
          <w:color w:val="000000"/>
          <w:lang w:eastAsia="en-GB"/>
        </w:rPr>
        <w:t>Data Protection Act 2018</w:t>
      </w:r>
      <w:r w:rsidRPr="009478D4">
        <w:rPr>
          <w:rFonts w:eastAsia="Times New Roman"/>
          <w:color w:val="000000"/>
          <w:lang w:eastAsia="en-GB"/>
        </w:rPr>
        <w:t xml:space="preserve">. [online] Available at: </w:t>
      </w:r>
      <w:r w:rsidRPr="00BE2DA7">
        <w:rPr>
          <w:rStyle w:val="Hyperlink"/>
          <w:szCs w:val="24"/>
          <w:shd w:val="clear" w:color="auto" w:fill="FFFFFF"/>
        </w:rPr>
        <w:t>https://www.legislation.gov.uk/ukpga/2018/12/contents</w:t>
      </w:r>
      <w:r w:rsidRPr="009478D4">
        <w:rPr>
          <w:rFonts w:eastAsia="Times New Roman"/>
          <w:color w:val="000000"/>
          <w:lang w:eastAsia="en-GB"/>
        </w:rPr>
        <w:t xml:space="preserve"> [Accessed 20 July 2026].</w:t>
      </w:r>
    </w:p>
    <w:p w14:paraId="26E6393B" w14:textId="77777777" w:rsidR="00347A7A" w:rsidRPr="009478D4" w:rsidRDefault="00347A7A" w:rsidP="00C655F1">
      <w:pPr>
        <w:ind w:left="720" w:hanging="720"/>
        <w:rPr>
          <w:rFonts w:eastAsia="Times New Roman"/>
          <w:color w:val="000000"/>
          <w:lang w:eastAsia="en-GB"/>
        </w:rPr>
      </w:pPr>
      <w:r w:rsidRPr="009478D4">
        <w:rPr>
          <w:rFonts w:eastAsia="Times New Roman"/>
          <w:color w:val="000000"/>
          <w:lang w:eastAsia="en-GB"/>
        </w:rPr>
        <w:t>Legislation.gov.uk. (2026). </w:t>
      </w:r>
      <w:r w:rsidRPr="009478D4">
        <w:rPr>
          <w:rFonts w:eastAsia="Times New Roman"/>
          <w:i/>
          <w:iCs/>
          <w:color w:val="000000"/>
          <w:lang w:eastAsia="en-GB"/>
        </w:rPr>
        <w:t>Care Act 2014</w:t>
      </w:r>
      <w:r w:rsidRPr="009478D4">
        <w:rPr>
          <w:rFonts w:eastAsia="Times New Roman"/>
          <w:color w:val="000000"/>
          <w:lang w:eastAsia="en-GB"/>
        </w:rPr>
        <w:t xml:space="preserve">. [online] Available at: </w:t>
      </w:r>
      <w:r w:rsidRPr="00BE2DA7">
        <w:rPr>
          <w:rStyle w:val="Hyperlink"/>
          <w:szCs w:val="24"/>
          <w:shd w:val="clear" w:color="auto" w:fill="FFFFFF"/>
        </w:rPr>
        <w:t>https://www.legislation.gov.uk/ukpga/2014/23/contents</w:t>
      </w:r>
      <w:r w:rsidRPr="009478D4">
        <w:rPr>
          <w:rFonts w:eastAsia="Times New Roman"/>
          <w:color w:val="000000"/>
          <w:lang w:eastAsia="en-GB"/>
        </w:rPr>
        <w:t xml:space="preserve"> [Accessed 20 July 2026].</w:t>
      </w:r>
    </w:p>
    <w:p w14:paraId="7375706F" w14:textId="77777777" w:rsidR="00347A7A" w:rsidRPr="00C655F1" w:rsidRDefault="00347A7A" w:rsidP="00C655F1">
      <w:pPr>
        <w:ind w:left="720" w:hanging="720"/>
        <w:rPr>
          <w:rFonts w:eastAsia="Times New Roman"/>
          <w:color w:val="000000"/>
          <w:lang w:eastAsia="en-GB"/>
        </w:rPr>
      </w:pPr>
      <w:r w:rsidRPr="009478D4">
        <w:rPr>
          <w:rFonts w:eastAsia="Times New Roman"/>
          <w:color w:val="000000"/>
          <w:lang w:eastAsia="en-GB"/>
        </w:rPr>
        <w:t>Legislation.gov.uk. (2026). </w:t>
      </w:r>
      <w:r w:rsidRPr="009478D4">
        <w:rPr>
          <w:rFonts w:eastAsia="Times New Roman"/>
          <w:i/>
          <w:iCs/>
          <w:color w:val="000000"/>
          <w:lang w:eastAsia="en-GB"/>
        </w:rPr>
        <w:t>Equality Act 2010</w:t>
      </w:r>
      <w:r w:rsidRPr="009478D4">
        <w:rPr>
          <w:rFonts w:eastAsia="Times New Roman"/>
          <w:color w:val="000000"/>
          <w:lang w:eastAsia="en-GB"/>
        </w:rPr>
        <w:t xml:space="preserve">. [online] Available at: </w:t>
      </w:r>
      <w:r w:rsidRPr="00BE2DA7">
        <w:rPr>
          <w:rStyle w:val="Hyperlink"/>
          <w:szCs w:val="24"/>
          <w:shd w:val="clear" w:color="auto" w:fill="FFFFFF"/>
        </w:rPr>
        <w:t>https://www.legislation.gov.uk/ukpga/2010/15/contents</w:t>
      </w:r>
      <w:r w:rsidRPr="009478D4">
        <w:rPr>
          <w:rFonts w:eastAsia="Times New Roman"/>
          <w:color w:val="000000"/>
          <w:lang w:eastAsia="en-GB"/>
        </w:rPr>
        <w:t xml:space="preserve"> [Accessed 20 July 2026].</w:t>
      </w:r>
    </w:p>
    <w:p w14:paraId="3DDABFDE" w14:textId="77777777" w:rsidR="00347A7A" w:rsidRPr="00C655F1" w:rsidRDefault="00347A7A" w:rsidP="00C655F1">
      <w:pPr>
        <w:ind w:left="720" w:hanging="720"/>
        <w:rPr>
          <w:rFonts w:eastAsia="Times New Roman"/>
          <w:color w:val="000000"/>
          <w:lang w:eastAsia="en-GB"/>
        </w:rPr>
      </w:pPr>
      <w:r w:rsidRPr="009478D4">
        <w:rPr>
          <w:rFonts w:eastAsia="Times New Roman"/>
          <w:color w:val="000000"/>
          <w:lang w:eastAsia="en-GB"/>
        </w:rPr>
        <w:t>‌</w:t>
      </w:r>
      <w:r w:rsidRPr="00C655F1">
        <w:rPr>
          <w:rFonts w:eastAsia="Times New Roman"/>
          <w:color w:val="000000"/>
          <w:lang w:eastAsia="en-GB"/>
        </w:rPr>
        <w:t>Legislation.gov.uk. (2026). </w:t>
      </w:r>
      <w:r w:rsidRPr="00C655F1">
        <w:rPr>
          <w:rFonts w:eastAsia="Times New Roman"/>
          <w:i/>
          <w:iCs/>
          <w:color w:val="000000"/>
          <w:lang w:eastAsia="en-GB"/>
        </w:rPr>
        <w:t>Health and Social Care Act 2012</w:t>
      </w:r>
      <w:r w:rsidRPr="00C655F1">
        <w:rPr>
          <w:rFonts w:eastAsia="Times New Roman"/>
          <w:color w:val="000000"/>
          <w:lang w:eastAsia="en-GB"/>
        </w:rPr>
        <w:t xml:space="preserve">. [online] Available at: </w:t>
      </w:r>
      <w:r w:rsidRPr="00BE2DA7">
        <w:rPr>
          <w:rStyle w:val="Hyperlink"/>
          <w:szCs w:val="24"/>
          <w:shd w:val="clear" w:color="auto" w:fill="FFFFFF"/>
        </w:rPr>
        <w:t>https://www.legislation.gov.uk/ukpga/2012/7/contents</w:t>
      </w:r>
      <w:r w:rsidRPr="00C655F1">
        <w:rPr>
          <w:rFonts w:eastAsia="Times New Roman"/>
          <w:color w:val="000000"/>
          <w:lang w:eastAsia="en-GB"/>
        </w:rPr>
        <w:t xml:space="preserve"> [Accessed 20 July 2026].</w:t>
      </w:r>
    </w:p>
    <w:p w14:paraId="61A40A82" w14:textId="77777777" w:rsidR="00347A7A" w:rsidRPr="00C655F1" w:rsidRDefault="00347A7A" w:rsidP="00C655F1">
      <w:pPr>
        <w:ind w:left="720" w:hanging="720"/>
      </w:pPr>
      <w:r w:rsidRPr="00C655F1">
        <w:lastRenderedPageBreak/>
        <w:t xml:space="preserve">McCormack, B. and McCance, T. (2021) </w:t>
      </w:r>
      <w:r w:rsidRPr="00C655F1">
        <w:rPr>
          <w:rStyle w:val="Emphasis"/>
          <w:szCs w:val="24"/>
        </w:rPr>
        <w:t>Person-Centred Practice in Nursing and Health Care: Theory and Practice</w:t>
      </w:r>
      <w:r w:rsidRPr="00C655F1">
        <w:t>. 3rd edn. Oxford: Wiley-Blackwell.</w:t>
      </w:r>
    </w:p>
    <w:p w14:paraId="74BBF4F0" w14:textId="77777777" w:rsidR="00347A7A" w:rsidRPr="00C655F1" w:rsidRDefault="00347A7A" w:rsidP="00C655F1">
      <w:pPr>
        <w:ind w:left="720" w:hanging="720"/>
      </w:pPr>
      <w:r w:rsidRPr="00C655F1">
        <w:t xml:space="preserve">McCormack, B. and McCance, T.V. (2006) 'Development of a framework for person-centred nursing', </w:t>
      </w:r>
      <w:r w:rsidRPr="00C655F1">
        <w:rPr>
          <w:rStyle w:val="Emphasis"/>
          <w:szCs w:val="24"/>
        </w:rPr>
        <w:t>Journal of Advanced Nursing</w:t>
      </w:r>
      <w:r w:rsidRPr="00C655F1">
        <w:t>, 56(5), pp. 472–479.</w:t>
      </w:r>
    </w:p>
    <w:p w14:paraId="4F2CF5D4" w14:textId="77777777" w:rsidR="00347A7A" w:rsidRPr="00C655F1" w:rsidRDefault="00347A7A" w:rsidP="00C655F1">
      <w:pPr>
        <w:ind w:left="720" w:hanging="720"/>
      </w:pPr>
      <w:r w:rsidRPr="00691A44">
        <w:rPr>
          <w:rStyle w:val="Strong"/>
          <w:b w:val="0"/>
          <w:szCs w:val="24"/>
        </w:rPr>
        <w:t>NHS England</w:t>
      </w:r>
      <w:r w:rsidRPr="00C655F1">
        <w:t xml:space="preserve"> (2025) </w:t>
      </w:r>
      <w:r w:rsidRPr="00C655F1">
        <w:rPr>
          <w:rStyle w:val="Emphasis"/>
          <w:szCs w:val="24"/>
        </w:rPr>
        <w:t>Primary Care Dementia Data, April 2025</w:t>
      </w:r>
      <w:r w:rsidRPr="00C655F1">
        <w:t xml:space="preserve">. Available at: </w:t>
      </w:r>
      <w:hyperlink r:id="rId18" w:tgtFrame="_blank" w:history="1">
        <w:r w:rsidRPr="00C655F1">
          <w:rPr>
            <w:rStyle w:val="Hyperlink"/>
            <w:szCs w:val="24"/>
          </w:rPr>
          <w:t>https://digital.nhs.uk/data-and-information/publications/statistical/primary-care-dementia-data/april-2025</w:t>
        </w:r>
      </w:hyperlink>
      <w:r w:rsidRPr="00C655F1">
        <w:t xml:space="preserve"> (Accessed: 21 July 2026). </w:t>
      </w:r>
    </w:p>
    <w:p w14:paraId="5FFE52F8" w14:textId="77777777" w:rsidR="00347A7A" w:rsidRPr="00C655F1" w:rsidRDefault="00347A7A" w:rsidP="00C655F1">
      <w:pPr>
        <w:ind w:left="720" w:hanging="720"/>
      </w:pPr>
      <w:r w:rsidRPr="00C655F1">
        <w:t xml:space="preserve">NHS England (2025a) </w:t>
      </w:r>
      <w:r w:rsidRPr="00C655F1">
        <w:rPr>
          <w:rStyle w:val="Emphasis"/>
          <w:szCs w:val="24"/>
        </w:rPr>
        <w:t>NHS supporting record numbers of people living with dementia</w:t>
      </w:r>
      <w:r w:rsidRPr="00C655F1">
        <w:t xml:space="preserve">. Available at: </w:t>
      </w:r>
      <w:hyperlink r:id="rId19" w:tgtFrame="_blank" w:history="1">
        <w:r w:rsidRPr="00C655F1">
          <w:rPr>
            <w:rStyle w:val="Hyperlink"/>
            <w:szCs w:val="24"/>
          </w:rPr>
          <w:t>https://www.england.nhs.uk/2025/08/nhs-supporting-record-numbers-of-people-living-with-dementia/</w:t>
        </w:r>
      </w:hyperlink>
      <w:r w:rsidRPr="00C655F1">
        <w:t xml:space="preserve"> (Accessed: 21 July 2026). </w:t>
      </w:r>
    </w:p>
    <w:p w14:paraId="4BC7FE42" w14:textId="77777777" w:rsidR="00347A7A" w:rsidRPr="00C655F1" w:rsidRDefault="00347A7A" w:rsidP="00C655F1">
      <w:pPr>
        <w:ind w:left="720" w:hanging="720"/>
        <w:rPr>
          <w:rFonts w:eastAsia="Times New Roman"/>
          <w:color w:val="000000"/>
          <w:lang w:eastAsia="en-GB"/>
        </w:rPr>
      </w:pPr>
      <w:r w:rsidRPr="00C655F1">
        <w:rPr>
          <w:rFonts w:eastAsia="Times New Roman"/>
          <w:color w:val="000000"/>
          <w:lang w:eastAsia="en-GB"/>
        </w:rPr>
        <w:t>‌Smith, R., Martin, A., Wright, T., Hulbert, S. and Hatzidimitriadou, E. (2021). Integrated dementia care: A qualitative evidence synthesis of the experiences of people living with dementia, informal carers and healthcare professionals. </w:t>
      </w:r>
      <w:r w:rsidRPr="00C655F1">
        <w:rPr>
          <w:rFonts w:eastAsia="Times New Roman"/>
          <w:i/>
          <w:iCs/>
          <w:color w:val="000000"/>
          <w:lang w:eastAsia="en-GB"/>
        </w:rPr>
        <w:t>Archives of Gerontology and Geriatrics</w:t>
      </w:r>
      <w:r w:rsidRPr="00C655F1">
        <w:rPr>
          <w:rFonts w:eastAsia="Times New Roman"/>
          <w:color w:val="000000"/>
          <w:lang w:eastAsia="en-GB"/>
        </w:rPr>
        <w:t xml:space="preserve">, [online] 97, p.104471. </w:t>
      </w:r>
      <w:proofErr w:type="gramStart"/>
      <w:r w:rsidRPr="00C655F1">
        <w:rPr>
          <w:rFonts w:eastAsia="Times New Roman"/>
          <w:color w:val="000000"/>
          <w:lang w:eastAsia="en-GB"/>
        </w:rPr>
        <w:t>doi:</w:t>
      </w:r>
      <w:r w:rsidRPr="00BE2DA7">
        <w:rPr>
          <w:rStyle w:val="Hyperlink"/>
          <w:szCs w:val="24"/>
          <w:shd w:val="clear" w:color="auto" w:fill="FFFFFF"/>
        </w:rPr>
        <w:t>10.1016/j.archger</w:t>
      </w:r>
      <w:proofErr w:type="gramEnd"/>
      <w:r w:rsidRPr="00BE2DA7">
        <w:rPr>
          <w:rStyle w:val="Hyperlink"/>
          <w:szCs w:val="24"/>
          <w:shd w:val="clear" w:color="auto" w:fill="FFFFFF"/>
        </w:rPr>
        <w:t>.2021.104471.</w:t>
      </w:r>
    </w:p>
    <w:p w14:paraId="4F9EDE3E" w14:textId="77777777" w:rsidR="00BE2DA7" w:rsidRPr="00C655F1" w:rsidRDefault="00347A7A">
      <w:pPr>
        <w:ind w:left="720" w:hanging="720"/>
        <w:rPr>
          <w:color w:val="222222"/>
          <w:shd w:val="clear" w:color="auto" w:fill="FFFFFF"/>
        </w:rPr>
      </w:pPr>
      <w:r w:rsidRPr="00C655F1">
        <w:rPr>
          <w:rFonts w:eastAsia="Times New Roman"/>
          <w:color w:val="000000"/>
          <w:lang w:eastAsia="en-GB"/>
        </w:rPr>
        <w:t>‌</w:t>
      </w:r>
      <w:r w:rsidRPr="00C655F1">
        <w:rPr>
          <w:color w:val="222222"/>
          <w:shd w:val="clear" w:color="auto" w:fill="FFFFFF"/>
        </w:rPr>
        <w:t>Yates, J., Stanyon, M., Samra, R. and Clare, L., 2021. Challenges in disclosing and receiving a diagnosis of dementia: a systematic review of practice from the perspectives of people with dementia, carers, and healthcare professionals. </w:t>
      </w:r>
      <w:r w:rsidRPr="00C655F1">
        <w:rPr>
          <w:i/>
          <w:iCs/>
          <w:color w:val="222222"/>
          <w:shd w:val="clear" w:color="auto" w:fill="FFFFFF"/>
        </w:rPr>
        <w:t>International Psychogeriatrics</w:t>
      </w:r>
      <w:r w:rsidRPr="00C655F1">
        <w:rPr>
          <w:color w:val="222222"/>
          <w:shd w:val="clear" w:color="auto" w:fill="FFFFFF"/>
        </w:rPr>
        <w:t>, </w:t>
      </w:r>
      <w:r w:rsidRPr="00C655F1">
        <w:rPr>
          <w:i/>
          <w:iCs/>
          <w:color w:val="222222"/>
          <w:shd w:val="clear" w:color="auto" w:fill="FFFFFF"/>
        </w:rPr>
        <w:t>33</w:t>
      </w:r>
      <w:r w:rsidRPr="00C655F1">
        <w:rPr>
          <w:color w:val="222222"/>
          <w:shd w:val="clear" w:color="auto" w:fill="FFFFFF"/>
        </w:rPr>
        <w:t xml:space="preserve">(11), pp.1161-1192. </w:t>
      </w:r>
      <w:hyperlink r:id="rId20" w:history="1">
        <w:r w:rsidR="008521D5" w:rsidRPr="000D2CAB">
          <w:rPr>
            <w:rStyle w:val="Hyperlink"/>
          </w:rPr>
          <w:t>https://www.cambridge.org/core/journals/international-psychogeriatrics/article/challenges-in-disclosing-and-receiving-a-diagnosis-of-dementia-a-systematic-review-of-practice-from-the-perspectives-of-people-with-dementia-carers-and-healthcare-professionals/0C630D5F61B5B03132FDB5507ADBC9A5</w:t>
        </w:r>
      </w:hyperlink>
      <w:r w:rsidR="008521D5">
        <w:t xml:space="preserve"> </w:t>
      </w:r>
    </w:p>
    <w:sectPr w:rsidR="00BE2DA7" w:rsidRPr="00C655F1" w:rsidSect="00041D90">
      <w:footerReference w:type="default" r:id="rId21"/>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3F139" w14:textId="77777777" w:rsidR="00670519" w:rsidRDefault="00670519">
      <w:pPr>
        <w:spacing w:line="240" w:lineRule="auto"/>
      </w:pPr>
      <w:r>
        <w:separator/>
      </w:r>
    </w:p>
  </w:endnote>
  <w:endnote w:type="continuationSeparator" w:id="0">
    <w:p w14:paraId="2FBF162C" w14:textId="77777777" w:rsidR="00670519" w:rsidRDefault="006705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334776"/>
      <w:docPartObj>
        <w:docPartGallery w:val="Page Numbers (Bottom of Page)"/>
        <w:docPartUnique/>
      </w:docPartObj>
    </w:sdtPr>
    <w:sdtEndPr>
      <w:rPr>
        <w:noProof/>
      </w:rPr>
    </w:sdtEndPr>
    <w:sdtContent>
      <w:p w14:paraId="1299C43A" w14:textId="77777777" w:rsidR="008521D5" w:rsidRDefault="008521D5">
        <w:pPr>
          <w:pStyle w:val="Footer"/>
          <w:jc w:val="center"/>
        </w:pPr>
        <w:r>
          <w:rPr>
            <w:noProof/>
            <w:lang w:val="en-US"/>
          </w:rPr>
          <mc:AlternateContent>
            <mc:Choice Requires="wps">
              <w:drawing>
                <wp:inline distT="0" distB="0" distL="0" distR="0" wp14:anchorId="70EF43AD" wp14:editId="07777777">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39581AF"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F8720F2" w14:textId="77777777" w:rsidR="008521D5" w:rsidRDefault="008521D5">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4DDBEF00" w14:textId="77777777" w:rsidR="00C655F1" w:rsidRDefault="00C65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75F9C" w14:textId="77777777" w:rsidR="00670519" w:rsidRDefault="00670519">
      <w:pPr>
        <w:spacing w:line="240" w:lineRule="auto"/>
      </w:pPr>
      <w:r>
        <w:separator/>
      </w:r>
    </w:p>
  </w:footnote>
  <w:footnote w:type="continuationSeparator" w:id="0">
    <w:p w14:paraId="56057EA9" w14:textId="77777777" w:rsidR="00670519" w:rsidRDefault="006705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55720"/>
    <w:multiLevelType w:val="multilevel"/>
    <w:tmpl w:val="7E1A3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E313A5"/>
    <w:multiLevelType w:val="multilevel"/>
    <w:tmpl w:val="04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num w:numId="1" w16cid:durableId="925186952">
    <w:abstractNumId w:val="0"/>
  </w:num>
  <w:num w:numId="2" w16cid:durableId="2093309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472"/>
    <w:rsid w:val="000253FE"/>
    <w:rsid w:val="00041D90"/>
    <w:rsid w:val="00045747"/>
    <w:rsid w:val="00051B12"/>
    <w:rsid w:val="000B1631"/>
    <w:rsid w:val="00110D6E"/>
    <w:rsid w:val="00174228"/>
    <w:rsid w:val="00176680"/>
    <w:rsid w:val="002045DA"/>
    <w:rsid w:val="00347A7A"/>
    <w:rsid w:val="00362F03"/>
    <w:rsid w:val="004166B9"/>
    <w:rsid w:val="00425CCE"/>
    <w:rsid w:val="0059070D"/>
    <w:rsid w:val="005C7CB3"/>
    <w:rsid w:val="0060244E"/>
    <w:rsid w:val="00670519"/>
    <w:rsid w:val="00691A44"/>
    <w:rsid w:val="006A31C4"/>
    <w:rsid w:val="00756543"/>
    <w:rsid w:val="007650B7"/>
    <w:rsid w:val="008521D5"/>
    <w:rsid w:val="00857EAD"/>
    <w:rsid w:val="00943D25"/>
    <w:rsid w:val="009478D4"/>
    <w:rsid w:val="009B7CE1"/>
    <w:rsid w:val="009C3DA1"/>
    <w:rsid w:val="00A03441"/>
    <w:rsid w:val="00A22EB8"/>
    <w:rsid w:val="00A47DE1"/>
    <w:rsid w:val="00A77262"/>
    <w:rsid w:val="00A816CA"/>
    <w:rsid w:val="00A845EA"/>
    <w:rsid w:val="00AA410C"/>
    <w:rsid w:val="00B51199"/>
    <w:rsid w:val="00BB0EBE"/>
    <w:rsid w:val="00BE2DA7"/>
    <w:rsid w:val="00C01822"/>
    <w:rsid w:val="00C572DC"/>
    <w:rsid w:val="00C655F1"/>
    <w:rsid w:val="00CE6FE4"/>
    <w:rsid w:val="00DB12C2"/>
    <w:rsid w:val="00E076F8"/>
    <w:rsid w:val="00E147B6"/>
    <w:rsid w:val="00E32634"/>
    <w:rsid w:val="00E56A71"/>
    <w:rsid w:val="00E73D60"/>
    <w:rsid w:val="00E86472"/>
    <w:rsid w:val="00EC1BE7"/>
    <w:rsid w:val="00F22B4E"/>
    <w:rsid w:val="00FC6154"/>
    <w:rsid w:val="37676BDD"/>
    <w:rsid w:val="59DF38A1"/>
    <w:rsid w:val="607469D1"/>
    <w:rsid w:val="6B531170"/>
    <w:rsid w:val="7715D6FB"/>
    <w:rsid w:val="7D42C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48372"/>
  <w15:chartTrackingRefBased/>
  <w15:docId w15:val="{70AC7346-B207-476C-9CD1-CDA7822CF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543"/>
    <w:pPr>
      <w:spacing w:after="0" w:line="360" w:lineRule="auto"/>
      <w:jc w:val="both"/>
    </w:pPr>
    <w:rPr>
      <w:rFonts w:ascii="Arial" w:hAnsi="Arial" w:cs="Times New Roman"/>
    </w:rPr>
  </w:style>
  <w:style w:type="paragraph" w:styleId="Heading1">
    <w:name w:val="heading 1"/>
    <w:basedOn w:val="Normal"/>
    <w:next w:val="Normal"/>
    <w:link w:val="Heading1Char"/>
    <w:uiPriority w:val="9"/>
    <w:qFormat/>
    <w:rsid w:val="00E86472"/>
    <w:pPr>
      <w:numPr>
        <w:numId w:val="2"/>
      </w:numPr>
      <w:outlineLvl w:val="0"/>
    </w:pPr>
    <w:rPr>
      <w:b/>
      <w:sz w:val="32"/>
    </w:rPr>
  </w:style>
  <w:style w:type="paragraph" w:styleId="Heading2">
    <w:name w:val="heading 2"/>
    <w:basedOn w:val="Normal"/>
    <w:next w:val="Normal"/>
    <w:link w:val="Heading2Char"/>
    <w:uiPriority w:val="9"/>
    <w:unhideWhenUsed/>
    <w:qFormat/>
    <w:rsid w:val="00857EAD"/>
    <w:pPr>
      <w:keepNext/>
      <w:keepLines/>
      <w:numPr>
        <w:ilvl w:val="1"/>
        <w:numId w:val="2"/>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45DA"/>
    <w:pPr>
      <w:keepNext/>
      <w:keepLines/>
      <w:numPr>
        <w:ilvl w:val="2"/>
        <w:numId w:val="2"/>
      </w:numPr>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045DA"/>
    <w:pPr>
      <w:keepNext/>
      <w:keepLines/>
      <w:numPr>
        <w:ilvl w:val="3"/>
        <w:numId w:val="2"/>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045DA"/>
    <w:pPr>
      <w:keepNext/>
      <w:keepLines/>
      <w:numPr>
        <w:ilvl w:val="4"/>
        <w:numId w:val="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045DA"/>
    <w:pPr>
      <w:keepNext/>
      <w:keepLines/>
      <w:numPr>
        <w:ilvl w:val="5"/>
        <w:numId w:val="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045DA"/>
    <w:pPr>
      <w:keepNext/>
      <w:keepLines/>
      <w:numPr>
        <w:ilvl w:val="6"/>
        <w:numId w:val="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045DA"/>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045DA"/>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472"/>
    <w:rPr>
      <w:rFonts w:ascii="Times New Roman" w:hAnsi="Times New Roman" w:cs="Times New Roman"/>
      <w:b/>
      <w:sz w:val="32"/>
    </w:rPr>
  </w:style>
  <w:style w:type="character" w:customStyle="1" w:styleId="Heading2Char">
    <w:name w:val="Heading 2 Char"/>
    <w:basedOn w:val="DefaultParagraphFont"/>
    <w:link w:val="Heading2"/>
    <w:uiPriority w:val="9"/>
    <w:rsid w:val="00857EAD"/>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857EAD"/>
    <w:pPr>
      <w:spacing w:before="100" w:beforeAutospacing="1" w:after="100" w:afterAutospacing="1" w:line="240" w:lineRule="auto"/>
      <w:jc w:val="left"/>
    </w:pPr>
    <w:rPr>
      <w:rFonts w:eastAsia="Times New Roman"/>
      <w:szCs w:val="24"/>
      <w:lang w:eastAsia="en-GB"/>
    </w:rPr>
  </w:style>
  <w:style w:type="character" w:styleId="Strong">
    <w:name w:val="Strong"/>
    <w:basedOn w:val="DefaultParagraphFont"/>
    <w:uiPriority w:val="22"/>
    <w:qFormat/>
    <w:rsid w:val="00C655F1"/>
    <w:rPr>
      <w:b/>
      <w:bCs/>
    </w:rPr>
  </w:style>
  <w:style w:type="character" w:styleId="Emphasis">
    <w:name w:val="Emphasis"/>
    <w:basedOn w:val="DefaultParagraphFont"/>
    <w:uiPriority w:val="20"/>
    <w:qFormat/>
    <w:rsid w:val="00C655F1"/>
    <w:rPr>
      <w:i/>
      <w:iCs/>
    </w:rPr>
  </w:style>
  <w:style w:type="character" w:styleId="Hyperlink">
    <w:name w:val="Hyperlink"/>
    <w:basedOn w:val="DefaultParagraphFont"/>
    <w:uiPriority w:val="99"/>
    <w:unhideWhenUsed/>
    <w:rsid w:val="00C655F1"/>
    <w:rPr>
      <w:color w:val="0000FF"/>
      <w:u w:val="single"/>
    </w:rPr>
  </w:style>
  <w:style w:type="paragraph" w:customStyle="1" w:styleId="pdq2pgselectionanchorcontainer">
    <w:name w:val="pdq2pg_selectionanchorcontainer"/>
    <w:basedOn w:val="Normal"/>
    <w:rsid w:val="00C655F1"/>
    <w:pPr>
      <w:spacing w:before="100" w:beforeAutospacing="1" w:after="100" w:afterAutospacing="1" w:line="240" w:lineRule="auto"/>
      <w:jc w:val="left"/>
    </w:pPr>
    <w:rPr>
      <w:rFonts w:eastAsia="Times New Roman"/>
      <w:szCs w:val="24"/>
      <w:lang w:eastAsia="en-GB"/>
    </w:rPr>
  </w:style>
  <w:style w:type="paragraph" w:styleId="TOC1">
    <w:name w:val="toc 1"/>
    <w:basedOn w:val="Normal"/>
    <w:next w:val="Normal"/>
    <w:autoRedefine/>
    <w:uiPriority w:val="39"/>
    <w:unhideWhenUsed/>
    <w:rsid w:val="00C655F1"/>
    <w:pPr>
      <w:spacing w:after="100"/>
    </w:pPr>
  </w:style>
  <w:style w:type="paragraph" w:styleId="TOC3">
    <w:name w:val="toc 3"/>
    <w:basedOn w:val="Normal"/>
    <w:next w:val="Normal"/>
    <w:autoRedefine/>
    <w:uiPriority w:val="39"/>
    <w:unhideWhenUsed/>
    <w:rsid w:val="00C655F1"/>
    <w:pPr>
      <w:spacing w:after="100"/>
      <w:ind w:left="480"/>
    </w:pPr>
  </w:style>
  <w:style w:type="paragraph" w:styleId="Header">
    <w:name w:val="header"/>
    <w:basedOn w:val="Normal"/>
    <w:link w:val="HeaderChar"/>
    <w:uiPriority w:val="99"/>
    <w:unhideWhenUsed/>
    <w:rsid w:val="00C655F1"/>
    <w:pPr>
      <w:tabs>
        <w:tab w:val="center" w:pos="4513"/>
        <w:tab w:val="right" w:pos="9026"/>
      </w:tabs>
      <w:spacing w:line="240" w:lineRule="auto"/>
    </w:pPr>
  </w:style>
  <w:style w:type="character" w:customStyle="1" w:styleId="HeaderChar">
    <w:name w:val="Header Char"/>
    <w:basedOn w:val="DefaultParagraphFont"/>
    <w:link w:val="Header"/>
    <w:uiPriority w:val="99"/>
    <w:rsid w:val="00C655F1"/>
    <w:rPr>
      <w:rFonts w:ascii="Times New Roman" w:hAnsi="Times New Roman" w:cs="Times New Roman"/>
      <w:sz w:val="24"/>
    </w:rPr>
  </w:style>
  <w:style w:type="paragraph" w:styleId="Footer">
    <w:name w:val="footer"/>
    <w:basedOn w:val="Normal"/>
    <w:link w:val="FooterChar"/>
    <w:uiPriority w:val="99"/>
    <w:unhideWhenUsed/>
    <w:rsid w:val="00C655F1"/>
    <w:pPr>
      <w:tabs>
        <w:tab w:val="center" w:pos="4513"/>
        <w:tab w:val="right" w:pos="9026"/>
      </w:tabs>
      <w:spacing w:line="240" w:lineRule="auto"/>
    </w:pPr>
  </w:style>
  <w:style w:type="character" w:customStyle="1" w:styleId="FooterChar">
    <w:name w:val="Footer Char"/>
    <w:basedOn w:val="DefaultParagraphFont"/>
    <w:link w:val="Footer"/>
    <w:uiPriority w:val="99"/>
    <w:rsid w:val="00C655F1"/>
    <w:rPr>
      <w:rFonts w:ascii="Times New Roman" w:hAnsi="Times New Roman" w:cs="Times New Roman"/>
      <w:sz w:val="24"/>
    </w:rPr>
  </w:style>
  <w:style w:type="paragraph" w:styleId="ListParagraph">
    <w:name w:val="List Paragraph"/>
    <w:basedOn w:val="Normal"/>
    <w:uiPriority w:val="34"/>
    <w:qFormat/>
    <w:rsid w:val="00347A7A"/>
    <w:pPr>
      <w:ind w:left="720"/>
      <w:contextualSpacing/>
    </w:pPr>
  </w:style>
  <w:style w:type="character" w:customStyle="1" w:styleId="Heading3Char">
    <w:name w:val="Heading 3 Char"/>
    <w:basedOn w:val="DefaultParagraphFont"/>
    <w:link w:val="Heading3"/>
    <w:uiPriority w:val="9"/>
    <w:semiHidden/>
    <w:rsid w:val="002045D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045DA"/>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045D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045D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045D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045D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045DA"/>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ir.nii.ac.jp/crid/1970304959944002764" TargetMode="External"/><Relationship Id="rId18" Type="http://schemas.openxmlformats.org/officeDocument/2006/relationships/hyperlink" Target="https://digital.nhs.uk/data-and-information/publications/statistical/primary-care-dementia-data/april-2025?utm_source=chatgpt.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cambridge.org/core/journals/international-psychogeriatrics/article/what-is-good-communication-for-people-living-with-dementia-a-mixedmethods-systematic-review/28A6C1C6A44CE0D6C164E573095C98BD" TargetMode="External"/><Relationship Id="rId17" Type="http://schemas.openxmlformats.org/officeDocument/2006/relationships/hyperlink" Target="https://f1000research.com/articles/15-100" TargetMode="External"/><Relationship Id="rId2" Type="http://schemas.openxmlformats.org/officeDocument/2006/relationships/customXml" Target="../customXml/item2.xml"/><Relationship Id="rId16" Type="http://schemas.openxmlformats.org/officeDocument/2006/relationships/hyperlink" Target="https://journals.sagepub.com/doi/pdf/10.1177/14713012241292486" TargetMode="External"/><Relationship Id="rId20" Type="http://schemas.openxmlformats.org/officeDocument/2006/relationships/hyperlink" Target="https://www.cambridge.org/core/journals/international-psychogeriatrics/article/challenges-in-disclosing-and-receiving-a-diagnosis-of-dementia-a-systematic-review-of-practice-from-the-perspectives-of-people-with-dementia-carers-and-healthcare-professionals/0C630D5F61B5B03132FDB5507ADBC9A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journals.sagepub.com/doi/pdf/10.1177/1471301225136781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ngland.nhs.uk/2025/08/nhs-supporting-record-numbers-of-people-living-with-dementia/?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society/2026/jun/03/gps-in-england-too-overloaded-to-help-older-people-at-risk-of-falling-say-mp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E8950C9B46B248B903B359A63F05A8" ma:contentTypeVersion="4" ma:contentTypeDescription="Create a new document." ma:contentTypeScope="" ma:versionID="3eb0a838b639d72fe64a84b63d40f4b8">
  <xsd:schema xmlns:xsd="http://www.w3.org/2001/XMLSchema" xmlns:xs="http://www.w3.org/2001/XMLSchema" xmlns:p="http://schemas.microsoft.com/office/2006/metadata/properties" xmlns:ns3="a2869aec-534e-4d31-8a93-17daff6bdddf" targetNamespace="http://schemas.microsoft.com/office/2006/metadata/properties" ma:root="true" ma:fieldsID="f735720e13fa27179ffeb3248bec5dba" ns3:_="">
    <xsd:import namespace="a2869aec-534e-4d31-8a93-17daff6bddd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69aec-534e-4d31-8a93-17daff6bddd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E9C030-A35B-4542-93A4-9599E71A5E8A}">
  <ds:schemaRefs>
    <ds:schemaRef ds:uri="http://schemas.openxmlformats.org/officeDocument/2006/bibliography"/>
  </ds:schemaRefs>
</ds:datastoreItem>
</file>

<file path=customXml/itemProps2.xml><?xml version="1.0" encoding="utf-8"?>
<ds:datastoreItem xmlns:ds="http://schemas.openxmlformats.org/officeDocument/2006/customXml" ds:itemID="{B6658358-99D3-4BF4-93BD-9048F1793A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69aec-534e-4d31-8a93-17daff6bd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54B64A-9CBB-4E64-8557-8D3B83D551B1}">
  <ds:schemaRefs>
    <ds:schemaRef ds:uri="http://schemas.microsoft.com/sharepoint/v3/contenttype/forms"/>
  </ds:schemaRefs>
</ds:datastoreItem>
</file>

<file path=customXml/itemProps4.xml><?xml version="1.0" encoding="utf-8"?>
<ds:datastoreItem xmlns:ds="http://schemas.openxmlformats.org/officeDocument/2006/customXml" ds:itemID="{0EEB2209-F135-432A-8408-3344792939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2474</Words>
  <Characters>14107</Characters>
  <Application>Microsoft Office Word</Application>
  <DocSecurity>0</DocSecurity>
  <Lines>117</Lines>
  <Paragraphs>33</Paragraphs>
  <ScaleCrop>false</ScaleCrop>
  <Company/>
  <LinksUpToDate>false</LinksUpToDate>
  <CharactersWithSpaces>16548</CharactersWithSpaces>
  <SharedDoc>false</SharedDoc>
  <HLinks>
    <vt:vector size="90" baseType="variant">
      <vt:variant>
        <vt:i4>2359398</vt:i4>
      </vt:variant>
      <vt:variant>
        <vt:i4>63</vt:i4>
      </vt:variant>
      <vt:variant>
        <vt:i4>0</vt:i4>
      </vt:variant>
      <vt:variant>
        <vt:i4>5</vt:i4>
      </vt:variant>
      <vt:variant>
        <vt:lpwstr>https://www.cambridge.org/core/journals/international-psychogeriatrics/article/challenges-in-disclosing-and-receiving-a-diagnosis-of-dementia-a-systematic-review-of-practice-from-the-perspectives-of-people-with-dementia-carers-and-healthcare-professionals/0C630D5F61B5B03132FDB5507ADBC9A5</vt:lpwstr>
      </vt:variant>
      <vt:variant>
        <vt:lpwstr/>
      </vt:variant>
      <vt:variant>
        <vt:i4>2818138</vt:i4>
      </vt:variant>
      <vt:variant>
        <vt:i4>60</vt:i4>
      </vt:variant>
      <vt:variant>
        <vt:i4>0</vt:i4>
      </vt:variant>
      <vt:variant>
        <vt:i4>5</vt:i4>
      </vt:variant>
      <vt:variant>
        <vt:lpwstr>https://www.england.nhs.uk/2025/08/nhs-supporting-record-numbers-of-people-living-with-dementia/?utm_source=chatgpt.com</vt:lpwstr>
      </vt:variant>
      <vt:variant>
        <vt:lpwstr/>
      </vt:variant>
      <vt:variant>
        <vt:i4>786530</vt:i4>
      </vt:variant>
      <vt:variant>
        <vt:i4>57</vt:i4>
      </vt:variant>
      <vt:variant>
        <vt:i4>0</vt:i4>
      </vt:variant>
      <vt:variant>
        <vt:i4>5</vt:i4>
      </vt:variant>
      <vt:variant>
        <vt:lpwstr>https://digital.nhs.uk/data-and-information/publications/statistical/primary-care-dementia-data/april-2025?utm_source=chatgpt.com</vt:lpwstr>
      </vt:variant>
      <vt:variant>
        <vt:lpwstr/>
      </vt:variant>
      <vt:variant>
        <vt:i4>5570570</vt:i4>
      </vt:variant>
      <vt:variant>
        <vt:i4>54</vt:i4>
      </vt:variant>
      <vt:variant>
        <vt:i4>0</vt:i4>
      </vt:variant>
      <vt:variant>
        <vt:i4>5</vt:i4>
      </vt:variant>
      <vt:variant>
        <vt:lpwstr>https://f1000research.com/articles/15-100</vt:lpwstr>
      </vt:variant>
      <vt:variant>
        <vt:lpwstr/>
      </vt:variant>
      <vt:variant>
        <vt:i4>2621557</vt:i4>
      </vt:variant>
      <vt:variant>
        <vt:i4>51</vt:i4>
      </vt:variant>
      <vt:variant>
        <vt:i4>0</vt:i4>
      </vt:variant>
      <vt:variant>
        <vt:i4>5</vt:i4>
      </vt:variant>
      <vt:variant>
        <vt:lpwstr>https://journals.sagepub.com/doi/pdf/10.1177/14713012241292486</vt:lpwstr>
      </vt:variant>
      <vt:variant>
        <vt:lpwstr/>
      </vt:variant>
      <vt:variant>
        <vt:i4>2949241</vt:i4>
      </vt:variant>
      <vt:variant>
        <vt:i4>48</vt:i4>
      </vt:variant>
      <vt:variant>
        <vt:i4>0</vt:i4>
      </vt:variant>
      <vt:variant>
        <vt:i4>5</vt:i4>
      </vt:variant>
      <vt:variant>
        <vt:lpwstr>https://journals.sagepub.com/doi/pdf/10.1177/14713012251367810</vt:lpwstr>
      </vt:variant>
      <vt:variant>
        <vt:lpwstr/>
      </vt:variant>
      <vt:variant>
        <vt:i4>7471109</vt:i4>
      </vt:variant>
      <vt:variant>
        <vt:i4>45</vt:i4>
      </vt:variant>
      <vt:variant>
        <vt:i4>0</vt:i4>
      </vt:variant>
      <vt:variant>
        <vt:i4>5</vt:i4>
      </vt:variant>
      <vt:variant>
        <vt:lpwstr>https://www.theguardian.com/society/2026/jun/03/gps-in-england-too-overloaded-to-help-older-people-at-risk-of-falling-say-mps?utm_source=chatgpt.com</vt:lpwstr>
      </vt:variant>
      <vt:variant>
        <vt:lpwstr/>
      </vt:variant>
      <vt:variant>
        <vt:i4>2818165</vt:i4>
      </vt:variant>
      <vt:variant>
        <vt:i4>42</vt:i4>
      </vt:variant>
      <vt:variant>
        <vt:i4>0</vt:i4>
      </vt:variant>
      <vt:variant>
        <vt:i4>5</vt:i4>
      </vt:variant>
      <vt:variant>
        <vt:lpwstr>https://cir.nii.ac.jp/crid/1970304959944002764</vt:lpwstr>
      </vt:variant>
      <vt:variant>
        <vt:lpwstr/>
      </vt:variant>
      <vt:variant>
        <vt:i4>7209079</vt:i4>
      </vt:variant>
      <vt:variant>
        <vt:i4>39</vt:i4>
      </vt:variant>
      <vt:variant>
        <vt:i4>0</vt:i4>
      </vt:variant>
      <vt:variant>
        <vt:i4>5</vt:i4>
      </vt:variant>
      <vt:variant>
        <vt:lpwstr>https://www.cambridge.org/core/journals/international-psychogeriatrics/article/what-is-good-communication-for-people-living-with-dementia-a-mixedmethods-systematic-review/28A6C1C6A44CE0D6C164E573095C98BD</vt:lpwstr>
      </vt:variant>
      <vt:variant>
        <vt:lpwstr/>
      </vt:variant>
      <vt:variant>
        <vt:i4>1245245</vt:i4>
      </vt:variant>
      <vt:variant>
        <vt:i4>32</vt:i4>
      </vt:variant>
      <vt:variant>
        <vt:i4>0</vt:i4>
      </vt:variant>
      <vt:variant>
        <vt:i4>5</vt:i4>
      </vt:variant>
      <vt:variant>
        <vt:lpwstr/>
      </vt:variant>
      <vt:variant>
        <vt:lpwstr>_Toc236316824</vt:lpwstr>
      </vt:variant>
      <vt:variant>
        <vt:i4>1245245</vt:i4>
      </vt:variant>
      <vt:variant>
        <vt:i4>26</vt:i4>
      </vt:variant>
      <vt:variant>
        <vt:i4>0</vt:i4>
      </vt:variant>
      <vt:variant>
        <vt:i4>5</vt:i4>
      </vt:variant>
      <vt:variant>
        <vt:lpwstr/>
      </vt:variant>
      <vt:variant>
        <vt:lpwstr>_Toc236316823</vt:lpwstr>
      </vt:variant>
      <vt:variant>
        <vt:i4>1245245</vt:i4>
      </vt:variant>
      <vt:variant>
        <vt:i4>20</vt:i4>
      </vt:variant>
      <vt:variant>
        <vt:i4>0</vt:i4>
      </vt:variant>
      <vt:variant>
        <vt:i4>5</vt:i4>
      </vt:variant>
      <vt:variant>
        <vt:lpwstr/>
      </vt:variant>
      <vt:variant>
        <vt:lpwstr>_Toc236316822</vt:lpwstr>
      </vt:variant>
      <vt:variant>
        <vt:i4>1245245</vt:i4>
      </vt:variant>
      <vt:variant>
        <vt:i4>14</vt:i4>
      </vt:variant>
      <vt:variant>
        <vt:i4>0</vt:i4>
      </vt:variant>
      <vt:variant>
        <vt:i4>5</vt:i4>
      </vt:variant>
      <vt:variant>
        <vt:lpwstr/>
      </vt:variant>
      <vt:variant>
        <vt:lpwstr>_Toc236316821</vt:lpwstr>
      </vt:variant>
      <vt:variant>
        <vt:i4>1245245</vt:i4>
      </vt:variant>
      <vt:variant>
        <vt:i4>8</vt:i4>
      </vt:variant>
      <vt:variant>
        <vt:i4>0</vt:i4>
      </vt:variant>
      <vt:variant>
        <vt:i4>5</vt:i4>
      </vt:variant>
      <vt:variant>
        <vt:lpwstr/>
      </vt:variant>
      <vt:variant>
        <vt:lpwstr>_Toc236316820</vt:lpwstr>
      </vt:variant>
      <vt:variant>
        <vt:i4>1048637</vt:i4>
      </vt:variant>
      <vt:variant>
        <vt:i4>2</vt:i4>
      </vt:variant>
      <vt:variant>
        <vt:i4>0</vt:i4>
      </vt:variant>
      <vt:variant>
        <vt:i4>5</vt:i4>
      </vt:variant>
      <vt:variant>
        <vt:lpwstr/>
      </vt:variant>
      <vt:variant>
        <vt:lpwstr>_Toc236316819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Marilyine Cassell (2529839)</dc:creator>
  <cp:lastModifiedBy>Marilyn Cassell</cp:lastModifiedBy>
  <cp:revision>2</cp:revision>
  <cp:lastPrinted>2026-07-20T21:26:00Z</cp:lastPrinted>
  <dcterms:created xsi:type="dcterms:W3CDTF">2026-08-19T10:46:00Z</dcterms:created>
  <dcterms:modified xsi:type="dcterms:W3CDTF">2026-08-19T10:46:00Z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0x010100BDE8950C9B46B248B903B359A63F05A8</vt:lpwstr>
  </property>
</Properties>
</file>