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FEDE3B" w14:textId="77777777" w:rsidR="00ED1C18" w:rsidRPr="0002615A" w:rsidRDefault="0002615A">
      <w:pPr>
        <w:pStyle w:val="Title"/>
        <w:jc w:val="center"/>
        <w:rPr>
          <w:sz w:val="48"/>
          <w:szCs w:val="48"/>
        </w:rPr>
      </w:pPr>
      <w:r w:rsidRPr="0002615A">
        <w:rPr>
          <w:sz w:val="48"/>
          <w:szCs w:val="48"/>
        </w:rPr>
        <w:t>Quiz: Circular Economy and Logistics Systems</w:t>
      </w:r>
    </w:p>
    <w:p w14:paraId="12A079AB" w14:textId="77777777" w:rsidR="00ED1C18" w:rsidRDefault="0002615A">
      <w:pPr>
        <w:pStyle w:val="Heading2"/>
      </w:pPr>
      <w:r>
        <w:t>1. Which concept is most directly associated with product recovery and reuse within supply chains?</w:t>
      </w:r>
    </w:p>
    <w:p w14:paraId="31684EE4" w14:textId="77777777" w:rsidR="00ED1C18" w:rsidRDefault="0002615A" w:rsidP="0002615A">
      <w:pPr>
        <w:pStyle w:val="ListParagraph"/>
        <w:numPr>
          <w:ilvl w:val="0"/>
          <w:numId w:val="17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Forward Logistics</w:t>
      </w:r>
    </w:p>
    <w:p w14:paraId="09A75C65" w14:textId="77777777" w:rsidR="00ED1C18" w:rsidRDefault="0002615A" w:rsidP="0002615A">
      <w:pPr>
        <w:pStyle w:val="ListParagraph"/>
        <w:numPr>
          <w:ilvl w:val="0"/>
          <w:numId w:val="17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Closed Loop Supply Chain</w:t>
      </w:r>
    </w:p>
    <w:p w14:paraId="749040D1" w14:textId="77777777" w:rsidR="00ED1C18" w:rsidRDefault="0002615A" w:rsidP="0002615A">
      <w:pPr>
        <w:pStyle w:val="ListParagraph"/>
        <w:numPr>
          <w:ilvl w:val="0"/>
          <w:numId w:val="17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ISO 14000</w:t>
      </w:r>
    </w:p>
    <w:p w14:paraId="5D137F9F" w14:textId="77777777" w:rsidR="00ED1C18" w:rsidRDefault="0002615A">
      <w:r>
        <w:rPr>
          <w:rFonts w:ascii="Segoe UI Symbol" w:hAnsi="Segoe UI Symbol" w:cs="Segoe UI Symbol"/>
          <w:sz w:val="22"/>
        </w:rPr>
        <w:t>☐</w:t>
      </w:r>
      <w:r>
        <w:rPr>
          <w:rFonts w:ascii="Calibri" w:hAnsi="Calibri"/>
          <w:sz w:val="22"/>
        </w:rPr>
        <w:t xml:space="preserve"> Life Cycle Assessment</w:t>
      </w:r>
    </w:p>
    <w:p w14:paraId="5013CD9A" w14:textId="77777777" w:rsidR="00ED1C18" w:rsidRDefault="0002615A">
      <w:pPr>
        <w:pStyle w:val="Heading2"/>
      </w:pPr>
      <w:r>
        <w:t>2. Which of the following appeared first in academic literature?</w:t>
      </w:r>
    </w:p>
    <w:p w14:paraId="22C37ACB" w14:textId="77777777" w:rsidR="00ED1C18" w:rsidRDefault="0002615A" w:rsidP="0002615A">
      <w:pPr>
        <w:pStyle w:val="ListParagraph"/>
        <w:numPr>
          <w:ilvl w:val="0"/>
          <w:numId w:val="18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Circular Economy</w:t>
      </w:r>
    </w:p>
    <w:p w14:paraId="404A7C29" w14:textId="77777777" w:rsidR="00ED1C18" w:rsidRDefault="0002615A" w:rsidP="0002615A">
      <w:pPr>
        <w:pStyle w:val="ListParagraph"/>
        <w:numPr>
          <w:ilvl w:val="0"/>
          <w:numId w:val="18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Reverse Logistics</w:t>
      </w:r>
    </w:p>
    <w:p w14:paraId="048A1680" w14:textId="77777777" w:rsidR="00ED1C18" w:rsidRDefault="0002615A" w:rsidP="0002615A">
      <w:pPr>
        <w:pStyle w:val="ListParagraph"/>
        <w:numPr>
          <w:ilvl w:val="0"/>
          <w:numId w:val="18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Closed Loop Supply Chain</w:t>
      </w:r>
    </w:p>
    <w:p w14:paraId="408DEBAA" w14:textId="77777777" w:rsidR="00ED1C18" w:rsidRDefault="0002615A" w:rsidP="0002615A">
      <w:pPr>
        <w:pStyle w:val="ListParagraph"/>
        <w:numPr>
          <w:ilvl w:val="0"/>
          <w:numId w:val="18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Industrial Ecology</w:t>
      </w:r>
    </w:p>
    <w:p w14:paraId="1F96B752" w14:textId="77777777" w:rsidR="00ED1C18" w:rsidRDefault="0002615A">
      <w:pPr>
        <w:pStyle w:val="Heading2"/>
      </w:pPr>
      <w:r>
        <w:t>3</w:t>
      </w:r>
      <w:r>
        <w:t>. What is a key limitation in aligning Circular Economy research with Reverse Logistics and Closed Loop Supply Chains?</w:t>
      </w:r>
    </w:p>
    <w:p w14:paraId="7403811A" w14:textId="77777777" w:rsidR="00ED1C18" w:rsidRDefault="0002615A" w:rsidP="0002615A">
      <w:pPr>
        <w:pStyle w:val="ListParagraph"/>
        <w:numPr>
          <w:ilvl w:val="0"/>
          <w:numId w:val="19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Lack of funding</w:t>
      </w:r>
    </w:p>
    <w:p w14:paraId="457CCB1D" w14:textId="77777777" w:rsidR="00ED1C18" w:rsidRDefault="0002615A" w:rsidP="0002615A">
      <w:pPr>
        <w:pStyle w:val="ListParagraph"/>
        <w:numPr>
          <w:ilvl w:val="0"/>
          <w:numId w:val="19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Overlap in journal titles</w:t>
      </w:r>
    </w:p>
    <w:p w14:paraId="5F88FD5C" w14:textId="77777777" w:rsidR="00ED1C18" w:rsidRDefault="0002615A" w:rsidP="0002615A">
      <w:pPr>
        <w:pStyle w:val="ListParagraph"/>
        <w:numPr>
          <w:ilvl w:val="0"/>
          <w:numId w:val="19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Limited common citations</w:t>
      </w:r>
    </w:p>
    <w:p w14:paraId="256CACDB" w14:textId="77777777" w:rsidR="00ED1C18" w:rsidRDefault="0002615A" w:rsidP="0002615A">
      <w:pPr>
        <w:pStyle w:val="ListParagraph"/>
        <w:numPr>
          <w:ilvl w:val="0"/>
          <w:numId w:val="19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Excessive focus on packaging</w:t>
      </w:r>
    </w:p>
    <w:p w14:paraId="55301FC1" w14:textId="77777777" w:rsidR="00ED1C18" w:rsidRDefault="0002615A">
      <w:pPr>
        <w:pStyle w:val="Heading2"/>
      </w:pPr>
      <w:r>
        <w:t>4</w:t>
      </w:r>
      <w:r>
        <w:t>. Which database was used to gather literature review data in the presentation?</w:t>
      </w:r>
    </w:p>
    <w:p w14:paraId="323F12EB" w14:textId="77777777" w:rsidR="00ED1C18" w:rsidRDefault="0002615A" w:rsidP="0002615A">
      <w:pPr>
        <w:pStyle w:val="ListParagraph"/>
        <w:numPr>
          <w:ilvl w:val="0"/>
          <w:numId w:val="20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Web of Science</w:t>
      </w:r>
    </w:p>
    <w:p w14:paraId="38C5991D" w14:textId="77777777" w:rsidR="00ED1C18" w:rsidRDefault="0002615A" w:rsidP="0002615A">
      <w:pPr>
        <w:pStyle w:val="ListParagraph"/>
        <w:numPr>
          <w:ilvl w:val="0"/>
          <w:numId w:val="20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JSTOR</w:t>
      </w:r>
    </w:p>
    <w:p w14:paraId="0F8FBBEA" w14:textId="77777777" w:rsidR="00ED1C18" w:rsidRDefault="0002615A" w:rsidP="0002615A">
      <w:pPr>
        <w:pStyle w:val="ListParagraph"/>
        <w:numPr>
          <w:ilvl w:val="0"/>
          <w:numId w:val="20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Scopus</w:t>
      </w:r>
    </w:p>
    <w:p w14:paraId="1828B356" w14:textId="77777777" w:rsidR="00ED1C18" w:rsidRDefault="0002615A" w:rsidP="0002615A">
      <w:pPr>
        <w:pStyle w:val="ListParagraph"/>
        <w:numPr>
          <w:ilvl w:val="0"/>
          <w:numId w:val="20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Google Scholar</w:t>
      </w:r>
    </w:p>
    <w:p w14:paraId="6C74ADFA" w14:textId="77777777" w:rsidR="00ED1C18" w:rsidRDefault="0002615A">
      <w:pPr>
        <w:pStyle w:val="Heading2"/>
      </w:pPr>
      <w:r>
        <w:t>5</w:t>
      </w:r>
      <w:r>
        <w:t>. Which of the following is NOT typically included in reverse logistics cost categories?</w:t>
      </w:r>
    </w:p>
    <w:p w14:paraId="53433173" w14:textId="77777777" w:rsidR="00ED1C18" w:rsidRDefault="0002615A" w:rsidP="0002615A">
      <w:pPr>
        <w:pStyle w:val="ListParagraph"/>
        <w:numPr>
          <w:ilvl w:val="0"/>
          <w:numId w:val="21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Refurbishment</w:t>
      </w:r>
    </w:p>
    <w:p w14:paraId="53CCFCB1" w14:textId="77777777" w:rsidR="00ED1C18" w:rsidRDefault="0002615A" w:rsidP="0002615A">
      <w:pPr>
        <w:pStyle w:val="ListParagraph"/>
        <w:numPr>
          <w:ilvl w:val="0"/>
          <w:numId w:val="21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Shrinkage</w:t>
      </w:r>
    </w:p>
    <w:p w14:paraId="7A06EC10" w14:textId="77777777" w:rsidR="00ED1C18" w:rsidRDefault="0002615A" w:rsidP="0002615A">
      <w:pPr>
        <w:pStyle w:val="ListParagraph"/>
        <w:numPr>
          <w:ilvl w:val="0"/>
          <w:numId w:val="21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Advertising</w:t>
      </w:r>
    </w:p>
    <w:p w14:paraId="769B12E0" w14:textId="77777777" w:rsidR="00ED1C18" w:rsidRDefault="0002615A" w:rsidP="0002615A">
      <w:pPr>
        <w:pStyle w:val="ListParagraph"/>
        <w:numPr>
          <w:ilvl w:val="0"/>
          <w:numId w:val="21"/>
        </w:numPr>
      </w:pPr>
      <w:r w:rsidRPr="0002615A">
        <w:rPr>
          <w:rFonts w:ascii="Segoe UI Symbol" w:hAnsi="Segoe UI Symbol" w:cs="Segoe UI Symbol"/>
          <w:sz w:val="22"/>
        </w:rPr>
        <w:t>☐</w:t>
      </w:r>
      <w:r w:rsidRPr="0002615A">
        <w:rPr>
          <w:rFonts w:ascii="Calibri" w:hAnsi="Calibri"/>
          <w:sz w:val="22"/>
        </w:rPr>
        <w:t xml:space="preserve"> Collection</w:t>
      </w:r>
    </w:p>
    <w:p w14:paraId="36301F53" w14:textId="77777777" w:rsidR="00ED1C18" w:rsidRDefault="0002615A">
      <w:pPr>
        <w:pStyle w:val="Heading2"/>
      </w:pPr>
      <w:r>
        <w:lastRenderedPageBreak/>
        <w:t>6</w:t>
      </w:r>
      <w:r>
        <w:t>. Reverse logistics only deals with product returns.</w:t>
      </w:r>
    </w:p>
    <w:p w14:paraId="6F2E880B" w14:textId="77777777" w:rsidR="00ED1C18" w:rsidRDefault="0002615A">
      <w:r>
        <w:rPr>
          <w:rFonts w:ascii="Calibri" w:hAnsi="Calibri"/>
          <w:sz w:val="22"/>
        </w:rPr>
        <w:t>☐</w:t>
      </w:r>
      <w:r>
        <w:rPr>
          <w:rFonts w:ascii="Calibri" w:hAnsi="Calibri"/>
          <w:sz w:val="22"/>
        </w:rPr>
        <w:t xml:space="preserve"> True</w:t>
      </w:r>
    </w:p>
    <w:p w14:paraId="6726067B" w14:textId="77777777" w:rsidR="00ED1C18" w:rsidRDefault="0002615A">
      <w:r>
        <w:rPr>
          <w:rFonts w:ascii="Calibri" w:hAnsi="Calibri"/>
          <w:sz w:val="22"/>
        </w:rPr>
        <w:t>☐</w:t>
      </w:r>
      <w:r>
        <w:rPr>
          <w:rFonts w:ascii="Calibri" w:hAnsi="Calibri"/>
          <w:sz w:val="22"/>
        </w:rPr>
        <w:t xml:space="preserve"> False</w:t>
      </w:r>
    </w:p>
    <w:p w14:paraId="38D37985" w14:textId="77777777" w:rsidR="00ED1C18" w:rsidRDefault="0002615A">
      <w:pPr>
        <w:pStyle w:val="Heading2"/>
      </w:pPr>
      <w:r>
        <w:t>7. Circular Economy research was initially dominated by Chinese authors.</w:t>
      </w:r>
    </w:p>
    <w:p w14:paraId="23E9BF2E" w14:textId="77777777" w:rsidR="00ED1C18" w:rsidRDefault="0002615A">
      <w:r>
        <w:rPr>
          <w:rFonts w:ascii="Calibri" w:hAnsi="Calibri"/>
          <w:sz w:val="22"/>
        </w:rPr>
        <w:t>☐</w:t>
      </w:r>
      <w:r>
        <w:rPr>
          <w:rFonts w:ascii="Calibri" w:hAnsi="Calibri"/>
          <w:sz w:val="22"/>
        </w:rPr>
        <w:t xml:space="preserve"> True</w:t>
      </w:r>
    </w:p>
    <w:p w14:paraId="595815B6" w14:textId="77777777" w:rsidR="00ED1C18" w:rsidRDefault="0002615A">
      <w:r>
        <w:rPr>
          <w:rFonts w:ascii="Calibri" w:hAnsi="Calibri"/>
          <w:sz w:val="22"/>
        </w:rPr>
        <w:t>☐</w:t>
      </w:r>
      <w:r>
        <w:rPr>
          <w:rFonts w:ascii="Calibri" w:hAnsi="Calibri"/>
          <w:sz w:val="22"/>
        </w:rPr>
        <w:t xml:space="preserve"> False</w:t>
      </w:r>
    </w:p>
    <w:p w14:paraId="2345C454" w14:textId="77777777" w:rsidR="00ED1C18" w:rsidRDefault="0002615A">
      <w:pPr>
        <w:pStyle w:val="Heading2"/>
      </w:pPr>
      <w:r>
        <w:t>8. ISO 14000 is a standard for environmental management systems.</w:t>
      </w:r>
    </w:p>
    <w:p w14:paraId="4689A2DB" w14:textId="77777777" w:rsidR="00ED1C18" w:rsidRDefault="0002615A">
      <w:r>
        <w:rPr>
          <w:rFonts w:ascii="Calibri" w:hAnsi="Calibri"/>
          <w:sz w:val="22"/>
        </w:rPr>
        <w:t>☐</w:t>
      </w:r>
      <w:r>
        <w:rPr>
          <w:rFonts w:ascii="Calibri" w:hAnsi="Calibri"/>
          <w:sz w:val="22"/>
        </w:rPr>
        <w:t xml:space="preserve"> True</w:t>
      </w:r>
    </w:p>
    <w:p w14:paraId="29398B52" w14:textId="77777777" w:rsidR="00ED1C18" w:rsidRDefault="0002615A">
      <w:r>
        <w:rPr>
          <w:rFonts w:ascii="Calibri" w:hAnsi="Calibri"/>
          <w:sz w:val="22"/>
        </w:rPr>
        <w:t>☐</w:t>
      </w:r>
      <w:r>
        <w:rPr>
          <w:rFonts w:ascii="Calibri" w:hAnsi="Calibri"/>
          <w:sz w:val="22"/>
        </w:rPr>
        <w:t xml:space="preserve"> False</w:t>
      </w:r>
    </w:p>
    <w:p w14:paraId="1FA28183" w14:textId="77777777" w:rsidR="00ED1C18" w:rsidRDefault="0002615A">
      <w:pPr>
        <w:pStyle w:val="Heading2"/>
      </w:pPr>
      <w:r>
        <w:t>9. Reverse logistics networks are easier to forecast than forward logistics networks.</w:t>
      </w:r>
    </w:p>
    <w:p w14:paraId="384F4553" w14:textId="77777777" w:rsidR="00ED1C18" w:rsidRDefault="0002615A">
      <w:r>
        <w:rPr>
          <w:rFonts w:ascii="Calibri" w:hAnsi="Calibri"/>
          <w:sz w:val="22"/>
        </w:rPr>
        <w:t>☐</w:t>
      </w:r>
      <w:r>
        <w:rPr>
          <w:rFonts w:ascii="Calibri" w:hAnsi="Calibri"/>
          <w:sz w:val="22"/>
        </w:rPr>
        <w:t xml:space="preserve"> True</w:t>
      </w:r>
    </w:p>
    <w:p w14:paraId="5423469C" w14:textId="77777777" w:rsidR="00ED1C18" w:rsidRDefault="0002615A">
      <w:r>
        <w:rPr>
          <w:rFonts w:ascii="Calibri" w:hAnsi="Calibri"/>
          <w:sz w:val="22"/>
        </w:rPr>
        <w:t>☐</w:t>
      </w:r>
      <w:r>
        <w:rPr>
          <w:rFonts w:ascii="Calibri" w:hAnsi="Calibri"/>
          <w:sz w:val="22"/>
        </w:rPr>
        <w:t xml:space="preserve"> False</w:t>
      </w:r>
    </w:p>
    <w:p w14:paraId="6858B71F" w14:textId="77777777" w:rsidR="00ED1C18" w:rsidRDefault="0002615A">
      <w:pPr>
        <w:pStyle w:val="Heading2"/>
      </w:pPr>
      <w:r>
        <w:t>10. Life Cycle Assessment includes post-sales service and recycling stages.</w:t>
      </w:r>
    </w:p>
    <w:p w14:paraId="2E76020B" w14:textId="77777777" w:rsidR="00ED1C18" w:rsidRDefault="0002615A">
      <w:r>
        <w:rPr>
          <w:rFonts w:ascii="Calibri" w:hAnsi="Calibri"/>
          <w:sz w:val="22"/>
        </w:rPr>
        <w:t>☐</w:t>
      </w:r>
      <w:r>
        <w:rPr>
          <w:rFonts w:ascii="Calibri" w:hAnsi="Calibri"/>
          <w:sz w:val="22"/>
        </w:rPr>
        <w:t xml:space="preserve"> True</w:t>
      </w:r>
    </w:p>
    <w:p w14:paraId="00393B6A" w14:textId="77777777" w:rsidR="00ED1C18" w:rsidRDefault="0002615A">
      <w:r>
        <w:rPr>
          <w:rFonts w:ascii="Calibri" w:hAnsi="Calibri"/>
          <w:sz w:val="22"/>
        </w:rPr>
        <w:t>☐</w:t>
      </w:r>
      <w:r>
        <w:rPr>
          <w:rFonts w:ascii="Calibri" w:hAnsi="Calibri"/>
          <w:sz w:val="22"/>
        </w:rPr>
        <w:t xml:space="preserve"> False</w:t>
      </w:r>
    </w:p>
    <w:p w14:paraId="2EA8F5B3" w14:textId="77777777" w:rsidR="00ED1C18" w:rsidRDefault="0002615A">
      <w:pPr>
        <w:pStyle w:val="Heading2"/>
      </w:pPr>
      <w:r>
        <w:t>11. List three reasons why products are returned in reverse logistics systems.</w:t>
      </w:r>
    </w:p>
    <w:p w14:paraId="22E6A39B" w14:textId="77777777" w:rsidR="00ED1C18" w:rsidRDefault="0002615A">
      <w:r>
        <w:t>Answer: ____________________________</w:t>
      </w:r>
    </w:p>
    <w:p w14:paraId="051F2F6E" w14:textId="77777777" w:rsidR="00ED1C18" w:rsidRDefault="0002615A">
      <w:pPr>
        <w:pStyle w:val="Heading2"/>
      </w:pPr>
      <w:r>
        <w:t>12. What are two major benefits of implementing environmentally sound supply chain practices?</w:t>
      </w:r>
    </w:p>
    <w:p w14:paraId="186B3254" w14:textId="77777777" w:rsidR="00ED1C18" w:rsidRDefault="0002615A">
      <w:r>
        <w:t>Answer: ____________________________</w:t>
      </w:r>
    </w:p>
    <w:p w14:paraId="6376902A" w14:textId="77777777" w:rsidR="00ED1C18" w:rsidRDefault="0002615A">
      <w:pPr>
        <w:pStyle w:val="Heading2"/>
      </w:pPr>
      <w:r>
        <w:lastRenderedPageBreak/>
        <w:t>13. Explain the difference between forward and reverse logistics in terms of visibility and cost estimation.</w:t>
      </w:r>
    </w:p>
    <w:p w14:paraId="56857851" w14:textId="77777777" w:rsidR="00ED1C18" w:rsidRDefault="0002615A">
      <w:r>
        <w:t>Answer: ____________________________</w:t>
      </w:r>
    </w:p>
    <w:p w14:paraId="5965AC31" w14:textId="77777777" w:rsidR="00ED1C18" w:rsidRDefault="0002615A">
      <w:pPr>
        <w:pStyle w:val="Heading2"/>
      </w:pPr>
      <w:r>
        <w:t>14. What is the role of gatekeeping in returns management?</w:t>
      </w:r>
    </w:p>
    <w:p w14:paraId="2C8BBBCE" w14:textId="77777777" w:rsidR="00ED1C18" w:rsidRDefault="0002615A">
      <w:r>
        <w:t>Answer: ____________________________</w:t>
      </w:r>
    </w:p>
    <w:p w14:paraId="07B085D0" w14:textId="77777777" w:rsidR="00ED1C18" w:rsidRDefault="0002615A">
      <w:pPr>
        <w:pStyle w:val="Heading2"/>
      </w:pPr>
      <w:r>
        <w:t>15. Name two types of recycled plastics used in HP’s closed-loop recycling program.</w:t>
      </w:r>
    </w:p>
    <w:p w14:paraId="1A0A23FA" w14:textId="77777777" w:rsidR="00ED1C18" w:rsidRDefault="0002615A">
      <w:r>
        <w:t>Answer: ____________________________</w:t>
      </w:r>
    </w:p>
    <w:p w14:paraId="1212F621" w14:textId="77777777" w:rsidR="00ED1C18" w:rsidRDefault="0002615A">
      <w:r>
        <w:br w:type="page"/>
      </w:r>
    </w:p>
    <w:p w14:paraId="7C790E53" w14:textId="77777777" w:rsidR="00ED1C18" w:rsidRDefault="0002615A">
      <w:pPr>
        <w:pStyle w:val="Title"/>
        <w:jc w:val="center"/>
      </w:pPr>
      <w:r>
        <w:lastRenderedPageBreak/>
        <w:t>Answer Key</w:t>
      </w:r>
    </w:p>
    <w:p w14:paraId="4B278B26" w14:textId="77777777" w:rsidR="00ED1C18" w:rsidRDefault="0002615A">
      <w:pPr>
        <w:pStyle w:val="Heading2"/>
      </w:pPr>
      <w:r>
        <w:t>Section 1: Multiple Choice Questions</w:t>
      </w:r>
    </w:p>
    <w:p w14:paraId="47121A87" w14:textId="77777777" w:rsidR="00ED1C18" w:rsidRDefault="0002615A">
      <w:pPr>
        <w:pStyle w:val="ListNumber"/>
      </w:pPr>
      <w:r>
        <w:t>1. b) Closed Loop Supply Chain</w:t>
      </w:r>
    </w:p>
    <w:p w14:paraId="1C909233" w14:textId="77777777" w:rsidR="00ED1C18" w:rsidRDefault="0002615A">
      <w:pPr>
        <w:pStyle w:val="ListNumber"/>
      </w:pPr>
      <w:r>
        <w:t>2. d) Industrial Ecology</w:t>
      </w:r>
    </w:p>
    <w:p w14:paraId="71456A3E" w14:textId="77777777" w:rsidR="00ED1C18" w:rsidRDefault="0002615A">
      <w:pPr>
        <w:pStyle w:val="ListNumber"/>
      </w:pPr>
      <w:r>
        <w:t>3. c) Limited common citations</w:t>
      </w:r>
    </w:p>
    <w:p w14:paraId="0F09C3D0" w14:textId="77777777" w:rsidR="00ED1C18" w:rsidRDefault="0002615A">
      <w:pPr>
        <w:pStyle w:val="ListNumber"/>
      </w:pPr>
      <w:r>
        <w:t>4. a) Web of Science</w:t>
      </w:r>
    </w:p>
    <w:p w14:paraId="04A9BCA3" w14:textId="77777777" w:rsidR="00ED1C18" w:rsidRDefault="0002615A">
      <w:pPr>
        <w:pStyle w:val="ListNumber"/>
      </w:pPr>
      <w:r>
        <w:t>5. c) Advertising</w:t>
      </w:r>
    </w:p>
    <w:p w14:paraId="7EB663EC" w14:textId="77777777" w:rsidR="00ED1C18" w:rsidRDefault="0002615A">
      <w:pPr>
        <w:pStyle w:val="Heading2"/>
      </w:pPr>
      <w:r>
        <w:t>Section 2: True or False</w:t>
      </w:r>
    </w:p>
    <w:p w14:paraId="3624431B" w14:textId="77777777" w:rsidR="00ED1C18" w:rsidRDefault="0002615A">
      <w:pPr>
        <w:pStyle w:val="ListNumber"/>
      </w:pPr>
      <w:r>
        <w:t>6. False</w:t>
      </w:r>
    </w:p>
    <w:p w14:paraId="282F2BB7" w14:textId="77777777" w:rsidR="00ED1C18" w:rsidRDefault="0002615A">
      <w:pPr>
        <w:pStyle w:val="ListNumber"/>
      </w:pPr>
      <w:r>
        <w:t>7. True</w:t>
      </w:r>
    </w:p>
    <w:p w14:paraId="34ACDB35" w14:textId="77777777" w:rsidR="00ED1C18" w:rsidRDefault="0002615A">
      <w:pPr>
        <w:pStyle w:val="ListNumber"/>
      </w:pPr>
      <w:r>
        <w:t>8. True</w:t>
      </w:r>
    </w:p>
    <w:p w14:paraId="66623DEB" w14:textId="77777777" w:rsidR="00ED1C18" w:rsidRDefault="0002615A">
      <w:pPr>
        <w:pStyle w:val="ListNumber"/>
      </w:pPr>
      <w:r>
        <w:t>9. False</w:t>
      </w:r>
    </w:p>
    <w:p w14:paraId="61EE4D04" w14:textId="77777777" w:rsidR="00ED1C18" w:rsidRDefault="0002615A">
      <w:pPr>
        <w:pStyle w:val="ListNumber"/>
      </w:pPr>
      <w:r>
        <w:t>10. True</w:t>
      </w:r>
    </w:p>
    <w:p w14:paraId="0E0D7AD5" w14:textId="77777777" w:rsidR="00ED1C18" w:rsidRDefault="0002615A">
      <w:pPr>
        <w:pStyle w:val="Heading2"/>
      </w:pPr>
      <w:r>
        <w:t>Section 3: Short Answer</w:t>
      </w:r>
    </w:p>
    <w:p w14:paraId="362DF1D4" w14:textId="77777777" w:rsidR="00ED1C18" w:rsidRDefault="0002615A">
      <w:pPr>
        <w:pStyle w:val="ListNumber"/>
      </w:pPr>
      <w:r>
        <w:t>11. Products may be returned due to defects, end-of-life returns, or customer dissatisfaction.</w:t>
      </w:r>
    </w:p>
    <w:p w14:paraId="1BA3318D" w14:textId="77777777" w:rsidR="00ED1C18" w:rsidRDefault="0002615A">
      <w:pPr>
        <w:pStyle w:val="ListNumber"/>
      </w:pPr>
      <w:r>
        <w:t>12. Major benefits include reduced environmental impact and improved brand reputation.</w:t>
      </w:r>
    </w:p>
    <w:p w14:paraId="5EB0B866" w14:textId="77777777" w:rsidR="00ED1C18" w:rsidRDefault="0002615A">
      <w:pPr>
        <w:pStyle w:val="ListNumber"/>
      </w:pPr>
      <w:r>
        <w:t>13. Forward logistics typically have higher visibility and predictable costs, while reverse logistics are harder to forecast and cost estimation is more complex.</w:t>
      </w:r>
    </w:p>
    <w:p w14:paraId="3C9F1A84" w14:textId="77777777" w:rsidR="00ED1C18" w:rsidRDefault="0002615A">
      <w:pPr>
        <w:pStyle w:val="ListNumber"/>
      </w:pPr>
      <w:r>
        <w:t>14. Gatekeeping ensures only valid returns enter the reverse logistics system, reducing unnecessary costs.</w:t>
      </w:r>
    </w:p>
    <w:p w14:paraId="3EC8FE4A" w14:textId="77777777" w:rsidR="00ED1C18" w:rsidRDefault="0002615A">
      <w:pPr>
        <w:pStyle w:val="ListNumber"/>
      </w:pPr>
      <w:r>
        <w:t>15. HP uses recycled plastics such as PET (polyethylene terephthalate) and ABS (acrylonitrile butadiene styrene) in its closed-loop recycling program.</w:t>
      </w:r>
    </w:p>
    <w:sectPr w:rsidR="00ED1C1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1" w15:restartNumberingAfterBreak="0">
    <w:nsid w:val="0DE6600A"/>
    <w:multiLevelType w:val="hybridMultilevel"/>
    <w:tmpl w:val="5F9C601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5322658"/>
    <w:multiLevelType w:val="hybridMultilevel"/>
    <w:tmpl w:val="8BB28E2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886667B"/>
    <w:multiLevelType w:val="hybridMultilevel"/>
    <w:tmpl w:val="9D1CD5B8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3C51338"/>
    <w:multiLevelType w:val="hybridMultilevel"/>
    <w:tmpl w:val="13B8CD6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75D6F36"/>
    <w:multiLevelType w:val="hybridMultilevel"/>
    <w:tmpl w:val="870A0E9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8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9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0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9"/>
  </w:num>
  <w:num w:numId="13" w16cid:durableId="2110588750">
    <w:abstractNumId w:val="18"/>
  </w:num>
  <w:num w:numId="14" w16cid:durableId="1730575300">
    <w:abstractNumId w:val="17"/>
  </w:num>
  <w:num w:numId="15" w16cid:durableId="2063938215">
    <w:abstractNumId w:val="20"/>
  </w:num>
  <w:num w:numId="16" w16cid:durableId="1416627709">
    <w:abstractNumId w:val="14"/>
  </w:num>
  <w:num w:numId="17" w16cid:durableId="557323652">
    <w:abstractNumId w:val="13"/>
  </w:num>
  <w:num w:numId="18" w16cid:durableId="297153923">
    <w:abstractNumId w:val="12"/>
  </w:num>
  <w:num w:numId="19" w16cid:durableId="381179711">
    <w:abstractNumId w:val="15"/>
  </w:num>
  <w:num w:numId="20" w16cid:durableId="883297857">
    <w:abstractNumId w:val="11"/>
  </w:num>
  <w:num w:numId="21" w16cid:durableId="1147430643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02615A"/>
    <w:rsid w:val="002E51AB"/>
    <w:rsid w:val="0036562D"/>
    <w:rsid w:val="004976E0"/>
    <w:rsid w:val="005A534A"/>
    <w:rsid w:val="00827C87"/>
    <w:rsid w:val="00A352C8"/>
    <w:rsid w:val="00B41C2B"/>
    <w:rsid w:val="00C26D93"/>
    <w:rsid w:val="00C27141"/>
    <w:rsid w:val="00D32292"/>
    <w:rsid w:val="00D75435"/>
    <w:rsid w:val="00DA6C12"/>
    <w:rsid w:val="00DE5146"/>
    <w:rsid w:val="00DF2FBF"/>
    <w:rsid w:val="00ED1C18"/>
    <w:rsid w:val="00FB3270"/>
    <w:rsid w:val="00FF3CC0"/>
    <w:rsid w:val="145DDC06"/>
    <w:rsid w:val="1AE30756"/>
    <w:rsid w:val="1F8D6634"/>
    <w:rsid w:val="30A8A375"/>
    <w:rsid w:val="370F4FAD"/>
    <w:rsid w:val="42F51039"/>
    <w:rsid w:val="4C9D2FD7"/>
    <w:rsid w:val="4DC79EA7"/>
    <w:rsid w:val="5DEBE129"/>
    <w:rsid w:val="6407A84A"/>
    <w:rsid w:val="6C8F65A7"/>
    <w:rsid w:val="77A6A9EF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02B187"/>
  <w15:chartTrackingRefBased/>
  <w15:docId w15:val="{D745E40B-03CB-45CA-A742-9217D56BE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27C8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C8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rsid w:val="00827C87"/>
  </w:style>
  <w:style w:type="paragraph" w:styleId="CommentText">
    <w:name w:val="annotation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customStyle="1" w:styleId="DateChar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mailSignature">
    <w:name w:val="E-mail Signature"/>
    <w:basedOn w:val="Normal"/>
    <w:link w:val="EmailSignatureChar"/>
    <w:uiPriority w:val="99"/>
    <w:unhideWhenUsed/>
    <w:rsid w:val="00827C87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rsid w:val="00827C87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customStyle="1" w:styleId="SalutationChar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u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urfulGrid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urfulGrid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Grid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urfulGrid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urfulGrid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u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urfulList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urfulList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urfulList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urfulList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urfulList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u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C394D" w:themeColor="accent1" w:themeShade="99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3F10" w:themeColor="accent2" w:themeShade="99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F9ED5" w:themeColor="accent4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F4015" w:themeColor="accent3" w:themeShade="99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196B24" w:themeColor="accent3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95E7F" w:themeColor="accent4" w:themeShade="99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EA72E" w:themeColor="accent6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F1957" w:themeColor="accent5" w:themeShade="99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02B93" w:themeColor="accent5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641B" w:themeColor="accent6" w:themeShade="99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3CAEB" w:themeColor="accent1" w:themeTint="66"/>
        <w:left w:val="single" w:sz="4" w:space="0" w:color="83CAEB" w:themeColor="accent1" w:themeTint="66"/>
        <w:bottom w:val="single" w:sz="4" w:space="0" w:color="83CAEB" w:themeColor="accent1" w:themeTint="66"/>
        <w:right w:val="single" w:sz="4" w:space="0" w:color="83CAEB" w:themeColor="accent1" w:themeTint="66"/>
        <w:insideH w:val="single" w:sz="4" w:space="0" w:color="83CAEB" w:themeColor="accent1" w:themeTint="66"/>
        <w:insideV w:val="single" w:sz="4" w:space="0" w:color="83CAE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6C5AC" w:themeColor="accent2" w:themeTint="66"/>
        <w:left w:val="single" w:sz="4" w:space="0" w:color="F6C5AC" w:themeColor="accent2" w:themeTint="66"/>
        <w:bottom w:val="single" w:sz="4" w:space="0" w:color="F6C5AC" w:themeColor="accent2" w:themeTint="66"/>
        <w:right w:val="single" w:sz="4" w:space="0" w:color="F6C5AC" w:themeColor="accent2" w:themeTint="66"/>
        <w:insideH w:val="single" w:sz="4" w:space="0" w:color="F6C5AC" w:themeColor="accent2" w:themeTint="66"/>
        <w:insideV w:val="single" w:sz="4" w:space="0" w:color="F6C5AC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4E290" w:themeColor="accent3" w:themeTint="66"/>
        <w:left w:val="single" w:sz="4" w:space="0" w:color="84E290" w:themeColor="accent3" w:themeTint="66"/>
        <w:bottom w:val="single" w:sz="4" w:space="0" w:color="84E290" w:themeColor="accent3" w:themeTint="66"/>
        <w:right w:val="single" w:sz="4" w:space="0" w:color="84E290" w:themeColor="accent3" w:themeTint="66"/>
        <w:insideH w:val="single" w:sz="4" w:space="0" w:color="84E290" w:themeColor="accent3" w:themeTint="66"/>
        <w:insideV w:val="single" w:sz="4" w:space="0" w:color="84E290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95DCF7" w:themeColor="accent4" w:themeTint="66"/>
        <w:left w:val="single" w:sz="4" w:space="0" w:color="95DCF7" w:themeColor="accent4" w:themeTint="66"/>
        <w:bottom w:val="single" w:sz="4" w:space="0" w:color="95DCF7" w:themeColor="accent4" w:themeTint="66"/>
        <w:right w:val="single" w:sz="4" w:space="0" w:color="95DCF7" w:themeColor="accent4" w:themeTint="66"/>
        <w:insideH w:val="single" w:sz="4" w:space="0" w:color="95DCF7" w:themeColor="accent4" w:themeTint="66"/>
        <w:insideV w:val="single" w:sz="4" w:space="0" w:color="95DCF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59EDC" w:themeColor="accent5" w:themeTint="66"/>
        <w:left w:val="single" w:sz="4" w:space="0" w:color="E59EDC" w:themeColor="accent5" w:themeTint="66"/>
        <w:bottom w:val="single" w:sz="4" w:space="0" w:color="E59EDC" w:themeColor="accent5" w:themeTint="66"/>
        <w:right w:val="single" w:sz="4" w:space="0" w:color="E59EDC" w:themeColor="accent5" w:themeTint="66"/>
        <w:insideH w:val="single" w:sz="4" w:space="0" w:color="E59EDC" w:themeColor="accent5" w:themeTint="66"/>
        <w:insideV w:val="single" w:sz="4" w:space="0" w:color="E59ED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3E5A1" w:themeColor="accent6" w:themeTint="66"/>
        <w:left w:val="single" w:sz="4" w:space="0" w:color="B3E5A1" w:themeColor="accent6" w:themeTint="66"/>
        <w:bottom w:val="single" w:sz="4" w:space="0" w:color="B3E5A1" w:themeColor="accent6" w:themeTint="66"/>
        <w:right w:val="single" w:sz="4" w:space="0" w:color="B3E5A1" w:themeColor="accent6" w:themeTint="66"/>
        <w:insideH w:val="single" w:sz="4" w:space="0" w:color="B3E5A1" w:themeColor="accent6" w:themeTint="66"/>
        <w:insideV w:val="single" w:sz="4" w:space="0" w:color="B3E5A1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5B0E1" w:themeColor="accent1" w:themeTint="99"/>
        <w:bottom w:val="single" w:sz="2" w:space="0" w:color="45B0E1" w:themeColor="accent1" w:themeTint="99"/>
        <w:insideH w:val="single" w:sz="2" w:space="0" w:color="45B0E1" w:themeColor="accent1" w:themeTint="99"/>
        <w:insideV w:val="single" w:sz="2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5B0E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5B0E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F1A983" w:themeColor="accent2" w:themeTint="99"/>
        <w:bottom w:val="single" w:sz="2" w:space="0" w:color="F1A983" w:themeColor="accent2" w:themeTint="99"/>
        <w:insideH w:val="single" w:sz="2" w:space="0" w:color="F1A983" w:themeColor="accent2" w:themeTint="99"/>
        <w:insideV w:val="single" w:sz="2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1A9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1A9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47D459" w:themeColor="accent3" w:themeTint="99"/>
        <w:bottom w:val="single" w:sz="2" w:space="0" w:color="47D459" w:themeColor="accent3" w:themeTint="99"/>
        <w:insideH w:val="single" w:sz="2" w:space="0" w:color="47D459" w:themeColor="accent3" w:themeTint="99"/>
        <w:insideV w:val="single" w:sz="2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47D459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47D459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60CAF3" w:themeColor="accent4" w:themeTint="99"/>
        <w:bottom w:val="single" w:sz="2" w:space="0" w:color="60CAF3" w:themeColor="accent4" w:themeTint="99"/>
        <w:insideH w:val="single" w:sz="2" w:space="0" w:color="60CAF3" w:themeColor="accent4" w:themeTint="99"/>
        <w:insideV w:val="single" w:sz="2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0CAF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0CAF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D86DCB" w:themeColor="accent5" w:themeTint="99"/>
        <w:bottom w:val="single" w:sz="2" w:space="0" w:color="D86DCB" w:themeColor="accent5" w:themeTint="99"/>
        <w:insideH w:val="single" w:sz="2" w:space="0" w:color="D86DCB" w:themeColor="accent5" w:themeTint="99"/>
        <w:insideV w:val="single" w:sz="2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86DCB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86DCB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2" w:space="0" w:color="8DD873" w:themeColor="accent6" w:themeTint="99"/>
        <w:bottom w:val="single" w:sz="2" w:space="0" w:color="8DD873" w:themeColor="accent6" w:themeTint="99"/>
        <w:insideH w:val="single" w:sz="2" w:space="0" w:color="8DD873" w:themeColor="accent6" w:themeTint="99"/>
        <w:insideV w:val="single" w:sz="2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DD873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DD873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  <w:insideV w:val="single" w:sz="4" w:space="0" w:color="45B0E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sz="4" w:space="0" w:color="45B0E1" w:themeColor="accent1" w:themeTint="99"/>
        </w:tcBorders>
      </w:tcPr>
    </w:tblStylePr>
    <w:tblStylePr w:type="nwCell">
      <w:tblPr/>
      <w:tcPr>
        <w:tcBorders>
          <w:bottom w:val="single" w:sz="4" w:space="0" w:color="45B0E1" w:themeColor="accent1" w:themeTint="99"/>
        </w:tcBorders>
      </w:tcPr>
    </w:tblStylePr>
    <w:tblStylePr w:type="seCell">
      <w:tblPr/>
      <w:tcPr>
        <w:tcBorders>
          <w:top w:val="single" w:sz="4" w:space="0" w:color="45B0E1" w:themeColor="accent1" w:themeTint="99"/>
        </w:tcBorders>
      </w:tcPr>
    </w:tblStylePr>
    <w:tblStylePr w:type="swCell">
      <w:tblPr/>
      <w:tcPr>
        <w:tcBorders>
          <w:top w:val="single" w:sz="4" w:space="0" w:color="45B0E1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  <w:insideV w:val="single" w:sz="4" w:space="0" w:color="F1A9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sz="4" w:space="0" w:color="F1A983" w:themeColor="accent2" w:themeTint="99"/>
        </w:tcBorders>
      </w:tcPr>
    </w:tblStylePr>
    <w:tblStylePr w:type="nwCell">
      <w:tblPr/>
      <w:tcPr>
        <w:tcBorders>
          <w:bottom w:val="single" w:sz="4" w:space="0" w:color="F1A983" w:themeColor="accent2" w:themeTint="99"/>
        </w:tcBorders>
      </w:tcPr>
    </w:tblStylePr>
    <w:tblStylePr w:type="seCell">
      <w:tblPr/>
      <w:tcPr>
        <w:tcBorders>
          <w:top w:val="single" w:sz="4" w:space="0" w:color="F1A983" w:themeColor="accent2" w:themeTint="99"/>
        </w:tcBorders>
      </w:tcPr>
    </w:tblStylePr>
    <w:tblStylePr w:type="swCell">
      <w:tblPr/>
      <w:tcPr>
        <w:tcBorders>
          <w:top w:val="single" w:sz="4" w:space="0" w:color="F1A983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  <w:insideV w:val="single" w:sz="4" w:space="0" w:color="47D45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sz="4" w:space="0" w:color="47D459" w:themeColor="accent3" w:themeTint="99"/>
        </w:tcBorders>
      </w:tcPr>
    </w:tblStylePr>
    <w:tblStylePr w:type="nwCell">
      <w:tblPr/>
      <w:tcPr>
        <w:tcBorders>
          <w:bottom w:val="single" w:sz="4" w:space="0" w:color="47D459" w:themeColor="accent3" w:themeTint="99"/>
        </w:tcBorders>
      </w:tcPr>
    </w:tblStylePr>
    <w:tblStylePr w:type="seCell">
      <w:tblPr/>
      <w:tcPr>
        <w:tcBorders>
          <w:top w:val="single" w:sz="4" w:space="0" w:color="47D459" w:themeColor="accent3" w:themeTint="99"/>
        </w:tcBorders>
      </w:tcPr>
    </w:tblStylePr>
    <w:tblStylePr w:type="swCell">
      <w:tblPr/>
      <w:tcPr>
        <w:tcBorders>
          <w:top w:val="single" w:sz="4" w:space="0" w:color="47D459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sz="4" w:space="0" w:color="60CAF3" w:themeColor="accent4" w:themeTint="99"/>
        </w:tcBorders>
      </w:tcPr>
    </w:tblStylePr>
    <w:tblStylePr w:type="nwCell">
      <w:tblPr/>
      <w:tcPr>
        <w:tcBorders>
          <w:bottom w:val="single" w:sz="4" w:space="0" w:color="60CAF3" w:themeColor="accent4" w:themeTint="99"/>
        </w:tcBorders>
      </w:tcPr>
    </w:tblStylePr>
    <w:tblStylePr w:type="seCell">
      <w:tblPr/>
      <w:tcPr>
        <w:tcBorders>
          <w:top w:val="single" w:sz="4" w:space="0" w:color="60CAF3" w:themeColor="accent4" w:themeTint="99"/>
        </w:tcBorders>
      </w:tcPr>
    </w:tblStylePr>
    <w:tblStylePr w:type="swCell">
      <w:tblPr/>
      <w:tcPr>
        <w:tcBorders>
          <w:top w:val="single" w:sz="4" w:space="0" w:color="60CAF3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sz="4" w:space="0" w:color="D86DCB" w:themeColor="accent5" w:themeTint="99"/>
        </w:tcBorders>
      </w:tcPr>
    </w:tblStylePr>
    <w:tblStylePr w:type="nwCell">
      <w:tblPr/>
      <w:tcPr>
        <w:tcBorders>
          <w:bottom w:val="single" w:sz="4" w:space="0" w:color="D86DCB" w:themeColor="accent5" w:themeTint="99"/>
        </w:tcBorders>
      </w:tcPr>
    </w:tblStylePr>
    <w:tblStylePr w:type="seCell">
      <w:tblPr/>
      <w:tcPr>
        <w:tcBorders>
          <w:top w:val="single" w:sz="4" w:space="0" w:color="D86DCB" w:themeColor="accent5" w:themeTint="99"/>
        </w:tcBorders>
      </w:tcPr>
    </w:tblStylePr>
    <w:tblStylePr w:type="swCell">
      <w:tblPr/>
      <w:tcPr>
        <w:tcBorders>
          <w:top w:val="single" w:sz="4" w:space="0" w:color="D86DCB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  <w:insideV w:val="single" w:sz="4" w:space="0" w:color="8DD873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sz="4" w:space="0" w:color="8DD873" w:themeColor="accent6" w:themeTint="99"/>
        </w:tcBorders>
      </w:tcPr>
    </w:tblStylePr>
    <w:tblStylePr w:type="nwCell">
      <w:tblPr/>
      <w:tcPr>
        <w:tcBorders>
          <w:bottom w:val="single" w:sz="4" w:space="0" w:color="8DD873" w:themeColor="accent6" w:themeTint="99"/>
        </w:tcBorders>
      </w:tcPr>
    </w:tblStylePr>
    <w:tblStylePr w:type="seCell">
      <w:tblPr/>
      <w:tcPr>
        <w:tcBorders>
          <w:top w:val="single" w:sz="4" w:space="0" w:color="8DD873" w:themeColor="accent6" w:themeTint="99"/>
        </w:tcBorders>
      </w:tcPr>
    </w:tblStylePr>
    <w:tblStylePr w:type="swCell">
      <w:tblPr/>
      <w:tcPr>
        <w:tcBorders>
          <w:top w:val="single" w:sz="4" w:space="0" w:color="8DD873" w:themeColor="accent6" w:themeTint="99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1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H w:val="nil"/>
          <w:insideV w:val="single" w:sz="8" w:space="0" w:color="156082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  <w:insideV w:val="single" w:sz="8" w:space="0" w:color="156082" w:themeColor="accent1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1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H w:val="nil"/>
          <w:insideV w:val="single" w:sz="8" w:space="0" w:color="E9713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  <w:insideV w:val="single" w:sz="8" w:space="0" w:color="E97132" w:themeColor="accent2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1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H w:val="nil"/>
          <w:insideV w:val="single" w:sz="8" w:space="0" w:color="196B24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  <w:insideV w:val="single" w:sz="8" w:space="0" w:color="196B24" w:themeColor="accent3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1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H w:val="nil"/>
          <w:insideV w:val="single" w:sz="8" w:space="0" w:color="0F9ED5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  <w:insideV w:val="single" w:sz="8" w:space="0" w:color="0F9ED5" w:themeColor="accent4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1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H w:val="nil"/>
          <w:insideV w:val="single" w:sz="8" w:space="0" w:color="A02B93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  <w:insideV w:val="single" w:sz="8" w:space="0" w:color="A02B93" w:themeColor="accent5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1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H w:val="nil"/>
          <w:insideV w:val="single" w:sz="8" w:space="0" w:color="4EA72E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  <w:insideV w:val="single" w:sz="8" w:space="0" w:color="4EA72E" w:themeColor="accent6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  <w:tblStylePr w:type="band1Horz">
      <w:tblPr/>
      <w:tcPr>
        <w:tcBorders>
          <w:top w:val="single" w:sz="8" w:space="0" w:color="156082" w:themeColor="accent1"/>
          <w:left w:val="single" w:sz="8" w:space="0" w:color="156082" w:themeColor="accent1"/>
          <w:bottom w:val="single" w:sz="8" w:space="0" w:color="156082" w:themeColor="accent1"/>
          <w:right w:val="single" w:sz="8" w:space="0" w:color="156082" w:themeColor="accent1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  <w:tblStylePr w:type="band1Horz">
      <w:tblPr/>
      <w:tcPr>
        <w:tcBorders>
          <w:top w:val="single" w:sz="8" w:space="0" w:color="E97132" w:themeColor="accent2"/>
          <w:left w:val="single" w:sz="8" w:space="0" w:color="E97132" w:themeColor="accent2"/>
          <w:bottom w:val="single" w:sz="8" w:space="0" w:color="E97132" w:themeColor="accent2"/>
          <w:right w:val="single" w:sz="8" w:space="0" w:color="E97132" w:themeColor="accent2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  <w:tblStylePr w:type="band1Horz">
      <w:tblPr/>
      <w:tcPr>
        <w:tcBorders>
          <w:top w:val="single" w:sz="8" w:space="0" w:color="196B24" w:themeColor="accent3"/>
          <w:left w:val="single" w:sz="8" w:space="0" w:color="196B24" w:themeColor="accent3"/>
          <w:bottom w:val="single" w:sz="8" w:space="0" w:color="196B24" w:themeColor="accent3"/>
          <w:right w:val="single" w:sz="8" w:space="0" w:color="196B24" w:themeColor="accent3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  <w:tblStylePr w:type="band1Horz">
      <w:tblPr/>
      <w:tcPr>
        <w:tcBorders>
          <w:top w:val="single" w:sz="8" w:space="0" w:color="0F9ED5" w:themeColor="accent4"/>
          <w:left w:val="single" w:sz="8" w:space="0" w:color="0F9ED5" w:themeColor="accent4"/>
          <w:bottom w:val="single" w:sz="8" w:space="0" w:color="0F9ED5" w:themeColor="accent4"/>
          <w:right w:val="single" w:sz="8" w:space="0" w:color="0F9ED5" w:themeColor="accent4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  <w:tblStylePr w:type="band1Horz">
      <w:tblPr/>
      <w:tcPr>
        <w:tcBorders>
          <w:top w:val="single" w:sz="8" w:space="0" w:color="A02B93" w:themeColor="accent5"/>
          <w:left w:val="single" w:sz="8" w:space="0" w:color="A02B93" w:themeColor="accent5"/>
          <w:bottom w:val="single" w:sz="8" w:space="0" w:color="A02B93" w:themeColor="accent5"/>
          <w:right w:val="single" w:sz="8" w:space="0" w:color="A02B93" w:themeColor="accent5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  <w:tblStylePr w:type="band1Horz">
      <w:tblPr/>
      <w:tcPr>
        <w:tcBorders>
          <w:top w:val="single" w:sz="8" w:space="0" w:color="4EA72E" w:themeColor="accent6"/>
          <w:left w:val="single" w:sz="8" w:space="0" w:color="4EA72E" w:themeColor="accent6"/>
          <w:bottom w:val="single" w:sz="8" w:space="0" w:color="4EA72E" w:themeColor="accent6"/>
          <w:right w:val="single" w:sz="8" w:space="0" w:color="4EA72E" w:themeColor="accent6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56082" w:themeColor="accent1"/>
          <w:left w:val="nil"/>
          <w:bottom w:val="single" w:sz="8" w:space="0" w:color="156082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97132" w:themeColor="accent2"/>
          <w:left w:val="nil"/>
          <w:bottom w:val="single" w:sz="8" w:space="0" w:color="E9713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96B24" w:themeColor="accent3"/>
          <w:left w:val="nil"/>
          <w:bottom w:val="single" w:sz="8" w:space="0" w:color="196B24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F9ED5" w:themeColor="accent4"/>
          <w:left w:val="nil"/>
          <w:bottom w:val="single" w:sz="8" w:space="0" w:color="0F9ED5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02B93" w:themeColor="accent5"/>
          <w:left w:val="nil"/>
          <w:bottom w:val="single" w:sz="8" w:space="0" w:color="A02B93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EA72E" w:themeColor="accent6"/>
          <w:left w:val="nil"/>
          <w:bottom w:val="single" w:sz="8" w:space="0" w:color="4EA72E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5B0E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1A983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47D459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0CAF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86DCB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DD873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bottom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bottom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bottom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bottom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bottom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bottom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56082" w:themeColor="accent1"/>
        <w:left w:val="single" w:sz="4" w:space="0" w:color="156082" w:themeColor="accent1"/>
        <w:bottom w:val="single" w:sz="4" w:space="0" w:color="156082" w:themeColor="accent1"/>
        <w:right w:val="single" w:sz="4" w:space="0" w:color="156082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56082" w:themeColor="accent1"/>
          <w:right w:val="single" w:sz="4" w:space="0" w:color="156082" w:themeColor="accent1"/>
        </w:tcBorders>
      </w:tcPr>
    </w:tblStylePr>
    <w:tblStylePr w:type="band1Horz">
      <w:tblPr/>
      <w:tcPr>
        <w:tcBorders>
          <w:top w:val="single" w:sz="4" w:space="0" w:color="156082" w:themeColor="accent1"/>
          <w:bottom w:val="single" w:sz="4" w:space="0" w:color="156082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56082" w:themeColor="accent1"/>
          <w:left w:val="nil"/>
        </w:tcBorders>
      </w:tcPr>
    </w:tblStylePr>
    <w:tblStylePr w:type="swCell">
      <w:tblPr/>
      <w:tcPr>
        <w:tcBorders>
          <w:top w:val="double" w:sz="4" w:space="0" w:color="156082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E97132" w:themeColor="accent2"/>
        <w:left w:val="single" w:sz="4" w:space="0" w:color="E97132" w:themeColor="accent2"/>
        <w:bottom w:val="single" w:sz="4" w:space="0" w:color="E97132" w:themeColor="accent2"/>
        <w:right w:val="single" w:sz="4" w:space="0" w:color="E9713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97132" w:themeColor="accent2"/>
          <w:right w:val="single" w:sz="4" w:space="0" w:color="E97132" w:themeColor="accent2"/>
        </w:tcBorders>
      </w:tcPr>
    </w:tblStylePr>
    <w:tblStylePr w:type="band1Horz">
      <w:tblPr/>
      <w:tcPr>
        <w:tcBorders>
          <w:top w:val="single" w:sz="4" w:space="0" w:color="E97132" w:themeColor="accent2"/>
          <w:bottom w:val="single" w:sz="4" w:space="0" w:color="E9713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97132" w:themeColor="accent2"/>
          <w:left w:val="nil"/>
        </w:tcBorders>
      </w:tcPr>
    </w:tblStylePr>
    <w:tblStylePr w:type="swCell">
      <w:tblPr/>
      <w:tcPr>
        <w:tcBorders>
          <w:top w:val="double" w:sz="4" w:space="0" w:color="E9713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196B24" w:themeColor="accent3"/>
        <w:left w:val="single" w:sz="4" w:space="0" w:color="196B24" w:themeColor="accent3"/>
        <w:bottom w:val="single" w:sz="4" w:space="0" w:color="196B24" w:themeColor="accent3"/>
        <w:right w:val="single" w:sz="4" w:space="0" w:color="196B24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96B24" w:themeColor="accent3"/>
          <w:right w:val="single" w:sz="4" w:space="0" w:color="196B24" w:themeColor="accent3"/>
        </w:tcBorders>
      </w:tcPr>
    </w:tblStylePr>
    <w:tblStylePr w:type="band1Horz">
      <w:tblPr/>
      <w:tcPr>
        <w:tcBorders>
          <w:top w:val="single" w:sz="4" w:space="0" w:color="196B24" w:themeColor="accent3"/>
          <w:bottom w:val="single" w:sz="4" w:space="0" w:color="196B24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96B24" w:themeColor="accent3"/>
          <w:left w:val="nil"/>
        </w:tcBorders>
      </w:tcPr>
    </w:tblStylePr>
    <w:tblStylePr w:type="swCell">
      <w:tblPr/>
      <w:tcPr>
        <w:tcBorders>
          <w:top w:val="double" w:sz="4" w:space="0" w:color="196B24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0F9ED5" w:themeColor="accent4"/>
        <w:left w:val="single" w:sz="4" w:space="0" w:color="0F9ED5" w:themeColor="accent4"/>
        <w:bottom w:val="single" w:sz="4" w:space="0" w:color="0F9ED5" w:themeColor="accent4"/>
        <w:right w:val="single" w:sz="4" w:space="0" w:color="0F9ED5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F9ED5" w:themeColor="accent4"/>
          <w:right w:val="single" w:sz="4" w:space="0" w:color="0F9ED5" w:themeColor="accent4"/>
        </w:tcBorders>
      </w:tcPr>
    </w:tblStylePr>
    <w:tblStylePr w:type="band1Horz">
      <w:tblPr/>
      <w:tcPr>
        <w:tcBorders>
          <w:top w:val="single" w:sz="4" w:space="0" w:color="0F9ED5" w:themeColor="accent4"/>
          <w:bottom w:val="single" w:sz="4" w:space="0" w:color="0F9ED5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F9ED5" w:themeColor="accent4"/>
          <w:left w:val="nil"/>
        </w:tcBorders>
      </w:tcPr>
    </w:tblStylePr>
    <w:tblStylePr w:type="swCell">
      <w:tblPr/>
      <w:tcPr>
        <w:tcBorders>
          <w:top w:val="double" w:sz="4" w:space="0" w:color="0F9ED5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A02B93" w:themeColor="accent5"/>
        <w:left w:val="single" w:sz="4" w:space="0" w:color="A02B93" w:themeColor="accent5"/>
        <w:bottom w:val="single" w:sz="4" w:space="0" w:color="A02B93" w:themeColor="accent5"/>
        <w:right w:val="single" w:sz="4" w:space="0" w:color="A02B93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02B93" w:themeColor="accent5"/>
          <w:right w:val="single" w:sz="4" w:space="0" w:color="A02B93" w:themeColor="accent5"/>
        </w:tcBorders>
      </w:tcPr>
    </w:tblStylePr>
    <w:tblStylePr w:type="band1Horz">
      <w:tblPr/>
      <w:tcPr>
        <w:tcBorders>
          <w:top w:val="single" w:sz="4" w:space="0" w:color="A02B93" w:themeColor="accent5"/>
          <w:bottom w:val="single" w:sz="4" w:space="0" w:color="A02B93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02B93" w:themeColor="accent5"/>
          <w:left w:val="nil"/>
        </w:tcBorders>
      </w:tcPr>
    </w:tblStylePr>
    <w:tblStylePr w:type="swCell">
      <w:tblPr/>
      <w:tcPr>
        <w:tcBorders>
          <w:top w:val="double" w:sz="4" w:space="0" w:color="A02B93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EA72E" w:themeColor="accent6"/>
        <w:left w:val="single" w:sz="4" w:space="0" w:color="4EA72E" w:themeColor="accent6"/>
        <w:bottom w:val="single" w:sz="4" w:space="0" w:color="4EA72E" w:themeColor="accent6"/>
        <w:right w:val="single" w:sz="4" w:space="0" w:color="4EA72E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EA72E" w:themeColor="accent6"/>
          <w:right w:val="single" w:sz="4" w:space="0" w:color="4EA72E" w:themeColor="accent6"/>
        </w:tcBorders>
      </w:tcPr>
    </w:tblStylePr>
    <w:tblStylePr w:type="band1Horz">
      <w:tblPr/>
      <w:tcPr>
        <w:tcBorders>
          <w:top w:val="single" w:sz="4" w:space="0" w:color="4EA72E" w:themeColor="accent6"/>
          <w:bottom w:val="single" w:sz="4" w:space="0" w:color="4EA72E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EA72E" w:themeColor="accent6"/>
          <w:left w:val="nil"/>
        </w:tcBorders>
      </w:tcPr>
    </w:tblStylePr>
    <w:tblStylePr w:type="swCell">
      <w:tblPr/>
      <w:tcPr>
        <w:tcBorders>
          <w:top w:val="double" w:sz="4" w:space="0" w:color="4EA72E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5B0E1" w:themeColor="accent1" w:themeTint="99"/>
        <w:left w:val="single" w:sz="4" w:space="0" w:color="45B0E1" w:themeColor="accent1" w:themeTint="99"/>
        <w:bottom w:val="single" w:sz="4" w:space="0" w:color="45B0E1" w:themeColor="accent1" w:themeTint="99"/>
        <w:right w:val="single" w:sz="4" w:space="0" w:color="45B0E1" w:themeColor="accent1" w:themeTint="99"/>
        <w:insideH w:val="single" w:sz="4" w:space="0" w:color="45B0E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56082" w:themeColor="accent1"/>
          <w:left w:val="single" w:sz="4" w:space="0" w:color="156082" w:themeColor="accent1"/>
          <w:bottom w:val="single" w:sz="4" w:space="0" w:color="156082" w:themeColor="accent1"/>
          <w:right w:val="single" w:sz="4" w:space="0" w:color="156082" w:themeColor="accent1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sz="4" w:space="0" w:color="45B0E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F1A983" w:themeColor="accent2" w:themeTint="99"/>
        <w:left w:val="single" w:sz="4" w:space="0" w:color="F1A983" w:themeColor="accent2" w:themeTint="99"/>
        <w:bottom w:val="single" w:sz="4" w:space="0" w:color="F1A983" w:themeColor="accent2" w:themeTint="99"/>
        <w:right w:val="single" w:sz="4" w:space="0" w:color="F1A983" w:themeColor="accent2" w:themeTint="99"/>
        <w:insideH w:val="single" w:sz="4" w:space="0" w:color="F1A983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97132" w:themeColor="accent2"/>
          <w:left w:val="single" w:sz="4" w:space="0" w:color="E97132" w:themeColor="accent2"/>
          <w:bottom w:val="single" w:sz="4" w:space="0" w:color="E97132" w:themeColor="accent2"/>
          <w:right w:val="single" w:sz="4" w:space="0" w:color="E97132" w:themeColor="accent2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sz="4" w:space="0" w:color="F1A983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47D459" w:themeColor="accent3" w:themeTint="99"/>
        <w:left w:val="single" w:sz="4" w:space="0" w:color="47D459" w:themeColor="accent3" w:themeTint="99"/>
        <w:bottom w:val="single" w:sz="4" w:space="0" w:color="47D459" w:themeColor="accent3" w:themeTint="99"/>
        <w:right w:val="single" w:sz="4" w:space="0" w:color="47D459" w:themeColor="accent3" w:themeTint="99"/>
        <w:insideH w:val="single" w:sz="4" w:space="0" w:color="47D459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96B24" w:themeColor="accent3"/>
          <w:left w:val="single" w:sz="4" w:space="0" w:color="196B24" w:themeColor="accent3"/>
          <w:bottom w:val="single" w:sz="4" w:space="0" w:color="196B24" w:themeColor="accent3"/>
          <w:right w:val="single" w:sz="4" w:space="0" w:color="196B24" w:themeColor="accent3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sz="4" w:space="0" w:color="47D45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60CAF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D86DC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8DD873" w:themeColor="accent6" w:themeTint="99"/>
        <w:left w:val="single" w:sz="4" w:space="0" w:color="8DD873" w:themeColor="accent6" w:themeTint="99"/>
        <w:bottom w:val="single" w:sz="4" w:space="0" w:color="8DD873" w:themeColor="accent6" w:themeTint="99"/>
        <w:right w:val="single" w:sz="4" w:space="0" w:color="8DD873" w:themeColor="accent6" w:themeTint="99"/>
        <w:insideH w:val="single" w:sz="4" w:space="0" w:color="8DD873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EA72E" w:themeColor="accent6"/>
          <w:left w:val="single" w:sz="4" w:space="0" w:color="4EA72E" w:themeColor="accent6"/>
          <w:bottom w:val="single" w:sz="4" w:space="0" w:color="4EA72E" w:themeColor="accent6"/>
          <w:right w:val="single" w:sz="4" w:space="0" w:color="4EA72E" w:themeColor="accent6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sz="4" w:space="0" w:color="8DD873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97132" w:themeColor="accent2"/>
        <w:left w:val="single" w:sz="24" w:space="0" w:color="E97132" w:themeColor="accent2"/>
        <w:bottom w:val="single" w:sz="24" w:space="0" w:color="E97132" w:themeColor="accent2"/>
        <w:right w:val="single" w:sz="24" w:space="0" w:color="E97132" w:themeColor="accent2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96B24" w:themeColor="accent3"/>
        <w:left w:val="single" w:sz="24" w:space="0" w:color="196B24" w:themeColor="accent3"/>
        <w:bottom w:val="single" w:sz="24" w:space="0" w:color="196B24" w:themeColor="accent3"/>
        <w:right w:val="single" w:sz="24" w:space="0" w:color="196B24" w:themeColor="accent3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F9ED5" w:themeColor="accent4"/>
        <w:left w:val="single" w:sz="24" w:space="0" w:color="0F9ED5" w:themeColor="accent4"/>
        <w:bottom w:val="single" w:sz="24" w:space="0" w:color="0F9ED5" w:themeColor="accent4"/>
        <w:right w:val="single" w:sz="24" w:space="0" w:color="0F9ED5" w:themeColor="accent4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02B93" w:themeColor="accent5"/>
        <w:left w:val="single" w:sz="24" w:space="0" w:color="A02B93" w:themeColor="accent5"/>
        <w:bottom w:val="single" w:sz="24" w:space="0" w:color="A02B93" w:themeColor="accent5"/>
        <w:right w:val="single" w:sz="24" w:space="0" w:color="A02B93" w:themeColor="accent5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EA72E" w:themeColor="accent6"/>
        <w:left w:val="single" w:sz="24" w:space="0" w:color="4EA72E" w:themeColor="accent6"/>
        <w:bottom w:val="single" w:sz="24" w:space="0" w:color="4EA72E" w:themeColor="accent6"/>
        <w:right w:val="single" w:sz="24" w:space="0" w:color="4EA72E" w:themeColor="accent6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sz="4" w:space="0" w:color="156082" w:themeColor="accent1"/>
        <w:bottom w:val="single" w:sz="4" w:space="0" w:color="156082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56082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sz="4" w:space="0" w:color="E97132" w:themeColor="accent2"/>
        <w:bottom w:val="single" w:sz="4" w:space="0" w:color="E9713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E9713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sz="4" w:space="0" w:color="196B24" w:themeColor="accent3"/>
        <w:bottom w:val="single" w:sz="4" w:space="0" w:color="196B24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196B24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sz="4" w:space="0" w:color="0F9ED5" w:themeColor="accent4"/>
        <w:bottom w:val="single" w:sz="4" w:space="0" w:color="0F9ED5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0F9ED5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sz="4" w:space="0" w:color="A02B93" w:themeColor="accent5"/>
        <w:bottom w:val="single" w:sz="4" w:space="0" w:color="A02B93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A02B93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sz="4" w:space="0" w:color="4EA72E" w:themeColor="accent6"/>
        <w:bottom w:val="single" w:sz="4" w:space="0" w:color="4EA72E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EA72E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56082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56082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56082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56082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9713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9713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9713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9713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96B24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96B24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96B24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96B24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F9ED5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F9ED5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F9ED5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F9ED5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02B93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02B93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02B93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02B93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EA72E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EA72E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EA72E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EA72E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  <w:insideV w:val="single" w:sz="8" w:space="0" w:color="2198CF" w:themeColor="accent1" w:themeTint="BF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198CF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  <w:insideV w:val="single" w:sz="8" w:space="0" w:color="EE9465" w:themeColor="accent2" w:themeTint="BF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E946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  <w:insideV w:val="single" w:sz="8" w:space="0" w:color="2BB73D" w:themeColor="accent3" w:themeTint="BF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BB73D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  <w:insideV w:val="single" w:sz="8" w:space="0" w:color="39BEF1" w:themeColor="accent4" w:themeTint="BF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9BEF1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  <w:insideV w:val="single" w:sz="8" w:space="0" w:color="CE49BF" w:themeColor="accent5" w:themeTint="BF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E49BF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  <w:insideV w:val="single" w:sz="8" w:space="0" w:color="71CF50" w:themeColor="accent6" w:themeTint="BF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1CF50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  <w:insideH w:val="single" w:sz="8" w:space="0" w:color="156082" w:themeColor="accent1"/>
        <w:insideV w:val="single" w:sz="8" w:space="0" w:color="156082" w:themeColor="accent1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sz="6" w:space="0" w:color="156082" w:themeColor="accent1"/>
          <w:insideV w:val="single" w:sz="6" w:space="0" w:color="156082" w:themeColor="accent1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  <w:insideH w:val="single" w:sz="8" w:space="0" w:color="E97132" w:themeColor="accent2"/>
        <w:insideV w:val="single" w:sz="8" w:space="0" w:color="E97132" w:themeColor="accent2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sz="6" w:space="0" w:color="E97132" w:themeColor="accent2"/>
          <w:insideV w:val="single" w:sz="6" w:space="0" w:color="E97132" w:themeColor="accent2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  <w:insideH w:val="single" w:sz="8" w:space="0" w:color="196B24" w:themeColor="accent3"/>
        <w:insideV w:val="single" w:sz="8" w:space="0" w:color="196B24" w:themeColor="accent3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sz="6" w:space="0" w:color="196B24" w:themeColor="accent3"/>
          <w:insideV w:val="single" w:sz="6" w:space="0" w:color="196B24" w:themeColor="accent3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  <w:insideH w:val="single" w:sz="8" w:space="0" w:color="0F9ED5" w:themeColor="accent4"/>
        <w:insideV w:val="single" w:sz="8" w:space="0" w:color="0F9ED5" w:themeColor="accent4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sz="6" w:space="0" w:color="0F9ED5" w:themeColor="accent4"/>
          <w:insideV w:val="single" w:sz="6" w:space="0" w:color="0F9ED5" w:themeColor="accent4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  <w:insideH w:val="single" w:sz="8" w:space="0" w:color="A02B93" w:themeColor="accent5"/>
        <w:insideV w:val="single" w:sz="8" w:space="0" w:color="A02B93" w:themeColor="accent5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sz="6" w:space="0" w:color="A02B93" w:themeColor="accent5"/>
          <w:insideV w:val="single" w:sz="6" w:space="0" w:color="A02B93" w:themeColor="accent5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  <w:insideH w:val="single" w:sz="8" w:space="0" w:color="4EA72E" w:themeColor="accent6"/>
        <w:insideV w:val="single" w:sz="8" w:space="0" w:color="4EA72E" w:themeColor="accent6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sz="6" w:space="0" w:color="4EA72E" w:themeColor="accent6"/>
          <w:insideV w:val="single" w:sz="6" w:space="0" w:color="4EA72E" w:themeColor="accent6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bottom w:val="single" w:sz="8" w:space="0" w:color="156082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56082" w:themeColor="accent1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56082" w:themeColor="accent1"/>
          <w:bottom w:val="single" w:sz="8" w:space="0" w:color="156082" w:themeColor="accent1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bottom w:val="single" w:sz="8" w:space="0" w:color="E9713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97132" w:themeColor="accent2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97132" w:themeColor="accent2"/>
          <w:bottom w:val="single" w:sz="8" w:space="0" w:color="E97132" w:themeColor="accent2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bottom w:val="single" w:sz="8" w:space="0" w:color="196B24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96B24" w:themeColor="accent3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96B24" w:themeColor="accent3"/>
          <w:bottom w:val="single" w:sz="8" w:space="0" w:color="196B24" w:themeColor="accent3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bottom w:val="single" w:sz="8" w:space="0" w:color="0F9ED5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F9ED5" w:themeColor="accent4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F9ED5" w:themeColor="accent4"/>
          <w:bottom w:val="single" w:sz="8" w:space="0" w:color="0F9ED5" w:themeColor="accent4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bottom w:val="single" w:sz="8" w:space="0" w:color="A02B93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02B93" w:themeColor="accent5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02B93" w:themeColor="accent5"/>
          <w:bottom w:val="single" w:sz="8" w:space="0" w:color="A02B93" w:themeColor="accent5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bottom w:val="single" w:sz="8" w:space="0" w:color="4EA72E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EA72E" w:themeColor="accent6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EA72E" w:themeColor="accent6"/>
          <w:bottom w:val="single" w:sz="8" w:space="0" w:color="4EA72E" w:themeColor="accent6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9713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E97132" w:themeColor="accent2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9713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9713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96B24" w:themeColor="accent3"/>
        <w:left w:val="single" w:sz="8" w:space="0" w:color="196B24" w:themeColor="accent3"/>
        <w:bottom w:val="single" w:sz="8" w:space="0" w:color="196B24" w:themeColor="accent3"/>
        <w:right w:val="single" w:sz="8" w:space="0" w:color="196B24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96B24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96B24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96B24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96B24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F9ED5" w:themeColor="accent4"/>
        <w:left w:val="single" w:sz="8" w:space="0" w:color="0F9ED5" w:themeColor="accent4"/>
        <w:bottom w:val="single" w:sz="8" w:space="0" w:color="0F9ED5" w:themeColor="accent4"/>
        <w:right w:val="single" w:sz="8" w:space="0" w:color="0F9ED5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F9ED5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F9ED5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F9ED5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F9ED5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02B93" w:themeColor="accent5"/>
        <w:left w:val="single" w:sz="8" w:space="0" w:color="A02B93" w:themeColor="accent5"/>
        <w:bottom w:val="single" w:sz="8" w:space="0" w:color="A02B93" w:themeColor="accent5"/>
        <w:right w:val="single" w:sz="8" w:space="0" w:color="A02B93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02B93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A02B93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02B93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02B93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EA72E" w:themeColor="accent6"/>
        <w:left w:val="single" w:sz="8" w:space="0" w:color="4EA72E" w:themeColor="accent6"/>
        <w:bottom w:val="single" w:sz="8" w:space="0" w:color="4EA72E" w:themeColor="accent6"/>
        <w:right w:val="single" w:sz="8" w:space="0" w:color="4EA72E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EA72E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EA72E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EA72E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EA72E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198CF" w:themeColor="accent1" w:themeTint="BF"/>
        <w:left w:val="single" w:sz="8" w:space="0" w:color="2198CF" w:themeColor="accent1" w:themeTint="BF"/>
        <w:bottom w:val="single" w:sz="8" w:space="0" w:color="2198CF" w:themeColor="accent1" w:themeTint="BF"/>
        <w:right w:val="single" w:sz="8" w:space="0" w:color="2198CF" w:themeColor="accent1" w:themeTint="BF"/>
        <w:insideH w:val="single" w:sz="8" w:space="0" w:color="2198CF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98CF" w:themeColor="accent1" w:themeTint="BF"/>
          <w:left w:val="single" w:sz="8" w:space="0" w:color="2198CF" w:themeColor="accent1" w:themeTint="BF"/>
          <w:bottom w:val="single" w:sz="8" w:space="0" w:color="2198CF" w:themeColor="accent1" w:themeTint="BF"/>
          <w:right w:val="single" w:sz="8" w:space="0" w:color="2198CF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EE9465" w:themeColor="accent2" w:themeTint="BF"/>
        <w:left w:val="single" w:sz="8" w:space="0" w:color="EE9465" w:themeColor="accent2" w:themeTint="BF"/>
        <w:bottom w:val="single" w:sz="8" w:space="0" w:color="EE9465" w:themeColor="accent2" w:themeTint="BF"/>
        <w:right w:val="single" w:sz="8" w:space="0" w:color="EE9465" w:themeColor="accent2" w:themeTint="BF"/>
        <w:insideH w:val="single" w:sz="8" w:space="0" w:color="EE946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E9465" w:themeColor="accent2" w:themeTint="BF"/>
          <w:left w:val="single" w:sz="8" w:space="0" w:color="EE9465" w:themeColor="accent2" w:themeTint="BF"/>
          <w:bottom w:val="single" w:sz="8" w:space="0" w:color="EE9465" w:themeColor="accent2" w:themeTint="BF"/>
          <w:right w:val="single" w:sz="8" w:space="0" w:color="EE946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2BB73D" w:themeColor="accent3" w:themeTint="BF"/>
        <w:left w:val="single" w:sz="8" w:space="0" w:color="2BB73D" w:themeColor="accent3" w:themeTint="BF"/>
        <w:bottom w:val="single" w:sz="8" w:space="0" w:color="2BB73D" w:themeColor="accent3" w:themeTint="BF"/>
        <w:right w:val="single" w:sz="8" w:space="0" w:color="2BB73D" w:themeColor="accent3" w:themeTint="BF"/>
        <w:insideH w:val="single" w:sz="8" w:space="0" w:color="2BB73D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BB73D" w:themeColor="accent3" w:themeTint="BF"/>
          <w:left w:val="single" w:sz="8" w:space="0" w:color="2BB73D" w:themeColor="accent3" w:themeTint="BF"/>
          <w:bottom w:val="single" w:sz="8" w:space="0" w:color="2BB73D" w:themeColor="accent3" w:themeTint="BF"/>
          <w:right w:val="single" w:sz="8" w:space="0" w:color="2BB73D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39BEF1" w:themeColor="accent4" w:themeTint="BF"/>
        <w:left w:val="single" w:sz="8" w:space="0" w:color="39BEF1" w:themeColor="accent4" w:themeTint="BF"/>
        <w:bottom w:val="single" w:sz="8" w:space="0" w:color="39BEF1" w:themeColor="accent4" w:themeTint="BF"/>
        <w:right w:val="single" w:sz="8" w:space="0" w:color="39BEF1" w:themeColor="accent4" w:themeTint="BF"/>
        <w:insideH w:val="single" w:sz="8" w:space="0" w:color="39BEF1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9BEF1" w:themeColor="accent4" w:themeTint="BF"/>
          <w:left w:val="single" w:sz="8" w:space="0" w:color="39BEF1" w:themeColor="accent4" w:themeTint="BF"/>
          <w:bottom w:val="single" w:sz="8" w:space="0" w:color="39BEF1" w:themeColor="accent4" w:themeTint="BF"/>
          <w:right w:val="single" w:sz="8" w:space="0" w:color="39BEF1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CE49BF" w:themeColor="accent5" w:themeTint="BF"/>
        <w:left w:val="single" w:sz="8" w:space="0" w:color="CE49BF" w:themeColor="accent5" w:themeTint="BF"/>
        <w:bottom w:val="single" w:sz="8" w:space="0" w:color="CE49BF" w:themeColor="accent5" w:themeTint="BF"/>
        <w:right w:val="single" w:sz="8" w:space="0" w:color="CE49BF" w:themeColor="accent5" w:themeTint="BF"/>
        <w:insideH w:val="single" w:sz="8" w:space="0" w:color="CE49BF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E49BF" w:themeColor="accent5" w:themeTint="BF"/>
          <w:left w:val="single" w:sz="8" w:space="0" w:color="CE49BF" w:themeColor="accent5" w:themeTint="BF"/>
          <w:bottom w:val="single" w:sz="8" w:space="0" w:color="CE49BF" w:themeColor="accent5" w:themeTint="BF"/>
          <w:right w:val="single" w:sz="8" w:space="0" w:color="CE49BF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8" w:space="0" w:color="71CF50" w:themeColor="accent6" w:themeTint="BF"/>
        <w:left w:val="single" w:sz="8" w:space="0" w:color="71CF50" w:themeColor="accent6" w:themeTint="BF"/>
        <w:bottom w:val="single" w:sz="8" w:space="0" w:color="71CF50" w:themeColor="accent6" w:themeTint="BF"/>
        <w:right w:val="single" w:sz="8" w:space="0" w:color="71CF50" w:themeColor="accent6" w:themeTint="BF"/>
        <w:insideH w:val="single" w:sz="8" w:space="0" w:color="71CF50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1CF50" w:themeColor="accent6" w:themeTint="BF"/>
          <w:left w:val="single" w:sz="8" w:space="0" w:color="71CF50" w:themeColor="accent6" w:themeTint="BF"/>
          <w:bottom w:val="single" w:sz="8" w:space="0" w:color="71CF50" w:themeColor="accent6" w:themeTint="BF"/>
          <w:right w:val="single" w:sz="8" w:space="0" w:color="71CF50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unhideWhenUsed/>
    <w:rsid w:val="00827C87"/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unhideWhenUsed/>
    <w:rsid w:val="00827C87"/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Metadata/LabelInfo.xml><?xml version="1.0" encoding="utf-8"?>
<clbl:labelList xmlns:clbl="http://schemas.microsoft.com/office/2020/mipLabelMetadata">
  <clbl:label id="{f42aa342-8706-4288-bd11-ebb85995028c}" enabled="1" method="Privileged" siteId="{72f988bf-86f1-41af-91ab-2d7cd011db47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425</Words>
  <Characters>2364</Characters>
  <Application>Microsoft Office Word</Application>
  <DocSecurity>0</DocSecurity>
  <Lines>87</Lines>
  <Paragraphs>79</Paragraphs>
  <ScaleCrop>false</ScaleCrop>
  <Company/>
  <LinksUpToDate>false</LinksUpToDate>
  <CharactersWithSpaces>2710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Tao Ge</dc:creator>
  <cp:keywords/>
  <dc:description/>
  <cp:lastModifiedBy>Irina Neaga</cp:lastModifiedBy>
  <cp:revision>2</cp:revision>
  <dcterms:created xsi:type="dcterms:W3CDTF">2025-10-16T10:04:00Z</dcterms:created>
  <dcterms:modified xsi:type="dcterms:W3CDTF">2025-10-16T10:04:00Z</dcterms:modified>
</cp:coreProperties>
</file>