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6F9934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D02D4">
              <w:rPr>
                <w:rFonts w:ascii="Times New Roman" w:hAnsi="Times New Roman" w:cs="Times New Roman"/>
                <w:b/>
                <w:color w:val="auto"/>
                <w:sz w:val="48"/>
              </w:rPr>
              <w:t>Rhys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FAFFDC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D02D4">
              <w:rPr>
                <w:rFonts w:ascii="Times New Roman" w:hAnsi="Times New Roman" w:cs="Times New Roman"/>
                <w:b/>
                <w:color w:val="auto"/>
                <w:sz w:val="48"/>
              </w:rPr>
              <w:t xml:space="preserve"> rhys.w20@outlook.com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66CED33" w14:textId="77777777" w:rsidR="00BD02D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D02D4">
              <w:rPr>
                <w:rFonts w:ascii="Times New Roman" w:hAnsi="Times New Roman" w:cs="Times New Roman"/>
                <w:b/>
                <w:color w:val="auto"/>
                <w:sz w:val="48"/>
              </w:rPr>
              <w:t xml:space="preserve"> </w:t>
            </w:r>
          </w:p>
          <w:p w14:paraId="0DE696B2" w14:textId="626421AE" w:rsidR="00F927A1" w:rsidRPr="005D3F07" w:rsidRDefault="00BD02D4" w:rsidP="005D3F07">
            <w:pPr>
              <w:overflowPunct/>
              <w:autoSpaceDE/>
              <w:autoSpaceDN/>
              <w:adjustRightInd/>
              <w:ind w:right="-957"/>
              <w:textAlignment w:val="auto"/>
              <w:rPr>
                <w:rFonts w:ascii="Times New Roman" w:hAnsi="Times New Roman" w:cs="Times New Roman"/>
                <w:b/>
                <w:color w:val="auto"/>
                <w:sz w:val="48"/>
              </w:rPr>
            </w:pPr>
            <w:r w:rsidRPr="00BD02D4">
              <w:rPr>
                <w:rFonts w:ascii="Times New Roman" w:hAnsi="Times New Roman" w:cs="Times New Roman"/>
                <w:b/>
                <w:color w:val="auto"/>
                <w:sz w:val="48"/>
              </w:rPr>
              <w:t>2318650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6CA6989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Adams, R.  (2009) </w:t>
      </w:r>
      <w:r w:rsidRPr="00B450BF">
        <w:rPr>
          <w:rFonts w:ascii="Aptos" w:eastAsia="Aptos" w:hAnsi="Aptos" w:cs="Times New Roman"/>
          <w:i/>
          <w:iCs/>
          <w:color w:val="auto"/>
          <w:kern w:val="2"/>
          <w:sz w:val="24"/>
          <w:szCs w:val="24"/>
          <w:lang w:eastAsia="en-US"/>
          <w14:ligatures w14:val="standardContextual"/>
        </w:rPr>
        <w:t>Encountering Complexity and Uncertainty.</w:t>
      </w:r>
      <w:r w:rsidRPr="00B450BF">
        <w:rPr>
          <w:rFonts w:ascii="Aptos" w:eastAsia="Aptos" w:hAnsi="Aptos" w:cs="Times New Roman"/>
          <w:color w:val="auto"/>
          <w:kern w:val="2"/>
          <w:sz w:val="24"/>
          <w:szCs w:val="24"/>
          <w:lang w:eastAsia="en-US"/>
          <w14:ligatures w14:val="standardContextual"/>
        </w:rPr>
        <w:t xml:space="preserve"> In Adams, R., Dominelli, L. &amp; Payne, M. (2009) </w:t>
      </w:r>
      <w:r w:rsidRPr="00B450BF">
        <w:rPr>
          <w:rFonts w:ascii="Aptos" w:eastAsia="Aptos" w:hAnsi="Aptos" w:cs="Times New Roman"/>
          <w:i/>
          <w:iCs/>
          <w:color w:val="auto"/>
          <w:kern w:val="2"/>
          <w:sz w:val="24"/>
          <w:szCs w:val="24"/>
          <w:lang w:eastAsia="en-US"/>
          <w14:ligatures w14:val="standardContextual"/>
        </w:rPr>
        <w:t>Practising Social Work in a Complex World.</w:t>
      </w:r>
      <w:r w:rsidRPr="00B450BF">
        <w:rPr>
          <w:rFonts w:ascii="Aptos" w:eastAsia="Aptos" w:hAnsi="Aptos" w:cs="Times New Roman"/>
          <w:color w:val="auto"/>
          <w:kern w:val="2"/>
          <w:sz w:val="24"/>
          <w:szCs w:val="24"/>
          <w:lang w:eastAsia="en-US"/>
          <w14:ligatures w14:val="standardContextual"/>
        </w:rPr>
        <w:t xml:space="preserve"> 2</w:t>
      </w:r>
      <w:r w:rsidRPr="00B450BF">
        <w:rPr>
          <w:rFonts w:ascii="Aptos" w:eastAsia="Aptos" w:hAnsi="Aptos" w:cs="Times New Roman"/>
          <w:color w:val="auto"/>
          <w:kern w:val="2"/>
          <w:sz w:val="24"/>
          <w:szCs w:val="24"/>
          <w:vertAlign w:val="superscript"/>
          <w:lang w:eastAsia="en-US"/>
          <w14:ligatures w14:val="standardContextual"/>
        </w:rPr>
        <w:t xml:space="preserve">nd </w:t>
      </w:r>
      <w:r w:rsidRPr="00B450BF">
        <w:rPr>
          <w:rFonts w:ascii="Aptos" w:eastAsia="Aptos" w:hAnsi="Aptos" w:cs="Times New Roman"/>
          <w:color w:val="auto"/>
          <w:kern w:val="2"/>
          <w:sz w:val="24"/>
          <w:szCs w:val="24"/>
          <w:lang w:eastAsia="en-US"/>
          <w14:ligatures w14:val="standardContextual"/>
        </w:rPr>
        <w:t>Edition, London, Red Globe Press, p18.</w:t>
      </w:r>
    </w:p>
    <w:p w14:paraId="4E39640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roofErr w:type="spellStart"/>
      <w:r w:rsidRPr="00B450BF">
        <w:rPr>
          <w:rFonts w:ascii="Aptos" w:eastAsia="Aptos" w:hAnsi="Aptos" w:cs="Times New Roman"/>
          <w:color w:val="auto"/>
          <w:kern w:val="2"/>
          <w:sz w:val="24"/>
          <w:szCs w:val="24"/>
          <w:lang w:eastAsia="en-US"/>
          <w14:ligatures w14:val="standardContextual"/>
        </w:rPr>
        <w:t>Baginsky</w:t>
      </w:r>
      <w:proofErr w:type="spellEnd"/>
      <w:r w:rsidRPr="00B450BF">
        <w:rPr>
          <w:rFonts w:ascii="Aptos" w:eastAsia="Aptos" w:hAnsi="Aptos" w:cs="Times New Roman"/>
          <w:color w:val="auto"/>
          <w:kern w:val="2"/>
          <w:sz w:val="24"/>
          <w:szCs w:val="24"/>
          <w:lang w:eastAsia="en-US"/>
          <w14:ligatures w14:val="standardContextual"/>
        </w:rPr>
        <w:t xml:space="preserve">, M., Moriarty, J. Beecham, J. and Hickman, B. (2017) </w:t>
      </w:r>
      <w:r w:rsidRPr="00B450BF">
        <w:rPr>
          <w:rFonts w:ascii="Aptos" w:eastAsia="Aptos" w:hAnsi="Aptos" w:cs="Times New Roman"/>
          <w:i/>
          <w:iCs/>
          <w:color w:val="auto"/>
          <w:kern w:val="2"/>
          <w:sz w:val="24"/>
          <w:szCs w:val="24"/>
          <w:lang w:eastAsia="en-US"/>
          <w14:ligatures w14:val="standardContextual"/>
        </w:rPr>
        <w:t>Evaluation of Signs of Safety in 10 pilots - Research report</w:t>
      </w:r>
      <w:r w:rsidRPr="00B450BF">
        <w:rPr>
          <w:rFonts w:ascii="Aptos" w:eastAsia="Aptos" w:hAnsi="Aptos" w:cs="Times New Roman"/>
          <w:color w:val="auto"/>
          <w:kern w:val="2"/>
          <w:sz w:val="24"/>
          <w:szCs w:val="24"/>
          <w:lang w:eastAsia="en-US"/>
          <w14:ligatures w14:val="standardContextual"/>
        </w:rPr>
        <w:t xml:space="preserve">. [online]. Available at: </w:t>
      </w:r>
      <w:hyperlink r:id="rId11" w:history="1">
        <w:r w:rsidRPr="00B450BF">
          <w:rPr>
            <w:rFonts w:ascii="Aptos" w:eastAsia="Aptos" w:hAnsi="Aptos" w:cs="Times New Roman"/>
            <w:color w:val="467886"/>
            <w:kern w:val="2"/>
            <w:sz w:val="24"/>
            <w:szCs w:val="24"/>
            <w:u w:val="single"/>
            <w:lang w:eastAsia="en-US"/>
            <w14:ligatures w14:val="standardContextual"/>
          </w:rPr>
          <w:t>https://assets.publishing.service.gov.uk/media/5a8238c540f0b6230269b7ce/Evaluation_of_Signs_of_Safety_in_10_pilots.pdf</w:t>
        </w:r>
      </w:hyperlink>
      <w:r w:rsidRPr="00B450BF">
        <w:rPr>
          <w:rFonts w:ascii="Aptos" w:eastAsia="Aptos" w:hAnsi="Aptos" w:cs="Times New Roman"/>
          <w:color w:val="auto"/>
          <w:kern w:val="2"/>
          <w:sz w:val="24"/>
          <w:szCs w:val="24"/>
          <w:lang w:eastAsia="en-US"/>
          <w14:ligatures w14:val="standardContextual"/>
        </w:rPr>
        <w:t xml:space="preserve"> [Accessed 15 September 2024]</w:t>
      </w:r>
    </w:p>
    <w:p w14:paraId="0AC01660"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Balsom, D. (1985) </w:t>
      </w:r>
      <w:r w:rsidRPr="00B450BF">
        <w:rPr>
          <w:rFonts w:ascii="Aptos" w:eastAsia="Aptos" w:hAnsi="Aptos" w:cs="Times New Roman"/>
          <w:i/>
          <w:iCs/>
          <w:color w:val="auto"/>
          <w:kern w:val="2"/>
          <w:sz w:val="24"/>
          <w:szCs w:val="24"/>
          <w:lang w:eastAsia="en-US"/>
          <w14:ligatures w14:val="standardContextual"/>
        </w:rPr>
        <w:t xml:space="preserve">The three-Wales </w:t>
      </w:r>
      <w:proofErr w:type="gramStart"/>
      <w:r w:rsidRPr="00B450BF">
        <w:rPr>
          <w:rFonts w:ascii="Aptos" w:eastAsia="Aptos" w:hAnsi="Aptos" w:cs="Times New Roman"/>
          <w:i/>
          <w:iCs/>
          <w:color w:val="auto"/>
          <w:kern w:val="2"/>
          <w:sz w:val="24"/>
          <w:szCs w:val="24"/>
          <w:lang w:eastAsia="en-US"/>
          <w14:ligatures w14:val="standardContextual"/>
        </w:rPr>
        <w:t xml:space="preserve">model </w:t>
      </w:r>
      <w:r w:rsidRPr="00B450BF">
        <w:rPr>
          <w:rFonts w:ascii="Aptos" w:eastAsia="Aptos" w:hAnsi="Aptos" w:cs="Times New Roman"/>
          <w:color w:val="auto"/>
          <w:kern w:val="2"/>
          <w:sz w:val="24"/>
          <w:szCs w:val="24"/>
          <w:lang w:eastAsia="en-US"/>
          <w14:ligatures w14:val="standardContextual"/>
        </w:rPr>
        <w:t xml:space="preserve"> in</w:t>
      </w:r>
      <w:proofErr w:type="gramEnd"/>
      <w:r w:rsidRPr="00B450BF">
        <w:rPr>
          <w:rFonts w:ascii="Aptos" w:eastAsia="Aptos" w:hAnsi="Aptos" w:cs="Times New Roman"/>
          <w:color w:val="auto"/>
          <w:kern w:val="2"/>
          <w:sz w:val="24"/>
          <w:szCs w:val="24"/>
          <w:lang w:eastAsia="en-US"/>
          <w14:ligatures w14:val="standardContextual"/>
        </w:rPr>
        <w:t xml:space="preserve"> Osmond, J. </w:t>
      </w:r>
      <w:r w:rsidRPr="00B450BF">
        <w:rPr>
          <w:rFonts w:ascii="Aptos" w:eastAsia="Aptos" w:hAnsi="Aptos" w:cs="Times New Roman"/>
          <w:i/>
          <w:iCs/>
          <w:color w:val="auto"/>
          <w:kern w:val="2"/>
          <w:sz w:val="24"/>
          <w:szCs w:val="24"/>
          <w:lang w:eastAsia="en-US"/>
          <w14:ligatures w14:val="standardContextual"/>
        </w:rPr>
        <w:t>The National Question Again</w:t>
      </w:r>
      <w:r w:rsidRPr="00B450BF">
        <w:rPr>
          <w:rFonts w:ascii="Aptos" w:eastAsia="Aptos" w:hAnsi="Aptos" w:cs="Times New Roman"/>
          <w:color w:val="auto"/>
          <w:kern w:val="2"/>
          <w:sz w:val="24"/>
          <w:szCs w:val="24"/>
          <w:lang w:eastAsia="en-US"/>
          <w14:ligatures w14:val="standardContextual"/>
        </w:rPr>
        <w:t>, Llandysul, Gomer.</w:t>
      </w:r>
    </w:p>
    <w:p w14:paraId="06271794"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Beck, D. (2021) </w:t>
      </w:r>
      <w:r w:rsidRPr="00B450BF">
        <w:rPr>
          <w:rFonts w:ascii="Aptos" w:eastAsia="Aptos" w:hAnsi="Aptos" w:cs="Times New Roman"/>
          <w:i/>
          <w:iCs/>
          <w:color w:val="auto"/>
          <w:kern w:val="2"/>
          <w:sz w:val="24"/>
          <w:szCs w:val="24"/>
          <w:lang w:eastAsia="en-US"/>
          <w14:ligatures w14:val="standardContextual"/>
        </w:rPr>
        <w:t>Tackling Poverty and Inequality</w:t>
      </w:r>
      <w:r w:rsidRPr="00B450BF">
        <w:rPr>
          <w:rFonts w:ascii="Aptos" w:eastAsia="Aptos" w:hAnsi="Aptos" w:cs="Times New Roman"/>
          <w:color w:val="auto"/>
          <w:kern w:val="2"/>
          <w:sz w:val="24"/>
          <w:szCs w:val="24"/>
          <w:lang w:eastAsia="en-US"/>
          <w14:ligatures w14:val="standardContextual"/>
        </w:rPr>
        <w:t xml:space="preserve">. In Gwilym, H. &amp; Williams, C. (2021) </w:t>
      </w:r>
      <w:r w:rsidRPr="00B450BF">
        <w:rPr>
          <w:rFonts w:ascii="Aptos" w:eastAsia="Aptos" w:hAnsi="Aptos" w:cs="Times New Roman"/>
          <w:i/>
          <w:iCs/>
          <w:color w:val="auto"/>
          <w:kern w:val="2"/>
          <w:sz w:val="24"/>
          <w:szCs w:val="24"/>
          <w:lang w:eastAsia="en-US"/>
          <w14:ligatures w14:val="standardContextual"/>
        </w:rPr>
        <w:t xml:space="preserve">Social Policy for Welfare Practice in Wales. </w:t>
      </w:r>
      <w:r w:rsidRPr="00B450BF">
        <w:rPr>
          <w:rFonts w:ascii="Aptos" w:eastAsia="Aptos" w:hAnsi="Aptos" w:cs="Times New Roman"/>
          <w:color w:val="auto"/>
          <w:kern w:val="2"/>
          <w:sz w:val="24"/>
          <w:szCs w:val="24"/>
          <w:lang w:eastAsia="en-US"/>
          <w14:ligatures w14:val="standardContextual"/>
        </w:rPr>
        <w:t>3</w:t>
      </w:r>
      <w:r w:rsidRPr="00B450BF">
        <w:rPr>
          <w:rFonts w:ascii="Aptos" w:eastAsia="Aptos" w:hAnsi="Aptos" w:cs="Times New Roman"/>
          <w:color w:val="auto"/>
          <w:kern w:val="2"/>
          <w:sz w:val="24"/>
          <w:szCs w:val="24"/>
          <w:vertAlign w:val="superscript"/>
          <w:lang w:eastAsia="en-US"/>
          <w14:ligatures w14:val="standardContextual"/>
        </w:rPr>
        <w:t>rd</w:t>
      </w:r>
      <w:r w:rsidRPr="00B450BF">
        <w:rPr>
          <w:rFonts w:ascii="Aptos" w:eastAsia="Aptos" w:hAnsi="Aptos" w:cs="Times New Roman"/>
          <w:color w:val="auto"/>
          <w:kern w:val="2"/>
          <w:sz w:val="24"/>
          <w:szCs w:val="24"/>
          <w:lang w:eastAsia="en-US"/>
          <w14:ligatures w14:val="standardContextual"/>
        </w:rPr>
        <w:t xml:space="preserve"> Edition, Birmingham, BASW, p39.</w:t>
      </w:r>
    </w:p>
    <w:p w14:paraId="24C02CCF"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Borton, T. (1984) as cited by Maclean, S. (2010). </w:t>
      </w:r>
      <w:r w:rsidRPr="00B450BF">
        <w:rPr>
          <w:rFonts w:ascii="Aptos" w:eastAsia="Aptos" w:hAnsi="Aptos" w:cs="Times New Roman"/>
          <w:i/>
          <w:iCs/>
          <w:color w:val="auto"/>
          <w:kern w:val="2"/>
          <w:sz w:val="24"/>
          <w:szCs w:val="24"/>
          <w:lang w:eastAsia="en-US"/>
          <w14:ligatures w14:val="standardContextual"/>
        </w:rPr>
        <w:t>The Social Work Pocket Guide to ... Reflective Practice</w:t>
      </w:r>
      <w:r w:rsidRPr="00B450BF">
        <w:rPr>
          <w:rFonts w:ascii="Aptos" w:eastAsia="Aptos" w:hAnsi="Aptos" w:cs="Times New Roman"/>
          <w:color w:val="auto"/>
          <w:kern w:val="2"/>
          <w:sz w:val="24"/>
          <w:szCs w:val="24"/>
          <w:lang w:eastAsia="en-US"/>
          <w14:ligatures w14:val="standardContextual"/>
        </w:rPr>
        <w:t>. 1st Edition, Lichfield, Kirwin Maclean Associates, p99.</w:t>
      </w:r>
    </w:p>
    <w:p w14:paraId="7B83C2D5"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Boud, D., Keogh, R and Walker, D. (1985) as cited by Maclean, S. (2010). </w:t>
      </w:r>
      <w:r w:rsidRPr="00B450BF">
        <w:rPr>
          <w:rFonts w:ascii="Aptos" w:eastAsia="Aptos" w:hAnsi="Aptos" w:cs="Times New Roman"/>
          <w:i/>
          <w:iCs/>
          <w:color w:val="auto"/>
          <w:kern w:val="2"/>
          <w:sz w:val="24"/>
          <w:szCs w:val="24"/>
          <w:lang w:eastAsia="en-US"/>
          <w14:ligatures w14:val="standardContextual"/>
        </w:rPr>
        <w:t>The Social Work Pocket Guide to ... Reflective Practice</w:t>
      </w:r>
      <w:r w:rsidRPr="00B450BF">
        <w:rPr>
          <w:rFonts w:ascii="Aptos" w:eastAsia="Aptos" w:hAnsi="Aptos" w:cs="Times New Roman"/>
          <w:color w:val="auto"/>
          <w:kern w:val="2"/>
          <w:sz w:val="24"/>
          <w:szCs w:val="24"/>
          <w:lang w:eastAsia="en-US"/>
          <w14:ligatures w14:val="standardContextual"/>
        </w:rPr>
        <w:t>. 1st Edition, Lichfield, Kirwin Maclean Associates, p95.</w:t>
      </w:r>
    </w:p>
    <w:p w14:paraId="08D66A15"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Braye, S. and Preston-Shoot, M. (1990) as cited by Brammer, A. (2020) </w:t>
      </w:r>
      <w:r w:rsidRPr="00B450BF">
        <w:rPr>
          <w:rFonts w:ascii="Aptos" w:eastAsia="Aptos" w:hAnsi="Aptos" w:cs="Times New Roman"/>
          <w:i/>
          <w:iCs/>
          <w:color w:val="auto"/>
          <w:kern w:val="2"/>
          <w:sz w:val="24"/>
          <w:szCs w:val="24"/>
          <w:lang w:eastAsia="en-US"/>
          <w14:ligatures w14:val="standardContextual"/>
        </w:rPr>
        <w:t>Social Work Law</w:t>
      </w:r>
      <w:r w:rsidRPr="00B450BF">
        <w:rPr>
          <w:rFonts w:ascii="Aptos" w:eastAsia="Aptos" w:hAnsi="Aptos" w:cs="Times New Roman"/>
          <w:color w:val="auto"/>
          <w:kern w:val="2"/>
          <w:sz w:val="24"/>
          <w:szCs w:val="24"/>
          <w:lang w:eastAsia="en-US"/>
          <w14:ligatures w14:val="standardContextual"/>
        </w:rPr>
        <w:t>. 5</w:t>
      </w:r>
      <w:r w:rsidRPr="00B450BF">
        <w:rPr>
          <w:rFonts w:ascii="Aptos" w:eastAsia="Aptos" w:hAnsi="Aptos" w:cs="Times New Roman"/>
          <w:color w:val="auto"/>
          <w:kern w:val="2"/>
          <w:sz w:val="24"/>
          <w:szCs w:val="24"/>
          <w:vertAlign w:val="superscript"/>
          <w:lang w:eastAsia="en-US"/>
          <w14:ligatures w14:val="standardContextual"/>
        </w:rPr>
        <w:t>th</w:t>
      </w:r>
      <w:r w:rsidRPr="00B450BF">
        <w:rPr>
          <w:rFonts w:ascii="Aptos" w:eastAsia="Aptos" w:hAnsi="Aptos" w:cs="Times New Roman"/>
          <w:color w:val="auto"/>
          <w:kern w:val="2"/>
          <w:sz w:val="24"/>
          <w:szCs w:val="24"/>
          <w:lang w:eastAsia="en-US"/>
          <w14:ligatures w14:val="standardContextual"/>
        </w:rPr>
        <w:t xml:space="preserve"> Edition, London, Pearson Education Limited, p4.</w:t>
      </w:r>
    </w:p>
    <w:p w14:paraId="24B04F1E"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Cardiff &amp; Vale of Glamorgan Safeguarding Board (2019) </w:t>
      </w:r>
      <w:r w:rsidRPr="00B450BF">
        <w:rPr>
          <w:rFonts w:ascii="Aptos" w:eastAsia="Aptos" w:hAnsi="Aptos" w:cs="Times New Roman"/>
          <w:i/>
          <w:iCs/>
          <w:color w:val="auto"/>
          <w:kern w:val="2"/>
          <w:sz w:val="24"/>
          <w:szCs w:val="24"/>
          <w:lang w:eastAsia="en-US"/>
          <w14:ligatures w14:val="standardContextual"/>
        </w:rPr>
        <w:t xml:space="preserve">Cardiff &amp; Vale of Glamorgan Safeguarding Board Concise Child Practice Review Re: CPR 03/2019. </w:t>
      </w:r>
      <w:r w:rsidRPr="00B450BF">
        <w:rPr>
          <w:rFonts w:ascii="Aptos" w:eastAsia="Aptos" w:hAnsi="Aptos" w:cs="Times New Roman"/>
          <w:color w:val="auto"/>
          <w:kern w:val="2"/>
          <w:sz w:val="24"/>
          <w:szCs w:val="24"/>
          <w:lang w:eastAsia="en-US"/>
          <w14:ligatures w14:val="standardContextual"/>
        </w:rPr>
        <w:t xml:space="preserve">[online]. Available at: </w:t>
      </w:r>
      <w:hyperlink r:id="rId12" w:history="1">
        <w:r w:rsidRPr="00B450BF">
          <w:rPr>
            <w:rFonts w:ascii="Aptos" w:eastAsia="Aptos" w:hAnsi="Aptos" w:cs="Times New Roman"/>
            <w:color w:val="467886"/>
            <w:kern w:val="2"/>
            <w:sz w:val="24"/>
            <w:szCs w:val="24"/>
            <w:u w:val="single"/>
            <w:lang w:eastAsia="en-US"/>
            <w14:ligatures w14:val="standardContextual"/>
          </w:rPr>
          <w:t>https://cardiffandvalersb.co.uk/wp-content/uploads/CVSB-032019-CPR-Final-Report.pdf</w:t>
        </w:r>
      </w:hyperlink>
      <w:r w:rsidRPr="00B450BF">
        <w:rPr>
          <w:rFonts w:ascii="Aptos" w:eastAsia="Aptos" w:hAnsi="Aptos" w:cs="Times New Roman"/>
          <w:color w:val="auto"/>
          <w:kern w:val="2"/>
          <w:sz w:val="24"/>
          <w:szCs w:val="24"/>
          <w:lang w:eastAsia="en-US"/>
          <w14:ligatures w14:val="standardContextual"/>
        </w:rPr>
        <w:t xml:space="preserve"> [Accessed 14 September 2024]</w:t>
      </w:r>
    </w:p>
    <w:p w14:paraId="1AD8012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 xml:space="preserve">Care and Support (Wales) (Eligibility) 2015. S3. </w:t>
      </w:r>
      <w:r w:rsidRPr="00B450BF">
        <w:rPr>
          <w:rFonts w:ascii="Aptos" w:eastAsia="Aptos" w:hAnsi="Aptos" w:cs="Times New Roman"/>
          <w:color w:val="auto"/>
          <w:kern w:val="2"/>
          <w:sz w:val="24"/>
          <w:szCs w:val="24"/>
          <w:lang w:eastAsia="en-US"/>
          <w14:ligatures w14:val="standardContextual"/>
        </w:rPr>
        <w:t xml:space="preserve">[online]. Available at: </w:t>
      </w:r>
      <w:hyperlink r:id="rId13" w:history="1">
        <w:r w:rsidRPr="00B450BF">
          <w:rPr>
            <w:rFonts w:ascii="Aptos" w:eastAsia="Aptos" w:hAnsi="Aptos" w:cs="Times New Roman"/>
            <w:color w:val="467886"/>
            <w:kern w:val="2"/>
            <w:sz w:val="24"/>
            <w:szCs w:val="24"/>
            <w:u w:val="single"/>
            <w:lang w:eastAsia="en-US"/>
            <w14:ligatures w14:val="standardContextual"/>
          </w:rPr>
          <w:t>https://www.legislation.gov.uk/wsi/2015/1578/made</w:t>
        </w:r>
      </w:hyperlink>
      <w:r w:rsidRPr="00B450BF">
        <w:rPr>
          <w:rFonts w:ascii="Aptos" w:eastAsia="Aptos" w:hAnsi="Aptos" w:cs="Times New Roman"/>
          <w:color w:val="auto"/>
          <w:kern w:val="2"/>
          <w:sz w:val="24"/>
          <w:szCs w:val="24"/>
          <w:lang w:eastAsia="en-US"/>
          <w14:ligatures w14:val="standardContextual"/>
        </w:rPr>
        <w:t xml:space="preserve"> [Accessed 25 September 2024]</w:t>
      </w:r>
    </w:p>
    <w:p w14:paraId="6BB1D591"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Care Inspectorate Wales (2024) </w:t>
      </w:r>
      <w:r w:rsidRPr="00B450BF">
        <w:rPr>
          <w:rFonts w:ascii="Aptos" w:eastAsia="Aptos" w:hAnsi="Aptos" w:cs="Times New Roman"/>
          <w:i/>
          <w:iCs/>
          <w:color w:val="auto"/>
          <w:kern w:val="2"/>
          <w:sz w:val="24"/>
          <w:szCs w:val="24"/>
          <w:lang w:eastAsia="en-US"/>
          <w14:ligatures w14:val="standardContextual"/>
        </w:rPr>
        <w:t xml:space="preserve">Overview Report: Joint inspection of child protection arrangements. </w:t>
      </w:r>
      <w:r w:rsidRPr="00B450BF">
        <w:rPr>
          <w:rFonts w:ascii="Aptos" w:eastAsia="Aptos" w:hAnsi="Aptos" w:cs="Times New Roman"/>
          <w:color w:val="auto"/>
          <w:kern w:val="2"/>
          <w:sz w:val="24"/>
          <w:szCs w:val="24"/>
          <w:lang w:eastAsia="en-US"/>
          <w14:ligatures w14:val="standardContextual"/>
        </w:rPr>
        <w:t xml:space="preserve">[online]. Available at: </w:t>
      </w:r>
      <w:hyperlink r:id="rId14" w:history="1">
        <w:r w:rsidRPr="00B450BF">
          <w:rPr>
            <w:rFonts w:ascii="Aptos" w:eastAsia="Aptos" w:hAnsi="Aptos" w:cs="Times New Roman"/>
            <w:color w:val="467886"/>
            <w:kern w:val="2"/>
            <w:sz w:val="24"/>
            <w:szCs w:val="24"/>
            <w:u w:val="single"/>
            <w:lang w:eastAsia="en-US"/>
            <w14:ligatures w14:val="standardContextual"/>
          </w:rPr>
          <w:t>https://www.hiw.org.uk/system/files/2024-09/49987%20CIW%20Joint%20Report%20%28E%29%20WEB%20-%20FINAL.pdf</w:t>
        </w:r>
      </w:hyperlink>
      <w:r w:rsidRPr="00B450BF">
        <w:rPr>
          <w:rFonts w:ascii="Aptos" w:eastAsia="Aptos" w:hAnsi="Aptos" w:cs="Times New Roman"/>
          <w:color w:val="auto"/>
          <w:kern w:val="2"/>
          <w:sz w:val="24"/>
          <w:szCs w:val="24"/>
          <w:lang w:eastAsia="en-US"/>
          <w14:ligatures w14:val="standardContextual"/>
        </w:rPr>
        <w:t xml:space="preserve"> [Accessed 13 September 2024]</w:t>
      </w:r>
    </w:p>
    <w:p w14:paraId="205AFAB0"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Children Act 1989. s43</w:t>
      </w:r>
      <w:r w:rsidRPr="00B450BF">
        <w:rPr>
          <w:rFonts w:ascii="Aptos" w:eastAsia="Aptos" w:hAnsi="Aptos" w:cs="Times New Roman"/>
          <w:color w:val="auto"/>
          <w:kern w:val="2"/>
          <w:sz w:val="24"/>
          <w:szCs w:val="24"/>
          <w:lang w:eastAsia="en-US"/>
          <w14:ligatures w14:val="standardContextual"/>
        </w:rPr>
        <w:t xml:space="preserve">. [online] Available at: </w:t>
      </w:r>
      <w:hyperlink r:id="rId15" w:history="1">
        <w:r w:rsidRPr="00B450BF">
          <w:rPr>
            <w:rFonts w:ascii="Aptos" w:eastAsia="Aptos" w:hAnsi="Aptos" w:cs="Times New Roman"/>
            <w:color w:val="467886"/>
            <w:kern w:val="2"/>
            <w:sz w:val="24"/>
            <w:szCs w:val="24"/>
            <w:u w:val="single"/>
            <w:lang w:eastAsia="en-US"/>
            <w14:ligatures w14:val="standardContextual"/>
          </w:rPr>
          <w:t>https://www.legislation.gov.uk/ukpga/1989/41/section/43</w:t>
        </w:r>
      </w:hyperlink>
      <w:r w:rsidRPr="00B450BF">
        <w:rPr>
          <w:rFonts w:ascii="Aptos" w:eastAsia="Aptos" w:hAnsi="Aptos" w:cs="Times New Roman"/>
          <w:color w:val="auto"/>
          <w:kern w:val="2"/>
          <w:sz w:val="24"/>
          <w:szCs w:val="24"/>
          <w:lang w:eastAsia="en-US"/>
          <w14:ligatures w14:val="standardContextual"/>
        </w:rPr>
        <w:t xml:space="preserve">  [Accessed 26 September 2024].</w:t>
      </w:r>
    </w:p>
    <w:p w14:paraId="5D4FF1B3"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0" w:name="_Hlk178974525"/>
      <w:r w:rsidRPr="00B450BF">
        <w:rPr>
          <w:rFonts w:ascii="Aptos" w:eastAsia="Aptos" w:hAnsi="Aptos" w:cs="Times New Roman"/>
          <w:i/>
          <w:iCs/>
          <w:color w:val="auto"/>
          <w:kern w:val="2"/>
          <w:sz w:val="24"/>
          <w:szCs w:val="24"/>
          <w:lang w:eastAsia="en-US"/>
          <w14:ligatures w14:val="standardContextual"/>
        </w:rPr>
        <w:lastRenderedPageBreak/>
        <w:t>Children Act 1989.s47</w:t>
      </w:r>
      <w:r w:rsidRPr="00B450BF">
        <w:rPr>
          <w:rFonts w:ascii="Aptos" w:eastAsia="Aptos" w:hAnsi="Aptos" w:cs="Times New Roman"/>
          <w:color w:val="auto"/>
          <w:kern w:val="2"/>
          <w:sz w:val="24"/>
          <w:szCs w:val="24"/>
          <w:lang w:eastAsia="en-US"/>
          <w14:ligatures w14:val="standardContextual"/>
        </w:rPr>
        <w:t>. [online] Available at: https://www.legislation.gov.uk/ukpga/1989/41/section/47 [Accessed 11 Jun 2024].</w:t>
      </w:r>
    </w:p>
    <w:bookmarkEnd w:id="0"/>
    <w:p w14:paraId="5EF84FF8"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Children Act 1989.s47</w:t>
      </w:r>
      <w:r w:rsidRPr="00B450BF">
        <w:rPr>
          <w:rFonts w:ascii="Aptos" w:eastAsia="Aptos" w:hAnsi="Aptos" w:cs="Times New Roman"/>
          <w:color w:val="auto"/>
          <w:kern w:val="2"/>
          <w:sz w:val="24"/>
          <w:szCs w:val="24"/>
          <w:lang w:eastAsia="en-US"/>
          <w14:ligatures w14:val="standardContextual"/>
        </w:rPr>
        <w:t xml:space="preserve">. [online] Available at: </w:t>
      </w:r>
      <w:hyperlink r:id="rId16" w:history="1">
        <w:r w:rsidRPr="00B450BF">
          <w:rPr>
            <w:rFonts w:ascii="Aptos" w:eastAsia="Aptos" w:hAnsi="Aptos" w:cs="Times New Roman"/>
            <w:color w:val="467886"/>
            <w:kern w:val="2"/>
            <w:sz w:val="24"/>
            <w:szCs w:val="24"/>
            <w:u w:val="single"/>
            <w:lang w:eastAsia="en-US"/>
            <w14:ligatures w14:val="standardContextual"/>
          </w:rPr>
          <w:t>https://www.legislation.gov.uk/ukpga/1989/41/section/47</w:t>
        </w:r>
      </w:hyperlink>
      <w:r w:rsidRPr="00B450BF">
        <w:rPr>
          <w:rFonts w:ascii="Aptos" w:eastAsia="Aptos" w:hAnsi="Aptos" w:cs="Times New Roman"/>
          <w:color w:val="auto"/>
          <w:kern w:val="2"/>
          <w:sz w:val="24"/>
          <w:szCs w:val="24"/>
          <w:lang w:eastAsia="en-US"/>
          <w14:ligatures w14:val="standardContextual"/>
        </w:rPr>
        <w:t xml:space="preserve">  [Accessed 9 September 2024].</w:t>
      </w:r>
    </w:p>
    <w:p w14:paraId="7720C52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Community Care (2008) </w:t>
      </w:r>
      <w:r w:rsidRPr="00B450BF">
        <w:rPr>
          <w:rFonts w:ascii="Aptos" w:eastAsia="Aptos" w:hAnsi="Aptos" w:cs="Times New Roman"/>
          <w:i/>
          <w:iCs/>
          <w:color w:val="auto"/>
          <w:kern w:val="2"/>
          <w:sz w:val="24"/>
          <w:szCs w:val="24"/>
          <w:lang w:eastAsia="en-US"/>
          <w14:ligatures w14:val="standardContextual"/>
        </w:rPr>
        <w:t xml:space="preserve">Proven Practice: communicating with service users and their </w:t>
      </w:r>
      <w:proofErr w:type="spellStart"/>
      <w:r w:rsidRPr="00B450BF">
        <w:rPr>
          <w:rFonts w:ascii="Aptos" w:eastAsia="Aptos" w:hAnsi="Aptos" w:cs="Times New Roman"/>
          <w:i/>
          <w:iCs/>
          <w:color w:val="auto"/>
          <w:kern w:val="2"/>
          <w:sz w:val="24"/>
          <w:szCs w:val="24"/>
          <w:lang w:eastAsia="en-US"/>
          <w14:ligatures w14:val="standardContextual"/>
        </w:rPr>
        <w:t>carers</w:t>
      </w:r>
      <w:proofErr w:type="spellEnd"/>
      <w:r w:rsidRPr="00B450BF">
        <w:rPr>
          <w:rFonts w:ascii="Aptos" w:eastAsia="Aptos" w:hAnsi="Aptos" w:cs="Times New Roman"/>
          <w:color w:val="auto"/>
          <w:kern w:val="2"/>
          <w:sz w:val="24"/>
          <w:szCs w:val="24"/>
          <w:lang w:eastAsia="en-US"/>
          <w14:ligatures w14:val="standardContextual"/>
        </w:rPr>
        <w:t xml:space="preserve">. [online]. Available at: </w:t>
      </w:r>
      <w:hyperlink r:id="rId17" w:history="1">
        <w:r w:rsidRPr="00B450BF">
          <w:rPr>
            <w:rFonts w:ascii="Aptos" w:eastAsia="Aptos" w:hAnsi="Aptos" w:cs="Times New Roman"/>
            <w:color w:val="467886"/>
            <w:kern w:val="2"/>
            <w:sz w:val="24"/>
            <w:szCs w:val="24"/>
            <w:u w:val="single"/>
            <w:lang w:eastAsia="en-US"/>
            <w14:ligatures w14:val="standardContextual"/>
          </w:rPr>
          <w:t>https://www.communitycare.co.uk/2008/10/15/proven-practice-communicating-with-service-users-and-their-carers/</w:t>
        </w:r>
      </w:hyperlink>
      <w:r w:rsidRPr="00B450BF">
        <w:rPr>
          <w:rFonts w:ascii="Aptos" w:eastAsia="Aptos" w:hAnsi="Aptos" w:cs="Times New Roman"/>
          <w:color w:val="auto"/>
          <w:kern w:val="2"/>
          <w:sz w:val="24"/>
          <w:szCs w:val="24"/>
          <w:lang w:eastAsia="en-US"/>
          <w14:ligatures w14:val="standardContextual"/>
        </w:rPr>
        <w:t xml:space="preserve"> [Accessed 3 July 2024]</w:t>
      </w:r>
    </w:p>
    <w:p w14:paraId="3F38E7E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Community Care (2018). </w:t>
      </w:r>
      <w:r w:rsidRPr="00B450BF">
        <w:rPr>
          <w:rFonts w:ascii="Aptos" w:eastAsia="Aptos" w:hAnsi="Aptos" w:cs="Times New Roman"/>
          <w:i/>
          <w:iCs/>
          <w:color w:val="auto"/>
          <w:kern w:val="2"/>
          <w:sz w:val="24"/>
          <w:szCs w:val="24"/>
          <w:lang w:eastAsia="en-US"/>
          <w14:ligatures w14:val="standardContextual"/>
        </w:rPr>
        <w:t>Divisive, Demeaning and Devoid of feeling: How Social Work Jargon Causes Problems for Families.</w:t>
      </w:r>
      <w:r w:rsidRPr="00B450BF">
        <w:rPr>
          <w:rFonts w:ascii="Aptos" w:eastAsia="Aptos" w:hAnsi="Aptos" w:cs="Times New Roman"/>
          <w:color w:val="auto"/>
          <w:kern w:val="2"/>
          <w:sz w:val="24"/>
          <w:szCs w:val="24"/>
          <w:lang w:eastAsia="en-US"/>
          <w14:ligatures w14:val="standardContextual"/>
        </w:rPr>
        <w:t xml:space="preserve"> [online] Community Care. Available at: https://www.communitycare.co.uk/2018/05/10/divisive-demeaning-devoid-feeling-social-work-jargon-causes-problems-families/ [Accessed 10 Jun 2024].</w:t>
      </w:r>
    </w:p>
    <w:p w14:paraId="052638C2"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Community Care (2023) </w:t>
      </w:r>
      <w:r w:rsidRPr="00B450BF">
        <w:rPr>
          <w:rFonts w:ascii="Aptos" w:eastAsia="Aptos" w:hAnsi="Aptos" w:cs="Times New Roman"/>
          <w:i/>
          <w:iCs/>
          <w:color w:val="auto"/>
          <w:kern w:val="2"/>
          <w:sz w:val="24"/>
          <w:szCs w:val="24"/>
          <w:lang w:eastAsia="en-US"/>
          <w14:ligatures w14:val="standardContextual"/>
        </w:rPr>
        <w:t>Working with children experiencing neglect: challenges and solutions</w:t>
      </w:r>
      <w:r w:rsidRPr="00B450BF">
        <w:rPr>
          <w:rFonts w:ascii="Aptos" w:eastAsia="Aptos" w:hAnsi="Aptos" w:cs="Times New Roman"/>
          <w:color w:val="auto"/>
          <w:kern w:val="2"/>
          <w:sz w:val="24"/>
          <w:szCs w:val="24"/>
          <w:lang w:eastAsia="en-US"/>
          <w14:ligatures w14:val="standardContextual"/>
        </w:rPr>
        <w:t xml:space="preserve">. [online]. Available at: </w:t>
      </w:r>
      <w:hyperlink r:id="rId18" w:anchor=":~:text=Neglect%20is%20the%20most%20common%20reason%20for%20a%20child%20to" w:history="1">
        <w:r w:rsidRPr="00B450BF">
          <w:rPr>
            <w:rFonts w:ascii="Aptos" w:eastAsia="Aptos" w:hAnsi="Aptos" w:cs="Times New Roman"/>
            <w:color w:val="467886"/>
            <w:kern w:val="2"/>
            <w:sz w:val="24"/>
            <w:szCs w:val="24"/>
            <w:u w:val="single"/>
            <w:lang w:eastAsia="en-US"/>
            <w14:ligatures w14:val="standardContextual"/>
          </w:rPr>
          <w:t>https://www.communitycare.co.uk/2023/09/14/working-with-children-experiencing-neglect-challenges-and-solutions/#:~:text=Neglect%20is%20the%20most%20common%20reason%20for%20a%20child%20to</w:t>
        </w:r>
      </w:hyperlink>
      <w:r w:rsidRPr="00B450BF">
        <w:rPr>
          <w:rFonts w:ascii="Aptos" w:eastAsia="Aptos" w:hAnsi="Aptos" w:cs="Times New Roman"/>
          <w:color w:val="auto"/>
          <w:kern w:val="2"/>
          <w:sz w:val="24"/>
          <w:szCs w:val="24"/>
          <w:lang w:eastAsia="en-US"/>
          <w14:ligatures w14:val="standardContextual"/>
        </w:rPr>
        <w:t xml:space="preserve"> [Accessed 18 September 2024]</w:t>
      </w:r>
    </w:p>
    <w:p w14:paraId="265C0CCC"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1" w:name="_Hlk179056375"/>
      <w:r w:rsidRPr="00B450BF">
        <w:rPr>
          <w:rFonts w:ascii="Aptos" w:eastAsia="Aptos" w:hAnsi="Aptos" w:cs="Times New Roman"/>
          <w:color w:val="auto"/>
          <w:kern w:val="2"/>
          <w:sz w:val="24"/>
          <w:szCs w:val="24"/>
          <w:lang w:eastAsia="en-US"/>
          <w14:ligatures w14:val="standardContextual"/>
        </w:rPr>
        <w:t xml:space="preserve">Cree, V. and Wallace, S (2009) </w:t>
      </w:r>
      <w:r w:rsidRPr="00B450BF">
        <w:rPr>
          <w:rFonts w:ascii="Aptos" w:eastAsia="Aptos" w:hAnsi="Aptos" w:cs="Times New Roman"/>
          <w:i/>
          <w:iCs/>
          <w:color w:val="auto"/>
          <w:kern w:val="2"/>
          <w:sz w:val="24"/>
          <w:szCs w:val="24"/>
          <w:lang w:eastAsia="en-US"/>
          <w14:ligatures w14:val="standardContextual"/>
        </w:rPr>
        <w:t>Risk and Protection</w:t>
      </w:r>
      <w:r w:rsidRPr="00B450BF">
        <w:rPr>
          <w:rFonts w:ascii="Aptos" w:eastAsia="Aptos" w:hAnsi="Aptos" w:cs="Times New Roman"/>
          <w:color w:val="auto"/>
          <w:kern w:val="2"/>
          <w:sz w:val="24"/>
          <w:szCs w:val="24"/>
          <w:lang w:eastAsia="en-US"/>
          <w14:ligatures w14:val="standardContextual"/>
        </w:rPr>
        <w:t xml:space="preserve">. In Adams, R., Dominelli, L. &amp; Payne, M. (2009) </w:t>
      </w:r>
      <w:r w:rsidRPr="00B450BF">
        <w:rPr>
          <w:rFonts w:ascii="Aptos" w:eastAsia="Aptos" w:hAnsi="Aptos" w:cs="Times New Roman"/>
          <w:i/>
          <w:iCs/>
          <w:color w:val="auto"/>
          <w:kern w:val="2"/>
          <w:sz w:val="24"/>
          <w:szCs w:val="24"/>
          <w:lang w:eastAsia="en-US"/>
          <w14:ligatures w14:val="standardContextual"/>
        </w:rPr>
        <w:t>Practising Social Work in a Complex World.</w:t>
      </w:r>
      <w:r w:rsidRPr="00B450BF">
        <w:rPr>
          <w:rFonts w:ascii="Aptos" w:eastAsia="Aptos" w:hAnsi="Aptos" w:cs="Times New Roman"/>
          <w:color w:val="auto"/>
          <w:kern w:val="2"/>
          <w:sz w:val="24"/>
          <w:szCs w:val="24"/>
          <w:lang w:eastAsia="en-US"/>
          <w14:ligatures w14:val="standardContextual"/>
        </w:rPr>
        <w:t xml:space="preserve"> 2</w:t>
      </w:r>
      <w:r w:rsidRPr="00B450BF">
        <w:rPr>
          <w:rFonts w:ascii="Aptos" w:eastAsia="Aptos" w:hAnsi="Aptos" w:cs="Times New Roman"/>
          <w:color w:val="auto"/>
          <w:kern w:val="2"/>
          <w:sz w:val="24"/>
          <w:szCs w:val="24"/>
          <w:vertAlign w:val="superscript"/>
          <w:lang w:eastAsia="en-US"/>
          <w14:ligatures w14:val="standardContextual"/>
        </w:rPr>
        <w:t xml:space="preserve">nd </w:t>
      </w:r>
      <w:r w:rsidRPr="00B450BF">
        <w:rPr>
          <w:rFonts w:ascii="Aptos" w:eastAsia="Aptos" w:hAnsi="Aptos" w:cs="Times New Roman"/>
          <w:color w:val="auto"/>
          <w:kern w:val="2"/>
          <w:sz w:val="24"/>
          <w:szCs w:val="24"/>
          <w:lang w:eastAsia="en-US"/>
          <w14:ligatures w14:val="standardContextual"/>
        </w:rPr>
        <w:t>Edition, London, Red Globe Press, p42.</w:t>
      </w:r>
    </w:p>
    <w:bookmarkEnd w:id="1"/>
    <w:p w14:paraId="3463A8EE"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Cwm Taf Morgannwg Safeguarding Board (2022) </w:t>
      </w:r>
      <w:r w:rsidRPr="00B450BF">
        <w:rPr>
          <w:rFonts w:ascii="Aptos" w:eastAsia="Aptos" w:hAnsi="Aptos" w:cs="Times New Roman"/>
          <w:i/>
          <w:iCs/>
          <w:color w:val="auto"/>
          <w:kern w:val="2"/>
          <w:sz w:val="24"/>
          <w:szCs w:val="24"/>
          <w:lang w:eastAsia="en-US"/>
          <w14:ligatures w14:val="standardContextual"/>
        </w:rPr>
        <w:t>CHILD PRACTICE REVIEW REPORT CTMSB 04/2021</w:t>
      </w:r>
      <w:r w:rsidRPr="00B450BF">
        <w:rPr>
          <w:rFonts w:ascii="Aptos" w:eastAsia="Aptos" w:hAnsi="Aptos" w:cs="Times New Roman"/>
          <w:color w:val="auto"/>
          <w:kern w:val="2"/>
          <w:sz w:val="24"/>
          <w:szCs w:val="24"/>
          <w:lang w:eastAsia="en-US"/>
          <w14:ligatures w14:val="standardContextual"/>
        </w:rPr>
        <w:t xml:space="preserve">. [online]. Available at: </w:t>
      </w:r>
      <w:hyperlink r:id="rId19" w:history="1">
        <w:r w:rsidRPr="00B450BF">
          <w:rPr>
            <w:rFonts w:ascii="Aptos" w:eastAsia="Aptos" w:hAnsi="Aptos" w:cs="Times New Roman"/>
            <w:color w:val="467886"/>
            <w:kern w:val="2"/>
            <w:sz w:val="24"/>
            <w:szCs w:val="24"/>
            <w:u w:val="single"/>
            <w:lang w:eastAsia="en-US"/>
            <w14:ligatures w14:val="standardContextual"/>
          </w:rPr>
          <w:t>https://www.cwmtafmorgannwgsafeguardingboard.co.uk/En/NewsEvents/pdfs/ChildPracticeReviewCTMSB042021ChildTFinalReportEMBARGOED.pdf</w:t>
        </w:r>
      </w:hyperlink>
      <w:r w:rsidRPr="00B450BF">
        <w:rPr>
          <w:rFonts w:ascii="Aptos" w:eastAsia="Aptos" w:hAnsi="Aptos" w:cs="Times New Roman"/>
          <w:color w:val="auto"/>
          <w:kern w:val="2"/>
          <w:sz w:val="24"/>
          <w:szCs w:val="24"/>
          <w:lang w:eastAsia="en-US"/>
          <w14:ligatures w14:val="standardContextual"/>
        </w:rPr>
        <w:t xml:space="preserve"> [Accessed 9 September 2024]</w:t>
      </w:r>
    </w:p>
    <w:p w14:paraId="6E547C7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 xml:space="preserve">Data Protection Act 2018. </w:t>
      </w:r>
      <w:r w:rsidRPr="00B450BF">
        <w:rPr>
          <w:rFonts w:ascii="Aptos" w:eastAsia="Aptos" w:hAnsi="Aptos" w:cs="Times New Roman"/>
          <w:color w:val="auto"/>
          <w:kern w:val="2"/>
          <w:sz w:val="24"/>
          <w:szCs w:val="24"/>
          <w:lang w:eastAsia="en-US"/>
          <w14:ligatures w14:val="standardContextual"/>
        </w:rPr>
        <w:t xml:space="preserve">[online]. Available at: </w:t>
      </w:r>
      <w:hyperlink r:id="rId20" w:history="1">
        <w:r w:rsidRPr="00B450BF">
          <w:rPr>
            <w:rFonts w:ascii="Aptos" w:eastAsia="Aptos" w:hAnsi="Aptos" w:cs="Times New Roman"/>
            <w:color w:val="467886"/>
            <w:kern w:val="2"/>
            <w:sz w:val="24"/>
            <w:szCs w:val="24"/>
            <w:u w:val="single"/>
            <w:lang w:eastAsia="en-US"/>
            <w14:ligatures w14:val="standardContextual"/>
          </w:rPr>
          <w:t>https://www.legislation.gov.uk/ukpga/2018/12/contents/enacted</w:t>
        </w:r>
      </w:hyperlink>
      <w:r w:rsidRPr="00B450BF">
        <w:rPr>
          <w:rFonts w:ascii="Aptos" w:eastAsia="Aptos" w:hAnsi="Aptos" w:cs="Times New Roman"/>
          <w:color w:val="auto"/>
          <w:kern w:val="2"/>
          <w:sz w:val="24"/>
          <w:szCs w:val="24"/>
          <w:lang w:eastAsia="en-US"/>
          <w14:ligatures w14:val="standardContextual"/>
        </w:rPr>
        <w:t xml:space="preserve"> [Accessed 14 September 2024]</w:t>
      </w:r>
    </w:p>
    <w:p w14:paraId="3A38B2EF"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Department of Health (2000) </w:t>
      </w:r>
      <w:r w:rsidRPr="00B450BF">
        <w:rPr>
          <w:rFonts w:ascii="Aptos" w:eastAsia="Aptos" w:hAnsi="Aptos" w:cs="Times New Roman"/>
          <w:i/>
          <w:iCs/>
          <w:color w:val="auto"/>
          <w:kern w:val="2"/>
          <w:sz w:val="24"/>
          <w:szCs w:val="24"/>
          <w:lang w:eastAsia="en-US"/>
          <w14:ligatures w14:val="standardContextual"/>
        </w:rPr>
        <w:t>Framework for the Assessment of Children in Need and their Families</w:t>
      </w:r>
      <w:r w:rsidRPr="00B450BF">
        <w:rPr>
          <w:rFonts w:ascii="Aptos" w:eastAsia="Aptos" w:hAnsi="Aptos" w:cs="Times New Roman"/>
          <w:color w:val="auto"/>
          <w:kern w:val="2"/>
          <w:sz w:val="24"/>
          <w:szCs w:val="24"/>
          <w:lang w:eastAsia="en-US"/>
          <w14:ligatures w14:val="standardContextual"/>
        </w:rPr>
        <w:t xml:space="preserve">. [online]. Available at: </w:t>
      </w:r>
      <w:hyperlink r:id="rId21" w:anchor=":~:text=The%20purpose%20of%20the%20Initial%20Assessment%20is%20to%20decide%20whether" w:history="1">
        <w:r w:rsidRPr="00B450BF">
          <w:rPr>
            <w:rFonts w:ascii="Aptos" w:eastAsia="Aptos" w:hAnsi="Aptos" w:cs="Times New Roman"/>
            <w:color w:val="467886"/>
            <w:kern w:val="2"/>
            <w:sz w:val="24"/>
            <w:szCs w:val="24"/>
            <w:u w:val="single"/>
            <w:lang w:eastAsia="en-US"/>
            <w14:ligatures w14:val="standardContextual"/>
          </w:rPr>
          <w:t>https://bettercarenetwork.org/sites/default/files/Framework%20for%20the%20Assessment%20of%20Children%20in%20Need%20and%20Their%20Families%20-%20Guidance%20Notes%20and%20Glossary.pdf#:~:text=The%20purpose%20of%20the%20Initial%20Assessment%20is%20to%20decide%20whether</w:t>
        </w:r>
      </w:hyperlink>
      <w:r w:rsidRPr="00B450BF">
        <w:rPr>
          <w:rFonts w:ascii="Aptos" w:eastAsia="Aptos" w:hAnsi="Aptos" w:cs="Times New Roman"/>
          <w:color w:val="auto"/>
          <w:kern w:val="2"/>
          <w:sz w:val="24"/>
          <w:szCs w:val="24"/>
          <w:lang w:eastAsia="en-US"/>
          <w14:ligatures w14:val="standardContextual"/>
        </w:rPr>
        <w:t xml:space="preserve"> [Accessed 15 September 2024]</w:t>
      </w:r>
    </w:p>
    <w:p w14:paraId="2C35477A"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Devaney, J. (2013) </w:t>
      </w:r>
      <w:r w:rsidRPr="00B450BF">
        <w:rPr>
          <w:rFonts w:ascii="Aptos" w:eastAsia="Aptos" w:hAnsi="Aptos" w:cs="Times New Roman"/>
          <w:i/>
          <w:iCs/>
          <w:color w:val="auto"/>
          <w:kern w:val="2"/>
          <w:sz w:val="24"/>
          <w:szCs w:val="24"/>
          <w:lang w:eastAsia="en-US"/>
          <w14:ligatures w14:val="standardContextual"/>
        </w:rPr>
        <w:t>Child Abuse</w:t>
      </w:r>
      <w:r w:rsidRPr="00B450BF">
        <w:rPr>
          <w:rFonts w:ascii="Aptos" w:eastAsia="Aptos" w:hAnsi="Aptos" w:cs="Times New Roman"/>
          <w:color w:val="auto"/>
          <w:kern w:val="2"/>
          <w:sz w:val="24"/>
          <w:szCs w:val="24"/>
          <w:lang w:eastAsia="en-US"/>
          <w14:ligatures w14:val="standardContextual"/>
        </w:rPr>
        <w:t xml:space="preserve">. In </w:t>
      </w:r>
      <w:proofErr w:type="spellStart"/>
      <w:proofErr w:type="gramStart"/>
      <w:r w:rsidRPr="00B450BF">
        <w:rPr>
          <w:rFonts w:ascii="Aptos" w:eastAsia="Aptos" w:hAnsi="Aptos" w:cs="Times New Roman"/>
          <w:color w:val="auto"/>
          <w:kern w:val="2"/>
          <w:sz w:val="24"/>
          <w:szCs w:val="24"/>
          <w:lang w:eastAsia="en-US"/>
          <w14:ligatures w14:val="standardContextual"/>
        </w:rPr>
        <w:t>Davies,M</w:t>
      </w:r>
      <w:proofErr w:type="spellEnd"/>
      <w:r w:rsidRPr="00B450BF">
        <w:rPr>
          <w:rFonts w:ascii="Aptos" w:eastAsia="Aptos" w:hAnsi="Aptos" w:cs="Times New Roman"/>
          <w:color w:val="auto"/>
          <w:kern w:val="2"/>
          <w:sz w:val="24"/>
          <w:szCs w:val="24"/>
          <w:lang w:eastAsia="en-US"/>
          <w14:ligatures w14:val="standardContextual"/>
        </w:rPr>
        <w:t>.</w:t>
      </w:r>
      <w:proofErr w:type="gramEnd"/>
      <w:r w:rsidRPr="00B450BF">
        <w:rPr>
          <w:rFonts w:ascii="Aptos" w:eastAsia="Aptos" w:hAnsi="Aptos" w:cs="Times New Roman"/>
          <w:color w:val="auto"/>
          <w:kern w:val="2"/>
          <w:sz w:val="24"/>
          <w:szCs w:val="24"/>
          <w:lang w:eastAsia="en-US"/>
          <w14:ligatures w14:val="standardContextual"/>
        </w:rPr>
        <w:t xml:space="preserve"> (2013) </w:t>
      </w:r>
      <w:r w:rsidRPr="00B450BF">
        <w:rPr>
          <w:rFonts w:ascii="Aptos" w:eastAsia="Aptos" w:hAnsi="Aptos" w:cs="Times New Roman"/>
          <w:i/>
          <w:iCs/>
          <w:color w:val="auto"/>
          <w:kern w:val="2"/>
          <w:sz w:val="24"/>
          <w:szCs w:val="24"/>
          <w:lang w:eastAsia="en-US"/>
          <w14:ligatures w14:val="standardContextual"/>
        </w:rPr>
        <w:t>The Blackwell Companion to Social Work</w:t>
      </w:r>
      <w:r w:rsidRPr="00B450BF">
        <w:rPr>
          <w:rFonts w:ascii="Aptos" w:eastAsia="Aptos" w:hAnsi="Aptos" w:cs="Times New Roman"/>
          <w:color w:val="auto"/>
          <w:kern w:val="2"/>
          <w:sz w:val="24"/>
          <w:szCs w:val="24"/>
          <w:lang w:eastAsia="en-US"/>
          <w14:ligatures w14:val="standardContextual"/>
        </w:rPr>
        <w:t>. 4th Edition, Oxford, Wiley Blackwell, p140.</w:t>
      </w:r>
    </w:p>
    <w:p w14:paraId="1303E632"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lastRenderedPageBreak/>
        <w:t xml:space="preserve">Doughty, J, and N Davies (2018) </w:t>
      </w:r>
      <w:r w:rsidRPr="00B450BF">
        <w:rPr>
          <w:rFonts w:ascii="Aptos" w:eastAsia="Aptos" w:hAnsi="Aptos" w:cs="Times New Roman"/>
          <w:i/>
          <w:iCs/>
          <w:color w:val="auto"/>
          <w:kern w:val="2"/>
          <w:sz w:val="24"/>
          <w:szCs w:val="24"/>
          <w:lang w:eastAsia="en-US"/>
          <w14:ligatures w14:val="standardContextual"/>
        </w:rPr>
        <w:t>Practice Briefing 3: Analysis and Assessment Evidence Matters in Family Justice: Wales</w:t>
      </w:r>
      <w:r w:rsidRPr="00B450BF">
        <w:rPr>
          <w:rFonts w:ascii="Aptos" w:eastAsia="Aptos" w:hAnsi="Aptos" w:cs="Times New Roman"/>
          <w:color w:val="auto"/>
          <w:kern w:val="2"/>
          <w:sz w:val="24"/>
          <w:szCs w:val="24"/>
          <w:lang w:eastAsia="en-US"/>
          <w14:ligatures w14:val="standardContextual"/>
        </w:rPr>
        <w:t xml:space="preserve">. [online] Available at: </w:t>
      </w:r>
      <w:proofErr w:type="spellStart"/>
      <w:r w:rsidRPr="00B450BF">
        <w:rPr>
          <w:rFonts w:ascii="Aptos" w:eastAsia="Aptos" w:hAnsi="Aptos" w:cs="Times New Roman"/>
          <w:color w:val="auto"/>
          <w:kern w:val="2"/>
          <w:sz w:val="24"/>
          <w:szCs w:val="24"/>
          <w:lang w:eastAsia="en-US"/>
          <w14:ligatures w14:val="standardContextual"/>
        </w:rPr>
        <w:t>socialcare.wales</w:t>
      </w:r>
      <w:proofErr w:type="spellEnd"/>
      <w:r w:rsidRPr="00B450BF">
        <w:rPr>
          <w:rFonts w:ascii="Aptos" w:eastAsia="Aptos" w:hAnsi="Aptos" w:cs="Times New Roman"/>
          <w:color w:val="auto"/>
          <w:kern w:val="2"/>
          <w:sz w:val="24"/>
          <w:szCs w:val="24"/>
          <w:lang w:eastAsia="en-US"/>
          <w14:ligatures w14:val="standardContextual"/>
        </w:rPr>
        <w:t>/</w:t>
      </w:r>
      <w:proofErr w:type="spellStart"/>
      <w:r w:rsidRPr="00B450BF">
        <w:rPr>
          <w:rFonts w:ascii="Aptos" w:eastAsia="Aptos" w:hAnsi="Aptos" w:cs="Times New Roman"/>
          <w:color w:val="auto"/>
          <w:kern w:val="2"/>
          <w:sz w:val="24"/>
          <w:szCs w:val="24"/>
          <w:lang w:eastAsia="en-US"/>
          <w14:ligatures w14:val="standardContextual"/>
        </w:rPr>
        <w:t>cms</w:t>
      </w:r>
      <w:proofErr w:type="spellEnd"/>
      <w:r w:rsidRPr="00B450BF">
        <w:rPr>
          <w:rFonts w:ascii="Aptos" w:eastAsia="Aptos" w:hAnsi="Aptos" w:cs="Times New Roman"/>
          <w:color w:val="auto"/>
          <w:kern w:val="2"/>
          <w:sz w:val="24"/>
          <w:szCs w:val="24"/>
          <w:lang w:eastAsia="en-US"/>
          <w14:ligatures w14:val="standardContextual"/>
        </w:rPr>
        <w:t>-assets/documents/RiP-Breifing-3.pdf. [Accessed 20 September 2024.]</w:t>
      </w:r>
    </w:p>
    <w:p w14:paraId="17A2BB99"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Dowling, S., Manthorpe, J., Cowley, S., King, S., Raymond, V., Perez, W. and Weinstein, P. (2006). </w:t>
      </w:r>
      <w:r w:rsidRPr="00B450BF">
        <w:rPr>
          <w:rFonts w:ascii="Aptos" w:eastAsia="Aptos" w:hAnsi="Aptos" w:cs="Times New Roman"/>
          <w:i/>
          <w:iCs/>
          <w:color w:val="auto"/>
          <w:kern w:val="2"/>
          <w:sz w:val="24"/>
          <w:szCs w:val="24"/>
          <w:lang w:eastAsia="en-US"/>
          <w14:ligatures w14:val="standardContextual"/>
        </w:rPr>
        <w:t>Person-centred planning in social care A scoping review.</w:t>
      </w:r>
      <w:r w:rsidRPr="00B450BF">
        <w:rPr>
          <w:rFonts w:ascii="Aptos" w:eastAsia="Aptos" w:hAnsi="Aptos" w:cs="Times New Roman"/>
          <w:color w:val="auto"/>
          <w:kern w:val="2"/>
          <w:sz w:val="24"/>
          <w:szCs w:val="24"/>
          <w:lang w:eastAsia="en-US"/>
          <w14:ligatures w14:val="standardContextual"/>
        </w:rPr>
        <w:t xml:space="preserve"> [online] Joseph Rowntree Foundation. Available at: https://www.jrf.org.uk/sites/default/files/migrated/migrated/files/9781859354803.pdf [Accessed 10 Jun 2024].</w:t>
      </w:r>
    </w:p>
    <w:p w14:paraId="59038F3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European Convention on Human Rights (1950) </w:t>
      </w:r>
      <w:r w:rsidRPr="00B450BF">
        <w:rPr>
          <w:rFonts w:ascii="Aptos" w:eastAsia="Aptos" w:hAnsi="Aptos" w:cs="Times New Roman"/>
          <w:i/>
          <w:iCs/>
          <w:color w:val="auto"/>
          <w:kern w:val="2"/>
          <w:sz w:val="24"/>
          <w:szCs w:val="24"/>
          <w:lang w:eastAsia="en-US"/>
          <w14:ligatures w14:val="standardContextual"/>
        </w:rPr>
        <w:t xml:space="preserve">European Convention on Human Rights. </w:t>
      </w:r>
      <w:r w:rsidRPr="00B450BF">
        <w:rPr>
          <w:rFonts w:ascii="Aptos" w:eastAsia="Aptos" w:hAnsi="Aptos" w:cs="Times New Roman"/>
          <w:color w:val="auto"/>
          <w:kern w:val="2"/>
          <w:sz w:val="24"/>
          <w:szCs w:val="24"/>
          <w:lang w:eastAsia="en-US"/>
          <w14:ligatures w14:val="standardContextual"/>
        </w:rPr>
        <w:t xml:space="preserve">[online]. Available at: </w:t>
      </w:r>
      <w:hyperlink r:id="rId22" w:history="1">
        <w:r w:rsidRPr="00B450BF">
          <w:rPr>
            <w:rFonts w:ascii="Aptos" w:eastAsia="Aptos" w:hAnsi="Aptos" w:cs="Times New Roman"/>
            <w:color w:val="467886"/>
            <w:kern w:val="2"/>
            <w:sz w:val="24"/>
            <w:szCs w:val="24"/>
            <w:u w:val="single"/>
            <w:lang w:eastAsia="en-US"/>
            <w14:ligatures w14:val="standardContextual"/>
          </w:rPr>
          <w:t>https://www.echr.coe.int/documents/d/echr/Convention_ENG</w:t>
        </w:r>
      </w:hyperlink>
      <w:r w:rsidRPr="00B450BF">
        <w:rPr>
          <w:rFonts w:ascii="Aptos" w:eastAsia="Aptos" w:hAnsi="Aptos" w:cs="Times New Roman"/>
          <w:color w:val="auto"/>
          <w:kern w:val="2"/>
          <w:sz w:val="24"/>
          <w:szCs w:val="24"/>
          <w:lang w:eastAsia="en-US"/>
          <w14:ligatures w14:val="standardContextual"/>
        </w:rPr>
        <w:t xml:space="preserve"> [Accessed 10 September 2024]</w:t>
      </w:r>
    </w:p>
    <w:p w14:paraId="789AC28A"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Gardner, A. (2011) </w:t>
      </w:r>
      <w:r w:rsidRPr="00B450BF">
        <w:rPr>
          <w:rFonts w:ascii="Aptos" w:eastAsia="Aptos" w:hAnsi="Aptos" w:cs="Times New Roman"/>
          <w:i/>
          <w:iCs/>
          <w:color w:val="auto"/>
          <w:kern w:val="2"/>
          <w:sz w:val="24"/>
          <w:szCs w:val="24"/>
          <w:lang w:eastAsia="en-US"/>
          <w14:ligatures w14:val="standardContextual"/>
        </w:rPr>
        <w:t>Personalisation in Social Work</w:t>
      </w:r>
      <w:r w:rsidRPr="00B450BF">
        <w:rPr>
          <w:rFonts w:ascii="Aptos" w:eastAsia="Aptos" w:hAnsi="Aptos" w:cs="Times New Roman"/>
          <w:color w:val="auto"/>
          <w:kern w:val="2"/>
          <w:sz w:val="24"/>
          <w:szCs w:val="24"/>
          <w:lang w:eastAsia="en-US"/>
          <w14:ligatures w14:val="standardContextual"/>
        </w:rPr>
        <w:t>. 1</w:t>
      </w:r>
      <w:r w:rsidRPr="00B450BF">
        <w:rPr>
          <w:rFonts w:ascii="Aptos" w:eastAsia="Aptos" w:hAnsi="Aptos" w:cs="Times New Roman"/>
          <w:color w:val="auto"/>
          <w:kern w:val="2"/>
          <w:sz w:val="24"/>
          <w:szCs w:val="24"/>
          <w:vertAlign w:val="superscript"/>
          <w:lang w:eastAsia="en-US"/>
          <w14:ligatures w14:val="standardContextual"/>
        </w:rPr>
        <w:t>st</w:t>
      </w:r>
      <w:r w:rsidRPr="00B450BF">
        <w:rPr>
          <w:rFonts w:ascii="Aptos" w:eastAsia="Aptos" w:hAnsi="Aptos" w:cs="Times New Roman"/>
          <w:color w:val="auto"/>
          <w:kern w:val="2"/>
          <w:sz w:val="24"/>
          <w:szCs w:val="24"/>
          <w:lang w:eastAsia="en-US"/>
          <w14:ligatures w14:val="standardContextual"/>
        </w:rPr>
        <w:t xml:space="preserve"> Edition, Exeter, Learning Matters, p40. </w:t>
      </w:r>
    </w:p>
    <w:p w14:paraId="64262EDA"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Gardner, A. (2013) </w:t>
      </w:r>
      <w:r w:rsidRPr="00B450BF">
        <w:rPr>
          <w:rFonts w:ascii="Aptos" w:eastAsia="Aptos" w:hAnsi="Aptos" w:cs="Times New Roman"/>
          <w:i/>
          <w:iCs/>
          <w:color w:val="auto"/>
          <w:kern w:val="2"/>
          <w:sz w:val="24"/>
          <w:szCs w:val="24"/>
          <w:lang w:eastAsia="en-US"/>
          <w14:ligatures w14:val="standardContextual"/>
        </w:rPr>
        <w:t>Person-Centred Practice</w:t>
      </w:r>
      <w:r w:rsidRPr="00B450BF">
        <w:rPr>
          <w:rFonts w:ascii="Aptos" w:eastAsia="Aptos" w:hAnsi="Aptos" w:cs="Times New Roman"/>
          <w:color w:val="auto"/>
          <w:kern w:val="2"/>
          <w:sz w:val="24"/>
          <w:szCs w:val="24"/>
          <w:lang w:eastAsia="en-US"/>
          <w14:ligatures w14:val="standardContextual"/>
        </w:rPr>
        <w:t xml:space="preserve">. In </w:t>
      </w:r>
      <w:proofErr w:type="spellStart"/>
      <w:proofErr w:type="gramStart"/>
      <w:r w:rsidRPr="00B450BF">
        <w:rPr>
          <w:rFonts w:ascii="Aptos" w:eastAsia="Aptos" w:hAnsi="Aptos" w:cs="Times New Roman"/>
          <w:color w:val="auto"/>
          <w:kern w:val="2"/>
          <w:sz w:val="24"/>
          <w:szCs w:val="24"/>
          <w:lang w:eastAsia="en-US"/>
          <w14:ligatures w14:val="standardContextual"/>
        </w:rPr>
        <w:t>Davies,M</w:t>
      </w:r>
      <w:proofErr w:type="spellEnd"/>
      <w:r w:rsidRPr="00B450BF">
        <w:rPr>
          <w:rFonts w:ascii="Aptos" w:eastAsia="Aptos" w:hAnsi="Aptos" w:cs="Times New Roman"/>
          <w:color w:val="auto"/>
          <w:kern w:val="2"/>
          <w:sz w:val="24"/>
          <w:szCs w:val="24"/>
          <w:lang w:eastAsia="en-US"/>
          <w14:ligatures w14:val="standardContextual"/>
        </w:rPr>
        <w:t>.</w:t>
      </w:r>
      <w:proofErr w:type="gramEnd"/>
      <w:r w:rsidRPr="00B450BF">
        <w:rPr>
          <w:rFonts w:ascii="Aptos" w:eastAsia="Aptos" w:hAnsi="Aptos" w:cs="Times New Roman"/>
          <w:color w:val="auto"/>
          <w:kern w:val="2"/>
          <w:sz w:val="24"/>
          <w:szCs w:val="24"/>
          <w:lang w:eastAsia="en-US"/>
          <w14:ligatures w14:val="standardContextual"/>
        </w:rPr>
        <w:t xml:space="preserve"> (2013) </w:t>
      </w:r>
      <w:r w:rsidRPr="00B450BF">
        <w:rPr>
          <w:rFonts w:ascii="Aptos" w:eastAsia="Aptos" w:hAnsi="Aptos" w:cs="Times New Roman"/>
          <w:i/>
          <w:iCs/>
          <w:color w:val="auto"/>
          <w:kern w:val="2"/>
          <w:sz w:val="24"/>
          <w:szCs w:val="24"/>
          <w:lang w:eastAsia="en-US"/>
          <w14:ligatures w14:val="standardContextual"/>
        </w:rPr>
        <w:t>The Blackwell Companion to Social Work</w:t>
      </w:r>
      <w:r w:rsidRPr="00B450BF">
        <w:rPr>
          <w:rFonts w:ascii="Aptos" w:eastAsia="Aptos" w:hAnsi="Aptos" w:cs="Times New Roman"/>
          <w:color w:val="auto"/>
          <w:kern w:val="2"/>
          <w:sz w:val="24"/>
          <w:szCs w:val="24"/>
          <w:lang w:eastAsia="en-US"/>
          <w14:ligatures w14:val="standardContextual"/>
        </w:rPr>
        <w:t>. 4th Edition, Oxford, Wiley Blackwell, p460.</w:t>
      </w:r>
    </w:p>
    <w:p w14:paraId="27E051D0"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Grant, L. and Kinman, G. (2020) </w:t>
      </w:r>
      <w:r w:rsidRPr="00B450BF">
        <w:rPr>
          <w:rFonts w:ascii="Aptos" w:eastAsia="Aptos" w:hAnsi="Aptos" w:cs="Times New Roman"/>
          <w:i/>
          <w:iCs/>
          <w:color w:val="auto"/>
          <w:kern w:val="2"/>
          <w:sz w:val="24"/>
          <w:szCs w:val="24"/>
          <w:lang w:eastAsia="en-US"/>
          <w14:ligatures w14:val="standardContextual"/>
        </w:rPr>
        <w:t>Developing emotional resilience and wellbeing: a practical guide for social workers</w:t>
      </w:r>
      <w:r w:rsidRPr="00B450BF">
        <w:rPr>
          <w:rFonts w:ascii="Aptos" w:eastAsia="Aptos" w:hAnsi="Aptos" w:cs="Times New Roman"/>
          <w:color w:val="auto"/>
          <w:kern w:val="2"/>
          <w:sz w:val="24"/>
          <w:szCs w:val="24"/>
          <w:lang w:eastAsia="en-US"/>
          <w14:ligatures w14:val="standardContextual"/>
        </w:rPr>
        <w:t xml:space="preserve">. [online]. Available at: </w:t>
      </w:r>
      <w:hyperlink r:id="rId23" w:history="1">
        <w:r w:rsidRPr="00B450BF">
          <w:rPr>
            <w:rFonts w:ascii="Aptos" w:eastAsia="Aptos" w:hAnsi="Aptos" w:cs="Times New Roman"/>
            <w:color w:val="467886"/>
            <w:kern w:val="2"/>
            <w:sz w:val="24"/>
            <w:szCs w:val="24"/>
            <w:u w:val="single"/>
            <w:lang w:eastAsia="en-US"/>
            <w14:ligatures w14:val="standardContextual"/>
          </w:rPr>
          <w:t>https://www.local.gov.uk/sites/default/files/documents/workforce%20-%20wellbeing%20social%20care%20-%20Community%20Care%20Inform%20emotional%20resilience%20guide.pdf</w:t>
        </w:r>
      </w:hyperlink>
      <w:r w:rsidRPr="00B450BF">
        <w:rPr>
          <w:rFonts w:ascii="Aptos" w:eastAsia="Aptos" w:hAnsi="Aptos" w:cs="Times New Roman"/>
          <w:color w:val="auto"/>
          <w:kern w:val="2"/>
          <w:sz w:val="24"/>
          <w:szCs w:val="24"/>
          <w:lang w:eastAsia="en-US"/>
          <w14:ligatures w14:val="standardContextual"/>
        </w:rPr>
        <w:t xml:space="preserve"> [Accessed 4 July 2024]</w:t>
      </w:r>
    </w:p>
    <w:p w14:paraId="63AF72A0"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Harries, S. and N. Bryer (2021). </w:t>
      </w:r>
      <w:r w:rsidRPr="00B450BF">
        <w:rPr>
          <w:rFonts w:ascii="Aptos" w:eastAsia="Aptos" w:hAnsi="Aptos" w:cs="Times New Roman"/>
          <w:i/>
          <w:iCs/>
          <w:color w:val="auto"/>
          <w:kern w:val="2"/>
          <w:sz w:val="24"/>
          <w:szCs w:val="24"/>
          <w:lang w:eastAsia="en-US"/>
          <w14:ligatures w14:val="standardContextual"/>
        </w:rPr>
        <w:t>Evaluation of More than just words…, the follow-on strategic framework for Welsh language services in health, social services and social care, 2016-2019: Final Report.</w:t>
      </w:r>
      <w:r w:rsidRPr="00B450BF">
        <w:rPr>
          <w:rFonts w:ascii="Aptos" w:eastAsia="Aptos" w:hAnsi="Aptos" w:cs="Times New Roman"/>
          <w:color w:val="auto"/>
          <w:kern w:val="2"/>
          <w:sz w:val="24"/>
          <w:szCs w:val="24"/>
          <w:lang w:eastAsia="en-US"/>
          <w14:ligatures w14:val="standardContextual"/>
        </w:rPr>
        <w:t xml:space="preserve"> [online]. Available at: </w:t>
      </w:r>
      <w:hyperlink r:id="rId24" w:history="1">
        <w:r w:rsidRPr="00B450BF">
          <w:rPr>
            <w:rFonts w:ascii="Aptos" w:eastAsia="Aptos" w:hAnsi="Aptos" w:cs="Times New Roman"/>
            <w:color w:val="467886"/>
            <w:kern w:val="2"/>
            <w:sz w:val="24"/>
            <w:szCs w:val="24"/>
            <w:u w:val="single"/>
            <w:lang w:eastAsia="en-US"/>
            <w14:ligatures w14:val="standardContextual"/>
          </w:rPr>
          <w:t>https://www.gov.wales/sites/default/files/statistics-and-research/2021-08/evaluation-of-more-than-just-words-strategic-framework-for-welsh-language-services-in-health-social-services-and-social-care-2016-19.pdf</w:t>
        </w:r>
      </w:hyperlink>
      <w:r w:rsidRPr="00B450BF">
        <w:rPr>
          <w:rFonts w:ascii="Aptos" w:eastAsia="Aptos" w:hAnsi="Aptos" w:cs="Times New Roman"/>
          <w:color w:val="auto"/>
          <w:kern w:val="2"/>
          <w:sz w:val="24"/>
          <w:szCs w:val="24"/>
          <w:lang w:eastAsia="en-US"/>
          <w14:ligatures w14:val="standardContextual"/>
        </w:rPr>
        <w:t xml:space="preserve"> [Accessed 3 July 2024]</w:t>
      </w:r>
    </w:p>
    <w:p w14:paraId="5CCD4AB3"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2" w:name="_Hlk178883308"/>
      <w:bookmarkStart w:id="3" w:name="_Hlk178969016"/>
      <w:r w:rsidRPr="00B450BF">
        <w:rPr>
          <w:rFonts w:ascii="Aptos" w:eastAsia="Aptos" w:hAnsi="Aptos" w:cs="Times New Roman"/>
          <w:color w:val="auto"/>
          <w:kern w:val="2"/>
          <w:sz w:val="24"/>
          <w:szCs w:val="24"/>
          <w:lang w:eastAsia="en-US"/>
          <w14:ligatures w14:val="standardContextual"/>
        </w:rPr>
        <w:t xml:space="preserve">Kolb, D. (1984) as cited by Maclean, S. (2010). </w:t>
      </w:r>
      <w:r w:rsidRPr="00B450BF">
        <w:rPr>
          <w:rFonts w:ascii="Aptos" w:eastAsia="Aptos" w:hAnsi="Aptos" w:cs="Times New Roman"/>
          <w:i/>
          <w:iCs/>
          <w:color w:val="auto"/>
          <w:kern w:val="2"/>
          <w:sz w:val="24"/>
          <w:szCs w:val="24"/>
          <w:lang w:eastAsia="en-US"/>
          <w14:ligatures w14:val="standardContextual"/>
        </w:rPr>
        <w:t>The Social Work Pocket Guide to ... Reflective Practice</w:t>
      </w:r>
      <w:r w:rsidRPr="00B450BF">
        <w:rPr>
          <w:rFonts w:ascii="Aptos" w:eastAsia="Aptos" w:hAnsi="Aptos" w:cs="Times New Roman"/>
          <w:color w:val="auto"/>
          <w:kern w:val="2"/>
          <w:sz w:val="24"/>
          <w:szCs w:val="24"/>
          <w:lang w:eastAsia="en-US"/>
          <w14:ligatures w14:val="standardContextual"/>
        </w:rPr>
        <w:t>. 1st Edition, Lichfield, Kirwin Maclean Associates, p102</w:t>
      </w:r>
      <w:bookmarkEnd w:id="2"/>
      <w:r w:rsidRPr="00B450BF">
        <w:rPr>
          <w:rFonts w:ascii="Aptos" w:eastAsia="Aptos" w:hAnsi="Aptos" w:cs="Times New Roman"/>
          <w:color w:val="auto"/>
          <w:kern w:val="2"/>
          <w:sz w:val="24"/>
          <w:szCs w:val="24"/>
          <w:lang w:eastAsia="en-US"/>
          <w14:ligatures w14:val="standardContextual"/>
        </w:rPr>
        <w:t>.</w:t>
      </w:r>
    </w:p>
    <w:bookmarkEnd w:id="3"/>
    <w:p w14:paraId="4AB7A86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Le Riche, P. (2006) ‘</w:t>
      </w:r>
      <w:r w:rsidRPr="00B450BF">
        <w:rPr>
          <w:rFonts w:ascii="Aptos" w:eastAsia="Aptos" w:hAnsi="Aptos" w:cs="Times New Roman"/>
          <w:i/>
          <w:iCs/>
          <w:color w:val="auto"/>
          <w:kern w:val="2"/>
          <w:sz w:val="24"/>
          <w:szCs w:val="24"/>
          <w:lang w:eastAsia="en-US"/>
          <w14:ligatures w14:val="standardContextual"/>
        </w:rPr>
        <w:t>Practising Observation in Shadowing: Curriculum Innovation and Learning Outcomes in the BA Social Work’</w:t>
      </w:r>
      <w:r w:rsidRPr="00B450BF">
        <w:rPr>
          <w:rFonts w:ascii="Aptos" w:eastAsia="Aptos" w:hAnsi="Aptos" w:cs="Times New Roman"/>
          <w:color w:val="auto"/>
          <w:kern w:val="2"/>
          <w:sz w:val="24"/>
          <w:szCs w:val="24"/>
          <w:lang w:eastAsia="en-US"/>
          <w14:ligatures w14:val="standardContextual"/>
        </w:rPr>
        <w:t xml:space="preserve">, Social Work Education, 25(8), pp. 771–784. </w:t>
      </w:r>
      <w:proofErr w:type="spellStart"/>
      <w:r w:rsidRPr="00B450BF">
        <w:rPr>
          <w:rFonts w:ascii="Aptos" w:eastAsia="Aptos" w:hAnsi="Aptos" w:cs="Times New Roman"/>
          <w:color w:val="auto"/>
          <w:kern w:val="2"/>
          <w:sz w:val="24"/>
          <w:szCs w:val="24"/>
          <w:lang w:eastAsia="en-US"/>
          <w14:ligatures w14:val="standardContextual"/>
        </w:rPr>
        <w:t>doi</w:t>
      </w:r>
      <w:proofErr w:type="spellEnd"/>
      <w:r w:rsidRPr="00B450BF">
        <w:rPr>
          <w:rFonts w:ascii="Aptos" w:eastAsia="Aptos" w:hAnsi="Aptos" w:cs="Times New Roman"/>
          <w:color w:val="auto"/>
          <w:kern w:val="2"/>
          <w:sz w:val="24"/>
          <w:szCs w:val="24"/>
          <w:lang w:eastAsia="en-US"/>
          <w14:ligatures w14:val="standardContextual"/>
        </w:rPr>
        <w:t>: 10.1080/02615470600915829.</w:t>
      </w:r>
    </w:p>
    <w:p w14:paraId="02C4E039"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4" w:name="_Hlk179053437"/>
      <w:r w:rsidRPr="00B450BF">
        <w:rPr>
          <w:rFonts w:ascii="Aptos" w:eastAsia="Aptos" w:hAnsi="Aptos" w:cs="Times New Roman"/>
          <w:color w:val="auto"/>
          <w:kern w:val="2"/>
          <w:sz w:val="24"/>
          <w:szCs w:val="24"/>
          <w:lang w:eastAsia="en-US"/>
          <w14:ligatures w14:val="standardContextual"/>
        </w:rPr>
        <w:t xml:space="preserve">Maclean, S. and Harrison, R. (2015). </w:t>
      </w:r>
      <w:r w:rsidRPr="00B450BF">
        <w:rPr>
          <w:rFonts w:ascii="Aptos" w:eastAsia="Aptos" w:hAnsi="Aptos" w:cs="Times New Roman"/>
          <w:i/>
          <w:iCs/>
          <w:color w:val="auto"/>
          <w:kern w:val="2"/>
          <w:sz w:val="24"/>
          <w:szCs w:val="24"/>
          <w:lang w:eastAsia="en-US"/>
          <w14:ligatures w14:val="standardContextual"/>
        </w:rPr>
        <w:t xml:space="preserve">Theory and Practice: </w:t>
      </w:r>
      <w:proofErr w:type="gramStart"/>
      <w:r w:rsidRPr="00B450BF">
        <w:rPr>
          <w:rFonts w:ascii="Aptos" w:eastAsia="Aptos" w:hAnsi="Aptos" w:cs="Times New Roman"/>
          <w:i/>
          <w:iCs/>
          <w:color w:val="auto"/>
          <w:kern w:val="2"/>
          <w:sz w:val="24"/>
          <w:szCs w:val="24"/>
          <w:lang w:eastAsia="en-US"/>
          <w14:ligatures w14:val="standardContextual"/>
        </w:rPr>
        <w:t>a</w:t>
      </w:r>
      <w:proofErr w:type="gramEnd"/>
      <w:r w:rsidRPr="00B450BF">
        <w:rPr>
          <w:rFonts w:ascii="Aptos" w:eastAsia="Aptos" w:hAnsi="Aptos" w:cs="Times New Roman"/>
          <w:i/>
          <w:iCs/>
          <w:color w:val="auto"/>
          <w:kern w:val="2"/>
          <w:sz w:val="24"/>
          <w:szCs w:val="24"/>
          <w:lang w:eastAsia="en-US"/>
          <w14:ligatures w14:val="standardContextual"/>
        </w:rPr>
        <w:t xml:space="preserve"> Straightforward Guide for Social Work Students. </w:t>
      </w:r>
      <w:r w:rsidRPr="00B450BF">
        <w:rPr>
          <w:rFonts w:ascii="Aptos" w:eastAsia="Aptos" w:hAnsi="Aptos" w:cs="Times New Roman"/>
          <w:color w:val="auto"/>
          <w:kern w:val="2"/>
          <w:sz w:val="24"/>
          <w:szCs w:val="24"/>
          <w:lang w:eastAsia="en-US"/>
          <w14:ligatures w14:val="standardContextual"/>
        </w:rPr>
        <w:t>3rd Edition, Lichfield, Kirwin Maclean Associates, p162.</w:t>
      </w:r>
    </w:p>
    <w:bookmarkEnd w:id="4"/>
    <w:p w14:paraId="55DAABE5"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lastRenderedPageBreak/>
        <w:t xml:space="preserve">Maclean, S. and Harrison, R. (2015). </w:t>
      </w:r>
      <w:r w:rsidRPr="00B450BF">
        <w:rPr>
          <w:rFonts w:ascii="Aptos" w:eastAsia="Aptos" w:hAnsi="Aptos" w:cs="Times New Roman"/>
          <w:i/>
          <w:iCs/>
          <w:color w:val="auto"/>
          <w:kern w:val="2"/>
          <w:sz w:val="24"/>
          <w:szCs w:val="24"/>
          <w:lang w:eastAsia="en-US"/>
          <w14:ligatures w14:val="standardContextual"/>
        </w:rPr>
        <w:t xml:space="preserve">Theory and Practice: </w:t>
      </w:r>
      <w:proofErr w:type="gramStart"/>
      <w:r w:rsidRPr="00B450BF">
        <w:rPr>
          <w:rFonts w:ascii="Aptos" w:eastAsia="Aptos" w:hAnsi="Aptos" w:cs="Times New Roman"/>
          <w:i/>
          <w:iCs/>
          <w:color w:val="auto"/>
          <w:kern w:val="2"/>
          <w:sz w:val="24"/>
          <w:szCs w:val="24"/>
          <w:lang w:eastAsia="en-US"/>
          <w14:ligatures w14:val="standardContextual"/>
        </w:rPr>
        <w:t>a</w:t>
      </w:r>
      <w:proofErr w:type="gramEnd"/>
      <w:r w:rsidRPr="00B450BF">
        <w:rPr>
          <w:rFonts w:ascii="Aptos" w:eastAsia="Aptos" w:hAnsi="Aptos" w:cs="Times New Roman"/>
          <w:i/>
          <w:iCs/>
          <w:color w:val="auto"/>
          <w:kern w:val="2"/>
          <w:sz w:val="24"/>
          <w:szCs w:val="24"/>
          <w:lang w:eastAsia="en-US"/>
          <w14:ligatures w14:val="standardContextual"/>
        </w:rPr>
        <w:t xml:space="preserve"> Straightforward Guide for Social Work Students. </w:t>
      </w:r>
      <w:r w:rsidRPr="00B450BF">
        <w:rPr>
          <w:rFonts w:ascii="Aptos" w:eastAsia="Aptos" w:hAnsi="Aptos" w:cs="Times New Roman"/>
          <w:color w:val="auto"/>
          <w:kern w:val="2"/>
          <w:sz w:val="24"/>
          <w:szCs w:val="24"/>
          <w:lang w:eastAsia="en-US"/>
          <w14:ligatures w14:val="standardContextual"/>
        </w:rPr>
        <w:t>3rd Edition, Lichfield, Kirwin Maclean Associates, p9.</w:t>
      </w:r>
    </w:p>
    <w:p w14:paraId="41014B15"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2A2A2A"/>
          <w:kern w:val="2"/>
          <w:sz w:val="24"/>
          <w:szCs w:val="24"/>
          <w:shd w:val="clear" w:color="auto" w:fill="FFFFFF"/>
          <w:lang w:eastAsia="en-US"/>
          <w14:ligatures w14:val="standardContextual"/>
        </w:rPr>
        <w:t xml:space="preserve">Mary </w:t>
      </w:r>
      <w:proofErr w:type="spellStart"/>
      <w:r w:rsidRPr="00B450BF">
        <w:rPr>
          <w:rFonts w:ascii="Aptos" w:eastAsia="Aptos" w:hAnsi="Aptos" w:cs="Times New Roman"/>
          <w:color w:val="2A2A2A"/>
          <w:kern w:val="2"/>
          <w:sz w:val="24"/>
          <w:szCs w:val="24"/>
          <w:shd w:val="clear" w:color="auto" w:fill="FFFFFF"/>
          <w:lang w:eastAsia="en-US"/>
          <w14:ligatures w14:val="standardContextual"/>
        </w:rPr>
        <w:t>Baginsky</w:t>
      </w:r>
      <w:proofErr w:type="spellEnd"/>
      <w:r w:rsidRPr="00B450BF">
        <w:rPr>
          <w:rFonts w:ascii="Aptos" w:eastAsia="Aptos" w:hAnsi="Aptos" w:cs="Times New Roman"/>
          <w:color w:val="2A2A2A"/>
          <w:kern w:val="2"/>
          <w:sz w:val="24"/>
          <w:szCs w:val="24"/>
          <w:shd w:val="clear" w:color="auto" w:fill="FFFFFF"/>
          <w:lang w:eastAsia="en-US"/>
          <w14:ligatures w14:val="standardContextual"/>
        </w:rPr>
        <w:t>, Jill Manthorpe, Jo Moriarty, The Framework for the Assessment of Children in Need and Their Families and Signs of Safety: Competing or Complementary Frameworks?, </w:t>
      </w:r>
      <w:r w:rsidRPr="00B450BF">
        <w:rPr>
          <w:rFonts w:ascii="Aptos" w:eastAsia="Aptos" w:hAnsi="Aptos" w:cs="Times New Roman"/>
          <w:i/>
          <w:iCs/>
          <w:color w:val="2A2A2A"/>
          <w:kern w:val="2"/>
          <w:sz w:val="24"/>
          <w:szCs w:val="24"/>
          <w:bdr w:val="none" w:sz="0" w:space="0" w:color="auto" w:frame="1"/>
          <w:shd w:val="clear" w:color="auto" w:fill="FFFFFF"/>
          <w:lang w:eastAsia="en-US"/>
          <w14:ligatures w14:val="standardContextual"/>
        </w:rPr>
        <w:t>The British Journal of Social Work</w:t>
      </w:r>
      <w:r w:rsidRPr="00B450BF">
        <w:rPr>
          <w:rFonts w:ascii="Aptos" w:eastAsia="Aptos" w:hAnsi="Aptos" w:cs="Times New Roman"/>
          <w:color w:val="2A2A2A"/>
          <w:kern w:val="2"/>
          <w:sz w:val="24"/>
          <w:szCs w:val="24"/>
          <w:shd w:val="clear" w:color="auto" w:fill="FFFFFF"/>
          <w:lang w:eastAsia="en-US"/>
          <w14:ligatures w14:val="standardContextual"/>
        </w:rPr>
        <w:t>, Volume 51, Issue 7, October 2021, Pages 2571–2589, </w:t>
      </w:r>
      <w:hyperlink r:id="rId25" w:history="1">
        <w:r w:rsidRPr="00B450BF">
          <w:rPr>
            <w:rFonts w:ascii="Aptos" w:eastAsia="Aptos" w:hAnsi="Aptos" w:cs="Times New Roman"/>
            <w:color w:val="006FB7"/>
            <w:kern w:val="2"/>
            <w:sz w:val="24"/>
            <w:szCs w:val="24"/>
            <w:u w:val="single"/>
            <w:bdr w:val="none" w:sz="0" w:space="0" w:color="auto" w:frame="1"/>
            <w:shd w:val="clear" w:color="auto" w:fill="FFFFFF"/>
            <w:lang w:eastAsia="en-US"/>
            <w14:ligatures w14:val="standardContextual"/>
          </w:rPr>
          <w:t>https://doi.org/10.1093/bjsw/bcaa058</w:t>
        </w:r>
      </w:hyperlink>
    </w:p>
    <w:p w14:paraId="69AA3BC5"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Matthews, I. (2011) </w:t>
      </w:r>
      <w:r w:rsidRPr="00B450BF">
        <w:rPr>
          <w:rFonts w:ascii="Aptos" w:eastAsia="Aptos" w:hAnsi="Aptos" w:cs="Times New Roman"/>
          <w:i/>
          <w:iCs/>
          <w:color w:val="auto"/>
          <w:kern w:val="2"/>
          <w:sz w:val="24"/>
          <w:szCs w:val="24"/>
          <w:lang w:eastAsia="en-US"/>
          <w14:ligatures w14:val="standardContextual"/>
        </w:rPr>
        <w:t>Contemporary professional practice and the changing use of knowledge</w:t>
      </w:r>
      <w:r w:rsidRPr="00B450BF">
        <w:rPr>
          <w:rFonts w:ascii="Aptos" w:eastAsia="Aptos" w:hAnsi="Aptos" w:cs="Times New Roman"/>
          <w:color w:val="auto"/>
          <w:kern w:val="2"/>
          <w:sz w:val="24"/>
          <w:szCs w:val="24"/>
          <w:lang w:eastAsia="en-US"/>
          <w14:ligatures w14:val="standardContextual"/>
        </w:rPr>
        <w:t xml:space="preserve">. In Matthews, I. and Crawford, K. (2011) </w:t>
      </w:r>
      <w:r w:rsidRPr="00B450BF">
        <w:rPr>
          <w:rFonts w:ascii="Aptos" w:eastAsia="Aptos" w:hAnsi="Aptos" w:cs="Times New Roman"/>
          <w:i/>
          <w:iCs/>
          <w:color w:val="auto"/>
          <w:kern w:val="2"/>
          <w:sz w:val="24"/>
          <w:szCs w:val="24"/>
          <w:lang w:eastAsia="en-US"/>
          <w14:ligatures w14:val="standardContextual"/>
        </w:rPr>
        <w:t>Evidence-based Practice in Social Work</w:t>
      </w:r>
      <w:r w:rsidRPr="00B450BF">
        <w:rPr>
          <w:rFonts w:ascii="Aptos" w:eastAsia="Aptos" w:hAnsi="Aptos" w:cs="Times New Roman"/>
          <w:color w:val="auto"/>
          <w:kern w:val="2"/>
          <w:sz w:val="24"/>
          <w:szCs w:val="24"/>
          <w:lang w:eastAsia="en-US"/>
          <w14:ligatures w14:val="standardContextual"/>
        </w:rPr>
        <w:t>. 1</w:t>
      </w:r>
      <w:r w:rsidRPr="00B450BF">
        <w:rPr>
          <w:rFonts w:ascii="Aptos" w:eastAsia="Aptos" w:hAnsi="Aptos" w:cs="Times New Roman"/>
          <w:color w:val="auto"/>
          <w:kern w:val="2"/>
          <w:sz w:val="24"/>
          <w:szCs w:val="24"/>
          <w:vertAlign w:val="superscript"/>
          <w:lang w:eastAsia="en-US"/>
          <w14:ligatures w14:val="standardContextual"/>
        </w:rPr>
        <w:t>st</w:t>
      </w:r>
      <w:r w:rsidRPr="00B450BF">
        <w:rPr>
          <w:rFonts w:ascii="Aptos" w:eastAsia="Aptos" w:hAnsi="Aptos" w:cs="Times New Roman"/>
          <w:color w:val="auto"/>
          <w:kern w:val="2"/>
          <w:sz w:val="24"/>
          <w:szCs w:val="24"/>
          <w:lang w:eastAsia="en-US"/>
          <w14:ligatures w14:val="standardContextual"/>
        </w:rPr>
        <w:t xml:space="preserve"> Edition, Poole, </w:t>
      </w:r>
      <w:proofErr w:type="spellStart"/>
      <w:r w:rsidRPr="00B450BF">
        <w:rPr>
          <w:rFonts w:ascii="Aptos" w:eastAsia="Aptos" w:hAnsi="Aptos" w:cs="Times New Roman"/>
          <w:color w:val="auto"/>
          <w:kern w:val="2"/>
          <w:sz w:val="24"/>
          <w:szCs w:val="24"/>
          <w:lang w:eastAsia="en-US"/>
          <w14:ligatures w14:val="standardContextual"/>
        </w:rPr>
        <w:t>Learningmatters</w:t>
      </w:r>
      <w:proofErr w:type="spellEnd"/>
      <w:r w:rsidRPr="00B450BF">
        <w:rPr>
          <w:rFonts w:ascii="Aptos" w:eastAsia="Aptos" w:hAnsi="Aptos" w:cs="Times New Roman"/>
          <w:color w:val="auto"/>
          <w:kern w:val="2"/>
          <w:sz w:val="24"/>
          <w:szCs w:val="24"/>
          <w:lang w:eastAsia="en-US"/>
          <w14:ligatures w14:val="standardContextual"/>
        </w:rPr>
        <w:t>, p112.</w:t>
      </w:r>
    </w:p>
    <w:p w14:paraId="42C3D7EC"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McCormack, J. (2013) </w:t>
      </w:r>
      <w:r w:rsidRPr="00B450BF">
        <w:rPr>
          <w:rFonts w:ascii="Aptos" w:eastAsia="Aptos" w:hAnsi="Aptos" w:cs="Times New Roman"/>
          <w:i/>
          <w:iCs/>
          <w:color w:val="auto"/>
          <w:kern w:val="2"/>
          <w:sz w:val="24"/>
          <w:szCs w:val="24"/>
          <w:lang w:eastAsia="en-US"/>
          <w14:ligatures w14:val="standardContextual"/>
        </w:rPr>
        <w:t xml:space="preserve">Social Work Practice and Child Abuse. </w:t>
      </w:r>
      <w:r w:rsidRPr="00B450BF">
        <w:rPr>
          <w:rFonts w:ascii="Aptos" w:eastAsia="Aptos" w:hAnsi="Aptos" w:cs="Times New Roman"/>
          <w:color w:val="auto"/>
          <w:kern w:val="2"/>
          <w:sz w:val="24"/>
          <w:szCs w:val="24"/>
          <w:lang w:eastAsia="en-US"/>
          <w14:ligatures w14:val="standardContextual"/>
        </w:rPr>
        <w:t xml:space="preserve">In </w:t>
      </w:r>
      <w:proofErr w:type="spellStart"/>
      <w:proofErr w:type="gramStart"/>
      <w:r w:rsidRPr="00B450BF">
        <w:rPr>
          <w:rFonts w:ascii="Aptos" w:eastAsia="Aptos" w:hAnsi="Aptos" w:cs="Times New Roman"/>
          <w:color w:val="auto"/>
          <w:kern w:val="2"/>
          <w:sz w:val="24"/>
          <w:szCs w:val="24"/>
          <w:lang w:eastAsia="en-US"/>
          <w14:ligatures w14:val="standardContextual"/>
        </w:rPr>
        <w:t>Davies,M</w:t>
      </w:r>
      <w:proofErr w:type="spellEnd"/>
      <w:r w:rsidRPr="00B450BF">
        <w:rPr>
          <w:rFonts w:ascii="Aptos" w:eastAsia="Aptos" w:hAnsi="Aptos" w:cs="Times New Roman"/>
          <w:color w:val="auto"/>
          <w:kern w:val="2"/>
          <w:sz w:val="24"/>
          <w:szCs w:val="24"/>
          <w:lang w:eastAsia="en-US"/>
          <w14:ligatures w14:val="standardContextual"/>
        </w:rPr>
        <w:t>.</w:t>
      </w:r>
      <w:proofErr w:type="gramEnd"/>
      <w:r w:rsidRPr="00B450BF">
        <w:rPr>
          <w:rFonts w:ascii="Aptos" w:eastAsia="Aptos" w:hAnsi="Aptos" w:cs="Times New Roman"/>
          <w:color w:val="auto"/>
          <w:kern w:val="2"/>
          <w:sz w:val="24"/>
          <w:szCs w:val="24"/>
          <w:lang w:eastAsia="en-US"/>
          <w14:ligatures w14:val="standardContextual"/>
        </w:rPr>
        <w:t xml:space="preserve"> (2013) </w:t>
      </w:r>
      <w:r w:rsidRPr="00B450BF">
        <w:rPr>
          <w:rFonts w:ascii="Aptos" w:eastAsia="Aptos" w:hAnsi="Aptos" w:cs="Times New Roman"/>
          <w:i/>
          <w:iCs/>
          <w:color w:val="auto"/>
          <w:kern w:val="2"/>
          <w:sz w:val="24"/>
          <w:szCs w:val="24"/>
          <w:lang w:eastAsia="en-US"/>
          <w14:ligatures w14:val="standardContextual"/>
        </w:rPr>
        <w:t>The Blackwell Companion to Social Work</w:t>
      </w:r>
      <w:r w:rsidRPr="00B450BF">
        <w:rPr>
          <w:rFonts w:ascii="Aptos" w:eastAsia="Aptos" w:hAnsi="Aptos" w:cs="Times New Roman"/>
          <w:color w:val="auto"/>
          <w:kern w:val="2"/>
          <w:sz w:val="24"/>
          <w:szCs w:val="24"/>
          <w:lang w:eastAsia="en-US"/>
          <w14:ligatures w14:val="standardContextual"/>
        </w:rPr>
        <w:t>. 4th Edition, Oxford, Wiley Blackwell, p239.</w:t>
      </w:r>
    </w:p>
    <w:p w14:paraId="6E3F4D07"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Mental Capacity Act 2005, s1</w:t>
      </w:r>
      <w:r w:rsidRPr="00B450BF">
        <w:rPr>
          <w:rFonts w:ascii="Aptos" w:eastAsia="Aptos" w:hAnsi="Aptos" w:cs="Times New Roman"/>
          <w:color w:val="auto"/>
          <w:kern w:val="2"/>
          <w:sz w:val="24"/>
          <w:szCs w:val="24"/>
          <w:lang w:eastAsia="en-US"/>
          <w14:ligatures w14:val="standardContextual"/>
        </w:rPr>
        <w:t xml:space="preserve">. [online]. Available at: </w:t>
      </w:r>
      <w:hyperlink r:id="rId26" w:history="1">
        <w:r w:rsidRPr="00B450BF">
          <w:rPr>
            <w:rFonts w:ascii="Aptos" w:eastAsia="Aptos" w:hAnsi="Aptos" w:cs="Times New Roman"/>
            <w:color w:val="467886"/>
            <w:kern w:val="2"/>
            <w:sz w:val="24"/>
            <w:szCs w:val="24"/>
            <w:u w:val="single"/>
            <w:lang w:eastAsia="en-US"/>
            <w14:ligatures w14:val="standardContextual"/>
          </w:rPr>
          <w:t>https://www.legislation.gov.uk/ukpga/2005/9/section/1</w:t>
        </w:r>
      </w:hyperlink>
      <w:r w:rsidRPr="00B450BF">
        <w:rPr>
          <w:rFonts w:ascii="Aptos" w:eastAsia="Aptos" w:hAnsi="Aptos" w:cs="Times New Roman"/>
          <w:color w:val="auto"/>
          <w:kern w:val="2"/>
          <w:sz w:val="24"/>
          <w:szCs w:val="24"/>
          <w:lang w:eastAsia="en-US"/>
          <w14:ligatures w14:val="standardContextual"/>
        </w:rPr>
        <w:t xml:space="preserve"> [Accessed 25 September 2024]</w:t>
      </w:r>
    </w:p>
    <w:p w14:paraId="0D7AECA6"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Michelle G K Ward, Burke Baird, Medical neglect: Working with children, youth, and families, </w:t>
      </w:r>
      <w:r w:rsidRPr="00B450BF">
        <w:rPr>
          <w:rFonts w:ascii="Aptos" w:eastAsia="Aptos" w:hAnsi="Aptos" w:cs="Times New Roman"/>
          <w:i/>
          <w:iCs/>
          <w:color w:val="auto"/>
          <w:kern w:val="2"/>
          <w:sz w:val="24"/>
          <w:szCs w:val="24"/>
          <w:lang w:eastAsia="en-US"/>
          <w14:ligatures w14:val="standardContextual"/>
        </w:rPr>
        <w:t>Paediatrics &amp; Child Health</w:t>
      </w:r>
      <w:r w:rsidRPr="00B450BF">
        <w:rPr>
          <w:rFonts w:ascii="Aptos" w:eastAsia="Aptos" w:hAnsi="Aptos" w:cs="Times New Roman"/>
          <w:color w:val="auto"/>
          <w:kern w:val="2"/>
          <w:sz w:val="24"/>
          <w:szCs w:val="24"/>
          <w:lang w:eastAsia="en-US"/>
          <w14:ligatures w14:val="standardContextual"/>
        </w:rPr>
        <w:t xml:space="preserve">, Volume 27, Issue 6, October 2022, Pages 372–376, </w:t>
      </w:r>
      <w:hyperlink r:id="rId27" w:history="1">
        <w:r w:rsidRPr="00B450BF">
          <w:rPr>
            <w:rFonts w:ascii="Aptos" w:eastAsia="Aptos" w:hAnsi="Aptos" w:cs="Times New Roman"/>
            <w:color w:val="467886"/>
            <w:kern w:val="2"/>
            <w:sz w:val="24"/>
            <w:szCs w:val="24"/>
            <w:u w:val="single"/>
            <w:lang w:eastAsia="en-US"/>
            <w14:ligatures w14:val="standardContextual"/>
          </w:rPr>
          <w:t>https://doi.org/10.1093/pch/pxac067</w:t>
        </w:r>
      </w:hyperlink>
    </w:p>
    <w:p w14:paraId="3FD54D62"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 Munro, E. (2011) </w:t>
      </w:r>
      <w:r w:rsidRPr="00B450BF">
        <w:rPr>
          <w:rFonts w:ascii="Aptos" w:eastAsia="Aptos" w:hAnsi="Aptos" w:cs="Times New Roman"/>
          <w:i/>
          <w:iCs/>
          <w:color w:val="auto"/>
          <w:kern w:val="2"/>
          <w:sz w:val="24"/>
          <w:szCs w:val="24"/>
          <w:lang w:eastAsia="en-US"/>
          <w14:ligatures w14:val="standardContextual"/>
        </w:rPr>
        <w:t xml:space="preserve">The Munro Review of Child Protection: Final Report </w:t>
      </w:r>
      <w:proofErr w:type="gramStart"/>
      <w:r w:rsidRPr="00B450BF">
        <w:rPr>
          <w:rFonts w:ascii="Aptos" w:eastAsia="Aptos" w:hAnsi="Aptos" w:cs="Times New Roman"/>
          <w:i/>
          <w:iCs/>
          <w:color w:val="auto"/>
          <w:kern w:val="2"/>
          <w:sz w:val="24"/>
          <w:szCs w:val="24"/>
          <w:lang w:eastAsia="en-US"/>
          <w14:ligatures w14:val="standardContextual"/>
        </w:rPr>
        <w:t>A  child</w:t>
      </w:r>
      <w:proofErr w:type="gramEnd"/>
      <w:r w:rsidRPr="00B450BF">
        <w:rPr>
          <w:rFonts w:ascii="Aptos" w:eastAsia="Aptos" w:hAnsi="Aptos" w:cs="Times New Roman"/>
          <w:i/>
          <w:iCs/>
          <w:color w:val="auto"/>
          <w:kern w:val="2"/>
          <w:sz w:val="24"/>
          <w:szCs w:val="24"/>
          <w:lang w:eastAsia="en-US"/>
          <w14:ligatures w14:val="standardContextual"/>
        </w:rPr>
        <w:t>-centred  system</w:t>
      </w:r>
      <w:r w:rsidRPr="00B450BF">
        <w:rPr>
          <w:rFonts w:ascii="Aptos" w:eastAsia="Aptos" w:hAnsi="Aptos" w:cs="Times New Roman"/>
          <w:color w:val="auto"/>
          <w:kern w:val="2"/>
          <w:sz w:val="24"/>
          <w:szCs w:val="24"/>
          <w:lang w:eastAsia="en-US"/>
          <w14:ligatures w14:val="standardContextual"/>
        </w:rPr>
        <w:t xml:space="preserve">. [online]. Available at: </w:t>
      </w:r>
      <w:hyperlink r:id="rId28" w:history="1">
        <w:r w:rsidRPr="00B450BF">
          <w:rPr>
            <w:rFonts w:ascii="Aptos" w:eastAsia="Aptos" w:hAnsi="Aptos" w:cs="Times New Roman"/>
            <w:color w:val="467886"/>
            <w:kern w:val="2"/>
            <w:sz w:val="24"/>
            <w:szCs w:val="24"/>
            <w:u w:val="single"/>
            <w:lang w:eastAsia="en-US"/>
            <w14:ligatures w14:val="standardContextual"/>
          </w:rPr>
          <w:t>https://assets.publishing.service.gov.uk/media/5a7b455ee5274a34770ea939/Munro-Review.pdf</w:t>
        </w:r>
      </w:hyperlink>
      <w:r w:rsidRPr="00B450BF">
        <w:rPr>
          <w:rFonts w:ascii="Aptos" w:eastAsia="Aptos" w:hAnsi="Aptos" w:cs="Times New Roman"/>
          <w:color w:val="auto"/>
          <w:kern w:val="2"/>
          <w:sz w:val="24"/>
          <w:szCs w:val="24"/>
          <w:lang w:eastAsia="en-US"/>
          <w14:ligatures w14:val="standardContextual"/>
        </w:rPr>
        <w:t xml:space="preserve"> [Accessed 13 September 2024]</w:t>
      </w:r>
    </w:p>
    <w:p w14:paraId="75068177"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National Adoption Service (2020) </w:t>
      </w:r>
      <w:r w:rsidRPr="00B450BF">
        <w:rPr>
          <w:rFonts w:ascii="Aptos" w:eastAsia="Aptos" w:hAnsi="Aptos" w:cs="Times New Roman"/>
          <w:i/>
          <w:iCs/>
          <w:color w:val="auto"/>
          <w:kern w:val="2"/>
          <w:sz w:val="24"/>
          <w:szCs w:val="24"/>
          <w:lang w:eastAsia="en-US"/>
          <w14:ligatures w14:val="standardContextual"/>
        </w:rPr>
        <w:t xml:space="preserve">Good Practice Guide: Transitions and Early Support. </w:t>
      </w:r>
      <w:r w:rsidRPr="00B450BF">
        <w:rPr>
          <w:rFonts w:ascii="Aptos" w:eastAsia="Aptos" w:hAnsi="Aptos" w:cs="Times New Roman"/>
          <w:color w:val="auto"/>
          <w:kern w:val="2"/>
          <w:sz w:val="24"/>
          <w:szCs w:val="24"/>
          <w:lang w:eastAsia="en-US"/>
          <w14:ligatures w14:val="standardContextual"/>
        </w:rPr>
        <w:t xml:space="preserve">[online]. Available at: </w:t>
      </w:r>
      <w:hyperlink r:id="rId29" w:history="1">
        <w:r w:rsidRPr="00B450BF">
          <w:rPr>
            <w:rFonts w:ascii="Aptos" w:eastAsia="Aptos" w:hAnsi="Aptos" w:cs="Times New Roman"/>
            <w:color w:val="467886"/>
            <w:kern w:val="2"/>
            <w:sz w:val="24"/>
            <w:szCs w:val="24"/>
            <w:u w:val="single"/>
            <w:lang w:eastAsia="en-US"/>
            <w14:ligatures w14:val="standardContextual"/>
          </w:rPr>
          <w:t>https://adoptcymru.com/home.php?_dds=true&amp;fileID=467&amp;inline=true</w:t>
        </w:r>
      </w:hyperlink>
      <w:r w:rsidRPr="00B450BF">
        <w:rPr>
          <w:rFonts w:ascii="Aptos" w:eastAsia="Aptos" w:hAnsi="Aptos" w:cs="Times New Roman"/>
          <w:color w:val="auto"/>
          <w:kern w:val="2"/>
          <w:sz w:val="24"/>
          <w:szCs w:val="24"/>
          <w:lang w:eastAsia="en-US"/>
          <w14:ligatures w14:val="standardContextual"/>
        </w:rPr>
        <w:t xml:space="preserve"> [Accessed 1 July 2024]</w:t>
      </w:r>
    </w:p>
    <w:p w14:paraId="15A19C68"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i/>
          <w:iCs/>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Nicoli, S., Garretti, H., </w:t>
      </w:r>
      <w:proofErr w:type="spellStart"/>
      <w:r w:rsidRPr="00B450BF">
        <w:rPr>
          <w:rFonts w:ascii="Aptos" w:eastAsia="Aptos" w:hAnsi="Aptos" w:cs="Times New Roman"/>
          <w:color w:val="auto"/>
          <w:kern w:val="2"/>
          <w:sz w:val="24"/>
          <w:szCs w:val="24"/>
          <w:lang w:eastAsia="en-US"/>
          <w14:ligatures w14:val="standardContextual"/>
        </w:rPr>
        <w:t>Woodfine</w:t>
      </w:r>
      <w:proofErr w:type="spellEnd"/>
      <w:r w:rsidRPr="00B450BF">
        <w:rPr>
          <w:rFonts w:ascii="Aptos" w:eastAsia="Aptos" w:hAnsi="Aptos" w:cs="Times New Roman"/>
          <w:color w:val="auto"/>
          <w:kern w:val="2"/>
          <w:sz w:val="24"/>
          <w:szCs w:val="24"/>
          <w:lang w:eastAsia="en-US"/>
          <w14:ligatures w14:val="standardContextual"/>
        </w:rPr>
        <w:t xml:space="preserve">., Watkins, G. and Woodham, A. (2019) </w:t>
      </w:r>
      <w:r w:rsidRPr="00B450BF">
        <w:rPr>
          <w:rFonts w:ascii="Aptos" w:eastAsia="Aptos" w:hAnsi="Aptos" w:cs="Times New Roman"/>
          <w:i/>
          <w:iCs/>
          <w:color w:val="auto"/>
          <w:kern w:val="2"/>
          <w:sz w:val="24"/>
          <w:szCs w:val="24"/>
          <w:lang w:eastAsia="en-US"/>
          <w14:ligatures w14:val="standardContextual"/>
        </w:rPr>
        <w:t xml:space="preserve">The full cost </w:t>
      </w:r>
      <w:proofErr w:type="gramStart"/>
      <w:r w:rsidRPr="00B450BF">
        <w:rPr>
          <w:rFonts w:ascii="Aptos" w:eastAsia="Aptos" w:hAnsi="Aptos" w:cs="Times New Roman"/>
          <w:i/>
          <w:iCs/>
          <w:color w:val="auto"/>
          <w:kern w:val="2"/>
          <w:sz w:val="24"/>
          <w:szCs w:val="24"/>
          <w:lang w:eastAsia="en-US"/>
          <w14:ligatures w14:val="standardContextual"/>
        </w:rPr>
        <w:t>of  poor</w:t>
      </w:r>
      <w:proofErr w:type="gramEnd"/>
      <w:r w:rsidRPr="00B450BF">
        <w:rPr>
          <w:rFonts w:ascii="Aptos" w:eastAsia="Aptos" w:hAnsi="Aptos" w:cs="Times New Roman"/>
          <w:i/>
          <w:iCs/>
          <w:color w:val="auto"/>
          <w:kern w:val="2"/>
          <w:sz w:val="24"/>
          <w:szCs w:val="24"/>
          <w:lang w:eastAsia="en-US"/>
          <w14:ligatures w14:val="standardContextual"/>
        </w:rPr>
        <w:t xml:space="preserve"> housing in Wales</w:t>
      </w:r>
      <w:r w:rsidRPr="00B450BF">
        <w:rPr>
          <w:rFonts w:ascii="Aptos" w:eastAsia="Aptos" w:hAnsi="Aptos" w:cs="Times New Roman"/>
          <w:color w:val="auto"/>
          <w:kern w:val="2"/>
          <w:sz w:val="24"/>
          <w:szCs w:val="24"/>
          <w:lang w:eastAsia="en-US"/>
          <w14:ligatures w14:val="standardContextual"/>
        </w:rPr>
        <w:t xml:space="preserve">. [online]. Available at: </w:t>
      </w:r>
      <w:hyperlink r:id="rId30" w:anchor=":~:text=he%20full%20cost%20of%20poor%20housing%20in%20Wales%20Foreword%20This" w:history="1">
        <w:r w:rsidRPr="00B450BF">
          <w:rPr>
            <w:rFonts w:ascii="Aptos" w:eastAsia="Aptos" w:hAnsi="Aptos" w:cs="Times New Roman"/>
            <w:color w:val="467886"/>
            <w:kern w:val="2"/>
            <w:sz w:val="24"/>
            <w:szCs w:val="24"/>
            <w:u w:val="single"/>
            <w:lang w:eastAsia="en-US"/>
            <w14:ligatures w14:val="standardContextual"/>
          </w:rPr>
          <w:t>https://phw.nhs.wales/news/the-cost-of-poor-housing-in-wales/the-full-cost-of-poor-housing-in-wales/</w:t>
        </w:r>
      </w:hyperlink>
      <w:r>
        <w:rPr>
          <w:rFonts w:ascii="Aptos" w:eastAsia="Aptos" w:hAnsi="Aptos" w:cs="Times New Roman"/>
          <w:color w:val="auto"/>
          <w:kern w:val="2"/>
          <w:sz w:val="24"/>
          <w:szCs w:val="24"/>
          <w:lang w:eastAsia="en-US"/>
          <w14:ligatures w14:val="standardContextual"/>
        </w:rPr>
        <w:t xml:space="preserve"> </w:t>
      </w:r>
      <w:r w:rsidRPr="00B450BF">
        <w:rPr>
          <w:rFonts w:ascii="Aptos" w:eastAsia="Aptos" w:hAnsi="Aptos" w:cs="Times New Roman"/>
          <w:color w:val="auto"/>
          <w:kern w:val="2"/>
          <w:sz w:val="24"/>
          <w:szCs w:val="24"/>
          <w:lang w:eastAsia="en-US"/>
          <w14:ligatures w14:val="standardContextual"/>
        </w:rPr>
        <w:t>[Accessed 18 September 2024]</w:t>
      </w:r>
    </w:p>
    <w:p w14:paraId="73FA0417"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O’Sullivan, T. (2009) </w:t>
      </w:r>
      <w:r w:rsidRPr="00B450BF">
        <w:rPr>
          <w:rFonts w:ascii="Aptos" w:eastAsia="Aptos" w:hAnsi="Aptos" w:cs="Times New Roman"/>
          <w:i/>
          <w:iCs/>
          <w:color w:val="auto"/>
          <w:kern w:val="2"/>
          <w:sz w:val="24"/>
          <w:szCs w:val="24"/>
          <w:lang w:eastAsia="en-US"/>
          <w14:ligatures w14:val="standardContextual"/>
        </w:rPr>
        <w:t>Managing risk and decision-making</w:t>
      </w:r>
      <w:r w:rsidRPr="00B450BF">
        <w:rPr>
          <w:rFonts w:ascii="Aptos" w:eastAsia="Aptos" w:hAnsi="Aptos" w:cs="Times New Roman"/>
          <w:color w:val="auto"/>
          <w:kern w:val="2"/>
          <w:sz w:val="24"/>
          <w:szCs w:val="24"/>
          <w:lang w:eastAsia="en-US"/>
          <w14:ligatures w14:val="standardContextual"/>
        </w:rPr>
        <w:t xml:space="preserve">. In Adams, R., Dominelli, L. &amp; Payne, M. (2009) </w:t>
      </w:r>
      <w:r w:rsidRPr="00B450BF">
        <w:rPr>
          <w:rFonts w:ascii="Aptos" w:eastAsia="Aptos" w:hAnsi="Aptos" w:cs="Times New Roman"/>
          <w:i/>
          <w:iCs/>
          <w:color w:val="auto"/>
          <w:kern w:val="2"/>
          <w:sz w:val="24"/>
          <w:szCs w:val="24"/>
          <w:lang w:eastAsia="en-US"/>
          <w14:ligatures w14:val="standardContextual"/>
        </w:rPr>
        <w:t>Practising Social Work in a Complex World.</w:t>
      </w:r>
      <w:r w:rsidRPr="00B450BF">
        <w:rPr>
          <w:rFonts w:ascii="Aptos" w:eastAsia="Aptos" w:hAnsi="Aptos" w:cs="Times New Roman"/>
          <w:color w:val="auto"/>
          <w:kern w:val="2"/>
          <w:sz w:val="24"/>
          <w:szCs w:val="24"/>
          <w:lang w:eastAsia="en-US"/>
          <w14:ligatures w14:val="standardContextual"/>
        </w:rPr>
        <w:t xml:space="preserve"> 2</w:t>
      </w:r>
      <w:r w:rsidRPr="00B450BF">
        <w:rPr>
          <w:rFonts w:ascii="Aptos" w:eastAsia="Aptos" w:hAnsi="Aptos" w:cs="Times New Roman"/>
          <w:color w:val="auto"/>
          <w:kern w:val="2"/>
          <w:sz w:val="24"/>
          <w:szCs w:val="24"/>
          <w:vertAlign w:val="superscript"/>
          <w:lang w:eastAsia="en-US"/>
          <w14:ligatures w14:val="standardContextual"/>
        </w:rPr>
        <w:t xml:space="preserve">nd </w:t>
      </w:r>
      <w:r w:rsidRPr="00B450BF">
        <w:rPr>
          <w:rFonts w:ascii="Aptos" w:eastAsia="Aptos" w:hAnsi="Aptos" w:cs="Times New Roman"/>
          <w:color w:val="auto"/>
          <w:kern w:val="2"/>
          <w:sz w:val="24"/>
          <w:szCs w:val="24"/>
          <w:lang w:eastAsia="en-US"/>
          <w14:ligatures w14:val="standardContextual"/>
        </w:rPr>
        <w:t>Edition, London, Red Globe Press, p203.</w:t>
      </w:r>
    </w:p>
    <w:p w14:paraId="597BDD0A"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O’Sullivan, T. (2011) </w:t>
      </w:r>
      <w:r w:rsidRPr="00B450BF">
        <w:rPr>
          <w:rFonts w:ascii="Aptos" w:eastAsia="Aptos" w:hAnsi="Aptos" w:cs="Times New Roman"/>
          <w:i/>
          <w:iCs/>
          <w:color w:val="auto"/>
          <w:kern w:val="2"/>
          <w:sz w:val="24"/>
          <w:szCs w:val="24"/>
          <w:lang w:eastAsia="en-US"/>
          <w14:ligatures w14:val="standardContextual"/>
        </w:rPr>
        <w:t>Decision Making in Social Work</w:t>
      </w:r>
      <w:r w:rsidRPr="00B450BF">
        <w:rPr>
          <w:rFonts w:ascii="Aptos" w:eastAsia="Aptos" w:hAnsi="Aptos" w:cs="Times New Roman"/>
          <w:color w:val="auto"/>
          <w:kern w:val="2"/>
          <w:sz w:val="24"/>
          <w:szCs w:val="24"/>
          <w:lang w:eastAsia="en-US"/>
          <w14:ligatures w14:val="standardContextual"/>
        </w:rPr>
        <w:t>. 2</w:t>
      </w:r>
      <w:r w:rsidRPr="00B450BF">
        <w:rPr>
          <w:rFonts w:ascii="Aptos" w:eastAsia="Aptos" w:hAnsi="Aptos" w:cs="Times New Roman"/>
          <w:color w:val="auto"/>
          <w:kern w:val="2"/>
          <w:sz w:val="24"/>
          <w:szCs w:val="24"/>
          <w:vertAlign w:val="superscript"/>
          <w:lang w:eastAsia="en-US"/>
          <w14:ligatures w14:val="standardContextual"/>
        </w:rPr>
        <w:t>nd</w:t>
      </w:r>
      <w:r w:rsidRPr="00B450BF">
        <w:rPr>
          <w:rFonts w:ascii="Aptos" w:eastAsia="Aptos" w:hAnsi="Aptos" w:cs="Times New Roman"/>
          <w:color w:val="auto"/>
          <w:kern w:val="2"/>
          <w:sz w:val="24"/>
          <w:szCs w:val="24"/>
          <w:lang w:eastAsia="en-US"/>
          <w14:ligatures w14:val="standardContextual"/>
        </w:rPr>
        <w:t xml:space="preserve"> Edition, London, Palgrave Macmillan, p69.</w:t>
      </w:r>
    </w:p>
    <w:p w14:paraId="7FDBBE0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O’Sullivan, T. (2011) </w:t>
      </w:r>
      <w:r w:rsidRPr="00B450BF">
        <w:rPr>
          <w:rFonts w:ascii="Aptos" w:eastAsia="Aptos" w:hAnsi="Aptos" w:cs="Times New Roman"/>
          <w:i/>
          <w:iCs/>
          <w:color w:val="auto"/>
          <w:kern w:val="2"/>
          <w:sz w:val="24"/>
          <w:szCs w:val="24"/>
          <w:lang w:eastAsia="en-US"/>
          <w14:ligatures w14:val="standardContextual"/>
        </w:rPr>
        <w:t>Decision Making in Social Work</w:t>
      </w:r>
      <w:r w:rsidRPr="00B450BF">
        <w:rPr>
          <w:rFonts w:ascii="Aptos" w:eastAsia="Aptos" w:hAnsi="Aptos" w:cs="Times New Roman"/>
          <w:color w:val="auto"/>
          <w:kern w:val="2"/>
          <w:sz w:val="24"/>
          <w:szCs w:val="24"/>
          <w:lang w:eastAsia="en-US"/>
          <w14:ligatures w14:val="standardContextual"/>
        </w:rPr>
        <w:t>. 2</w:t>
      </w:r>
      <w:r w:rsidRPr="00B450BF">
        <w:rPr>
          <w:rFonts w:ascii="Aptos" w:eastAsia="Aptos" w:hAnsi="Aptos" w:cs="Times New Roman"/>
          <w:color w:val="auto"/>
          <w:kern w:val="2"/>
          <w:sz w:val="24"/>
          <w:szCs w:val="24"/>
          <w:vertAlign w:val="superscript"/>
          <w:lang w:eastAsia="en-US"/>
          <w14:ligatures w14:val="standardContextual"/>
        </w:rPr>
        <w:t>nd</w:t>
      </w:r>
      <w:r w:rsidRPr="00B450BF">
        <w:rPr>
          <w:rFonts w:ascii="Aptos" w:eastAsia="Aptos" w:hAnsi="Aptos" w:cs="Times New Roman"/>
          <w:color w:val="auto"/>
          <w:kern w:val="2"/>
          <w:sz w:val="24"/>
          <w:szCs w:val="24"/>
          <w:lang w:eastAsia="en-US"/>
          <w14:ligatures w14:val="standardContextual"/>
        </w:rPr>
        <w:t xml:space="preserve"> Edition, London, Palgrave Macmillan, p3.</w:t>
      </w:r>
    </w:p>
    <w:p w14:paraId="2C169E0A"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Penhale, B. (2013) </w:t>
      </w:r>
      <w:r w:rsidRPr="00B450BF">
        <w:rPr>
          <w:rFonts w:ascii="Aptos" w:eastAsia="Aptos" w:hAnsi="Aptos" w:cs="Times New Roman"/>
          <w:i/>
          <w:iCs/>
          <w:color w:val="auto"/>
          <w:kern w:val="2"/>
          <w:sz w:val="24"/>
          <w:szCs w:val="24"/>
          <w:lang w:eastAsia="en-US"/>
          <w14:ligatures w14:val="standardContextual"/>
        </w:rPr>
        <w:t>Social Work Practice in Healthcare</w:t>
      </w:r>
      <w:r w:rsidRPr="00B450BF">
        <w:rPr>
          <w:rFonts w:ascii="Aptos" w:eastAsia="Aptos" w:hAnsi="Aptos" w:cs="Times New Roman"/>
          <w:color w:val="auto"/>
          <w:kern w:val="2"/>
          <w:sz w:val="24"/>
          <w:szCs w:val="24"/>
          <w:lang w:eastAsia="en-US"/>
          <w14:ligatures w14:val="standardContextual"/>
        </w:rPr>
        <w:t xml:space="preserve">. </w:t>
      </w:r>
      <w:bookmarkStart w:id="5" w:name="_Hlk179051626"/>
      <w:r w:rsidRPr="00B450BF">
        <w:rPr>
          <w:rFonts w:ascii="Aptos" w:eastAsia="Aptos" w:hAnsi="Aptos" w:cs="Times New Roman"/>
          <w:color w:val="auto"/>
          <w:kern w:val="2"/>
          <w:sz w:val="24"/>
          <w:szCs w:val="24"/>
          <w:lang w:eastAsia="en-US"/>
          <w14:ligatures w14:val="standardContextual"/>
        </w:rPr>
        <w:t xml:space="preserve">In </w:t>
      </w:r>
      <w:proofErr w:type="spellStart"/>
      <w:proofErr w:type="gramStart"/>
      <w:r w:rsidRPr="00B450BF">
        <w:rPr>
          <w:rFonts w:ascii="Aptos" w:eastAsia="Aptos" w:hAnsi="Aptos" w:cs="Times New Roman"/>
          <w:color w:val="auto"/>
          <w:kern w:val="2"/>
          <w:sz w:val="24"/>
          <w:szCs w:val="24"/>
          <w:lang w:eastAsia="en-US"/>
          <w14:ligatures w14:val="standardContextual"/>
        </w:rPr>
        <w:t>Davies,M</w:t>
      </w:r>
      <w:proofErr w:type="spellEnd"/>
      <w:r w:rsidRPr="00B450BF">
        <w:rPr>
          <w:rFonts w:ascii="Aptos" w:eastAsia="Aptos" w:hAnsi="Aptos" w:cs="Times New Roman"/>
          <w:color w:val="auto"/>
          <w:kern w:val="2"/>
          <w:sz w:val="24"/>
          <w:szCs w:val="24"/>
          <w:lang w:eastAsia="en-US"/>
          <w14:ligatures w14:val="standardContextual"/>
        </w:rPr>
        <w:t>.</w:t>
      </w:r>
      <w:proofErr w:type="gramEnd"/>
      <w:r w:rsidRPr="00B450BF">
        <w:rPr>
          <w:rFonts w:ascii="Aptos" w:eastAsia="Aptos" w:hAnsi="Aptos" w:cs="Times New Roman"/>
          <w:color w:val="auto"/>
          <w:kern w:val="2"/>
          <w:sz w:val="24"/>
          <w:szCs w:val="24"/>
          <w:lang w:eastAsia="en-US"/>
          <w14:ligatures w14:val="standardContextual"/>
        </w:rPr>
        <w:t xml:space="preserve"> (2013) </w:t>
      </w:r>
      <w:r w:rsidRPr="00B450BF">
        <w:rPr>
          <w:rFonts w:ascii="Aptos" w:eastAsia="Aptos" w:hAnsi="Aptos" w:cs="Times New Roman"/>
          <w:i/>
          <w:iCs/>
          <w:color w:val="auto"/>
          <w:kern w:val="2"/>
          <w:sz w:val="24"/>
          <w:szCs w:val="24"/>
          <w:lang w:eastAsia="en-US"/>
          <w14:ligatures w14:val="standardContextual"/>
        </w:rPr>
        <w:t>The Blackwell Companion to Social Work</w:t>
      </w:r>
      <w:r w:rsidRPr="00B450BF">
        <w:rPr>
          <w:rFonts w:ascii="Aptos" w:eastAsia="Aptos" w:hAnsi="Aptos" w:cs="Times New Roman"/>
          <w:color w:val="auto"/>
          <w:kern w:val="2"/>
          <w:sz w:val="24"/>
          <w:szCs w:val="24"/>
          <w:lang w:eastAsia="en-US"/>
          <w14:ligatures w14:val="standardContextual"/>
        </w:rPr>
        <w:t>. 4th Edition, Oxford, Wiley Blackwell, p256.</w:t>
      </w:r>
      <w:bookmarkEnd w:id="5"/>
    </w:p>
    <w:p w14:paraId="7AB9AACA"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lastRenderedPageBreak/>
        <w:t xml:space="preserve">Re x (Emergency Protection Orders [2006] EWHC 510 (FAM). [online]. Available at: </w:t>
      </w:r>
      <w:hyperlink r:id="rId31" w:history="1">
        <w:r w:rsidRPr="00B450BF">
          <w:rPr>
            <w:rFonts w:ascii="Aptos" w:eastAsia="Aptos" w:hAnsi="Aptos" w:cs="Times New Roman"/>
            <w:color w:val="467886"/>
            <w:kern w:val="2"/>
            <w:sz w:val="24"/>
            <w:szCs w:val="24"/>
            <w:u w:val="single"/>
            <w:lang w:eastAsia="en-US"/>
            <w14:ligatures w14:val="standardContextual"/>
          </w:rPr>
          <w:t>https://www.casemine.com/judgement/uk/5a8ff74e60d03e7f57eab118</w:t>
        </w:r>
      </w:hyperlink>
      <w:r w:rsidRPr="00B450BF">
        <w:rPr>
          <w:rFonts w:ascii="Aptos" w:eastAsia="Aptos" w:hAnsi="Aptos" w:cs="Times New Roman"/>
          <w:color w:val="auto"/>
          <w:kern w:val="2"/>
          <w:sz w:val="24"/>
          <w:szCs w:val="24"/>
          <w:lang w:eastAsia="en-US"/>
          <w14:ligatures w14:val="standardContextual"/>
        </w:rPr>
        <w:t xml:space="preserve"> [Accessed 9 September 2024]</w:t>
      </w:r>
    </w:p>
    <w:p w14:paraId="3FD9FA53"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Royal College of Paediatrics and Child Health (2019) </w:t>
      </w:r>
      <w:r w:rsidRPr="00B450BF">
        <w:rPr>
          <w:rFonts w:ascii="Aptos" w:eastAsia="Aptos" w:hAnsi="Aptos" w:cs="Times New Roman"/>
          <w:i/>
          <w:iCs/>
          <w:color w:val="auto"/>
          <w:kern w:val="2"/>
          <w:sz w:val="24"/>
          <w:szCs w:val="24"/>
          <w:lang w:eastAsia="en-US"/>
          <w14:ligatures w14:val="standardContextual"/>
        </w:rPr>
        <w:t>Chapter 11: Neglect - Good Practice Recommendations</w:t>
      </w:r>
      <w:r w:rsidRPr="00B450BF">
        <w:rPr>
          <w:rFonts w:ascii="Aptos" w:eastAsia="Aptos" w:hAnsi="Aptos" w:cs="Times New Roman"/>
          <w:color w:val="auto"/>
          <w:kern w:val="2"/>
          <w:sz w:val="24"/>
          <w:szCs w:val="24"/>
          <w:lang w:eastAsia="en-US"/>
          <w14:ligatures w14:val="standardContextual"/>
        </w:rPr>
        <w:t xml:space="preserve">. [online]. Available at: </w:t>
      </w:r>
      <w:hyperlink r:id="rId32" w:anchor=":~:text=Neglect%20is%20defined%20as%20the%20persistent%20failure%20to%20meet%20a" w:history="1">
        <w:r w:rsidRPr="00B450BF">
          <w:rPr>
            <w:rFonts w:ascii="Aptos" w:eastAsia="Aptos" w:hAnsi="Aptos" w:cs="Times New Roman"/>
            <w:color w:val="467886"/>
            <w:kern w:val="2"/>
            <w:sz w:val="24"/>
            <w:szCs w:val="24"/>
            <w:u w:val="single"/>
            <w:lang w:eastAsia="en-US"/>
            <w14:ligatures w14:val="standardContextual"/>
          </w:rPr>
          <w:t>https://childprotection.rcpch.ac.uk/wp-content/uploads/sites/6/2020/06/CPC_Chapter-11_Neglect_v3_230620-for-PDF.pdf#:~:text=Neglect%20is%20defined%20as%20the%20persistent%20failure%20to%20meet%20a</w:t>
        </w:r>
      </w:hyperlink>
      <w:r w:rsidRPr="00B450BF">
        <w:rPr>
          <w:rFonts w:ascii="Aptos" w:eastAsia="Aptos" w:hAnsi="Aptos" w:cs="Times New Roman"/>
          <w:color w:val="auto"/>
          <w:kern w:val="2"/>
          <w:sz w:val="24"/>
          <w:szCs w:val="24"/>
          <w:lang w:eastAsia="en-US"/>
          <w14:ligatures w14:val="standardContextual"/>
        </w:rPr>
        <w:t xml:space="preserve"> [Accessed 17 September 2024]</w:t>
      </w:r>
    </w:p>
    <w:p w14:paraId="28650E35"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6" w:name="_Hlk179055268"/>
      <w:r w:rsidRPr="00B450BF">
        <w:rPr>
          <w:rFonts w:ascii="Aptos" w:eastAsia="Aptos" w:hAnsi="Aptos" w:cs="Times New Roman"/>
          <w:color w:val="auto"/>
          <w:kern w:val="2"/>
          <w:sz w:val="24"/>
          <w:szCs w:val="24"/>
          <w:lang w:eastAsia="en-US"/>
          <w14:ligatures w14:val="standardContextual"/>
        </w:rPr>
        <w:t xml:space="preserve">Smeeton, J. (2013) </w:t>
      </w:r>
      <w:r w:rsidRPr="00B450BF">
        <w:rPr>
          <w:rFonts w:ascii="Aptos" w:eastAsia="Aptos" w:hAnsi="Aptos" w:cs="Times New Roman"/>
          <w:i/>
          <w:iCs/>
          <w:color w:val="auto"/>
          <w:kern w:val="2"/>
          <w:sz w:val="24"/>
          <w:szCs w:val="24"/>
          <w:lang w:eastAsia="en-US"/>
          <w14:ligatures w14:val="standardContextual"/>
        </w:rPr>
        <w:t>Signs of Safety</w:t>
      </w:r>
      <w:r w:rsidRPr="00B450BF">
        <w:rPr>
          <w:rFonts w:ascii="Aptos" w:eastAsia="Aptos" w:hAnsi="Aptos" w:cs="Times New Roman"/>
          <w:color w:val="auto"/>
          <w:kern w:val="2"/>
          <w:sz w:val="24"/>
          <w:szCs w:val="24"/>
          <w:lang w:eastAsia="en-US"/>
          <w14:ligatures w14:val="standardContextual"/>
        </w:rPr>
        <w:t xml:space="preserve">. In </w:t>
      </w:r>
      <w:proofErr w:type="spellStart"/>
      <w:proofErr w:type="gramStart"/>
      <w:r w:rsidRPr="00B450BF">
        <w:rPr>
          <w:rFonts w:ascii="Aptos" w:eastAsia="Aptos" w:hAnsi="Aptos" w:cs="Times New Roman"/>
          <w:color w:val="auto"/>
          <w:kern w:val="2"/>
          <w:sz w:val="24"/>
          <w:szCs w:val="24"/>
          <w:lang w:eastAsia="en-US"/>
          <w14:ligatures w14:val="standardContextual"/>
        </w:rPr>
        <w:t>Davies,M</w:t>
      </w:r>
      <w:proofErr w:type="spellEnd"/>
      <w:r w:rsidRPr="00B450BF">
        <w:rPr>
          <w:rFonts w:ascii="Aptos" w:eastAsia="Aptos" w:hAnsi="Aptos" w:cs="Times New Roman"/>
          <w:color w:val="auto"/>
          <w:kern w:val="2"/>
          <w:sz w:val="24"/>
          <w:szCs w:val="24"/>
          <w:lang w:eastAsia="en-US"/>
          <w14:ligatures w14:val="standardContextual"/>
        </w:rPr>
        <w:t>.</w:t>
      </w:r>
      <w:proofErr w:type="gramEnd"/>
      <w:r w:rsidRPr="00B450BF">
        <w:rPr>
          <w:rFonts w:ascii="Aptos" w:eastAsia="Aptos" w:hAnsi="Aptos" w:cs="Times New Roman"/>
          <w:color w:val="auto"/>
          <w:kern w:val="2"/>
          <w:sz w:val="24"/>
          <w:szCs w:val="24"/>
          <w:lang w:eastAsia="en-US"/>
          <w14:ligatures w14:val="standardContextual"/>
        </w:rPr>
        <w:t xml:space="preserve"> (2013) </w:t>
      </w:r>
      <w:r w:rsidRPr="00B450BF">
        <w:rPr>
          <w:rFonts w:ascii="Aptos" w:eastAsia="Aptos" w:hAnsi="Aptos" w:cs="Times New Roman"/>
          <w:i/>
          <w:iCs/>
          <w:color w:val="auto"/>
          <w:kern w:val="2"/>
          <w:sz w:val="24"/>
          <w:szCs w:val="24"/>
          <w:lang w:eastAsia="en-US"/>
          <w14:ligatures w14:val="standardContextual"/>
        </w:rPr>
        <w:t>The Blackwell Companion to Social Work</w:t>
      </w:r>
      <w:r w:rsidRPr="00B450BF">
        <w:rPr>
          <w:rFonts w:ascii="Aptos" w:eastAsia="Aptos" w:hAnsi="Aptos" w:cs="Times New Roman"/>
          <w:color w:val="auto"/>
          <w:kern w:val="2"/>
          <w:sz w:val="24"/>
          <w:szCs w:val="24"/>
          <w:lang w:eastAsia="en-US"/>
          <w14:ligatures w14:val="standardContextual"/>
        </w:rPr>
        <w:t>. 4th Edition, Oxford, Wiley Blackwell, p467.</w:t>
      </w:r>
    </w:p>
    <w:p w14:paraId="47DEC8BE"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7" w:name="_Hlk178969150"/>
      <w:bookmarkEnd w:id="6"/>
      <w:r w:rsidRPr="00B450BF">
        <w:rPr>
          <w:rFonts w:ascii="Aptos" w:eastAsia="Aptos" w:hAnsi="Aptos" w:cs="Times New Roman"/>
          <w:color w:val="auto"/>
          <w:kern w:val="2"/>
          <w:sz w:val="24"/>
          <w:szCs w:val="24"/>
          <w:lang w:eastAsia="en-US"/>
          <w14:ligatures w14:val="standardContextual"/>
        </w:rPr>
        <w:t xml:space="preserve">Social Care Wales (2017) </w:t>
      </w:r>
      <w:r w:rsidRPr="00B450BF">
        <w:rPr>
          <w:rFonts w:ascii="Aptos" w:eastAsia="Aptos" w:hAnsi="Aptos" w:cs="Times New Roman"/>
          <w:i/>
          <w:iCs/>
          <w:color w:val="auto"/>
          <w:kern w:val="2"/>
          <w:sz w:val="24"/>
          <w:szCs w:val="24"/>
          <w:lang w:eastAsia="en-US"/>
          <w14:ligatures w14:val="standardContextual"/>
        </w:rPr>
        <w:t xml:space="preserve">Code of Professional Practice for Social Care. </w:t>
      </w:r>
      <w:r w:rsidRPr="00B450BF">
        <w:rPr>
          <w:rFonts w:ascii="Aptos" w:eastAsia="Aptos" w:hAnsi="Aptos" w:cs="Times New Roman"/>
          <w:color w:val="auto"/>
          <w:kern w:val="2"/>
          <w:sz w:val="24"/>
          <w:szCs w:val="24"/>
          <w:lang w:eastAsia="en-US"/>
          <w14:ligatures w14:val="standardContextual"/>
        </w:rPr>
        <w:t xml:space="preserve">[online]. Available at: </w:t>
      </w:r>
      <w:hyperlink r:id="rId33" w:history="1">
        <w:r w:rsidRPr="00B450BF">
          <w:rPr>
            <w:rFonts w:ascii="Aptos" w:eastAsia="Aptos" w:hAnsi="Aptos" w:cs="Times New Roman"/>
            <w:color w:val="467886"/>
            <w:kern w:val="2"/>
            <w:sz w:val="24"/>
            <w:szCs w:val="24"/>
            <w:u w:val="single"/>
            <w:lang w:eastAsia="en-US"/>
            <w14:ligatures w14:val="standardContextual"/>
          </w:rPr>
          <w:t>https://socialcare.wales/cms-assets/documents/Code-of-Professional-Practice-for-Social-Care-web-version.pdf</w:t>
        </w:r>
      </w:hyperlink>
      <w:r w:rsidRPr="00B450BF">
        <w:rPr>
          <w:rFonts w:ascii="Aptos" w:eastAsia="Aptos" w:hAnsi="Aptos" w:cs="Times New Roman"/>
          <w:color w:val="auto"/>
          <w:kern w:val="2"/>
          <w:sz w:val="24"/>
          <w:szCs w:val="24"/>
          <w:lang w:eastAsia="en-US"/>
          <w14:ligatures w14:val="standardContextual"/>
        </w:rPr>
        <w:t xml:space="preserve"> [Accessed 1 July 2024]</w:t>
      </w:r>
    </w:p>
    <w:p w14:paraId="48C7F16C"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8" w:name="_Hlk178975665"/>
      <w:bookmarkEnd w:id="7"/>
      <w:r w:rsidRPr="00B450BF">
        <w:rPr>
          <w:rFonts w:ascii="Aptos" w:eastAsia="Aptos" w:hAnsi="Aptos" w:cs="Times New Roman"/>
          <w:color w:val="auto"/>
          <w:kern w:val="2"/>
          <w:sz w:val="24"/>
          <w:szCs w:val="24"/>
          <w:lang w:eastAsia="en-US"/>
          <w14:ligatures w14:val="standardContextual"/>
        </w:rPr>
        <w:t xml:space="preserve">Social Care Wales (2017) </w:t>
      </w:r>
      <w:r w:rsidRPr="00B450BF">
        <w:rPr>
          <w:rFonts w:ascii="Aptos" w:eastAsia="Aptos" w:hAnsi="Aptos" w:cs="Times New Roman"/>
          <w:i/>
          <w:iCs/>
          <w:color w:val="auto"/>
          <w:kern w:val="2"/>
          <w:sz w:val="24"/>
          <w:szCs w:val="24"/>
          <w:lang w:eastAsia="en-US"/>
          <w14:ligatures w14:val="standardContextual"/>
        </w:rPr>
        <w:t xml:space="preserve">Code of Professional Practice for Social Care. </w:t>
      </w:r>
      <w:r w:rsidRPr="00B450BF">
        <w:rPr>
          <w:rFonts w:ascii="Aptos" w:eastAsia="Aptos" w:hAnsi="Aptos" w:cs="Times New Roman"/>
          <w:color w:val="auto"/>
          <w:kern w:val="2"/>
          <w:sz w:val="24"/>
          <w:szCs w:val="24"/>
          <w:lang w:eastAsia="en-US"/>
          <w14:ligatures w14:val="standardContextual"/>
        </w:rPr>
        <w:t xml:space="preserve">[online]. Available at: </w:t>
      </w:r>
      <w:hyperlink r:id="rId34" w:history="1">
        <w:r w:rsidRPr="00B450BF">
          <w:rPr>
            <w:rFonts w:ascii="Aptos" w:eastAsia="Aptos" w:hAnsi="Aptos" w:cs="Times New Roman"/>
            <w:color w:val="467886"/>
            <w:kern w:val="2"/>
            <w:sz w:val="24"/>
            <w:szCs w:val="24"/>
            <w:u w:val="single"/>
            <w:lang w:eastAsia="en-US"/>
            <w14:ligatures w14:val="standardContextual"/>
          </w:rPr>
          <w:t>https://socialcare.wales/cms-assets/documents/Code-of-Professional-Practice-for-Social-Care-web-version.pdf</w:t>
        </w:r>
      </w:hyperlink>
      <w:r w:rsidRPr="00B450BF">
        <w:rPr>
          <w:rFonts w:ascii="Aptos" w:eastAsia="Aptos" w:hAnsi="Aptos" w:cs="Times New Roman"/>
          <w:color w:val="auto"/>
          <w:kern w:val="2"/>
          <w:sz w:val="24"/>
          <w:szCs w:val="24"/>
          <w:lang w:eastAsia="en-US"/>
          <w14:ligatures w14:val="standardContextual"/>
        </w:rPr>
        <w:t xml:space="preserve"> [Accessed 1 July 2024]</w:t>
      </w:r>
    </w:p>
    <w:bookmarkEnd w:id="8"/>
    <w:p w14:paraId="39859241"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Social Care Wales (2017) </w:t>
      </w:r>
      <w:r w:rsidRPr="00B450BF">
        <w:rPr>
          <w:rFonts w:ascii="Aptos" w:eastAsia="Aptos" w:hAnsi="Aptos" w:cs="Times New Roman"/>
          <w:i/>
          <w:iCs/>
          <w:color w:val="auto"/>
          <w:kern w:val="2"/>
          <w:sz w:val="24"/>
          <w:szCs w:val="24"/>
          <w:lang w:eastAsia="en-US"/>
          <w14:ligatures w14:val="standardContextual"/>
        </w:rPr>
        <w:t xml:space="preserve">Code of Professional Practice for Social Care. </w:t>
      </w:r>
      <w:r w:rsidRPr="00B450BF">
        <w:rPr>
          <w:rFonts w:ascii="Aptos" w:eastAsia="Aptos" w:hAnsi="Aptos" w:cs="Times New Roman"/>
          <w:color w:val="auto"/>
          <w:kern w:val="2"/>
          <w:sz w:val="24"/>
          <w:szCs w:val="24"/>
          <w:lang w:eastAsia="en-US"/>
          <w14:ligatures w14:val="standardContextual"/>
        </w:rPr>
        <w:t xml:space="preserve">[online]. Available at: </w:t>
      </w:r>
      <w:hyperlink r:id="rId35" w:history="1">
        <w:r w:rsidRPr="00B450BF">
          <w:rPr>
            <w:rFonts w:ascii="Aptos" w:eastAsia="Aptos" w:hAnsi="Aptos" w:cs="Times New Roman"/>
            <w:color w:val="467886"/>
            <w:kern w:val="2"/>
            <w:sz w:val="24"/>
            <w:szCs w:val="24"/>
            <w:u w:val="single"/>
            <w:lang w:eastAsia="en-US"/>
            <w14:ligatures w14:val="standardContextual"/>
          </w:rPr>
          <w:t>https://socialcare.wales/cms-assets/documents/Code-of-Professional-Practice-for-Social-Care-web-version.pdf</w:t>
        </w:r>
      </w:hyperlink>
      <w:r w:rsidRPr="00B450BF">
        <w:rPr>
          <w:rFonts w:ascii="Aptos" w:eastAsia="Aptos" w:hAnsi="Aptos" w:cs="Times New Roman"/>
          <w:color w:val="auto"/>
          <w:kern w:val="2"/>
          <w:sz w:val="24"/>
          <w:szCs w:val="24"/>
          <w:lang w:eastAsia="en-US"/>
          <w14:ligatures w14:val="standardContextual"/>
        </w:rPr>
        <w:t xml:space="preserve"> [Accessed 11 September 2024]</w:t>
      </w:r>
    </w:p>
    <w:p w14:paraId="54488F2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Social Care Wales (2019) </w:t>
      </w:r>
      <w:r w:rsidRPr="00B450BF">
        <w:rPr>
          <w:rFonts w:ascii="Aptos" w:eastAsia="Aptos" w:hAnsi="Aptos" w:cs="Times New Roman"/>
          <w:i/>
          <w:iCs/>
          <w:color w:val="auto"/>
          <w:kern w:val="2"/>
          <w:sz w:val="24"/>
          <w:szCs w:val="24"/>
          <w:lang w:eastAsia="en-US"/>
          <w14:ligatures w14:val="standardContextual"/>
        </w:rPr>
        <w:t xml:space="preserve">The Social Worker: Practice Guidance for social workers registered with Social Care Wales. </w:t>
      </w:r>
      <w:r w:rsidRPr="00B450BF">
        <w:rPr>
          <w:rFonts w:ascii="Aptos" w:eastAsia="Aptos" w:hAnsi="Aptos" w:cs="Times New Roman"/>
          <w:color w:val="auto"/>
          <w:kern w:val="2"/>
          <w:sz w:val="24"/>
          <w:szCs w:val="24"/>
          <w:lang w:eastAsia="en-US"/>
          <w14:ligatures w14:val="standardContextual"/>
        </w:rPr>
        <w:t xml:space="preserve">[online]. Available at: </w:t>
      </w:r>
      <w:hyperlink r:id="rId36" w:history="1">
        <w:r w:rsidRPr="00B450BF">
          <w:rPr>
            <w:rFonts w:ascii="Aptos" w:eastAsia="Aptos" w:hAnsi="Aptos" w:cs="Times New Roman"/>
            <w:color w:val="467886"/>
            <w:kern w:val="2"/>
            <w:sz w:val="24"/>
            <w:szCs w:val="24"/>
            <w:u w:val="single"/>
            <w:lang w:eastAsia="en-US"/>
            <w14:ligatures w14:val="standardContextual"/>
          </w:rPr>
          <w:t>https://socialcare.wales/cms-assets/documents/Practice-guidance-social-workers.pdf</w:t>
        </w:r>
      </w:hyperlink>
      <w:r w:rsidRPr="00B450BF">
        <w:rPr>
          <w:rFonts w:ascii="Aptos" w:eastAsia="Aptos" w:hAnsi="Aptos" w:cs="Times New Roman"/>
          <w:color w:val="auto"/>
          <w:kern w:val="2"/>
          <w:sz w:val="24"/>
          <w:szCs w:val="24"/>
          <w:lang w:eastAsia="en-US"/>
          <w14:ligatures w14:val="standardContextual"/>
        </w:rPr>
        <w:t xml:space="preserve"> [Accessed 2 July 2024]</w:t>
      </w:r>
    </w:p>
    <w:p w14:paraId="7EA9505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Social Care Wales (2019) </w:t>
      </w:r>
      <w:r w:rsidRPr="00B450BF">
        <w:rPr>
          <w:rFonts w:ascii="Aptos" w:eastAsia="Aptos" w:hAnsi="Aptos" w:cs="Times New Roman"/>
          <w:i/>
          <w:iCs/>
          <w:color w:val="auto"/>
          <w:kern w:val="2"/>
          <w:sz w:val="24"/>
          <w:szCs w:val="24"/>
          <w:lang w:eastAsia="en-US"/>
          <w14:ligatures w14:val="standardContextual"/>
        </w:rPr>
        <w:t xml:space="preserve">The Social Worker: Practice Guidance for Social Workers registered with Social Care Wales. </w:t>
      </w:r>
      <w:r w:rsidRPr="00B450BF">
        <w:rPr>
          <w:rFonts w:ascii="Aptos" w:eastAsia="Aptos" w:hAnsi="Aptos" w:cs="Times New Roman"/>
          <w:color w:val="auto"/>
          <w:kern w:val="2"/>
          <w:sz w:val="24"/>
          <w:szCs w:val="24"/>
          <w:lang w:eastAsia="en-US"/>
          <w14:ligatures w14:val="standardContextual"/>
        </w:rPr>
        <w:t xml:space="preserve">[online]. Available at: </w:t>
      </w:r>
      <w:hyperlink r:id="rId37" w:history="1">
        <w:r w:rsidRPr="00B450BF">
          <w:rPr>
            <w:rFonts w:ascii="Aptos" w:eastAsia="Aptos" w:hAnsi="Aptos" w:cs="Times New Roman"/>
            <w:color w:val="467886"/>
            <w:kern w:val="2"/>
            <w:sz w:val="24"/>
            <w:szCs w:val="24"/>
            <w:u w:val="single"/>
            <w:lang w:eastAsia="en-US"/>
            <w14:ligatures w14:val="standardContextual"/>
          </w:rPr>
          <w:t>https://socialcare.wales/cms-assets/documents/Practice-guidance-social-workers.pdf</w:t>
        </w:r>
      </w:hyperlink>
      <w:r w:rsidRPr="00B450BF">
        <w:rPr>
          <w:rFonts w:ascii="Aptos" w:eastAsia="Aptos" w:hAnsi="Aptos" w:cs="Times New Roman"/>
          <w:color w:val="auto"/>
          <w:kern w:val="2"/>
          <w:sz w:val="24"/>
          <w:szCs w:val="24"/>
          <w:lang w:eastAsia="en-US"/>
          <w14:ligatures w14:val="standardContextual"/>
        </w:rPr>
        <w:t xml:space="preserve"> [Accessed 9 September 2024]</w:t>
      </w:r>
    </w:p>
    <w:p w14:paraId="407D07A1"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Social Care Wales (2022) </w:t>
      </w:r>
      <w:r w:rsidRPr="00B450BF">
        <w:rPr>
          <w:rFonts w:ascii="Aptos" w:eastAsia="Aptos" w:hAnsi="Aptos" w:cs="Times New Roman"/>
          <w:i/>
          <w:iCs/>
          <w:color w:val="auto"/>
          <w:kern w:val="2"/>
          <w:sz w:val="24"/>
          <w:szCs w:val="24"/>
          <w:lang w:eastAsia="en-US"/>
          <w14:ligatures w14:val="standardContextual"/>
        </w:rPr>
        <w:t>Using Research Evidence in Social Services and Social Care in Wales</w:t>
      </w:r>
      <w:r w:rsidRPr="00B450BF">
        <w:rPr>
          <w:rFonts w:ascii="Aptos" w:eastAsia="Aptos" w:hAnsi="Aptos" w:cs="Times New Roman"/>
          <w:color w:val="auto"/>
          <w:kern w:val="2"/>
          <w:sz w:val="24"/>
          <w:szCs w:val="24"/>
          <w:lang w:eastAsia="en-US"/>
          <w14:ligatures w14:val="standardContextual"/>
        </w:rPr>
        <w:t xml:space="preserve">. [online] Available at: </w:t>
      </w:r>
      <w:proofErr w:type="gramStart"/>
      <w:r w:rsidRPr="00B450BF">
        <w:rPr>
          <w:rFonts w:ascii="Aptos" w:eastAsia="Aptos" w:hAnsi="Aptos" w:cs="Times New Roman"/>
          <w:color w:val="auto"/>
          <w:kern w:val="2"/>
          <w:sz w:val="24"/>
          <w:szCs w:val="24"/>
          <w:lang w:eastAsia="en-US"/>
          <w14:ligatures w14:val="standardContextual"/>
        </w:rPr>
        <w:t>socialcare.wales</w:t>
      </w:r>
      <w:proofErr w:type="gramEnd"/>
      <w:r w:rsidRPr="00B450BF">
        <w:rPr>
          <w:rFonts w:ascii="Aptos" w:eastAsia="Aptos" w:hAnsi="Aptos" w:cs="Times New Roman"/>
          <w:color w:val="auto"/>
          <w:kern w:val="2"/>
          <w:sz w:val="24"/>
          <w:szCs w:val="24"/>
          <w:lang w:eastAsia="en-US"/>
          <w14:ligatures w14:val="standardContextual"/>
        </w:rPr>
        <w:t>/research-and-data/getting-evidence-into-practice/using-evidence-in-social-services-and-social-care-in-wales [Accessed 20 September 2024.]</w:t>
      </w:r>
    </w:p>
    <w:p w14:paraId="179A9178"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 xml:space="preserve">Social Services and Wellbeing Act 2014. </w:t>
      </w:r>
      <w:r w:rsidRPr="00B450BF">
        <w:rPr>
          <w:rFonts w:ascii="Aptos" w:eastAsia="Aptos" w:hAnsi="Aptos" w:cs="Times New Roman"/>
          <w:color w:val="auto"/>
          <w:kern w:val="2"/>
          <w:sz w:val="24"/>
          <w:szCs w:val="24"/>
          <w:lang w:eastAsia="en-US"/>
          <w14:ligatures w14:val="standardContextual"/>
        </w:rPr>
        <w:t xml:space="preserve">[online]. Available at: </w:t>
      </w:r>
      <w:hyperlink r:id="rId38" w:history="1">
        <w:r w:rsidRPr="00B450BF">
          <w:rPr>
            <w:rFonts w:ascii="Aptos" w:eastAsia="Aptos" w:hAnsi="Aptos" w:cs="Times New Roman"/>
            <w:color w:val="467886"/>
            <w:kern w:val="2"/>
            <w:sz w:val="24"/>
            <w:szCs w:val="24"/>
            <w:u w:val="single"/>
            <w:lang w:eastAsia="en-US"/>
            <w14:ligatures w14:val="standardContextual"/>
          </w:rPr>
          <w:t>https://www.legislation.gov.uk/anaw/2014/4/contents</w:t>
        </w:r>
      </w:hyperlink>
      <w:r w:rsidRPr="00B450BF">
        <w:rPr>
          <w:rFonts w:ascii="Aptos" w:eastAsia="Aptos" w:hAnsi="Aptos" w:cs="Times New Roman"/>
          <w:color w:val="auto"/>
          <w:kern w:val="2"/>
          <w:sz w:val="24"/>
          <w:szCs w:val="24"/>
          <w:lang w:eastAsia="en-US"/>
          <w14:ligatures w14:val="standardContextual"/>
        </w:rPr>
        <w:t xml:space="preserve"> [Accessed 25 September 2024]</w:t>
      </w:r>
    </w:p>
    <w:p w14:paraId="1FCB643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i/>
          <w:iCs/>
          <w:color w:val="auto"/>
          <w:kern w:val="2"/>
          <w:sz w:val="24"/>
          <w:szCs w:val="24"/>
          <w:lang w:eastAsia="en-US"/>
          <w14:ligatures w14:val="standardContextual"/>
        </w:rPr>
      </w:pPr>
      <w:bookmarkStart w:id="9" w:name="_Hlk179057566"/>
      <w:r w:rsidRPr="00B450BF">
        <w:rPr>
          <w:rFonts w:ascii="Aptos" w:eastAsia="Aptos" w:hAnsi="Aptos" w:cs="Times New Roman"/>
          <w:i/>
          <w:iCs/>
          <w:color w:val="auto"/>
          <w:kern w:val="2"/>
          <w:sz w:val="24"/>
          <w:szCs w:val="24"/>
          <w:lang w:eastAsia="en-US"/>
          <w14:ligatures w14:val="standardContextual"/>
        </w:rPr>
        <w:t xml:space="preserve">Social Services and Wellbeing Act 2014. S126. </w:t>
      </w:r>
      <w:r w:rsidRPr="00B450BF">
        <w:rPr>
          <w:rFonts w:ascii="Aptos" w:eastAsia="Aptos" w:hAnsi="Aptos" w:cs="Times New Roman"/>
          <w:color w:val="auto"/>
          <w:kern w:val="2"/>
          <w:sz w:val="24"/>
          <w:szCs w:val="24"/>
          <w:lang w:eastAsia="en-US"/>
          <w14:ligatures w14:val="standardContextual"/>
        </w:rPr>
        <w:t xml:space="preserve">[online]. Available at: </w:t>
      </w:r>
      <w:hyperlink r:id="rId39" w:history="1">
        <w:r w:rsidRPr="00B450BF">
          <w:rPr>
            <w:rFonts w:ascii="Aptos" w:eastAsia="Aptos" w:hAnsi="Aptos" w:cs="Times New Roman"/>
            <w:color w:val="467886"/>
            <w:kern w:val="2"/>
            <w:sz w:val="24"/>
            <w:szCs w:val="24"/>
            <w:u w:val="single"/>
            <w:lang w:eastAsia="en-US"/>
            <w14:ligatures w14:val="standardContextual"/>
          </w:rPr>
          <w:t>https://www.legislation.gov.uk/anaw/2014/4/section/126</w:t>
        </w:r>
      </w:hyperlink>
      <w:r w:rsidRPr="00B450BF">
        <w:rPr>
          <w:rFonts w:ascii="Aptos" w:eastAsia="Aptos" w:hAnsi="Aptos" w:cs="Times New Roman"/>
          <w:i/>
          <w:iCs/>
          <w:color w:val="auto"/>
          <w:kern w:val="2"/>
          <w:sz w:val="24"/>
          <w:szCs w:val="24"/>
          <w:lang w:eastAsia="en-US"/>
          <w14:ligatures w14:val="standardContextual"/>
        </w:rPr>
        <w:t xml:space="preserve"> </w:t>
      </w:r>
      <w:r w:rsidRPr="00B450BF">
        <w:rPr>
          <w:rFonts w:ascii="Aptos" w:eastAsia="Aptos" w:hAnsi="Aptos" w:cs="Times New Roman"/>
          <w:color w:val="auto"/>
          <w:kern w:val="2"/>
          <w:sz w:val="24"/>
          <w:szCs w:val="24"/>
          <w:lang w:eastAsia="en-US"/>
          <w14:ligatures w14:val="standardContextual"/>
        </w:rPr>
        <w:t>[Accessed 25 September 2024</w:t>
      </w:r>
      <w:r w:rsidRPr="00B450BF">
        <w:rPr>
          <w:rFonts w:ascii="Aptos" w:eastAsia="Aptos" w:hAnsi="Aptos" w:cs="Times New Roman"/>
          <w:i/>
          <w:iCs/>
          <w:color w:val="auto"/>
          <w:kern w:val="2"/>
          <w:sz w:val="24"/>
          <w:szCs w:val="24"/>
          <w:lang w:eastAsia="en-US"/>
          <w14:ligatures w14:val="standardContextual"/>
        </w:rPr>
        <w:t>]</w:t>
      </w:r>
    </w:p>
    <w:bookmarkEnd w:id="9"/>
    <w:p w14:paraId="58D1421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i/>
          <w:iCs/>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lastRenderedPageBreak/>
        <w:t xml:space="preserve">Social Services and Wellbeing Act 2014. S128. </w:t>
      </w:r>
      <w:r w:rsidRPr="00B450BF">
        <w:rPr>
          <w:rFonts w:ascii="Aptos" w:eastAsia="Aptos" w:hAnsi="Aptos" w:cs="Times New Roman"/>
          <w:color w:val="auto"/>
          <w:kern w:val="2"/>
          <w:sz w:val="24"/>
          <w:szCs w:val="24"/>
          <w:lang w:eastAsia="en-US"/>
          <w14:ligatures w14:val="standardContextual"/>
        </w:rPr>
        <w:t xml:space="preserve">[online]. Available at: </w:t>
      </w:r>
      <w:hyperlink r:id="rId40" w:history="1">
        <w:r w:rsidRPr="00B450BF">
          <w:rPr>
            <w:rFonts w:ascii="Aptos" w:eastAsia="Aptos" w:hAnsi="Aptos" w:cs="Times New Roman"/>
            <w:color w:val="467886"/>
            <w:kern w:val="2"/>
            <w:sz w:val="24"/>
            <w:szCs w:val="24"/>
            <w:u w:val="single"/>
            <w:lang w:eastAsia="en-US"/>
            <w14:ligatures w14:val="standardContextual"/>
          </w:rPr>
          <w:t>https://www.legislation.gov.uk/anaw/2014/4/section/128</w:t>
        </w:r>
      </w:hyperlink>
      <w:r w:rsidRPr="00B450BF">
        <w:rPr>
          <w:rFonts w:ascii="Aptos" w:eastAsia="Aptos" w:hAnsi="Aptos" w:cs="Times New Roman"/>
          <w:i/>
          <w:iCs/>
          <w:color w:val="auto"/>
          <w:kern w:val="2"/>
          <w:sz w:val="24"/>
          <w:szCs w:val="24"/>
          <w:lang w:eastAsia="en-US"/>
          <w14:ligatures w14:val="standardContextual"/>
        </w:rPr>
        <w:t xml:space="preserve"> </w:t>
      </w:r>
      <w:r w:rsidRPr="00B450BF">
        <w:rPr>
          <w:rFonts w:ascii="Aptos" w:eastAsia="Aptos" w:hAnsi="Aptos" w:cs="Times New Roman"/>
          <w:color w:val="auto"/>
          <w:kern w:val="2"/>
          <w:sz w:val="24"/>
          <w:szCs w:val="24"/>
          <w:lang w:eastAsia="en-US"/>
          <w14:ligatures w14:val="standardContextual"/>
        </w:rPr>
        <w:t>[Accessed 25 September 2024]</w:t>
      </w:r>
    </w:p>
    <w:p w14:paraId="6EE23716"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 xml:space="preserve">Social Services and Wellbeing Act 2014. S162. </w:t>
      </w:r>
      <w:r w:rsidRPr="00B450BF">
        <w:rPr>
          <w:rFonts w:ascii="Aptos" w:eastAsia="Aptos" w:hAnsi="Aptos" w:cs="Times New Roman"/>
          <w:color w:val="auto"/>
          <w:kern w:val="2"/>
          <w:sz w:val="24"/>
          <w:szCs w:val="24"/>
          <w:lang w:eastAsia="en-US"/>
          <w14:ligatures w14:val="standardContextual"/>
        </w:rPr>
        <w:t xml:space="preserve">[online]. Available at: </w:t>
      </w:r>
      <w:hyperlink r:id="rId41" w:history="1">
        <w:r w:rsidRPr="00B450BF">
          <w:rPr>
            <w:rFonts w:ascii="Aptos" w:eastAsia="Aptos" w:hAnsi="Aptos" w:cs="Times New Roman"/>
            <w:color w:val="467886"/>
            <w:kern w:val="2"/>
            <w:sz w:val="24"/>
            <w:szCs w:val="24"/>
            <w:u w:val="single"/>
            <w:lang w:eastAsia="en-US"/>
            <w14:ligatures w14:val="standardContextual"/>
          </w:rPr>
          <w:t>https://www.legislation.gov.uk/anaw/2014/4/section/162</w:t>
        </w:r>
      </w:hyperlink>
      <w:r w:rsidRPr="00B450BF">
        <w:rPr>
          <w:rFonts w:ascii="Aptos" w:eastAsia="Aptos" w:hAnsi="Aptos" w:cs="Times New Roman"/>
          <w:i/>
          <w:iCs/>
          <w:color w:val="auto"/>
          <w:kern w:val="2"/>
          <w:sz w:val="24"/>
          <w:szCs w:val="24"/>
          <w:lang w:eastAsia="en-US"/>
          <w14:ligatures w14:val="standardContextual"/>
        </w:rPr>
        <w:t xml:space="preserve"> </w:t>
      </w:r>
      <w:r w:rsidRPr="00B450BF">
        <w:rPr>
          <w:rFonts w:ascii="Aptos" w:eastAsia="Aptos" w:hAnsi="Aptos" w:cs="Times New Roman"/>
          <w:color w:val="auto"/>
          <w:kern w:val="2"/>
          <w:sz w:val="24"/>
          <w:szCs w:val="24"/>
          <w:lang w:eastAsia="en-US"/>
          <w14:ligatures w14:val="standardContextual"/>
        </w:rPr>
        <w:t>[Accessed 25 September 2024]</w:t>
      </w:r>
    </w:p>
    <w:p w14:paraId="77683E0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 xml:space="preserve">Social Services and Wellbeing Act 2014. S164. </w:t>
      </w:r>
      <w:r w:rsidRPr="00B450BF">
        <w:rPr>
          <w:rFonts w:ascii="Aptos" w:eastAsia="Aptos" w:hAnsi="Aptos" w:cs="Times New Roman"/>
          <w:color w:val="auto"/>
          <w:kern w:val="2"/>
          <w:sz w:val="24"/>
          <w:szCs w:val="24"/>
          <w:lang w:eastAsia="en-US"/>
          <w14:ligatures w14:val="standardContextual"/>
        </w:rPr>
        <w:t xml:space="preserve">[online]. Available at: </w:t>
      </w:r>
      <w:hyperlink r:id="rId42" w:history="1">
        <w:r w:rsidRPr="00B450BF">
          <w:rPr>
            <w:rFonts w:ascii="Aptos" w:eastAsia="Aptos" w:hAnsi="Aptos" w:cs="Times New Roman"/>
            <w:color w:val="467886"/>
            <w:kern w:val="2"/>
            <w:sz w:val="24"/>
            <w:szCs w:val="24"/>
            <w:u w:val="single"/>
            <w:lang w:eastAsia="en-US"/>
            <w14:ligatures w14:val="standardContextual"/>
          </w:rPr>
          <w:t>https://www.legislation.gov.uk/anaw/2014/4/section/164</w:t>
        </w:r>
      </w:hyperlink>
      <w:r w:rsidRPr="00B450BF">
        <w:rPr>
          <w:rFonts w:ascii="Aptos" w:eastAsia="Aptos" w:hAnsi="Aptos" w:cs="Times New Roman"/>
          <w:i/>
          <w:iCs/>
          <w:color w:val="auto"/>
          <w:kern w:val="2"/>
          <w:sz w:val="24"/>
          <w:szCs w:val="24"/>
          <w:lang w:eastAsia="en-US"/>
          <w14:ligatures w14:val="standardContextual"/>
        </w:rPr>
        <w:t xml:space="preserve"> </w:t>
      </w:r>
      <w:r w:rsidRPr="00B450BF">
        <w:rPr>
          <w:rFonts w:ascii="Aptos" w:eastAsia="Aptos" w:hAnsi="Aptos" w:cs="Times New Roman"/>
          <w:color w:val="auto"/>
          <w:kern w:val="2"/>
          <w:sz w:val="24"/>
          <w:szCs w:val="24"/>
          <w:lang w:eastAsia="en-US"/>
          <w14:ligatures w14:val="standardContextual"/>
        </w:rPr>
        <w:t>[Accessed 25 September 2024]</w:t>
      </w:r>
    </w:p>
    <w:p w14:paraId="75216AB0"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i/>
          <w:iCs/>
          <w:color w:val="auto"/>
          <w:kern w:val="2"/>
          <w:sz w:val="24"/>
          <w:szCs w:val="24"/>
          <w:lang w:eastAsia="en-US"/>
          <w14:ligatures w14:val="standardContextual"/>
        </w:rPr>
      </w:pPr>
      <w:bookmarkStart w:id="10" w:name="_Hlk179057024"/>
      <w:r w:rsidRPr="00B450BF">
        <w:rPr>
          <w:rFonts w:ascii="Aptos" w:eastAsia="Aptos" w:hAnsi="Aptos" w:cs="Times New Roman"/>
          <w:i/>
          <w:iCs/>
          <w:color w:val="auto"/>
          <w:kern w:val="2"/>
          <w:sz w:val="24"/>
          <w:szCs w:val="24"/>
          <w:lang w:eastAsia="en-US"/>
          <w14:ligatures w14:val="standardContextual"/>
        </w:rPr>
        <w:t>Social Services and Wellbeing Act. S130. [online]. Available at:</w:t>
      </w:r>
      <w:r w:rsidRPr="00B450BF">
        <w:rPr>
          <w:rFonts w:ascii="Aptos" w:eastAsia="Aptos" w:hAnsi="Aptos" w:cs="Times New Roman"/>
          <w:color w:val="auto"/>
          <w:kern w:val="2"/>
          <w:sz w:val="24"/>
          <w:szCs w:val="24"/>
          <w:lang w:eastAsia="en-US"/>
          <w14:ligatures w14:val="standardContextual"/>
        </w:rPr>
        <w:t xml:space="preserve"> </w:t>
      </w:r>
      <w:hyperlink r:id="rId43" w:history="1">
        <w:r w:rsidRPr="00B450BF">
          <w:rPr>
            <w:rFonts w:ascii="Aptos" w:eastAsia="Aptos" w:hAnsi="Aptos" w:cs="Times New Roman"/>
            <w:i/>
            <w:iCs/>
            <w:color w:val="467886"/>
            <w:kern w:val="2"/>
            <w:sz w:val="24"/>
            <w:szCs w:val="24"/>
            <w:u w:val="single"/>
            <w:lang w:eastAsia="en-US"/>
            <w14:ligatures w14:val="standardContextual"/>
          </w:rPr>
          <w:t>https://www.legislation.gov.uk/anaw/2014/4/section/130</w:t>
        </w:r>
      </w:hyperlink>
      <w:r w:rsidRPr="00B450BF">
        <w:rPr>
          <w:rFonts w:ascii="Aptos" w:eastAsia="Aptos" w:hAnsi="Aptos" w:cs="Times New Roman"/>
          <w:i/>
          <w:iCs/>
          <w:color w:val="auto"/>
          <w:kern w:val="2"/>
          <w:sz w:val="24"/>
          <w:szCs w:val="24"/>
          <w:lang w:eastAsia="en-US"/>
          <w14:ligatures w14:val="standardContextual"/>
        </w:rPr>
        <w:t xml:space="preserve">  </w:t>
      </w:r>
      <w:r w:rsidRPr="00B450BF">
        <w:rPr>
          <w:rFonts w:ascii="Aptos" w:eastAsia="Aptos" w:hAnsi="Aptos" w:cs="Times New Roman"/>
          <w:color w:val="auto"/>
          <w:kern w:val="2"/>
          <w:sz w:val="24"/>
          <w:szCs w:val="24"/>
          <w:lang w:eastAsia="en-US"/>
          <w14:ligatures w14:val="standardContextual"/>
        </w:rPr>
        <w:t>[Accessed 16 September 2024</w:t>
      </w:r>
      <w:r w:rsidRPr="00B450BF">
        <w:rPr>
          <w:rFonts w:ascii="Aptos" w:eastAsia="Aptos" w:hAnsi="Aptos" w:cs="Times New Roman"/>
          <w:i/>
          <w:iCs/>
          <w:color w:val="auto"/>
          <w:kern w:val="2"/>
          <w:sz w:val="24"/>
          <w:szCs w:val="24"/>
          <w:lang w:eastAsia="en-US"/>
          <w14:ligatures w14:val="standardContextual"/>
        </w:rPr>
        <w:t>]</w:t>
      </w:r>
    </w:p>
    <w:p w14:paraId="1E06C66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i/>
          <w:iCs/>
          <w:color w:val="auto"/>
          <w:kern w:val="2"/>
          <w:sz w:val="24"/>
          <w:szCs w:val="24"/>
          <w:lang w:eastAsia="en-US"/>
          <w14:ligatures w14:val="standardContextual"/>
        </w:rPr>
      </w:pPr>
      <w:bookmarkStart w:id="11" w:name="_Hlk179055360"/>
      <w:bookmarkEnd w:id="10"/>
      <w:r w:rsidRPr="00B450BF">
        <w:rPr>
          <w:rFonts w:ascii="Aptos" w:eastAsia="Aptos" w:hAnsi="Aptos" w:cs="Times New Roman"/>
          <w:i/>
          <w:iCs/>
          <w:color w:val="auto"/>
          <w:kern w:val="2"/>
          <w:sz w:val="24"/>
          <w:szCs w:val="24"/>
          <w:lang w:eastAsia="en-US"/>
          <w14:ligatures w14:val="standardContextual"/>
        </w:rPr>
        <w:t>Social Services and Wellbeing Act. S21. [online]. Available at:</w:t>
      </w:r>
      <w:r w:rsidRPr="00B450BF">
        <w:rPr>
          <w:rFonts w:ascii="Aptos" w:eastAsia="Aptos" w:hAnsi="Aptos" w:cs="Times New Roman"/>
          <w:color w:val="auto"/>
          <w:kern w:val="2"/>
          <w:sz w:val="24"/>
          <w:szCs w:val="24"/>
          <w:lang w:eastAsia="en-US"/>
          <w14:ligatures w14:val="standardContextual"/>
        </w:rPr>
        <w:t xml:space="preserve"> </w:t>
      </w:r>
      <w:hyperlink r:id="rId44" w:history="1">
        <w:r w:rsidRPr="00B450BF">
          <w:rPr>
            <w:rFonts w:ascii="Aptos" w:eastAsia="Aptos" w:hAnsi="Aptos" w:cs="Times New Roman"/>
            <w:i/>
            <w:iCs/>
            <w:color w:val="467886"/>
            <w:kern w:val="2"/>
            <w:sz w:val="24"/>
            <w:szCs w:val="24"/>
            <w:u w:val="single"/>
            <w:lang w:eastAsia="en-US"/>
            <w14:ligatures w14:val="standardContextual"/>
          </w:rPr>
          <w:t>https://www.legislation.gov.uk/anaw/2014/4/section/21</w:t>
        </w:r>
      </w:hyperlink>
      <w:r w:rsidRPr="00B450BF">
        <w:rPr>
          <w:rFonts w:ascii="Aptos" w:eastAsia="Aptos" w:hAnsi="Aptos" w:cs="Times New Roman"/>
          <w:i/>
          <w:iCs/>
          <w:color w:val="auto"/>
          <w:kern w:val="2"/>
          <w:sz w:val="24"/>
          <w:szCs w:val="24"/>
          <w:lang w:eastAsia="en-US"/>
          <w14:ligatures w14:val="standardContextual"/>
        </w:rPr>
        <w:t xml:space="preserve">  </w:t>
      </w:r>
      <w:r w:rsidRPr="00B450BF">
        <w:rPr>
          <w:rFonts w:ascii="Aptos" w:eastAsia="Aptos" w:hAnsi="Aptos" w:cs="Times New Roman"/>
          <w:color w:val="auto"/>
          <w:kern w:val="2"/>
          <w:sz w:val="24"/>
          <w:szCs w:val="24"/>
          <w:lang w:eastAsia="en-US"/>
          <w14:ligatures w14:val="standardContextual"/>
        </w:rPr>
        <w:t>[Accessed 9 September 2024</w:t>
      </w:r>
      <w:r w:rsidRPr="00B450BF">
        <w:rPr>
          <w:rFonts w:ascii="Aptos" w:eastAsia="Aptos" w:hAnsi="Aptos" w:cs="Times New Roman"/>
          <w:i/>
          <w:iCs/>
          <w:color w:val="auto"/>
          <w:kern w:val="2"/>
          <w:sz w:val="24"/>
          <w:szCs w:val="24"/>
          <w:lang w:eastAsia="en-US"/>
          <w14:ligatures w14:val="standardContextual"/>
        </w:rPr>
        <w:t>]</w:t>
      </w:r>
    </w:p>
    <w:p w14:paraId="04F6C0AE"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i/>
          <w:iCs/>
          <w:color w:val="auto"/>
          <w:kern w:val="2"/>
          <w:sz w:val="24"/>
          <w:szCs w:val="24"/>
          <w:lang w:eastAsia="en-US"/>
          <w14:ligatures w14:val="standardContextual"/>
        </w:rPr>
      </w:pPr>
      <w:bookmarkStart w:id="12" w:name="_Hlk178973063"/>
      <w:bookmarkEnd w:id="11"/>
      <w:r w:rsidRPr="00B450BF">
        <w:rPr>
          <w:rFonts w:ascii="Aptos" w:eastAsia="Aptos" w:hAnsi="Aptos" w:cs="Times New Roman"/>
          <w:i/>
          <w:iCs/>
          <w:color w:val="auto"/>
          <w:kern w:val="2"/>
          <w:sz w:val="24"/>
          <w:szCs w:val="24"/>
          <w:lang w:eastAsia="en-US"/>
          <w14:ligatures w14:val="standardContextual"/>
        </w:rPr>
        <w:t xml:space="preserve">Social Services and Wellbeing Act. S6. [online]. Available at: </w:t>
      </w:r>
      <w:hyperlink r:id="rId45" w:history="1">
        <w:r w:rsidRPr="00B450BF">
          <w:rPr>
            <w:rFonts w:ascii="Aptos" w:eastAsia="Aptos" w:hAnsi="Aptos" w:cs="Times New Roman"/>
            <w:i/>
            <w:iCs/>
            <w:color w:val="467886"/>
            <w:kern w:val="2"/>
            <w:sz w:val="24"/>
            <w:szCs w:val="24"/>
            <w:u w:val="single"/>
            <w:lang w:eastAsia="en-US"/>
            <w14:ligatures w14:val="standardContextual"/>
          </w:rPr>
          <w:t>https://www.legislation.gov.uk/anaw/2014/4/section/6</w:t>
        </w:r>
      </w:hyperlink>
      <w:r w:rsidRPr="00B450BF">
        <w:rPr>
          <w:rFonts w:ascii="Aptos" w:eastAsia="Aptos" w:hAnsi="Aptos" w:cs="Times New Roman"/>
          <w:i/>
          <w:iCs/>
          <w:color w:val="auto"/>
          <w:kern w:val="2"/>
          <w:sz w:val="24"/>
          <w:szCs w:val="24"/>
          <w:lang w:eastAsia="en-US"/>
          <w14:ligatures w14:val="standardContextual"/>
        </w:rPr>
        <w:t xml:space="preserve"> </w:t>
      </w:r>
      <w:r w:rsidRPr="00B450BF">
        <w:rPr>
          <w:rFonts w:ascii="Aptos" w:eastAsia="Aptos" w:hAnsi="Aptos" w:cs="Times New Roman"/>
          <w:color w:val="auto"/>
          <w:kern w:val="2"/>
          <w:sz w:val="24"/>
          <w:szCs w:val="24"/>
          <w:lang w:eastAsia="en-US"/>
          <w14:ligatures w14:val="standardContextual"/>
        </w:rPr>
        <w:t>[Accessed 2 July 2024</w:t>
      </w:r>
      <w:r w:rsidRPr="00B450BF">
        <w:rPr>
          <w:rFonts w:ascii="Aptos" w:eastAsia="Aptos" w:hAnsi="Aptos" w:cs="Times New Roman"/>
          <w:i/>
          <w:iCs/>
          <w:color w:val="auto"/>
          <w:kern w:val="2"/>
          <w:sz w:val="24"/>
          <w:szCs w:val="24"/>
          <w:lang w:eastAsia="en-US"/>
          <w14:ligatures w14:val="standardContextual"/>
        </w:rPr>
        <w:t>]</w:t>
      </w:r>
    </w:p>
    <w:bookmarkEnd w:id="12"/>
    <w:p w14:paraId="094A8378"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roofErr w:type="spellStart"/>
      <w:r w:rsidRPr="00B450BF">
        <w:rPr>
          <w:rFonts w:ascii="Aptos" w:eastAsia="Aptos" w:hAnsi="Aptos" w:cs="Times New Roman"/>
          <w:color w:val="auto"/>
          <w:kern w:val="2"/>
          <w:sz w:val="24"/>
          <w:szCs w:val="24"/>
          <w:lang w:eastAsia="en-US"/>
          <w14:ligatures w14:val="standardContextual"/>
        </w:rPr>
        <w:t>StatsWales</w:t>
      </w:r>
      <w:proofErr w:type="spellEnd"/>
      <w:r w:rsidRPr="00B450BF">
        <w:rPr>
          <w:rFonts w:ascii="Aptos" w:eastAsia="Aptos" w:hAnsi="Aptos" w:cs="Times New Roman"/>
          <w:color w:val="auto"/>
          <w:kern w:val="2"/>
          <w:sz w:val="24"/>
          <w:szCs w:val="24"/>
          <w:lang w:eastAsia="en-US"/>
          <w14:ligatures w14:val="standardContextual"/>
        </w:rPr>
        <w:t xml:space="preserve"> (2019) </w:t>
      </w:r>
      <w:r w:rsidRPr="00B450BF">
        <w:rPr>
          <w:rFonts w:ascii="Aptos" w:eastAsia="Aptos" w:hAnsi="Aptos" w:cs="Times New Roman"/>
          <w:i/>
          <w:iCs/>
          <w:color w:val="auto"/>
          <w:kern w:val="2"/>
          <w:sz w:val="24"/>
          <w:szCs w:val="24"/>
          <w:lang w:eastAsia="en-US"/>
          <w14:ligatures w14:val="standardContextual"/>
        </w:rPr>
        <w:t>Adults suspected of being at risk by local authority and measure</w:t>
      </w:r>
      <w:r w:rsidRPr="00B450BF">
        <w:rPr>
          <w:rFonts w:ascii="Aptos" w:eastAsia="Aptos" w:hAnsi="Aptos" w:cs="Times New Roman"/>
          <w:color w:val="auto"/>
          <w:kern w:val="2"/>
          <w:sz w:val="24"/>
          <w:szCs w:val="24"/>
          <w:lang w:eastAsia="en-US"/>
          <w14:ligatures w14:val="standardContextual"/>
        </w:rPr>
        <w:t xml:space="preserve">. [online]. Available at: </w:t>
      </w:r>
      <w:hyperlink r:id="rId46" w:history="1">
        <w:r w:rsidRPr="00B450BF">
          <w:rPr>
            <w:rFonts w:ascii="Aptos" w:eastAsia="Aptos" w:hAnsi="Aptos" w:cs="Times New Roman"/>
            <w:color w:val="467886"/>
            <w:kern w:val="2"/>
            <w:sz w:val="24"/>
            <w:szCs w:val="24"/>
            <w:u w:val="single"/>
            <w:lang w:eastAsia="en-US"/>
            <w14:ligatures w14:val="standardContextual"/>
          </w:rPr>
          <w:t>https://statswales.gov.wales/Catalogue/Health-and-Social-Care/Social-Services/Adult-Services/Adult-Safeguarding/adultssuspectedofbeingatrisk-by-localauthority-measure</w:t>
        </w:r>
      </w:hyperlink>
      <w:r w:rsidRPr="00B450BF">
        <w:rPr>
          <w:rFonts w:ascii="Aptos" w:eastAsia="Aptos" w:hAnsi="Aptos" w:cs="Times New Roman"/>
          <w:color w:val="auto"/>
          <w:kern w:val="2"/>
          <w:sz w:val="24"/>
          <w:szCs w:val="24"/>
          <w:lang w:eastAsia="en-US"/>
          <w14:ligatures w14:val="standardContextual"/>
        </w:rPr>
        <w:t xml:space="preserve"> [Accessed 26 September 2024]</w:t>
      </w:r>
    </w:p>
    <w:p w14:paraId="0AA2452D"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i/>
          <w:iCs/>
          <w:color w:val="auto"/>
          <w:kern w:val="2"/>
          <w:sz w:val="24"/>
          <w:szCs w:val="24"/>
          <w:lang w:eastAsia="en-US"/>
          <w14:ligatures w14:val="standardContextual"/>
        </w:rPr>
        <w:t>The Human Rights Act 1998, Article 8</w:t>
      </w:r>
      <w:r w:rsidRPr="00B450BF">
        <w:rPr>
          <w:rFonts w:ascii="Aptos" w:eastAsia="Aptos" w:hAnsi="Aptos" w:cs="Times New Roman"/>
          <w:color w:val="auto"/>
          <w:kern w:val="2"/>
          <w:sz w:val="24"/>
          <w:szCs w:val="24"/>
          <w:lang w:eastAsia="en-US"/>
          <w14:ligatures w14:val="standardContextual"/>
        </w:rPr>
        <w:t xml:space="preserve"> [Online] Available at: </w:t>
      </w:r>
      <w:hyperlink r:id="rId47" w:history="1">
        <w:r w:rsidRPr="00B450BF">
          <w:rPr>
            <w:rFonts w:ascii="Aptos" w:eastAsia="Aptos" w:hAnsi="Aptos" w:cs="Times New Roman"/>
            <w:color w:val="467886"/>
            <w:kern w:val="2"/>
            <w:sz w:val="24"/>
            <w:szCs w:val="24"/>
            <w:u w:val="single"/>
            <w:lang w:eastAsia="en-US"/>
            <w14:ligatures w14:val="standardContextual"/>
          </w:rPr>
          <w:t>https://www.legislation.gov.uk/ukpga/1998/42/schedule/1</w:t>
        </w:r>
      </w:hyperlink>
      <w:r w:rsidRPr="00B450BF">
        <w:rPr>
          <w:rFonts w:ascii="Aptos" w:eastAsia="Aptos" w:hAnsi="Aptos" w:cs="Times New Roman"/>
          <w:color w:val="auto"/>
          <w:kern w:val="2"/>
          <w:sz w:val="24"/>
          <w:szCs w:val="24"/>
          <w:lang w:eastAsia="en-US"/>
          <w14:ligatures w14:val="standardContextual"/>
        </w:rPr>
        <w:t xml:space="preserve"> [Accessed 10 September 2024]</w:t>
      </w:r>
    </w:p>
    <w:p w14:paraId="0E4473C4"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The United Nations Convention on the Rights of the Child (1990) </w:t>
      </w:r>
      <w:r w:rsidRPr="00B450BF">
        <w:rPr>
          <w:rFonts w:ascii="Aptos" w:eastAsia="Aptos" w:hAnsi="Aptos" w:cs="Times New Roman"/>
          <w:i/>
          <w:iCs/>
          <w:color w:val="auto"/>
          <w:kern w:val="2"/>
          <w:sz w:val="24"/>
          <w:szCs w:val="24"/>
          <w:lang w:eastAsia="en-US"/>
          <w14:ligatures w14:val="standardContextual"/>
        </w:rPr>
        <w:t>Convention on the Rights of the Child</w:t>
      </w:r>
      <w:r w:rsidRPr="00B450BF">
        <w:rPr>
          <w:rFonts w:ascii="Aptos" w:eastAsia="Aptos" w:hAnsi="Aptos" w:cs="Times New Roman"/>
          <w:color w:val="auto"/>
          <w:kern w:val="2"/>
          <w:sz w:val="24"/>
          <w:szCs w:val="24"/>
          <w:lang w:eastAsia="en-US"/>
          <w14:ligatures w14:val="standardContextual"/>
        </w:rPr>
        <w:t xml:space="preserve">. [online]. Available at: </w:t>
      </w:r>
      <w:hyperlink r:id="rId48" w:history="1">
        <w:r w:rsidRPr="00B450BF">
          <w:rPr>
            <w:rFonts w:ascii="Aptos" w:eastAsia="Aptos" w:hAnsi="Aptos" w:cs="Times New Roman"/>
            <w:color w:val="467886"/>
            <w:kern w:val="2"/>
            <w:sz w:val="24"/>
            <w:szCs w:val="24"/>
            <w:u w:val="single"/>
            <w:lang w:eastAsia="en-US"/>
            <w14:ligatures w14:val="standardContextual"/>
          </w:rPr>
          <w:t>https://www.unicef.org.uk/wp-content/uploads/2016/08/unicef-convention-rights-child-uncrc.pdf</w:t>
        </w:r>
      </w:hyperlink>
      <w:r w:rsidRPr="00B450BF">
        <w:rPr>
          <w:rFonts w:ascii="Aptos" w:eastAsia="Aptos" w:hAnsi="Aptos" w:cs="Times New Roman"/>
          <w:color w:val="auto"/>
          <w:kern w:val="2"/>
          <w:sz w:val="24"/>
          <w:szCs w:val="24"/>
          <w:lang w:eastAsia="en-US"/>
          <w14:ligatures w14:val="standardContextual"/>
        </w:rPr>
        <w:t xml:space="preserve"> [Accessed 14 September 2024]</w:t>
      </w:r>
    </w:p>
    <w:p w14:paraId="7319E451"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13" w:name="_Hlk178969729"/>
      <w:r w:rsidRPr="00B450BF">
        <w:rPr>
          <w:rFonts w:ascii="Aptos" w:eastAsia="Aptos" w:hAnsi="Aptos" w:cs="Times New Roman"/>
          <w:color w:val="auto"/>
          <w:kern w:val="2"/>
          <w:sz w:val="24"/>
          <w:szCs w:val="24"/>
          <w:lang w:eastAsia="en-US"/>
          <w14:ligatures w14:val="standardContextual"/>
        </w:rPr>
        <w:t xml:space="preserve">Thompson, N. (2015). </w:t>
      </w:r>
      <w:r w:rsidRPr="00B450BF">
        <w:rPr>
          <w:rFonts w:ascii="Aptos" w:eastAsia="Aptos" w:hAnsi="Aptos" w:cs="Times New Roman"/>
          <w:i/>
          <w:iCs/>
          <w:color w:val="auto"/>
          <w:kern w:val="2"/>
          <w:sz w:val="24"/>
          <w:szCs w:val="24"/>
          <w:lang w:eastAsia="en-US"/>
          <w14:ligatures w14:val="standardContextual"/>
        </w:rPr>
        <w:t xml:space="preserve">Understanding Social </w:t>
      </w:r>
      <w:proofErr w:type="gramStart"/>
      <w:r w:rsidRPr="00B450BF">
        <w:rPr>
          <w:rFonts w:ascii="Aptos" w:eastAsia="Aptos" w:hAnsi="Aptos" w:cs="Times New Roman"/>
          <w:i/>
          <w:iCs/>
          <w:color w:val="auto"/>
          <w:kern w:val="2"/>
          <w:sz w:val="24"/>
          <w:szCs w:val="24"/>
          <w:lang w:eastAsia="en-US"/>
          <w14:ligatures w14:val="standardContextual"/>
        </w:rPr>
        <w:t>Work :</w:t>
      </w:r>
      <w:proofErr w:type="gramEnd"/>
      <w:r w:rsidRPr="00B450BF">
        <w:rPr>
          <w:rFonts w:ascii="Aptos" w:eastAsia="Aptos" w:hAnsi="Aptos" w:cs="Times New Roman"/>
          <w:i/>
          <w:iCs/>
          <w:color w:val="auto"/>
          <w:kern w:val="2"/>
          <w:sz w:val="24"/>
          <w:szCs w:val="24"/>
          <w:lang w:eastAsia="en-US"/>
          <w14:ligatures w14:val="standardContextual"/>
        </w:rPr>
        <w:t xml:space="preserve"> Preparing for Practice. </w:t>
      </w:r>
      <w:r w:rsidRPr="00B450BF">
        <w:rPr>
          <w:rFonts w:ascii="Aptos" w:eastAsia="Aptos" w:hAnsi="Aptos" w:cs="Times New Roman"/>
          <w:color w:val="auto"/>
          <w:kern w:val="2"/>
          <w:sz w:val="24"/>
          <w:szCs w:val="24"/>
          <w:lang w:eastAsia="en-US"/>
          <w14:ligatures w14:val="standardContextual"/>
        </w:rPr>
        <w:t>4th Edition, London, Palgrave Macmillan, p.93.</w:t>
      </w:r>
    </w:p>
    <w:p w14:paraId="4358E785"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14" w:name="_Hlk178970076"/>
      <w:bookmarkEnd w:id="13"/>
      <w:r w:rsidRPr="00B450BF">
        <w:rPr>
          <w:rFonts w:ascii="Aptos" w:eastAsia="Aptos" w:hAnsi="Aptos" w:cs="Times New Roman"/>
          <w:color w:val="auto"/>
          <w:kern w:val="2"/>
          <w:sz w:val="24"/>
          <w:szCs w:val="24"/>
          <w:lang w:eastAsia="en-US"/>
          <w14:ligatures w14:val="standardContextual"/>
        </w:rPr>
        <w:t xml:space="preserve">Thompson, N. (2015). </w:t>
      </w:r>
      <w:r w:rsidRPr="00B450BF">
        <w:rPr>
          <w:rFonts w:ascii="Aptos" w:eastAsia="Aptos" w:hAnsi="Aptos" w:cs="Times New Roman"/>
          <w:i/>
          <w:iCs/>
          <w:color w:val="auto"/>
          <w:kern w:val="2"/>
          <w:sz w:val="24"/>
          <w:szCs w:val="24"/>
          <w:lang w:eastAsia="en-US"/>
          <w14:ligatures w14:val="standardContextual"/>
        </w:rPr>
        <w:t xml:space="preserve">Understanding Social </w:t>
      </w:r>
      <w:proofErr w:type="gramStart"/>
      <w:r w:rsidRPr="00B450BF">
        <w:rPr>
          <w:rFonts w:ascii="Aptos" w:eastAsia="Aptos" w:hAnsi="Aptos" w:cs="Times New Roman"/>
          <w:i/>
          <w:iCs/>
          <w:color w:val="auto"/>
          <w:kern w:val="2"/>
          <w:sz w:val="24"/>
          <w:szCs w:val="24"/>
          <w:lang w:eastAsia="en-US"/>
          <w14:ligatures w14:val="standardContextual"/>
        </w:rPr>
        <w:t>Work :</w:t>
      </w:r>
      <w:proofErr w:type="gramEnd"/>
      <w:r w:rsidRPr="00B450BF">
        <w:rPr>
          <w:rFonts w:ascii="Aptos" w:eastAsia="Aptos" w:hAnsi="Aptos" w:cs="Times New Roman"/>
          <w:i/>
          <w:iCs/>
          <w:color w:val="auto"/>
          <w:kern w:val="2"/>
          <w:sz w:val="24"/>
          <w:szCs w:val="24"/>
          <w:lang w:eastAsia="en-US"/>
          <w14:ligatures w14:val="standardContextual"/>
        </w:rPr>
        <w:t xml:space="preserve"> Preparing for Practice. </w:t>
      </w:r>
      <w:r w:rsidRPr="00B450BF">
        <w:rPr>
          <w:rFonts w:ascii="Aptos" w:eastAsia="Aptos" w:hAnsi="Aptos" w:cs="Times New Roman"/>
          <w:color w:val="auto"/>
          <w:kern w:val="2"/>
          <w:sz w:val="24"/>
          <w:szCs w:val="24"/>
          <w:lang w:eastAsia="en-US"/>
          <w14:ligatures w14:val="standardContextual"/>
        </w:rPr>
        <w:t>4</w:t>
      </w:r>
      <w:r w:rsidRPr="00B450BF">
        <w:rPr>
          <w:rFonts w:ascii="Aptos" w:eastAsia="Aptos" w:hAnsi="Aptos" w:cs="Times New Roman"/>
          <w:color w:val="auto"/>
          <w:kern w:val="2"/>
          <w:sz w:val="24"/>
          <w:szCs w:val="24"/>
          <w:vertAlign w:val="superscript"/>
          <w:lang w:eastAsia="en-US"/>
          <w14:ligatures w14:val="standardContextual"/>
        </w:rPr>
        <w:t>th</w:t>
      </w:r>
      <w:r w:rsidRPr="00B450BF">
        <w:rPr>
          <w:rFonts w:ascii="Aptos" w:eastAsia="Aptos" w:hAnsi="Aptos" w:cs="Times New Roman"/>
          <w:color w:val="auto"/>
          <w:kern w:val="2"/>
          <w:sz w:val="24"/>
          <w:szCs w:val="24"/>
          <w:lang w:eastAsia="en-US"/>
          <w14:ligatures w14:val="standardContextual"/>
        </w:rPr>
        <w:t xml:space="preserve"> Edition. London: Palgrave Macmillan, p94.</w:t>
      </w:r>
    </w:p>
    <w:p w14:paraId="44B6A8F7"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15" w:name="_Hlk179055627"/>
      <w:bookmarkEnd w:id="14"/>
      <w:r w:rsidRPr="00B450BF">
        <w:rPr>
          <w:rFonts w:ascii="Aptos" w:eastAsia="Aptos" w:hAnsi="Aptos" w:cs="Times New Roman"/>
          <w:color w:val="auto"/>
          <w:kern w:val="2"/>
          <w:sz w:val="24"/>
          <w:szCs w:val="24"/>
          <w:lang w:eastAsia="en-US"/>
          <w14:ligatures w14:val="standardContextual"/>
        </w:rPr>
        <w:t xml:space="preserve">Thompson, N. (2015). </w:t>
      </w:r>
      <w:r w:rsidRPr="00B450BF">
        <w:rPr>
          <w:rFonts w:ascii="Aptos" w:eastAsia="Aptos" w:hAnsi="Aptos" w:cs="Times New Roman"/>
          <w:i/>
          <w:iCs/>
          <w:color w:val="auto"/>
          <w:kern w:val="2"/>
          <w:sz w:val="24"/>
          <w:szCs w:val="24"/>
          <w:lang w:eastAsia="en-US"/>
          <w14:ligatures w14:val="standardContextual"/>
        </w:rPr>
        <w:t xml:space="preserve">Understanding Social </w:t>
      </w:r>
      <w:proofErr w:type="gramStart"/>
      <w:r w:rsidRPr="00B450BF">
        <w:rPr>
          <w:rFonts w:ascii="Aptos" w:eastAsia="Aptos" w:hAnsi="Aptos" w:cs="Times New Roman"/>
          <w:i/>
          <w:iCs/>
          <w:color w:val="auto"/>
          <w:kern w:val="2"/>
          <w:sz w:val="24"/>
          <w:szCs w:val="24"/>
          <w:lang w:eastAsia="en-US"/>
          <w14:ligatures w14:val="standardContextual"/>
        </w:rPr>
        <w:t>Work :</w:t>
      </w:r>
      <w:proofErr w:type="gramEnd"/>
      <w:r w:rsidRPr="00B450BF">
        <w:rPr>
          <w:rFonts w:ascii="Aptos" w:eastAsia="Aptos" w:hAnsi="Aptos" w:cs="Times New Roman"/>
          <w:i/>
          <w:iCs/>
          <w:color w:val="auto"/>
          <w:kern w:val="2"/>
          <w:sz w:val="24"/>
          <w:szCs w:val="24"/>
          <w:lang w:eastAsia="en-US"/>
          <w14:ligatures w14:val="standardContextual"/>
        </w:rPr>
        <w:t xml:space="preserve"> Preparing for Practice. </w:t>
      </w:r>
      <w:r w:rsidRPr="00B450BF">
        <w:rPr>
          <w:rFonts w:ascii="Aptos" w:eastAsia="Aptos" w:hAnsi="Aptos" w:cs="Times New Roman"/>
          <w:color w:val="auto"/>
          <w:kern w:val="2"/>
          <w:sz w:val="24"/>
          <w:szCs w:val="24"/>
          <w:lang w:eastAsia="en-US"/>
          <w14:ligatures w14:val="standardContextual"/>
        </w:rPr>
        <w:t>4</w:t>
      </w:r>
      <w:r w:rsidRPr="00B450BF">
        <w:rPr>
          <w:rFonts w:ascii="Aptos" w:eastAsia="Aptos" w:hAnsi="Aptos" w:cs="Times New Roman"/>
          <w:color w:val="auto"/>
          <w:kern w:val="2"/>
          <w:sz w:val="24"/>
          <w:szCs w:val="24"/>
          <w:vertAlign w:val="superscript"/>
          <w:lang w:eastAsia="en-US"/>
          <w14:ligatures w14:val="standardContextual"/>
        </w:rPr>
        <w:t>th</w:t>
      </w:r>
      <w:r w:rsidRPr="00B450BF">
        <w:rPr>
          <w:rFonts w:ascii="Aptos" w:eastAsia="Aptos" w:hAnsi="Aptos" w:cs="Times New Roman"/>
          <w:color w:val="auto"/>
          <w:kern w:val="2"/>
          <w:sz w:val="24"/>
          <w:szCs w:val="24"/>
          <w:lang w:eastAsia="en-US"/>
          <w14:ligatures w14:val="standardContextual"/>
        </w:rPr>
        <w:t xml:space="preserve"> Edition. London: Palgrave Macmillan, p119.</w:t>
      </w:r>
    </w:p>
    <w:bookmarkEnd w:id="15"/>
    <w:p w14:paraId="2E7CE8C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Thompson, N. (2015). </w:t>
      </w:r>
      <w:r w:rsidRPr="00B450BF">
        <w:rPr>
          <w:rFonts w:ascii="Aptos" w:eastAsia="Aptos" w:hAnsi="Aptos" w:cs="Times New Roman"/>
          <w:i/>
          <w:iCs/>
          <w:color w:val="auto"/>
          <w:kern w:val="2"/>
          <w:sz w:val="24"/>
          <w:szCs w:val="24"/>
          <w:lang w:eastAsia="en-US"/>
          <w14:ligatures w14:val="standardContextual"/>
        </w:rPr>
        <w:t xml:space="preserve">Understanding Social </w:t>
      </w:r>
      <w:proofErr w:type="gramStart"/>
      <w:r w:rsidRPr="00B450BF">
        <w:rPr>
          <w:rFonts w:ascii="Aptos" w:eastAsia="Aptos" w:hAnsi="Aptos" w:cs="Times New Roman"/>
          <w:i/>
          <w:iCs/>
          <w:color w:val="auto"/>
          <w:kern w:val="2"/>
          <w:sz w:val="24"/>
          <w:szCs w:val="24"/>
          <w:lang w:eastAsia="en-US"/>
          <w14:ligatures w14:val="standardContextual"/>
        </w:rPr>
        <w:t>Work :</w:t>
      </w:r>
      <w:proofErr w:type="gramEnd"/>
      <w:r w:rsidRPr="00B450BF">
        <w:rPr>
          <w:rFonts w:ascii="Aptos" w:eastAsia="Aptos" w:hAnsi="Aptos" w:cs="Times New Roman"/>
          <w:i/>
          <w:iCs/>
          <w:color w:val="auto"/>
          <w:kern w:val="2"/>
          <w:sz w:val="24"/>
          <w:szCs w:val="24"/>
          <w:lang w:eastAsia="en-US"/>
          <w14:ligatures w14:val="standardContextual"/>
        </w:rPr>
        <w:t xml:space="preserve"> Preparing for Practice. </w:t>
      </w:r>
      <w:r w:rsidRPr="00B450BF">
        <w:rPr>
          <w:rFonts w:ascii="Aptos" w:eastAsia="Aptos" w:hAnsi="Aptos" w:cs="Times New Roman"/>
          <w:color w:val="auto"/>
          <w:kern w:val="2"/>
          <w:sz w:val="24"/>
          <w:szCs w:val="24"/>
          <w:lang w:eastAsia="en-US"/>
          <w14:ligatures w14:val="standardContextual"/>
        </w:rPr>
        <w:t>4</w:t>
      </w:r>
      <w:r w:rsidRPr="00B450BF">
        <w:rPr>
          <w:rFonts w:ascii="Aptos" w:eastAsia="Aptos" w:hAnsi="Aptos" w:cs="Times New Roman"/>
          <w:color w:val="auto"/>
          <w:kern w:val="2"/>
          <w:sz w:val="24"/>
          <w:szCs w:val="24"/>
          <w:vertAlign w:val="superscript"/>
          <w:lang w:eastAsia="en-US"/>
          <w14:ligatures w14:val="standardContextual"/>
        </w:rPr>
        <w:t>th</w:t>
      </w:r>
      <w:r w:rsidRPr="00B450BF">
        <w:rPr>
          <w:rFonts w:ascii="Aptos" w:eastAsia="Aptos" w:hAnsi="Aptos" w:cs="Times New Roman"/>
          <w:color w:val="auto"/>
          <w:kern w:val="2"/>
          <w:sz w:val="24"/>
          <w:szCs w:val="24"/>
          <w:lang w:eastAsia="en-US"/>
          <w14:ligatures w14:val="standardContextual"/>
        </w:rPr>
        <w:t xml:space="preserve"> Edition. London: Palgrave Macmillan, p147.</w:t>
      </w:r>
    </w:p>
    <w:p w14:paraId="08FB7E27"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16" w:name="_Hlk178885984"/>
      <w:r w:rsidRPr="00B450BF">
        <w:rPr>
          <w:rFonts w:ascii="Aptos" w:eastAsia="Aptos" w:hAnsi="Aptos" w:cs="Times New Roman"/>
          <w:color w:val="auto"/>
          <w:kern w:val="2"/>
          <w:sz w:val="24"/>
          <w:szCs w:val="24"/>
          <w:lang w:eastAsia="en-US"/>
          <w14:ligatures w14:val="standardContextual"/>
        </w:rPr>
        <w:t xml:space="preserve">Thompson, N. (2015). </w:t>
      </w:r>
      <w:r w:rsidRPr="00B450BF">
        <w:rPr>
          <w:rFonts w:ascii="Aptos" w:eastAsia="Aptos" w:hAnsi="Aptos" w:cs="Times New Roman"/>
          <w:i/>
          <w:iCs/>
          <w:color w:val="auto"/>
          <w:kern w:val="2"/>
          <w:sz w:val="24"/>
          <w:szCs w:val="24"/>
          <w:lang w:eastAsia="en-US"/>
          <w14:ligatures w14:val="standardContextual"/>
        </w:rPr>
        <w:t xml:space="preserve">Understanding Social Work: Preparing for Practice. </w:t>
      </w:r>
      <w:r w:rsidRPr="00B450BF">
        <w:rPr>
          <w:rFonts w:ascii="Aptos" w:eastAsia="Aptos" w:hAnsi="Aptos" w:cs="Times New Roman"/>
          <w:color w:val="auto"/>
          <w:kern w:val="2"/>
          <w:sz w:val="24"/>
          <w:szCs w:val="24"/>
          <w:lang w:eastAsia="en-US"/>
          <w14:ligatures w14:val="standardContextual"/>
        </w:rPr>
        <w:t>4th Edition, London, Palgrave Macmillan, p99.</w:t>
      </w:r>
    </w:p>
    <w:bookmarkEnd w:id="16"/>
    <w:p w14:paraId="33235FCE"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lastRenderedPageBreak/>
        <w:t xml:space="preserve">Wakefield Safeguarding Children Partnership (2023). </w:t>
      </w:r>
      <w:r w:rsidRPr="00B450BF">
        <w:rPr>
          <w:rFonts w:ascii="Aptos" w:eastAsia="Aptos" w:hAnsi="Aptos" w:cs="Times New Roman"/>
          <w:i/>
          <w:iCs/>
          <w:color w:val="auto"/>
          <w:kern w:val="2"/>
          <w:sz w:val="24"/>
          <w:szCs w:val="24"/>
          <w:lang w:eastAsia="en-US"/>
          <w14:ligatures w14:val="standardContextual"/>
        </w:rPr>
        <w:t>Section 8 - Home Conditions &amp; Environment - Wakefield Safeguarding Knowledge Hub</w:t>
      </w:r>
      <w:r w:rsidRPr="00B450BF">
        <w:rPr>
          <w:rFonts w:ascii="Aptos" w:eastAsia="Aptos" w:hAnsi="Aptos" w:cs="Times New Roman"/>
          <w:color w:val="auto"/>
          <w:kern w:val="2"/>
          <w:sz w:val="24"/>
          <w:szCs w:val="24"/>
          <w:lang w:eastAsia="en-US"/>
          <w14:ligatures w14:val="standardContextual"/>
        </w:rPr>
        <w:t>. [online] Available at: https://hub.wakefieldscp.org.uk/neglect-toolkit/sections-guidance/section-8-home-conditions-environment/ [Accessed 11 Jun 2024].</w:t>
      </w:r>
    </w:p>
    <w:p w14:paraId="6F1F402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(2019a) </w:t>
      </w:r>
      <w:r w:rsidRPr="00B450BF">
        <w:rPr>
          <w:rFonts w:ascii="Aptos" w:eastAsia="Aptos" w:hAnsi="Aptos" w:cs="Times New Roman"/>
          <w:i/>
          <w:iCs/>
          <w:color w:val="auto"/>
          <w:kern w:val="2"/>
          <w:sz w:val="24"/>
          <w:szCs w:val="24"/>
          <w:lang w:eastAsia="en-US"/>
          <w14:ligatures w14:val="standardContextual"/>
        </w:rPr>
        <w:t>Glossary</w:t>
      </w:r>
      <w:r w:rsidRPr="00B450BF">
        <w:rPr>
          <w:rFonts w:ascii="Aptos" w:eastAsia="Aptos" w:hAnsi="Aptos" w:cs="Times New Roman"/>
          <w:color w:val="auto"/>
          <w:kern w:val="2"/>
          <w:sz w:val="24"/>
          <w:szCs w:val="24"/>
          <w:lang w:eastAsia="en-US"/>
          <w14:ligatures w14:val="standardContextual"/>
        </w:rPr>
        <w:t xml:space="preserve">. [online]. Available at: </w:t>
      </w:r>
      <w:hyperlink r:id="rId49" w:history="1">
        <w:r w:rsidRPr="00B450BF">
          <w:rPr>
            <w:rFonts w:ascii="Aptos" w:eastAsia="Aptos" w:hAnsi="Aptos" w:cs="Times New Roman"/>
            <w:color w:val="467886"/>
            <w:kern w:val="2"/>
            <w:sz w:val="24"/>
            <w:szCs w:val="24"/>
            <w:u w:val="single"/>
            <w:lang w:eastAsia="en-US"/>
            <w14:ligatures w14:val="standardContextual"/>
          </w:rPr>
          <w:t>https://safeguarding.wales/en/glossary/</w:t>
        </w:r>
      </w:hyperlink>
      <w:r w:rsidRPr="00B450BF">
        <w:rPr>
          <w:rFonts w:ascii="Aptos" w:eastAsia="Aptos" w:hAnsi="Aptos" w:cs="Times New Roman"/>
          <w:color w:val="auto"/>
          <w:kern w:val="2"/>
          <w:sz w:val="24"/>
          <w:szCs w:val="24"/>
          <w:lang w:eastAsia="en-US"/>
          <w14:ligatures w14:val="standardContextual"/>
        </w:rPr>
        <w:t xml:space="preserve"> [Accessed 9 September 2024]</w:t>
      </w:r>
    </w:p>
    <w:p w14:paraId="1CEDA5C3"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(2019b) </w:t>
      </w:r>
      <w:r w:rsidRPr="00B450BF">
        <w:rPr>
          <w:rFonts w:ascii="Aptos" w:eastAsia="Aptos" w:hAnsi="Aptos" w:cs="Times New Roman"/>
          <w:i/>
          <w:iCs/>
          <w:color w:val="auto"/>
          <w:kern w:val="2"/>
          <w:sz w:val="24"/>
          <w:szCs w:val="24"/>
          <w:lang w:eastAsia="en-US"/>
          <w14:ligatures w14:val="standardContextual"/>
        </w:rPr>
        <w:t xml:space="preserve">The Strategy Discussion/Meeting. </w:t>
      </w:r>
      <w:r w:rsidRPr="00B450BF">
        <w:rPr>
          <w:rFonts w:ascii="Aptos" w:eastAsia="Aptos" w:hAnsi="Aptos" w:cs="Times New Roman"/>
          <w:color w:val="auto"/>
          <w:kern w:val="2"/>
          <w:sz w:val="24"/>
          <w:szCs w:val="24"/>
          <w:lang w:eastAsia="en-US"/>
          <w14:ligatures w14:val="standardContextual"/>
        </w:rPr>
        <w:t xml:space="preserve">[online]. Available at: </w:t>
      </w:r>
      <w:hyperlink r:id="rId50" w:history="1">
        <w:r w:rsidRPr="00B450BF">
          <w:rPr>
            <w:rFonts w:ascii="Aptos" w:eastAsia="Aptos" w:hAnsi="Aptos" w:cs="Times New Roman"/>
            <w:color w:val="467886"/>
            <w:kern w:val="2"/>
            <w:sz w:val="24"/>
            <w:szCs w:val="24"/>
            <w:u w:val="single"/>
            <w:lang w:eastAsia="en-US"/>
            <w14:ligatures w14:val="standardContextual"/>
          </w:rPr>
          <w:t>https://safeguarding.wales/en/chi-i/chi-i-c3pt1/c3pt1-p8/</w:t>
        </w:r>
      </w:hyperlink>
      <w:r w:rsidRPr="00B450BF">
        <w:rPr>
          <w:rFonts w:ascii="Aptos" w:eastAsia="Aptos" w:hAnsi="Aptos" w:cs="Times New Roman"/>
          <w:color w:val="auto"/>
          <w:kern w:val="2"/>
          <w:sz w:val="24"/>
          <w:szCs w:val="24"/>
          <w:lang w:eastAsia="en-US"/>
          <w14:ligatures w14:val="standardContextual"/>
        </w:rPr>
        <w:t xml:space="preserve"> [Accessed 9 September 2024]</w:t>
      </w:r>
    </w:p>
    <w:p w14:paraId="63FCF24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(2019c) </w:t>
      </w:r>
      <w:r w:rsidRPr="00B450BF">
        <w:rPr>
          <w:rFonts w:ascii="Aptos" w:eastAsia="Aptos" w:hAnsi="Aptos" w:cs="Times New Roman"/>
          <w:i/>
          <w:iCs/>
          <w:color w:val="auto"/>
          <w:kern w:val="2"/>
          <w:sz w:val="24"/>
          <w:szCs w:val="24"/>
          <w:lang w:eastAsia="en-US"/>
          <w14:ligatures w14:val="standardContextual"/>
        </w:rPr>
        <w:t xml:space="preserve">Action following a report: initial checks and decisions. </w:t>
      </w:r>
      <w:r w:rsidRPr="00B450BF">
        <w:rPr>
          <w:rFonts w:ascii="Aptos" w:eastAsia="Aptos" w:hAnsi="Aptos" w:cs="Times New Roman"/>
          <w:color w:val="auto"/>
          <w:kern w:val="2"/>
          <w:sz w:val="24"/>
          <w:szCs w:val="24"/>
          <w:lang w:eastAsia="en-US"/>
          <w14:ligatures w14:val="standardContextual"/>
        </w:rPr>
        <w:t xml:space="preserve">[online]. Available at: </w:t>
      </w:r>
      <w:hyperlink r:id="rId51" w:history="1">
        <w:r w:rsidRPr="00B450BF">
          <w:rPr>
            <w:rFonts w:ascii="Aptos" w:eastAsia="Aptos" w:hAnsi="Aptos" w:cs="Times New Roman"/>
            <w:color w:val="467886"/>
            <w:kern w:val="2"/>
            <w:sz w:val="24"/>
            <w:szCs w:val="24"/>
            <w:u w:val="single"/>
            <w:lang w:eastAsia="en-US"/>
            <w14:ligatures w14:val="standardContextual"/>
          </w:rPr>
          <w:t>https://safeguarding.wales/en/chi-i/chi-i-c3pt1/c3pt1-p4/</w:t>
        </w:r>
      </w:hyperlink>
      <w:r w:rsidRPr="00B450BF">
        <w:rPr>
          <w:rFonts w:ascii="Aptos" w:eastAsia="Aptos" w:hAnsi="Aptos" w:cs="Times New Roman"/>
          <w:color w:val="auto"/>
          <w:kern w:val="2"/>
          <w:sz w:val="24"/>
          <w:szCs w:val="24"/>
          <w:lang w:eastAsia="en-US"/>
          <w14:ligatures w14:val="standardContextual"/>
        </w:rPr>
        <w:t xml:space="preserve"> [Accessed 11 September 2024]</w:t>
      </w:r>
    </w:p>
    <w:p w14:paraId="79E819E2"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(2019d) </w:t>
      </w:r>
      <w:r w:rsidRPr="00B450BF">
        <w:rPr>
          <w:rFonts w:ascii="Aptos" w:eastAsia="Aptos" w:hAnsi="Aptos" w:cs="Times New Roman"/>
          <w:i/>
          <w:iCs/>
          <w:color w:val="auto"/>
          <w:kern w:val="2"/>
          <w:sz w:val="24"/>
          <w:szCs w:val="24"/>
          <w:lang w:eastAsia="en-US"/>
          <w14:ligatures w14:val="standardContextual"/>
        </w:rPr>
        <w:t>Engaging the child and family during initial checks and discussions</w:t>
      </w:r>
      <w:r w:rsidRPr="00B450BF">
        <w:rPr>
          <w:rFonts w:ascii="Aptos" w:eastAsia="Aptos" w:hAnsi="Aptos" w:cs="Times New Roman"/>
          <w:color w:val="auto"/>
          <w:kern w:val="2"/>
          <w:sz w:val="24"/>
          <w:szCs w:val="24"/>
          <w:lang w:eastAsia="en-US"/>
          <w14:ligatures w14:val="standardContextual"/>
        </w:rPr>
        <w:t xml:space="preserve">. [ongoing]. Available at: </w:t>
      </w:r>
      <w:hyperlink r:id="rId52" w:history="1">
        <w:r w:rsidRPr="00B450BF">
          <w:rPr>
            <w:rFonts w:ascii="Aptos" w:eastAsia="Aptos" w:hAnsi="Aptos" w:cs="Times New Roman"/>
            <w:color w:val="467886"/>
            <w:kern w:val="2"/>
            <w:sz w:val="24"/>
            <w:szCs w:val="24"/>
            <w:u w:val="single"/>
            <w:lang w:eastAsia="en-US"/>
            <w14:ligatures w14:val="standardContextual"/>
          </w:rPr>
          <w:t>https://safeguarding.wales/en/chi-i/chi-i-c3pt1/c3pt1-p5/</w:t>
        </w:r>
      </w:hyperlink>
      <w:r w:rsidRPr="00B450BF">
        <w:rPr>
          <w:rFonts w:ascii="Aptos" w:eastAsia="Aptos" w:hAnsi="Aptos" w:cs="Times New Roman"/>
          <w:color w:val="auto"/>
          <w:kern w:val="2"/>
          <w:sz w:val="24"/>
          <w:szCs w:val="24"/>
          <w:lang w:eastAsia="en-US"/>
          <w14:ligatures w14:val="standardContextual"/>
        </w:rPr>
        <w:t xml:space="preserve"> [Accessed 12 September 2024]</w:t>
      </w:r>
    </w:p>
    <w:p w14:paraId="5835EFDB"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(2019e) </w:t>
      </w:r>
      <w:r w:rsidRPr="00B450BF">
        <w:rPr>
          <w:rFonts w:ascii="Aptos" w:eastAsia="Aptos" w:hAnsi="Aptos" w:cs="Times New Roman"/>
          <w:i/>
          <w:iCs/>
          <w:color w:val="auto"/>
          <w:kern w:val="2"/>
          <w:sz w:val="24"/>
          <w:szCs w:val="24"/>
          <w:lang w:eastAsia="en-US"/>
          <w14:ligatures w14:val="standardContextual"/>
        </w:rPr>
        <w:t>The Strategy Discussion/ Meeting.</w:t>
      </w:r>
      <w:r w:rsidRPr="00B450BF">
        <w:rPr>
          <w:rFonts w:ascii="Aptos" w:eastAsia="Aptos" w:hAnsi="Aptos" w:cs="Times New Roman"/>
          <w:color w:val="auto"/>
          <w:kern w:val="2"/>
          <w:sz w:val="24"/>
          <w:szCs w:val="24"/>
          <w:lang w:eastAsia="en-US"/>
          <w14:ligatures w14:val="standardContextual"/>
        </w:rPr>
        <w:t xml:space="preserve"> [online]. Available at: </w:t>
      </w:r>
      <w:hyperlink r:id="rId53" w:history="1">
        <w:r w:rsidRPr="00B450BF">
          <w:rPr>
            <w:rFonts w:ascii="Aptos" w:eastAsia="Aptos" w:hAnsi="Aptos" w:cs="Times New Roman"/>
            <w:color w:val="467886"/>
            <w:kern w:val="2"/>
            <w:sz w:val="24"/>
            <w:szCs w:val="24"/>
            <w:u w:val="single"/>
            <w:lang w:eastAsia="en-US"/>
            <w14:ligatures w14:val="standardContextual"/>
          </w:rPr>
          <w:t>https://safeguarding.wales/en/chi-i/chi-i-c3pt1/c3pt1-p8/</w:t>
        </w:r>
      </w:hyperlink>
      <w:r w:rsidRPr="00B450BF">
        <w:rPr>
          <w:rFonts w:ascii="Aptos" w:eastAsia="Aptos" w:hAnsi="Aptos" w:cs="Times New Roman"/>
          <w:color w:val="auto"/>
          <w:kern w:val="2"/>
          <w:sz w:val="24"/>
          <w:szCs w:val="24"/>
          <w:lang w:eastAsia="en-US"/>
          <w14:ligatures w14:val="standardContextual"/>
        </w:rPr>
        <w:t xml:space="preserve"> [Accessed 13 September 2024]</w:t>
      </w:r>
    </w:p>
    <w:p w14:paraId="283F8F09"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(2019f) </w:t>
      </w:r>
      <w:r w:rsidRPr="00B450BF">
        <w:rPr>
          <w:rFonts w:ascii="Aptos" w:eastAsia="Aptos" w:hAnsi="Aptos" w:cs="Times New Roman"/>
          <w:i/>
          <w:iCs/>
          <w:color w:val="auto"/>
          <w:kern w:val="2"/>
          <w:sz w:val="24"/>
          <w:szCs w:val="24"/>
          <w:lang w:eastAsia="en-US"/>
          <w14:ligatures w14:val="standardContextual"/>
        </w:rPr>
        <w:t>S47 enquiries determinations</w:t>
      </w:r>
      <w:r w:rsidRPr="00B450BF">
        <w:rPr>
          <w:rFonts w:ascii="Aptos" w:eastAsia="Aptos" w:hAnsi="Aptos" w:cs="Times New Roman"/>
          <w:color w:val="auto"/>
          <w:kern w:val="2"/>
          <w:sz w:val="24"/>
          <w:szCs w:val="24"/>
          <w:lang w:eastAsia="en-US"/>
          <w14:ligatures w14:val="standardContextual"/>
        </w:rPr>
        <w:t xml:space="preserve">. [online]. Available at: </w:t>
      </w:r>
      <w:hyperlink r:id="rId54" w:anchor=":~:text=S47%20enquiries%20determinations.%20Section%203%20part%202.%20It%20is%20essential" w:history="1">
        <w:r w:rsidRPr="00B450BF">
          <w:rPr>
            <w:rFonts w:ascii="Aptos" w:eastAsia="Aptos" w:hAnsi="Aptos" w:cs="Times New Roman"/>
            <w:color w:val="467886"/>
            <w:kern w:val="2"/>
            <w:sz w:val="24"/>
            <w:szCs w:val="24"/>
            <w:u w:val="single"/>
            <w:lang w:eastAsia="en-US"/>
            <w14:ligatures w14:val="standardContextual"/>
          </w:rPr>
          <w:t>https://safeguarding.wales/en/chi-i/chi-i-c3pt2/c3pt2-p3/#:~:text=S47%20enquiries%20determinations.%20Section%203%20part%202.%20It%20is%20essential</w:t>
        </w:r>
      </w:hyperlink>
      <w:r w:rsidRPr="00B450BF">
        <w:rPr>
          <w:rFonts w:ascii="Aptos" w:eastAsia="Aptos" w:hAnsi="Aptos" w:cs="Times New Roman"/>
          <w:color w:val="auto"/>
          <w:kern w:val="2"/>
          <w:sz w:val="24"/>
          <w:szCs w:val="24"/>
          <w:lang w:eastAsia="en-US"/>
          <w14:ligatures w14:val="standardContextual"/>
        </w:rPr>
        <w:t xml:space="preserve"> [Accessed 19 September 2024]</w:t>
      </w:r>
    </w:p>
    <w:p w14:paraId="295F0405"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(2019g) </w:t>
      </w:r>
      <w:r w:rsidRPr="00B450BF">
        <w:rPr>
          <w:rFonts w:ascii="Aptos" w:eastAsia="Aptos" w:hAnsi="Aptos" w:cs="Times New Roman"/>
          <w:i/>
          <w:iCs/>
          <w:color w:val="auto"/>
          <w:kern w:val="2"/>
          <w:sz w:val="24"/>
          <w:szCs w:val="24"/>
          <w:lang w:eastAsia="en-US"/>
          <w14:ligatures w14:val="standardContextual"/>
        </w:rPr>
        <w:t>Glossary</w:t>
      </w:r>
      <w:r w:rsidRPr="00B450BF">
        <w:rPr>
          <w:rFonts w:ascii="Aptos" w:eastAsia="Aptos" w:hAnsi="Aptos" w:cs="Times New Roman"/>
          <w:color w:val="auto"/>
          <w:kern w:val="2"/>
          <w:sz w:val="24"/>
          <w:szCs w:val="24"/>
          <w:lang w:eastAsia="en-US"/>
          <w14:ligatures w14:val="standardContextual"/>
        </w:rPr>
        <w:t xml:space="preserve">. [online]. Available at: </w:t>
      </w:r>
      <w:hyperlink r:id="rId55" w:history="1">
        <w:r w:rsidRPr="00B450BF">
          <w:rPr>
            <w:rFonts w:ascii="Aptos" w:eastAsia="Aptos" w:hAnsi="Aptos" w:cs="Times New Roman"/>
            <w:color w:val="467886"/>
            <w:kern w:val="2"/>
            <w:sz w:val="24"/>
            <w:szCs w:val="24"/>
            <w:u w:val="single"/>
            <w:lang w:eastAsia="en-US"/>
            <w14:ligatures w14:val="standardContextual"/>
          </w:rPr>
          <w:t>https://safeguarding.wales/en/glossary/</w:t>
        </w:r>
      </w:hyperlink>
      <w:r w:rsidRPr="00B450BF">
        <w:rPr>
          <w:rFonts w:ascii="Aptos" w:eastAsia="Aptos" w:hAnsi="Aptos" w:cs="Times New Roman"/>
          <w:color w:val="auto"/>
          <w:kern w:val="2"/>
          <w:sz w:val="24"/>
          <w:szCs w:val="24"/>
          <w:lang w:eastAsia="en-US"/>
          <w14:ligatures w14:val="standardContextual"/>
        </w:rPr>
        <w:t xml:space="preserve"> [Accessed 25 September 2024]</w:t>
      </w:r>
    </w:p>
    <w:p w14:paraId="3D29ECB0"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(2019h) </w:t>
      </w:r>
      <w:r w:rsidRPr="00B450BF">
        <w:rPr>
          <w:rFonts w:ascii="Aptos" w:eastAsia="Aptos" w:hAnsi="Aptos" w:cs="Times New Roman"/>
          <w:i/>
          <w:iCs/>
          <w:color w:val="auto"/>
          <w:kern w:val="2"/>
          <w:sz w:val="24"/>
          <w:szCs w:val="24"/>
          <w:lang w:eastAsia="en-US"/>
          <w14:ligatures w14:val="standardContextual"/>
        </w:rPr>
        <w:t>Pointers for Practice: Signs and Indicators of Possible Abuse and Neglect in an Adult at risk</w:t>
      </w:r>
      <w:r w:rsidRPr="00B450BF">
        <w:rPr>
          <w:rFonts w:ascii="Aptos" w:eastAsia="Aptos" w:hAnsi="Aptos" w:cs="Times New Roman"/>
          <w:color w:val="auto"/>
          <w:kern w:val="2"/>
          <w:sz w:val="24"/>
          <w:szCs w:val="24"/>
          <w:lang w:eastAsia="en-US"/>
          <w14:ligatures w14:val="standardContextual"/>
        </w:rPr>
        <w:t xml:space="preserve">. [online]. Available at: </w:t>
      </w:r>
      <w:hyperlink r:id="rId56" w:history="1">
        <w:r w:rsidRPr="00B450BF">
          <w:rPr>
            <w:rFonts w:ascii="Aptos" w:eastAsia="Aptos" w:hAnsi="Aptos" w:cs="Times New Roman"/>
            <w:color w:val="467886"/>
            <w:kern w:val="2"/>
            <w:sz w:val="24"/>
            <w:szCs w:val="24"/>
            <w:u w:val="single"/>
            <w:lang w:eastAsia="en-US"/>
            <w14:ligatures w14:val="standardContextual"/>
          </w:rPr>
          <w:t>https://safeguarding.wales/en/adu-i/adu-i-ap/a1p-p2/</w:t>
        </w:r>
      </w:hyperlink>
      <w:r w:rsidRPr="00B450BF">
        <w:rPr>
          <w:rFonts w:ascii="Aptos" w:eastAsia="Aptos" w:hAnsi="Aptos" w:cs="Times New Roman"/>
          <w:color w:val="auto"/>
          <w:kern w:val="2"/>
          <w:sz w:val="24"/>
          <w:szCs w:val="24"/>
          <w:lang w:eastAsia="en-US"/>
          <w14:ligatures w14:val="standardContextual"/>
        </w:rPr>
        <w:t xml:space="preserve"> [Accessed 26 September 2024]</w:t>
      </w:r>
    </w:p>
    <w:p w14:paraId="0C69F09C"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(2019i) </w:t>
      </w:r>
      <w:r w:rsidRPr="00B450BF">
        <w:rPr>
          <w:rFonts w:ascii="Aptos" w:eastAsia="Aptos" w:hAnsi="Aptos" w:cs="Times New Roman"/>
          <w:i/>
          <w:iCs/>
          <w:color w:val="auto"/>
          <w:kern w:val="2"/>
          <w:sz w:val="24"/>
          <w:szCs w:val="24"/>
          <w:lang w:eastAsia="en-US"/>
          <w14:ligatures w14:val="standardContextual"/>
        </w:rPr>
        <w:t>Recognising an adult at risk of abuse and neglect</w:t>
      </w:r>
      <w:r w:rsidRPr="00B450BF">
        <w:rPr>
          <w:rFonts w:ascii="Aptos" w:eastAsia="Aptos" w:hAnsi="Aptos" w:cs="Times New Roman"/>
          <w:color w:val="auto"/>
          <w:kern w:val="2"/>
          <w:sz w:val="24"/>
          <w:szCs w:val="24"/>
          <w:lang w:eastAsia="en-US"/>
          <w14:ligatures w14:val="standardContextual"/>
        </w:rPr>
        <w:t xml:space="preserve">. [online]. Available at: </w:t>
      </w:r>
      <w:hyperlink r:id="rId57" w:history="1">
        <w:r w:rsidRPr="00B450BF">
          <w:rPr>
            <w:rFonts w:ascii="Aptos" w:eastAsia="Aptos" w:hAnsi="Aptos" w:cs="Times New Roman"/>
            <w:color w:val="467886"/>
            <w:kern w:val="2"/>
            <w:sz w:val="24"/>
            <w:szCs w:val="24"/>
            <w:u w:val="single"/>
            <w:lang w:eastAsia="en-US"/>
            <w14:ligatures w14:val="standardContextual"/>
          </w:rPr>
          <w:t>https://safeguarding.wales/en/adu-i/adu-i-a2/a2-p8/</w:t>
        </w:r>
      </w:hyperlink>
      <w:r w:rsidRPr="00B450BF">
        <w:rPr>
          <w:rFonts w:ascii="Aptos" w:eastAsia="Aptos" w:hAnsi="Aptos" w:cs="Times New Roman"/>
          <w:color w:val="auto"/>
          <w:kern w:val="2"/>
          <w:sz w:val="24"/>
          <w:szCs w:val="24"/>
          <w:lang w:eastAsia="en-US"/>
          <w14:ligatures w14:val="standardContextual"/>
        </w:rPr>
        <w:t xml:space="preserve"> [Accessed 26 September 2024]</w:t>
      </w:r>
    </w:p>
    <w:p w14:paraId="57404DE3"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(2019j) </w:t>
      </w:r>
      <w:r w:rsidRPr="00B450BF">
        <w:rPr>
          <w:rFonts w:ascii="Aptos" w:eastAsia="Aptos" w:hAnsi="Aptos" w:cs="Times New Roman"/>
          <w:i/>
          <w:iCs/>
          <w:color w:val="auto"/>
          <w:kern w:val="2"/>
          <w:sz w:val="24"/>
          <w:szCs w:val="24"/>
          <w:lang w:eastAsia="en-US"/>
          <w14:ligatures w14:val="standardContextual"/>
        </w:rPr>
        <w:t>Wales Safeguarding Procedures</w:t>
      </w:r>
      <w:r w:rsidRPr="00B450BF">
        <w:rPr>
          <w:rFonts w:ascii="Aptos" w:eastAsia="Aptos" w:hAnsi="Aptos" w:cs="Times New Roman"/>
          <w:color w:val="auto"/>
          <w:kern w:val="2"/>
          <w:sz w:val="24"/>
          <w:szCs w:val="24"/>
          <w:lang w:eastAsia="en-US"/>
          <w14:ligatures w14:val="standardContextual"/>
        </w:rPr>
        <w:t xml:space="preserve">. [online]. Available at: </w:t>
      </w:r>
      <w:hyperlink r:id="rId58" w:history="1">
        <w:r w:rsidRPr="00B450BF">
          <w:rPr>
            <w:rFonts w:ascii="Aptos" w:eastAsia="Aptos" w:hAnsi="Aptos" w:cs="Times New Roman"/>
            <w:color w:val="467886"/>
            <w:kern w:val="2"/>
            <w:sz w:val="24"/>
            <w:szCs w:val="24"/>
            <w:u w:val="single"/>
            <w:lang w:eastAsia="en-US"/>
            <w14:ligatures w14:val="standardContextual"/>
          </w:rPr>
          <w:t>https://safeguarding.wales/en/</w:t>
        </w:r>
      </w:hyperlink>
      <w:r w:rsidRPr="00B450BF">
        <w:rPr>
          <w:rFonts w:ascii="Aptos" w:eastAsia="Aptos" w:hAnsi="Aptos" w:cs="Times New Roman"/>
          <w:color w:val="auto"/>
          <w:kern w:val="2"/>
          <w:sz w:val="24"/>
          <w:szCs w:val="24"/>
          <w:lang w:eastAsia="en-US"/>
          <w14:ligatures w14:val="standardContextual"/>
        </w:rPr>
        <w:t xml:space="preserve"> [Accessed 26 September 2024]</w:t>
      </w:r>
    </w:p>
    <w:p w14:paraId="58F8E6AA"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Wales Safeguarding Procedures (2019k) </w:t>
      </w:r>
      <w:r w:rsidRPr="00B450BF">
        <w:rPr>
          <w:rFonts w:ascii="Aptos" w:eastAsia="Aptos" w:hAnsi="Aptos" w:cs="Times New Roman"/>
          <w:i/>
          <w:iCs/>
          <w:color w:val="auto"/>
          <w:kern w:val="2"/>
          <w:sz w:val="24"/>
          <w:szCs w:val="24"/>
          <w:lang w:eastAsia="en-US"/>
          <w14:ligatures w14:val="standardContextual"/>
        </w:rPr>
        <w:t>Engaging the child and family during initial checks and discussions</w:t>
      </w:r>
      <w:r w:rsidRPr="00B450BF">
        <w:rPr>
          <w:rFonts w:ascii="Aptos" w:eastAsia="Aptos" w:hAnsi="Aptos" w:cs="Times New Roman"/>
          <w:color w:val="auto"/>
          <w:kern w:val="2"/>
          <w:sz w:val="24"/>
          <w:szCs w:val="24"/>
          <w:lang w:eastAsia="en-US"/>
          <w14:ligatures w14:val="standardContextual"/>
        </w:rPr>
        <w:t xml:space="preserve">. [online]. Available at: </w:t>
      </w:r>
      <w:hyperlink r:id="rId59" w:history="1">
        <w:r w:rsidRPr="00B450BF">
          <w:rPr>
            <w:rFonts w:ascii="Aptos" w:eastAsia="Aptos" w:hAnsi="Aptos" w:cs="Times New Roman"/>
            <w:color w:val="467886"/>
            <w:kern w:val="2"/>
            <w:sz w:val="24"/>
            <w:szCs w:val="24"/>
            <w:u w:val="single"/>
            <w:lang w:eastAsia="en-US"/>
            <w14:ligatures w14:val="standardContextual"/>
          </w:rPr>
          <w:t>https://safeguarding.wales/en/chi-i/chi-i-c3pt1/c3pt1-p5/</w:t>
        </w:r>
      </w:hyperlink>
      <w:r w:rsidRPr="00B450BF">
        <w:rPr>
          <w:rFonts w:ascii="Aptos" w:eastAsia="Aptos" w:hAnsi="Aptos" w:cs="Times New Roman"/>
          <w:color w:val="auto"/>
          <w:kern w:val="2"/>
          <w:sz w:val="24"/>
          <w:szCs w:val="24"/>
          <w:lang w:eastAsia="en-US"/>
          <w14:ligatures w14:val="standardContextual"/>
        </w:rPr>
        <w:t xml:space="preserve"> [Accessed 26 September 2024]</w:t>
      </w:r>
    </w:p>
    <w:p w14:paraId="5FB5E27F"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17" w:name="_Hlk178969300"/>
      <w:r w:rsidRPr="00B450BF">
        <w:rPr>
          <w:rFonts w:ascii="Aptos" w:eastAsia="Aptos" w:hAnsi="Aptos" w:cs="Times New Roman"/>
          <w:color w:val="auto"/>
          <w:kern w:val="2"/>
          <w:sz w:val="24"/>
          <w:szCs w:val="24"/>
          <w:lang w:eastAsia="en-US"/>
          <w14:ligatures w14:val="standardContextual"/>
        </w:rPr>
        <w:lastRenderedPageBreak/>
        <w:t xml:space="preserve">Welsh Government (2015) </w:t>
      </w:r>
      <w:r w:rsidRPr="00B450BF">
        <w:rPr>
          <w:rFonts w:ascii="Aptos" w:eastAsia="Aptos" w:hAnsi="Aptos" w:cs="Times New Roman"/>
          <w:i/>
          <w:iCs/>
          <w:color w:val="auto"/>
          <w:kern w:val="2"/>
          <w:sz w:val="24"/>
          <w:szCs w:val="24"/>
          <w:lang w:eastAsia="en-US"/>
          <w14:ligatures w14:val="standardContextual"/>
        </w:rPr>
        <w:t>More than just words…Delivering the ‘active offer’ Information Pack</w:t>
      </w:r>
      <w:r w:rsidRPr="00B450BF">
        <w:rPr>
          <w:rFonts w:ascii="Aptos" w:eastAsia="Aptos" w:hAnsi="Aptos" w:cs="Times New Roman"/>
          <w:color w:val="auto"/>
          <w:kern w:val="2"/>
          <w:sz w:val="24"/>
          <w:szCs w:val="24"/>
          <w:lang w:eastAsia="en-US"/>
          <w14:ligatures w14:val="standardContextual"/>
        </w:rPr>
        <w:t xml:space="preserve">. [online]. Available at: </w:t>
      </w:r>
      <w:hyperlink r:id="rId60" w:history="1">
        <w:r w:rsidRPr="00B450BF">
          <w:rPr>
            <w:rFonts w:ascii="Aptos" w:eastAsia="Aptos" w:hAnsi="Aptos" w:cs="Times New Roman"/>
            <w:color w:val="467886"/>
            <w:kern w:val="2"/>
            <w:sz w:val="24"/>
            <w:szCs w:val="24"/>
            <w:u w:val="single"/>
            <w:lang w:eastAsia="en-US"/>
            <w14:ligatures w14:val="standardContextual"/>
          </w:rPr>
          <w:t>https://socialcare.wales/cms-assets/documents/150928activeoffersocialservicesen.pdf</w:t>
        </w:r>
      </w:hyperlink>
      <w:r w:rsidRPr="00B450BF">
        <w:rPr>
          <w:rFonts w:ascii="Aptos" w:eastAsia="Aptos" w:hAnsi="Aptos" w:cs="Times New Roman"/>
          <w:color w:val="auto"/>
          <w:kern w:val="2"/>
          <w:sz w:val="24"/>
          <w:szCs w:val="24"/>
          <w:lang w:eastAsia="en-US"/>
          <w14:ligatures w14:val="standardContextual"/>
        </w:rPr>
        <w:t xml:space="preserve"> [Accessed 1 July 2024]</w:t>
      </w:r>
    </w:p>
    <w:bookmarkEnd w:id="17"/>
    <w:p w14:paraId="5FBEFAB3"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Welsh Government (2015) </w:t>
      </w:r>
      <w:r w:rsidRPr="00B450BF">
        <w:rPr>
          <w:rFonts w:ascii="Aptos" w:eastAsia="Aptos" w:hAnsi="Aptos" w:cs="Times New Roman"/>
          <w:i/>
          <w:iCs/>
          <w:color w:val="auto"/>
          <w:kern w:val="2"/>
          <w:sz w:val="24"/>
          <w:szCs w:val="24"/>
          <w:lang w:eastAsia="en-US"/>
          <w14:ligatures w14:val="standardContextual"/>
        </w:rPr>
        <w:t>More than just words…Delivering the ‘active offer’ Information Pack</w:t>
      </w:r>
      <w:r w:rsidRPr="00B450BF">
        <w:rPr>
          <w:rFonts w:ascii="Aptos" w:eastAsia="Aptos" w:hAnsi="Aptos" w:cs="Times New Roman"/>
          <w:color w:val="auto"/>
          <w:kern w:val="2"/>
          <w:sz w:val="24"/>
          <w:szCs w:val="24"/>
          <w:lang w:eastAsia="en-US"/>
          <w14:ligatures w14:val="standardContextual"/>
        </w:rPr>
        <w:t xml:space="preserve">. [online]. Available at: </w:t>
      </w:r>
      <w:hyperlink r:id="rId61" w:history="1">
        <w:r w:rsidRPr="00B450BF">
          <w:rPr>
            <w:rFonts w:ascii="Aptos" w:eastAsia="Aptos" w:hAnsi="Aptos" w:cs="Times New Roman"/>
            <w:color w:val="467886"/>
            <w:kern w:val="2"/>
            <w:sz w:val="24"/>
            <w:szCs w:val="24"/>
            <w:u w:val="single"/>
            <w:lang w:eastAsia="en-US"/>
            <w14:ligatures w14:val="standardContextual"/>
          </w:rPr>
          <w:t>https://socialcare.wales/cms-assets/documents/150928activeoffersocialservicesen.pdf</w:t>
        </w:r>
      </w:hyperlink>
      <w:r w:rsidRPr="00B450BF">
        <w:rPr>
          <w:rFonts w:ascii="Aptos" w:eastAsia="Aptos" w:hAnsi="Aptos" w:cs="Times New Roman"/>
          <w:color w:val="auto"/>
          <w:kern w:val="2"/>
          <w:sz w:val="24"/>
          <w:szCs w:val="24"/>
          <w:lang w:eastAsia="en-US"/>
          <w14:ligatures w14:val="standardContextual"/>
        </w:rPr>
        <w:t xml:space="preserve"> [Accessed 1 July 2024]</w:t>
      </w:r>
    </w:p>
    <w:p w14:paraId="3CA499B1"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18" w:name="_Hlk179059138"/>
      <w:r w:rsidRPr="00B450BF">
        <w:rPr>
          <w:rFonts w:ascii="Aptos" w:eastAsia="Aptos" w:hAnsi="Aptos" w:cs="Times New Roman"/>
          <w:color w:val="auto"/>
          <w:kern w:val="2"/>
          <w:sz w:val="24"/>
          <w:szCs w:val="24"/>
          <w:lang w:eastAsia="en-US"/>
          <w14:ligatures w14:val="standardContextual"/>
        </w:rPr>
        <w:t xml:space="preserve">Welsh Government (2018a) </w:t>
      </w:r>
      <w:r w:rsidRPr="00B450BF">
        <w:rPr>
          <w:rFonts w:ascii="Aptos" w:eastAsia="Aptos" w:hAnsi="Aptos" w:cs="Times New Roman"/>
          <w:i/>
          <w:iCs/>
          <w:color w:val="auto"/>
          <w:kern w:val="2"/>
          <w:sz w:val="24"/>
          <w:szCs w:val="24"/>
          <w:lang w:eastAsia="en-US"/>
          <w14:ligatures w14:val="standardContextual"/>
        </w:rPr>
        <w:t xml:space="preserve">Social Services </w:t>
      </w:r>
      <w:proofErr w:type="gramStart"/>
      <w:r w:rsidRPr="00B450BF">
        <w:rPr>
          <w:rFonts w:ascii="Aptos" w:eastAsia="Aptos" w:hAnsi="Aptos" w:cs="Times New Roman"/>
          <w:i/>
          <w:iCs/>
          <w:color w:val="auto"/>
          <w:kern w:val="2"/>
          <w:sz w:val="24"/>
          <w:szCs w:val="24"/>
          <w:lang w:eastAsia="en-US"/>
          <w14:ligatures w14:val="standardContextual"/>
        </w:rPr>
        <w:t>and  Well</w:t>
      </w:r>
      <w:proofErr w:type="gramEnd"/>
      <w:r w:rsidRPr="00B450BF">
        <w:rPr>
          <w:rFonts w:ascii="Aptos" w:eastAsia="Aptos" w:hAnsi="Aptos" w:cs="Times New Roman"/>
          <w:i/>
          <w:iCs/>
          <w:color w:val="auto"/>
          <w:kern w:val="2"/>
          <w:sz w:val="24"/>
          <w:szCs w:val="24"/>
          <w:lang w:eastAsia="en-US"/>
          <w14:ligatures w14:val="standardContextual"/>
        </w:rPr>
        <w:t>-being (Wales) Act 2014 Working Together to Safeguard People  Volume 5 – Handling Individual Cases to Protect Children at Risk</w:t>
      </w:r>
      <w:r w:rsidRPr="00B450BF">
        <w:rPr>
          <w:rFonts w:ascii="Aptos" w:eastAsia="Aptos" w:hAnsi="Aptos" w:cs="Times New Roman"/>
          <w:color w:val="auto"/>
          <w:kern w:val="2"/>
          <w:sz w:val="24"/>
          <w:szCs w:val="24"/>
          <w:lang w:eastAsia="en-US"/>
          <w14:ligatures w14:val="standardContextual"/>
        </w:rPr>
        <w:t xml:space="preserve">. [online]. Available at: </w:t>
      </w:r>
      <w:hyperlink r:id="rId62" w:history="1">
        <w:r w:rsidRPr="00B450BF">
          <w:rPr>
            <w:rFonts w:ascii="Aptos" w:eastAsia="Aptos" w:hAnsi="Aptos" w:cs="Times New Roman"/>
            <w:color w:val="467886"/>
            <w:kern w:val="2"/>
            <w:sz w:val="24"/>
            <w:szCs w:val="24"/>
            <w:u w:val="single"/>
            <w:lang w:eastAsia="en-US"/>
            <w14:ligatures w14:val="standardContextual"/>
          </w:rPr>
          <w:t>https://www.gov.wales/sites/default/files/publications/2019-05/working-together-to-safeguard-people-volume-5-handling-individual-cases-to-protect-children-at-risk.pdf</w:t>
        </w:r>
      </w:hyperlink>
      <w:r w:rsidRPr="00B450BF">
        <w:rPr>
          <w:rFonts w:ascii="Aptos" w:eastAsia="Aptos" w:hAnsi="Aptos" w:cs="Times New Roman"/>
          <w:color w:val="auto"/>
          <w:kern w:val="2"/>
          <w:sz w:val="24"/>
          <w:szCs w:val="24"/>
          <w:lang w:eastAsia="en-US"/>
          <w14:ligatures w14:val="standardContextual"/>
        </w:rPr>
        <w:t xml:space="preserve"> [Accessed 15 September 2024]</w:t>
      </w:r>
    </w:p>
    <w:p w14:paraId="11A8EE06"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bookmarkStart w:id="19" w:name="_Hlk179059106"/>
      <w:bookmarkEnd w:id="18"/>
      <w:r w:rsidRPr="00B450BF">
        <w:rPr>
          <w:rFonts w:ascii="Aptos" w:eastAsia="Aptos" w:hAnsi="Aptos" w:cs="Times New Roman"/>
          <w:color w:val="auto"/>
          <w:kern w:val="2"/>
          <w:sz w:val="24"/>
          <w:szCs w:val="24"/>
          <w:lang w:eastAsia="en-US"/>
          <w14:ligatures w14:val="standardContextual"/>
        </w:rPr>
        <w:t>Welsh Government (2018b)</w:t>
      </w:r>
      <w:r w:rsidRPr="00B450BF">
        <w:rPr>
          <w:rFonts w:ascii="Aptos" w:eastAsia="Aptos" w:hAnsi="Aptos" w:cs="Times New Roman"/>
          <w:i/>
          <w:iCs/>
          <w:color w:val="auto"/>
          <w:kern w:val="2"/>
          <w:sz w:val="24"/>
          <w:szCs w:val="24"/>
          <w:lang w:eastAsia="en-US"/>
          <w14:ligatures w14:val="standardContextual"/>
        </w:rPr>
        <w:t xml:space="preserve"> Social Services </w:t>
      </w:r>
      <w:proofErr w:type="gramStart"/>
      <w:r w:rsidRPr="00B450BF">
        <w:rPr>
          <w:rFonts w:ascii="Aptos" w:eastAsia="Aptos" w:hAnsi="Aptos" w:cs="Times New Roman"/>
          <w:i/>
          <w:iCs/>
          <w:color w:val="auto"/>
          <w:kern w:val="2"/>
          <w:sz w:val="24"/>
          <w:szCs w:val="24"/>
          <w:lang w:eastAsia="en-US"/>
          <w14:ligatures w14:val="standardContextual"/>
        </w:rPr>
        <w:t>and  Well</w:t>
      </w:r>
      <w:proofErr w:type="gramEnd"/>
      <w:r w:rsidRPr="00B450BF">
        <w:rPr>
          <w:rFonts w:ascii="Aptos" w:eastAsia="Aptos" w:hAnsi="Aptos" w:cs="Times New Roman"/>
          <w:i/>
          <w:iCs/>
          <w:color w:val="auto"/>
          <w:kern w:val="2"/>
          <w:sz w:val="24"/>
          <w:szCs w:val="24"/>
          <w:lang w:eastAsia="en-US"/>
          <w14:ligatures w14:val="standardContextual"/>
        </w:rPr>
        <w:t>-being (Wales) Act 2014 - Working Together to Safeguard People: Volume 6 – Handling Individual Cases to Protect Adults  at Risk</w:t>
      </w:r>
      <w:r w:rsidRPr="00B450BF">
        <w:rPr>
          <w:rFonts w:ascii="Aptos" w:eastAsia="Aptos" w:hAnsi="Aptos" w:cs="Times New Roman"/>
          <w:color w:val="auto"/>
          <w:kern w:val="2"/>
          <w:sz w:val="24"/>
          <w:szCs w:val="24"/>
          <w:lang w:eastAsia="en-US"/>
          <w14:ligatures w14:val="standardContextual"/>
        </w:rPr>
        <w:t xml:space="preserve">. [online]. Available at: </w:t>
      </w:r>
      <w:hyperlink r:id="rId63" w:history="1">
        <w:r w:rsidRPr="00B450BF">
          <w:rPr>
            <w:rFonts w:ascii="Aptos" w:eastAsia="Aptos" w:hAnsi="Aptos" w:cs="Times New Roman"/>
            <w:color w:val="467886"/>
            <w:kern w:val="2"/>
            <w:sz w:val="24"/>
            <w:szCs w:val="24"/>
            <w:u w:val="single"/>
            <w:lang w:eastAsia="en-US"/>
            <w14:ligatures w14:val="standardContextual"/>
          </w:rPr>
          <w:t>https://www.gov.wales/sites/default/files/publications/2019-06/volume-6-handling-individual-cases-to-protect-adults-at-risk.pdf</w:t>
        </w:r>
      </w:hyperlink>
      <w:r w:rsidRPr="00B450BF">
        <w:rPr>
          <w:rFonts w:ascii="Aptos" w:eastAsia="Aptos" w:hAnsi="Aptos" w:cs="Times New Roman"/>
          <w:color w:val="auto"/>
          <w:kern w:val="2"/>
          <w:sz w:val="24"/>
          <w:szCs w:val="24"/>
          <w:lang w:eastAsia="en-US"/>
          <w14:ligatures w14:val="standardContextual"/>
        </w:rPr>
        <w:t xml:space="preserve"> [Accessed 25 September 2024]</w:t>
      </w:r>
    </w:p>
    <w:bookmarkEnd w:id="19"/>
    <w:p w14:paraId="18C0240A" w14:textId="77777777" w:rsidR="007A0BD5" w:rsidRPr="00B450BF" w:rsidRDefault="007A0BD5" w:rsidP="007A0BD5">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B450BF">
        <w:rPr>
          <w:rFonts w:ascii="Aptos" w:eastAsia="Aptos" w:hAnsi="Aptos" w:cs="Times New Roman"/>
          <w:color w:val="auto"/>
          <w:kern w:val="2"/>
          <w:sz w:val="24"/>
          <w:szCs w:val="24"/>
          <w:lang w:eastAsia="en-US"/>
          <w14:ligatures w14:val="standardContextual"/>
        </w:rPr>
        <w:t xml:space="preserve">Welsh Government (2019) </w:t>
      </w:r>
      <w:r w:rsidRPr="00B450BF">
        <w:rPr>
          <w:rFonts w:ascii="Aptos" w:eastAsia="Aptos" w:hAnsi="Aptos" w:cs="Times New Roman"/>
          <w:i/>
          <w:iCs/>
          <w:color w:val="auto"/>
          <w:kern w:val="2"/>
          <w:sz w:val="24"/>
          <w:szCs w:val="24"/>
          <w:lang w:eastAsia="en-US"/>
          <w14:ligatures w14:val="standardContextual"/>
        </w:rPr>
        <w:t xml:space="preserve">Social Services and Well-being (Wales) Act 2014 - Working Together to Safeguard </w:t>
      </w:r>
      <w:proofErr w:type="gramStart"/>
      <w:r w:rsidRPr="00B450BF">
        <w:rPr>
          <w:rFonts w:ascii="Aptos" w:eastAsia="Aptos" w:hAnsi="Aptos" w:cs="Times New Roman"/>
          <w:i/>
          <w:iCs/>
          <w:color w:val="auto"/>
          <w:kern w:val="2"/>
          <w:sz w:val="24"/>
          <w:szCs w:val="24"/>
          <w:lang w:eastAsia="en-US"/>
          <w14:ligatures w14:val="standardContextual"/>
        </w:rPr>
        <w:t>People  Information</w:t>
      </w:r>
      <w:proofErr w:type="gramEnd"/>
      <w:r w:rsidRPr="00B450BF">
        <w:rPr>
          <w:rFonts w:ascii="Aptos" w:eastAsia="Aptos" w:hAnsi="Aptos" w:cs="Times New Roman"/>
          <w:i/>
          <w:iCs/>
          <w:color w:val="auto"/>
          <w:kern w:val="2"/>
          <w:sz w:val="24"/>
          <w:szCs w:val="24"/>
          <w:lang w:eastAsia="en-US"/>
          <w14:ligatures w14:val="standardContextual"/>
        </w:rPr>
        <w:t xml:space="preserve"> sharing to safeguard children - Non-statutory guide for practitioners</w:t>
      </w:r>
      <w:r w:rsidRPr="00B450BF">
        <w:rPr>
          <w:rFonts w:ascii="Aptos" w:eastAsia="Aptos" w:hAnsi="Aptos" w:cs="Times New Roman"/>
          <w:color w:val="auto"/>
          <w:kern w:val="2"/>
          <w:sz w:val="24"/>
          <w:szCs w:val="24"/>
          <w:lang w:eastAsia="en-US"/>
          <w14:ligatures w14:val="standardContextual"/>
        </w:rPr>
        <w:t xml:space="preserve">. [online]. Available at: </w:t>
      </w:r>
      <w:hyperlink r:id="rId64" w:history="1">
        <w:r w:rsidRPr="00B450BF">
          <w:rPr>
            <w:rFonts w:ascii="Aptos" w:eastAsia="Aptos" w:hAnsi="Aptos" w:cs="Times New Roman"/>
            <w:color w:val="467886"/>
            <w:kern w:val="2"/>
            <w:sz w:val="24"/>
            <w:szCs w:val="24"/>
            <w:u w:val="single"/>
            <w:lang w:eastAsia="en-US"/>
            <w14:ligatures w14:val="standardContextual"/>
          </w:rPr>
          <w:t>https://www.gov.wales/sites/default/files/publications/2019-07/working-together-to-safeguard-people-information-sharing-to-safeguard-children.pdf</w:t>
        </w:r>
      </w:hyperlink>
      <w:r w:rsidRPr="00B450BF">
        <w:rPr>
          <w:rFonts w:ascii="Aptos" w:eastAsia="Aptos" w:hAnsi="Aptos" w:cs="Times New Roman"/>
          <w:color w:val="auto"/>
          <w:kern w:val="2"/>
          <w:sz w:val="24"/>
          <w:szCs w:val="24"/>
          <w:lang w:eastAsia="en-US"/>
          <w14:ligatures w14:val="standardContextual"/>
        </w:rPr>
        <w:t xml:space="preserve"> [Accessed 14 September 2024]</w:t>
      </w:r>
    </w:p>
    <w:p w14:paraId="2A62755E" w14:textId="77777777" w:rsidR="00E63478" w:rsidRDefault="00E63478"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A395265" w:rsidR="00E559CE" w:rsidRPr="00B17FA0" w:rsidRDefault="009D3773" w:rsidP="00B94443">
            <w:pPr>
              <w:jc w:val="both"/>
              <w:rPr>
                <w:sz w:val="24"/>
                <w:szCs w:val="24"/>
              </w:rPr>
            </w:pPr>
            <w:r>
              <w:rPr>
                <w:sz w:val="24"/>
                <w:szCs w:val="24"/>
              </w:rPr>
              <w:t>13/11/2023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D259016" w:rsidR="00E559CE" w:rsidRPr="00B17FA0" w:rsidRDefault="009D3773" w:rsidP="00B94443">
            <w:pPr>
              <w:jc w:val="both"/>
              <w:rPr>
                <w:sz w:val="24"/>
                <w:szCs w:val="24"/>
              </w:rPr>
            </w:pPr>
            <w:r>
              <w:rPr>
                <w:sz w:val="24"/>
                <w:szCs w:val="24"/>
              </w:rPr>
              <w:t>15/02/2024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25761E4" w:rsidR="00E559CE" w:rsidRPr="00B17FA0" w:rsidRDefault="009D3773" w:rsidP="00B94443">
            <w:pPr>
              <w:jc w:val="both"/>
              <w:rPr>
                <w:sz w:val="24"/>
                <w:szCs w:val="24"/>
              </w:rPr>
            </w:pPr>
            <w:r>
              <w:rPr>
                <w:sz w:val="24"/>
                <w:szCs w:val="24"/>
              </w:rPr>
              <w:t>16/04/2024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BF4480F" w:rsidR="00E559CE" w:rsidRPr="00B17FA0" w:rsidRDefault="009D3773" w:rsidP="00B94443">
            <w:pPr>
              <w:jc w:val="both"/>
              <w:rPr>
                <w:sz w:val="24"/>
                <w:szCs w:val="24"/>
              </w:rPr>
            </w:pPr>
            <w:r>
              <w:rPr>
                <w:sz w:val="24"/>
                <w:szCs w:val="24"/>
              </w:rPr>
              <w:t>20/06/2024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60629457" w14:textId="77777777" w:rsidR="00901DCA" w:rsidRDefault="00901DCA" w:rsidP="00901DCA">
            <w:pPr>
              <w:jc w:val="both"/>
              <w:rPr>
                <w:color w:val="auto"/>
                <w:sz w:val="24"/>
                <w:szCs w:val="24"/>
              </w:rPr>
            </w:pPr>
          </w:p>
          <w:p w14:paraId="6E79098F" w14:textId="6AF2B411" w:rsidR="00CF202E" w:rsidRDefault="00CF202E" w:rsidP="00901DCA">
            <w:pPr>
              <w:jc w:val="both"/>
              <w:rPr>
                <w:color w:val="auto"/>
                <w:sz w:val="24"/>
                <w:szCs w:val="24"/>
              </w:rPr>
            </w:pPr>
            <w:r>
              <w:rPr>
                <w:color w:val="auto"/>
                <w:sz w:val="24"/>
                <w:szCs w:val="24"/>
              </w:rPr>
              <w:t xml:space="preserve">Rhys has grown a lot over the duration of the programme. Rhys was clear from the outset that he wanted to develop analysis within his work, and build on risk analysis within increasingly complex situations. Rhys has developed his skills in information and evidence gathering so that he can triangulate evidence within his assessment. Rhys has been able to have more faith in his analysis where this involves evidence and </w:t>
            </w:r>
            <w:r w:rsidR="00886BDE">
              <w:rPr>
                <w:color w:val="auto"/>
                <w:sz w:val="24"/>
                <w:szCs w:val="24"/>
              </w:rPr>
              <w:t>research</w:t>
            </w:r>
            <w:r w:rsidR="003E1FE2">
              <w:rPr>
                <w:color w:val="auto"/>
                <w:sz w:val="24"/>
                <w:szCs w:val="24"/>
              </w:rPr>
              <w:t xml:space="preserve">; </w:t>
            </w:r>
            <w:r w:rsidR="00886BDE">
              <w:rPr>
                <w:color w:val="auto"/>
                <w:sz w:val="24"/>
                <w:szCs w:val="24"/>
              </w:rPr>
              <w:t>using this to have</w:t>
            </w:r>
            <w:r w:rsidR="003E1FE2">
              <w:rPr>
                <w:color w:val="auto"/>
                <w:sz w:val="24"/>
                <w:szCs w:val="24"/>
              </w:rPr>
              <w:t xml:space="preserve"> increasing faith in his analysis. Building on top of this evidence based analysis, Rhys has developed the skills of being </w:t>
            </w:r>
            <w:r w:rsidR="00071ADB">
              <w:rPr>
                <w:color w:val="auto"/>
                <w:sz w:val="24"/>
                <w:szCs w:val="24"/>
              </w:rPr>
              <w:t xml:space="preserve">increasingly </w:t>
            </w:r>
            <w:r w:rsidR="003E1FE2">
              <w:rPr>
                <w:color w:val="auto"/>
                <w:sz w:val="24"/>
                <w:szCs w:val="24"/>
              </w:rPr>
              <w:t xml:space="preserve">succinct </w:t>
            </w:r>
            <w:r w:rsidR="00071ADB">
              <w:rPr>
                <w:color w:val="auto"/>
                <w:sz w:val="24"/>
                <w:szCs w:val="24"/>
              </w:rPr>
              <w:t>in his writing, honing his evidence and analysis.</w:t>
            </w:r>
          </w:p>
          <w:p w14:paraId="3427D4E0" w14:textId="77777777" w:rsidR="00071ADB" w:rsidRDefault="00071ADB" w:rsidP="00901DCA">
            <w:pPr>
              <w:jc w:val="both"/>
              <w:rPr>
                <w:color w:val="auto"/>
                <w:sz w:val="24"/>
                <w:szCs w:val="24"/>
              </w:rPr>
            </w:pPr>
          </w:p>
          <w:p w14:paraId="65C5A0D7" w14:textId="5F942BB1" w:rsidR="00071ADB" w:rsidRDefault="00071ADB" w:rsidP="00901DCA">
            <w:pPr>
              <w:jc w:val="both"/>
              <w:rPr>
                <w:color w:val="auto"/>
                <w:sz w:val="24"/>
                <w:szCs w:val="24"/>
              </w:rPr>
            </w:pPr>
            <w:r>
              <w:rPr>
                <w:color w:val="auto"/>
                <w:sz w:val="24"/>
                <w:szCs w:val="24"/>
              </w:rPr>
              <w:t>In task 1a Rhys though</w:t>
            </w:r>
            <w:r w:rsidR="00886BDE">
              <w:rPr>
                <w:color w:val="auto"/>
                <w:sz w:val="24"/>
                <w:szCs w:val="24"/>
              </w:rPr>
              <w:t>t</w:t>
            </w:r>
            <w:r>
              <w:rPr>
                <w:color w:val="auto"/>
                <w:sz w:val="24"/>
                <w:szCs w:val="24"/>
              </w:rPr>
              <w:t xml:space="preserve"> very carefully about his information gathering and how he would gather this information from other MDT professionals. Rhys took a pragmatic approach, systematically work</w:t>
            </w:r>
            <w:r w:rsidR="00886BDE">
              <w:rPr>
                <w:color w:val="auto"/>
                <w:sz w:val="24"/>
                <w:szCs w:val="24"/>
              </w:rPr>
              <w:t>ing</w:t>
            </w:r>
            <w:r>
              <w:rPr>
                <w:color w:val="auto"/>
                <w:sz w:val="24"/>
                <w:szCs w:val="24"/>
              </w:rPr>
              <w:t xml:space="preserve"> through the document, and gathering evidence. Rhys did require some direction and guidance when the work was allocated, which he took on board, and ensured he </w:t>
            </w:r>
            <w:r w:rsidR="00886BDE">
              <w:rPr>
                <w:color w:val="auto"/>
                <w:sz w:val="24"/>
                <w:szCs w:val="24"/>
              </w:rPr>
              <w:t>deployed</w:t>
            </w:r>
            <w:r>
              <w:rPr>
                <w:color w:val="auto"/>
                <w:sz w:val="24"/>
                <w:szCs w:val="24"/>
              </w:rPr>
              <w:t xml:space="preserve"> thorough in his work. This </w:t>
            </w:r>
            <w:r w:rsidR="00886BDE">
              <w:rPr>
                <w:color w:val="auto"/>
                <w:sz w:val="24"/>
                <w:szCs w:val="24"/>
              </w:rPr>
              <w:t xml:space="preserve">thoroughness </w:t>
            </w:r>
            <w:r>
              <w:rPr>
                <w:color w:val="auto"/>
                <w:sz w:val="24"/>
                <w:szCs w:val="24"/>
              </w:rPr>
              <w:t xml:space="preserve">was further seen in the larger amount of writing than </w:t>
            </w:r>
            <w:r w:rsidR="00886BDE">
              <w:rPr>
                <w:color w:val="auto"/>
                <w:sz w:val="24"/>
                <w:szCs w:val="24"/>
              </w:rPr>
              <w:t>perhaps</w:t>
            </w:r>
            <w:r>
              <w:rPr>
                <w:color w:val="auto"/>
                <w:sz w:val="24"/>
                <w:szCs w:val="24"/>
              </w:rPr>
              <w:t xml:space="preserve"> normal, however, I would not want Rhys to be perturbed by this, as this has now been worked on and information, writing and analysis is much more succinct and to the point, when looking back a year ago. Rhys is particularly strong in the area of collaborative working, and for him this area required much less work and was less of a worry. Rhys was able to be clear and concise with professionals over what information he required, and as his approach is always calm, clear and open, he did not struggle to gain information from professionals.</w:t>
            </w:r>
          </w:p>
          <w:p w14:paraId="35DE7757" w14:textId="77777777" w:rsidR="00071ADB" w:rsidRDefault="00071ADB" w:rsidP="00901DCA">
            <w:pPr>
              <w:jc w:val="both"/>
              <w:rPr>
                <w:color w:val="auto"/>
                <w:sz w:val="24"/>
                <w:szCs w:val="24"/>
              </w:rPr>
            </w:pPr>
          </w:p>
          <w:p w14:paraId="19821DD8" w14:textId="5730CFCE" w:rsidR="00071ADB" w:rsidRDefault="00071ADB" w:rsidP="00901DCA">
            <w:pPr>
              <w:jc w:val="both"/>
              <w:rPr>
                <w:color w:val="auto"/>
                <w:sz w:val="24"/>
                <w:szCs w:val="24"/>
              </w:rPr>
            </w:pPr>
            <w:r>
              <w:rPr>
                <w:color w:val="auto"/>
                <w:sz w:val="24"/>
                <w:szCs w:val="24"/>
              </w:rPr>
              <w:lastRenderedPageBreak/>
              <w:t>In task 1b Rhys was able to further consolidate his learning through using research and learned skills around theory, notable from what I have seen around child development and attachment theory. Through use of these theories Rhys was able to give a strong analysis of impact to the chid, and more specifically so to chidlren with disabilities that have very different stages of development to an average child. Despite Rhys feeling he had not achieved his goal of using more of the person centred planning, Rhys holds this value high in his heart, meaning this value will shine through when he talks and writes about chidlren and their families. He may not be able to be as thorough as he likes, but having good morales and values leads us to embed these wherever we can, which improves our practice</w:t>
            </w:r>
            <w:r w:rsidR="00886BDE">
              <w:rPr>
                <w:color w:val="auto"/>
                <w:sz w:val="24"/>
                <w:szCs w:val="24"/>
              </w:rPr>
              <w:t xml:space="preserve"> even in the most challenging and time constrained situations.</w:t>
            </w:r>
          </w:p>
          <w:p w14:paraId="52A0ECEC" w14:textId="2C78A432" w:rsidR="00FC0334" w:rsidRDefault="00FC0334" w:rsidP="005D4F72">
            <w:pPr>
              <w:jc w:val="both"/>
              <w:rPr>
                <w:color w:val="auto"/>
                <w:sz w:val="24"/>
                <w:szCs w:val="24"/>
              </w:rPr>
            </w:pPr>
          </w:p>
          <w:p w14:paraId="66E49A62" w14:textId="180B974B" w:rsidR="00FC0334" w:rsidRDefault="00886BDE" w:rsidP="005D4F72">
            <w:pPr>
              <w:jc w:val="both"/>
              <w:rPr>
                <w:color w:val="auto"/>
                <w:sz w:val="24"/>
                <w:szCs w:val="24"/>
              </w:rPr>
            </w:pPr>
            <w:r>
              <w:rPr>
                <w:color w:val="auto"/>
                <w:sz w:val="24"/>
                <w:szCs w:val="24"/>
              </w:rPr>
              <w:t>Thinking about Rhys’ practice at the end of this work programme I am of the view that Rhys has reached a plateau, he is at ‘cruising altitude’ with his practice. It is easy to see that Rhys is feeling much more confident in his role, he is relaxed going into difficult situations and having tricky conversations with families and professionals. Earlier in this programme Rhys would have to think and plan in much more detail, and his own confidence in professional judgement was not as secure as it is now. Rhys would often know what was wrong, he could identify worries and risks, but he would not have as much security around knowing what to do about the risks and worries, how to hold the risk and test a child and families means of learning, and how to evidence and analyse these. Rhys’ professional judgement has increased with the knowledge and skills he has developed, notably with the use of evidence based practice and triangulation of information.</w:t>
            </w:r>
          </w:p>
          <w:p w14:paraId="0124B566" w14:textId="77777777" w:rsidR="00FC0334" w:rsidRDefault="00FC0334" w:rsidP="005D4F72">
            <w:pPr>
              <w:jc w:val="both"/>
              <w:rPr>
                <w:color w:val="auto"/>
                <w:sz w:val="24"/>
                <w:szCs w:val="24"/>
              </w:rPr>
            </w:pPr>
          </w:p>
          <w:p w14:paraId="784FCB50" w14:textId="1B5B809E" w:rsidR="00FC0334" w:rsidRDefault="006410E6" w:rsidP="005D4F72">
            <w:pPr>
              <w:jc w:val="both"/>
              <w:rPr>
                <w:color w:val="auto"/>
                <w:sz w:val="24"/>
                <w:szCs w:val="24"/>
              </w:rPr>
            </w:pPr>
            <w:r>
              <w:rPr>
                <w:color w:val="auto"/>
                <w:sz w:val="24"/>
                <w:szCs w:val="24"/>
              </w:rPr>
              <w:t xml:space="preserve">Moving into the future I would like to see Rhys developing his organisation skills to be more planned with his work, rather than reactive to tasks.  Rhys is increasingly managing more work, and will need to find ways to step back, think about what he needs to do and put an effective plan in place. </w:t>
            </w:r>
          </w:p>
          <w:p w14:paraId="6796779E" w14:textId="77777777" w:rsidR="006410E6" w:rsidRDefault="006410E6" w:rsidP="005D4F72">
            <w:pPr>
              <w:jc w:val="both"/>
              <w:rPr>
                <w:color w:val="auto"/>
                <w:sz w:val="24"/>
                <w:szCs w:val="24"/>
              </w:rPr>
            </w:pPr>
          </w:p>
          <w:p w14:paraId="1CD14158" w14:textId="0FCC4072" w:rsidR="006410E6" w:rsidRDefault="006410E6" w:rsidP="005D4F72">
            <w:pPr>
              <w:jc w:val="both"/>
              <w:rPr>
                <w:color w:val="auto"/>
                <w:sz w:val="24"/>
                <w:szCs w:val="24"/>
              </w:rPr>
            </w:pPr>
            <w:r>
              <w:rPr>
                <w:color w:val="auto"/>
                <w:sz w:val="24"/>
                <w:szCs w:val="24"/>
              </w:rPr>
              <w:t xml:space="preserve">I would also like Rhys to start to use delegation tasks with some of the junior staff where cases are joint worked. This will help Rhys think about his own work, tasks that others can support with and consider when he needs to push work back to prioritise urgent work. </w:t>
            </w: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5CEC39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D3773">
        <w:rPr>
          <w:b/>
          <w:sz w:val="24"/>
          <w:szCs w:val="24"/>
        </w:rPr>
        <w:t>Rhys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FFB4A8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D3773">
        <w:rPr>
          <w:b/>
          <w:sz w:val="24"/>
          <w:szCs w:val="24"/>
        </w:rPr>
        <w:t xml:space="preserve"> </w:t>
      </w:r>
      <w:r w:rsidR="009D3773" w:rsidRPr="009D3773">
        <w:rPr>
          <w:b/>
          <w:sz w:val="24"/>
          <w:szCs w:val="24"/>
        </w:rPr>
        <w:t>2318650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698DEAF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D3773">
        <w:rPr>
          <w:b/>
          <w:sz w:val="24"/>
          <w:szCs w:val="24"/>
        </w:rPr>
        <w:t xml:space="preserve"> </w:t>
      </w:r>
      <w:proofErr w:type="spellStart"/>
      <w:r w:rsidR="009D3773">
        <w:rPr>
          <w:b/>
          <w:sz w:val="24"/>
          <w:szCs w:val="24"/>
        </w:rPr>
        <w:t>Golwg</w:t>
      </w:r>
      <w:proofErr w:type="spellEnd"/>
      <w:r w:rsidR="009D3773">
        <w:rPr>
          <w:b/>
          <w:sz w:val="24"/>
          <w:szCs w:val="24"/>
        </w:rPr>
        <w:t xml:space="preserve"> Yr Haul, Brecon Road, </w:t>
      </w:r>
      <w:proofErr w:type="spellStart"/>
      <w:r w:rsidR="009D3773">
        <w:rPr>
          <w:b/>
          <w:sz w:val="24"/>
          <w:szCs w:val="24"/>
        </w:rPr>
        <w:t>Penycae</w:t>
      </w:r>
      <w:proofErr w:type="spellEnd"/>
      <w:r w:rsidR="009D3773">
        <w:rPr>
          <w:b/>
          <w:sz w:val="24"/>
          <w:szCs w:val="24"/>
        </w:rPr>
        <w:t>, SA9 1YR</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F117A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D3773">
        <w:rPr>
          <w:b/>
          <w:sz w:val="24"/>
          <w:szCs w:val="24"/>
        </w:rPr>
        <w:t xml:space="preserve"> 07739421553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528EC6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D3773">
        <w:rPr>
          <w:b/>
          <w:sz w:val="24"/>
          <w:szCs w:val="24"/>
        </w:rPr>
        <w:t xml:space="preserve"> rhys.williams@powys.gov.uk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9C5EF8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F79BD">
        <w:rPr>
          <w:b/>
          <w:sz w:val="24"/>
          <w:szCs w:val="24"/>
        </w:rPr>
        <w:t>31/10/2022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40E0D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F79BD">
        <w:rPr>
          <w:b/>
          <w:sz w:val="24"/>
          <w:szCs w:val="24"/>
        </w:rPr>
        <w:t xml:space="preserve"> 05/12/2022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E41645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w:t>
      </w:r>
      <w:r w:rsidR="001F79BD">
        <w:rPr>
          <w:b/>
          <w:sz w:val="24"/>
          <w:szCs w:val="24"/>
        </w:rPr>
        <w:t>ils: Powys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32441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F79BD">
        <w:rPr>
          <w:b/>
          <w:sz w:val="24"/>
          <w:szCs w:val="24"/>
        </w:rPr>
        <w:t xml:space="preserve"> Powys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AF20172" w:rsidR="004923DA" w:rsidRDefault="004923DA" w:rsidP="001F79B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F79BD">
        <w:rPr>
          <w:b/>
          <w:sz w:val="24"/>
          <w:szCs w:val="24"/>
        </w:rPr>
        <w:t xml:space="preserve"> </w:t>
      </w:r>
      <w:bookmarkStart w:id="21" w:name="_Hlk178360984"/>
      <w:r w:rsidR="001F79BD" w:rsidRPr="001F79BD">
        <w:rPr>
          <w:b/>
          <w:sz w:val="24"/>
          <w:szCs w:val="24"/>
        </w:rPr>
        <w:t>Neuadd Brycheiniog</w:t>
      </w:r>
      <w:r w:rsidR="001F79BD">
        <w:rPr>
          <w:b/>
          <w:sz w:val="24"/>
          <w:szCs w:val="24"/>
        </w:rPr>
        <w:t xml:space="preserve">, Cambrian Way, </w:t>
      </w:r>
      <w:r w:rsidR="001F79BD" w:rsidRPr="001F79BD">
        <w:rPr>
          <w:b/>
          <w:sz w:val="24"/>
          <w:szCs w:val="24"/>
        </w:rPr>
        <w:t>Brecon, LD3 7HR</w:t>
      </w:r>
      <w:bookmarkEnd w:id="21"/>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285C5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F79BD">
        <w:rPr>
          <w:b/>
          <w:sz w:val="24"/>
          <w:szCs w:val="24"/>
        </w:rPr>
        <w:t xml:space="preserve"> </w:t>
      </w:r>
      <w:r w:rsidR="001F79BD" w:rsidRPr="001F79BD">
        <w:rPr>
          <w:b/>
          <w:sz w:val="24"/>
          <w:szCs w:val="24"/>
        </w:rPr>
        <w:t>01597 826000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7E3F31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F79BD">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lastRenderedPageBreak/>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1BA689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61F61">
        <w:rPr>
          <w:b/>
          <w:sz w:val="24"/>
          <w:szCs w:val="24"/>
        </w:rPr>
        <w:t xml:space="preserve"> </w:t>
      </w:r>
      <w:r w:rsidR="006410E6">
        <w:rPr>
          <w:b/>
          <w:sz w:val="24"/>
          <w:szCs w:val="24"/>
        </w:rPr>
        <w:t xml:space="preserve"> Louisa Rawstron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596BD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61F61">
        <w:rPr>
          <w:b/>
          <w:sz w:val="24"/>
          <w:szCs w:val="24"/>
        </w:rPr>
        <w:t xml:space="preserve"> </w:t>
      </w:r>
      <w:r w:rsidR="00161F61" w:rsidRPr="00161F61">
        <w:rPr>
          <w:b/>
          <w:sz w:val="24"/>
          <w:szCs w:val="24"/>
        </w:rPr>
        <w:t>Neuadd Brycheiniog, Cambrian Way, Brecon, LD3 7HR</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664BB6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61F61">
        <w:rPr>
          <w:b/>
          <w:sz w:val="24"/>
          <w:szCs w:val="24"/>
        </w:rPr>
        <w:t xml:space="preserve"> </w:t>
      </w:r>
      <w:r w:rsidR="006410E6">
        <w:rPr>
          <w:b/>
          <w:sz w:val="24"/>
          <w:szCs w:val="24"/>
        </w:rPr>
        <w:t>07428361978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A3308F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61F61">
        <w:rPr>
          <w:b/>
          <w:sz w:val="24"/>
          <w:szCs w:val="24"/>
        </w:rPr>
        <w:t xml:space="preserve"> </w:t>
      </w:r>
      <w:r w:rsidR="006410E6">
        <w:rPr>
          <w:b/>
          <w:sz w:val="24"/>
          <w:szCs w:val="24"/>
        </w:rPr>
        <w:t xml:space="preserve"> louisa.rawstron@powys.gov.uk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AD0E0A3" w:rsidR="004923DA" w:rsidRDefault="004923DA" w:rsidP="00FF7EBB">
            <w:pPr>
              <w:jc w:val="both"/>
              <w:rPr>
                <w:b/>
                <w:sz w:val="24"/>
                <w:szCs w:val="24"/>
              </w:rPr>
            </w:pPr>
            <w:r w:rsidRPr="008B28E7">
              <w:rPr>
                <w:b/>
                <w:sz w:val="24"/>
                <w:szCs w:val="24"/>
              </w:rPr>
              <w:t>Name:</w:t>
            </w:r>
            <w:r w:rsidR="00161F61">
              <w:rPr>
                <w:b/>
                <w:sz w:val="24"/>
                <w:szCs w:val="24"/>
              </w:rPr>
              <w:t xml:space="preserve"> </w:t>
            </w:r>
            <w:r w:rsidR="00C701F2">
              <w:rPr>
                <w:b/>
                <w:sz w:val="24"/>
                <w:szCs w:val="24"/>
              </w:rPr>
              <w:t>Louisa Rawstron</w:t>
            </w:r>
          </w:p>
          <w:p w14:paraId="4EF4A770" w14:textId="77777777" w:rsidR="004923DA" w:rsidRPr="008B28E7" w:rsidRDefault="004923DA" w:rsidP="00FF7EBB">
            <w:pPr>
              <w:jc w:val="both"/>
              <w:rPr>
                <w:b/>
                <w:sz w:val="24"/>
                <w:szCs w:val="24"/>
              </w:rPr>
            </w:pPr>
          </w:p>
          <w:p w14:paraId="1AC8522D" w14:textId="31F2EED8" w:rsidR="004923DA" w:rsidRDefault="004923DA" w:rsidP="00FF7EBB">
            <w:pPr>
              <w:jc w:val="both"/>
              <w:rPr>
                <w:b/>
                <w:sz w:val="24"/>
                <w:szCs w:val="24"/>
              </w:rPr>
            </w:pPr>
            <w:r w:rsidRPr="008B28E7">
              <w:rPr>
                <w:b/>
                <w:sz w:val="24"/>
                <w:szCs w:val="24"/>
              </w:rPr>
              <w:t xml:space="preserve">Work Address: </w:t>
            </w:r>
            <w:r w:rsidR="00161F61" w:rsidRPr="00161F61">
              <w:rPr>
                <w:b/>
                <w:sz w:val="24"/>
                <w:szCs w:val="24"/>
              </w:rPr>
              <w:t>Neuadd Brycheiniog, Cambrian Way, Brecon, LD3 7HR</w:t>
            </w:r>
          </w:p>
          <w:p w14:paraId="12053DB3" w14:textId="77777777" w:rsidR="004923DA" w:rsidRPr="008B28E7" w:rsidRDefault="004923DA" w:rsidP="00FF7EBB">
            <w:pPr>
              <w:jc w:val="both"/>
              <w:rPr>
                <w:b/>
                <w:sz w:val="24"/>
                <w:szCs w:val="24"/>
              </w:rPr>
            </w:pPr>
          </w:p>
          <w:p w14:paraId="6E1CBC17" w14:textId="776E4709" w:rsidR="004923DA" w:rsidRPr="008B28E7" w:rsidRDefault="004923DA" w:rsidP="00FF7EBB">
            <w:pPr>
              <w:jc w:val="both"/>
              <w:rPr>
                <w:b/>
                <w:sz w:val="24"/>
                <w:szCs w:val="24"/>
              </w:rPr>
            </w:pPr>
            <w:r w:rsidRPr="008B28E7">
              <w:rPr>
                <w:b/>
                <w:sz w:val="24"/>
                <w:szCs w:val="24"/>
              </w:rPr>
              <w:t>Professional Qualification and date of qualification:</w:t>
            </w:r>
            <w:r w:rsidR="00E0283E">
              <w:rPr>
                <w:b/>
                <w:sz w:val="24"/>
                <w:szCs w:val="24"/>
              </w:rPr>
              <w:t xml:space="preserve"> </w:t>
            </w:r>
            <w:r w:rsidR="00C701F2">
              <w:rPr>
                <w:b/>
                <w:sz w:val="24"/>
                <w:szCs w:val="24"/>
              </w:rPr>
              <w:t>Master’s degree in social work, University of Worcester. February 2019</w:t>
            </w:r>
          </w:p>
          <w:p w14:paraId="5F68A3CF" w14:textId="77777777" w:rsidR="004923DA" w:rsidRDefault="004923DA" w:rsidP="00FF7EBB">
            <w:pPr>
              <w:jc w:val="both"/>
              <w:rPr>
                <w:b/>
                <w:sz w:val="24"/>
                <w:szCs w:val="24"/>
              </w:rPr>
            </w:pPr>
          </w:p>
          <w:p w14:paraId="4C6113F1" w14:textId="1E6FC2C7" w:rsidR="004923DA" w:rsidRDefault="009D59C2" w:rsidP="00FF7EBB">
            <w:pPr>
              <w:jc w:val="both"/>
              <w:rPr>
                <w:b/>
                <w:sz w:val="24"/>
                <w:szCs w:val="24"/>
              </w:rPr>
            </w:pPr>
            <w:r>
              <w:rPr>
                <w:b/>
                <w:sz w:val="24"/>
                <w:szCs w:val="24"/>
              </w:rPr>
              <w:t>T</w:t>
            </w:r>
            <w:r w:rsidR="004923DA" w:rsidRPr="008B28E7">
              <w:rPr>
                <w:b/>
                <w:sz w:val="24"/>
                <w:szCs w:val="24"/>
              </w:rPr>
              <w:t>elephone number:</w:t>
            </w:r>
            <w:r w:rsidR="00161F61">
              <w:rPr>
                <w:b/>
                <w:sz w:val="24"/>
                <w:szCs w:val="24"/>
              </w:rPr>
              <w:t xml:space="preserve"> 07428361978</w:t>
            </w:r>
          </w:p>
          <w:p w14:paraId="0BB87919" w14:textId="548A11EF" w:rsidR="009D59C2" w:rsidRDefault="009D59C2" w:rsidP="00FF7EBB">
            <w:pPr>
              <w:jc w:val="both"/>
              <w:rPr>
                <w:b/>
                <w:sz w:val="24"/>
                <w:szCs w:val="24"/>
              </w:rPr>
            </w:pPr>
          </w:p>
          <w:p w14:paraId="4FDEE73F" w14:textId="61D31D54" w:rsidR="009D59C2" w:rsidRPr="008B28E7" w:rsidRDefault="009D59C2" w:rsidP="00FF7EBB">
            <w:pPr>
              <w:jc w:val="both"/>
              <w:rPr>
                <w:b/>
                <w:sz w:val="24"/>
                <w:szCs w:val="24"/>
              </w:rPr>
            </w:pPr>
            <w:r>
              <w:rPr>
                <w:b/>
                <w:sz w:val="24"/>
                <w:szCs w:val="24"/>
              </w:rPr>
              <w:t>Email address:</w:t>
            </w:r>
            <w:r w:rsidR="00E0283E">
              <w:rPr>
                <w:b/>
                <w:sz w:val="24"/>
                <w:szCs w:val="24"/>
              </w:rPr>
              <w:t xml:space="preserve"> </w:t>
            </w:r>
            <w:r w:rsidR="00C701F2">
              <w:rPr>
                <w:b/>
                <w:sz w:val="24"/>
                <w:szCs w:val="24"/>
              </w:rPr>
              <w:t>louisa.rawstron@powys.gov.uk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9EBBBF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Signed: </w:t>
      </w:r>
      <w:r w:rsidR="009D59C2">
        <w:rPr>
          <w:sz w:val="24"/>
          <w:szCs w:val="24"/>
        </w:rPr>
        <w:t xml:space="preserve">  </w:t>
      </w:r>
      <w:r>
        <w:rPr>
          <w:sz w:val="24"/>
          <w:szCs w:val="24"/>
        </w:rPr>
        <w:t xml:space="preserve"> </w:t>
      </w:r>
      <w:r w:rsidR="00E0283E">
        <w:rPr>
          <w:noProof/>
          <w:sz w:val="24"/>
          <w:szCs w:val="24"/>
        </w:rPr>
        <w:drawing>
          <wp:inline distT="0" distB="0" distL="0" distR="0" wp14:anchorId="7AD012E6" wp14:editId="7A2ABB32">
            <wp:extent cx="2181225" cy="733425"/>
            <wp:effectExtent l="0" t="0" r="9525" b="9525"/>
            <wp:docPr id="1554676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181225" cy="733425"/>
                    </a:xfrm>
                    <a:prstGeom prst="rect">
                      <a:avLst/>
                    </a:prstGeom>
                    <a:noFill/>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778A54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0283E">
        <w:rPr>
          <w:sz w:val="24"/>
          <w:szCs w:val="24"/>
        </w:rPr>
        <w:t>27/09/2024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D7046F7" w:rsidR="00B577D3" w:rsidRPr="006410E6"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6410E6">
        <w:rPr>
          <w:sz w:val="24"/>
          <w:szCs w:val="24"/>
        </w:rPr>
        <w:t>Signed:</w:t>
      </w:r>
      <w:r w:rsidR="009D59C2" w:rsidRPr="006410E6">
        <w:rPr>
          <w:sz w:val="24"/>
          <w:szCs w:val="24"/>
        </w:rPr>
        <w:t xml:space="preserve">    </w:t>
      </w:r>
      <w:r w:rsidRPr="006410E6">
        <w:rPr>
          <w:sz w:val="24"/>
          <w:szCs w:val="24"/>
        </w:rPr>
        <w:t xml:space="preserve"> </w:t>
      </w:r>
      <w:r w:rsidR="006410E6" w:rsidRPr="006410E6">
        <w:rPr>
          <w:noProof/>
        </w:rPr>
        <w:drawing>
          <wp:inline distT="0" distB="0" distL="0" distR="0" wp14:anchorId="375F59E2" wp14:editId="0A3F2ED7">
            <wp:extent cx="1511178" cy="523875"/>
            <wp:effectExtent l="0" t="0" r="0" b="0"/>
            <wp:docPr id="2093381283"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81283" name="Picture 1" descr="A signature on a white background&#10;&#10;Description automatically generated"/>
                    <pic:cNvPicPr/>
                  </pic:nvPicPr>
                  <pic:blipFill>
                    <a:blip r:embed="rId66"/>
                    <a:stretch>
                      <a:fillRect/>
                    </a:stretch>
                  </pic:blipFill>
                  <pic:spPr>
                    <a:xfrm>
                      <a:off x="0" y="0"/>
                      <a:ext cx="1516661" cy="525776"/>
                    </a:xfrm>
                    <a:prstGeom prst="rect">
                      <a:avLst/>
                    </a:prstGeom>
                  </pic:spPr>
                </pic:pic>
              </a:graphicData>
            </a:graphic>
          </wp:inline>
        </w:drawing>
      </w:r>
      <w:r w:rsidR="00B577D3" w:rsidRPr="006410E6">
        <w:rPr>
          <w:sz w:val="24"/>
          <w:szCs w:val="24"/>
        </w:rPr>
        <w:t xml:space="preserve">_ </w:t>
      </w:r>
      <w:r w:rsidR="00BC5725" w:rsidRPr="006410E6">
        <w:rPr>
          <w:sz w:val="24"/>
          <w:szCs w:val="24"/>
        </w:rPr>
        <w:t xml:space="preserve"> </w:t>
      </w:r>
      <w:r w:rsidRPr="006410E6">
        <w:rPr>
          <w:sz w:val="24"/>
          <w:szCs w:val="24"/>
        </w:rPr>
        <w:t>(Observer)</w:t>
      </w:r>
    </w:p>
    <w:p w14:paraId="3ECBE8B7" w14:textId="77777777" w:rsidR="00B577D3" w:rsidRPr="006410E6"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80E204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6410E6">
        <w:rPr>
          <w:sz w:val="24"/>
          <w:szCs w:val="24"/>
        </w:rPr>
        <w:t xml:space="preserve">Date: </w:t>
      </w:r>
      <w:r w:rsidR="009D59C2" w:rsidRPr="006410E6">
        <w:rPr>
          <w:sz w:val="24"/>
          <w:szCs w:val="24"/>
        </w:rPr>
        <w:t xml:space="preserve">      </w:t>
      </w:r>
      <w:r w:rsidR="006410E6" w:rsidRPr="006410E6">
        <w:rPr>
          <w:sz w:val="24"/>
          <w:szCs w:val="24"/>
        </w:rPr>
        <w:t>07/10/24</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5411431" w:rsidR="00335C41" w:rsidRPr="00D3203C" w:rsidRDefault="00335C41" w:rsidP="00335C41">
            <w:pPr>
              <w:ind w:right="180"/>
              <w:jc w:val="both"/>
              <w:rPr>
                <w:sz w:val="24"/>
                <w:szCs w:val="24"/>
              </w:rPr>
            </w:pPr>
            <w:r w:rsidRPr="00D3203C">
              <w:rPr>
                <w:sz w:val="24"/>
                <w:szCs w:val="24"/>
              </w:rPr>
              <w:t>Signed_</w:t>
            </w:r>
            <w:r w:rsidR="006410E6">
              <w:rPr>
                <w:noProof/>
              </w:rPr>
              <w:t xml:space="preserve"> </w:t>
            </w:r>
            <w:r w:rsidR="006410E6">
              <w:rPr>
                <w:noProof/>
              </w:rPr>
              <w:drawing>
                <wp:inline distT="0" distB="0" distL="0" distR="0" wp14:anchorId="57A63415" wp14:editId="0B24EDED">
                  <wp:extent cx="1511178" cy="523875"/>
                  <wp:effectExtent l="0" t="0" r="0" b="0"/>
                  <wp:docPr id="634394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94517" name=""/>
                          <pic:cNvPicPr/>
                        </pic:nvPicPr>
                        <pic:blipFill>
                          <a:blip r:embed="rId66"/>
                          <a:stretch>
                            <a:fillRect/>
                          </a:stretch>
                        </pic:blipFill>
                        <pic:spPr>
                          <a:xfrm>
                            <a:off x="0" y="0"/>
                            <a:ext cx="1516661" cy="525776"/>
                          </a:xfrm>
                          <a:prstGeom prst="rect">
                            <a:avLst/>
                          </a:prstGeom>
                        </pic:spPr>
                      </pic:pic>
                    </a:graphicData>
                  </a:graphic>
                </wp:inline>
              </w:drawing>
            </w:r>
            <w:r w:rsidR="006410E6" w:rsidRPr="00D3203C">
              <w:rPr>
                <w:sz w:val="24"/>
                <w:szCs w:val="24"/>
              </w:rPr>
              <w:t xml:space="preserve"> </w:t>
            </w:r>
            <w:r w:rsidRPr="00D3203C">
              <w:rPr>
                <w:sz w:val="24"/>
                <w:szCs w:val="24"/>
              </w:rPr>
              <w:t>___ (Mentor)</w:t>
            </w:r>
          </w:p>
          <w:p w14:paraId="5D3F0767" w14:textId="77777777" w:rsidR="00335C41" w:rsidRPr="00D3203C" w:rsidRDefault="00335C41" w:rsidP="00335C41">
            <w:pPr>
              <w:ind w:right="180"/>
              <w:jc w:val="both"/>
              <w:rPr>
                <w:sz w:val="24"/>
                <w:szCs w:val="24"/>
              </w:rPr>
            </w:pPr>
          </w:p>
          <w:p w14:paraId="24E1B8A5" w14:textId="12531AA5" w:rsidR="00335C41" w:rsidRPr="00D3203C" w:rsidRDefault="00335C41" w:rsidP="00335C41">
            <w:pPr>
              <w:ind w:right="180"/>
              <w:jc w:val="both"/>
              <w:rPr>
                <w:sz w:val="24"/>
                <w:szCs w:val="24"/>
              </w:rPr>
            </w:pPr>
            <w:r w:rsidRPr="00D3203C">
              <w:rPr>
                <w:sz w:val="24"/>
                <w:szCs w:val="24"/>
              </w:rPr>
              <w:t xml:space="preserve">Date </w:t>
            </w:r>
            <w:r w:rsidR="006410E6">
              <w:rPr>
                <w:sz w:val="24"/>
                <w:szCs w:val="24"/>
              </w:rPr>
              <w:t>07/10/24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142BDA7C" w14:textId="77777777" w:rsidR="007A0BD5" w:rsidRDefault="007A0BD5">
      <w:pPr>
        <w:ind w:right="180"/>
        <w:jc w:val="both"/>
        <w:rPr>
          <w:b/>
          <w:bCs/>
          <w:sz w:val="24"/>
          <w:szCs w:val="24"/>
        </w:rPr>
      </w:pPr>
    </w:p>
    <w:p w14:paraId="75BC61CA" w14:textId="77777777" w:rsidR="007A0BD5" w:rsidRDefault="007A0BD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216FE223" w14:textId="77777777" w:rsidR="007A0BD5" w:rsidRDefault="007A0BD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A1902BF" w:rsidR="004923DA" w:rsidRPr="007A0BD5"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7A0BD5">
        <w:rPr>
          <w:caps/>
          <w:sz w:val="24"/>
          <w:szCs w:val="24"/>
        </w:rPr>
        <w:t>name of Line manager</w:t>
      </w:r>
      <w:r w:rsidR="00B577D3" w:rsidRPr="007A0BD5">
        <w:rPr>
          <w:caps/>
          <w:sz w:val="24"/>
          <w:szCs w:val="24"/>
        </w:rPr>
        <w:t xml:space="preserve">: </w:t>
      </w:r>
      <w:r w:rsidR="009D59C2" w:rsidRPr="007A0BD5">
        <w:rPr>
          <w:caps/>
          <w:sz w:val="24"/>
          <w:szCs w:val="24"/>
        </w:rPr>
        <w:t xml:space="preserve">  </w:t>
      </w:r>
      <w:r w:rsidR="007A0BD5">
        <w:rPr>
          <w:caps/>
          <w:sz w:val="24"/>
          <w:szCs w:val="24"/>
        </w:rPr>
        <w:t>Louisa rawstron</w:t>
      </w:r>
      <w:r w:rsidR="009D59C2" w:rsidRPr="007A0BD5">
        <w:rPr>
          <w:caps/>
          <w:sz w:val="24"/>
          <w:szCs w:val="24"/>
        </w:rPr>
        <w:t xml:space="preserve">    </w:t>
      </w:r>
    </w:p>
    <w:p w14:paraId="7C11F360" w14:textId="4E236EB1" w:rsidR="004923DA" w:rsidRPr="006410E6"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highlight w:val="yellow"/>
        </w:rPr>
      </w:pPr>
      <w:r w:rsidRPr="007A0BD5">
        <w:rPr>
          <w:caps/>
          <w:sz w:val="24"/>
          <w:szCs w:val="24"/>
        </w:rPr>
        <w:t>Signature of LINE MANAGER</w:t>
      </w:r>
      <w:r w:rsidR="009D59C2" w:rsidRPr="007A0BD5">
        <w:rPr>
          <w:sz w:val="24"/>
          <w:szCs w:val="24"/>
        </w:rPr>
        <w:t xml:space="preserve">:  </w:t>
      </w:r>
      <w:r w:rsidR="007A0BD5" w:rsidRPr="007A0BD5">
        <w:rPr>
          <w:noProof/>
          <w:sz w:val="24"/>
          <w:szCs w:val="24"/>
        </w:rPr>
        <w:drawing>
          <wp:inline distT="0" distB="0" distL="0" distR="0" wp14:anchorId="435C0BBE" wp14:editId="19C5A3A3">
            <wp:extent cx="1511935" cy="524510"/>
            <wp:effectExtent l="0" t="0" r="0" b="8890"/>
            <wp:docPr id="1202092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511935" cy="524510"/>
                    </a:xfrm>
                    <a:prstGeom prst="rect">
                      <a:avLst/>
                    </a:prstGeom>
                    <a:noFill/>
                  </pic:spPr>
                </pic:pic>
              </a:graphicData>
            </a:graphic>
          </wp:inline>
        </w:drawing>
      </w:r>
    </w:p>
    <w:p w14:paraId="57B2A00A" w14:textId="498E9F7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7A0BD5">
        <w:rPr>
          <w:sz w:val="24"/>
          <w:szCs w:val="24"/>
        </w:rPr>
        <w:t>DATE:</w:t>
      </w:r>
      <w:r w:rsidR="007A0BD5" w:rsidRPr="007A0BD5">
        <w:rPr>
          <w:sz w:val="24"/>
          <w:szCs w:val="24"/>
        </w:rPr>
        <w:t xml:space="preserve"> </w:t>
      </w:r>
      <w:r w:rsidR="007A0BD5">
        <w:rPr>
          <w:sz w:val="24"/>
          <w:szCs w:val="24"/>
        </w:rPr>
        <w:t>07/10/2024</w:t>
      </w:r>
      <w:r w:rsidR="009D59C2" w:rsidRPr="007A0BD5">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2B12C50" w:rsidR="00986C0B" w:rsidRPr="00DA5682" w:rsidRDefault="00E0283E">
            <w:pPr>
              <w:rPr>
                <w:sz w:val="24"/>
                <w:szCs w:val="24"/>
              </w:rPr>
            </w:pPr>
            <w:r>
              <w:rPr>
                <w:sz w:val="24"/>
                <w:szCs w:val="24"/>
              </w:rPr>
              <w:t>Rhys Williams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796B40A" w:rsidR="00986C0B" w:rsidRPr="00DA5682" w:rsidRDefault="00E0283E">
            <w:pPr>
              <w:rPr>
                <w:sz w:val="24"/>
                <w:szCs w:val="24"/>
              </w:rPr>
            </w:pPr>
            <w:r>
              <w:rPr>
                <w:sz w:val="24"/>
                <w:szCs w:val="24"/>
              </w:rPr>
              <w:t>Powys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B7A1DA6" w:rsidR="00986C0B" w:rsidRPr="00DA5682" w:rsidRDefault="006410E6">
            <w:pPr>
              <w:rPr>
                <w:sz w:val="24"/>
                <w:szCs w:val="24"/>
              </w:rPr>
            </w:pPr>
            <w:r>
              <w:rPr>
                <w:sz w:val="24"/>
                <w:szCs w:val="24"/>
              </w:rPr>
              <w:t xml:space="preserve"> Louisa Rawstron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B7D07B6" w:rsidR="00986C0B" w:rsidRPr="00DA5682" w:rsidRDefault="007A0BD5">
            <w:pPr>
              <w:rPr>
                <w:sz w:val="24"/>
                <w:szCs w:val="24"/>
              </w:rPr>
            </w:pPr>
            <w:r>
              <w:rPr>
                <w:sz w:val="24"/>
                <w:szCs w:val="24"/>
              </w:rPr>
              <w:t xml:space="preserve">Louisa </w:t>
            </w:r>
            <w:proofErr w:type="spellStart"/>
            <w:r>
              <w:rPr>
                <w:sz w:val="24"/>
                <w:szCs w:val="24"/>
              </w:rPr>
              <w:t>Rawstron</w:t>
            </w:r>
            <w:proofErr w:type="spellEnd"/>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5CC0C15" w:rsidR="00986C0B" w:rsidRPr="00DA5682" w:rsidRDefault="00986C0B" w:rsidP="00986C0B">
      <w:pPr>
        <w:rPr>
          <w:sz w:val="24"/>
          <w:szCs w:val="24"/>
        </w:rPr>
      </w:pPr>
      <w:r w:rsidRPr="00DA5682">
        <w:rPr>
          <w:sz w:val="24"/>
          <w:szCs w:val="24"/>
        </w:rPr>
        <w:t>Sign</w:t>
      </w:r>
      <w:r w:rsidR="00E0283E">
        <w:rPr>
          <w:sz w:val="24"/>
          <w:szCs w:val="24"/>
        </w:rPr>
        <w:t xml:space="preserve">ed: </w:t>
      </w:r>
      <w:r w:rsidR="00E0283E">
        <w:rPr>
          <w:noProof/>
          <w:sz w:val="24"/>
          <w:szCs w:val="24"/>
        </w:rPr>
        <w:drawing>
          <wp:inline distT="0" distB="0" distL="0" distR="0" wp14:anchorId="415CF185" wp14:editId="0AB6E847">
            <wp:extent cx="2181225" cy="733425"/>
            <wp:effectExtent l="0" t="0" r="9525" b="9525"/>
            <wp:docPr id="16655878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181225" cy="733425"/>
                    </a:xfrm>
                    <a:prstGeom prst="rect">
                      <a:avLst/>
                    </a:prstGeom>
                    <a:noFill/>
                  </pic:spPr>
                </pic:pic>
              </a:graphicData>
            </a:graphic>
          </wp:inline>
        </w:drawing>
      </w:r>
      <w:r w:rsidRPr="00DA5682">
        <w:rPr>
          <w:sz w:val="24"/>
          <w:szCs w:val="24"/>
        </w:rPr>
        <w:t xml:space="preserve"> Print Name</w:t>
      </w:r>
      <w:r w:rsidR="00E0283E">
        <w:rPr>
          <w:sz w:val="24"/>
          <w:szCs w:val="24"/>
        </w:rPr>
        <w:t xml:space="preserve">: Rhys Williams </w:t>
      </w:r>
      <w:r w:rsidRPr="00DA5682">
        <w:rPr>
          <w:sz w:val="24"/>
          <w:szCs w:val="24"/>
        </w:rPr>
        <w:t xml:space="preserve"> Da</w:t>
      </w:r>
      <w:r w:rsidR="00E0283E">
        <w:rPr>
          <w:sz w:val="24"/>
          <w:szCs w:val="24"/>
        </w:rPr>
        <w:t>te: 27/09/2024</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8A15D31" w:rsidR="00986C0B" w:rsidRPr="007A0BD5" w:rsidRDefault="00986C0B" w:rsidP="00986C0B">
      <w:pPr>
        <w:rPr>
          <w:sz w:val="24"/>
          <w:szCs w:val="24"/>
        </w:rPr>
      </w:pPr>
      <w:proofErr w:type="gramStart"/>
      <w:r w:rsidRPr="00DA5682">
        <w:rPr>
          <w:sz w:val="24"/>
          <w:szCs w:val="24"/>
        </w:rPr>
        <w:t>Signed</w:t>
      </w:r>
      <w:r w:rsidR="007A0BD5">
        <w:rPr>
          <w:sz w:val="24"/>
          <w:szCs w:val="24"/>
        </w:rPr>
        <w:t xml:space="preserve">  </w:t>
      </w:r>
      <w:r w:rsidRPr="007A0BD5">
        <w:rPr>
          <w:sz w:val="24"/>
          <w:szCs w:val="24"/>
        </w:rPr>
        <w:t>:</w:t>
      </w:r>
      <w:proofErr w:type="gramEnd"/>
      <w:r w:rsidR="007A0BD5" w:rsidRPr="007A0BD5">
        <w:rPr>
          <w:noProof/>
          <w:sz w:val="24"/>
          <w:szCs w:val="24"/>
        </w:rPr>
        <w:drawing>
          <wp:inline distT="0" distB="0" distL="0" distR="0" wp14:anchorId="1EA607E7" wp14:editId="3042F220">
            <wp:extent cx="1511935" cy="524510"/>
            <wp:effectExtent l="0" t="0" r="0" b="8890"/>
            <wp:docPr id="2646729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511935" cy="524510"/>
                    </a:xfrm>
                    <a:prstGeom prst="rect">
                      <a:avLst/>
                    </a:prstGeom>
                    <a:noFill/>
                  </pic:spPr>
                </pic:pic>
              </a:graphicData>
            </a:graphic>
          </wp:inline>
        </w:drawing>
      </w:r>
      <w:r w:rsidR="007A0BD5" w:rsidRPr="007A0BD5">
        <w:rPr>
          <w:sz w:val="24"/>
          <w:szCs w:val="24"/>
        </w:rPr>
        <w:t xml:space="preserve"> </w:t>
      </w:r>
      <w:r w:rsidRPr="007A0BD5">
        <w:rPr>
          <w:sz w:val="24"/>
          <w:szCs w:val="24"/>
        </w:rPr>
        <w:t xml:space="preserve">. </w:t>
      </w:r>
      <w:r w:rsidR="007A0BD5">
        <w:rPr>
          <w:sz w:val="24"/>
          <w:szCs w:val="24"/>
        </w:rPr>
        <w:t xml:space="preserve"> </w:t>
      </w:r>
      <w:r w:rsidRPr="007A0BD5">
        <w:rPr>
          <w:sz w:val="24"/>
          <w:szCs w:val="24"/>
        </w:rPr>
        <w:t>Print Name:</w:t>
      </w:r>
      <w:r w:rsidR="007A0BD5" w:rsidRPr="007A0BD5">
        <w:rPr>
          <w:sz w:val="24"/>
          <w:szCs w:val="24"/>
        </w:rPr>
        <w:t xml:space="preserve"> Louisa </w:t>
      </w:r>
      <w:proofErr w:type="spellStart"/>
      <w:r w:rsidR="007A0BD5" w:rsidRPr="007A0BD5">
        <w:rPr>
          <w:sz w:val="24"/>
          <w:szCs w:val="24"/>
        </w:rPr>
        <w:t>Rawstron</w:t>
      </w:r>
      <w:proofErr w:type="spellEnd"/>
      <w:r w:rsidR="007A0BD5" w:rsidRPr="007A0BD5">
        <w:rPr>
          <w:sz w:val="24"/>
          <w:szCs w:val="24"/>
        </w:rPr>
        <w:t xml:space="preserve"> </w:t>
      </w:r>
      <w:r w:rsidRPr="007A0BD5">
        <w:rPr>
          <w:sz w:val="24"/>
          <w:szCs w:val="24"/>
        </w:rPr>
        <w:t>Date:</w:t>
      </w:r>
      <w:r w:rsidR="007A0BD5" w:rsidRPr="007A0BD5">
        <w:rPr>
          <w:sz w:val="24"/>
          <w:szCs w:val="24"/>
        </w:rPr>
        <w:t xml:space="preserve"> 07/10/2024</w:t>
      </w:r>
      <w:r w:rsidRPr="007A0BD5">
        <w:rPr>
          <w:sz w:val="24"/>
          <w:szCs w:val="24"/>
        </w:rPr>
        <w:t xml:space="preserve"> </w:t>
      </w:r>
    </w:p>
    <w:p w14:paraId="6AF3A2C6" w14:textId="77777777" w:rsidR="00986C0B" w:rsidRPr="00DA5682" w:rsidRDefault="00986C0B" w:rsidP="00986C0B">
      <w:pPr>
        <w:rPr>
          <w:sz w:val="24"/>
          <w:szCs w:val="24"/>
        </w:rPr>
      </w:pPr>
      <w:r w:rsidRPr="007A0BD5">
        <w:rPr>
          <w:sz w:val="24"/>
          <w:szCs w:val="24"/>
        </w:rPr>
        <w:t>(Line Manager/Mentor)</w:t>
      </w:r>
    </w:p>
    <w:p w14:paraId="1FB87367" w14:textId="77777777" w:rsidR="00986C0B" w:rsidRPr="00DA5682" w:rsidRDefault="00986C0B" w:rsidP="00986C0B">
      <w:pPr>
        <w:rPr>
          <w:sz w:val="24"/>
          <w:szCs w:val="24"/>
        </w:rPr>
      </w:pPr>
    </w:p>
    <w:p w14:paraId="022FF86F" w14:textId="5A9FD357" w:rsidR="00986C0B" w:rsidRPr="00DA5682" w:rsidRDefault="00986C0B" w:rsidP="00986C0B">
      <w:pPr>
        <w:rPr>
          <w:sz w:val="24"/>
          <w:szCs w:val="24"/>
        </w:rPr>
      </w:pPr>
      <w:proofErr w:type="gramStart"/>
      <w:r w:rsidRPr="00DA5682">
        <w:rPr>
          <w:sz w:val="24"/>
          <w:szCs w:val="24"/>
        </w:rPr>
        <w:t>Signed:…</w:t>
      </w:r>
      <w:proofErr w:type="gramEnd"/>
      <w:r w:rsidR="006410E6" w:rsidRPr="006410E6">
        <w:rPr>
          <w:noProof/>
        </w:rPr>
        <w:t xml:space="preserve"> </w:t>
      </w:r>
      <w:r w:rsidR="006410E6">
        <w:rPr>
          <w:noProof/>
        </w:rPr>
        <w:drawing>
          <wp:inline distT="0" distB="0" distL="0" distR="0" wp14:anchorId="72B06CFC" wp14:editId="2EAFE308">
            <wp:extent cx="1511178" cy="523875"/>
            <wp:effectExtent l="0" t="0" r="0" b="0"/>
            <wp:docPr id="440283206"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83206" name="Picture 1" descr="A signature on a white background&#10;&#10;Description automatically generated"/>
                    <pic:cNvPicPr/>
                  </pic:nvPicPr>
                  <pic:blipFill>
                    <a:blip r:embed="rId66"/>
                    <a:stretch>
                      <a:fillRect/>
                    </a:stretch>
                  </pic:blipFill>
                  <pic:spPr>
                    <a:xfrm>
                      <a:off x="0" y="0"/>
                      <a:ext cx="1516661" cy="525776"/>
                    </a:xfrm>
                    <a:prstGeom prst="rect">
                      <a:avLst/>
                    </a:prstGeom>
                  </pic:spPr>
                </pic:pic>
              </a:graphicData>
            </a:graphic>
          </wp:inline>
        </w:drawing>
      </w:r>
      <w:r w:rsidRPr="00DA5682">
        <w:rPr>
          <w:sz w:val="24"/>
          <w:szCs w:val="24"/>
        </w:rPr>
        <w:t>…</w:t>
      </w:r>
      <w:r w:rsidR="006410E6">
        <w:rPr>
          <w:sz w:val="24"/>
          <w:szCs w:val="24"/>
        </w:rPr>
        <w:t xml:space="preserve"> </w:t>
      </w:r>
      <w:r w:rsidRPr="00DA5682">
        <w:rPr>
          <w:sz w:val="24"/>
          <w:szCs w:val="24"/>
        </w:rPr>
        <w:t>.. Print Name</w:t>
      </w:r>
      <w:r w:rsidR="007A0BD5">
        <w:rPr>
          <w:sz w:val="24"/>
          <w:szCs w:val="24"/>
        </w:rPr>
        <w:t xml:space="preserve">: </w:t>
      </w:r>
      <w:r w:rsidR="006410E6">
        <w:rPr>
          <w:sz w:val="24"/>
          <w:szCs w:val="24"/>
        </w:rPr>
        <w:t xml:space="preserve">Louisa </w:t>
      </w:r>
      <w:proofErr w:type="spellStart"/>
      <w:r w:rsidR="006410E6">
        <w:rPr>
          <w:sz w:val="24"/>
          <w:szCs w:val="24"/>
        </w:rPr>
        <w:t>Rawstro</w:t>
      </w:r>
      <w:r w:rsidR="007A0BD5">
        <w:rPr>
          <w:sz w:val="24"/>
          <w:szCs w:val="24"/>
        </w:rPr>
        <w:t>n</w:t>
      </w:r>
      <w:proofErr w:type="spellEnd"/>
      <w:r w:rsidR="007A0BD5">
        <w:rPr>
          <w:sz w:val="24"/>
          <w:szCs w:val="24"/>
        </w:rPr>
        <w:t xml:space="preserve"> </w:t>
      </w:r>
      <w:r w:rsidRPr="00DA5682">
        <w:rPr>
          <w:sz w:val="24"/>
          <w:szCs w:val="24"/>
        </w:rPr>
        <w:t>Date</w:t>
      </w:r>
      <w:r w:rsidR="006410E6">
        <w:rPr>
          <w:sz w:val="24"/>
          <w:szCs w:val="24"/>
        </w:rPr>
        <w:t>: 07/08/24</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8"/>
      <w:footerReference w:type="default" r:id="rId6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C912F1" w14:textId="77777777" w:rsidR="00E05168" w:rsidRDefault="00E05168">
      <w:r>
        <w:separator/>
      </w:r>
    </w:p>
  </w:endnote>
  <w:endnote w:type="continuationSeparator" w:id="0">
    <w:p w14:paraId="5D180943" w14:textId="77777777" w:rsidR="00E05168" w:rsidRDefault="00E051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CB41AC" w14:textId="77777777" w:rsidR="00E05168" w:rsidRDefault="00E05168">
      <w:r>
        <w:separator/>
      </w:r>
    </w:p>
  </w:footnote>
  <w:footnote w:type="continuationSeparator" w:id="0">
    <w:p w14:paraId="582C628C" w14:textId="77777777" w:rsidR="00E05168" w:rsidRDefault="00E051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ADB"/>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37A"/>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60BA"/>
    <w:rsid w:val="001608C4"/>
    <w:rsid w:val="00161F61"/>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79BD"/>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5C3"/>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1FE2"/>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923"/>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10E6"/>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BD5"/>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27345"/>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0BB7"/>
    <w:rsid w:val="008859E8"/>
    <w:rsid w:val="00886BDE"/>
    <w:rsid w:val="0088737B"/>
    <w:rsid w:val="00891078"/>
    <w:rsid w:val="00892716"/>
    <w:rsid w:val="00893067"/>
    <w:rsid w:val="008933DE"/>
    <w:rsid w:val="00895FCE"/>
    <w:rsid w:val="00897F3E"/>
    <w:rsid w:val="008A21B4"/>
    <w:rsid w:val="008A2A4A"/>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206D"/>
    <w:rsid w:val="008E3195"/>
    <w:rsid w:val="008E5A35"/>
    <w:rsid w:val="008F127E"/>
    <w:rsid w:val="008F32D9"/>
    <w:rsid w:val="00901DCA"/>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3773"/>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0930"/>
    <w:rsid w:val="00BC1C22"/>
    <w:rsid w:val="00BC460B"/>
    <w:rsid w:val="00BC4ED3"/>
    <w:rsid w:val="00BC5725"/>
    <w:rsid w:val="00BD02D4"/>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1F2"/>
    <w:rsid w:val="00C7108B"/>
    <w:rsid w:val="00C75883"/>
    <w:rsid w:val="00C77FA5"/>
    <w:rsid w:val="00C8053F"/>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02E"/>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49F6"/>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283E"/>
    <w:rsid w:val="00E05168"/>
    <w:rsid w:val="00E0524C"/>
    <w:rsid w:val="00E11EAA"/>
    <w:rsid w:val="00E15751"/>
    <w:rsid w:val="00E17160"/>
    <w:rsid w:val="00E17D41"/>
    <w:rsid w:val="00E231D1"/>
    <w:rsid w:val="00E3288D"/>
    <w:rsid w:val="00E35112"/>
    <w:rsid w:val="00E35BEC"/>
    <w:rsid w:val="00E41A6A"/>
    <w:rsid w:val="00E50821"/>
    <w:rsid w:val="00E51F91"/>
    <w:rsid w:val="00E5498A"/>
    <w:rsid w:val="00E559CE"/>
    <w:rsid w:val="00E60F42"/>
    <w:rsid w:val="00E63478"/>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093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05/9/section/1" TargetMode="External"/><Relationship Id="rId21" Type="http://schemas.openxmlformats.org/officeDocument/2006/relationships/hyperlink" Target="https://bettercarenetwork.org/sites/default/files/Framework%20for%20the%20Assessment%20of%20Children%20in%20Need%20and%20Their%20Families%20-%20Guidance%20Notes%20and%20Glossary.pdf" TargetMode="External"/><Relationship Id="rId42" Type="http://schemas.openxmlformats.org/officeDocument/2006/relationships/hyperlink" Target="https://www.legislation.gov.uk/anaw/2014/4/section/164" TargetMode="External"/><Relationship Id="rId47" Type="http://schemas.openxmlformats.org/officeDocument/2006/relationships/hyperlink" Target="https://www.legislation.gov.uk/ukpga/1998/42/schedule/1" TargetMode="External"/><Relationship Id="rId63" Type="http://schemas.openxmlformats.org/officeDocument/2006/relationships/hyperlink" Target="https://www.gov.wales/sites/default/files/publications/2019-06/volume-6-handling-individual-cases-to-protect-adults-at-risk.pdf" TargetMode="External"/><Relationship Id="rId68" Type="http://schemas.openxmlformats.org/officeDocument/2006/relationships/header" Target="header1.xml"/><Relationship Id="rId7" Type="http://schemas.openxmlformats.org/officeDocument/2006/relationships/webSettings" Target="web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1989/41/section/47" TargetMode="External"/><Relationship Id="rId29" Type="http://schemas.openxmlformats.org/officeDocument/2006/relationships/hyperlink" Target="https://adoptcymru.com/home.php?_dds=true&amp;fileID=467&amp;inline=true" TargetMode="External"/><Relationship Id="rId11" Type="http://schemas.openxmlformats.org/officeDocument/2006/relationships/hyperlink" Target="https://assets.publishing.service.gov.uk/media/5a8238c540f0b6230269b7ce/Evaluation_of_Signs_of_Safety_in_10_pilots.pdf" TargetMode="External"/><Relationship Id="rId24" Type="http://schemas.openxmlformats.org/officeDocument/2006/relationships/hyperlink" Target="https://www.gov.wales/sites/default/files/statistics-and-research/2021-08/evaluation-of-more-than-just-words-strategic-framework-for-welsh-language-services-in-health-social-services-and-social-care-2016-19.pdf" TargetMode="External"/><Relationship Id="rId32" Type="http://schemas.openxmlformats.org/officeDocument/2006/relationships/hyperlink" Target="https://childprotection.rcpch.ac.uk/wp-content/uploads/sites/6/2020/06/CPC_Chapter-11_Neglect_v3_230620-for-PDF.pdf" TargetMode="External"/><Relationship Id="rId37" Type="http://schemas.openxmlformats.org/officeDocument/2006/relationships/hyperlink" Target="https://socialcare.wales/cms-assets/documents/Practice-guidance-social-workers.pdf" TargetMode="External"/><Relationship Id="rId40" Type="http://schemas.openxmlformats.org/officeDocument/2006/relationships/hyperlink" Target="https://www.legislation.gov.uk/anaw/2014/4/section/1286" TargetMode="External"/><Relationship Id="rId45" Type="http://schemas.openxmlformats.org/officeDocument/2006/relationships/hyperlink" Target="https://www.legislation.gov.uk/anaw/2014/4/section/6" TargetMode="External"/><Relationship Id="rId53" Type="http://schemas.openxmlformats.org/officeDocument/2006/relationships/hyperlink" Target="https://safeguarding.wales/en/chi-i/chi-i-c3pt1/c3pt1-p8/" TargetMode="External"/><Relationship Id="rId58" Type="http://schemas.openxmlformats.org/officeDocument/2006/relationships/hyperlink" Target="https://safeguarding.wales/en/" TargetMode="External"/><Relationship Id="rId66" Type="http://schemas.openxmlformats.org/officeDocument/2006/relationships/image" Target="media/image3.png"/><Relationship Id="rId5" Type="http://schemas.openxmlformats.org/officeDocument/2006/relationships/styles" Target="styles.xml"/><Relationship Id="rId61" Type="http://schemas.openxmlformats.org/officeDocument/2006/relationships/hyperlink" Target="https://socialcare.wales/cms-assets/documents/150928activeoffersocialservicesen.pdf" TargetMode="External"/><Relationship Id="rId19" Type="http://schemas.openxmlformats.org/officeDocument/2006/relationships/hyperlink" Target="https://www.cwmtafmorgannwgsafeguardingboard.co.uk/En/NewsEvents/pdfs/ChildPracticeReviewCTMSB042021ChildTFinalReportEMBARGOED.pdf" TargetMode="External"/><Relationship Id="rId14" Type="http://schemas.openxmlformats.org/officeDocument/2006/relationships/hyperlink" Target="https://www.hiw.org.uk/system/files/2024-09/49987%20CIW%20Joint%20Report%20%28E%29%20WEB%20-%20FINAL.pdf" TargetMode="External"/><Relationship Id="rId22" Type="http://schemas.openxmlformats.org/officeDocument/2006/relationships/hyperlink" Target="https://www.echr.coe.int/documents/d/echr/Convention_ENG" TargetMode="External"/><Relationship Id="rId27" Type="http://schemas.openxmlformats.org/officeDocument/2006/relationships/hyperlink" Target="https://doi.org/10.1093/pch/pxac067" TargetMode="External"/><Relationship Id="rId30" Type="http://schemas.openxmlformats.org/officeDocument/2006/relationships/hyperlink" Target="https://phw.nhs.wales/news/the-cost-of-poor-housing-in-wales/the-full-cost-of-poor-housing-in-wales/" TargetMode="External"/><Relationship Id="rId35" Type="http://schemas.openxmlformats.org/officeDocument/2006/relationships/hyperlink" Target="https://socialcare.wales/cms-assets/documents/Code-of-Professional-Practice-for-Social-Care-web-version.pdf" TargetMode="External"/><Relationship Id="rId43" Type="http://schemas.openxmlformats.org/officeDocument/2006/relationships/hyperlink" Target="https://www.legislation.gov.uk/anaw/2014/4/section/130" TargetMode="External"/><Relationship Id="rId48" Type="http://schemas.openxmlformats.org/officeDocument/2006/relationships/hyperlink" Target="https://www.unicef.org.uk/wp-content/uploads/2016/08/unicef-convention-rights-child-uncrc.pdf" TargetMode="External"/><Relationship Id="rId56" Type="http://schemas.openxmlformats.org/officeDocument/2006/relationships/hyperlink" Target="https://safeguarding.wales/en/adu-i/adu-i-ap/a1p-p2/" TargetMode="External"/><Relationship Id="rId64" Type="http://schemas.openxmlformats.org/officeDocument/2006/relationships/hyperlink" Target="https://www.gov.wales/sites/default/files/publications/2019-07/working-together-to-safeguard-people-information-sharing-to-safeguard-children.pdf" TargetMode="External"/><Relationship Id="rId69"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safeguarding.wales/en/chi-i/chi-i-c3pt1/c3pt1-p4/" TargetMode="External"/><Relationship Id="rId3" Type="http://schemas.openxmlformats.org/officeDocument/2006/relationships/customXml" Target="../customXml/item3.xml"/><Relationship Id="rId12" Type="http://schemas.openxmlformats.org/officeDocument/2006/relationships/hyperlink" Target="https://cardiffandvalersb.co.uk/wp-content/uploads/CVSB-032019-CPR-Final-Report.pdf" TargetMode="External"/><Relationship Id="rId17" Type="http://schemas.openxmlformats.org/officeDocument/2006/relationships/hyperlink" Target="https://www.communitycare.co.uk/2008/10/15/proven-practice-communicating-with-service-users-and-their-carers/" TargetMode="External"/><Relationship Id="rId25" Type="http://schemas.openxmlformats.org/officeDocument/2006/relationships/hyperlink" Target="https://doi.org/10.1093/bjsw/bcaa058" TargetMode="External"/><Relationship Id="rId33" Type="http://schemas.openxmlformats.org/officeDocument/2006/relationships/hyperlink" Target="https://socialcare.wales/cms-assets/documents/Code-of-Professional-Practice-for-Social-Care-web-version.pdf" TargetMode="External"/><Relationship Id="rId38" Type="http://schemas.openxmlformats.org/officeDocument/2006/relationships/hyperlink" Target="https://www.legislation.gov.uk/anaw/2014/4/contents" TargetMode="External"/><Relationship Id="rId46" Type="http://schemas.openxmlformats.org/officeDocument/2006/relationships/hyperlink" Target="https://statswales.gov.wales/Catalogue/Health-and-Social-Care/Social-Services/Adult-Services/Adult-Safeguarding/adultssuspectedofbeingatrisk-by-localauthority-measure" TargetMode="External"/><Relationship Id="rId59" Type="http://schemas.openxmlformats.org/officeDocument/2006/relationships/hyperlink" Target="https://safeguarding.wales/en/chi-i/chi-i-c3pt1/c3pt1-p5/" TargetMode="External"/><Relationship Id="rId67" Type="http://schemas.openxmlformats.org/officeDocument/2006/relationships/image" Target="media/image4.png"/><Relationship Id="rId20" Type="http://schemas.openxmlformats.org/officeDocument/2006/relationships/hyperlink" Target="https://www.legislation.gov.uk/ukpga/2018/12/contents/enacted" TargetMode="External"/><Relationship Id="rId41" Type="http://schemas.openxmlformats.org/officeDocument/2006/relationships/hyperlink" Target="https://www.legislation.gov.uk/anaw/2014/4/section/1628" TargetMode="External"/><Relationship Id="rId54" Type="http://schemas.openxmlformats.org/officeDocument/2006/relationships/hyperlink" Target="https://safeguarding.wales/en/chi-i/chi-i-c3pt2/c3pt2-p3/" TargetMode="External"/><Relationship Id="rId62" Type="http://schemas.openxmlformats.org/officeDocument/2006/relationships/hyperlink" Target="https://www.gov.wales/sites/default/files/publications/2019-05/working-together-to-safeguard-people-volume-5-handling-individual-cases-to-protect-children-at-risk.pdf"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legislation.gov.uk/ukpga/1989/41/section/43" TargetMode="External"/><Relationship Id="rId23" Type="http://schemas.openxmlformats.org/officeDocument/2006/relationships/hyperlink" Target="https://www.local.gov.uk/sites/default/files/documents/workforce%20-%20wellbeing%20social%20care%20-%20Community%20Care%20Inform%20emotional%20resilience%20guide.pdf" TargetMode="External"/><Relationship Id="rId28" Type="http://schemas.openxmlformats.org/officeDocument/2006/relationships/hyperlink" Target="https://assets.publishing.service.gov.uk/media/5a7b455ee5274a34770ea939/Munro-Review.pdf" TargetMode="External"/><Relationship Id="rId36" Type="http://schemas.openxmlformats.org/officeDocument/2006/relationships/hyperlink" Target="https://socialcare.wales/cms-assets/documents/Practice-guidance-social-workers.pdf" TargetMode="External"/><Relationship Id="rId49" Type="http://schemas.openxmlformats.org/officeDocument/2006/relationships/hyperlink" Target="https://safeguarding.wales/en/glossary/" TargetMode="External"/><Relationship Id="rId57" Type="http://schemas.openxmlformats.org/officeDocument/2006/relationships/hyperlink" Target="https://safeguarding.wales/en/adu-i/adu-i-a2/a2-p8/" TargetMode="External"/><Relationship Id="rId10" Type="http://schemas.openxmlformats.org/officeDocument/2006/relationships/image" Target="media/image1.png"/><Relationship Id="rId31" Type="http://schemas.openxmlformats.org/officeDocument/2006/relationships/hyperlink" Target="https://www.casemine.com/judgement/uk/5a8ff74e60d03e7f57eab118" TargetMode="External"/><Relationship Id="rId44" Type="http://schemas.openxmlformats.org/officeDocument/2006/relationships/hyperlink" Target="https://www.legislation.gov.uk/anaw/2014/4/section/21" TargetMode="External"/><Relationship Id="rId52" Type="http://schemas.openxmlformats.org/officeDocument/2006/relationships/hyperlink" Target="https://safeguarding.wales/en/chi-i/chi-i-c3pt1/c3pt1-p5/" TargetMode="External"/><Relationship Id="rId60" Type="http://schemas.openxmlformats.org/officeDocument/2006/relationships/hyperlink" Target="https://socialcare.wales/cms-assets/documents/150928activeoffersocialservicesen.pdf" TargetMode="External"/><Relationship Id="rId65"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legislation.gov.uk/wsi/2015/1578/made" TargetMode="External"/><Relationship Id="rId18" Type="http://schemas.openxmlformats.org/officeDocument/2006/relationships/hyperlink" Target="https://www.communitycare.co.uk/2023/09/14/working-with-children-experiencing-neglect-challenges-and-solutions/" TargetMode="External"/><Relationship Id="rId39" Type="http://schemas.openxmlformats.org/officeDocument/2006/relationships/hyperlink" Target="https://www.legislation.gov.uk/anaw/2014/4/section/1260" TargetMode="External"/><Relationship Id="rId34" Type="http://schemas.openxmlformats.org/officeDocument/2006/relationships/hyperlink" Target="https://socialcare.wales/cms-assets/documents/Code-of-Professional-Practice-for-Social-Care-web-version.pdf" TargetMode="External"/><Relationship Id="rId50" Type="http://schemas.openxmlformats.org/officeDocument/2006/relationships/hyperlink" Target="https://safeguarding.wales/en/chi-i/chi-i-c3pt1/c3pt1-p8/" TargetMode="External"/><Relationship Id="rId55" Type="http://schemas.openxmlformats.org/officeDocument/2006/relationships/hyperlink" Target="https://safeguarding.wales/en/gloss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6245</Words>
  <Characters>35598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Rhys Williams (Student)</cp:lastModifiedBy>
  <cp:revision>3</cp:revision>
  <cp:lastPrinted>2020-02-11T19:20:00Z</cp:lastPrinted>
  <dcterms:created xsi:type="dcterms:W3CDTF">2024-10-07T19:13:00Z</dcterms:created>
  <dcterms:modified xsi:type="dcterms:W3CDTF">2024-10-07T19:26:00Z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