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471F16" w14:textId="0284C068" w:rsidR="00010A5D" w:rsidRPr="006C5603" w:rsidRDefault="006C5603" w:rsidP="006C5603">
      <w:pPr>
        <w:spacing w:line="360" w:lineRule="auto"/>
        <w:rPr>
          <w:rFonts w:ascii="Times New Roman" w:eastAsia="Times New Roman" w:hAnsi="Times New Roman" w:cs="Times New Roman"/>
          <w:b/>
          <w:sz w:val="28"/>
          <w:szCs w:val="28"/>
        </w:rPr>
      </w:pPr>
      <w:r w:rsidRPr="006C5603">
        <w:rPr>
          <w:rFonts w:ascii="Times New Roman" w:eastAsia="Times New Roman" w:hAnsi="Times New Roman" w:cs="Times New Roman"/>
          <w:b/>
          <w:sz w:val="28"/>
          <w:szCs w:val="28"/>
        </w:rPr>
        <w:t xml:space="preserve">Module code: </w:t>
      </w:r>
      <w:r w:rsidR="003F4D7E" w:rsidRPr="006C5603">
        <w:rPr>
          <w:rFonts w:ascii="Times New Roman" w:eastAsia="Times New Roman" w:hAnsi="Times New Roman" w:cs="Times New Roman"/>
          <w:b/>
          <w:sz w:val="28"/>
          <w:szCs w:val="28"/>
        </w:rPr>
        <w:t>LCBB4002</w:t>
      </w:r>
    </w:p>
    <w:p w14:paraId="72807B56" w14:textId="718CB49A" w:rsidR="00010A5D" w:rsidRPr="006C5603" w:rsidRDefault="006C5603" w:rsidP="006C5603">
      <w:pPr>
        <w:spacing w:line="360" w:lineRule="auto"/>
        <w:rPr>
          <w:rFonts w:ascii="Times New Roman" w:eastAsia="Times New Roman" w:hAnsi="Times New Roman" w:cs="Times New Roman"/>
          <w:b/>
          <w:sz w:val="28"/>
          <w:szCs w:val="28"/>
        </w:rPr>
      </w:pPr>
      <w:r w:rsidRPr="006C5603">
        <w:rPr>
          <w:rFonts w:ascii="Times New Roman" w:eastAsia="Times New Roman" w:hAnsi="Times New Roman" w:cs="Times New Roman"/>
          <w:b/>
          <w:sz w:val="28"/>
          <w:szCs w:val="28"/>
        </w:rPr>
        <w:t xml:space="preserve">Module subject: </w:t>
      </w:r>
      <w:r w:rsidR="003F4D7E" w:rsidRPr="006C5603">
        <w:rPr>
          <w:rFonts w:ascii="Times New Roman" w:eastAsia="Times New Roman" w:hAnsi="Times New Roman" w:cs="Times New Roman"/>
          <w:b/>
          <w:sz w:val="28"/>
          <w:szCs w:val="28"/>
        </w:rPr>
        <w:t>Community Engagement</w:t>
      </w:r>
    </w:p>
    <w:p w14:paraId="042D9C5B" w14:textId="64D40B26" w:rsidR="006C5603" w:rsidRPr="006C5603" w:rsidRDefault="003F4D7E" w:rsidP="006C5603">
      <w:pPr>
        <w:spacing w:line="360" w:lineRule="auto"/>
        <w:rPr>
          <w:rFonts w:ascii="Times New Roman" w:eastAsia="Times New Roman" w:hAnsi="Times New Roman" w:cs="Times New Roman"/>
          <w:b/>
          <w:sz w:val="28"/>
          <w:szCs w:val="28"/>
        </w:rPr>
      </w:pPr>
      <w:r w:rsidRPr="006C5603">
        <w:rPr>
          <w:rFonts w:ascii="Times New Roman" w:eastAsia="Times New Roman" w:hAnsi="Times New Roman" w:cs="Times New Roman"/>
          <w:b/>
          <w:sz w:val="28"/>
          <w:szCs w:val="28"/>
        </w:rPr>
        <w:t>Assessment 1: Essay on Community Engagement</w:t>
      </w:r>
    </w:p>
    <w:p w14:paraId="210240DE" w14:textId="62EE654B" w:rsidR="006C5603" w:rsidRPr="006C5603" w:rsidRDefault="006C5603" w:rsidP="006C5603">
      <w:pPr>
        <w:spacing w:line="360" w:lineRule="auto"/>
        <w:rPr>
          <w:rFonts w:ascii="Times New Roman" w:eastAsia="Times New Roman" w:hAnsi="Times New Roman" w:cs="Times New Roman"/>
          <w:b/>
          <w:sz w:val="28"/>
          <w:szCs w:val="28"/>
        </w:rPr>
      </w:pPr>
      <w:r w:rsidRPr="006C5603">
        <w:rPr>
          <w:rFonts w:ascii="Times New Roman" w:eastAsia="Times New Roman" w:hAnsi="Times New Roman" w:cs="Times New Roman"/>
          <w:b/>
          <w:sz w:val="28"/>
          <w:szCs w:val="28"/>
        </w:rPr>
        <w:t>Student ID: 2213140</w:t>
      </w:r>
    </w:p>
    <w:p w14:paraId="3A85C9D4" w14:textId="3BEFF0A1" w:rsidR="006C5603" w:rsidRPr="006C5603" w:rsidRDefault="006C5603" w:rsidP="006C5603">
      <w:pPr>
        <w:spacing w:line="360" w:lineRule="auto"/>
        <w:rPr>
          <w:rFonts w:ascii="Times New Roman" w:eastAsia="Times New Roman" w:hAnsi="Times New Roman" w:cs="Times New Roman"/>
          <w:b/>
          <w:sz w:val="28"/>
          <w:szCs w:val="28"/>
        </w:rPr>
      </w:pPr>
      <w:r w:rsidRPr="006C5603">
        <w:rPr>
          <w:rFonts w:ascii="Times New Roman" w:eastAsia="Times New Roman" w:hAnsi="Times New Roman" w:cs="Times New Roman"/>
          <w:b/>
          <w:sz w:val="28"/>
          <w:szCs w:val="28"/>
        </w:rPr>
        <w:t>Student name: Ivan Georgiev</w:t>
      </w:r>
    </w:p>
    <w:p w14:paraId="40791516" w14:textId="13FFEEA7" w:rsidR="00010A5D" w:rsidRPr="006C5603" w:rsidRDefault="006C5603" w:rsidP="006C5603">
      <w:pPr>
        <w:spacing w:line="360" w:lineRule="auto"/>
        <w:rPr>
          <w:rFonts w:ascii="Times New Roman" w:eastAsia="Times New Roman" w:hAnsi="Times New Roman" w:cs="Times New Roman"/>
          <w:b/>
          <w:sz w:val="28"/>
          <w:szCs w:val="28"/>
        </w:rPr>
      </w:pPr>
      <w:r w:rsidRPr="006C5603">
        <w:rPr>
          <w:rFonts w:ascii="Times New Roman" w:eastAsia="Times New Roman" w:hAnsi="Times New Roman" w:cs="Times New Roman"/>
          <w:b/>
          <w:sz w:val="28"/>
          <w:szCs w:val="28"/>
        </w:rPr>
        <w:t>Lecturer’s name: Dr Nadeem Merza</w:t>
      </w:r>
    </w:p>
    <w:p w14:paraId="002AC3D7" w14:textId="77777777" w:rsidR="00010A5D" w:rsidRDefault="00010A5D">
      <w:pPr>
        <w:spacing w:line="360" w:lineRule="auto"/>
        <w:rPr>
          <w:rFonts w:ascii="Times New Roman" w:eastAsia="Times New Roman" w:hAnsi="Times New Roman" w:cs="Times New Roman"/>
          <w:b/>
          <w:sz w:val="32"/>
          <w:szCs w:val="32"/>
        </w:rPr>
      </w:pPr>
    </w:p>
    <w:p w14:paraId="03A7B03A" w14:textId="77777777" w:rsidR="00010A5D" w:rsidRDefault="003F4D7E">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Introduction</w:t>
      </w:r>
    </w:p>
    <w:p w14:paraId="53205F7C" w14:textId="4DA58399" w:rsidR="00010A5D" w:rsidRDefault="003F4D7E">
      <w:pPr>
        <w:spacing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4"/>
          <w:szCs w:val="24"/>
        </w:rPr>
        <w:t xml:space="preserve">This essay discusses the prevailing issues that are related to </w:t>
      </w:r>
      <w:r w:rsidR="006C5603">
        <w:rPr>
          <w:rFonts w:ascii="Times New Roman" w:eastAsia="Times New Roman" w:hAnsi="Times New Roman" w:cs="Times New Roman"/>
          <w:sz w:val="24"/>
          <w:szCs w:val="24"/>
        </w:rPr>
        <w:t>Croydon</w:t>
      </w:r>
      <w:r>
        <w:rPr>
          <w:rFonts w:ascii="Times New Roman" w:eastAsia="Times New Roman" w:hAnsi="Times New Roman" w:cs="Times New Roman"/>
          <w:sz w:val="24"/>
          <w:szCs w:val="24"/>
        </w:rPr>
        <w:t xml:space="preserve"> Council. This analysis will be performed within the context of stakeholder relationships. The essay will identify the procedures relevant to stakeholder consultation, as well as consider the strategic implementation of communication and feedback. The core areas of concern will be investigated and the process of receiving feedback and implementing it at the Council will be determined with the aim of detailing the performance of community engagement at Croydon Council.</w:t>
      </w:r>
    </w:p>
    <w:p w14:paraId="1BFC0C06" w14:textId="77777777" w:rsidR="00010A5D" w:rsidRDefault="003F4D7E">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Discussion</w:t>
      </w:r>
    </w:p>
    <w:p w14:paraId="2F660C0F" w14:textId="77777777" w:rsidR="00010A5D" w:rsidRDefault="003F4D7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Community engagement principles and standards</w:t>
      </w:r>
    </w:p>
    <w:p w14:paraId="78E97908" w14:textId="65183F4F" w:rsidR="00010A5D" w:rsidRDefault="003F4D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 engagement at the Croydon Council is detailed within its Statement of Community Involvement. Under this document, the local authority’s process for involving the community and stakeholders is detailed within the context of local processes such as Local Plans and planning applications. The Local Plan was adopted on 27 February 2018 and describes the 'We are Croydon' vision of the Council for the Croydon borough (Croydon Council, 2023). Community engagement within such official plans involves consultation with stakeholders involved in the development of local land, from which responses are evaluated by the Council before submission of a proposal document to the Secretary of State. Following this, the development plan is ultimately </w:t>
      </w:r>
      <w:r w:rsidR="006C5603">
        <w:rPr>
          <w:rFonts w:ascii="Times New Roman" w:eastAsia="Times New Roman" w:hAnsi="Times New Roman" w:cs="Times New Roman"/>
          <w:sz w:val="24"/>
          <w:szCs w:val="24"/>
        </w:rPr>
        <w:t>adopted,</w:t>
      </w:r>
      <w:r>
        <w:rPr>
          <w:rFonts w:ascii="Times New Roman" w:eastAsia="Times New Roman" w:hAnsi="Times New Roman" w:cs="Times New Roman"/>
          <w:sz w:val="24"/>
          <w:szCs w:val="24"/>
        </w:rPr>
        <w:t xml:space="preserve"> and monitoring activities commence within the Council’s purview. The standards established with the Local Plans are therefore observable by the Council’s stakeholders as well as the government representatives like the Secretary of State, rendering the standards transparent and clear for approval across various Council participants. In legislative terms the Localism Act 2011 is obeyed for the development of local </w:t>
      </w:r>
      <w:r w:rsidR="006C5603">
        <w:rPr>
          <w:rFonts w:ascii="Times New Roman" w:eastAsia="Times New Roman" w:hAnsi="Times New Roman" w:cs="Times New Roman"/>
          <w:sz w:val="24"/>
          <w:szCs w:val="24"/>
        </w:rPr>
        <w:t>neighborhoods</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across the borough, ensuring that local communities can participate equitably in the development of their </w:t>
      </w:r>
      <w:r w:rsidR="006C5603">
        <w:rPr>
          <w:rFonts w:ascii="Times New Roman" w:eastAsia="Times New Roman" w:hAnsi="Times New Roman" w:cs="Times New Roman"/>
          <w:sz w:val="24"/>
          <w:szCs w:val="24"/>
        </w:rPr>
        <w:t>neighborhoods</w:t>
      </w:r>
      <w:r>
        <w:rPr>
          <w:rFonts w:ascii="Times New Roman" w:eastAsia="Times New Roman" w:hAnsi="Times New Roman" w:cs="Times New Roman"/>
          <w:sz w:val="24"/>
          <w:szCs w:val="24"/>
        </w:rPr>
        <w:t>.</w:t>
      </w:r>
    </w:p>
    <w:p w14:paraId="2FD52317" w14:textId="77777777" w:rsidR="00010A5D" w:rsidRDefault="003F4D7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Consultation methods</w:t>
      </w:r>
    </w:p>
    <w:p w14:paraId="1EAFF483" w14:textId="5B5D4297" w:rsidR="00010A5D" w:rsidRDefault="003F4D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Croydon Council consults with stakeholders, individuals, </w:t>
      </w:r>
      <w:r w:rsidR="006C5603">
        <w:rPr>
          <w:rFonts w:ascii="Times New Roman" w:eastAsia="Times New Roman" w:hAnsi="Times New Roman" w:cs="Times New Roman"/>
          <w:sz w:val="24"/>
          <w:szCs w:val="24"/>
        </w:rPr>
        <w:t>groups,</w:t>
      </w:r>
      <w:r>
        <w:rPr>
          <w:rFonts w:ascii="Times New Roman" w:eastAsia="Times New Roman" w:hAnsi="Times New Roman" w:cs="Times New Roman"/>
          <w:sz w:val="24"/>
          <w:szCs w:val="24"/>
        </w:rPr>
        <w:t xml:space="preserve"> and </w:t>
      </w:r>
      <w:r w:rsidR="006C5603">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through communication, which allows the Council to act democratically by inviting differing views and opinions towards local community engagement (Croydon Council, 2023). The Council aims to make the consultation process inclusive by accounting for community groups who might have difficulties following the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consultation methods. Consultation is done across different approaches; they can be proactive, where the community stakeholders put forward their ideas proactively so they can participate in the active development of proposals and options. They can also be reactive by allowing community stakeholders to comment and </w:t>
      </w:r>
      <w:proofErr w:type="spellStart"/>
      <w:r>
        <w:rPr>
          <w:rFonts w:ascii="Times New Roman" w:eastAsia="Times New Roman" w:hAnsi="Times New Roman" w:cs="Times New Roman"/>
          <w:sz w:val="24"/>
          <w:szCs w:val="24"/>
        </w:rPr>
        <w:t>criticise</w:t>
      </w:r>
      <w:proofErr w:type="spellEnd"/>
      <w:r>
        <w:rPr>
          <w:rFonts w:ascii="Times New Roman" w:eastAsia="Times New Roman" w:hAnsi="Times New Roman" w:cs="Times New Roman"/>
          <w:sz w:val="24"/>
          <w:szCs w:val="24"/>
        </w:rPr>
        <w:t xml:space="preserve"> policies to voice their opinion and exercise their right to </w:t>
      </w:r>
      <w:proofErr w:type="gramStart"/>
      <w:r>
        <w:rPr>
          <w:rFonts w:ascii="Times New Roman" w:eastAsia="Times New Roman" w:hAnsi="Times New Roman" w:cs="Times New Roman"/>
          <w:sz w:val="24"/>
          <w:szCs w:val="24"/>
        </w:rPr>
        <w:t>communication</w:t>
      </w:r>
      <w:proofErr w:type="gramEnd"/>
      <w:r>
        <w:rPr>
          <w:rFonts w:ascii="Times New Roman" w:eastAsia="Times New Roman" w:hAnsi="Times New Roman" w:cs="Times New Roman"/>
          <w:sz w:val="24"/>
          <w:szCs w:val="24"/>
        </w:rPr>
        <w:t xml:space="preserve"> here.</w:t>
      </w:r>
    </w:p>
    <w:p w14:paraId="5F44002F" w14:textId="77777777" w:rsidR="00010A5D" w:rsidRDefault="003F4D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Local Plan has a consultee database where listed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and stakeholders are consulted across routine preparation of documents related to Council planning activities. The database is also accessible to other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and individuals, who can apply for and sign up to be listed on the database for future </w:t>
      </w:r>
      <w:proofErr w:type="gramStart"/>
      <w:r>
        <w:rPr>
          <w:rFonts w:ascii="Times New Roman" w:eastAsia="Times New Roman" w:hAnsi="Times New Roman" w:cs="Times New Roman"/>
          <w:sz w:val="24"/>
          <w:szCs w:val="24"/>
        </w:rPr>
        <w:t>consults</w:t>
      </w:r>
      <w:proofErr w:type="gramEnd"/>
      <w:r>
        <w:rPr>
          <w:rFonts w:ascii="Times New Roman" w:eastAsia="Times New Roman" w:hAnsi="Times New Roman" w:cs="Times New Roman"/>
          <w:sz w:val="24"/>
          <w:szCs w:val="24"/>
        </w:rPr>
        <w:t xml:space="preserve"> (Croydon Council, 2023). These various community stakeholders are engaged through consultation methods such as interactive consultation on social media websites like Facebook and Twitter. The Council also engages them across workshops, information stands, drop-in events as well as joint consultation events involving external departments as well as the internal Council roles. Barriers to participation can arise in the consultation process when the community stakeholders are limited in their capacities due to individual disabilities and health conditions (Milner and Kelly, 2009). For such individuals, participation can be problematic due to privacy compromises and </w:t>
      </w:r>
      <w:proofErr w:type="gramStart"/>
      <w:r>
        <w:rPr>
          <w:rFonts w:ascii="Times New Roman" w:eastAsia="Times New Roman" w:hAnsi="Times New Roman" w:cs="Times New Roman"/>
          <w:sz w:val="24"/>
          <w:szCs w:val="24"/>
        </w:rPr>
        <w:t>being located in</w:t>
      </w:r>
      <w:proofErr w:type="gramEnd"/>
      <w:r>
        <w:rPr>
          <w:rFonts w:ascii="Times New Roman" w:eastAsia="Times New Roman" w:hAnsi="Times New Roman" w:cs="Times New Roman"/>
          <w:sz w:val="24"/>
          <w:szCs w:val="24"/>
        </w:rPr>
        <w:t xml:space="preserve"> areas of high deprivation such as for BAME and LGBT group people (Croydon Council, 2023). The Council involves representation groups who advise the Council on inclusive consultation practices to ensure equitable community engagement is being performed. Such engagement can also happen virtually across the digital platform (Manderscheid et al., 2022), allowing participants to maintain their anonymity and ensuring the Council acts in compliance with the Equality Act 2010, which promotes creating an equitable participation environment for diverse individuals (GOV.UK, 2013). Other Acts such as the Data Protection Act 2018 are similarly met </w:t>
      </w:r>
      <w:r>
        <w:rPr>
          <w:rFonts w:ascii="Times New Roman" w:eastAsia="Times New Roman" w:hAnsi="Times New Roman" w:cs="Times New Roman"/>
          <w:sz w:val="24"/>
          <w:szCs w:val="24"/>
        </w:rPr>
        <w:lastRenderedPageBreak/>
        <w:t xml:space="preserve">through such </w:t>
      </w:r>
      <w:r w:rsidR="00A25FC9">
        <w:rPr>
          <w:rFonts w:ascii="Times New Roman" w:eastAsia="Times New Roman" w:hAnsi="Times New Roman" w:cs="Times New Roman"/>
          <w:sz w:val="24"/>
          <w:szCs w:val="24"/>
        </w:rPr>
        <w:t>practices that safeguard</w:t>
      </w:r>
      <w:r>
        <w:rPr>
          <w:rFonts w:ascii="Times New Roman" w:eastAsia="Times New Roman" w:hAnsi="Times New Roman" w:cs="Times New Roman"/>
          <w:sz w:val="24"/>
          <w:szCs w:val="24"/>
        </w:rPr>
        <w:t xml:space="preserve"> the well-being and privacy of consult responders (Croydon Council, 2023).</w:t>
      </w:r>
    </w:p>
    <w:p w14:paraId="4EC7E690" w14:textId="77777777" w:rsidR="00010A5D" w:rsidRDefault="003F4D7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Stakeholders’ participation, </w:t>
      </w:r>
      <w:proofErr w:type="gramStart"/>
      <w:r>
        <w:rPr>
          <w:rFonts w:ascii="Times New Roman" w:eastAsia="Times New Roman" w:hAnsi="Times New Roman" w:cs="Times New Roman"/>
          <w:b/>
          <w:sz w:val="24"/>
          <w:szCs w:val="24"/>
        </w:rPr>
        <w:t>empowerment</w:t>
      </w:r>
      <w:proofErr w:type="gramEnd"/>
      <w:r>
        <w:rPr>
          <w:rFonts w:ascii="Times New Roman" w:eastAsia="Times New Roman" w:hAnsi="Times New Roman" w:cs="Times New Roman"/>
          <w:b/>
          <w:sz w:val="24"/>
          <w:szCs w:val="24"/>
        </w:rPr>
        <w:t xml:space="preserve"> and feedback</w:t>
      </w:r>
    </w:p>
    <w:p w14:paraId="65E4F3D5" w14:textId="77777777" w:rsidR="00010A5D" w:rsidRDefault="003F4D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participation of stakeholders is therefore made equitable at Croydon Council since it works actively to include the participation of a diverse range of individuals,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groups</w:t>
      </w:r>
      <w:proofErr w:type="gramEnd"/>
      <w:r>
        <w:rPr>
          <w:rFonts w:ascii="Times New Roman" w:eastAsia="Times New Roman" w:hAnsi="Times New Roman" w:cs="Times New Roman"/>
          <w:sz w:val="24"/>
          <w:szCs w:val="24"/>
        </w:rPr>
        <w:t xml:space="preserve"> and other stakeholders. Creating a diverse participation group </w:t>
      </w:r>
      <w:proofErr w:type="gramStart"/>
      <w:r>
        <w:rPr>
          <w:rFonts w:ascii="Times New Roman" w:eastAsia="Times New Roman" w:hAnsi="Times New Roman" w:cs="Times New Roman"/>
          <w:sz w:val="24"/>
          <w:szCs w:val="24"/>
        </w:rPr>
        <w:t>as a whole ensures</w:t>
      </w:r>
      <w:proofErr w:type="gramEnd"/>
      <w:r>
        <w:rPr>
          <w:rFonts w:ascii="Times New Roman" w:eastAsia="Times New Roman" w:hAnsi="Times New Roman" w:cs="Times New Roman"/>
          <w:sz w:val="24"/>
          <w:szCs w:val="24"/>
        </w:rPr>
        <w:t xml:space="preserve"> that the Council's decision-making and strategic actions are inclusive of the </w:t>
      </w:r>
      <w:proofErr w:type="spellStart"/>
      <w:r>
        <w:rPr>
          <w:rFonts w:ascii="Times New Roman" w:eastAsia="Times New Roman" w:hAnsi="Times New Roman" w:cs="Times New Roman"/>
          <w:sz w:val="24"/>
          <w:szCs w:val="24"/>
        </w:rPr>
        <w:t>say</w:t>
      </w:r>
      <w:proofErr w:type="spellEnd"/>
      <w:r>
        <w:rPr>
          <w:rFonts w:ascii="Times New Roman" w:eastAsia="Times New Roman" w:hAnsi="Times New Roman" w:cs="Times New Roman"/>
          <w:sz w:val="24"/>
          <w:szCs w:val="24"/>
        </w:rPr>
        <w:t xml:space="preserve"> of different members of the community. This quality of participation ensures that Council developments are appropriately progressive by accounting for the input given by different stakeholders and individuals, thereby ensuring a steady stream of first-hand feedback given on the latest issues for the Council.</w:t>
      </w:r>
    </w:p>
    <w:p w14:paraId="1B6B2433" w14:textId="77777777" w:rsidR="00010A5D" w:rsidRDefault="003F4D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Stakeholders are empowered in this way as well, as the Council goes to the full extent to secure the committed participation of different stakeholder groups. For instance, involving different BAME and LGBT group representatives ensures that the Council’s community engagement processes are inclusive of the proposals offered by all members of society (Croydon Council, 2023). Stakeholder empowerment is essential as a form of good practice in the performance of community engagement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and </w:t>
      </w:r>
      <w:proofErr w:type="gramStart"/>
      <w:r>
        <w:rPr>
          <w:rFonts w:ascii="Times New Roman" w:eastAsia="Times New Roman" w:hAnsi="Times New Roman" w:cs="Times New Roman"/>
          <w:sz w:val="24"/>
          <w:szCs w:val="24"/>
        </w:rPr>
        <w:t>the Croydon</w:t>
      </w:r>
      <w:proofErr w:type="gramEnd"/>
      <w:r>
        <w:rPr>
          <w:rFonts w:ascii="Times New Roman" w:eastAsia="Times New Roman" w:hAnsi="Times New Roman" w:cs="Times New Roman"/>
          <w:sz w:val="24"/>
          <w:szCs w:val="24"/>
        </w:rPr>
        <w:t xml:space="preserve"> Council’s actions here are similarly aligned with the long-term development of the borough. The </w:t>
      </w:r>
      <w:proofErr w:type="gramStart"/>
      <w:r>
        <w:rPr>
          <w:rFonts w:ascii="Times New Roman" w:eastAsia="Times New Roman" w:hAnsi="Times New Roman" w:cs="Times New Roman"/>
          <w:sz w:val="24"/>
          <w:szCs w:val="24"/>
        </w:rPr>
        <w:t>aforementioned consultation</w:t>
      </w:r>
      <w:proofErr w:type="gramEnd"/>
      <w:r>
        <w:rPr>
          <w:rFonts w:ascii="Times New Roman" w:eastAsia="Times New Roman" w:hAnsi="Times New Roman" w:cs="Times New Roman"/>
          <w:sz w:val="24"/>
          <w:szCs w:val="24"/>
        </w:rPr>
        <w:t xml:space="preserve"> process for instance demonstrates the quality of stakeholder participation and empowerment, as the Council promotes drop-in sessions as well as online surveys and door-to-door visits for the participation of different community members (Croydon Council, 2023). </w:t>
      </w:r>
    </w:p>
    <w:p w14:paraId="785868A1" w14:textId="77777777" w:rsidR="00010A5D" w:rsidRDefault="003F4D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Feedback is acquired across different comments and complaints procedures at </w:t>
      </w:r>
      <w:proofErr w:type="gramStart"/>
      <w:r>
        <w:rPr>
          <w:rFonts w:ascii="Times New Roman" w:eastAsia="Times New Roman" w:hAnsi="Times New Roman" w:cs="Times New Roman"/>
          <w:sz w:val="24"/>
          <w:szCs w:val="24"/>
        </w:rPr>
        <w:t>the Croydon</w:t>
      </w:r>
      <w:proofErr w:type="gramEnd"/>
      <w:r>
        <w:rPr>
          <w:rFonts w:ascii="Times New Roman" w:eastAsia="Times New Roman" w:hAnsi="Times New Roman" w:cs="Times New Roman"/>
          <w:sz w:val="24"/>
          <w:szCs w:val="24"/>
        </w:rPr>
        <w:t xml:space="preserve"> Council. Children’s social care complaints, for instance, are processed separately from member complaints and corporate complaints. Feedback is collected online through the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form which can be filled out by individual participants following the Data Protection Act 2018's protections (GOV.UK, 2018). The individual is given the choice of affirming a response to the feedback content, thereby ensuring that the Council responds to feedback in a corrective and constructive manner.</w:t>
      </w:r>
    </w:p>
    <w:p w14:paraId="72B2D9DA" w14:textId="77777777" w:rsidR="00010A5D" w:rsidRDefault="003F4D7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 suitable way to engage </w:t>
      </w:r>
      <w:proofErr w:type="gramStart"/>
      <w:r>
        <w:rPr>
          <w:rFonts w:ascii="Times New Roman" w:eastAsia="Times New Roman" w:hAnsi="Times New Roman" w:cs="Times New Roman"/>
          <w:b/>
          <w:sz w:val="24"/>
          <w:szCs w:val="24"/>
        </w:rPr>
        <w:t>stakeholders</w:t>
      </w:r>
      <w:proofErr w:type="gramEnd"/>
    </w:p>
    <w:p w14:paraId="525C79A7" w14:textId="518B8D5A" w:rsidR="00010A5D" w:rsidRDefault="003F4D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suitable way of engagement with stakeholders is through the digital form that allows for feedback and complaints to be registered on the Council website. Enquiries are responded to within 6 working days, whereas formal complaints are processed within a maximum of 20 </w:t>
      </w:r>
      <w:r>
        <w:rPr>
          <w:rFonts w:ascii="Times New Roman" w:eastAsia="Times New Roman" w:hAnsi="Times New Roman" w:cs="Times New Roman"/>
          <w:sz w:val="24"/>
          <w:szCs w:val="24"/>
        </w:rPr>
        <w:lastRenderedPageBreak/>
        <w:t xml:space="preserve">working days (Croydon Council, 2023). This approach is a part of the broader digital strategy of the Croydon Council, which sees it </w:t>
      </w:r>
      <w:r w:rsidR="006C5603">
        <w:rPr>
          <w:rFonts w:ascii="Times New Roman" w:eastAsia="Times New Roman" w:hAnsi="Times New Roman" w:cs="Times New Roman"/>
          <w:sz w:val="24"/>
          <w:szCs w:val="24"/>
        </w:rPr>
        <w:t>integrating</w:t>
      </w:r>
      <w:r>
        <w:rPr>
          <w:rFonts w:ascii="Times New Roman" w:eastAsia="Times New Roman" w:hAnsi="Times New Roman" w:cs="Times New Roman"/>
          <w:sz w:val="24"/>
          <w:szCs w:val="24"/>
        </w:rPr>
        <w:t xml:space="preserve"> more effectively with digital technology (Croydon Council, 2023). Community engagement through digital technology ensures that the council's stakeholders are engaged across an integrated platform sustainably, where the local community stakeholders can remain informed and consult with the Council on their issues (Singh, 2022, pp.55–72).</w:t>
      </w:r>
    </w:p>
    <w:p w14:paraId="40B3E671" w14:textId="77777777" w:rsidR="00010A5D" w:rsidRDefault="003F4D7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best method of engagement for different stakeholders</w:t>
      </w:r>
    </w:p>
    <w:p w14:paraId="509C50AC" w14:textId="77777777" w:rsidR="00010A5D" w:rsidRDefault="003F4D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gramStart"/>
      <w:r>
        <w:rPr>
          <w:rFonts w:ascii="Times New Roman" w:eastAsia="Times New Roman" w:hAnsi="Times New Roman" w:cs="Times New Roman"/>
          <w:sz w:val="24"/>
          <w:szCs w:val="24"/>
        </w:rPr>
        <w:t>aforementioned digital</w:t>
      </w:r>
      <w:proofErr w:type="gramEnd"/>
      <w:r>
        <w:rPr>
          <w:rFonts w:ascii="Times New Roman" w:eastAsia="Times New Roman" w:hAnsi="Times New Roman" w:cs="Times New Roman"/>
          <w:sz w:val="24"/>
          <w:szCs w:val="24"/>
        </w:rPr>
        <w:t xml:space="preserve"> method presents the most equitable form of engagement for </w:t>
      </w:r>
      <w:proofErr w:type="gramStart"/>
      <w:r>
        <w:rPr>
          <w:rFonts w:ascii="Times New Roman" w:eastAsia="Times New Roman" w:hAnsi="Times New Roman" w:cs="Times New Roman"/>
          <w:sz w:val="24"/>
          <w:szCs w:val="24"/>
        </w:rPr>
        <w:t>the Croydon</w:t>
      </w:r>
      <w:proofErr w:type="gramEnd"/>
      <w:r>
        <w:rPr>
          <w:rFonts w:ascii="Times New Roman" w:eastAsia="Times New Roman" w:hAnsi="Times New Roman" w:cs="Times New Roman"/>
          <w:sz w:val="24"/>
          <w:szCs w:val="24"/>
        </w:rPr>
        <w:t xml:space="preserve"> Council and its stakeholders. It ensures that different stakeholders can make their voices heard to raise individual issues due to the flat interactive medium of digital platforms like social media, where stakeholders with different social, </w:t>
      </w:r>
      <w:proofErr w:type="gramStart"/>
      <w:r>
        <w:rPr>
          <w:rFonts w:ascii="Times New Roman" w:eastAsia="Times New Roman" w:hAnsi="Times New Roman" w:cs="Times New Roman"/>
          <w:sz w:val="24"/>
          <w:szCs w:val="24"/>
        </w:rPr>
        <w:t>economic</w:t>
      </w:r>
      <w:proofErr w:type="gramEnd"/>
      <w:r>
        <w:rPr>
          <w:rFonts w:ascii="Times New Roman" w:eastAsia="Times New Roman" w:hAnsi="Times New Roman" w:cs="Times New Roman"/>
          <w:sz w:val="24"/>
          <w:szCs w:val="24"/>
        </w:rPr>
        <w:t xml:space="preserve"> and cultural standing can equally communicate and collaborate with the Council towards policy making (Croydon Council, 2023). Furthermore, it ensures that different stakeholders can interact remotely and instantaneously with the Council, reducing the time taken to raise an issue and see a solution being developed for it by the Council. Lastly, the use of digital technology for community engagement cuts down on carbon emissions and reduces energy consumption, making the Council and the community collaborate towards the broader UK Net Zero 2050 agenda (O’Beirne et al., 2020).</w:t>
      </w:r>
    </w:p>
    <w:p w14:paraId="17CFA53D" w14:textId="77777777" w:rsidR="00010A5D" w:rsidRDefault="003F4D7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Stakeholders’ participation and collaboration</w:t>
      </w:r>
    </w:p>
    <w:p w14:paraId="1402C4F8" w14:textId="77777777" w:rsidR="00010A5D" w:rsidRDefault="003F4D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Local Strategic Partnership defines the various businesses, private, </w:t>
      </w:r>
      <w:proofErr w:type="gramStart"/>
      <w:r>
        <w:rPr>
          <w:rFonts w:ascii="Times New Roman" w:eastAsia="Times New Roman" w:hAnsi="Times New Roman" w:cs="Times New Roman"/>
          <w:sz w:val="24"/>
          <w:szCs w:val="24"/>
        </w:rPr>
        <w:t>public</w:t>
      </w:r>
      <w:proofErr w:type="gramEnd"/>
      <w:r>
        <w:rPr>
          <w:rFonts w:ascii="Times New Roman" w:eastAsia="Times New Roman" w:hAnsi="Times New Roman" w:cs="Times New Roman"/>
          <w:sz w:val="24"/>
          <w:szCs w:val="24"/>
        </w:rPr>
        <w:t xml:space="preserve"> and third-sector groups that are working along with Croydon Council and the residents. Stakeholder participation is made practical in this format as it leads to the development of the Community Strategy, where the delivery of borough services is </w:t>
      </w:r>
      <w:proofErr w:type="spellStart"/>
      <w:r>
        <w:rPr>
          <w:rFonts w:ascii="Times New Roman" w:eastAsia="Times New Roman" w:hAnsi="Times New Roman" w:cs="Times New Roman"/>
          <w:sz w:val="24"/>
          <w:szCs w:val="24"/>
        </w:rPr>
        <w:t>optimised</w:t>
      </w:r>
      <w:proofErr w:type="spellEnd"/>
      <w:r>
        <w:rPr>
          <w:rFonts w:ascii="Times New Roman" w:eastAsia="Times New Roman" w:hAnsi="Times New Roman" w:cs="Times New Roman"/>
          <w:sz w:val="24"/>
          <w:szCs w:val="24"/>
        </w:rPr>
        <w:t xml:space="preserve"> due to the participation of different stakeholders in society. The LSP features senior Council members to guarantee resources and authority for commitment towards developing the Partnership’s objectives into real-world results (Croydon Council, 2023). The LSP is a wide-reaching platform that sees participation occur across police, housing, public health, </w:t>
      </w:r>
      <w:proofErr w:type="gramStart"/>
      <w:r>
        <w:rPr>
          <w:rFonts w:ascii="Times New Roman" w:eastAsia="Times New Roman" w:hAnsi="Times New Roman" w:cs="Times New Roman"/>
          <w:sz w:val="24"/>
          <w:szCs w:val="24"/>
        </w:rPr>
        <w:t>employment</w:t>
      </w:r>
      <w:proofErr w:type="gramEnd"/>
      <w:r>
        <w:rPr>
          <w:rFonts w:ascii="Times New Roman" w:eastAsia="Times New Roman" w:hAnsi="Times New Roman" w:cs="Times New Roman"/>
          <w:sz w:val="24"/>
          <w:szCs w:val="24"/>
        </w:rPr>
        <w:t xml:space="preserve"> and local faith groups that meet four times per year to discuss the community’s issues.</w:t>
      </w:r>
    </w:p>
    <w:p w14:paraId="494B0D39" w14:textId="77777777" w:rsidR="00010A5D" w:rsidRDefault="003F4D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Croydon Resilience Forum is formed to maintain business continuity and a responsive unit that develops risk assessment and risk management practices across the borough. This further safeguards the well-being of stakeholders by ensuring community participation in the long term </w:t>
      </w:r>
      <w:r>
        <w:rPr>
          <w:rFonts w:ascii="Times New Roman" w:eastAsia="Times New Roman" w:hAnsi="Times New Roman" w:cs="Times New Roman"/>
          <w:sz w:val="24"/>
          <w:szCs w:val="24"/>
        </w:rPr>
        <w:lastRenderedPageBreak/>
        <w:t>through the mitigation of risks within the borough (Croydon Council, 2023). Bi-annual events are held for joint training and exercise drills against disaster scenarios such as animal disease or flooding (Croydon Council, 2023). This practice is made more relevant and valuable to stakeholders' well-being in the post Covid-19 world which justifies the need to prepare for such contingency events as a matter of good practice.</w:t>
      </w:r>
    </w:p>
    <w:p w14:paraId="5F472736" w14:textId="77777777" w:rsidR="00010A5D" w:rsidRDefault="003F4D7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Stakeholders’ diversity and inclusion</w:t>
      </w:r>
    </w:p>
    <w:p w14:paraId="47B824D9" w14:textId="77777777" w:rsidR="00010A5D" w:rsidRDefault="003F4D7E">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The Croydon Equalities Pledge is enforced to develop the borough in alignment with the Council's views of ensuring equality and fairness for everyone. Following the Equality Act 2010, the Council promotes equality of participation for all individuals across diverse personal characteristics and traits (Croydon Council, 2023). It ensures that the staff members within the Council are trained and developed to </w:t>
      </w:r>
      <w:proofErr w:type="spellStart"/>
      <w:r>
        <w:rPr>
          <w:rFonts w:ascii="Times New Roman" w:eastAsia="Times New Roman" w:hAnsi="Times New Roman" w:cs="Times New Roman"/>
          <w:sz w:val="24"/>
          <w:szCs w:val="24"/>
        </w:rPr>
        <w:t>practise</w:t>
      </w:r>
      <w:proofErr w:type="spellEnd"/>
      <w:r>
        <w:rPr>
          <w:rFonts w:ascii="Times New Roman" w:eastAsia="Times New Roman" w:hAnsi="Times New Roman" w:cs="Times New Roman"/>
          <w:sz w:val="24"/>
          <w:szCs w:val="24"/>
        </w:rPr>
        <w:t xml:space="preserve"> equality and inclusivity across internal </w:t>
      </w:r>
      <w:proofErr w:type="gramStart"/>
      <w:r>
        <w:rPr>
          <w:rFonts w:ascii="Times New Roman" w:eastAsia="Times New Roman" w:hAnsi="Times New Roman" w:cs="Times New Roman"/>
          <w:sz w:val="24"/>
          <w:szCs w:val="24"/>
        </w:rPr>
        <w:t>targets</w:t>
      </w:r>
      <w:proofErr w:type="gramEnd"/>
      <w:r>
        <w:rPr>
          <w:rFonts w:ascii="Times New Roman" w:eastAsia="Times New Roman" w:hAnsi="Times New Roman" w:cs="Times New Roman"/>
          <w:sz w:val="24"/>
          <w:szCs w:val="24"/>
        </w:rPr>
        <w:t xml:space="preserve"> which are reviewed every two years. To maintain the continuity of this progressive development the Council maintains a zero-tolerance policy where discrimination is countered to ensure that inequalities can be reduced sequentially over time. Lastly, internal representation within the Council is secured through affirmative recruitment practices that ensure underrepresented staff members are also present in the capacity to engage with the wider community (Croydon Council, 2023). This development is performed to make Croydon a “stronger, fairer place where no community is held back”, thereby allowing a greater degree of inclusive participation to be secured with the community stakeholders over time (Croydon Council, 2023). In conjunction with the digital engagement platform, the collaboration of the community in an equitable manner is ultimately secured in a wholly sustainable manner at Croydon Council, defining this outcome as a positive indicator of community engagement by the Council.</w:t>
      </w:r>
    </w:p>
    <w:p w14:paraId="7E6A77B0" w14:textId="77777777" w:rsidR="00010A5D" w:rsidRDefault="003F4D7E">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Conclusion</w:t>
      </w:r>
    </w:p>
    <w:p w14:paraId="557E997E" w14:textId="77777777" w:rsidR="00010A5D" w:rsidRDefault="003F4D7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Summary</w:t>
      </w:r>
    </w:p>
    <w:p w14:paraId="74D348AB" w14:textId="77777777" w:rsidR="00010A5D" w:rsidRDefault="003F4D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essay has discussed the performance of community engagement at Croydon Council, where this theme was explored across different areas of the Council’s participation with the community stakeholders. The discussion identified the Council’s positive practices in enabling inclusive community engagement through the focus on including participation with diverse stakeholder groups, </w:t>
      </w:r>
      <w:proofErr w:type="gramStart"/>
      <w:r>
        <w:rPr>
          <w:rFonts w:ascii="Times New Roman" w:eastAsia="Times New Roman" w:hAnsi="Times New Roman" w:cs="Times New Roman"/>
          <w:sz w:val="24"/>
          <w:szCs w:val="24"/>
        </w:rPr>
        <w:t>individuals</w:t>
      </w:r>
      <w:proofErr w:type="gramEnd"/>
      <w:r>
        <w:rPr>
          <w:rFonts w:ascii="Times New Roman" w:eastAsia="Times New Roman" w:hAnsi="Times New Roman" w:cs="Times New Roman"/>
          <w:sz w:val="24"/>
          <w:szCs w:val="24"/>
        </w:rPr>
        <w:t xml:space="preserve"> and other participants. This inclusive focus is made more impactful by performing collaboration and communication across the digital platform, where the ease of </w:t>
      </w:r>
      <w:r>
        <w:rPr>
          <w:rFonts w:ascii="Times New Roman" w:eastAsia="Times New Roman" w:hAnsi="Times New Roman" w:cs="Times New Roman"/>
          <w:sz w:val="24"/>
          <w:szCs w:val="24"/>
        </w:rPr>
        <w:lastRenderedPageBreak/>
        <w:t xml:space="preserve">access to different stakeholders in the digital environment increases the sustainability and inclusivity of Council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by the Croydon Council.</w:t>
      </w:r>
    </w:p>
    <w:p w14:paraId="6897B66A" w14:textId="77777777" w:rsidR="00010A5D" w:rsidRDefault="003F4D7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Recommendations</w:t>
      </w:r>
    </w:p>
    <w:p w14:paraId="1F3DE8BC" w14:textId="77777777" w:rsidR="00010A5D" w:rsidRDefault="003F4D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Firstly, the Council can incorporate live translation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that are available on digital platforms (Dekker et al., 2018). This will allow it to increase the quality of inclusivity when inviting collaboration with individual stakeholders, as many new migrants in Croydon may otherwise be at a disadvantage due to differences in English proficiency. Their socioeconomic limitations may further limit their ability to acquire translation services or request the same from social workers, and the availability of such digital software will allow more individuals to participate and make their concerns expressed to the Council.</w:t>
      </w:r>
    </w:p>
    <w:p w14:paraId="2516412D" w14:textId="77777777" w:rsidR="00010A5D" w:rsidRDefault="003F4D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Secondly, the Council can address the potential threat of economic vulnerability that can affect the participation and collaboration of economically disadvantageous stakeholders in the present economy. The UK economy </w:t>
      </w:r>
      <w:proofErr w:type="gramStart"/>
      <w:r>
        <w:rPr>
          <w:rFonts w:ascii="Times New Roman" w:eastAsia="Times New Roman" w:hAnsi="Times New Roman" w:cs="Times New Roman"/>
          <w:sz w:val="24"/>
          <w:szCs w:val="24"/>
        </w:rPr>
        <w:t>as a whole will</w:t>
      </w:r>
      <w:proofErr w:type="gramEnd"/>
      <w:r>
        <w:rPr>
          <w:rFonts w:ascii="Times New Roman" w:eastAsia="Times New Roman" w:hAnsi="Times New Roman" w:cs="Times New Roman"/>
          <w:sz w:val="24"/>
          <w:szCs w:val="24"/>
        </w:rPr>
        <w:t xml:space="preserve"> represent the sole G7 member nation whose economy will be in a recession in 2023 (Fleck, 2023), making it necessary to ensure funding and financial support is made available through community funding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across Croydon.</w:t>
      </w:r>
    </w:p>
    <w:p w14:paraId="61CF1CC2" w14:textId="77777777" w:rsidR="00A25FC9" w:rsidRDefault="00A25FC9">
      <w:pPr>
        <w:spacing w:line="360" w:lineRule="auto"/>
        <w:jc w:val="both"/>
        <w:rPr>
          <w:rFonts w:ascii="Times New Roman" w:eastAsia="Times New Roman" w:hAnsi="Times New Roman" w:cs="Times New Roman"/>
          <w:b/>
          <w:sz w:val="28"/>
          <w:szCs w:val="28"/>
        </w:rPr>
      </w:pPr>
    </w:p>
    <w:p w14:paraId="618F2E45" w14:textId="77777777" w:rsidR="00A25FC9" w:rsidRDefault="00A25FC9">
      <w:pPr>
        <w:spacing w:line="360" w:lineRule="auto"/>
        <w:jc w:val="both"/>
        <w:rPr>
          <w:rFonts w:ascii="Times New Roman" w:eastAsia="Times New Roman" w:hAnsi="Times New Roman" w:cs="Times New Roman"/>
          <w:b/>
          <w:sz w:val="28"/>
          <w:szCs w:val="28"/>
        </w:rPr>
      </w:pPr>
    </w:p>
    <w:p w14:paraId="4CEEE734" w14:textId="77777777" w:rsidR="00A25FC9" w:rsidRDefault="00A25FC9">
      <w:pPr>
        <w:spacing w:line="360" w:lineRule="auto"/>
        <w:jc w:val="both"/>
        <w:rPr>
          <w:rFonts w:ascii="Times New Roman" w:eastAsia="Times New Roman" w:hAnsi="Times New Roman" w:cs="Times New Roman"/>
          <w:b/>
          <w:sz w:val="28"/>
          <w:szCs w:val="28"/>
        </w:rPr>
      </w:pPr>
    </w:p>
    <w:p w14:paraId="0428A371" w14:textId="77777777" w:rsidR="00A25FC9" w:rsidRDefault="00A25FC9">
      <w:pPr>
        <w:spacing w:line="360" w:lineRule="auto"/>
        <w:jc w:val="both"/>
        <w:rPr>
          <w:rFonts w:ascii="Times New Roman" w:eastAsia="Times New Roman" w:hAnsi="Times New Roman" w:cs="Times New Roman"/>
          <w:b/>
          <w:sz w:val="28"/>
          <w:szCs w:val="28"/>
        </w:rPr>
      </w:pPr>
    </w:p>
    <w:p w14:paraId="2612C898" w14:textId="77777777" w:rsidR="00A25FC9" w:rsidRDefault="00A25FC9">
      <w:pPr>
        <w:spacing w:line="360" w:lineRule="auto"/>
        <w:jc w:val="both"/>
        <w:rPr>
          <w:rFonts w:ascii="Times New Roman" w:eastAsia="Times New Roman" w:hAnsi="Times New Roman" w:cs="Times New Roman"/>
          <w:b/>
          <w:sz w:val="28"/>
          <w:szCs w:val="28"/>
        </w:rPr>
      </w:pPr>
    </w:p>
    <w:p w14:paraId="39A63EF1" w14:textId="77777777" w:rsidR="00A25FC9" w:rsidRDefault="00A25FC9">
      <w:pPr>
        <w:spacing w:line="360" w:lineRule="auto"/>
        <w:jc w:val="both"/>
        <w:rPr>
          <w:rFonts w:ascii="Times New Roman" w:eastAsia="Times New Roman" w:hAnsi="Times New Roman" w:cs="Times New Roman"/>
          <w:b/>
          <w:sz w:val="28"/>
          <w:szCs w:val="28"/>
        </w:rPr>
      </w:pPr>
    </w:p>
    <w:p w14:paraId="39C98795" w14:textId="77777777" w:rsidR="00A25FC9" w:rsidRDefault="00A25FC9">
      <w:pPr>
        <w:spacing w:line="360" w:lineRule="auto"/>
        <w:jc w:val="both"/>
        <w:rPr>
          <w:rFonts w:ascii="Times New Roman" w:eastAsia="Times New Roman" w:hAnsi="Times New Roman" w:cs="Times New Roman"/>
          <w:b/>
          <w:sz w:val="28"/>
          <w:szCs w:val="28"/>
        </w:rPr>
      </w:pPr>
    </w:p>
    <w:p w14:paraId="0363256A" w14:textId="77777777" w:rsidR="00A25FC9" w:rsidRDefault="00A25FC9">
      <w:pPr>
        <w:spacing w:line="360" w:lineRule="auto"/>
        <w:jc w:val="both"/>
        <w:rPr>
          <w:rFonts w:ascii="Times New Roman" w:eastAsia="Times New Roman" w:hAnsi="Times New Roman" w:cs="Times New Roman"/>
          <w:b/>
          <w:sz w:val="28"/>
          <w:szCs w:val="28"/>
        </w:rPr>
      </w:pPr>
    </w:p>
    <w:p w14:paraId="0D9F1586" w14:textId="77777777" w:rsidR="00A25FC9" w:rsidRDefault="00A25FC9">
      <w:pPr>
        <w:spacing w:line="360" w:lineRule="auto"/>
        <w:jc w:val="both"/>
        <w:rPr>
          <w:rFonts w:ascii="Times New Roman" w:eastAsia="Times New Roman" w:hAnsi="Times New Roman" w:cs="Times New Roman"/>
          <w:b/>
          <w:sz w:val="28"/>
          <w:szCs w:val="28"/>
        </w:rPr>
      </w:pPr>
    </w:p>
    <w:p w14:paraId="2B096A22" w14:textId="77777777" w:rsidR="00A25FC9" w:rsidRDefault="00A25FC9">
      <w:pPr>
        <w:spacing w:line="360" w:lineRule="auto"/>
        <w:jc w:val="both"/>
        <w:rPr>
          <w:rFonts w:ascii="Times New Roman" w:eastAsia="Times New Roman" w:hAnsi="Times New Roman" w:cs="Times New Roman"/>
          <w:b/>
          <w:sz w:val="28"/>
          <w:szCs w:val="28"/>
        </w:rPr>
      </w:pPr>
    </w:p>
    <w:p w14:paraId="23395386" w14:textId="77777777" w:rsidR="00A25FC9" w:rsidRDefault="00A25FC9">
      <w:pPr>
        <w:spacing w:line="360" w:lineRule="auto"/>
        <w:jc w:val="both"/>
        <w:rPr>
          <w:rFonts w:ascii="Times New Roman" w:eastAsia="Times New Roman" w:hAnsi="Times New Roman" w:cs="Times New Roman"/>
          <w:b/>
          <w:sz w:val="28"/>
          <w:szCs w:val="28"/>
        </w:rPr>
      </w:pPr>
    </w:p>
    <w:p w14:paraId="694605DB" w14:textId="77777777" w:rsidR="00A25FC9" w:rsidRDefault="00A25FC9">
      <w:pPr>
        <w:spacing w:line="360" w:lineRule="auto"/>
        <w:jc w:val="both"/>
        <w:rPr>
          <w:rFonts w:ascii="Times New Roman" w:eastAsia="Times New Roman" w:hAnsi="Times New Roman" w:cs="Times New Roman"/>
          <w:b/>
          <w:sz w:val="28"/>
          <w:szCs w:val="28"/>
        </w:rPr>
      </w:pPr>
    </w:p>
    <w:p w14:paraId="3E5B9C05" w14:textId="77777777" w:rsidR="00A25FC9" w:rsidRDefault="00A25FC9">
      <w:pPr>
        <w:spacing w:line="360" w:lineRule="auto"/>
        <w:jc w:val="both"/>
        <w:rPr>
          <w:rFonts w:ascii="Times New Roman" w:eastAsia="Times New Roman" w:hAnsi="Times New Roman" w:cs="Times New Roman"/>
          <w:b/>
          <w:sz w:val="28"/>
          <w:szCs w:val="28"/>
        </w:rPr>
      </w:pPr>
    </w:p>
    <w:p w14:paraId="5B7D3026" w14:textId="77777777" w:rsidR="00A25FC9" w:rsidRDefault="00A25FC9">
      <w:pPr>
        <w:spacing w:line="360" w:lineRule="auto"/>
        <w:jc w:val="both"/>
        <w:rPr>
          <w:rFonts w:ascii="Times New Roman" w:eastAsia="Times New Roman" w:hAnsi="Times New Roman" w:cs="Times New Roman"/>
          <w:b/>
          <w:sz w:val="28"/>
          <w:szCs w:val="28"/>
        </w:rPr>
      </w:pPr>
    </w:p>
    <w:p w14:paraId="6CAD14D1" w14:textId="77777777" w:rsidR="00A25FC9" w:rsidRDefault="00A25FC9">
      <w:pPr>
        <w:spacing w:line="360" w:lineRule="auto"/>
        <w:jc w:val="both"/>
        <w:rPr>
          <w:rFonts w:ascii="Times New Roman" w:eastAsia="Times New Roman" w:hAnsi="Times New Roman" w:cs="Times New Roman"/>
          <w:b/>
          <w:sz w:val="28"/>
          <w:szCs w:val="28"/>
        </w:rPr>
      </w:pPr>
    </w:p>
    <w:p w14:paraId="47048F29" w14:textId="77777777" w:rsidR="00A25FC9" w:rsidRDefault="00A25FC9">
      <w:pPr>
        <w:spacing w:line="360" w:lineRule="auto"/>
        <w:jc w:val="both"/>
        <w:rPr>
          <w:rFonts w:ascii="Times New Roman" w:eastAsia="Times New Roman" w:hAnsi="Times New Roman" w:cs="Times New Roman"/>
          <w:b/>
          <w:sz w:val="28"/>
          <w:szCs w:val="28"/>
        </w:rPr>
      </w:pPr>
    </w:p>
    <w:p w14:paraId="14F4EDD7" w14:textId="77777777" w:rsidR="00A25FC9" w:rsidRDefault="00A25FC9">
      <w:pPr>
        <w:spacing w:line="360" w:lineRule="auto"/>
        <w:jc w:val="both"/>
        <w:rPr>
          <w:rFonts w:ascii="Times New Roman" w:eastAsia="Times New Roman" w:hAnsi="Times New Roman" w:cs="Times New Roman"/>
          <w:b/>
          <w:sz w:val="28"/>
          <w:szCs w:val="28"/>
        </w:rPr>
      </w:pPr>
    </w:p>
    <w:p w14:paraId="135511B2" w14:textId="77777777" w:rsidR="00A25FC9" w:rsidRDefault="00A25FC9">
      <w:pPr>
        <w:spacing w:line="360" w:lineRule="auto"/>
        <w:jc w:val="both"/>
        <w:rPr>
          <w:rFonts w:ascii="Times New Roman" w:eastAsia="Times New Roman" w:hAnsi="Times New Roman" w:cs="Times New Roman"/>
          <w:b/>
          <w:sz w:val="28"/>
          <w:szCs w:val="28"/>
        </w:rPr>
      </w:pPr>
    </w:p>
    <w:p w14:paraId="4194A32B" w14:textId="77777777" w:rsidR="00A25FC9" w:rsidRDefault="00A25FC9">
      <w:pPr>
        <w:spacing w:line="360" w:lineRule="auto"/>
        <w:jc w:val="both"/>
        <w:rPr>
          <w:rFonts w:ascii="Times New Roman" w:eastAsia="Times New Roman" w:hAnsi="Times New Roman" w:cs="Times New Roman"/>
          <w:b/>
          <w:sz w:val="28"/>
          <w:szCs w:val="28"/>
        </w:rPr>
      </w:pPr>
    </w:p>
    <w:p w14:paraId="7E4489BA" w14:textId="77777777" w:rsidR="00A25FC9" w:rsidRDefault="00A25FC9">
      <w:pPr>
        <w:spacing w:line="360" w:lineRule="auto"/>
        <w:jc w:val="both"/>
        <w:rPr>
          <w:rFonts w:ascii="Times New Roman" w:eastAsia="Times New Roman" w:hAnsi="Times New Roman" w:cs="Times New Roman"/>
          <w:b/>
          <w:sz w:val="28"/>
          <w:szCs w:val="28"/>
        </w:rPr>
      </w:pPr>
    </w:p>
    <w:p w14:paraId="26648DFF" w14:textId="77777777" w:rsidR="00A25FC9" w:rsidRDefault="00A25FC9">
      <w:pPr>
        <w:spacing w:line="360" w:lineRule="auto"/>
        <w:jc w:val="both"/>
        <w:rPr>
          <w:rFonts w:ascii="Times New Roman" w:eastAsia="Times New Roman" w:hAnsi="Times New Roman" w:cs="Times New Roman"/>
          <w:b/>
          <w:sz w:val="28"/>
          <w:szCs w:val="28"/>
        </w:rPr>
      </w:pPr>
    </w:p>
    <w:p w14:paraId="7AA838FD" w14:textId="77777777" w:rsidR="00A25FC9" w:rsidRDefault="00A25FC9">
      <w:pPr>
        <w:spacing w:line="360" w:lineRule="auto"/>
        <w:jc w:val="both"/>
        <w:rPr>
          <w:rFonts w:ascii="Times New Roman" w:eastAsia="Times New Roman" w:hAnsi="Times New Roman" w:cs="Times New Roman"/>
          <w:b/>
          <w:sz w:val="28"/>
          <w:szCs w:val="28"/>
        </w:rPr>
      </w:pPr>
    </w:p>
    <w:p w14:paraId="229F3B72" w14:textId="77777777" w:rsidR="00010A5D" w:rsidRDefault="003F4D7E">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References</w:t>
      </w:r>
    </w:p>
    <w:p w14:paraId="51B84FDE" w14:textId="77777777" w:rsidR="00A25FC9" w:rsidRDefault="003F4D7E">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26DCCE1E" w14:textId="77777777" w:rsidR="00A25FC9" w:rsidRDefault="003F4D7E">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Croydon Council (2023). </w:t>
      </w:r>
      <w:r>
        <w:rPr>
          <w:rFonts w:ascii="Times New Roman" w:eastAsia="Times New Roman" w:hAnsi="Times New Roman" w:cs="Times New Roman"/>
          <w:i/>
          <w:sz w:val="24"/>
          <w:szCs w:val="24"/>
        </w:rPr>
        <w:t>Equalities Pledge</w:t>
      </w:r>
      <w:r>
        <w:rPr>
          <w:rFonts w:ascii="Times New Roman" w:eastAsia="Times New Roman" w:hAnsi="Times New Roman" w:cs="Times New Roman"/>
          <w:sz w:val="24"/>
          <w:szCs w:val="24"/>
        </w:rPr>
        <w:t>. [online] www.croydon.gov.uk. Available at: https://www.croydon.gov.uk/equalitypledge/equalities-pledge [Accessed 8 Mar. 2023].</w:t>
      </w:r>
    </w:p>
    <w:p w14:paraId="7FDC1FE6" w14:textId="77777777" w:rsidR="00A25FC9" w:rsidRDefault="00A25FC9">
      <w:pPr>
        <w:shd w:val="clear" w:color="auto" w:fill="FFFFFF"/>
        <w:spacing w:line="360" w:lineRule="auto"/>
        <w:jc w:val="both"/>
        <w:rPr>
          <w:rFonts w:ascii="Times New Roman" w:eastAsia="Times New Roman" w:hAnsi="Times New Roman" w:cs="Times New Roman"/>
          <w:sz w:val="24"/>
          <w:szCs w:val="24"/>
        </w:rPr>
      </w:pPr>
    </w:p>
    <w:p w14:paraId="3AC0B3F0" w14:textId="77777777" w:rsidR="00A25FC9" w:rsidRDefault="003F4D7E">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Croydon Council (2023). </w:t>
      </w:r>
      <w:r>
        <w:rPr>
          <w:rFonts w:ascii="Times New Roman" w:eastAsia="Times New Roman" w:hAnsi="Times New Roman" w:cs="Times New Roman"/>
          <w:i/>
          <w:sz w:val="24"/>
          <w:szCs w:val="24"/>
        </w:rPr>
        <w:t>Equality in Croydon</w:t>
      </w:r>
      <w:r>
        <w:rPr>
          <w:rFonts w:ascii="Times New Roman" w:eastAsia="Times New Roman" w:hAnsi="Times New Roman" w:cs="Times New Roman"/>
          <w:sz w:val="24"/>
          <w:szCs w:val="24"/>
        </w:rPr>
        <w:t>. [online] www.croydon.gov.uk. Available at: https://www.croydon.gov.uk/community-and-safety/equality-and-diversity/equality-croydon [Accessed 8 Mar. 2023].</w:t>
      </w:r>
    </w:p>
    <w:p w14:paraId="0DC3E1EC" w14:textId="77777777" w:rsidR="00A25FC9" w:rsidRDefault="003F4D7E">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Croydon Council (2023). </w:t>
      </w:r>
      <w:r>
        <w:rPr>
          <w:rFonts w:ascii="Times New Roman" w:eastAsia="Times New Roman" w:hAnsi="Times New Roman" w:cs="Times New Roman"/>
          <w:i/>
          <w:sz w:val="24"/>
          <w:szCs w:val="24"/>
        </w:rPr>
        <w:t>Get involved and have your say</w:t>
      </w:r>
      <w:r>
        <w:rPr>
          <w:rFonts w:ascii="Times New Roman" w:eastAsia="Times New Roman" w:hAnsi="Times New Roman" w:cs="Times New Roman"/>
          <w:sz w:val="24"/>
          <w:szCs w:val="24"/>
        </w:rPr>
        <w:t>. [online] www.croydon.gov.uk. Available at: https://www.croydon.gov.uk/council-and-elections/make-comment-or-complaint-and-have-your-say/get-involved-and-have-your-say [Accessed 8 Mar. 2023].</w:t>
      </w:r>
    </w:p>
    <w:p w14:paraId="2EBEC525" w14:textId="77777777" w:rsidR="00A25FC9" w:rsidRDefault="003F4D7E">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Croydon Council (2023). </w:t>
      </w:r>
      <w:r>
        <w:rPr>
          <w:rFonts w:ascii="Times New Roman" w:eastAsia="Times New Roman" w:hAnsi="Times New Roman" w:cs="Times New Roman"/>
          <w:i/>
          <w:sz w:val="24"/>
          <w:szCs w:val="24"/>
        </w:rPr>
        <w:t>Local Strategic Partnership</w:t>
      </w:r>
      <w:r>
        <w:rPr>
          <w:rFonts w:ascii="Times New Roman" w:eastAsia="Times New Roman" w:hAnsi="Times New Roman" w:cs="Times New Roman"/>
          <w:sz w:val="24"/>
          <w:szCs w:val="24"/>
        </w:rPr>
        <w:t>. [online] www.croydon.gov.uk. Available at: https://www.croydon.gov.uk/council-and-elections/council-leadership-committees-and-meetings/local-strategic-partnership-lb-croydon [Accessed 8 Mar. 2023].</w:t>
      </w:r>
    </w:p>
    <w:p w14:paraId="679DEEEF" w14:textId="77777777" w:rsidR="00A25FC9" w:rsidRDefault="003F4D7E">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Croydon Council (2023). </w:t>
      </w:r>
      <w:r>
        <w:rPr>
          <w:rFonts w:ascii="Times New Roman" w:eastAsia="Times New Roman" w:hAnsi="Times New Roman" w:cs="Times New Roman"/>
          <w:i/>
          <w:sz w:val="24"/>
          <w:szCs w:val="24"/>
        </w:rPr>
        <w:t>Partnership working</w:t>
      </w:r>
      <w:r>
        <w:rPr>
          <w:rFonts w:ascii="Times New Roman" w:eastAsia="Times New Roman" w:hAnsi="Times New Roman" w:cs="Times New Roman"/>
          <w:sz w:val="24"/>
          <w:szCs w:val="24"/>
        </w:rPr>
        <w:t>. [online] www.croydon.gov.uk. Available at: https://www.croydon.gov.uk/community-and-safety/emergencies/partnership-working [Accessed 8 Mar. 2023].</w:t>
      </w:r>
    </w:p>
    <w:p w14:paraId="30E44681" w14:textId="77777777" w:rsidR="00A25FC9" w:rsidRDefault="003F4D7E">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Croydon Council (2023). </w:t>
      </w:r>
      <w:r>
        <w:rPr>
          <w:rFonts w:ascii="Times New Roman" w:eastAsia="Times New Roman" w:hAnsi="Times New Roman" w:cs="Times New Roman"/>
          <w:i/>
          <w:sz w:val="24"/>
          <w:szCs w:val="24"/>
        </w:rPr>
        <w:t>Statement of Community Involvement</w:t>
      </w:r>
      <w:r>
        <w:rPr>
          <w:rFonts w:ascii="Times New Roman" w:eastAsia="Times New Roman" w:hAnsi="Times New Roman" w:cs="Times New Roman"/>
          <w:sz w:val="24"/>
          <w:szCs w:val="24"/>
        </w:rPr>
        <w:t>. [online] www.croydon.gov.uk. Available at: https://www.croydon.gov.uk/planning-and-regeneration/planning-policy/get-involved-croydons-planning/statement-community-involvement [Accessed 8 Mar. 2023].</w:t>
      </w:r>
    </w:p>
    <w:p w14:paraId="40718A1F" w14:textId="77777777" w:rsidR="00A25FC9" w:rsidRDefault="003F4D7E">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Croydon Council (2023). </w:t>
      </w:r>
      <w:r>
        <w:rPr>
          <w:rFonts w:ascii="Times New Roman" w:eastAsia="Times New Roman" w:hAnsi="Times New Roman" w:cs="Times New Roman"/>
          <w:i/>
          <w:sz w:val="24"/>
          <w:szCs w:val="24"/>
        </w:rPr>
        <w:t>Voluntary and Community Strategy</w:t>
      </w:r>
      <w:r>
        <w:rPr>
          <w:rFonts w:ascii="Times New Roman" w:eastAsia="Times New Roman" w:hAnsi="Times New Roman" w:cs="Times New Roman"/>
          <w:sz w:val="24"/>
          <w:szCs w:val="24"/>
        </w:rPr>
        <w:t>. [online] www.croydon.gov.uk. Available at: https://www.croydon.gov.uk/council-and-elections/policies-plans-and-strategies/voluntary-and-community-strategy [Accessed 8 Mar. 2023].</w:t>
      </w:r>
    </w:p>
    <w:p w14:paraId="5ECC9722" w14:textId="77777777" w:rsidR="00A25FC9" w:rsidRDefault="003F4D7E">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Dekker, R., </w:t>
      </w:r>
      <w:proofErr w:type="spellStart"/>
      <w:r>
        <w:rPr>
          <w:rFonts w:ascii="Times New Roman" w:eastAsia="Times New Roman" w:hAnsi="Times New Roman" w:cs="Times New Roman"/>
          <w:sz w:val="24"/>
          <w:szCs w:val="24"/>
        </w:rPr>
        <w:t>Engbersen</w:t>
      </w:r>
      <w:proofErr w:type="spellEnd"/>
      <w:r>
        <w:rPr>
          <w:rFonts w:ascii="Times New Roman" w:eastAsia="Times New Roman" w:hAnsi="Times New Roman" w:cs="Times New Roman"/>
          <w:sz w:val="24"/>
          <w:szCs w:val="24"/>
        </w:rPr>
        <w:t xml:space="preserve">, G., Klaver, J. and Vonk, H. (2018). Smart Refugees: How Syrian Asylum Migrants Use Social Media Information in Migration Decision-Making. </w:t>
      </w:r>
      <w:r>
        <w:rPr>
          <w:rFonts w:ascii="Times New Roman" w:eastAsia="Times New Roman" w:hAnsi="Times New Roman" w:cs="Times New Roman"/>
          <w:i/>
          <w:sz w:val="24"/>
          <w:szCs w:val="24"/>
        </w:rPr>
        <w:t>Social Media + Society</w:t>
      </w:r>
      <w:r>
        <w:rPr>
          <w:rFonts w:ascii="Times New Roman" w:eastAsia="Times New Roman" w:hAnsi="Times New Roman" w:cs="Times New Roman"/>
          <w:sz w:val="24"/>
          <w:szCs w:val="24"/>
        </w:rPr>
        <w:t>, [online] 4(1), p.205630511876443. Available at: https://journals.sagepub.com/doi/10.1177/2056305118764439 [Accessed 8 Mar. 2023].</w:t>
      </w:r>
    </w:p>
    <w:p w14:paraId="69CEE551" w14:textId="77777777" w:rsidR="00A25FC9" w:rsidRDefault="003F4D7E">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Fleck, A. (2023). </w:t>
      </w:r>
      <w:proofErr w:type="gramStart"/>
      <w:r>
        <w:rPr>
          <w:rFonts w:ascii="Times New Roman" w:eastAsia="Times New Roman" w:hAnsi="Times New Roman" w:cs="Times New Roman"/>
          <w:i/>
          <w:sz w:val="24"/>
          <w:szCs w:val="24"/>
        </w:rPr>
        <w:t>UK</w:t>
      </w:r>
      <w:proofErr w:type="gramEnd"/>
      <w:r>
        <w:rPr>
          <w:rFonts w:ascii="Times New Roman" w:eastAsia="Times New Roman" w:hAnsi="Times New Roman" w:cs="Times New Roman"/>
          <w:i/>
          <w:sz w:val="24"/>
          <w:szCs w:val="24"/>
        </w:rPr>
        <w:t xml:space="preserve"> is only G7 country expected to face a recession in 2023</w:t>
      </w:r>
      <w:r>
        <w:rPr>
          <w:rFonts w:ascii="Times New Roman" w:eastAsia="Times New Roman" w:hAnsi="Times New Roman" w:cs="Times New Roman"/>
          <w:sz w:val="24"/>
          <w:szCs w:val="24"/>
        </w:rPr>
        <w:t>. [online] World Economic Forum. Available at: https://www.weforum.org/agenda/2023/02/uk-country-recession-economy-chart/ [Accessed 8 Mar. 2023].</w:t>
      </w:r>
    </w:p>
    <w:p w14:paraId="414038D4" w14:textId="77777777" w:rsidR="00A25FC9" w:rsidRDefault="003F4D7E">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‌GOV.UK (2013). </w:t>
      </w:r>
      <w:r>
        <w:rPr>
          <w:rFonts w:ascii="Times New Roman" w:eastAsia="Times New Roman" w:hAnsi="Times New Roman" w:cs="Times New Roman"/>
          <w:i/>
          <w:sz w:val="24"/>
          <w:szCs w:val="24"/>
        </w:rPr>
        <w:t>Equality Act 2010</w:t>
      </w:r>
      <w:r>
        <w:rPr>
          <w:rFonts w:ascii="Times New Roman" w:eastAsia="Times New Roman" w:hAnsi="Times New Roman" w:cs="Times New Roman"/>
          <w:sz w:val="24"/>
          <w:szCs w:val="24"/>
        </w:rPr>
        <w:t>. [online] GOV.UK. Available at: https://www.gov.uk/guidance/equality-act-2010-guidance [Accessed 8 Mar. 2023].</w:t>
      </w:r>
    </w:p>
    <w:p w14:paraId="57D10624" w14:textId="77777777" w:rsidR="00A25FC9" w:rsidRDefault="003F4D7E">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GOV.UK (2018). </w:t>
      </w:r>
      <w:r>
        <w:rPr>
          <w:rFonts w:ascii="Times New Roman" w:eastAsia="Times New Roman" w:hAnsi="Times New Roman" w:cs="Times New Roman"/>
          <w:i/>
          <w:sz w:val="24"/>
          <w:szCs w:val="24"/>
        </w:rPr>
        <w:t>Data Protection Act</w:t>
      </w:r>
      <w:r>
        <w:rPr>
          <w:rFonts w:ascii="Times New Roman" w:eastAsia="Times New Roman" w:hAnsi="Times New Roman" w:cs="Times New Roman"/>
          <w:sz w:val="24"/>
          <w:szCs w:val="24"/>
        </w:rPr>
        <w:t>. [online] GOV.UK. Available at: https://www.gov.uk/data-protection [Accessed 8 Mar. 2023].</w:t>
      </w:r>
    </w:p>
    <w:p w14:paraId="08E566DA" w14:textId="77777777" w:rsidR="00A25FC9" w:rsidRDefault="003F4D7E">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Manderscheid, M., Fiala, V., Edwards, F., Freyer, B. and </w:t>
      </w:r>
      <w:proofErr w:type="spellStart"/>
      <w:r>
        <w:rPr>
          <w:rFonts w:ascii="Times New Roman" w:eastAsia="Times New Roman" w:hAnsi="Times New Roman" w:cs="Times New Roman"/>
          <w:sz w:val="24"/>
          <w:szCs w:val="24"/>
        </w:rPr>
        <w:t>Säumel</w:t>
      </w:r>
      <w:proofErr w:type="spellEnd"/>
      <w:r>
        <w:rPr>
          <w:rFonts w:ascii="Times New Roman" w:eastAsia="Times New Roman" w:hAnsi="Times New Roman" w:cs="Times New Roman"/>
          <w:sz w:val="24"/>
          <w:szCs w:val="24"/>
        </w:rPr>
        <w:t xml:space="preserve">, I. (2022). Let’s Do It Online?! Challenges and Lessons for Inclusive Virtual Participation. </w:t>
      </w:r>
      <w:r>
        <w:rPr>
          <w:rFonts w:ascii="Times New Roman" w:eastAsia="Times New Roman" w:hAnsi="Times New Roman" w:cs="Times New Roman"/>
          <w:i/>
          <w:sz w:val="24"/>
          <w:szCs w:val="24"/>
        </w:rPr>
        <w:t>Frontiers in Sustainable Food Systems</w:t>
      </w:r>
      <w:r>
        <w:rPr>
          <w:rFonts w:ascii="Times New Roman" w:eastAsia="Times New Roman" w:hAnsi="Times New Roman" w:cs="Times New Roman"/>
          <w:sz w:val="24"/>
          <w:szCs w:val="24"/>
        </w:rPr>
        <w:t>, [online] 6. Available at: https://www.frontiersin.org/articles/10.3389/fsufs.2022.732943/full%20 [Accessed 8 Mar. 2023].</w:t>
      </w:r>
    </w:p>
    <w:p w14:paraId="63A76F84" w14:textId="77777777" w:rsidR="00A25FC9" w:rsidRDefault="003F4D7E">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Milner, P. and Kelly, B. (2009). Community participation and inclusion: people with disabilities </w:t>
      </w:r>
      <w:proofErr w:type="gramStart"/>
      <w:r>
        <w:rPr>
          <w:rFonts w:ascii="Times New Roman" w:eastAsia="Times New Roman" w:hAnsi="Times New Roman" w:cs="Times New Roman"/>
          <w:sz w:val="24"/>
          <w:szCs w:val="24"/>
        </w:rPr>
        <w:t>defining</w:t>
      </w:r>
      <w:proofErr w:type="gramEnd"/>
      <w:r>
        <w:rPr>
          <w:rFonts w:ascii="Times New Roman" w:eastAsia="Times New Roman" w:hAnsi="Times New Roman" w:cs="Times New Roman"/>
          <w:sz w:val="24"/>
          <w:szCs w:val="24"/>
        </w:rPr>
        <w:t xml:space="preserve"> their place. </w:t>
      </w:r>
      <w:r>
        <w:rPr>
          <w:rFonts w:ascii="Times New Roman" w:eastAsia="Times New Roman" w:hAnsi="Times New Roman" w:cs="Times New Roman"/>
          <w:i/>
          <w:sz w:val="24"/>
          <w:szCs w:val="24"/>
        </w:rPr>
        <w:t>Disability &amp; Society</w:t>
      </w:r>
      <w:r>
        <w:rPr>
          <w:rFonts w:ascii="Times New Roman" w:eastAsia="Times New Roman" w:hAnsi="Times New Roman" w:cs="Times New Roman"/>
          <w:sz w:val="24"/>
          <w:szCs w:val="24"/>
        </w:rPr>
        <w:t>, [online] 24(1), pp.47–62. Available at: https://www.tandfonline.com/doi/full/10.1080/09687590802535410 [Accessed 8 Mar. 2023].</w:t>
      </w:r>
    </w:p>
    <w:p w14:paraId="296E0F3E" w14:textId="77777777" w:rsidR="00A25FC9" w:rsidRDefault="003F4D7E">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O’Beirne, P., Battersby, F., Mallett, A., Aczel, M., Makuch, K., Workman, M. and Heap, R. (2020). The UK net-zero target: Insights into procedural justice for greenhouse gas removal. </w:t>
      </w:r>
      <w:r>
        <w:rPr>
          <w:rFonts w:ascii="Times New Roman" w:eastAsia="Times New Roman" w:hAnsi="Times New Roman" w:cs="Times New Roman"/>
          <w:i/>
          <w:sz w:val="24"/>
          <w:szCs w:val="24"/>
        </w:rPr>
        <w:t>Environmental Science &amp; Policy</w:t>
      </w:r>
      <w:r>
        <w:rPr>
          <w:rFonts w:ascii="Times New Roman" w:eastAsia="Times New Roman" w:hAnsi="Times New Roman" w:cs="Times New Roman"/>
          <w:sz w:val="24"/>
          <w:szCs w:val="24"/>
        </w:rPr>
        <w:t xml:space="preserve">, [online] 112, pp.264–274. Available at: </w:t>
      </w:r>
      <w:r>
        <w:rPr>
          <w:rFonts w:ascii="Times New Roman" w:eastAsia="Times New Roman" w:hAnsi="Times New Roman" w:cs="Times New Roman"/>
          <w:sz w:val="24"/>
          <w:szCs w:val="24"/>
        </w:rPr>
        <w:lastRenderedPageBreak/>
        <w:t>https://www.sciencedirect.com/science/article/abs/pii/S1462901120303671#! [Accessed 8 Mar. 2023].</w:t>
      </w:r>
    </w:p>
    <w:p w14:paraId="7E4B93C3" w14:textId="77777777" w:rsidR="00010A5D" w:rsidRDefault="003F4D7E" w:rsidP="00A25FC9">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Singh, M.K. (2022). </w:t>
      </w:r>
      <w:r>
        <w:rPr>
          <w:rFonts w:ascii="Times New Roman" w:eastAsia="Times New Roman" w:hAnsi="Times New Roman" w:cs="Times New Roman"/>
          <w:i/>
          <w:sz w:val="24"/>
          <w:szCs w:val="24"/>
        </w:rPr>
        <w:t>Community Participation and Civic Engagement in the Digital Era</w:t>
      </w:r>
      <w:r>
        <w:rPr>
          <w:rFonts w:ascii="Times New Roman" w:eastAsia="Times New Roman" w:hAnsi="Times New Roman" w:cs="Times New Roman"/>
          <w:sz w:val="24"/>
          <w:szCs w:val="24"/>
        </w:rPr>
        <w:t>. 1st ed. [online] Bingley, United Kingdom: Emerald Publishing Limited, pp.55–72. Available at: https://www.emerald.com/insight/publication/doi/10.1108/9781802622911 [Accessed 8 Mar. 2023].</w:t>
      </w:r>
    </w:p>
    <w:sectPr w:rsidR="00010A5D" w:rsidSect="00A25FC9">
      <w:footerReference w:type="default" r:id="rId6"/>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217700" w14:textId="77777777" w:rsidR="003F4D7E" w:rsidRDefault="003F4D7E">
      <w:pPr>
        <w:spacing w:line="240" w:lineRule="auto"/>
      </w:pPr>
      <w:r>
        <w:separator/>
      </w:r>
    </w:p>
  </w:endnote>
  <w:endnote w:type="continuationSeparator" w:id="0">
    <w:p w14:paraId="1B35648B" w14:textId="77777777" w:rsidR="003F4D7E" w:rsidRDefault="003F4D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3649461"/>
      <w:docPartObj>
        <w:docPartGallery w:val="Page Numbers (Bottom of Page)"/>
        <w:docPartUnique/>
      </w:docPartObj>
    </w:sdtPr>
    <w:sdtEndPr>
      <w:rPr>
        <w:noProof/>
      </w:rPr>
    </w:sdtEndPr>
    <w:sdtContent>
      <w:p w14:paraId="538E781D" w14:textId="77777777" w:rsidR="00A25FC9" w:rsidRDefault="003F4D7E">
        <w:pPr>
          <w:pStyle w:val="Footer"/>
          <w:jc w:val="right"/>
        </w:pPr>
        <w:r>
          <w:fldChar w:fldCharType="begin"/>
        </w:r>
        <w:r>
          <w:instrText xml:space="preserve"> PAGE   \* MERGEFORMAT </w:instrText>
        </w:r>
        <w:r>
          <w:fldChar w:fldCharType="separate"/>
        </w:r>
        <w:r w:rsidR="00E01004">
          <w:rPr>
            <w:noProof/>
          </w:rPr>
          <w:t>4</w:t>
        </w:r>
        <w:r>
          <w:rPr>
            <w:noProof/>
          </w:rPr>
          <w:fldChar w:fldCharType="end"/>
        </w:r>
      </w:p>
    </w:sdtContent>
  </w:sdt>
  <w:p w14:paraId="1BA2C249" w14:textId="77777777" w:rsidR="00A25FC9" w:rsidRDefault="00A25F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70A2AA" w14:textId="77777777" w:rsidR="003F4D7E" w:rsidRDefault="003F4D7E">
      <w:pPr>
        <w:spacing w:line="240" w:lineRule="auto"/>
      </w:pPr>
      <w:r>
        <w:separator/>
      </w:r>
    </w:p>
  </w:footnote>
  <w:footnote w:type="continuationSeparator" w:id="0">
    <w:p w14:paraId="5B458E6C" w14:textId="77777777" w:rsidR="003F4D7E" w:rsidRDefault="003F4D7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A5D"/>
    <w:rsid w:val="00010A5D"/>
    <w:rsid w:val="00084A1C"/>
    <w:rsid w:val="003F4D7E"/>
    <w:rsid w:val="006C5603"/>
    <w:rsid w:val="00A25FC9"/>
    <w:rsid w:val="00A8491C"/>
    <w:rsid w:val="00E010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D4B38"/>
  <w15:docId w15:val="{289317CB-EE33-4F30-94C5-5300D216A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A25FC9"/>
    <w:pPr>
      <w:tabs>
        <w:tab w:val="center" w:pos="4680"/>
        <w:tab w:val="right" w:pos="9360"/>
      </w:tabs>
      <w:spacing w:line="240" w:lineRule="auto"/>
    </w:pPr>
  </w:style>
  <w:style w:type="character" w:customStyle="1" w:styleId="HeaderChar">
    <w:name w:val="Header Char"/>
    <w:basedOn w:val="DefaultParagraphFont"/>
    <w:link w:val="Header"/>
    <w:uiPriority w:val="99"/>
    <w:rsid w:val="00A25FC9"/>
  </w:style>
  <w:style w:type="paragraph" w:styleId="Footer">
    <w:name w:val="footer"/>
    <w:basedOn w:val="Normal"/>
    <w:link w:val="FooterChar"/>
    <w:uiPriority w:val="99"/>
    <w:unhideWhenUsed/>
    <w:rsid w:val="00A25FC9"/>
    <w:pPr>
      <w:tabs>
        <w:tab w:val="center" w:pos="4680"/>
        <w:tab w:val="right" w:pos="9360"/>
      </w:tabs>
      <w:spacing w:line="240" w:lineRule="auto"/>
    </w:pPr>
  </w:style>
  <w:style w:type="character" w:customStyle="1" w:styleId="FooterChar">
    <w:name w:val="Footer Char"/>
    <w:basedOn w:val="DefaultParagraphFont"/>
    <w:link w:val="Footer"/>
    <w:uiPriority w:val="99"/>
    <w:rsid w:val="00A25F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2563</Words>
  <Characters>14610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Rahul</dc:creator>
  <cp:lastModifiedBy>Zhuliyana Georgieva (1916668)</cp:lastModifiedBy>
  <cp:revision>2</cp:revision>
  <dcterms:created xsi:type="dcterms:W3CDTF">2023-04-02T18:16:00Z</dcterms:created>
  <dcterms:modified xsi:type="dcterms:W3CDTF">2023-04-02T18:16:00Z</dcterms:modified>
</cp:coreProperties>
</file>