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GoBack" w:displacedByCustomXml="next"/>
    <w:bookmarkEnd w:id="0" w:displacedByCustomXml="next"/>
    <w:sdt>
      <w:sdtPr>
        <w:rPr>
          <w:sz w:val="24"/>
          <w:szCs w:val="24"/>
        </w:rPr>
        <w:id w:val="75104764"/>
        <w:docPartObj>
          <w:docPartGallery w:val="Cover Pages"/>
          <w:docPartUnique/>
        </w:docPartObj>
      </w:sdtPr>
      <w:sdtEndPr/>
      <w:sdtContent>
        <w:p w14:paraId="24E9A484" w14:textId="53551616" w:rsidR="004529A5" w:rsidRDefault="004529A5">
          <w:pPr>
            <w:rPr>
              <w:sz w:val="24"/>
              <w:szCs w:val="24"/>
            </w:rPr>
          </w:pPr>
          <w:r w:rsidRPr="004529A5">
            <w:rPr>
              <w:noProof/>
              <w:sz w:val="24"/>
              <w:szCs w:val="24"/>
            </w:rPr>
            <mc:AlternateContent>
              <mc:Choice Requires="wps">
                <w:drawing>
                  <wp:anchor distT="0" distB="0" distL="114300" distR="114300" simplePos="0" relativeHeight="251658240" behindDoc="0" locked="0" layoutInCell="1" allowOverlap="1" wp14:anchorId="72F9698D" wp14:editId="655329B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790"/>
                                  <w:gridCol w:w="2564"/>
                                </w:tblGrid>
                                <w:tr w:rsidR="004529A5" w14:paraId="5A17843D" w14:textId="77777777">
                                  <w:trPr>
                                    <w:jc w:val="center"/>
                                  </w:trPr>
                                  <w:tc>
                                    <w:tcPr>
                                      <w:tcW w:w="2568" w:type="pct"/>
                                      <w:vAlign w:val="center"/>
                                    </w:tcPr>
                                    <w:p w14:paraId="200D657A" w14:textId="77777777" w:rsidR="004529A5" w:rsidRDefault="004529A5">
                                      <w:pPr>
                                        <w:jc w:val="right"/>
                                      </w:pPr>
                                      <w:r>
                                        <w:rPr>
                                          <w:noProof/>
                                        </w:rPr>
                                        <w:drawing>
                                          <wp:inline distT="0" distB="0" distL="0" distR="0" wp14:anchorId="51408FF0" wp14:editId="00C478E6">
                                            <wp:extent cx="5116830" cy="3837622"/>
                                            <wp:effectExtent l="0" t="0" r="762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a:extLst>
                                                        <a:ext uri="{28A0092B-C50C-407E-A947-70E740481C1C}">
                                                          <a14:useLocalDpi xmlns:a14="http://schemas.microsoft.com/office/drawing/2010/main" val="0"/>
                                                        </a:ext>
                                                      </a:extLst>
                                                    </a:blip>
                                                    <a:stretch>
                                                      <a:fillRect/>
                                                    </a:stretch>
                                                  </pic:blipFill>
                                                  <pic:spPr>
                                                    <a:xfrm>
                                                      <a:off x="0" y="0"/>
                                                      <a:ext cx="5123393" cy="384254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CFABD48" w14:textId="574FD761" w:rsidR="004529A5" w:rsidRDefault="004D2690">
                                          <w:pPr>
                                            <w:pStyle w:val="NoSpacing"/>
                                            <w:spacing w:line="312" w:lineRule="auto"/>
                                            <w:jc w:val="right"/>
                                            <w:rPr>
                                              <w:caps/>
                                              <w:color w:val="191919" w:themeColor="text1" w:themeTint="E6"/>
                                              <w:sz w:val="72"/>
                                              <w:szCs w:val="72"/>
                                            </w:rPr>
                                          </w:pPr>
                                          <w:r>
                                            <w:rPr>
                                              <w:caps/>
                                              <w:color w:val="191919" w:themeColor="text1" w:themeTint="E6"/>
                                              <w:sz w:val="72"/>
                                              <w:szCs w:val="72"/>
                                            </w:rPr>
                                            <w:t>Log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A3C4354" w14:textId="6CEBD943" w:rsidR="004529A5" w:rsidRDefault="004D2690">
                                          <w:pPr>
                                            <w:jc w:val="right"/>
                                            <w:rPr>
                                              <w:sz w:val="24"/>
                                              <w:szCs w:val="24"/>
                                            </w:rPr>
                                          </w:pPr>
                                          <w:r>
                                            <w:rPr>
                                              <w:color w:val="000000" w:themeColor="text1"/>
                                              <w:sz w:val="24"/>
                                              <w:szCs w:val="24"/>
                                            </w:rPr>
                                            <w:t xml:space="preserve">     </w:t>
                                          </w:r>
                                        </w:p>
                                      </w:sdtContent>
                                    </w:sdt>
                                  </w:tc>
                                  <w:tc>
                                    <w:tcPr>
                                      <w:tcW w:w="2432" w:type="pct"/>
                                      <w:vAlign w:val="center"/>
                                    </w:tcPr>
                                    <w:p w14:paraId="74EFD4FD" w14:textId="683CA6AC" w:rsidR="004529A5" w:rsidRDefault="004529A5">
                                      <w:pPr>
                                        <w:pStyle w:val="NoSpacing"/>
                                        <w:rPr>
                                          <w:caps/>
                                          <w:color w:val="ED7D31" w:themeColor="accent2"/>
                                          <w:sz w:val="26"/>
                                          <w:szCs w:val="26"/>
                                        </w:rPr>
                                      </w:pPr>
                                      <w:r>
                                        <w:rPr>
                                          <w:caps/>
                                          <w:color w:val="ED7D31" w:themeColor="accent2"/>
                                          <w:sz w:val="26"/>
                                          <w:szCs w:val="26"/>
                                        </w:rPr>
                                        <w:t>Distinctiveness and regeneration</w:t>
                                      </w:r>
                                    </w:p>
                                    <w:p w14:paraId="79D2FA3C" w14:textId="0B26DAB3" w:rsidR="004529A5" w:rsidRPr="005625E8" w:rsidRDefault="00552C7E">
                                      <w:pPr>
                                        <w:pStyle w:val="NoSpacing"/>
                                        <w:rPr>
                                          <w:caps/>
                                          <w:color w:val="595959" w:themeColor="text1" w:themeTint="A6"/>
                                          <w:sz w:val="26"/>
                                          <w:szCs w:val="26"/>
                                        </w:rPr>
                                      </w:pPr>
                                      <w:r w:rsidRPr="005625E8">
                                        <w:rPr>
                                          <w:caps/>
                                          <w:color w:val="595959" w:themeColor="text1" w:themeTint="A6"/>
                                          <w:sz w:val="26"/>
                                          <w:szCs w:val="26"/>
                                        </w:rPr>
                                        <w:t>Anthony Burns</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FCAE845" w14:textId="667AC1C1" w:rsidR="004529A5" w:rsidRDefault="004529A5">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63D6A5F" w14:textId="6F03C95A" w:rsidR="004529A5" w:rsidRDefault="004529A5">
                                          <w:pPr>
                                            <w:pStyle w:val="NoSpacing"/>
                                            <w:rPr>
                                              <w:color w:val="ED7D31" w:themeColor="accent2"/>
                                              <w:sz w:val="26"/>
                                              <w:szCs w:val="26"/>
                                            </w:rPr>
                                          </w:pPr>
                                          <w:r>
                                            <w:rPr>
                                              <w:color w:val="ED7D31" w:themeColor="accent2"/>
                                              <w:sz w:val="26"/>
                                              <w:szCs w:val="26"/>
                                            </w:rPr>
                                            <w:t xml:space="preserve">Sinead </w:t>
                                          </w:r>
                                          <w:proofErr w:type="spellStart"/>
                                          <w:r>
                                            <w:rPr>
                                              <w:color w:val="ED7D31" w:themeColor="accent2"/>
                                              <w:sz w:val="26"/>
                                              <w:szCs w:val="26"/>
                                            </w:rPr>
                                            <w:t>Hasleham</w:t>
                                          </w:r>
                                          <w:proofErr w:type="spellEnd"/>
                                          <w:r>
                                            <w:rPr>
                                              <w:color w:val="ED7D31" w:themeColor="accent2"/>
                                              <w:sz w:val="26"/>
                                              <w:szCs w:val="26"/>
                                            </w:rPr>
                                            <w:t xml:space="preserve"> (1910154)</w:t>
                                          </w:r>
                                        </w:p>
                                      </w:sdtContent>
                                    </w:sdt>
                                    <w:p w14:paraId="4D26870B" w14:textId="6F02A7B7" w:rsidR="004529A5" w:rsidRDefault="0028799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529A5">
                                            <w:rPr>
                                              <w:color w:val="44546A" w:themeColor="text2"/>
                                            </w:rPr>
                                            <w:t>BMSP4005</w:t>
                                          </w:r>
                                        </w:sdtContent>
                                      </w:sdt>
                                    </w:p>
                                  </w:tc>
                                </w:tr>
                              </w:tbl>
                              <w:p w14:paraId="533910CB" w14:textId="77777777" w:rsidR="004529A5" w:rsidRDefault="004529A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2F9698D"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790"/>
                            <w:gridCol w:w="2564"/>
                          </w:tblGrid>
                          <w:tr w:rsidR="004529A5" w14:paraId="5A17843D" w14:textId="77777777">
                            <w:trPr>
                              <w:jc w:val="center"/>
                            </w:trPr>
                            <w:tc>
                              <w:tcPr>
                                <w:tcW w:w="2568" w:type="pct"/>
                                <w:vAlign w:val="center"/>
                              </w:tcPr>
                              <w:p w14:paraId="200D657A" w14:textId="77777777" w:rsidR="004529A5" w:rsidRDefault="004529A5">
                                <w:pPr>
                                  <w:jc w:val="right"/>
                                </w:pPr>
                                <w:r>
                                  <w:rPr>
                                    <w:noProof/>
                                  </w:rPr>
                                  <w:drawing>
                                    <wp:inline distT="0" distB="0" distL="0" distR="0" wp14:anchorId="51408FF0" wp14:editId="00C478E6">
                                      <wp:extent cx="5116830" cy="3837622"/>
                                      <wp:effectExtent l="0" t="0" r="762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a:extLst>
                                                  <a:ext uri="{28A0092B-C50C-407E-A947-70E740481C1C}">
                                                    <a14:useLocalDpi xmlns:a14="http://schemas.microsoft.com/office/drawing/2010/main" val="0"/>
                                                  </a:ext>
                                                </a:extLst>
                                              </a:blip>
                                              <a:stretch>
                                                <a:fillRect/>
                                              </a:stretch>
                                            </pic:blipFill>
                                            <pic:spPr>
                                              <a:xfrm>
                                                <a:off x="0" y="0"/>
                                                <a:ext cx="5123393" cy="384254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CFABD48" w14:textId="574FD761" w:rsidR="004529A5" w:rsidRDefault="004D2690">
                                    <w:pPr>
                                      <w:pStyle w:val="NoSpacing"/>
                                      <w:spacing w:line="312" w:lineRule="auto"/>
                                      <w:jc w:val="right"/>
                                      <w:rPr>
                                        <w:caps/>
                                        <w:color w:val="191919" w:themeColor="text1" w:themeTint="E6"/>
                                        <w:sz w:val="72"/>
                                        <w:szCs w:val="72"/>
                                      </w:rPr>
                                    </w:pPr>
                                    <w:r>
                                      <w:rPr>
                                        <w:caps/>
                                        <w:color w:val="191919" w:themeColor="text1" w:themeTint="E6"/>
                                        <w:sz w:val="72"/>
                                        <w:szCs w:val="72"/>
                                      </w:rPr>
                                      <w:t>Log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A3C4354" w14:textId="6CEBD943" w:rsidR="004529A5" w:rsidRDefault="004D2690">
                                    <w:pPr>
                                      <w:jc w:val="right"/>
                                      <w:rPr>
                                        <w:sz w:val="24"/>
                                        <w:szCs w:val="24"/>
                                      </w:rPr>
                                    </w:pPr>
                                    <w:r>
                                      <w:rPr>
                                        <w:color w:val="000000" w:themeColor="text1"/>
                                        <w:sz w:val="24"/>
                                        <w:szCs w:val="24"/>
                                      </w:rPr>
                                      <w:t xml:space="preserve">     </w:t>
                                    </w:r>
                                  </w:p>
                                </w:sdtContent>
                              </w:sdt>
                            </w:tc>
                            <w:tc>
                              <w:tcPr>
                                <w:tcW w:w="2432" w:type="pct"/>
                                <w:vAlign w:val="center"/>
                              </w:tcPr>
                              <w:p w14:paraId="74EFD4FD" w14:textId="683CA6AC" w:rsidR="004529A5" w:rsidRDefault="004529A5">
                                <w:pPr>
                                  <w:pStyle w:val="NoSpacing"/>
                                  <w:rPr>
                                    <w:caps/>
                                    <w:color w:val="ED7D31" w:themeColor="accent2"/>
                                    <w:sz w:val="26"/>
                                    <w:szCs w:val="26"/>
                                  </w:rPr>
                                </w:pPr>
                                <w:r>
                                  <w:rPr>
                                    <w:caps/>
                                    <w:color w:val="ED7D31" w:themeColor="accent2"/>
                                    <w:sz w:val="26"/>
                                    <w:szCs w:val="26"/>
                                  </w:rPr>
                                  <w:t>Distinctiveness and regeneration</w:t>
                                </w:r>
                              </w:p>
                              <w:p w14:paraId="79D2FA3C" w14:textId="0B26DAB3" w:rsidR="004529A5" w:rsidRPr="005625E8" w:rsidRDefault="00552C7E">
                                <w:pPr>
                                  <w:pStyle w:val="NoSpacing"/>
                                  <w:rPr>
                                    <w:caps/>
                                    <w:color w:val="595959" w:themeColor="text1" w:themeTint="A6"/>
                                    <w:sz w:val="26"/>
                                    <w:szCs w:val="26"/>
                                  </w:rPr>
                                </w:pPr>
                                <w:r w:rsidRPr="005625E8">
                                  <w:rPr>
                                    <w:caps/>
                                    <w:color w:val="595959" w:themeColor="text1" w:themeTint="A6"/>
                                    <w:sz w:val="26"/>
                                    <w:szCs w:val="26"/>
                                  </w:rPr>
                                  <w:t>Anthony Burns</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FCAE845" w14:textId="667AC1C1" w:rsidR="004529A5" w:rsidRDefault="004529A5">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63D6A5F" w14:textId="6F03C95A" w:rsidR="004529A5" w:rsidRDefault="004529A5">
                                    <w:pPr>
                                      <w:pStyle w:val="NoSpacing"/>
                                      <w:rPr>
                                        <w:color w:val="ED7D31" w:themeColor="accent2"/>
                                        <w:sz w:val="26"/>
                                        <w:szCs w:val="26"/>
                                      </w:rPr>
                                    </w:pPr>
                                    <w:r>
                                      <w:rPr>
                                        <w:color w:val="ED7D31" w:themeColor="accent2"/>
                                        <w:sz w:val="26"/>
                                        <w:szCs w:val="26"/>
                                      </w:rPr>
                                      <w:t xml:space="preserve">Sinead </w:t>
                                    </w:r>
                                    <w:proofErr w:type="spellStart"/>
                                    <w:r>
                                      <w:rPr>
                                        <w:color w:val="ED7D31" w:themeColor="accent2"/>
                                        <w:sz w:val="26"/>
                                        <w:szCs w:val="26"/>
                                      </w:rPr>
                                      <w:t>Hasleham</w:t>
                                    </w:r>
                                    <w:proofErr w:type="spellEnd"/>
                                    <w:r>
                                      <w:rPr>
                                        <w:color w:val="ED7D31" w:themeColor="accent2"/>
                                        <w:sz w:val="26"/>
                                        <w:szCs w:val="26"/>
                                      </w:rPr>
                                      <w:t xml:space="preserve"> (1910154)</w:t>
                                    </w:r>
                                  </w:p>
                                </w:sdtContent>
                              </w:sdt>
                              <w:p w14:paraId="4D26870B" w14:textId="6F02A7B7" w:rsidR="004529A5" w:rsidRDefault="0028799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529A5">
                                      <w:rPr>
                                        <w:color w:val="44546A" w:themeColor="text2"/>
                                      </w:rPr>
                                      <w:t>BMSP4005</w:t>
                                    </w:r>
                                  </w:sdtContent>
                                </w:sdt>
                              </w:p>
                            </w:tc>
                          </w:tr>
                        </w:tbl>
                        <w:p w14:paraId="533910CB" w14:textId="77777777" w:rsidR="004529A5" w:rsidRDefault="004529A5"/>
                      </w:txbxContent>
                    </v:textbox>
                    <w10:wrap anchorx="page" anchory="page"/>
                  </v:shape>
                </w:pict>
              </mc:Fallback>
            </mc:AlternateContent>
          </w:r>
          <w:r>
            <w:rPr>
              <w:sz w:val="24"/>
              <w:szCs w:val="24"/>
            </w:rPr>
            <w:br w:type="page"/>
          </w:r>
        </w:p>
      </w:sdtContent>
    </w:sdt>
    <w:p w14:paraId="6F48E7D0" w14:textId="77777777" w:rsidR="00340BBB" w:rsidRDefault="00340BBB" w:rsidP="364FFD86">
      <w:pPr>
        <w:rPr>
          <w:sz w:val="24"/>
          <w:szCs w:val="24"/>
        </w:rPr>
      </w:pPr>
      <w:r>
        <w:rPr>
          <w:noProof/>
          <w:sz w:val="24"/>
          <w:szCs w:val="24"/>
        </w:rPr>
        <w:lastRenderedPageBreak/>
        <w:drawing>
          <wp:anchor distT="0" distB="0" distL="114300" distR="114300" simplePos="0" relativeHeight="251658241" behindDoc="0" locked="0" layoutInCell="1" allowOverlap="1" wp14:anchorId="69197EC0" wp14:editId="043E8E36">
            <wp:simplePos x="0" y="0"/>
            <wp:positionH relativeFrom="column">
              <wp:posOffset>2294890</wp:posOffset>
            </wp:positionH>
            <wp:positionV relativeFrom="paragraph">
              <wp:posOffset>406400</wp:posOffset>
            </wp:positionV>
            <wp:extent cx="2025650" cy="2422525"/>
            <wp:effectExtent l="0" t="7938" r="4763" b="4762"/>
            <wp:wrapSquare wrapText="bothSides"/>
            <wp:docPr id="1" name="Picture 1" descr="Blaenavon Iron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211_151944.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2025650" cy="24225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8" behindDoc="0" locked="0" layoutInCell="1" allowOverlap="1" wp14:anchorId="4CF4F437" wp14:editId="7D34E52C">
            <wp:simplePos x="0" y="0"/>
            <wp:positionH relativeFrom="margin">
              <wp:align>left</wp:align>
            </wp:positionH>
            <wp:positionV relativeFrom="paragraph">
              <wp:posOffset>601980</wp:posOffset>
            </wp:positionV>
            <wp:extent cx="2049780" cy="2049780"/>
            <wp:effectExtent l="0" t="0" r="7620" b="7620"/>
            <wp:wrapSquare wrapText="bothSides"/>
            <wp:docPr id="2" name="Picture 2" descr="Image result for map of blaenavon and the iron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p of blaenavon and the ironwork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49780" cy="2049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364FFD86" w:rsidRPr="364FFD86">
        <w:rPr>
          <w:sz w:val="24"/>
          <w:szCs w:val="24"/>
        </w:rPr>
        <w:t xml:space="preserve">   Throughout this report, details of the industrial revolution and how a small town located within the welsh valleys played a huge part in contribution towards it. Topics included will be specifically Blaenavon ironworks, the mining industry, the industrial revolution and the formation of coal itself.</w:t>
      </w:r>
      <w:r w:rsidRPr="00340BBB">
        <w:rPr>
          <w:noProof/>
        </w:rPr>
        <w:t xml:space="preserve"> </w:t>
      </w:r>
    </w:p>
    <w:p w14:paraId="011A714B" w14:textId="50EC0857" w:rsidR="364FFD86" w:rsidRDefault="00340BBB" w:rsidP="364FFD86">
      <w:pPr>
        <w:rPr>
          <w:sz w:val="24"/>
          <w:szCs w:val="24"/>
        </w:rPr>
      </w:pPr>
      <w:r>
        <w:rPr>
          <w:sz w:val="24"/>
          <w:szCs w:val="24"/>
        </w:rPr>
        <w:t xml:space="preserve">   </w:t>
      </w:r>
      <w:r w:rsidR="49B63A04" w:rsidRPr="49B63A04">
        <w:rPr>
          <w:sz w:val="24"/>
          <w:szCs w:val="24"/>
        </w:rPr>
        <w:t>On the 30</w:t>
      </w:r>
      <w:r w:rsidR="49B63A04" w:rsidRPr="49B63A04">
        <w:rPr>
          <w:sz w:val="24"/>
          <w:szCs w:val="24"/>
          <w:vertAlign w:val="superscript"/>
        </w:rPr>
        <w:t>th</w:t>
      </w:r>
      <w:r w:rsidR="49B63A04" w:rsidRPr="49B63A04">
        <w:rPr>
          <w:sz w:val="24"/>
          <w:szCs w:val="24"/>
        </w:rPr>
        <w:t xml:space="preserve"> November 1789, Blaenavon ironworks opened its gates. The ironworks itself cost £40,000 to create and because of an expired lease on the ‘Lord Abergavenny's hill’ meant that three entrepreneurs from England; Thomas Hill, Thomas Hopkins and Benjamin Pratt, were able to take over the lease and place the town of Blaenavon at the heart of the industrial revolution. Blaenavon was rich in nutrients, coal, limestone and iron ore (CADW, 2020), and was an ideal place to source cheap iron ore and coal to provide worldwide. With three blast furnaces and 300 employees in 1789, this made way for a thriving start for the ironworks. By the 18</w:t>
      </w:r>
      <w:r w:rsidR="49B63A04" w:rsidRPr="49B63A04">
        <w:rPr>
          <w:sz w:val="24"/>
          <w:szCs w:val="24"/>
          <w:vertAlign w:val="superscript"/>
        </w:rPr>
        <w:t>th</w:t>
      </w:r>
      <w:r w:rsidR="49B63A04" w:rsidRPr="49B63A04">
        <w:rPr>
          <w:sz w:val="24"/>
          <w:szCs w:val="24"/>
        </w:rPr>
        <w:t xml:space="preserve"> century, demands for iron and coal rocketed because of the American war of independence and the Napoleonic war with France, these wars demanded cannons structured form the iron of Blaenavon. Because of the increased demand in iron, two more blast furnaces were installed during 1805/1810. In the early years of the ironworks approximately 4,318 tonnes of pig iron were being produced annually, this rose to 14,000 tonnes and 2000 employees by 1812 (</w:t>
      </w:r>
      <w:proofErr w:type="spellStart"/>
      <w:r w:rsidR="49B63A04" w:rsidRPr="49B63A04">
        <w:rPr>
          <w:sz w:val="24"/>
          <w:szCs w:val="24"/>
        </w:rPr>
        <w:t>VisitBlaenavon</w:t>
      </w:r>
      <w:proofErr w:type="spellEnd"/>
      <w:r w:rsidR="49B63A04" w:rsidRPr="49B63A04">
        <w:rPr>
          <w:sz w:val="24"/>
          <w:szCs w:val="24"/>
        </w:rPr>
        <w:t>, 2020). A railway track joined with Blaenavon forge in 1854 making it easier for transportation to Newport docks for shipping, in 1864 the ironworks went into liquidation and by 1904 iron production at Blaenavon ceased and the works concentrated more on the production of coal and shell steel for WW1. The ironworks was supposed to be demolished in 1970 but by 1974 the site was saved by the nation, for the nation and later announced as a world heritage site (engineering timeline, 2020).</w:t>
      </w:r>
    </w:p>
    <w:p w14:paraId="27A9AFDA" w14:textId="400AC8BA" w:rsidR="00EB6A8E" w:rsidRDefault="00EB6A8E" w:rsidP="364FFD86">
      <w:pPr>
        <w:rPr>
          <w:sz w:val="24"/>
          <w:szCs w:val="24"/>
        </w:rPr>
      </w:pPr>
      <w:r>
        <w:rPr>
          <w:noProof/>
          <w:sz w:val="24"/>
          <w:szCs w:val="24"/>
        </w:rPr>
        <w:drawing>
          <wp:anchor distT="0" distB="0" distL="114300" distR="114300" simplePos="0" relativeHeight="251658242" behindDoc="0" locked="0" layoutInCell="1" allowOverlap="1" wp14:anchorId="250F0D6F" wp14:editId="4B9D92F9">
            <wp:simplePos x="0" y="0"/>
            <wp:positionH relativeFrom="column">
              <wp:posOffset>2397760</wp:posOffset>
            </wp:positionH>
            <wp:positionV relativeFrom="paragraph">
              <wp:posOffset>217805</wp:posOffset>
            </wp:positionV>
            <wp:extent cx="2082800" cy="1562100"/>
            <wp:effectExtent l="0" t="0" r="0" b="0"/>
            <wp:wrapSquare wrapText="bothSides"/>
            <wp:docPr id="9" name="Picture 9" descr="The Big P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200211_12565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82800" cy="15621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9" behindDoc="0" locked="0" layoutInCell="1" allowOverlap="1" wp14:anchorId="5EC952DA" wp14:editId="3D1FFE05">
            <wp:simplePos x="0" y="0"/>
            <wp:positionH relativeFrom="column">
              <wp:posOffset>38100</wp:posOffset>
            </wp:positionH>
            <wp:positionV relativeFrom="paragraph">
              <wp:posOffset>-3175</wp:posOffset>
            </wp:positionV>
            <wp:extent cx="2339340" cy="1766570"/>
            <wp:effectExtent l="0" t="0" r="3810" b="508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39340" cy="17665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49B63A04" w:rsidRPr="49B63A04">
        <w:rPr>
          <w:sz w:val="24"/>
          <w:szCs w:val="24"/>
        </w:rPr>
        <w:t xml:space="preserve"> </w:t>
      </w:r>
    </w:p>
    <w:p w14:paraId="66122DFF" w14:textId="1851B769" w:rsidR="364FFD86" w:rsidRDefault="49B63A04" w:rsidP="364FFD86">
      <w:pPr>
        <w:rPr>
          <w:sz w:val="24"/>
          <w:szCs w:val="24"/>
        </w:rPr>
      </w:pPr>
      <w:r w:rsidRPr="49B63A04">
        <w:rPr>
          <w:sz w:val="24"/>
          <w:szCs w:val="24"/>
        </w:rPr>
        <w:t xml:space="preserve">Within the hillside between Blaenavon and Abergavenny, Big Pit is located. The Pit was the last working deep coal mine to be fully functioning, it was originally an iron mine but was instead later used to extract coal. The shaft within Big Pit was the largest in Wales, measuring 18ft by 13ft. Substances extracted </w:t>
      </w:r>
      <w:r w:rsidRPr="49B63A04">
        <w:rPr>
          <w:sz w:val="24"/>
          <w:szCs w:val="24"/>
        </w:rPr>
        <w:lastRenderedPageBreak/>
        <w:t>from the Big Pit were mainly house coal, steam coal, ironstone and fireclay and were imported worldwide as far as south America. At the Pits peak, it was sourcing and shipping approximately 250,000 tonnes of coal annually and was the first Pit in Wales to install electricity. In 1908, a recorded 1122 men, women and children were employed by the pit. It was not a safe place for adults let alone children to be working, children as young as five would spend 16 hours down the pit for 6 days a week, it is rumoured between the modern minors and tour guides at the pit today that the children of the mines assumed ‘Sunday’ was called just that because it was the only day of the week they were able to see the sun</w:t>
      </w:r>
      <w:r w:rsidR="002F54C0">
        <w:rPr>
          <w:sz w:val="24"/>
          <w:szCs w:val="24"/>
        </w:rPr>
        <w:t xml:space="preserve"> </w:t>
      </w:r>
      <w:r w:rsidR="002F54C0">
        <w:rPr>
          <w:noProof/>
          <w:sz w:val="24"/>
          <w:szCs w:val="24"/>
        </w:rPr>
        <w:drawing>
          <wp:anchor distT="0" distB="0" distL="114300" distR="114300" simplePos="0" relativeHeight="251658243" behindDoc="0" locked="0" layoutInCell="1" allowOverlap="1" wp14:anchorId="583FE172" wp14:editId="6057CDD6">
            <wp:simplePos x="0" y="0"/>
            <wp:positionH relativeFrom="column">
              <wp:posOffset>-551180</wp:posOffset>
            </wp:positionH>
            <wp:positionV relativeFrom="paragraph">
              <wp:posOffset>1560195</wp:posOffset>
            </wp:positionV>
            <wp:extent cx="4389120" cy="3291840"/>
            <wp:effectExtent l="0" t="3810" r="7620" b="7620"/>
            <wp:wrapSquare wrapText="bothSides"/>
            <wp:docPr id="12" name="Picture 12" descr="Children of the m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200211_125944.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4389120" cy="3291840"/>
                    </a:xfrm>
                    <a:prstGeom prst="rect">
                      <a:avLst/>
                    </a:prstGeom>
                  </pic:spPr>
                </pic:pic>
              </a:graphicData>
            </a:graphic>
          </wp:anchor>
        </w:drawing>
      </w:r>
      <w:r w:rsidRPr="49B63A04">
        <w:rPr>
          <w:sz w:val="24"/>
          <w:szCs w:val="24"/>
        </w:rPr>
        <w:t xml:space="preserve">. The children would sit in darkness with ropes tied around their waists, they would listen out for the sounds of approaching drams and as soon as they heard one they would pull open extremely large doors and were responsible for ensuring the doors were shut tight after allowing a dram to pass; if the doors were not shut this increased the risk of gas, meaning an increased risk of explosion. If an explosion occurred in the mines, according to the Big Pit tour guide, all men would have no choice but to venture back into the pit to ensure no one was trapped; with them they would take a canary. The canaries played an important </w:t>
      </w:r>
      <w:r w:rsidR="006A6B69">
        <w:rPr>
          <w:noProof/>
          <w:sz w:val="24"/>
          <w:szCs w:val="24"/>
        </w:rPr>
        <w:drawing>
          <wp:anchor distT="0" distB="0" distL="114300" distR="114300" simplePos="0" relativeHeight="251658245" behindDoc="0" locked="0" layoutInCell="1" allowOverlap="1" wp14:anchorId="13D4311C" wp14:editId="5578593C">
            <wp:simplePos x="0" y="0"/>
            <wp:positionH relativeFrom="column">
              <wp:posOffset>1104265</wp:posOffset>
            </wp:positionH>
            <wp:positionV relativeFrom="paragraph">
              <wp:posOffset>5852160</wp:posOffset>
            </wp:positionV>
            <wp:extent cx="1645920" cy="1188085"/>
            <wp:effectExtent l="317" t="0" r="0" b="0"/>
            <wp:wrapSquare wrapText="bothSides"/>
            <wp:docPr id="21" name="Picture 21" descr="A picture contain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0200211_133907.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1645920" cy="1188085"/>
                    </a:xfrm>
                    <a:prstGeom prst="rect">
                      <a:avLst/>
                    </a:prstGeom>
                  </pic:spPr>
                </pic:pic>
              </a:graphicData>
            </a:graphic>
            <wp14:sizeRelH relativeFrom="margin">
              <wp14:pctWidth>0</wp14:pctWidth>
            </wp14:sizeRelH>
          </wp:anchor>
        </w:drawing>
      </w:r>
      <w:r w:rsidRPr="49B63A04">
        <w:rPr>
          <w:sz w:val="24"/>
          <w:szCs w:val="24"/>
        </w:rPr>
        <w:t xml:space="preserve">role in ensuring the safety of the surviving miners after an explosion, the miner who held the canary cage would keep a close eye on the bird , if the bird started acting out of sorts </w:t>
      </w:r>
      <w:r w:rsidR="00EE7237">
        <w:rPr>
          <w:noProof/>
          <w:sz w:val="24"/>
          <w:szCs w:val="24"/>
        </w:rPr>
        <w:drawing>
          <wp:anchor distT="0" distB="0" distL="114300" distR="114300" simplePos="0" relativeHeight="251658244" behindDoc="0" locked="0" layoutInCell="1" allowOverlap="1" wp14:anchorId="10734DEA" wp14:editId="2C2ADAE9">
            <wp:simplePos x="0" y="0"/>
            <wp:positionH relativeFrom="margin">
              <wp:align>left</wp:align>
            </wp:positionH>
            <wp:positionV relativeFrom="paragraph">
              <wp:posOffset>5824855</wp:posOffset>
            </wp:positionV>
            <wp:extent cx="1614170" cy="1210310"/>
            <wp:effectExtent l="0" t="7620" r="0" b="0"/>
            <wp:wrapSquare wrapText="bothSides"/>
            <wp:docPr id="15" name="Picture 15" descr="A bird in a c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200211_125455.jpg"/>
                    <pic:cNvPicPr/>
                  </pic:nvPicPr>
                  <pic:blipFill>
                    <a:blip r:embed="rId12" cstate="print">
                      <a:extLst>
                        <a:ext uri="{28A0092B-C50C-407E-A947-70E740481C1C}">
                          <a14:useLocalDpi xmlns:a14="http://schemas.microsoft.com/office/drawing/2010/main" val="0"/>
                        </a:ext>
                      </a:extLst>
                    </a:blip>
                    <a:stretch>
                      <a:fillRect/>
                    </a:stretch>
                  </pic:blipFill>
                  <pic:spPr>
                    <a:xfrm rot="5400000" flipV="1">
                      <a:off x="0" y="0"/>
                      <a:ext cx="1614170" cy="1210310"/>
                    </a:xfrm>
                    <a:prstGeom prst="rect">
                      <a:avLst/>
                    </a:prstGeom>
                  </pic:spPr>
                </pic:pic>
              </a:graphicData>
            </a:graphic>
          </wp:anchor>
        </w:drawing>
      </w:r>
      <w:r w:rsidRPr="49B63A04">
        <w:rPr>
          <w:sz w:val="24"/>
          <w:szCs w:val="24"/>
        </w:rPr>
        <w:t>then the miners would know there was gas in the air as the canary birds lungs are small and would be affected quickly. If the bird died it meant the men only had minutes to get themselves out of the pit before they also became affected by the gas. Employee numbers rose to 1399 by 1923, then decreased to 494 by 1970, when the pit closed in 1980 there were still 250 employees. The closing of the pit was a result of a decreases in demand for coal as industries emerged abroad (Museum/Wales, 2020).</w:t>
      </w:r>
    </w:p>
    <w:p w14:paraId="09A0BD16" w14:textId="041E9EF5" w:rsidR="364FFD86" w:rsidRDefault="49B63A04" w:rsidP="364FFD86">
      <w:pPr>
        <w:rPr>
          <w:sz w:val="24"/>
          <w:szCs w:val="24"/>
        </w:rPr>
      </w:pPr>
      <w:r w:rsidRPr="49B63A04">
        <w:rPr>
          <w:sz w:val="24"/>
          <w:szCs w:val="24"/>
        </w:rPr>
        <w:t xml:space="preserve">   The Industrial revolution is assumed to have started in 1780. With the growth of steam power and iron production, people found energy resources such as coal, gas and oil, </w:t>
      </w:r>
      <w:r w:rsidRPr="49B63A04">
        <w:rPr>
          <w:sz w:val="24"/>
          <w:szCs w:val="24"/>
        </w:rPr>
        <w:lastRenderedPageBreak/>
        <w:t xml:space="preserve">meaning they were able to use machines for agricultural use, increase textile production and to aid road works. Transportation also became simpler with the use of steam because of Thomas Newcomen and James watts’ experiments, resulting in locomotion and canals </w:t>
      </w:r>
      <w:r w:rsidR="00B77382">
        <w:rPr>
          <w:noProof/>
          <w:sz w:val="24"/>
          <w:szCs w:val="24"/>
        </w:rPr>
        <w:drawing>
          <wp:anchor distT="0" distB="0" distL="114300" distR="114300" simplePos="0" relativeHeight="251658246" behindDoc="0" locked="0" layoutInCell="1" allowOverlap="1" wp14:anchorId="36433EFD" wp14:editId="3AA33D3D">
            <wp:simplePos x="0" y="0"/>
            <wp:positionH relativeFrom="column">
              <wp:posOffset>0</wp:posOffset>
            </wp:positionH>
            <wp:positionV relativeFrom="paragraph">
              <wp:posOffset>198120</wp:posOffset>
            </wp:positionV>
            <wp:extent cx="2026920" cy="1520190"/>
            <wp:effectExtent l="0" t="0" r="0" b="3810"/>
            <wp:wrapSquare wrapText="bothSides"/>
            <wp:docPr id="25" name="Picture 25" descr="Locomotion at the Big P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20200211_110618.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26920" cy="1520190"/>
                    </a:xfrm>
                    <a:prstGeom prst="rect">
                      <a:avLst/>
                    </a:prstGeom>
                  </pic:spPr>
                </pic:pic>
              </a:graphicData>
            </a:graphic>
          </wp:anchor>
        </w:drawing>
      </w:r>
      <w:r w:rsidR="00B77382" w:rsidRPr="49B63A04">
        <w:rPr>
          <w:sz w:val="24"/>
          <w:szCs w:val="24"/>
        </w:rPr>
        <w:t xml:space="preserve"> </w:t>
      </w:r>
      <w:r w:rsidRPr="49B63A04">
        <w:rPr>
          <w:sz w:val="24"/>
          <w:szCs w:val="24"/>
        </w:rPr>
        <w:t>(</w:t>
      </w:r>
      <w:proofErr w:type="spellStart"/>
      <w:r w:rsidRPr="49B63A04">
        <w:rPr>
          <w:sz w:val="24"/>
          <w:szCs w:val="24"/>
        </w:rPr>
        <w:t>KhanAcademy</w:t>
      </w:r>
      <w:proofErr w:type="spellEnd"/>
      <w:r w:rsidRPr="49B63A04">
        <w:rPr>
          <w:sz w:val="24"/>
          <w:szCs w:val="24"/>
        </w:rPr>
        <w:t>, 2020).</w:t>
      </w:r>
    </w:p>
    <w:p w14:paraId="3651636D" w14:textId="2CDEA7AA" w:rsidR="364FFD86" w:rsidRDefault="49B63A04" w:rsidP="364FFD86">
      <w:pPr>
        <w:rPr>
          <w:sz w:val="24"/>
          <w:szCs w:val="24"/>
        </w:rPr>
      </w:pPr>
      <w:r w:rsidRPr="49B63A04">
        <w:rPr>
          <w:sz w:val="24"/>
          <w:szCs w:val="24"/>
        </w:rPr>
        <w:t xml:space="preserve">   Coal begins life as a fallen tree from the carboniferous period, approximately 280/345 million years ago, if the tree was submerged in water it meant there was no oxygen or bacteria available to decay the tree, this would then turn the rotting plant into peat. When heat and pressure was applied to the rotting trees, this turned it into ignitable rocks. There are three main ranks of coal all based on percentage of carbon, oxygen and hydrogen present. The lowest ranking coal is called lignite, it has the lowest heat value and its general use is to generate electricity, synthetic resources and fertilizer products. The middle rank of coal is known as bituminous; its main use is to contribute towards the production of iron and steel because of its high heating value and high sulphur content. Anthracite coal is the highest in the ranks, it has the highest heating value and is mainly used to heat homes because of its low soot production while heated and the fact it burns longer than the lower ranks of coal, it is high in carbon and has an almost metallic finish (</w:t>
      </w:r>
      <w:proofErr w:type="spellStart"/>
      <w:r w:rsidRPr="49B63A04">
        <w:rPr>
          <w:sz w:val="24"/>
          <w:szCs w:val="24"/>
        </w:rPr>
        <w:t>CoalEducation</w:t>
      </w:r>
      <w:proofErr w:type="spellEnd"/>
      <w:r w:rsidRPr="49B63A04">
        <w:rPr>
          <w:sz w:val="24"/>
          <w:szCs w:val="24"/>
        </w:rPr>
        <w:t>, 2020).</w:t>
      </w:r>
      <w:r w:rsidR="00515A1C">
        <w:rPr>
          <w:noProof/>
          <w:sz w:val="24"/>
          <w:szCs w:val="24"/>
        </w:rPr>
        <w:drawing>
          <wp:anchor distT="0" distB="0" distL="114300" distR="114300" simplePos="0" relativeHeight="251658247" behindDoc="0" locked="0" layoutInCell="1" allowOverlap="1" wp14:anchorId="74D2FA2C" wp14:editId="3EB5C1BC">
            <wp:simplePos x="0" y="0"/>
            <wp:positionH relativeFrom="column">
              <wp:posOffset>-399415</wp:posOffset>
            </wp:positionH>
            <wp:positionV relativeFrom="paragraph">
              <wp:posOffset>3410585</wp:posOffset>
            </wp:positionV>
            <wp:extent cx="3215005" cy="2411095"/>
            <wp:effectExtent l="1905" t="0" r="6350" b="6350"/>
            <wp:wrapSquare wrapText="bothSides"/>
            <wp:docPr id="28" name="Picture 28" descr="Examples of coal types at the Big Pit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20200211_135436.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215005" cy="2411095"/>
                    </a:xfrm>
                    <a:prstGeom prst="rect">
                      <a:avLst/>
                    </a:prstGeom>
                  </pic:spPr>
                </pic:pic>
              </a:graphicData>
            </a:graphic>
          </wp:anchor>
        </w:drawing>
      </w:r>
    </w:p>
    <w:p w14:paraId="0CC33532" w14:textId="5DD623E2" w:rsidR="364FFD86" w:rsidRDefault="364FFD86" w:rsidP="364FFD86">
      <w:pPr>
        <w:rPr>
          <w:sz w:val="32"/>
          <w:szCs w:val="32"/>
        </w:rPr>
      </w:pPr>
      <w:r w:rsidRPr="364FFD86">
        <w:rPr>
          <w:sz w:val="24"/>
          <w:szCs w:val="24"/>
        </w:rPr>
        <w:t xml:space="preserve">   In summary to this report, it is evident that the industrial revolution played a big role in the promotion of Blaenavon and vice versa. Without the quality of the carboniferous trees in and around the south Wales valleys, it would be interesting to discover the difference in the progression of the industrial revolution we know today. It can certainly be said that those who sacrificed life itself to provide wales with the opportunity of being central to the industrial revolution, are those who make the families of the welsh valleys proud for generations. </w:t>
      </w:r>
      <w:r w:rsidRPr="364FFD86">
        <w:rPr>
          <w:sz w:val="32"/>
          <w:szCs w:val="32"/>
        </w:rPr>
        <w:t xml:space="preserve"> </w:t>
      </w:r>
    </w:p>
    <w:p w14:paraId="7B2B8617" w14:textId="64755CD5" w:rsidR="002B02BE" w:rsidRDefault="002B02BE" w:rsidP="364FFD86">
      <w:pPr>
        <w:rPr>
          <w:sz w:val="32"/>
          <w:szCs w:val="32"/>
        </w:rPr>
      </w:pPr>
    </w:p>
    <w:p w14:paraId="0577375E" w14:textId="4993B869" w:rsidR="002B02BE" w:rsidRDefault="002B02BE" w:rsidP="364FFD86">
      <w:pPr>
        <w:rPr>
          <w:sz w:val="32"/>
          <w:szCs w:val="32"/>
        </w:rPr>
      </w:pPr>
    </w:p>
    <w:p w14:paraId="431674E1" w14:textId="4F8EA252" w:rsidR="002B02BE" w:rsidRDefault="002B02BE" w:rsidP="364FFD86">
      <w:pPr>
        <w:rPr>
          <w:sz w:val="32"/>
          <w:szCs w:val="32"/>
        </w:rPr>
      </w:pPr>
    </w:p>
    <w:p w14:paraId="2DF601AD" w14:textId="51AB142D" w:rsidR="002B02BE" w:rsidRDefault="002B02BE" w:rsidP="364FFD86">
      <w:pPr>
        <w:rPr>
          <w:sz w:val="32"/>
          <w:szCs w:val="32"/>
        </w:rPr>
      </w:pPr>
    </w:p>
    <w:p w14:paraId="2B31E362" w14:textId="33ECE2B2" w:rsidR="002B02BE" w:rsidRDefault="002B02BE" w:rsidP="364FFD86">
      <w:pPr>
        <w:rPr>
          <w:sz w:val="32"/>
          <w:szCs w:val="32"/>
        </w:rPr>
      </w:pPr>
    </w:p>
    <w:p w14:paraId="21C19411" w14:textId="1A5A1C01" w:rsidR="002B02BE" w:rsidRDefault="002B02BE" w:rsidP="364FFD86">
      <w:pPr>
        <w:rPr>
          <w:sz w:val="32"/>
          <w:szCs w:val="32"/>
        </w:rPr>
      </w:pPr>
    </w:p>
    <w:p w14:paraId="0DF12550" w14:textId="77312475" w:rsidR="002B02BE" w:rsidRDefault="002B02BE" w:rsidP="364FFD86">
      <w:pPr>
        <w:rPr>
          <w:sz w:val="32"/>
          <w:szCs w:val="32"/>
        </w:rPr>
      </w:pPr>
    </w:p>
    <w:p w14:paraId="335097C3" w14:textId="71A2D9B9" w:rsidR="002B02BE" w:rsidRDefault="002B02BE" w:rsidP="002B02BE">
      <w:pPr>
        <w:jc w:val="center"/>
        <w:rPr>
          <w:sz w:val="28"/>
          <w:szCs w:val="28"/>
          <w:u w:val="single"/>
        </w:rPr>
      </w:pPr>
      <w:r>
        <w:rPr>
          <w:sz w:val="28"/>
          <w:szCs w:val="28"/>
          <w:u w:val="single"/>
        </w:rPr>
        <w:t>Reference list:</w:t>
      </w:r>
    </w:p>
    <w:p w14:paraId="0F877802" w14:textId="5B13AA7C" w:rsidR="002B02BE" w:rsidRDefault="002B02BE" w:rsidP="002B02BE">
      <w:pPr>
        <w:jc w:val="center"/>
        <w:rPr>
          <w:sz w:val="28"/>
          <w:szCs w:val="28"/>
          <w:u w:val="single"/>
        </w:rPr>
      </w:pPr>
    </w:p>
    <w:p w14:paraId="1C803502" w14:textId="1700EE58" w:rsidR="002B02BE" w:rsidRPr="00A75567" w:rsidRDefault="00B0004F" w:rsidP="002B02BE">
      <w:pPr>
        <w:rPr>
          <w:sz w:val="24"/>
          <w:szCs w:val="24"/>
        </w:rPr>
      </w:pPr>
      <w:r>
        <w:rPr>
          <w:sz w:val="24"/>
          <w:szCs w:val="24"/>
        </w:rPr>
        <w:t>CADW</w:t>
      </w:r>
      <w:r w:rsidR="00131659">
        <w:rPr>
          <w:sz w:val="24"/>
          <w:szCs w:val="24"/>
        </w:rPr>
        <w:t xml:space="preserve"> (2020) </w:t>
      </w:r>
      <w:r w:rsidR="00E92536">
        <w:rPr>
          <w:i/>
          <w:iCs/>
          <w:sz w:val="24"/>
          <w:szCs w:val="24"/>
        </w:rPr>
        <w:t>Blaenavon ironworks,</w:t>
      </w:r>
      <w:r w:rsidR="00D35662">
        <w:rPr>
          <w:i/>
          <w:iCs/>
          <w:sz w:val="24"/>
          <w:szCs w:val="24"/>
        </w:rPr>
        <w:t xml:space="preserve"> </w:t>
      </w:r>
      <w:r w:rsidR="00D35662">
        <w:rPr>
          <w:sz w:val="24"/>
          <w:szCs w:val="24"/>
        </w:rPr>
        <w:t>retrieved from:</w:t>
      </w:r>
      <w:r w:rsidR="00865F0C" w:rsidRPr="00865F0C">
        <w:t xml:space="preserve"> </w:t>
      </w:r>
      <w:hyperlink r:id="rId15" w:history="1">
        <w:r w:rsidR="00865F0C" w:rsidRPr="00865F0C">
          <w:rPr>
            <w:color w:val="0000FF"/>
            <w:u w:val="single"/>
          </w:rPr>
          <w:t>https://cadw.gov.wales/visit/places-to-visit/blaenavon-ironworks</w:t>
        </w:r>
      </w:hyperlink>
      <w:r w:rsidR="007A7CB8">
        <w:rPr>
          <w:sz w:val="24"/>
          <w:szCs w:val="24"/>
        </w:rPr>
        <w:t xml:space="preserve"> </w:t>
      </w:r>
      <w:r w:rsidR="005B6A58">
        <w:rPr>
          <w:sz w:val="24"/>
          <w:szCs w:val="24"/>
        </w:rPr>
        <w:t xml:space="preserve">, </w:t>
      </w:r>
      <w:r w:rsidR="00220227">
        <w:rPr>
          <w:sz w:val="24"/>
          <w:szCs w:val="24"/>
        </w:rPr>
        <w:t>[</w:t>
      </w:r>
      <w:r w:rsidR="005B6A58">
        <w:rPr>
          <w:sz w:val="24"/>
          <w:szCs w:val="24"/>
        </w:rPr>
        <w:t xml:space="preserve">sourced on </w:t>
      </w:r>
      <w:r w:rsidR="0083378E">
        <w:rPr>
          <w:sz w:val="24"/>
          <w:szCs w:val="24"/>
        </w:rPr>
        <w:t>01/03/20</w:t>
      </w:r>
      <w:r w:rsidR="00220227">
        <w:rPr>
          <w:sz w:val="24"/>
          <w:szCs w:val="24"/>
        </w:rPr>
        <w:t>]</w:t>
      </w:r>
    </w:p>
    <w:p w14:paraId="7EA957C3" w14:textId="771BEB21" w:rsidR="00AA567D" w:rsidRDefault="00AA567D" w:rsidP="002B02BE">
      <w:pPr>
        <w:rPr>
          <w:sz w:val="24"/>
          <w:szCs w:val="24"/>
        </w:rPr>
      </w:pPr>
      <w:r>
        <w:rPr>
          <w:sz w:val="24"/>
          <w:szCs w:val="24"/>
        </w:rPr>
        <w:t>Coal education</w:t>
      </w:r>
      <w:r w:rsidR="00131659">
        <w:rPr>
          <w:sz w:val="24"/>
          <w:szCs w:val="24"/>
        </w:rPr>
        <w:t xml:space="preserve"> (</w:t>
      </w:r>
      <w:r w:rsidR="00574AA4">
        <w:rPr>
          <w:sz w:val="24"/>
          <w:szCs w:val="24"/>
        </w:rPr>
        <w:t>1996</w:t>
      </w:r>
      <w:r w:rsidR="00131659">
        <w:rPr>
          <w:sz w:val="24"/>
          <w:szCs w:val="24"/>
        </w:rPr>
        <w:t>)</w:t>
      </w:r>
      <w:r w:rsidR="003C0630">
        <w:rPr>
          <w:sz w:val="24"/>
          <w:szCs w:val="24"/>
        </w:rPr>
        <w:t xml:space="preserve"> </w:t>
      </w:r>
      <w:r w:rsidR="003C0630">
        <w:rPr>
          <w:i/>
          <w:iCs/>
          <w:sz w:val="24"/>
          <w:szCs w:val="24"/>
        </w:rPr>
        <w:t xml:space="preserve">Kentucky coal education, </w:t>
      </w:r>
      <w:r w:rsidR="00220227">
        <w:rPr>
          <w:sz w:val="24"/>
          <w:szCs w:val="24"/>
        </w:rPr>
        <w:t>retrieved from:</w:t>
      </w:r>
      <w:r w:rsidR="007A7CB8">
        <w:rPr>
          <w:sz w:val="24"/>
          <w:szCs w:val="24"/>
        </w:rPr>
        <w:t xml:space="preserve"> </w:t>
      </w:r>
      <w:hyperlink r:id="rId16" w:history="1">
        <w:r w:rsidR="007A7CB8" w:rsidRPr="007A7CB8">
          <w:rPr>
            <w:color w:val="0000FF"/>
            <w:u w:val="single"/>
          </w:rPr>
          <w:t>http://www.coaleducation.org/</w:t>
        </w:r>
      </w:hyperlink>
      <w:r w:rsidR="003C0630">
        <w:rPr>
          <w:sz w:val="24"/>
          <w:szCs w:val="24"/>
        </w:rPr>
        <w:t xml:space="preserve">, </w:t>
      </w:r>
      <w:r w:rsidR="00220227">
        <w:rPr>
          <w:sz w:val="24"/>
          <w:szCs w:val="24"/>
        </w:rPr>
        <w:t>[</w:t>
      </w:r>
      <w:r w:rsidR="003C0630">
        <w:rPr>
          <w:sz w:val="24"/>
          <w:szCs w:val="24"/>
        </w:rPr>
        <w:t xml:space="preserve">sourced on </w:t>
      </w:r>
      <w:r w:rsidR="00E840C3">
        <w:rPr>
          <w:sz w:val="24"/>
          <w:szCs w:val="24"/>
        </w:rPr>
        <w:t>01/03/20</w:t>
      </w:r>
      <w:r w:rsidR="00220227">
        <w:rPr>
          <w:sz w:val="24"/>
          <w:szCs w:val="24"/>
        </w:rPr>
        <w:t>]</w:t>
      </w:r>
      <w:r w:rsidR="0083378E">
        <w:rPr>
          <w:sz w:val="24"/>
          <w:szCs w:val="24"/>
        </w:rPr>
        <w:t xml:space="preserve"> </w:t>
      </w:r>
    </w:p>
    <w:p w14:paraId="30DDC615" w14:textId="1AE4A0CE" w:rsidR="00B0004F" w:rsidRPr="005E493D" w:rsidRDefault="00B0004F" w:rsidP="002B02BE">
      <w:pPr>
        <w:rPr>
          <w:sz w:val="24"/>
          <w:szCs w:val="24"/>
        </w:rPr>
      </w:pPr>
      <w:r>
        <w:rPr>
          <w:sz w:val="24"/>
          <w:szCs w:val="24"/>
        </w:rPr>
        <w:t>Engineering timeline</w:t>
      </w:r>
      <w:r w:rsidR="00131659">
        <w:rPr>
          <w:sz w:val="24"/>
          <w:szCs w:val="24"/>
        </w:rPr>
        <w:t xml:space="preserve"> (</w:t>
      </w:r>
      <w:r w:rsidR="00EE7197">
        <w:rPr>
          <w:sz w:val="24"/>
          <w:szCs w:val="24"/>
        </w:rPr>
        <w:t xml:space="preserve">2018) </w:t>
      </w:r>
      <w:r w:rsidR="005E493D">
        <w:rPr>
          <w:i/>
          <w:iCs/>
          <w:sz w:val="24"/>
          <w:szCs w:val="24"/>
        </w:rPr>
        <w:t xml:space="preserve">Blaenavon Ironworks, </w:t>
      </w:r>
      <w:r w:rsidR="005E493D">
        <w:rPr>
          <w:sz w:val="24"/>
          <w:szCs w:val="24"/>
        </w:rPr>
        <w:t xml:space="preserve">retrieved from: </w:t>
      </w:r>
      <w:hyperlink r:id="rId17" w:history="1">
        <w:r w:rsidR="00610FA9" w:rsidRPr="00610FA9">
          <w:rPr>
            <w:color w:val="0000FF"/>
            <w:u w:val="single"/>
          </w:rPr>
          <w:t>http://www.engineering-timelines.com/scripts/engineeringItem.asp?id=1395</w:t>
        </w:r>
      </w:hyperlink>
      <w:r w:rsidR="00610FA9">
        <w:t xml:space="preserve"> , [sourced on 01/03/20]</w:t>
      </w:r>
    </w:p>
    <w:p w14:paraId="5C12A9F4" w14:textId="248039AC" w:rsidR="00DC7431" w:rsidRPr="00957522" w:rsidRDefault="00DC7431" w:rsidP="002B02BE">
      <w:pPr>
        <w:rPr>
          <w:sz w:val="24"/>
          <w:szCs w:val="24"/>
        </w:rPr>
      </w:pPr>
      <w:r>
        <w:rPr>
          <w:sz w:val="24"/>
          <w:szCs w:val="24"/>
        </w:rPr>
        <w:t>Khan academy</w:t>
      </w:r>
      <w:r w:rsidR="00610FA9">
        <w:rPr>
          <w:sz w:val="24"/>
          <w:szCs w:val="24"/>
        </w:rPr>
        <w:t xml:space="preserve"> </w:t>
      </w:r>
      <w:r w:rsidR="00DD7C18">
        <w:rPr>
          <w:sz w:val="24"/>
          <w:szCs w:val="24"/>
        </w:rPr>
        <w:t>(2010)</w:t>
      </w:r>
      <w:r w:rsidR="00612165">
        <w:rPr>
          <w:sz w:val="24"/>
          <w:szCs w:val="24"/>
        </w:rPr>
        <w:t xml:space="preserve"> </w:t>
      </w:r>
      <w:r w:rsidR="00612165">
        <w:rPr>
          <w:i/>
          <w:iCs/>
          <w:sz w:val="24"/>
          <w:szCs w:val="24"/>
        </w:rPr>
        <w:t>Fossil fuels, steam power and the rise of manufacturing: the industrial revolution</w:t>
      </w:r>
      <w:r w:rsidR="00957522">
        <w:rPr>
          <w:i/>
          <w:iCs/>
          <w:sz w:val="24"/>
          <w:szCs w:val="24"/>
        </w:rPr>
        <w:t xml:space="preserve">, </w:t>
      </w:r>
      <w:r w:rsidR="00957522">
        <w:rPr>
          <w:sz w:val="24"/>
          <w:szCs w:val="24"/>
        </w:rPr>
        <w:t>retrieved from</w:t>
      </w:r>
      <w:r w:rsidR="00462BA6">
        <w:rPr>
          <w:sz w:val="24"/>
          <w:szCs w:val="24"/>
        </w:rPr>
        <w:t xml:space="preserve">: </w:t>
      </w:r>
      <w:hyperlink r:id="rId18" w:history="1">
        <w:r w:rsidR="00462BA6" w:rsidRPr="00462BA6">
          <w:rPr>
            <w:color w:val="0000FF"/>
            <w:u w:val="single"/>
          </w:rPr>
          <w:t>https://www.khanacademy.org/partner-content/big-history-project/acceleration/bhp-acceleration/a/the-industrial-revolution</w:t>
        </w:r>
      </w:hyperlink>
      <w:r w:rsidR="00462BA6">
        <w:t xml:space="preserve"> , [sourced on 01/03/20]</w:t>
      </w:r>
    </w:p>
    <w:p w14:paraId="1A907D27" w14:textId="04B7A738" w:rsidR="00722AD3" w:rsidRPr="00EC6F01" w:rsidRDefault="00722AD3" w:rsidP="002B02BE">
      <w:pPr>
        <w:rPr>
          <w:sz w:val="24"/>
          <w:szCs w:val="24"/>
        </w:rPr>
      </w:pPr>
      <w:r>
        <w:rPr>
          <w:sz w:val="24"/>
          <w:szCs w:val="24"/>
        </w:rPr>
        <w:t>Museum wales</w:t>
      </w:r>
      <w:r w:rsidR="00EC6F01">
        <w:rPr>
          <w:sz w:val="24"/>
          <w:szCs w:val="24"/>
        </w:rPr>
        <w:t xml:space="preserve"> (2020) </w:t>
      </w:r>
      <w:r w:rsidR="00EC6F01">
        <w:rPr>
          <w:i/>
          <w:iCs/>
          <w:sz w:val="24"/>
          <w:szCs w:val="24"/>
        </w:rPr>
        <w:t xml:space="preserve">Big Pit national coal museum, </w:t>
      </w:r>
      <w:r w:rsidR="00EC6F01">
        <w:rPr>
          <w:sz w:val="24"/>
          <w:szCs w:val="24"/>
        </w:rPr>
        <w:t xml:space="preserve">Retrieved from: </w:t>
      </w:r>
      <w:hyperlink r:id="rId19" w:history="1">
        <w:r w:rsidR="005B67A9" w:rsidRPr="005B67A9">
          <w:rPr>
            <w:color w:val="0000FF"/>
            <w:u w:val="single"/>
          </w:rPr>
          <w:t>https://museum.wales/bigpit/</w:t>
        </w:r>
      </w:hyperlink>
      <w:r w:rsidR="005B67A9">
        <w:t xml:space="preserve"> , [sourced on 01/03/20]</w:t>
      </w:r>
    </w:p>
    <w:p w14:paraId="5F59EA5A" w14:textId="61E278F1" w:rsidR="00B0004F" w:rsidRDefault="00B0004F" w:rsidP="002B02BE">
      <w:r>
        <w:rPr>
          <w:sz w:val="24"/>
          <w:szCs w:val="24"/>
        </w:rPr>
        <w:t xml:space="preserve">Visit </w:t>
      </w:r>
      <w:r w:rsidR="005B67A9">
        <w:rPr>
          <w:sz w:val="24"/>
          <w:szCs w:val="24"/>
        </w:rPr>
        <w:t>Blaenavon (2020)</w:t>
      </w:r>
      <w:r w:rsidR="008D1B70">
        <w:rPr>
          <w:sz w:val="24"/>
          <w:szCs w:val="24"/>
        </w:rPr>
        <w:t xml:space="preserve"> </w:t>
      </w:r>
      <w:r w:rsidR="00534CAE">
        <w:rPr>
          <w:i/>
          <w:iCs/>
          <w:sz w:val="24"/>
          <w:szCs w:val="24"/>
        </w:rPr>
        <w:t xml:space="preserve">Blaenavon world heritage site, </w:t>
      </w:r>
      <w:r w:rsidR="00534CAE">
        <w:rPr>
          <w:sz w:val="24"/>
          <w:szCs w:val="24"/>
        </w:rPr>
        <w:t xml:space="preserve">retrieved from: </w:t>
      </w:r>
      <w:hyperlink r:id="rId20" w:history="1">
        <w:r w:rsidR="008E77DC" w:rsidRPr="008E77DC">
          <w:rPr>
            <w:color w:val="0000FF"/>
            <w:u w:val="single"/>
          </w:rPr>
          <w:t>https://www.visitblaenavon.co.uk/en/Homepage.aspx</w:t>
        </w:r>
      </w:hyperlink>
      <w:r w:rsidR="008E77DC">
        <w:t xml:space="preserve"> , [sourced on 01/03/20]</w:t>
      </w:r>
    </w:p>
    <w:p w14:paraId="48468DD1" w14:textId="55BB63B7" w:rsidR="00090F0F" w:rsidRDefault="00090F0F" w:rsidP="002B02BE"/>
    <w:p w14:paraId="10ED46B0" w14:textId="0A08D317" w:rsidR="00090F0F" w:rsidRDefault="00090F0F" w:rsidP="002B02BE">
      <w:r>
        <w:t xml:space="preserve">All pictures sourced from the fieldtrip to Blaenavon on: </w:t>
      </w:r>
      <w:r w:rsidR="0041130A">
        <w:t>11/02/20</w:t>
      </w:r>
    </w:p>
    <w:p w14:paraId="0F96D8E6" w14:textId="53F5E419" w:rsidR="00340BBB" w:rsidRDefault="00340BBB" w:rsidP="002B02BE">
      <w:r>
        <w:t xml:space="preserve">Map of Blaenavon ironworks sourced </w:t>
      </w:r>
      <w:r w:rsidR="001F63D1">
        <w:t xml:space="preserve">from: </w:t>
      </w:r>
      <w:hyperlink r:id="rId21" w:anchor="imgrc=9MFepf7gxxOSlM:" w:history="1">
        <w:r w:rsidR="00FE5130" w:rsidRPr="00FE5130">
          <w:rPr>
            <w:color w:val="0000FF"/>
            <w:u w:val="single"/>
          </w:rPr>
          <w:t>https://www.google.com/search?q=map+of+blaenavon+and+the+ironworks&amp;sxsrf=ALeKk01iN5yb_Obx0SGCyczYIi6_PZuqFA:1583080718907&amp;tbm=isch&amp;source=iu&amp;ictx=1&amp;fir=9MFepf7gxxOSlM%253A%252C1qYglKw_ZBs_FM%252C_&amp;vet=1&amp;usg=AI4_-kQJ6VYpZLfzWsM0ZwAuk8wSm6wx8A&amp;sa=X&amp;ved=2ahUKEwjtwZqf2_nnAhUUTsAKHcF1BQ8Q9QEwAHoECAkQEQ#imgrc=9MFepf7gxxOSlM:</w:t>
        </w:r>
      </w:hyperlink>
      <w:r w:rsidR="00FE5130">
        <w:t xml:space="preserve"> [sourced on </w:t>
      </w:r>
      <w:r w:rsidR="008D6124">
        <w:t>01/03/20]</w:t>
      </w:r>
    </w:p>
    <w:p w14:paraId="1B3C7311" w14:textId="42F74FB6" w:rsidR="001E4B2D" w:rsidRPr="00534CAE" w:rsidRDefault="001E4B2D" w:rsidP="002B02BE">
      <w:pPr>
        <w:rPr>
          <w:sz w:val="24"/>
          <w:szCs w:val="24"/>
        </w:rPr>
      </w:pPr>
      <w:r>
        <w:t xml:space="preserve">Sketch of Big Pit sourced from: </w:t>
      </w:r>
      <w:hyperlink r:id="rId22" w:anchor="imgrc=qYP8tRLnwTuH6M" w:history="1">
        <w:r w:rsidR="000B0F15" w:rsidRPr="000B0F15">
          <w:rPr>
            <w:color w:val="0000FF"/>
            <w:u w:val="single"/>
          </w:rPr>
          <w:t>https://www.google.com/search?q=sketch+of+the+blaenavon+mines&amp;tbm=isch&amp;ved=2ahUKEwif0e2Q3PnnAhXx1-AKHewfAl0Q2-cCegQIABAA&amp;oq=sketch+of+the+blaenavon+mines&amp;gs_l=img.3...14242.16475..16800...0.0..0.106.706.9j1......0....1..gws-wiz-img.uF6zk-mM8wA&amp;ei=_eVbXt_eDvGvgwfsv4joBQ&amp;bih=698&amp;biw=710#imgrc=qYP8tRLnwTuH6M</w:t>
        </w:r>
      </w:hyperlink>
      <w:r w:rsidR="000B0F15">
        <w:t xml:space="preserve"> [sourced on 01/03/20]</w:t>
      </w:r>
    </w:p>
    <w:p w14:paraId="7E8A47AE" w14:textId="77777777" w:rsidR="00B0004F" w:rsidRPr="002B02BE" w:rsidRDefault="00B0004F" w:rsidP="002B02BE">
      <w:pPr>
        <w:rPr>
          <w:sz w:val="24"/>
          <w:szCs w:val="24"/>
        </w:rPr>
      </w:pPr>
    </w:p>
    <w:p w14:paraId="451E4A50" w14:textId="255C187C" w:rsidR="364FFD86" w:rsidRDefault="364FFD86" w:rsidP="364FFD86">
      <w:pPr>
        <w:rPr>
          <w:sz w:val="32"/>
          <w:szCs w:val="32"/>
        </w:rPr>
      </w:pPr>
      <w:r w:rsidRPr="364FFD86">
        <w:rPr>
          <w:sz w:val="32"/>
          <w:szCs w:val="32"/>
        </w:rPr>
        <w:t xml:space="preserve">   </w:t>
      </w:r>
    </w:p>
    <w:p w14:paraId="243D6CBD" w14:textId="30E9432B" w:rsidR="364FFD86" w:rsidRDefault="364FFD86" w:rsidP="364FFD86">
      <w:pPr>
        <w:rPr>
          <w:sz w:val="32"/>
          <w:szCs w:val="32"/>
        </w:rPr>
      </w:pPr>
    </w:p>
    <w:sectPr w:rsidR="364FFD86" w:rsidSect="004529A5">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32C8BD"/>
    <w:rsid w:val="00090F0F"/>
    <w:rsid w:val="000B0F15"/>
    <w:rsid w:val="00130204"/>
    <w:rsid w:val="00131659"/>
    <w:rsid w:val="001C260E"/>
    <w:rsid w:val="001E4B2D"/>
    <w:rsid w:val="001F63D1"/>
    <w:rsid w:val="00220227"/>
    <w:rsid w:val="00287994"/>
    <w:rsid w:val="002A6072"/>
    <w:rsid w:val="002B02BE"/>
    <w:rsid w:val="002C57C1"/>
    <w:rsid w:val="002F54C0"/>
    <w:rsid w:val="00340BBB"/>
    <w:rsid w:val="00380E82"/>
    <w:rsid w:val="003C0630"/>
    <w:rsid w:val="0041130A"/>
    <w:rsid w:val="004529A5"/>
    <w:rsid w:val="00462BA6"/>
    <w:rsid w:val="004A4B35"/>
    <w:rsid w:val="004D2690"/>
    <w:rsid w:val="00515A1C"/>
    <w:rsid w:val="00534CAE"/>
    <w:rsid w:val="00552C7E"/>
    <w:rsid w:val="00555EDA"/>
    <w:rsid w:val="005625E8"/>
    <w:rsid w:val="005655D0"/>
    <w:rsid w:val="00574AA4"/>
    <w:rsid w:val="005B67A9"/>
    <w:rsid w:val="005B6A58"/>
    <w:rsid w:val="005E2B4C"/>
    <w:rsid w:val="005E493D"/>
    <w:rsid w:val="005E60A5"/>
    <w:rsid w:val="00610FA9"/>
    <w:rsid w:val="00612165"/>
    <w:rsid w:val="00617E92"/>
    <w:rsid w:val="006815AC"/>
    <w:rsid w:val="00681F12"/>
    <w:rsid w:val="006A6B69"/>
    <w:rsid w:val="00722AD3"/>
    <w:rsid w:val="00745FFC"/>
    <w:rsid w:val="00791FA1"/>
    <w:rsid w:val="007A7CB8"/>
    <w:rsid w:val="0083378E"/>
    <w:rsid w:val="0083442F"/>
    <w:rsid w:val="00865F0C"/>
    <w:rsid w:val="008A2D54"/>
    <w:rsid w:val="008D1B70"/>
    <w:rsid w:val="008D6124"/>
    <w:rsid w:val="008E77DC"/>
    <w:rsid w:val="009032FC"/>
    <w:rsid w:val="00957522"/>
    <w:rsid w:val="009E3D7C"/>
    <w:rsid w:val="00A75567"/>
    <w:rsid w:val="00AA567D"/>
    <w:rsid w:val="00B0004F"/>
    <w:rsid w:val="00B77382"/>
    <w:rsid w:val="00C635E8"/>
    <w:rsid w:val="00CF7F97"/>
    <w:rsid w:val="00D35662"/>
    <w:rsid w:val="00DC7431"/>
    <w:rsid w:val="00DD7C18"/>
    <w:rsid w:val="00E70C52"/>
    <w:rsid w:val="00E840C3"/>
    <w:rsid w:val="00E92536"/>
    <w:rsid w:val="00EB6A8E"/>
    <w:rsid w:val="00EC6F01"/>
    <w:rsid w:val="00EE7197"/>
    <w:rsid w:val="00EE7237"/>
    <w:rsid w:val="00FE5130"/>
    <w:rsid w:val="3232C8BD"/>
    <w:rsid w:val="364FFD86"/>
    <w:rsid w:val="49B63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2C8BD"/>
  <w15:chartTrackingRefBased/>
  <w15:docId w15:val="{28FE5DC2-904A-4109-BCE1-AA0C3FBC0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29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29A5"/>
    <w:rPr>
      <w:rFonts w:eastAsiaTheme="minorEastAsia"/>
      <w:lang w:val="en-US"/>
    </w:rPr>
  </w:style>
  <w:style w:type="character" w:styleId="Hyperlink">
    <w:name w:val="Hyperlink"/>
    <w:basedOn w:val="DefaultParagraphFont"/>
    <w:uiPriority w:val="99"/>
    <w:unhideWhenUsed/>
    <w:rsid w:val="005B6A58"/>
    <w:rPr>
      <w:color w:val="0563C1" w:themeColor="hyperlink"/>
      <w:u w:val="single"/>
    </w:rPr>
  </w:style>
  <w:style w:type="character" w:styleId="UnresolvedMention">
    <w:name w:val="Unresolved Mention"/>
    <w:basedOn w:val="DefaultParagraphFont"/>
    <w:uiPriority w:val="99"/>
    <w:semiHidden/>
    <w:unhideWhenUsed/>
    <w:rsid w:val="005B6A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www.khanacademy.org/partner-content/big-history-project/acceleration/bhp-acceleration/a/the-industrial-revolution" TargetMode="External"/><Relationship Id="rId3" Type="http://schemas.openxmlformats.org/officeDocument/2006/relationships/settings" Target="settings.xml"/><Relationship Id="rId21" Type="http://schemas.openxmlformats.org/officeDocument/2006/relationships/hyperlink" Target="https://www.google.com/search?q=map+of+blaenavon+and+the+ironworks&amp;sxsrf=ALeKk01iN5yb_Obx0SGCyczYIi6_PZuqFA:1583080718907&amp;tbm=isch&amp;source=iu&amp;ictx=1&amp;fir=9MFepf7gxxOSlM%253A%252C1qYglKw_ZBs_FM%252C_&amp;vet=1&amp;usg=AI4_-kQJ6VYpZLfzWsM0ZwAuk8wSm6wx8A&amp;sa=X&amp;ved=2ahUKEwjtwZqf2_nnAhUUTsAKHcF1BQ8Q9QEwAHoECAkQEQ"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www.engineering-timelines.com/scripts/engineeringItem.asp?id=1395" TargetMode="External"/><Relationship Id="rId2" Type="http://schemas.openxmlformats.org/officeDocument/2006/relationships/styles" Target="styles.xml"/><Relationship Id="rId16" Type="http://schemas.openxmlformats.org/officeDocument/2006/relationships/hyperlink" Target="http://www.coaleducation.org/" TargetMode="External"/><Relationship Id="rId20" Type="http://schemas.openxmlformats.org/officeDocument/2006/relationships/hyperlink" Target="https://www.visitblaenavon.co.uk/en/Homepage.aspx"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cadw.gov.wales/visit/places-to-visit/blaenavon-ironworks" TargetMode="External"/><Relationship Id="rId23"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hyperlink" Target="https://museum.wales/bigpit/"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hyperlink" Target="https://www.google.com/search?q=sketch+of+the+blaenavon+mines&amp;tbm=isch&amp;ved=2ahUKEwif0e2Q3PnnAhXx1-AKHewfAl0Q2-cCegQIABAA&amp;oq=sketch+of+the+blaenavon+mines&amp;gs_l=img.3...14242.16475..16800...0.0..0.106.706.9j1......0....1..gws-wiz-img.uF6zk-mM8wA&amp;ei=_eVbXt_eDvGvgwfsv4joBQ&amp;bih=698&amp;biw=7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1389</Words>
  <Characters>7923</Characters>
  <Application>Microsoft Office Word</Application>
  <DocSecurity>0</DocSecurity>
  <Lines>66</Lines>
  <Paragraphs>18</Paragraphs>
  <ScaleCrop>false</ScaleCrop>
  <Company/>
  <LinksUpToDate>false</LinksUpToDate>
  <CharactersWithSpaces>9294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 Report</dc:title>
  <dc:subject/>
  <dc:creator>Sinead Hasleham (1910154)</dc:creator>
  <cp:keywords/>
  <dc:description/>
  <cp:lastModifiedBy>sinead james</cp:lastModifiedBy>
  <cp:revision>3</cp:revision>
  <dcterms:created xsi:type="dcterms:W3CDTF">2020-03-03T14:38:00Z</dcterms:created>
  <dcterms:modified xsi:type="dcterms:W3CDTF">2020-03-03T14:39:00Z</dcterms:modified>
  <cp:category>BMSP4005</cp:category>
</cp:coreProperties>
</file>