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E854A6E" wp14:paraId="2C624945" wp14:textId="090CEBB8">
      <w:pPr>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7E854A6E" w:rsidR="024F6C4A">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STUDENT: SADIA OUSMAN</w:t>
      </w:r>
    </w:p>
    <w:p xmlns:wp14="http://schemas.microsoft.com/office/word/2010/wordml" w:rsidP="7E854A6E" wp14:paraId="1B3D8E62" wp14:textId="6FDA05C1">
      <w:pPr>
        <w:jc w:val="center"/>
        <w:rPr>
          <w:rFonts w:ascii="Arial" w:hAnsi="Arial" w:eastAsia="Arial" w:cs="Arial"/>
          <w:b w:val="0"/>
          <w:bCs w:val="0"/>
          <w:i w:val="0"/>
          <w:iCs w:val="0"/>
          <w:caps w:val="0"/>
          <w:smallCaps w:val="0"/>
          <w:noProof w:val="0"/>
          <w:color w:val="000000" w:themeColor="text1" w:themeTint="FF" w:themeShade="FF"/>
          <w:sz w:val="22"/>
          <w:szCs w:val="22"/>
          <w:lang w:val="en-GB"/>
        </w:rPr>
      </w:pPr>
      <w:r>
        <w:br/>
      </w:r>
      <w:r w:rsidRPr="7E854A6E" w:rsidR="024F6C4A">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STUDENT ID: 2235624</w:t>
      </w:r>
    </w:p>
    <w:p xmlns:wp14="http://schemas.microsoft.com/office/word/2010/wordml" w:rsidP="7E854A6E" wp14:paraId="49422EB3" wp14:textId="6F75A512">
      <w:pPr>
        <w:jc w:val="center"/>
        <w:rPr>
          <w:rFonts w:ascii="Arial" w:hAnsi="Arial" w:eastAsia="Arial" w:cs="Arial"/>
          <w:b w:val="0"/>
          <w:bCs w:val="0"/>
          <w:i w:val="0"/>
          <w:iCs w:val="0"/>
          <w:caps w:val="0"/>
          <w:smallCaps w:val="0"/>
          <w:noProof w:val="0"/>
          <w:color w:val="000000" w:themeColor="text1" w:themeTint="FF" w:themeShade="FF"/>
          <w:sz w:val="22"/>
          <w:szCs w:val="22"/>
          <w:lang w:val="en-GB"/>
        </w:rPr>
      </w:pPr>
      <w:r>
        <w:br/>
      </w:r>
      <w:r w:rsidRPr="7E854A6E" w:rsidR="024F6C4A">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LECTURER: RIZWAN NADIM</w:t>
      </w:r>
    </w:p>
    <w:p xmlns:wp14="http://schemas.microsoft.com/office/word/2010/wordml" w:rsidP="7E854A6E" wp14:paraId="447FEFC9" wp14:textId="05DCDCD7">
      <w:pPr>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E854A6E" wp14:paraId="2724A955" wp14:textId="5AD52C24">
      <w:pPr>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7E854A6E" w:rsidR="024F6C4A">
        <w:rPr>
          <w:rFonts w:ascii="Arial" w:hAnsi="Arial" w:eastAsia="Arial" w:cs="Arial"/>
          <w:b w:val="1"/>
          <w:bCs w:val="1"/>
          <w:i w:val="0"/>
          <w:iCs w:val="0"/>
          <w:caps w:val="0"/>
          <w:smallCaps w:val="0"/>
          <w:noProof w:val="0"/>
          <w:color w:val="000000" w:themeColor="text1" w:themeTint="FF" w:themeShade="FF"/>
          <w:sz w:val="22"/>
          <w:szCs w:val="22"/>
          <w:lang w:val="en-GB"/>
        </w:rPr>
        <w:t>PROGRAMME: BSC HEALTH AND SOCIAL CARE BMHP5016</w:t>
      </w:r>
    </w:p>
    <w:p xmlns:wp14="http://schemas.microsoft.com/office/word/2010/wordml" w:rsidP="7E854A6E" wp14:paraId="6FAA7698" wp14:textId="3008C355">
      <w:pPr>
        <w:jc w:val="center"/>
        <w:rPr>
          <w:rFonts w:ascii="Arial" w:hAnsi="Arial" w:eastAsia="Arial" w:cs="Arial"/>
          <w:b w:val="0"/>
          <w:bCs w:val="0"/>
          <w:i w:val="0"/>
          <w:iCs w:val="0"/>
          <w:caps w:val="0"/>
          <w:smallCaps w:val="0"/>
          <w:noProof w:val="0"/>
          <w:color w:val="000000" w:themeColor="text1" w:themeTint="FF" w:themeShade="FF"/>
          <w:sz w:val="22"/>
          <w:szCs w:val="22"/>
          <w:lang w:val="en-GB"/>
        </w:rPr>
      </w:pPr>
      <w:r>
        <w:br/>
      </w:r>
      <w:r w:rsidRPr="7E854A6E" w:rsidR="024F6C4A">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MODULE: PRINCIPLES OF HEALTH AND SOCIAL CARE PRACTICE</w:t>
      </w:r>
    </w:p>
    <w:p xmlns:wp14="http://schemas.microsoft.com/office/word/2010/wordml" w:rsidP="7E854A6E" wp14:paraId="60B648AD" wp14:textId="681A6543">
      <w:pPr>
        <w:jc w:val="center"/>
        <w:rPr>
          <w:rFonts w:ascii="Arial" w:hAnsi="Arial" w:eastAsia="Arial" w:cs="Arial"/>
          <w:b w:val="0"/>
          <w:bCs w:val="0"/>
          <w:i w:val="0"/>
          <w:iCs w:val="0"/>
          <w:caps w:val="0"/>
          <w:smallCaps w:val="0"/>
          <w:noProof w:val="0"/>
          <w:color w:val="000000" w:themeColor="text1" w:themeTint="FF" w:themeShade="FF"/>
          <w:sz w:val="22"/>
          <w:szCs w:val="22"/>
          <w:lang w:val="en-GB"/>
        </w:rPr>
      </w:pPr>
      <w:r>
        <w:br/>
      </w:r>
      <w:r w:rsidRPr="7E854A6E" w:rsidR="024F6C4A">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ASSIGNMENT TITLE: COMPONENT </w:t>
      </w:r>
      <w:r w:rsidRPr="7E854A6E" w:rsidR="4CB82F5A">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2</w:t>
      </w:r>
      <w:r w:rsidRPr="7E854A6E" w:rsidR="024F6C4A">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WRITTEN ASSIGNMENT (REPORT)</w:t>
      </w:r>
    </w:p>
    <w:p xmlns:wp14="http://schemas.microsoft.com/office/word/2010/wordml" w:rsidP="7E854A6E" wp14:paraId="5E5787A5" wp14:textId="6E45236C">
      <w:pPr>
        <w:rPr>
          <w:sz w:val="22"/>
          <w:szCs w:val="22"/>
        </w:rPr>
      </w:pPr>
    </w:p>
    <w:p w:rsidR="7E854A6E" w:rsidP="7E854A6E" w:rsidRDefault="7E854A6E" w14:paraId="747091A0" w14:textId="7E30DF5E">
      <w:pPr>
        <w:rPr>
          <w:sz w:val="22"/>
          <w:szCs w:val="22"/>
        </w:rPr>
      </w:pPr>
    </w:p>
    <w:p w:rsidR="7E854A6E" w:rsidP="7E854A6E" w:rsidRDefault="7E854A6E" w14:paraId="2CC3FF69" w14:textId="0EAD6265">
      <w:pPr>
        <w:rPr>
          <w:sz w:val="22"/>
          <w:szCs w:val="22"/>
        </w:rPr>
      </w:pPr>
    </w:p>
    <w:p w:rsidR="7E854A6E" w:rsidP="7E854A6E" w:rsidRDefault="7E854A6E" w14:paraId="724E5E0D" w14:textId="7FA22D31">
      <w:pPr>
        <w:rPr>
          <w:sz w:val="22"/>
          <w:szCs w:val="22"/>
        </w:rPr>
      </w:pPr>
    </w:p>
    <w:p w:rsidR="7E854A6E" w:rsidP="7E854A6E" w:rsidRDefault="7E854A6E" w14:paraId="4CD0E835" w14:textId="2E69F048">
      <w:pPr>
        <w:rPr>
          <w:sz w:val="22"/>
          <w:szCs w:val="22"/>
        </w:rPr>
      </w:pPr>
    </w:p>
    <w:p w:rsidR="7E854A6E" w:rsidP="7E854A6E" w:rsidRDefault="7E854A6E" w14:paraId="7144CB29" w14:textId="57673FF0">
      <w:pPr>
        <w:rPr>
          <w:sz w:val="22"/>
          <w:szCs w:val="22"/>
        </w:rPr>
      </w:pPr>
    </w:p>
    <w:p w:rsidR="7E854A6E" w:rsidP="7E854A6E" w:rsidRDefault="7E854A6E" w14:paraId="1A8F9A49" w14:textId="07D1F293">
      <w:pPr>
        <w:rPr>
          <w:sz w:val="22"/>
          <w:szCs w:val="22"/>
        </w:rPr>
      </w:pPr>
    </w:p>
    <w:p w:rsidR="7E854A6E" w:rsidP="7E854A6E" w:rsidRDefault="7E854A6E" w14:paraId="4A90E2E4" w14:textId="79D96A08">
      <w:pPr>
        <w:rPr>
          <w:sz w:val="22"/>
          <w:szCs w:val="22"/>
        </w:rPr>
      </w:pPr>
    </w:p>
    <w:p w:rsidR="7E854A6E" w:rsidP="7E854A6E" w:rsidRDefault="7E854A6E" w14:paraId="5EFD87F5" w14:textId="00B17FB0">
      <w:pPr>
        <w:rPr>
          <w:sz w:val="22"/>
          <w:szCs w:val="22"/>
        </w:rPr>
      </w:pPr>
    </w:p>
    <w:p w:rsidR="7E854A6E" w:rsidP="7E854A6E" w:rsidRDefault="7E854A6E" w14:paraId="29C4CCA4" w14:textId="6EB7D71D">
      <w:pPr>
        <w:rPr>
          <w:sz w:val="22"/>
          <w:szCs w:val="22"/>
        </w:rPr>
      </w:pPr>
    </w:p>
    <w:p w:rsidR="7E854A6E" w:rsidP="7E854A6E" w:rsidRDefault="7E854A6E" w14:paraId="5D155C54" w14:textId="00733DCE">
      <w:pPr>
        <w:rPr>
          <w:sz w:val="22"/>
          <w:szCs w:val="22"/>
        </w:rPr>
      </w:pPr>
    </w:p>
    <w:p w:rsidR="7E854A6E" w:rsidP="7E854A6E" w:rsidRDefault="7E854A6E" w14:paraId="3471B8C2" w14:textId="4980081A">
      <w:pPr>
        <w:rPr>
          <w:sz w:val="22"/>
          <w:szCs w:val="22"/>
        </w:rPr>
      </w:pPr>
    </w:p>
    <w:p w:rsidR="7E854A6E" w:rsidP="7E854A6E" w:rsidRDefault="7E854A6E" w14:paraId="1AE6EBA9" w14:textId="66BDADDE">
      <w:pPr>
        <w:rPr>
          <w:sz w:val="22"/>
          <w:szCs w:val="22"/>
        </w:rPr>
      </w:pPr>
    </w:p>
    <w:p w:rsidR="7E854A6E" w:rsidP="7E854A6E" w:rsidRDefault="7E854A6E" w14:paraId="017120F3" w14:textId="3C47C277">
      <w:pPr>
        <w:rPr>
          <w:sz w:val="22"/>
          <w:szCs w:val="22"/>
        </w:rPr>
      </w:pPr>
    </w:p>
    <w:p w:rsidR="7E854A6E" w:rsidP="7E854A6E" w:rsidRDefault="7E854A6E" w14:paraId="3378A830" w14:textId="2BF6196E">
      <w:pPr>
        <w:rPr>
          <w:sz w:val="22"/>
          <w:szCs w:val="22"/>
        </w:rPr>
      </w:pPr>
    </w:p>
    <w:p w:rsidR="7E854A6E" w:rsidP="7E854A6E" w:rsidRDefault="7E854A6E" w14:paraId="1481075D" w14:textId="76C69968">
      <w:pPr>
        <w:rPr>
          <w:sz w:val="22"/>
          <w:szCs w:val="22"/>
        </w:rPr>
      </w:pPr>
    </w:p>
    <w:p w:rsidR="7E854A6E" w:rsidP="7E854A6E" w:rsidRDefault="7E854A6E" w14:paraId="131EFBFC" w14:textId="34751A4B">
      <w:pPr>
        <w:rPr>
          <w:sz w:val="22"/>
          <w:szCs w:val="22"/>
        </w:rPr>
      </w:pPr>
    </w:p>
    <w:p w:rsidR="7E854A6E" w:rsidP="7E854A6E" w:rsidRDefault="7E854A6E" w14:paraId="281F84EB" w14:textId="0987A2BD">
      <w:pPr>
        <w:rPr>
          <w:sz w:val="22"/>
          <w:szCs w:val="22"/>
        </w:rPr>
      </w:pPr>
    </w:p>
    <w:p w:rsidR="7E854A6E" w:rsidP="7E854A6E" w:rsidRDefault="7E854A6E" w14:paraId="1A7C9D9C" w14:textId="5371D0FF">
      <w:pPr>
        <w:pStyle w:val="Normal"/>
        <w:rPr>
          <w:sz w:val="22"/>
          <w:szCs w:val="22"/>
        </w:rPr>
      </w:pPr>
    </w:p>
    <w:p w:rsidR="7E854A6E" w:rsidP="7E854A6E" w:rsidRDefault="7E854A6E" w14:paraId="6AC94E43" w14:textId="4A9E2C16">
      <w:pPr>
        <w:pStyle w:val="Normal"/>
        <w:rPr>
          <w:sz w:val="22"/>
          <w:szCs w:val="22"/>
        </w:rPr>
      </w:pPr>
    </w:p>
    <w:p w:rsidR="7E854A6E" w:rsidP="7E854A6E" w:rsidRDefault="7E854A6E" w14:paraId="68D9DACD" w14:textId="57FCDC8D">
      <w:pPr>
        <w:pStyle w:val="Normal"/>
        <w:rPr>
          <w:sz w:val="22"/>
          <w:szCs w:val="22"/>
        </w:rPr>
      </w:pPr>
    </w:p>
    <w:p w:rsidR="28C12FAD" w:rsidP="7E854A6E" w:rsidRDefault="28C12FAD" w14:paraId="06A5A910" w14:textId="2CFECB7B">
      <w:pPr>
        <w:pStyle w:val="Normal"/>
        <w:rPr>
          <w:rFonts w:ascii="Arial" w:hAnsi="Arial" w:eastAsia="Arial" w:cs="Arial" w:asciiTheme="minorAscii" w:hAnsiTheme="minorAscii" w:eastAsiaTheme="minorAscii" w:cstheme="minorAscii"/>
          <w:b w:val="1"/>
          <w:bCs w:val="1"/>
          <w:sz w:val="22"/>
          <w:szCs w:val="22"/>
        </w:rPr>
      </w:pPr>
      <w:r w:rsidRPr="7E854A6E" w:rsidR="28C12FAD">
        <w:rPr>
          <w:rFonts w:ascii="Arial" w:hAnsi="Arial" w:eastAsia="Arial" w:cs="Arial" w:asciiTheme="minorAscii" w:hAnsiTheme="minorAscii" w:eastAsiaTheme="minorAscii" w:cstheme="minorAscii"/>
          <w:b w:val="1"/>
          <w:bCs w:val="1"/>
          <w:sz w:val="22"/>
          <w:szCs w:val="22"/>
        </w:rPr>
        <w:t>Context</w:t>
      </w:r>
    </w:p>
    <w:p w:rsidR="2615C83C" w:rsidP="7E854A6E" w:rsidRDefault="2615C83C" w14:paraId="06B26039" w14:textId="6A627473">
      <w:pPr>
        <w:pStyle w:val="Normal"/>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br/>
      </w:r>
      <w:r w:rsidRPr="7E854A6E" w:rsidR="28C12FA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Person-Centred Care and Partnership Working: An Evaluation of Integration in UK Health and Social Care Policy and Practice</w:t>
      </w:r>
      <w:r>
        <w:br/>
      </w:r>
      <w:r>
        <w:br/>
      </w:r>
      <w:r w:rsidRPr="7E854A6E" w:rsidR="28C12FA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1.0 Introduction</w:t>
      </w:r>
      <w:r>
        <w:br/>
      </w:r>
      <w:r>
        <w:br/>
      </w:r>
      <w:r w:rsidRPr="7E854A6E" w:rsidR="2B1F5B2C">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2.0 Defining Person-Centred Care: Benefits and Limitations</w:t>
      </w:r>
      <w:r>
        <w:br/>
      </w:r>
      <w:r>
        <w:br/>
      </w:r>
      <w:r w:rsidRPr="7E854A6E" w:rsidR="2B1F5B2C">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2.1 Definition and Core Principles</w:t>
      </w:r>
      <w:r>
        <w:br/>
      </w:r>
      <w:r>
        <w:br/>
      </w:r>
      <w:r w:rsidRPr="7E854A6E" w:rsidR="73F4AB1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2.2 Benefits of Person-Centred Care</w:t>
      </w:r>
      <w:r>
        <w:br/>
      </w:r>
      <w:r>
        <w:br/>
      </w:r>
      <w:r w:rsidRPr="7E854A6E" w:rsidR="73F4AB1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2.3 Limitations of Person-Centred Care</w:t>
      </w:r>
      <w:r>
        <w:br/>
      </w:r>
      <w:r>
        <w:br/>
      </w:r>
      <w:r w:rsidRPr="7E854A6E" w:rsidR="73F4AB1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3.0 Theoretical Underpinnings: The Person-centred Nursing Framework</w:t>
      </w:r>
      <w:r>
        <w:br/>
      </w:r>
      <w:r>
        <w:br/>
      </w:r>
      <w:r w:rsidRPr="7E854A6E" w:rsidR="18A2B21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3.1 Framework Components</w:t>
      </w:r>
      <w:r>
        <w:br/>
      </w:r>
      <w:r>
        <w:br/>
      </w:r>
      <w:r w:rsidRPr="7E854A6E" w:rsidR="18A2B21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3.2 Critical Analysis and Relevance</w:t>
      </w:r>
      <w:r>
        <w:br/>
      </w:r>
      <w:r>
        <w:br/>
      </w:r>
      <w:r w:rsidRPr="7E854A6E" w:rsidR="18A2B21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4.0 Ethical Fundamentals of Health and Social Care</w:t>
      </w:r>
      <w:r>
        <w:br/>
      </w:r>
      <w:r>
        <w:br/>
      </w:r>
      <w:r w:rsidRPr="7E854A6E" w:rsidR="353926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4.1 Core Ethical Principles</w:t>
      </w:r>
      <w:r>
        <w:br/>
      </w:r>
      <w:r>
        <w:br/>
      </w:r>
      <w:r w:rsidRPr="7E854A6E" w:rsidR="353926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4.2 Ethical Challenges in Practice</w:t>
      </w:r>
      <w:r>
        <w:br/>
      </w:r>
      <w:r>
        <w:br/>
      </w:r>
      <w:r w:rsidRPr="7E854A6E" w:rsidR="353926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5.0 Evaluating Partnership Working in Health and Social Care</w:t>
      </w:r>
      <w:r>
        <w:br/>
      </w:r>
      <w:r>
        <w:br/>
      </w:r>
      <w:r w:rsidRPr="7E854A6E" w:rsidR="353926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5.1 Definition and Policy Context</w:t>
      </w:r>
      <w:r>
        <w:br/>
      </w:r>
      <w:r>
        <w:br/>
      </w:r>
      <w:r w:rsidRPr="7E854A6E" w:rsidR="4A711BF3">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5.2 Benefits of Partnership Working</w:t>
      </w:r>
      <w:r>
        <w:br/>
      </w:r>
      <w:r>
        <w:br/>
      </w:r>
      <w:r w:rsidRPr="7E854A6E" w:rsidR="4A711BF3">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5.3 Challenges and Limitations</w:t>
      </w:r>
      <w:r>
        <w:br/>
      </w:r>
      <w:r>
        <w:br/>
      </w:r>
      <w:r w:rsidRPr="7E854A6E" w:rsidR="525F2B7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6.0 Practical Application: Partnership Working in Child and Young People's Mental Health Services</w:t>
      </w:r>
      <w:r>
        <w:br/>
      </w:r>
      <w:r>
        <w:br/>
      </w:r>
      <w:r w:rsidRPr="7E854A6E" w:rsidR="525F2B7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6.1 Co-production as Partnership in Practice</w:t>
      </w:r>
      <w:r>
        <w:br/>
      </w:r>
      <w:r>
        <w:br/>
      </w:r>
      <w:r w:rsidRPr="7E854A6E" w:rsidR="525F2B7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6.2 Challenges in CYPMHS Partnership Working</w:t>
      </w:r>
      <w:r>
        <w:br/>
      </w:r>
      <w:r>
        <w:br/>
      </w:r>
      <w:r w:rsidRPr="7E854A6E" w:rsidR="3EE59A27">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7.0 Policy and Legislation Supporting PCC and PW</w:t>
      </w:r>
      <w:r>
        <w:br/>
      </w:r>
      <w:r>
        <w:br/>
      </w:r>
      <w:r w:rsidRPr="7E854A6E" w:rsidR="3EE59A27">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7.1 Key Legislative Framework</w:t>
      </w:r>
      <w:r>
        <w:br/>
      </w:r>
      <w:r>
        <w:br/>
      </w:r>
      <w:r w:rsidRPr="7E854A6E" w:rsidR="3EE59A27">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7.2 Policy Developments</w:t>
      </w:r>
      <w:r>
        <w:br/>
      </w:r>
      <w:r>
        <w:br/>
      </w:r>
      <w:r w:rsidRPr="7E854A6E" w:rsidR="6CC3498C">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7.3 Critical Analysis of Policy Implementation</w:t>
      </w:r>
      <w:r>
        <w:br/>
      </w:r>
      <w:r>
        <w:br/>
      </w:r>
      <w:r w:rsidRPr="7E854A6E" w:rsidR="6CC3498C">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8.0 Recommendations for Future Development</w:t>
      </w:r>
      <w:r>
        <w:br/>
      </w:r>
      <w:r>
        <w:br/>
      </w:r>
      <w:r w:rsidRPr="7E854A6E" w:rsidR="6CC3498C">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8.1 Develop a "Realistic" PCC Framework</w:t>
      </w:r>
      <w:r>
        <w:br/>
      </w:r>
      <w:r>
        <w:br/>
      </w:r>
      <w:r w:rsidRPr="7E854A6E" w:rsidR="6CC3498C">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8.2 Strengthen Co-production in CYPMHS</w:t>
      </w:r>
      <w:r>
        <w:br/>
      </w:r>
      <w:r>
        <w:br/>
      </w:r>
      <w:r w:rsidRPr="7E854A6E" w:rsidR="6DE34AE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8.3 Invest in Partnership Infrastructure</w:t>
      </w:r>
      <w:r>
        <w:br/>
      </w:r>
      <w:r>
        <w:br/>
      </w:r>
      <w:r w:rsidRPr="7E854A6E" w:rsidR="6DE34AE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8.4 Enhance Workforce Development</w:t>
      </w:r>
      <w:r>
        <w:br/>
      </w:r>
      <w:r>
        <w:br/>
      </w:r>
      <w:r w:rsidRPr="7E854A6E" w:rsidR="6DE34AE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9.0 Conclusion</w:t>
      </w:r>
      <w:r>
        <w:br/>
      </w:r>
      <w:r>
        <w:br/>
      </w:r>
      <w:r w:rsidRPr="7E854A6E" w:rsidR="391354DC">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References</w:t>
      </w:r>
      <w:r>
        <w:br/>
      </w:r>
      <w:r>
        <w:br/>
      </w:r>
    </w:p>
    <w:p w:rsidR="7E854A6E" w:rsidP="7E854A6E" w:rsidRDefault="7E854A6E" w14:paraId="34BF0BE5" w14:textId="2FD3B22E">
      <w:pPr>
        <w:pStyle w:val="Normal"/>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p>
    <w:p w:rsidR="7E854A6E" w:rsidP="7E854A6E" w:rsidRDefault="7E854A6E" w14:paraId="297F8934" w14:textId="54121509">
      <w:pPr>
        <w:pStyle w:val="Normal"/>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p>
    <w:p w:rsidR="7E854A6E" w:rsidP="7E854A6E" w:rsidRDefault="7E854A6E" w14:paraId="675B87CB" w14:textId="144338C0">
      <w:pPr>
        <w:pStyle w:val="Normal"/>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p>
    <w:p w:rsidR="7E854A6E" w:rsidP="7E854A6E" w:rsidRDefault="7E854A6E" w14:paraId="6A6D704E" w14:textId="06283FEA">
      <w:pPr>
        <w:pStyle w:val="Normal"/>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p>
    <w:p w:rsidR="7E854A6E" w:rsidP="7E854A6E" w:rsidRDefault="7E854A6E" w14:paraId="3D5A1676" w14:textId="2C0347E7">
      <w:pPr>
        <w:pStyle w:val="Normal"/>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p>
    <w:p w:rsidR="7E854A6E" w:rsidP="7E854A6E" w:rsidRDefault="7E854A6E" w14:paraId="416F30C6" w14:textId="6B267F17">
      <w:pPr>
        <w:pStyle w:val="Normal"/>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p>
    <w:p w:rsidR="7E854A6E" w:rsidP="7E854A6E" w:rsidRDefault="7E854A6E" w14:paraId="61F96ABC" w14:textId="6D87ED5E">
      <w:pPr>
        <w:pStyle w:val="Normal"/>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p>
    <w:p w:rsidR="7E854A6E" w:rsidP="7E854A6E" w:rsidRDefault="7E854A6E" w14:paraId="04D29692" w14:textId="326CD7EB">
      <w:pPr>
        <w:pStyle w:val="Normal"/>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p>
    <w:p w:rsidR="7E854A6E" w:rsidP="7E854A6E" w:rsidRDefault="7E854A6E" w14:paraId="7CE9D663" w14:textId="26EDC505">
      <w:pPr>
        <w:pStyle w:val="Normal"/>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p>
    <w:p w:rsidR="7E854A6E" w:rsidP="7E854A6E" w:rsidRDefault="7E854A6E" w14:paraId="7A72BCE6" w14:textId="1CCA62A4">
      <w:pPr>
        <w:pStyle w:val="Normal"/>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p>
    <w:p w:rsidR="7E854A6E" w:rsidP="7E854A6E" w:rsidRDefault="7E854A6E" w14:paraId="2E385295" w14:textId="421FB839">
      <w:pPr>
        <w:pStyle w:val="Normal"/>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p>
    <w:p w:rsidR="7E854A6E" w:rsidP="7E854A6E" w:rsidRDefault="7E854A6E" w14:paraId="00953428" w14:textId="4D04A380">
      <w:pPr>
        <w:pStyle w:val="Normal"/>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p>
    <w:p w:rsidR="7E854A6E" w:rsidP="7E854A6E" w:rsidRDefault="7E854A6E" w14:paraId="2BAF3EAF" w14:textId="2485BD89">
      <w:pPr>
        <w:pStyle w:val="Normal"/>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p>
    <w:p w:rsidR="7E854A6E" w:rsidP="7E854A6E" w:rsidRDefault="7E854A6E" w14:paraId="07A8633E" w14:textId="18F8DBF5">
      <w:pPr>
        <w:pStyle w:val="Normal"/>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p>
    <w:p w:rsidR="7E854A6E" w:rsidP="7E854A6E" w:rsidRDefault="7E854A6E" w14:paraId="33A8EF3E" w14:textId="1CED9B36">
      <w:pPr>
        <w:pStyle w:val="Normal"/>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p>
    <w:p w:rsidR="5C0E131C" w:rsidP="7E854A6E" w:rsidRDefault="5C0E131C" w14:paraId="3707969D" w14:textId="650384EA">
      <w:pPr>
        <w:pStyle w:val="Normal"/>
        <w:rPr>
          <w:rFonts w:ascii="Arial" w:hAnsi="Arial" w:eastAsia="Arial" w:cs="Arial" w:asciiTheme="minorAscii" w:hAnsiTheme="minorAscii" w:eastAsiaTheme="minorAscii" w:cstheme="minorAscii"/>
          <w:noProof w:val="0"/>
          <w:sz w:val="22"/>
          <w:szCs w:val="22"/>
          <w:lang w:val="en-GB"/>
        </w:rPr>
      </w:pPr>
      <w:r w:rsidRPr="7E854A6E" w:rsidR="5C0E131C">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 xml:space="preserve">Person-Centred Care </w:t>
      </w:r>
      <w:r w:rsidRPr="7E854A6E" w:rsidR="5C0E131C">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an</w:t>
      </w:r>
      <w:r w:rsidRPr="7E854A6E" w:rsidR="5C0E131C">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d Partnership Working: An Evaluation of Integration in UK Health and Social Care Policy and Practice</w:t>
      </w:r>
      <w:r>
        <w:br/>
      </w:r>
      <w:r>
        <w:br/>
      </w:r>
      <w:r w:rsidRPr="7E854A6E" w:rsidR="5C0E131C">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1.0 Introduction</w:t>
      </w:r>
      <w:r>
        <w:br/>
      </w:r>
      <w:r>
        <w:br/>
      </w:r>
      <w:r w:rsidRPr="7E854A6E" w:rsidR="28A40EF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Person-centred care (PCC) and partnership working (PW) have become foundational pillars of modern health and social care policy across the United Kingdom. This report provides a critical evaluation of these interconnected components, examining how they </w:t>
      </w:r>
      <w:r w:rsidRPr="7E854A6E" w:rsidR="28A40EF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operate</w:t>
      </w:r>
      <w:r w:rsidRPr="7E854A6E" w:rsidR="28A40EF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within professional policy and practice. The analysis defines PCC, critically examines a relevant theoretical model, analyses ethical fundamentals, evaluates partnership working, and explores practical application within Child and Young People's Mental Health Services (CYPMHS), concluding with recommendations for future development.</w:t>
      </w:r>
      <w:r>
        <w:br/>
      </w:r>
      <w:r>
        <w:br/>
      </w:r>
      <w:r w:rsidRPr="7E854A6E" w:rsidR="28A40EFD">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2.0 Defining Person-Centred Care: Benefits and Limitations</w:t>
      </w:r>
      <w:r>
        <w:br/>
      </w:r>
      <w:r>
        <w:br/>
      </w:r>
      <w:r w:rsidRPr="7E854A6E" w:rsidR="28A40EFD">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2.1 Definition and Core Principles</w:t>
      </w:r>
      <w:r>
        <w:br/>
      </w:r>
      <w:r>
        <w:br/>
      </w:r>
      <w:r w:rsidRPr="7E854A6E" w:rsidR="28A40EF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Person-centred care is a philosophy placing the individual at the heart of decision-making about their health and wellbeing, moving beyond a biomedical focus on illness to treat the person holistically. McCormack and McCance (2006) conceptualised PCC through processes such as working with patients' beliefs and values, engagement, and sharing decision-making, underpinned by nurses' attributes including professional competence and interpersonal skills. The Health Foundation (2015) summarises PCC principles as affording dignity and respect, offering coordinated and personalised care, and supporting people to develop strengths for independent living.</w:t>
      </w:r>
      <w:r>
        <w:br/>
      </w:r>
      <w:r>
        <w:br/>
      </w:r>
      <w:r w:rsidRPr="7E854A6E" w:rsidR="28A40EF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The Royal College of Physicians (2025) advocates for a shift from service-centred to person-centred care, posing questions like "What matters to you?" rather than "What's the matter with you?" Regulation 9 of the Health and Social Care Act 2008 legally mandates person-centred care, requiring providers to assess needs collaboratively, design care reflecting preferences, and support informed decision-making (Care Quality Commission, 2025).</w:t>
      </w:r>
      <w:r>
        <w:br/>
      </w:r>
      <w:r>
        <w:br/>
      </w:r>
      <w:r w:rsidRPr="7E854A6E" w:rsidR="28A40EFD">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2.2 Benefits of Person-Centred Care</w:t>
      </w:r>
      <w:r>
        <w:br/>
      </w:r>
      <w:r>
        <w:br/>
      </w:r>
      <w:r w:rsidRPr="7E854A6E" w:rsidR="28A40EF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The benefits of PCC are well-documented. For service users, PCC promotes improved health outcomes, enhanced satisfaction, and greater involvement in care decisions (McCormack and McCance, 2025). Within CYPMHS, adopting co-production approaches has </w:t>
      </w:r>
      <w:r w:rsidRPr="7E854A6E" w:rsidR="28A40EF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demonstrated</w:t>
      </w:r>
      <w:r w:rsidRPr="7E854A6E" w:rsidR="28A40EF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significant benefits. Elysium Healthcare's (2025) "Working Together" initiative improved engagement with young people and their families through co-produced care standards. For practitioners, person-centred practice leads to increased team effectiveness, enhanced job satisfaction, and better staff retention (Health Foundation, 2015).</w:t>
      </w:r>
      <w:r>
        <w:br/>
      </w:r>
      <w:r>
        <w:br/>
      </w:r>
      <w:r w:rsidRPr="7E854A6E" w:rsidR="28A40EFD">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2.3 Limitations of Person-Centred Care</w:t>
      </w:r>
      <w:r>
        <w:br/>
      </w:r>
      <w:r>
        <w:br/>
      </w:r>
      <w:r w:rsidRPr="7E854A6E" w:rsidR="28A40EF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Despite </w:t>
      </w:r>
      <w:r w:rsidRPr="7E854A6E" w:rsidR="28A40EF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evident</w:t>
      </w:r>
      <w:r w:rsidRPr="7E854A6E" w:rsidR="28A40EF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benefits, PCC faces significant implementation challenges. The Royal College of Nursing (2026) has called for a "realistic person-centred care" framework, acknowledging that the idealised model based on expectations the current system cannot safely meet is no longer achievable. Workforce shortages, rising patient acuity, and chronic under-resourcing mean that policy rhetoric </w:t>
      </w:r>
      <w:r w:rsidRPr="7E854A6E" w:rsidR="28A40EF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frequently</w:t>
      </w:r>
      <w:r w:rsidRPr="7E854A6E" w:rsidR="28A40EF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diverges from what can be delivered (Barker and Buchanan-Barker, 2017).</w:t>
      </w:r>
      <w:r>
        <w:br/>
      </w:r>
      <w:r>
        <w:br/>
      </w:r>
      <w:r w:rsidRPr="7E854A6E" w:rsidR="28A40EF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As Morgan and Yaskey (2025) note, partnership working policies are often uncritical, taking for granted that they are beneficial without compelling evidence. Within CYPMHS, young people may lack capacity or confidence to engage in shared decision-making, and co-production requires </w:t>
      </w:r>
      <w:r w:rsidRPr="7E854A6E" w:rsidR="28A40EF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significant time</w:t>
      </w:r>
      <w:r w:rsidRPr="7E854A6E" w:rsidR="28A40EF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and resource investment (Elysium Healthcare, 2025; Care Quality Commission, 2020).</w:t>
      </w:r>
      <w:r>
        <w:br/>
      </w:r>
      <w:r>
        <w:br/>
      </w:r>
      <w:r w:rsidRPr="7E854A6E" w:rsidR="28A40EFD">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3.0 Theoretical Underpinnings: The Person-centred Nursing Framework</w:t>
      </w:r>
      <w:r>
        <w:br/>
      </w:r>
      <w:r>
        <w:br/>
      </w:r>
      <w:r w:rsidRPr="7E854A6E" w:rsidR="28A40EF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The Person-centred Nursing Framework (PCNF), developed by McCormack and McCance (2006, 2021), provides a robust theoretical foundation for understanding PCC in practice. This mid-range theory has been applied in over 31 countries, </w:t>
      </w:r>
      <w:r w:rsidRPr="7E854A6E" w:rsidR="28A40EF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demonstrating</w:t>
      </w:r>
      <w:r w:rsidRPr="7E854A6E" w:rsidR="28A40EF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international relevance (McCance and McCormack, 2025).</w:t>
      </w:r>
      <w:r>
        <w:br/>
      </w:r>
      <w:r>
        <w:br/>
      </w:r>
      <w:r w:rsidRPr="7E854A6E" w:rsidR="28A40EFD">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3.1 Framework Components</w:t>
      </w:r>
      <w:r>
        <w:br/>
      </w:r>
      <w:r>
        <w:br/>
      </w:r>
      <w:r w:rsidRPr="7E854A6E" w:rsidR="28A40EF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The PCNF comprises four key constructs: prerequisites (attributes of the nurse), the care environment (contextual factors), person-centred processes (activities and actions), and expected outcomes (McCormack and McCance, 2025). This complexity acknowledges that person-centredness requires supportive workplace cultures, </w:t>
      </w:r>
      <w:r w:rsidRPr="7E854A6E" w:rsidR="28A40EF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appropriate skill</w:t>
      </w:r>
      <w:r w:rsidRPr="7E854A6E" w:rsidR="28A40EF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mix, and systems </w:t>
      </w:r>
      <w:r w:rsidRPr="7E854A6E" w:rsidR="28A40EF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facilitating</w:t>
      </w:r>
      <w:r w:rsidRPr="7E854A6E" w:rsidR="28A40EF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shared decision-making (McCormack et al., 2021).</w:t>
      </w:r>
      <w:r>
        <w:br/>
      </w:r>
      <w:r>
        <w:br/>
      </w:r>
      <w:r w:rsidRPr="7E854A6E" w:rsidR="28A40EF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The framework's evolution from two doctoral </w:t>
      </w:r>
      <w:r w:rsidRPr="7E854A6E" w:rsidR="28A40EF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studies—one</w:t>
      </w:r>
      <w:r w:rsidRPr="7E854A6E" w:rsidR="28A40EF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exploring autonomy in older people and another examining patients' experience of caring—</w:t>
      </w:r>
      <w:r w:rsidRPr="7E854A6E" w:rsidR="28A40EF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demonstrates</w:t>
      </w:r>
      <w:r w:rsidRPr="7E854A6E" w:rsidR="28A40EF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how research can inform theoretical development (McCance and McCormack, 2025).</w:t>
      </w:r>
      <w:r>
        <w:br/>
      </w:r>
      <w:r>
        <w:br/>
      </w:r>
      <w:r w:rsidRPr="7E854A6E" w:rsidR="28A40EFD">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3.2 Critical Analysis and Relevance</w:t>
      </w:r>
      <w:r>
        <w:br/>
      </w:r>
      <w:r>
        <w:br/>
      </w:r>
      <w:r w:rsidRPr="7E854A6E" w:rsidR="28A40EF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The PCNF's strength lies in its operationalisation of person-centredness in practice, serving as a tool for reflection and foundation for strategy development (McCance and McCormack, 2025). However, critics argue that what constitutes person-centred care varies across different contexts, challenging the universality of a single framework (</w:t>
      </w:r>
      <w:r w:rsidRPr="7E854A6E" w:rsidR="28A40EF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Leplege</w:t>
      </w:r>
      <w:r w:rsidRPr="7E854A6E" w:rsidR="28A40EF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et al., 2021). Furthermore, the PCNF was developed from nursing perspectives, and its transferability to multidisciplinary settings requires careful consideration (Barker and Buchanan-Barker, 2017).</w:t>
      </w:r>
      <w:r>
        <w:br/>
      </w:r>
      <w:r>
        <w:br/>
      </w:r>
      <w:r w:rsidRPr="7E854A6E" w:rsidR="28A40EFD">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4.0 Ethical Fundamentals of Health and Social Care</w:t>
      </w:r>
      <w:r>
        <w:br/>
      </w:r>
      <w:r>
        <w:br/>
      </w:r>
      <w:r w:rsidRPr="7E854A6E" w:rsidR="28A40EF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The ethical foundations of health and social care practice are inseparable from PCC and PW. Professional regulatory bodies, including the Health and Care Professions Council (HCPC), </w:t>
      </w:r>
      <w:r w:rsidRPr="7E854A6E" w:rsidR="28A40EF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establish</w:t>
      </w:r>
      <w:r w:rsidRPr="7E854A6E" w:rsidR="28A40EF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standards that operationalise these ethical principles.</w:t>
      </w:r>
      <w:r>
        <w:br/>
      </w:r>
      <w:r>
        <w:br/>
      </w:r>
      <w:r w:rsidRPr="7E854A6E" w:rsidR="28A40EFD">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4.1 Core Ethical Principles</w:t>
      </w:r>
      <w:r>
        <w:br/>
      </w:r>
      <w:r>
        <w:br/>
      </w:r>
      <w:r w:rsidRPr="7E854A6E" w:rsidR="28A40EF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The HCPC (2024) standards mandate that registrants treat service users as individuals, respecting </w:t>
      </w:r>
      <w:r w:rsidRPr="7E854A6E" w:rsidR="28A40EF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privacy</w:t>
      </w:r>
      <w:r w:rsidRPr="7E854A6E" w:rsidR="28A40EF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and dignity; work in partnership with service users; and empower service users to </w:t>
      </w:r>
      <w:r w:rsidRPr="7E854A6E" w:rsidR="28A40EF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participate</w:t>
      </w:r>
      <w:r w:rsidRPr="7E854A6E" w:rsidR="28A40EF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in maintaining their own wellbeing. These requirements reflect the ethical principles of autonomy, beneficence, non-maleficence, and justice (Beauchamp and Childress, 2019).</w:t>
      </w:r>
      <w:r>
        <w:br/>
      </w:r>
      <w:r>
        <w:br/>
      </w:r>
      <w:r w:rsidRPr="7E854A6E" w:rsidR="28A40EF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NICE (2025) principles acknowledge that balancing individual choice with fair resource allocation requires careful ethical judgement. While people have the right to make informed choices, not everything people might want will necessarily be available (National Institute for Health and Care Excellence, 2025). This tension between respecting individual autonomy and managing finite resources is a central ethical challenge (Department of Health and Social Care, 2021).</w:t>
      </w:r>
      <w:r>
        <w:br/>
      </w:r>
      <w:r>
        <w:br/>
      </w:r>
      <w:r w:rsidRPr="7E854A6E" w:rsidR="28A40EFD">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4.2 Ethical Challenges in Practice</w:t>
      </w:r>
      <w:r>
        <w:br/>
      </w:r>
      <w:r>
        <w:br/>
      </w:r>
      <w:r w:rsidRPr="7E854A6E" w:rsidR="28A40EF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Within CYPMHS, ethical challenges are particularly acute. Young people may lack capacity to consent, requiring practitioners to navigate the Mental Capacity Act 2005 alongside the rights of children and young people (Department for Education, 2023). The RCN's (2026) call for "realistic person-centred care" highlights a fundamental ethical concern: when the system cannot deliver what policy rhetoric promises, nurses absorb the frustration and blame. This dynamic is both unethical and unsustainable (Royal College of Nursing, 2026; Barker and Buchanan-Barker, 2017).</w:t>
      </w:r>
      <w:r>
        <w:br/>
      </w:r>
      <w:r>
        <w:br/>
      </w:r>
      <w:r w:rsidRPr="7E854A6E" w:rsidR="28A40EFD">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5.0 Evaluating Partnership Working in Health and Social Care</w:t>
      </w:r>
      <w:r>
        <w:br/>
      </w:r>
      <w:r>
        <w:br/>
      </w:r>
      <w:r w:rsidRPr="7E854A6E" w:rsidR="28A40EFD">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5.1 Definition and Policy Context</w:t>
      </w:r>
      <w:r>
        <w:br/>
      </w:r>
      <w:r>
        <w:br/>
      </w:r>
      <w:r w:rsidRPr="7E854A6E" w:rsidR="28A40EF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Partnership working refers to collaborative relationships between professionals, organisations, and service users to improve health and social care outcomes (Morgan and Yaskey, 2025). The UK has pursued partnership working through policies including the Health and Social Care Act 2012 and the introduction of Integrated Care Systems (ICSs) in England (NHS England, 2022).</w:t>
      </w:r>
      <w:r>
        <w:br/>
      </w:r>
      <w:r>
        <w:br/>
      </w:r>
      <w:r w:rsidRPr="7E854A6E" w:rsidR="28A40EF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Integrated Care Partnerships (ICPs) represent a statutory mechanism for partnership working, bringing together NHS organisations, local authorities, and the voluntary sector to develop integrated care strategies (NHS Data Dictionary, 2025).</w:t>
      </w:r>
      <w:r>
        <w:br/>
      </w:r>
      <w:r>
        <w:br/>
      </w:r>
      <w:r w:rsidRPr="7E854A6E" w:rsidR="28A40EFD">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5.2 Benefits of Partnership Working</w:t>
      </w:r>
      <w:r>
        <w:br/>
      </w:r>
      <w:r>
        <w:br/>
      </w:r>
      <w:r w:rsidRPr="7E854A6E" w:rsidR="28A40EF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Partnership working offers </w:t>
      </w:r>
      <w:r w:rsidRPr="7E854A6E" w:rsidR="28A40EF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numerous</w:t>
      </w:r>
      <w:r w:rsidRPr="7E854A6E" w:rsidR="28A40EF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benefits: improved care coordination, reduced duplication, enhanced information sharing, and more holistic approaches to complex needs (Morgan and Yaskey, 2025; Glasby and Dickinson, 2014). Within CYPMHS, Elysium Healthcare's (2025) "Working Together" initiative </w:t>
      </w:r>
      <w:r w:rsidRPr="7E854A6E" w:rsidR="28A40EF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demonstrates</w:t>
      </w:r>
      <w:r w:rsidRPr="7E854A6E" w:rsidR="28A40EF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how genuine partnership can produce co-produced standards reflecting all stakeholders' perspectives. Partnership working also enables preventative approaches, as </w:t>
      </w:r>
      <w:r w:rsidRPr="7E854A6E" w:rsidR="28A40EF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demonstrated</w:t>
      </w:r>
      <w:r w:rsidRPr="7E854A6E" w:rsidR="28A40EF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by the Greater Manchester Proactive Care Programme (Fairer Health for All Academy, 2025).</w:t>
      </w:r>
      <w:r>
        <w:br/>
      </w:r>
      <w:r>
        <w:br/>
      </w:r>
      <w:r w:rsidRPr="7E854A6E" w:rsidR="28A40EFD">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5.3 Challenges and Limitations</w:t>
      </w:r>
      <w:r>
        <w:br/>
      </w:r>
      <w:r>
        <w:br/>
      </w:r>
      <w:r w:rsidRPr="7E854A6E" w:rsidR="28A40EF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Partnership working faces significant barriers, including different professional cultures, competing organisational priorities, and power imbalances (Morgan and Yaskey, 2025). Dickinson and Glasby (2010) note that partnership working is often uncritically adopted without compelling evidence of its benefits. Implementation challenges include jurisdictional boundary disputes, resource constraints, information governance concerns, and variable commitment across organisations (Care Quality Commission, 2020).</w:t>
      </w:r>
      <w:r>
        <w:br/>
      </w:r>
      <w:r>
        <w:br/>
      </w:r>
      <w:r w:rsidRPr="7E854A6E" w:rsidR="6E9E5457">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6.0 Practical Application: Partnership Working in Child and Young People's Mental Health Services</w:t>
      </w:r>
      <w:r>
        <w:br/>
      </w:r>
      <w:r>
        <w:br/>
      </w:r>
      <w:r w:rsidRPr="7E854A6E" w:rsidR="28A40EF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CYPMHS provides a rich context for examining partnership working. The sector has faced increasing demand, with services under significant pressure (Department for Education, 2023).</w:t>
      </w:r>
      <w:r>
        <w:br/>
      </w:r>
      <w:r>
        <w:br/>
      </w:r>
      <w:r w:rsidRPr="7E854A6E" w:rsidR="28A40EFD">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6.1 Co-production as Partnership in Practice</w:t>
      </w:r>
      <w:r>
        <w:br/>
      </w:r>
      <w:r>
        <w:br/>
      </w:r>
      <w:r w:rsidRPr="7E854A6E" w:rsidR="28A40EF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Elysium Healthcare's (2025) "Working Together" initiative exemplifies partnership working in CYPMHS. The project addressed co-production challenges by benchmarking current practice, adapting language by replacing the clinical term "co-production" with "Working Together" based on service user feedback, co-producing standards with young people, families, and staff, and using accessible communication like animations rather than lengthy documents (Elysium Healthcare, 2025). This approach </w:t>
      </w:r>
      <w:r w:rsidRPr="7E854A6E" w:rsidR="28A40EF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demonstrates</w:t>
      </w:r>
      <w:r w:rsidRPr="7E854A6E" w:rsidR="28A40EF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that genuine partnership requires services to adapt to service users' preferences rather than expecting service users to adapt to professional processes (Care Quality Commission, 2020).</w:t>
      </w:r>
      <w:r>
        <w:br/>
      </w:r>
      <w:r>
        <w:br/>
      </w:r>
      <w:r w:rsidRPr="7E854A6E" w:rsidR="28A40EFD">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6.2 Challenges in CYPMHS Partnership Working</w:t>
      </w:r>
      <w:r>
        <w:br/>
      </w:r>
      <w:r>
        <w:br/>
      </w:r>
      <w:r w:rsidRPr="7E854A6E" w:rsidR="28A40EF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Despite successes, challenges </w:t>
      </w:r>
      <w:r w:rsidRPr="7E854A6E" w:rsidR="28A40EF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remain</w:t>
      </w:r>
      <w:r w:rsidRPr="7E854A6E" w:rsidR="28A40EF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The initiative required significant staff time, resources, and commitment to genuine rather than tokenistic engagement. As Colleen Fahy noted, "it may be a slow process, but that's because it must be genuine and not a box-ticking exercise" (Elysium Healthcare, 2025). Power imbalances between professionals and young people present ongoing challenges, requiring staff to create environments where young people feel safe to </w:t>
      </w:r>
      <w:r w:rsidRPr="7E854A6E" w:rsidR="28A40EF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participate</w:t>
      </w:r>
      <w:r w:rsidRPr="7E854A6E" w:rsidR="28A40EF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(Department for Education, 2023).</w:t>
      </w:r>
      <w:r>
        <w:br/>
      </w:r>
      <w:r>
        <w:br/>
      </w:r>
      <w:r w:rsidRPr="7E854A6E" w:rsidR="45CE8EEF">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7.0 Policy and Legislation Supporting PCC and PW</w:t>
      </w:r>
      <w:r>
        <w:br/>
      </w:r>
      <w:r>
        <w:br/>
      </w:r>
      <w:r w:rsidRPr="7E854A6E" w:rsidR="45CE8EEF">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7.1 Key Legislative Framework</w:t>
      </w:r>
      <w:r>
        <w:br/>
      </w:r>
      <w:r>
        <w:br/>
      </w:r>
      <w:r w:rsidRPr="7E854A6E" w:rsidR="45CE8EE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The Health and Social Care Act 2008 (Regulated Activities) Regulations 2014 provides the primary legislative framework for PCC. Regulation 9 requires providers to assess needs collaboratively, design care reflecting preferences, and support informed decision-making (Care Quality Commission, 2025). The Mental Capacity Act 2005 underpins PCC by </w:t>
      </w:r>
      <w:r w:rsidRPr="7E854A6E" w:rsidR="45CE8EE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establishing</w:t>
      </w:r>
      <w:r w:rsidRPr="7E854A6E" w:rsidR="45CE8EE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that individuals should make their own decisions wherever possible (Department of Health and Social Care, 2021). The Care Act 2014 similarly emphasises wellbeing and person-centred approaches in social care (Department of Health and Social Care, 2014).</w:t>
      </w:r>
      <w:r>
        <w:br/>
      </w:r>
      <w:r>
        <w:br/>
      </w:r>
      <w:r w:rsidRPr="7E854A6E" w:rsidR="45CE8EEF">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7.2 Policy Developments</w:t>
      </w:r>
      <w:r>
        <w:br/>
      </w:r>
      <w:r>
        <w:br/>
      </w:r>
      <w:r w:rsidRPr="7E854A6E" w:rsidR="45CE8EE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The NHS Long Term Plan (NHS England, 2019) committed to personalised care for up to 2.5 million people by 2023/24. The Health and Care Act 2022 </w:t>
      </w:r>
      <w:r w:rsidRPr="7E854A6E" w:rsidR="45CE8EE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established</w:t>
      </w:r>
      <w:r w:rsidRPr="7E854A6E" w:rsidR="45CE8EE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Integrated Care Systems to promote partnership working (NHS England, 2022). The RCP's (2025) "Time to focus on the blue dots" toolkit advocates for a fundamental shift in NHS care delivery, focusing on personalised, integrated care delivered as close to home as possible.</w:t>
      </w:r>
      <w:r>
        <w:br/>
      </w:r>
      <w:r>
        <w:br/>
      </w:r>
      <w:r w:rsidRPr="7E854A6E" w:rsidR="45CE8EEF">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7.3 Critical Analysis of Policy Implementation</w:t>
      </w:r>
      <w:r>
        <w:br/>
      </w:r>
      <w:r>
        <w:br/>
      </w:r>
      <w:r w:rsidRPr="7E854A6E" w:rsidR="45CE8EE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Despite strong policy rhetoric, implementation </w:t>
      </w:r>
      <w:r w:rsidRPr="7E854A6E" w:rsidR="45CE8EE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remains</w:t>
      </w:r>
      <w:r w:rsidRPr="7E854A6E" w:rsidR="45CE8EE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challenging. The RCN (2026) has called for a "realistic" person-centred care framework, acknowledging that current approaches are unsustainable. The uncritical adoption of partnership working policies, highlighted by Morgan and Yaskey (2025), raises questions about whether policy is sufficiently evidence-based (Glasby and Dickinson, 2014).</w:t>
      </w:r>
      <w:r>
        <w:br/>
      </w:r>
      <w:r>
        <w:br/>
      </w:r>
      <w:r w:rsidRPr="7E854A6E" w:rsidR="45CE8EEF">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8.0 Recommendations for Future Development</w:t>
      </w:r>
      <w:r>
        <w:br/>
      </w:r>
      <w:r>
        <w:br/>
      </w:r>
      <w:r w:rsidRPr="7E854A6E" w:rsidR="45CE8EEF">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8.1 Develop a "Realistic" PCC Framework</w:t>
      </w:r>
      <w:r>
        <w:br/>
      </w:r>
      <w:r>
        <w:br/>
      </w:r>
      <w:r w:rsidRPr="7E854A6E" w:rsidR="45CE8EE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Building on the RCN's (2026) call, a UK-wide framework for realistic person-centred care should be developed, acknowledging resource constraints while </w:t>
      </w:r>
      <w:r w:rsidRPr="7E854A6E" w:rsidR="45CE8EE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maintaining</w:t>
      </w:r>
      <w:r w:rsidRPr="7E854A6E" w:rsidR="45CE8EE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commitment to person-centred principles. Potential impact: This would reduce the gap between policy rhetoric and frontline reality. Limitations: There is a risk that "realistic" PCC becomes an excuse for deprioritising person-centred approaches (McCormack and McCance, 2025).</w:t>
      </w:r>
      <w:r>
        <w:br/>
      </w:r>
      <w:r>
        <w:br/>
      </w:r>
      <w:r w:rsidRPr="7E854A6E" w:rsidR="45CE8EEF">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8.2 Strengthen Co-production in CYPMHS</w:t>
      </w:r>
      <w:r>
        <w:br/>
      </w:r>
      <w:r>
        <w:br/>
      </w:r>
      <w:r w:rsidRPr="7E854A6E" w:rsidR="45CE8EE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Building on the "Working Together" model, co-production should be embedded as standard practice across CYPMHS, requiring resources and training to support meaningful engagement (Elysium Healthcare, 2025). Potential impact: Services would be more responsive to what matters to young people. Limitations: Co-production requires significant investment, and there is a risk of tokenism (Care Quality Commission, 2020).</w:t>
      </w:r>
      <w:r>
        <w:br/>
      </w:r>
      <w:r>
        <w:br/>
      </w:r>
      <w:r w:rsidRPr="7E854A6E" w:rsidR="45CE8EEF">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8.3 Invest in Partnership Infrastructure</w:t>
      </w:r>
      <w:r>
        <w:br/>
      </w:r>
      <w:r>
        <w:br/>
      </w:r>
      <w:r w:rsidRPr="7E854A6E" w:rsidR="45CE8EE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Sustainable partnership working requires investment in shared information systems, joint training, and protected time for collaboration (NHS Data Dictionary, 2025). Potential impact: Improved coordination would enhance care quality and efficiency. Limitations: Investment requires political will during fiscal pressure (Morgan and Yaskey, 2025).</w:t>
      </w:r>
      <w:r>
        <w:br/>
      </w:r>
      <w:r>
        <w:br/>
      </w:r>
      <w:r w:rsidRPr="7E854A6E" w:rsidR="45CE8EEF">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8.4 Enhance Workforce Development</w:t>
      </w:r>
      <w:r>
        <w:br/>
      </w:r>
      <w:r>
        <w:br/>
      </w:r>
      <w:r w:rsidRPr="7E854A6E" w:rsidR="45CE8EE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Workforce shortages undermine implementation of both PCC and partnership working. Investment in training in co-production, ethical reasoning, and partnership skills is essential (Royal College of Physicians, 2025). Potential impact: A skilled workforce would improve both staff retention and patient outcomes. Limitations: Training alone cannot address workforce shortages; broader system reform is needed (Royal College of Nursing, 2026).</w:t>
      </w:r>
      <w:r>
        <w:br/>
      </w:r>
      <w:r>
        <w:br/>
      </w:r>
      <w:r w:rsidRPr="7E854A6E" w:rsidR="471F7A5A">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9.0 Conclusion</w:t>
      </w:r>
      <w:r>
        <w:br/>
      </w:r>
      <w:r>
        <w:br/>
      </w:r>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This report has evaluated person-centred care and partnership working within UK health and social care policy and practice. While both concepts are firmly embedded in policy, legislation, and professional standards, significant challenges </w:t>
      </w:r>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remain</w:t>
      </w:r>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in translating rhetoric into reality. The Person-centred Nursing Framework provides a robust theoretical foundation, yet its implementation is constrained by resource pressures and workforce shortages.</w:t>
      </w:r>
      <w:r>
        <w:br/>
      </w:r>
      <w:r>
        <w:br/>
      </w:r>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The CYPMHS context </w:t>
      </w:r>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demonstrates</w:t>
      </w:r>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both the potential of partnership working and the challenges of sustaining genuine engagement. Future development requires a "realistic" approach to PCC that acknowledges system constraints while </w:t>
      </w:r>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maintaining</w:t>
      </w:r>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commitment to person-centred principles. Investment in partnership infrastructure and workforce development is essential. </w:t>
      </w:r>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Ultimately, the</w:t>
      </w:r>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integration of PCC and partnership working requires system-level change that aligns policy, resources, and practice to achieve person-centred outcomes.</w:t>
      </w:r>
      <w:r>
        <w:br/>
      </w:r>
      <w:r>
        <w:br/>
      </w:r>
      <w:r w:rsidRPr="7E854A6E" w:rsidR="471F7A5A">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References</w:t>
      </w:r>
      <w:r>
        <w:br/>
      </w:r>
      <w:r>
        <w:br/>
      </w:r>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Barker, P. and Buchanan-Barker, P. (2017) 'Person-centred care: the need for a new paradigm', Mental Health Practice, 20(6), pp. 24-30.</w:t>
      </w:r>
      <w:r>
        <w:br/>
      </w:r>
      <w:r>
        <w:br/>
      </w:r>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Beauchamp, T.L. and Childress, J.F. (2019) Principles of Biomedical Ethics. 8th </w:t>
      </w:r>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edn</w:t>
      </w:r>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Oxford: Oxford University Press.</w:t>
      </w:r>
      <w:r>
        <w:br/>
      </w:r>
      <w:r>
        <w:br/>
      </w:r>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Care Quality Commission (2020) Review of children and young people's mental health services. Available at: </w:t>
      </w:r>
      <w:hyperlink r:id="R334827def4ee4ffb">
        <w:r w:rsidRPr="7E854A6E" w:rsidR="471F7A5A">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https://www.cqc.org.uk</w:t>
        </w:r>
      </w:hyperlink>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w:t>
      </w:r>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(Accessed: 11 July 2026).</w:t>
      </w:r>
      <w:r>
        <w:br/>
      </w:r>
      <w:r>
        <w:br/>
      </w:r>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Care Quality Commission (2025) Regulation 9: Person-centred care. Available at: </w:t>
      </w:r>
      <w:hyperlink r:id="R7887263ba20143bf">
        <w:r w:rsidRPr="7E854A6E" w:rsidR="471F7A5A">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https://www.cqc.org.uk</w:t>
        </w:r>
      </w:hyperlink>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w:t>
      </w:r>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(Accessed: 10 July 2026).</w:t>
      </w:r>
      <w:r>
        <w:br/>
      </w:r>
      <w:r>
        <w:br/>
      </w:r>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Department for Education (2023) Mental health and wellbeing provision for children and young people. Available at: </w:t>
      </w:r>
      <w:hyperlink r:id="R8135cea9ca594d50">
        <w:r w:rsidRPr="7E854A6E" w:rsidR="471F7A5A">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https://www.gov.uk</w:t>
        </w:r>
      </w:hyperlink>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w:t>
      </w:r>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(Accessed: 10 July 2026).</w:t>
      </w:r>
      <w:r>
        <w:br/>
      </w:r>
      <w:r>
        <w:br/>
      </w:r>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Department of Health and Social Care (2014) Care Act 2014: guidance. Available at: </w:t>
      </w:r>
      <w:hyperlink r:id="R995ddf0c955a4813">
        <w:r w:rsidRPr="7E854A6E" w:rsidR="471F7A5A">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https://www.gov.uk</w:t>
        </w:r>
      </w:hyperlink>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w:t>
      </w:r>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(Accessed: 12 July 2026).</w:t>
      </w:r>
      <w:r>
        <w:br/>
      </w:r>
      <w:r>
        <w:br/>
      </w:r>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Department of Health and Social Care (2021) Mental Capacity Act 2005: Code of Practice. London: TSO.</w:t>
      </w:r>
      <w:r>
        <w:br/>
      </w:r>
      <w:r>
        <w:br/>
      </w:r>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Dickinson, H. and Glasby, J. (2010) 'The evidence base for partnership working', in Glasby, J. and Dickinson, H. (eds.) Partnership Working in Health and Social Care. Bristol: Policy Press, pp. 127-144.</w:t>
      </w:r>
      <w:r>
        <w:br/>
      </w:r>
      <w:r>
        <w:br/>
      </w:r>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Elysium Healthcare (2025) Co-production: 'Working Together' with Young People in CYPMHS. Available at: </w:t>
      </w:r>
      <w:hyperlink r:id="Rab8e59e34da54634">
        <w:r w:rsidRPr="7E854A6E" w:rsidR="471F7A5A">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https://www.elysiumhealthcare.co.uk</w:t>
        </w:r>
      </w:hyperlink>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w:t>
      </w:r>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(Accessed: 12 July 2026).</w:t>
      </w:r>
      <w:r>
        <w:br/>
      </w:r>
      <w:r>
        <w:br/>
      </w:r>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Fairer Health for All Academy (2025) Prevention and Proactive Care. Available at: </w:t>
      </w:r>
      <w:hyperlink r:id="R2005f43316344d39">
        <w:r w:rsidRPr="7E854A6E" w:rsidR="471F7A5A">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https://fairerhealthacademy.gmtableau.nhs.uk</w:t>
        </w:r>
      </w:hyperlink>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w:t>
      </w:r>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(Accessed: 12 July 2026).</w:t>
      </w:r>
      <w:r>
        <w:br/>
      </w:r>
      <w:r>
        <w:br/>
      </w:r>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Glasby, J. and Dickinson, H. (2014) Partnership Working in Health and Social Care. 2nd </w:t>
      </w:r>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edn</w:t>
      </w:r>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Bristol: Policy Press.</w:t>
      </w:r>
      <w:r>
        <w:br/>
      </w:r>
      <w:r>
        <w:br/>
      </w:r>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Health and Care Professions Council (2024) Standards of conduct, performance and ethics. Available at: </w:t>
      </w:r>
      <w:hyperlink r:id="R4c506089fa3a4ec0">
        <w:r w:rsidRPr="7E854A6E" w:rsidR="471F7A5A">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https://www.hcpc-uk.org</w:t>
        </w:r>
      </w:hyperlink>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w:t>
      </w:r>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(Accessed: 10 July 2026).</w:t>
      </w:r>
      <w:r>
        <w:br/>
      </w:r>
      <w:r>
        <w:br/>
      </w:r>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Health Foundation (2015) Person-centred care made simple. Available at: </w:t>
      </w:r>
      <w:hyperlink r:id="R067e2e4c55b1428d">
        <w:r w:rsidRPr="7E854A6E" w:rsidR="471F7A5A">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https://www.health.org.uk</w:t>
        </w:r>
      </w:hyperlink>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w:t>
      </w:r>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(Accessed: 11 July 2026).</w:t>
      </w:r>
      <w:r>
        <w:br/>
      </w:r>
      <w:r>
        <w:br/>
      </w:r>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Leplege, A., </w:t>
      </w:r>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Gzil</w:t>
      </w:r>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F., Cammelli, M., </w:t>
      </w:r>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Lefeve</w:t>
      </w:r>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C., </w:t>
      </w:r>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Pachoud</w:t>
      </w:r>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B. and Ville, I. (2021) 'Person-centredness: conceptual and historical perspectives', Disability and Rehabilitation, 43(5), pp. 731-742.</w:t>
      </w:r>
      <w:r>
        <w:br/>
      </w:r>
      <w:r>
        <w:br/>
      </w:r>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McCance, T. and McCormack, B. (2025) 'The Person-centred Nursing Framework: a mid-range theory for nursing practice', Journal of Research in Nursing, pp. 1-14.</w:t>
      </w:r>
      <w:r>
        <w:br/>
      </w:r>
      <w:r>
        <w:br/>
      </w:r>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McCormack, B. and McCance, T. (2006) 'Development of a framework for person-centred nursing', Journal of Advanced Nursing, 56(5), pp. 472-479.</w:t>
      </w:r>
      <w:r>
        <w:br/>
      </w:r>
      <w:r>
        <w:br/>
      </w:r>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McCormack, B. and McCance, T. (2025) 'Person-centred nursing: theory and practice', in Fundamentals of Nursing. Elsevier, pp. 89-104.</w:t>
      </w:r>
      <w:r>
        <w:br/>
      </w:r>
      <w:r>
        <w:br/>
      </w:r>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McCormack, B., McCance, T., Bulley, C., Brown, D., McMillan, A. and Martin, S. (2021) Person-centred Practice in Nursing and Health Care. 3rd </w:t>
      </w:r>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edn</w:t>
      </w:r>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Oxford: Wiley-Blackwell.</w:t>
      </w:r>
      <w:r>
        <w:br/>
      </w:r>
      <w:r>
        <w:br/>
      </w:r>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Morgan, H. and Yaskey, R. (2025) 'Partnership working in health and social care: a critical review', Journal of Integrated Care, 33(2), pp. 112-128.</w:t>
      </w:r>
      <w:r>
        <w:br/>
      </w:r>
      <w:r>
        <w:br/>
      </w:r>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National Institute for Health and Care Excellence (2025) Principles for person-centred care. Available at: </w:t>
      </w:r>
      <w:hyperlink r:id="Re0ceb6fc43244e1a">
        <w:r w:rsidRPr="7E854A6E" w:rsidR="471F7A5A">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https://www.nice.org.uk</w:t>
        </w:r>
      </w:hyperlink>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w:t>
      </w:r>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(Accessed: 10 July 2026).</w:t>
      </w:r>
      <w:r>
        <w:br/>
      </w:r>
      <w:r>
        <w:br/>
      </w:r>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NHS Data Dictionary (2025) Integrated Care Partnerships. Available at: </w:t>
      </w:r>
      <w:hyperlink r:id="R523b5c0898184a37">
        <w:r w:rsidRPr="7E854A6E" w:rsidR="471F7A5A">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https://www.datadictionary.nhs.uk</w:t>
        </w:r>
      </w:hyperlink>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w:t>
      </w:r>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(Accessed: 11 July 2026).</w:t>
      </w:r>
      <w:r>
        <w:br/>
      </w:r>
      <w:r>
        <w:br/>
      </w:r>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NHS England (2019) The NHS Long Term Plan. Available at: </w:t>
      </w:r>
      <w:hyperlink r:id="R2170c27e758a4917">
        <w:r w:rsidRPr="7E854A6E" w:rsidR="471F7A5A">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https://www.longtermplan.nhs.uk</w:t>
        </w:r>
      </w:hyperlink>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w:t>
      </w:r>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(Accessed: 12 July 2026).</w:t>
      </w:r>
      <w:r>
        <w:br/>
      </w:r>
      <w:r>
        <w:br/>
      </w:r>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NHS England (2022) Integrated Care Systems: design framework. Available at: </w:t>
      </w:r>
      <w:hyperlink r:id="R3ad481c28c744332">
        <w:r w:rsidRPr="7E854A6E" w:rsidR="471F7A5A">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https://www.england.nhs.uk</w:t>
        </w:r>
      </w:hyperlink>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w:t>
      </w:r>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(Accessed: 11 July 2026).</w:t>
      </w:r>
      <w:r>
        <w:br/>
      </w:r>
      <w:r>
        <w:br/>
      </w:r>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Royal College of Nursing (2026) Realistic person-centred care. Available at: </w:t>
      </w:r>
      <w:hyperlink r:id="R6277e3741df24c3f">
        <w:r w:rsidRPr="7E854A6E" w:rsidR="471F7A5A">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https://www.rcn.org.uk</w:t>
        </w:r>
      </w:hyperlink>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w:t>
      </w:r>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(Accessed: 11 July 2026).</w:t>
      </w:r>
      <w:r>
        <w:br/>
      </w:r>
      <w:r>
        <w:br/>
      </w:r>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Royal College of Physicians (2025) Time to focus on the blue dots. Available at: </w:t>
      </w:r>
      <w:hyperlink r:id="R1cc44e91092f453c">
        <w:r w:rsidRPr="7E854A6E" w:rsidR="471F7A5A">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https://www.rcp.ac.uk</w:t>
        </w:r>
      </w:hyperlink>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w:t>
      </w:r>
      <w:r w:rsidRPr="7E854A6E" w:rsidR="471F7A5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(Accessed: 12 July)</w:t>
      </w:r>
      <w:r w:rsidRPr="7E854A6E" w:rsidR="2794E43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w:t>
      </w:r>
    </w:p>
    <w:sectPr>
      <w:pgSz w:w="11906" w:h="16838" w:orient="portrait"/>
      <w:pgMar w:top="1440" w:right="1440" w:bottom="1440" w:left="1440" w:header="720" w:footer="720" w:gutter="0"/>
      <w:cols w:space="720"/>
      <w:docGrid w:linePitch="360"/>
      <w:headerReference w:type="default" r:id="R46a0564a4faf46b7"/>
      <w:footerReference w:type="default" r:id="R377c60b319164bf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E854A6E" w:rsidTr="7E854A6E" w14:paraId="7A0CC8F7">
      <w:trPr>
        <w:trHeight w:val="300"/>
      </w:trPr>
      <w:tc>
        <w:tcPr>
          <w:tcW w:w="3005" w:type="dxa"/>
          <w:tcMar/>
        </w:tcPr>
        <w:p w:rsidR="7E854A6E" w:rsidP="7E854A6E" w:rsidRDefault="7E854A6E" w14:paraId="038AA4D1" w14:textId="05D4EFF2">
          <w:pPr>
            <w:pStyle w:val="Header"/>
            <w:bidi w:val="0"/>
            <w:ind w:left="-115"/>
            <w:jc w:val="left"/>
          </w:pPr>
        </w:p>
      </w:tc>
      <w:tc>
        <w:tcPr>
          <w:tcW w:w="3005" w:type="dxa"/>
          <w:tcMar/>
        </w:tcPr>
        <w:p w:rsidR="7E854A6E" w:rsidP="7E854A6E" w:rsidRDefault="7E854A6E" w14:paraId="03CC41D7" w14:textId="721F5044">
          <w:pPr>
            <w:pStyle w:val="Header"/>
            <w:bidi w:val="0"/>
            <w:jc w:val="center"/>
          </w:pPr>
        </w:p>
      </w:tc>
      <w:tc>
        <w:tcPr>
          <w:tcW w:w="3005" w:type="dxa"/>
          <w:tcMar/>
        </w:tcPr>
        <w:p w:rsidR="7E854A6E" w:rsidP="7E854A6E" w:rsidRDefault="7E854A6E" w14:paraId="72A7F575" w14:textId="46541054">
          <w:pPr>
            <w:pStyle w:val="Header"/>
            <w:bidi w:val="0"/>
            <w:ind w:right="-115"/>
            <w:jc w:val="right"/>
          </w:pPr>
          <w:r>
            <w:fldChar w:fldCharType="begin"/>
          </w:r>
          <w:r>
            <w:instrText xml:space="preserve">PAGE</w:instrText>
          </w:r>
          <w:r>
            <w:fldChar w:fldCharType="separate"/>
          </w:r>
          <w:r>
            <w:fldChar w:fldCharType="end"/>
          </w:r>
        </w:p>
      </w:tc>
    </w:tr>
  </w:tbl>
  <w:p w:rsidR="7E854A6E" w:rsidP="7E854A6E" w:rsidRDefault="7E854A6E" w14:paraId="6670015B" w14:textId="10C0831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E854A6E" w:rsidTr="7E854A6E" w14:paraId="7761C27E">
      <w:trPr>
        <w:trHeight w:val="300"/>
      </w:trPr>
      <w:tc>
        <w:tcPr>
          <w:tcW w:w="3005" w:type="dxa"/>
          <w:tcMar/>
        </w:tcPr>
        <w:p w:rsidR="7E854A6E" w:rsidP="7E854A6E" w:rsidRDefault="7E854A6E" w14:paraId="273CD973" w14:textId="6F6EADDF">
          <w:pPr>
            <w:pStyle w:val="Header"/>
            <w:bidi w:val="0"/>
            <w:ind w:left="-115"/>
            <w:jc w:val="left"/>
          </w:pPr>
        </w:p>
      </w:tc>
      <w:tc>
        <w:tcPr>
          <w:tcW w:w="3005" w:type="dxa"/>
          <w:tcMar/>
        </w:tcPr>
        <w:p w:rsidR="7E854A6E" w:rsidP="7E854A6E" w:rsidRDefault="7E854A6E" w14:paraId="4DFEACFF" w14:textId="6FE8F7E5">
          <w:pPr>
            <w:pStyle w:val="Header"/>
            <w:bidi w:val="0"/>
            <w:jc w:val="center"/>
          </w:pPr>
        </w:p>
      </w:tc>
      <w:tc>
        <w:tcPr>
          <w:tcW w:w="3005" w:type="dxa"/>
          <w:tcMar/>
        </w:tcPr>
        <w:p w:rsidR="7E854A6E" w:rsidP="7E854A6E" w:rsidRDefault="7E854A6E" w14:paraId="3BC58805" w14:textId="7C4B52B4">
          <w:pPr>
            <w:pStyle w:val="Header"/>
            <w:bidi w:val="0"/>
            <w:ind w:right="-115"/>
            <w:jc w:val="right"/>
          </w:pPr>
        </w:p>
      </w:tc>
    </w:tr>
  </w:tbl>
  <w:p w:rsidR="7E854A6E" w:rsidP="7E854A6E" w:rsidRDefault="7E854A6E" w14:paraId="54BF7EB7" w14:textId="402D656D">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93B694"/>
    <w:rsid w:val="016D454F"/>
    <w:rsid w:val="01D3C4D5"/>
    <w:rsid w:val="024F6C4A"/>
    <w:rsid w:val="0293B694"/>
    <w:rsid w:val="06D818BD"/>
    <w:rsid w:val="083C5BE1"/>
    <w:rsid w:val="087F34AD"/>
    <w:rsid w:val="09499C48"/>
    <w:rsid w:val="0A1EC85E"/>
    <w:rsid w:val="0A2FA5F5"/>
    <w:rsid w:val="10163B3C"/>
    <w:rsid w:val="1033E3AB"/>
    <w:rsid w:val="14852E95"/>
    <w:rsid w:val="15294A31"/>
    <w:rsid w:val="15EE79C3"/>
    <w:rsid w:val="1662AD93"/>
    <w:rsid w:val="18A2B214"/>
    <w:rsid w:val="18B471DF"/>
    <w:rsid w:val="1DED72F7"/>
    <w:rsid w:val="200DB862"/>
    <w:rsid w:val="2384F1FF"/>
    <w:rsid w:val="25769050"/>
    <w:rsid w:val="2615C83C"/>
    <w:rsid w:val="262C39C0"/>
    <w:rsid w:val="2794E432"/>
    <w:rsid w:val="28A40EFD"/>
    <w:rsid w:val="28C12FAD"/>
    <w:rsid w:val="2B07F6B8"/>
    <w:rsid w:val="2B1F5B2C"/>
    <w:rsid w:val="2B5DE0F5"/>
    <w:rsid w:val="2C645C34"/>
    <w:rsid w:val="2FCB3B48"/>
    <w:rsid w:val="35392649"/>
    <w:rsid w:val="35C7824B"/>
    <w:rsid w:val="36914396"/>
    <w:rsid w:val="371076EB"/>
    <w:rsid w:val="391354DC"/>
    <w:rsid w:val="3BA7CDAF"/>
    <w:rsid w:val="3DF7C65B"/>
    <w:rsid w:val="3E3554BC"/>
    <w:rsid w:val="3E9A4698"/>
    <w:rsid w:val="3EE59A27"/>
    <w:rsid w:val="4011C273"/>
    <w:rsid w:val="40196D7D"/>
    <w:rsid w:val="43F2275F"/>
    <w:rsid w:val="44CD6FE4"/>
    <w:rsid w:val="45CE8EEF"/>
    <w:rsid w:val="45E44534"/>
    <w:rsid w:val="471F7A5A"/>
    <w:rsid w:val="4A711BF3"/>
    <w:rsid w:val="4AD0EBF9"/>
    <w:rsid w:val="4C44F601"/>
    <w:rsid w:val="4CB82F5A"/>
    <w:rsid w:val="4DA43B41"/>
    <w:rsid w:val="525F2B70"/>
    <w:rsid w:val="527357BB"/>
    <w:rsid w:val="54F82287"/>
    <w:rsid w:val="55B98C3A"/>
    <w:rsid w:val="564A73A6"/>
    <w:rsid w:val="5A78511F"/>
    <w:rsid w:val="5BC2260C"/>
    <w:rsid w:val="5C08A24F"/>
    <w:rsid w:val="5C0E131C"/>
    <w:rsid w:val="5C705E1C"/>
    <w:rsid w:val="5D85833F"/>
    <w:rsid w:val="5F16D6EE"/>
    <w:rsid w:val="5F8713E8"/>
    <w:rsid w:val="66A5F27C"/>
    <w:rsid w:val="67BDD1E0"/>
    <w:rsid w:val="6CC3498C"/>
    <w:rsid w:val="6DE34AE0"/>
    <w:rsid w:val="6E9E5457"/>
    <w:rsid w:val="7341AC63"/>
    <w:rsid w:val="73DE4E80"/>
    <w:rsid w:val="73F4AB1A"/>
    <w:rsid w:val="74EEA145"/>
    <w:rsid w:val="77D8F56F"/>
    <w:rsid w:val="7811EA84"/>
    <w:rsid w:val="797DC38D"/>
    <w:rsid w:val="7DC1B9E9"/>
    <w:rsid w:val="7E854A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C8C440"/>
  <w15:chartTrackingRefBased/>
  <w15:docId w15:val="{E66AF984-86D8-49FA-8873-5F8BCBE2531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7E854A6E"/>
    <w:rPr>
      <w:color w:val="467886"/>
      <w:u w:val="single"/>
    </w:rPr>
  </w:style>
  <w:style w:type="paragraph" w:styleId="Header">
    <w:uiPriority w:val="99"/>
    <w:name w:val="header"/>
    <w:basedOn w:val="Normal"/>
    <w:unhideWhenUsed/>
    <w:rsid w:val="7E854A6E"/>
    <w:pPr>
      <w:tabs>
        <w:tab w:val="center" w:leader="none" w:pos="4680"/>
        <w:tab w:val="right" w:leader="none" w:pos="9360"/>
      </w:tabs>
      <w:spacing w:after="0" w:line="240" w:lineRule="auto"/>
    </w:pPr>
  </w:style>
  <w:style w:type="paragraph" w:styleId="Footer">
    <w:uiPriority w:val="99"/>
    <w:name w:val="footer"/>
    <w:basedOn w:val="Normal"/>
    <w:unhideWhenUsed/>
    <w:rsid w:val="7E854A6E"/>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qc.org.uk/" TargetMode="External" Id="R334827def4ee4ffb" /><Relationship Type="http://schemas.openxmlformats.org/officeDocument/2006/relationships/hyperlink" Target="https://www.cqc.org.uk/" TargetMode="External" Id="R7887263ba20143bf" /><Relationship Type="http://schemas.openxmlformats.org/officeDocument/2006/relationships/hyperlink" Target="https://www.gov.uk/" TargetMode="External" Id="R8135cea9ca594d50" /><Relationship Type="http://schemas.openxmlformats.org/officeDocument/2006/relationships/hyperlink" Target="https://www.gov.uk/" TargetMode="External" Id="R995ddf0c955a4813" /><Relationship Type="http://schemas.openxmlformats.org/officeDocument/2006/relationships/hyperlink" Target="https://www.elysiumhealthcare.co.uk/" TargetMode="External" Id="Rab8e59e34da54634" /><Relationship Type="http://schemas.openxmlformats.org/officeDocument/2006/relationships/hyperlink" Target="https://fairerhealthacademy.gmtableau.nhs.uk/" TargetMode="External" Id="R2005f43316344d39" /><Relationship Type="http://schemas.openxmlformats.org/officeDocument/2006/relationships/hyperlink" Target="https://www.hcpc-uk.org/" TargetMode="External" Id="R4c506089fa3a4ec0" /><Relationship Type="http://schemas.openxmlformats.org/officeDocument/2006/relationships/hyperlink" Target="https://www.health.org.uk/" TargetMode="External" Id="R067e2e4c55b1428d" /><Relationship Type="http://schemas.openxmlformats.org/officeDocument/2006/relationships/hyperlink" Target="https://www.nice.org.uk/" TargetMode="External" Id="Re0ceb6fc43244e1a" /><Relationship Type="http://schemas.openxmlformats.org/officeDocument/2006/relationships/hyperlink" Target="https://www.datadictionary.nhs.uk/" TargetMode="External" Id="R523b5c0898184a37" /><Relationship Type="http://schemas.openxmlformats.org/officeDocument/2006/relationships/hyperlink" Target="https://www.longtermplan.nhs.uk/" TargetMode="External" Id="R2170c27e758a4917" /><Relationship Type="http://schemas.openxmlformats.org/officeDocument/2006/relationships/hyperlink" Target="https://www.england.nhs.uk/" TargetMode="External" Id="R3ad481c28c744332" /><Relationship Type="http://schemas.openxmlformats.org/officeDocument/2006/relationships/hyperlink" Target="https://www.rcn.org.uk/" TargetMode="External" Id="R6277e3741df24c3f" /><Relationship Type="http://schemas.openxmlformats.org/officeDocument/2006/relationships/hyperlink" Target="https://www.rcp.ac.uk/" TargetMode="External" Id="R1cc44e91092f453c" /><Relationship Type="http://schemas.openxmlformats.org/officeDocument/2006/relationships/header" Target="/word/header.xml" Id="R46a0564a4faf46b7" /><Relationship Type="http://schemas.openxmlformats.org/officeDocument/2006/relationships/footer" Target="/word/footer.xml" Id="R377c60b319164bf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Sadia Ousman (2235624)</dc:creator>
  <keywords/>
  <dc:description/>
  <lastModifiedBy>Sadia Ousman (2235624)</lastModifiedBy>
  <revision>2</revision>
  <dcterms:created xsi:type="dcterms:W3CDTF">2026-07-24T23:14:58.0746073Z</dcterms:created>
  <dcterms:modified xsi:type="dcterms:W3CDTF">2026-07-25T01:35:51.9849131Z</dcterms:modified>
</coreProperties>
</file>