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24AD3" w14:textId="77777777" w:rsidR="006E218A" w:rsidRDefault="006E218A"/>
    <w:p w14:paraId="59204330" w14:textId="77777777" w:rsidR="006E218A" w:rsidRDefault="006E218A"/>
    <w:p w14:paraId="37CC616D" w14:textId="77777777" w:rsidR="006E218A" w:rsidRDefault="006E218A"/>
    <w:p w14:paraId="7AB3CFD7" w14:textId="77777777" w:rsidR="006E218A" w:rsidRDefault="006E218A"/>
    <w:p w14:paraId="05425789" w14:textId="37A0A6B6" w:rsidR="008A197F" w:rsidRDefault="006E218A" w:rsidP="006E218A">
      <w:pPr>
        <w:jc w:val="center"/>
        <w:rPr>
          <w:sz w:val="52"/>
          <w:szCs w:val="52"/>
        </w:rPr>
      </w:pPr>
      <w:r w:rsidRPr="006E218A">
        <w:rPr>
          <w:sz w:val="52"/>
          <w:szCs w:val="52"/>
        </w:rPr>
        <w:t>Financial Management for the Hotel Industry</w:t>
      </w:r>
    </w:p>
    <w:p w14:paraId="7D1D9006" w14:textId="77777777" w:rsidR="00BA6044" w:rsidRDefault="00BA6044" w:rsidP="00BA6044">
      <w:pPr>
        <w:spacing w:before="0" w:after="160" w:line="259" w:lineRule="auto"/>
        <w:jc w:val="left"/>
        <w:rPr>
          <w:szCs w:val="24"/>
        </w:rPr>
      </w:pPr>
    </w:p>
    <w:p w14:paraId="7FA9B5B8" w14:textId="77777777" w:rsidR="00BA6044" w:rsidRDefault="00BA6044" w:rsidP="00BA6044">
      <w:pPr>
        <w:spacing w:before="0" w:after="160" w:line="259" w:lineRule="auto"/>
        <w:jc w:val="left"/>
        <w:rPr>
          <w:szCs w:val="24"/>
        </w:rPr>
      </w:pPr>
    </w:p>
    <w:p w14:paraId="12330E74" w14:textId="77777777" w:rsidR="00BA6044" w:rsidRDefault="00BA6044" w:rsidP="00BA6044">
      <w:pPr>
        <w:spacing w:before="0" w:after="160" w:line="259" w:lineRule="auto"/>
        <w:jc w:val="left"/>
        <w:rPr>
          <w:szCs w:val="24"/>
        </w:rPr>
      </w:pPr>
    </w:p>
    <w:p w14:paraId="58B3488B" w14:textId="77777777" w:rsidR="00BA6044" w:rsidRDefault="00BA6044" w:rsidP="00BA6044">
      <w:pPr>
        <w:spacing w:before="0" w:after="160" w:line="259" w:lineRule="auto"/>
        <w:jc w:val="left"/>
        <w:rPr>
          <w:szCs w:val="24"/>
        </w:rPr>
      </w:pPr>
    </w:p>
    <w:p w14:paraId="330C2543" w14:textId="77777777" w:rsidR="00BA6044" w:rsidRDefault="00BA6044" w:rsidP="00BA6044">
      <w:pPr>
        <w:spacing w:before="0" w:after="160" w:line="259" w:lineRule="auto"/>
        <w:jc w:val="left"/>
        <w:rPr>
          <w:szCs w:val="24"/>
        </w:rPr>
      </w:pPr>
    </w:p>
    <w:p w14:paraId="7F7E12B9" w14:textId="77777777" w:rsidR="00BA6044" w:rsidRDefault="00BA6044" w:rsidP="00BA6044">
      <w:pPr>
        <w:spacing w:before="0" w:after="160" w:line="259" w:lineRule="auto"/>
        <w:jc w:val="left"/>
        <w:rPr>
          <w:szCs w:val="24"/>
        </w:rPr>
      </w:pPr>
    </w:p>
    <w:p w14:paraId="205BDC9E" w14:textId="77777777" w:rsidR="00BA6044" w:rsidRDefault="00BA6044" w:rsidP="00BA6044">
      <w:pPr>
        <w:spacing w:before="0" w:after="160" w:line="259" w:lineRule="auto"/>
        <w:jc w:val="left"/>
        <w:rPr>
          <w:szCs w:val="24"/>
        </w:rPr>
      </w:pPr>
    </w:p>
    <w:p w14:paraId="646B1B57" w14:textId="77777777" w:rsidR="00BA6044" w:rsidRDefault="00BA6044" w:rsidP="00BA6044">
      <w:pPr>
        <w:spacing w:before="0" w:after="160" w:line="259" w:lineRule="auto"/>
        <w:jc w:val="left"/>
        <w:rPr>
          <w:szCs w:val="24"/>
        </w:rPr>
      </w:pPr>
    </w:p>
    <w:p w14:paraId="60299871" w14:textId="77777777" w:rsidR="00BA6044" w:rsidRDefault="00BA6044" w:rsidP="00BA6044">
      <w:pPr>
        <w:spacing w:before="0" w:after="160" w:line="259" w:lineRule="auto"/>
        <w:jc w:val="left"/>
        <w:rPr>
          <w:szCs w:val="24"/>
        </w:rPr>
      </w:pPr>
    </w:p>
    <w:p w14:paraId="7E3500A3" w14:textId="77777777" w:rsidR="00BA6044" w:rsidRDefault="00BA6044" w:rsidP="00BA6044">
      <w:pPr>
        <w:spacing w:before="0" w:after="160" w:line="259" w:lineRule="auto"/>
        <w:jc w:val="left"/>
        <w:rPr>
          <w:szCs w:val="24"/>
        </w:rPr>
      </w:pPr>
    </w:p>
    <w:p w14:paraId="3B3359A4" w14:textId="77777777" w:rsidR="00BA6044" w:rsidRDefault="00BA6044" w:rsidP="00BA6044">
      <w:pPr>
        <w:spacing w:before="0" w:after="160" w:line="259" w:lineRule="auto"/>
        <w:jc w:val="left"/>
        <w:rPr>
          <w:szCs w:val="24"/>
        </w:rPr>
      </w:pPr>
    </w:p>
    <w:p w14:paraId="4F7C44F7" w14:textId="77777777" w:rsidR="00BA6044" w:rsidRDefault="00BA6044" w:rsidP="00BA6044">
      <w:pPr>
        <w:spacing w:before="0" w:after="160" w:line="259" w:lineRule="auto"/>
        <w:jc w:val="left"/>
        <w:rPr>
          <w:szCs w:val="24"/>
        </w:rPr>
      </w:pPr>
    </w:p>
    <w:p w14:paraId="06EC84D6" w14:textId="3C02B8E7" w:rsidR="00BA6044" w:rsidRPr="00BA6044" w:rsidRDefault="00BA6044" w:rsidP="00BA6044">
      <w:pPr>
        <w:spacing w:before="0" w:after="160" w:line="259" w:lineRule="auto"/>
        <w:jc w:val="left"/>
        <w:rPr>
          <w:szCs w:val="24"/>
        </w:rPr>
      </w:pPr>
      <w:r w:rsidRPr="00BA6044">
        <w:rPr>
          <w:szCs w:val="24"/>
        </w:rPr>
        <w:t xml:space="preserve">Student Name: Alexandra Felicia </w:t>
      </w:r>
      <w:proofErr w:type="spellStart"/>
      <w:r w:rsidRPr="00BA6044">
        <w:rPr>
          <w:szCs w:val="24"/>
        </w:rPr>
        <w:t>Ivanovici</w:t>
      </w:r>
      <w:proofErr w:type="spellEnd"/>
    </w:p>
    <w:p w14:paraId="3AB0C44F" w14:textId="77777777" w:rsidR="00BA6044" w:rsidRPr="00BA6044" w:rsidRDefault="00BA6044" w:rsidP="00BA6044">
      <w:pPr>
        <w:spacing w:before="0" w:after="160" w:line="259" w:lineRule="auto"/>
        <w:jc w:val="left"/>
        <w:rPr>
          <w:szCs w:val="24"/>
        </w:rPr>
      </w:pPr>
      <w:r w:rsidRPr="00BA6044">
        <w:rPr>
          <w:szCs w:val="24"/>
        </w:rPr>
        <w:t>Student ID: 2027274</w:t>
      </w:r>
    </w:p>
    <w:p w14:paraId="2A67D7E1" w14:textId="77777777" w:rsidR="00BA6044" w:rsidRPr="00BA6044" w:rsidRDefault="00BA6044" w:rsidP="00BA6044">
      <w:pPr>
        <w:spacing w:before="0" w:after="160" w:line="259" w:lineRule="auto"/>
        <w:jc w:val="left"/>
        <w:rPr>
          <w:szCs w:val="24"/>
        </w:rPr>
      </w:pPr>
      <w:r w:rsidRPr="00BA6044">
        <w:rPr>
          <w:szCs w:val="24"/>
        </w:rPr>
        <w:t>Module: Entrepreneurship and Financial management</w:t>
      </w:r>
    </w:p>
    <w:p w14:paraId="29287334" w14:textId="282FB921" w:rsidR="006E218A" w:rsidRDefault="00BA6044" w:rsidP="00BA6044">
      <w:pPr>
        <w:spacing w:before="0" w:after="160" w:line="259" w:lineRule="auto"/>
        <w:jc w:val="left"/>
        <w:rPr>
          <w:sz w:val="52"/>
          <w:szCs w:val="52"/>
        </w:rPr>
      </w:pPr>
      <w:r w:rsidRPr="00BA6044">
        <w:rPr>
          <w:szCs w:val="24"/>
        </w:rPr>
        <w:t>Lecturer name: Dale Clarke</w:t>
      </w:r>
      <w:r w:rsidR="006E218A">
        <w:rPr>
          <w:sz w:val="52"/>
          <w:szCs w:val="52"/>
        </w:rPr>
        <w:br w:type="page"/>
      </w:r>
    </w:p>
    <w:sdt>
      <w:sdtPr>
        <w:rPr>
          <w:rFonts w:ascii="Arial" w:eastAsiaTheme="minorHAnsi" w:hAnsi="Arial" w:cstheme="minorBidi"/>
          <w:color w:val="auto"/>
          <w:sz w:val="24"/>
          <w:szCs w:val="22"/>
          <w:lang w:val="en-GB"/>
        </w:rPr>
        <w:id w:val="-1512141880"/>
        <w:docPartObj>
          <w:docPartGallery w:val="Table of Contents"/>
          <w:docPartUnique/>
        </w:docPartObj>
      </w:sdtPr>
      <w:sdtEndPr>
        <w:rPr>
          <w:b/>
          <w:bCs/>
          <w:noProof/>
        </w:rPr>
      </w:sdtEndPr>
      <w:sdtContent>
        <w:p w14:paraId="6DCF1CF8" w14:textId="385F97A7" w:rsidR="00B265B6" w:rsidRPr="00B265B6" w:rsidRDefault="00B265B6" w:rsidP="00B265B6">
          <w:pPr>
            <w:pStyle w:val="TOCHeading"/>
            <w:jc w:val="center"/>
            <w:rPr>
              <w:rStyle w:val="Heading1Char"/>
            </w:rPr>
          </w:pPr>
          <w:r w:rsidRPr="00B265B6">
            <w:rPr>
              <w:rStyle w:val="Heading1Char"/>
            </w:rPr>
            <w:t>Contents</w:t>
          </w:r>
        </w:p>
        <w:p w14:paraId="72BB3CCB" w14:textId="184373FA" w:rsidR="00B265B6" w:rsidRDefault="00B265B6">
          <w:pPr>
            <w:pStyle w:val="TOC1"/>
            <w:tabs>
              <w:tab w:val="right" w:leader="dot" w:pos="9350"/>
            </w:tabs>
            <w:rPr>
              <w:noProof/>
            </w:rPr>
          </w:pPr>
          <w:r>
            <w:fldChar w:fldCharType="begin"/>
          </w:r>
          <w:r>
            <w:instrText xml:space="preserve"> TOC \o "1-3" \h \z \u </w:instrText>
          </w:r>
          <w:r>
            <w:fldChar w:fldCharType="separate"/>
          </w:r>
          <w:hyperlink w:anchor="_Toc120634365" w:history="1">
            <w:r w:rsidRPr="00C142CA">
              <w:rPr>
                <w:rStyle w:val="Hyperlink"/>
                <w:noProof/>
              </w:rPr>
              <w:t>Introduction</w:t>
            </w:r>
            <w:r>
              <w:rPr>
                <w:noProof/>
                <w:webHidden/>
              </w:rPr>
              <w:tab/>
            </w:r>
            <w:r>
              <w:rPr>
                <w:noProof/>
                <w:webHidden/>
              </w:rPr>
              <w:fldChar w:fldCharType="begin"/>
            </w:r>
            <w:r>
              <w:rPr>
                <w:noProof/>
                <w:webHidden/>
              </w:rPr>
              <w:instrText xml:space="preserve"> PAGEREF _Toc120634365 \h </w:instrText>
            </w:r>
            <w:r>
              <w:rPr>
                <w:noProof/>
                <w:webHidden/>
              </w:rPr>
            </w:r>
            <w:r>
              <w:rPr>
                <w:noProof/>
                <w:webHidden/>
              </w:rPr>
              <w:fldChar w:fldCharType="separate"/>
            </w:r>
            <w:r>
              <w:rPr>
                <w:noProof/>
                <w:webHidden/>
              </w:rPr>
              <w:t>3</w:t>
            </w:r>
            <w:r>
              <w:rPr>
                <w:noProof/>
                <w:webHidden/>
              </w:rPr>
              <w:fldChar w:fldCharType="end"/>
            </w:r>
          </w:hyperlink>
        </w:p>
        <w:p w14:paraId="14182C7D" w14:textId="59B1916C" w:rsidR="00B265B6" w:rsidRDefault="00000000">
          <w:pPr>
            <w:pStyle w:val="TOC1"/>
            <w:tabs>
              <w:tab w:val="right" w:leader="dot" w:pos="9350"/>
            </w:tabs>
            <w:rPr>
              <w:noProof/>
            </w:rPr>
          </w:pPr>
          <w:hyperlink w:anchor="_Toc120634366" w:history="1">
            <w:r w:rsidR="00B265B6" w:rsidRPr="00C142CA">
              <w:rPr>
                <w:rStyle w:val="Hyperlink"/>
                <w:noProof/>
              </w:rPr>
              <w:t>Analysing Marriott International’s Financial Ratios</w:t>
            </w:r>
            <w:r w:rsidR="00B265B6">
              <w:rPr>
                <w:noProof/>
                <w:webHidden/>
              </w:rPr>
              <w:tab/>
            </w:r>
            <w:r w:rsidR="00B265B6">
              <w:rPr>
                <w:noProof/>
                <w:webHidden/>
              </w:rPr>
              <w:fldChar w:fldCharType="begin"/>
            </w:r>
            <w:r w:rsidR="00B265B6">
              <w:rPr>
                <w:noProof/>
                <w:webHidden/>
              </w:rPr>
              <w:instrText xml:space="preserve"> PAGEREF _Toc120634366 \h </w:instrText>
            </w:r>
            <w:r w:rsidR="00B265B6">
              <w:rPr>
                <w:noProof/>
                <w:webHidden/>
              </w:rPr>
            </w:r>
            <w:r w:rsidR="00B265B6">
              <w:rPr>
                <w:noProof/>
                <w:webHidden/>
              </w:rPr>
              <w:fldChar w:fldCharType="separate"/>
            </w:r>
            <w:r w:rsidR="00B265B6">
              <w:rPr>
                <w:noProof/>
                <w:webHidden/>
              </w:rPr>
              <w:t>4</w:t>
            </w:r>
            <w:r w:rsidR="00B265B6">
              <w:rPr>
                <w:noProof/>
                <w:webHidden/>
              </w:rPr>
              <w:fldChar w:fldCharType="end"/>
            </w:r>
          </w:hyperlink>
        </w:p>
        <w:p w14:paraId="7E6F6AE2" w14:textId="1C4E4580" w:rsidR="00B265B6" w:rsidRDefault="00000000">
          <w:pPr>
            <w:pStyle w:val="TOC2"/>
            <w:tabs>
              <w:tab w:val="right" w:leader="dot" w:pos="9350"/>
            </w:tabs>
            <w:rPr>
              <w:noProof/>
            </w:rPr>
          </w:pPr>
          <w:hyperlink w:anchor="_Toc120634367" w:history="1">
            <w:r w:rsidR="00B265B6" w:rsidRPr="00C142CA">
              <w:rPr>
                <w:rStyle w:val="Hyperlink"/>
                <w:noProof/>
              </w:rPr>
              <w:t>Profitability Ratios</w:t>
            </w:r>
            <w:r w:rsidR="00B265B6">
              <w:rPr>
                <w:noProof/>
                <w:webHidden/>
              </w:rPr>
              <w:tab/>
            </w:r>
            <w:r w:rsidR="00B265B6">
              <w:rPr>
                <w:noProof/>
                <w:webHidden/>
              </w:rPr>
              <w:fldChar w:fldCharType="begin"/>
            </w:r>
            <w:r w:rsidR="00B265B6">
              <w:rPr>
                <w:noProof/>
                <w:webHidden/>
              </w:rPr>
              <w:instrText xml:space="preserve"> PAGEREF _Toc120634367 \h </w:instrText>
            </w:r>
            <w:r w:rsidR="00B265B6">
              <w:rPr>
                <w:noProof/>
                <w:webHidden/>
              </w:rPr>
            </w:r>
            <w:r w:rsidR="00B265B6">
              <w:rPr>
                <w:noProof/>
                <w:webHidden/>
              </w:rPr>
              <w:fldChar w:fldCharType="separate"/>
            </w:r>
            <w:r w:rsidR="00B265B6">
              <w:rPr>
                <w:noProof/>
                <w:webHidden/>
              </w:rPr>
              <w:t>4</w:t>
            </w:r>
            <w:r w:rsidR="00B265B6">
              <w:rPr>
                <w:noProof/>
                <w:webHidden/>
              </w:rPr>
              <w:fldChar w:fldCharType="end"/>
            </w:r>
          </w:hyperlink>
        </w:p>
        <w:p w14:paraId="13645824" w14:textId="7293019F" w:rsidR="00B265B6" w:rsidRDefault="00000000">
          <w:pPr>
            <w:pStyle w:val="TOC2"/>
            <w:tabs>
              <w:tab w:val="right" w:leader="dot" w:pos="9350"/>
            </w:tabs>
            <w:rPr>
              <w:noProof/>
            </w:rPr>
          </w:pPr>
          <w:hyperlink w:anchor="_Toc120634368" w:history="1">
            <w:r w:rsidR="00B265B6" w:rsidRPr="00C142CA">
              <w:rPr>
                <w:rStyle w:val="Hyperlink"/>
                <w:noProof/>
              </w:rPr>
              <w:t>Liquidity Ratios</w:t>
            </w:r>
            <w:r w:rsidR="00B265B6">
              <w:rPr>
                <w:noProof/>
                <w:webHidden/>
              </w:rPr>
              <w:tab/>
            </w:r>
            <w:r w:rsidR="00B265B6">
              <w:rPr>
                <w:noProof/>
                <w:webHidden/>
              </w:rPr>
              <w:fldChar w:fldCharType="begin"/>
            </w:r>
            <w:r w:rsidR="00B265B6">
              <w:rPr>
                <w:noProof/>
                <w:webHidden/>
              </w:rPr>
              <w:instrText xml:space="preserve"> PAGEREF _Toc120634368 \h </w:instrText>
            </w:r>
            <w:r w:rsidR="00B265B6">
              <w:rPr>
                <w:noProof/>
                <w:webHidden/>
              </w:rPr>
            </w:r>
            <w:r w:rsidR="00B265B6">
              <w:rPr>
                <w:noProof/>
                <w:webHidden/>
              </w:rPr>
              <w:fldChar w:fldCharType="separate"/>
            </w:r>
            <w:r w:rsidR="00B265B6">
              <w:rPr>
                <w:noProof/>
                <w:webHidden/>
              </w:rPr>
              <w:t>5</w:t>
            </w:r>
            <w:r w:rsidR="00B265B6">
              <w:rPr>
                <w:noProof/>
                <w:webHidden/>
              </w:rPr>
              <w:fldChar w:fldCharType="end"/>
            </w:r>
          </w:hyperlink>
        </w:p>
        <w:p w14:paraId="0B961042" w14:textId="068FB046" w:rsidR="00B265B6" w:rsidRDefault="00000000">
          <w:pPr>
            <w:pStyle w:val="TOC2"/>
            <w:tabs>
              <w:tab w:val="right" w:leader="dot" w:pos="9350"/>
            </w:tabs>
            <w:rPr>
              <w:noProof/>
            </w:rPr>
          </w:pPr>
          <w:hyperlink w:anchor="_Toc120634369" w:history="1">
            <w:r w:rsidR="00B265B6" w:rsidRPr="00C142CA">
              <w:rPr>
                <w:rStyle w:val="Hyperlink"/>
                <w:noProof/>
              </w:rPr>
              <w:t>Efficiency Ratios</w:t>
            </w:r>
            <w:r w:rsidR="00B265B6">
              <w:rPr>
                <w:noProof/>
                <w:webHidden/>
              </w:rPr>
              <w:tab/>
            </w:r>
            <w:r w:rsidR="00B265B6">
              <w:rPr>
                <w:noProof/>
                <w:webHidden/>
              </w:rPr>
              <w:fldChar w:fldCharType="begin"/>
            </w:r>
            <w:r w:rsidR="00B265B6">
              <w:rPr>
                <w:noProof/>
                <w:webHidden/>
              </w:rPr>
              <w:instrText xml:space="preserve"> PAGEREF _Toc120634369 \h </w:instrText>
            </w:r>
            <w:r w:rsidR="00B265B6">
              <w:rPr>
                <w:noProof/>
                <w:webHidden/>
              </w:rPr>
            </w:r>
            <w:r w:rsidR="00B265B6">
              <w:rPr>
                <w:noProof/>
                <w:webHidden/>
              </w:rPr>
              <w:fldChar w:fldCharType="separate"/>
            </w:r>
            <w:r w:rsidR="00B265B6">
              <w:rPr>
                <w:noProof/>
                <w:webHidden/>
              </w:rPr>
              <w:t>6</w:t>
            </w:r>
            <w:r w:rsidR="00B265B6">
              <w:rPr>
                <w:noProof/>
                <w:webHidden/>
              </w:rPr>
              <w:fldChar w:fldCharType="end"/>
            </w:r>
          </w:hyperlink>
        </w:p>
        <w:p w14:paraId="16FA69C7" w14:textId="0E86E9D7" w:rsidR="00B265B6" w:rsidRDefault="00000000">
          <w:pPr>
            <w:pStyle w:val="TOC2"/>
            <w:tabs>
              <w:tab w:val="right" w:leader="dot" w:pos="9350"/>
            </w:tabs>
            <w:rPr>
              <w:noProof/>
            </w:rPr>
          </w:pPr>
          <w:hyperlink w:anchor="_Toc120634370" w:history="1">
            <w:r w:rsidR="00B265B6" w:rsidRPr="00C142CA">
              <w:rPr>
                <w:rStyle w:val="Hyperlink"/>
                <w:noProof/>
              </w:rPr>
              <w:t>Solvency Ratios</w:t>
            </w:r>
            <w:r w:rsidR="00B265B6">
              <w:rPr>
                <w:noProof/>
                <w:webHidden/>
              </w:rPr>
              <w:tab/>
            </w:r>
            <w:r w:rsidR="00B265B6">
              <w:rPr>
                <w:noProof/>
                <w:webHidden/>
              </w:rPr>
              <w:fldChar w:fldCharType="begin"/>
            </w:r>
            <w:r w:rsidR="00B265B6">
              <w:rPr>
                <w:noProof/>
                <w:webHidden/>
              </w:rPr>
              <w:instrText xml:space="preserve"> PAGEREF _Toc120634370 \h </w:instrText>
            </w:r>
            <w:r w:rsidR="00B265B6">
              <w:rPr>
                <w:noProof/>
                <w:webHidden/>
              </w:rPr>
            </w:r>
            <w:r w:rsidR="00B265B6">
              <w:rPr>
                <w:noProof/>
                <w:webHidden/>
              </w:rPr>
              <w:fldChar w:fldCharType="separate"/>
            </w:r>
            <w:r w:rsidR="00B265B6">
              <w:rPr>
                <w:noProof/>
                <w:webHidden/>
              </w:rPr>
              <w:t>7</w:t>
            </w:r>
            <w:r w:rsidR="00B265B6">
              <w:rPr>
                <w:noProof/>
                <w:webHidden/>
              </w:rPr>
              <w:fldChar w:fldCharType="end"/>
            </w:r>
          </w:hyperlink>
        </w:p>
        <w:p w14:paraId="1FB8BACE" w14:textId="4605D975" w:rsidR="00B265B6" w:rsidRDefault="00000000">
          <w:pPr>
            <w:pStyle w:val="TOC1"/>
            <w:tabs>
              <w:tab w:val="right" w:leader="dot" w:pos="9350"/>
            </w:tabs>
            <w:rPr>
              <w:noProof/>
            </w:rPr>
          </w:pPr>
          <w:hyperlink w:anchor="_Toc120634371" w:history="1">
            <w:r w:rsidR="00B265B6" w:rsidRPr="00C142CA">
              <w:rPr>
                <w:rStyle w:val="Hyperlink"/>
                <w:noProof/>
              </w:rPr>
              <w:t>Limitations of Ratios in Hotel Management</w:t>
            </w:r>
            <w:r w:rsidR="00B265B6">
              <w:rPr>
                <w:noProof/>
                <w:webHidden/>
              </w:rPr>
              <w:tab/>
            </w:r>
            <w:r w:rsidR="00B265B6">
              <w:rPr>
                <w:noProof/>
                <w:webHidden/>
              </w:rPr>
              <w:fldChar w:fldCharType="begin"/>
            </w:r>
            <w:r w:rsidR="00B265B6">
              <w:rPr>
                <w:noProof/>
                <w:webHidden/>
              </w:rPr>
              <w:instrText xml:space="preserve"> PAGEREF _Toc120634371 \h </w:instrText>
            </w:r>
            <w:r w:rsidR="00B265B6">
              <w:rPr>
                <w:noProof/>
                <w:webHidden/>
              </w:rPr>
            </w:r>
            <w:r w:rsidR="00B265B6">
              <w:rPr>
                <w:noProof/>
                <w:webHidden/>
              </w:rPr>
              <w:fldChar w:fldCharType="separate"/>
            </w:r>
            <w:r w:rsidR="00B265B6">
              <w:rPr>
                <w:noProof/>
                <w:webHidden/>
              </w:rPr>
              <w:t>9</w:t>
            </w:r>
            <w:r w:rsidR="00B265B6">
              <w:rPr>
                <w:noProof/>
                <w:webHidden/>
              </w:rPr>
              <w:fldChar w:fldCharType="end"/>
            </w:r>
          </w:hyperlink>
        </w:p>
        <w:p w14:paraId="0CE33D91" w14:textId="14331AA3" w:rsidR="00B265B6" w:rsidRDefault="00000000">
          <w:pPr>
            <w:pStyle w:val="TOC1"/>
            <w:tabs>
              <w:tab w:val="right" w:leader="dot" w:pos="9350"/>
            </w:tabs>
            <w:rPr>
              <w:noProof/>
            </w:rPr>
          </w:pPr>
          <w:hyperlink w:anchor="_Toc120634372" w:history="1">
            <w:r w:rsidR="00B265B6" w:rsidRPr="00C142CA">
              <w:rPr>
                <w:rStyle w:val="Hyperlink"/>
                <w:noProof/>
              </w:rPr>
              <w:t>Understanding The Ratios for Decision Making</w:t>
            </w:r>
            <w:r w:rsidR="00B265B6">
              <w:rPr>
                <w:noProof/>
                <w:webHidden/>
              </w:rPr>
              <w:tab/>
            </w:r>
            <w:r w:rsidR="00B265B6">
              <w:rPr>
                <w:noProof/>
                <w:webHidden/>
              </w:rPr>
              <w:fldChar w:fldCharType="begin"/>
            </w:r>
            <w:r w:rsidR="00B265B6">
              <w:rPr>
                <w:noProof/>
                <w:webHidden/>
              </w:rPr>
              <w:instrText xml:space="preserve"> PAGEREF _Toc120634372 \h </w:instrText>
            </w:r>
            <w:r w:rsidR="00B265B6">
              <w:rPr>
                <w:noProof/>
                <w:webHidden/>
              </w:rPr>
            </w:r>
            <w:r w:rsidR="00B265B6">
              <w:rPr>
                <w:noProof/>
                <w:webHidden/>
              </w:rPr>
              <w:fldChar w:fldCharType="separate"/>
            </w:r>
            <w:r w:rsidR="00B265B6">
              <w:rPr>
                <w:noProof/>
                <w:webHidden/>
              </w:rPr>
              <w:t>11</w:t>
            </w:r>
            <w:r w:rsidR="00B265B6">
              <w:rPr>
                <w:noProof/>
                <w:webHidden/>
              </w:rPr>
              <w:fldChar w:fldCharType="end"/>
            </w:r>
          </w:hyperlink>
        </w:p>
        <w:p w14:paraId="04BD9728" w14:textId="2DE3EAF9" w:rsidR="00B265B6" w:rsidRDefault="00000000">
          <w:pPr>
            <w:pStyle w:val="TOC1"/>
            <w:tabs>
              <w:tab w:val="right" w:leader="dot" w:pos="9350"/>
            </w:tabs>
            <w:rPr>
              <w:noProof/>
            </w:rPr>
          </w:pPr>
          <w:hyperlink w:anchor="_Toc120634373" w:history="1">
            <w:r w:rsidR="00B265B6" w:rsidRPr="00C142CA">
              <w:rPr>
                <w:rStyle w:val="Hyperlink"/>
                <w:noProof/>
              </w:rPr>
              <w:t>Conclusion</w:t>
            </w:r>
            <w:r w:rsidR="00B265B6">
              <w:rPr>
                <w:noProof/>
                <w:webHidden/>
              </w:rPr>
              <w:tab/>
            </w:r>
            <w:r w:rsidR="00B265B6">
              <w:rPr>
                <w:noProof/>
                <w:webHidden/>
              </w:rPr>
              <w:fldChar w:fldCharType="begin"/>
            </w:r>
            <w:r w:rsidR="00B265B6">
              <w:rPr>
                <w:noProof/>
                <w:webHidden/>
              </w:rPr>
              <w:instrText xml:space="preserve"> PAGEREF _Toc120634373 \h </w:instrText>
            </w:r>
            <w:r w:rsidR="00B265B6">
              <w:rPr>
                <w:noProof/>
                <w:webHidden/>
              </w:rPr>
            </w:r>
            <w:r w:rsidR="00B265B6">
              <w:rPr>
                <w:noProof/>
                <w:webHidden/>
              </w:rPr>
              <w:fldChar w:fldCharType="separate"/>
            </w:r>
            <w:r w:rsidR="00B265B6">
              <w:rPr>
                <w:noProof/>
                <w:webHidden/>
              </w:rPr>
              <w:t>13</w:t>
            </w:r>
            <w:r w:rsidR="00B265B6">
              <w:rPr>
                <w:noProof/>
                <w:webHidden/>
              </w:rPr>
              <w:fldChar w:fldCharType="end"/>
            </w:r>
          </w:hyperlink>
        </w:p>
        <w:p w14:paraId="785C84D6" w14:textId="4E4F2D26" w:rsidR="00B265B6" w:rsidRDefault="00000000">
          <w:pPr>
            <w:pStyle w:val="TOC1"/>
            <w:tabs>
              <w:tab w:val="right" w:leader="dot" w:pos="9350"/>
            </w:tabs>
            <w:rPr>
              <w:noProof/>
            </w:rPr>
          </w:pPr>
          <w:hyperlink w:anchor="_Toc120634374" w:history="1">
            <w:r w:rsidR="00B265B6" w:rsidRPr="00C142CA">
              <w:rPr>
                <w:rStyle w:val="Hyperlink"/>
                <w:noProof/>
              </w:rPr>
              <w:t>Reference</w:t>
            </w:r>
            <w:r w:rsidR="00B265B6">
              <w:rPr>
                <w:noProof/>
                <w:webHidden/>
              </w:rPr>
              <w:tab/>
            </w:r>
            <w:r w:rsidR="00B265B6">
              <w:rPr>
                <w:noProof/>
                <w:webHidden/>
              </w:rPr>
              <w:fldChar w:fldCharType="begin"/>
            </w:r>
            <w:r w:rsidR="00B265B6">
              <w:rPr>
                <w:noProof/>
                <w:webHidden/>
              </w:rPr>
              <w:instrText xml:space="preserve"> PAGEREF _Toc120634374 \h </w:instrText>
            </w:r>
            <w:r w:rsidR="00B265B6">
              <w:rPr>
                <w:noProof/>
                <w:webHidden/>
              </w:rPr>
            </w:r>
            <w:r w:rsidR="00B265B6">
              <w:rPr>
                <w:noProof/>
                <w:webHidden/>
              </w:rPr>
              <w:fldChar w:fldCharType="separate"/>
            </w:r>
            <w:r w:rsidR="00B265B6">
              <w:rPr>
                <w:noProof/>
                <w:webHidden/>
              </w:rPr>
              <w:t>14</w:t>
            </w:r>
            <w:r w:rsidR="00B265B6">
              <w:rPr>
                <w:noProof/>
                <w:webHidden/>
              </w:rPr>
              <w:fldChar w:fldCharType="end"/>
            </w:r>
          </w:hyperlink>
        </w:p>
        <w:p w14:paraId="3D974BE2" w14:textId="4E83FBCC" w:rsidR="00B265B6" w:rsidRDefault="00B265B6">
          <w:r>
            <w:rPr>
              <w:b/>
              <w:bCs/>
              <w:noProof/>
            </w:rPr>
            <w:fldChar w:fldCharType="end"/>
          </w:r>
        </w:p>
      </w:sdtContent>
    </w:sdt>
    <w:p w14:paraId="79CCB795" w14:textId="6BEB8CE0" w:rsidR="006E218A" w:rsidRDefault="006E218A" w:rsidP="006E218A"/>
    <w:p w14:paraId="468858AC" w14:textId="77BE9C84" w:rsidR="006E218A" w:rsidRDefault="006E218A">
      <w:pPr>
        <w:spacing w:before="0" w:after="160" w:line="259" w:lineRule="auto"/>
        <w:jc w:val="left"/>
      </w:pPr>
      <w:r>
        <w:br w:type="page"/>
      </w:r>
    </w:p>
    <w:p w14:paraId="66877294" w14:textId="1C0AC398" w:rsidR="006E218A" w:rsidRDefault="006E218A" w:rsidP="006E218A">
      <w:pPr>
        <w:pStyle w:val="Heading1"/>
      </w:pPr>
      <w:bookmarkStart w:id="0" w:name="_Toc120634365"/>
      <w:r>
        <w:lastRenderedPageBreak/>
        <w:t>Introduction</w:t>
      </w:r>
      <w:bookmarkEnd w:id="0"/>
    </w:p>
    <w:p w14:paraId="56741BFB" w14:textId="0F109265" w:rsidR="00F6196F" w:rsidRDefault="00352ED1" w:rsidP="006E218A">
      <w:r w:rsidRPr="00352ED1">
        <w:t>Marriott International, Inc. offers a wide variety of services, not only hotels and restaurants. It operates luxury hotels, flats, and timeshares under a wide range of prestigious names, some of which are available for franchise or licensing. The hotel group has been operating since 1927 and has over 7,000 properties under administration in more than 130 countries</w:t>
      </w:r>
      <w:r w:rsidR="00A26501">
        <w:t xml:space="preserve"> </w:t>
      </w:r>
      <w:r w:rsidR="00A26501" w:rsidRPr="00A26501">
        <w:t>(Marriott International, 2022)</w:t>
      </w:r>
      <w:r w:rsidRPr="00352ED1">
        <w:t>.</w:t>
      </w:r>
      <w:r w:rsidR="00F6196F">
        <w:t xml:space="preserve"> The report will </w:t>
      </w:r>
      <w:proofErr w:type="gramStart"/>
      <w:r w:rsidR="00F6196F">
        <w:t>look into</w:t>
      </w:r>
      <w:proofErr w:type="gramEnd"/>
      <w:r w:rsidR="00F6196F">
        <w:t xml:space="preserve"> the company’s financial ratios and interpret them with analysis. The report will also cover the importance and limitations of ratio analysis in decision making purpose. </w:t>
      </w:r>
    </w:p>
    <w:p w14:paraId="63FE6FE4" w14:textId="251A69E7" w:rsidR="006E218A" w:rsidRDefault="006E218A" w:rsidP="006E218A"/>
    <w:p w14:paraId="2179CD92" w14:textId="58D025CA" w:rsidR="006E218A" w:rsidRDefault="006E218A">
      <w:pPr>
        <w:spacing w:before="0" w:after="160" w:line="259" w:lineRule="auto"/>
        <w:jc w:val="left"/>
      </w:pPr>
      <w:r>
        <w:br w:type="page"/>
      </w:r>
    </w:p>
    <w:p w14:paraId="4446A8B9" w14:textId="5AD0D86F" w:rsidR="006E218A" w:rsidRDefault="006E218A" w:rsidP="006E218A">
      <w:pPr>
        <w:pStyle w:val="Heading1"/>
      </w:pPr>
      <w:bookmarkStart w:id="1" w:name="_Toc120634366"/>
      <w:r>
        <w:lastRenderedPageBreak/>
        <w:t>Analysing Marriott International’s Financial Ratios</w:t>
      </w:r>
      <w:bookmarkEnd w:id="1"/>
    </w:p>
    <w:p w14:paraId="190C0B05" w14:textId="6CA3FAF1" w:rsidR="006E218A" w:rsidRDefault="00F6196F" w:rsidP="006E218A">
      <w:r w:rsidRPr="00F6196F">
        <w:t xml:space="preserve">Ratios allow for quantitative analysis of financial records like the balance sheet and income statement, providing insight into a firm ’s liquidity, operating efficiency, and performance. There is value in calculating and tracking </w:t>
      </w:r>
      <w:proofErr w:type="gramStart"/>
      <w:r w:rsidRPr="00F6196F">
        <w:t>a number of</w:t>
      </w:r>
      <w:proofErr w:type="gramEnd"/>
      <w:r w:rsidRPr="00F6196F">
        <w:t xml:space="preserve"> different financial ratios throughout time in order to keep an eye on possible changes in a company's financial health.</w:t>
      </w:r>
      <w:r>
        <w:t xml:space="preserve"> In here, </w:t>
      </w:r>
      <w:r w:rsidR="00C25242">
        <w:t>financial</w:t>
      </w:r>
      <w:r>
        <w:t xml:space="preserve"> ratios of Marriot International of 2020 and 2021 will be interpreted to see the company’s current financial performance and trend </w:t>
      </w:r>
      <w:r w:rsidR="00C25242">
        <w:t xml:space="preserve">of company’s financial health. </w:t>
      </w:r>
    </w:p>
    <w:p w14:paraId="46BACC2A" w14:textId="4E0A4B35" w:rsidR="00C25242" w:rsidRDefault="00C25242" w:rsidP="001C54F2">
      <w:pPr>
        <w:pStyle w:val="Heading2"/>
      </w:pPr>
      <w:bookmarkStart w:id="2" w:name="_Toc120634367"/>
      <w:r>
        <w:t>Profitability Ratios</w:t>
      </w:r>
      <w:bookmarkEnd w:id="2"/>
      <w:r>
        <w:t xml:space="preserve"> </w:t>
      </w:r>
    </w:p>
    <w:p w14:paraId="7BF41FE5" w14:textId="2CD2BC72" w:rsidR="009A2691" w:rsidRDefault="009A2691" w:rsidP="006E218A">
      <w:r w:rsidRPr="009A2691">
        <w:t xml:space="preserve">If the present value of a profitability ratio is higher than the value of the same ratio for a competitor or the value of the same ratio from a similar </w:t>
      </w:r>
      <w:proofErr w:type="gramStart"/>
      <w:r w:rsidRPr="009A2691">
        <w:t>time period</w:t>
      </w:r>
      <w:proofErr w:type="gramEnd"/>
      <w:r w:rsidRPr="009A2691">
        <w:t xml:space="preserve">, then the ratio is healthy. Profitability metrics should be evaluated in the context of comparisons to other companies, to the company's historical performance, or to industry </w:t>
      </w:r>
      <w:proofErr w:type="gramStart"/>
      <w:r w:rsidRPr="009A2691">
        <w:t>averages</w:t>
      </w:r>
      <w:r w:rsidR="00A26501" w:rsidRPr="00A26501">
        <w:t>(</w:t>
      </w:r>
      <w:proofErr w:type="gramEnd"/>
      <w:r w:rsidR="00A26501" w:rsidRPr="00A26501">
        <w:t>Tracy, 2019)</w:t>
      </w:r>
      <w:r w:rsidRPr="009A2691">
        <w:t>.</w:t>
      </w:r>
      <w:r>
        <w:t xml:space="preserve"> In 2021 the Marriot had a Gross Margin of 20.21 which was 13.80 in 2020. This means that the company has successfully boosted its gross profit from 2020 to 2021. The situation is similar in </w:t>
      </w:r>
      <w:r w:rsidR="00695AC6">
        <w:t xml:space="preserve">Operating margin also as it jumped from 0.79 to 12.69 during this </w:t>
      </w:r>
      <w:proofErr w:type="gramStart"/>
      <w:r w:rsidR="00695AC6">
        <w:t>time period</w:t>
      </w:r>
      <w:proofErr w:type="gramEnd"/>
      <w:r w:rsidR="00695AC6">
        <w:t>. The company’s net-profit margin was negative 2.53 in 2020 but fortunately it become 7.93 in 2021. There is also a positive shift in ROE ratio from 2020 when it was negative 62.09 but in 2021 the ROE ratio of Marriot come to 77.72</w:t>
      </w:r>
      <w:r w:rsidR="0093134B">
        <w:t>. Lastly the ROI ratio noticeable improved in 2021 as it become 10.22 from negative 2.77 in 2020. Therefore, every profitability ratio of Marriot group is significantly batter in 2021 compared to 2020.</w:t>
      </w:r>
      <w:r w:rsidR="00695AC6">
        <w:t xml:space="preserve"> </w:t>
      </w:r>
    </w:p>
    <w:p w14:paraId="7AF4623B" w14:textId="77777777" w:rsidR="00A370AE" w:rsidRDefault="0093134B" w:rsidP="00A370AE">
      <w:pPr>
        <w:keepNext/>
        <w:jc w:val="center"/>
      </w:pPr>
      <w:r>
        <w:rPr>
          <w:noProof/>
        </w:rPr>
        <w:lastRenderedPageBreak/>
        <w:drawing>
          <wp:inline distT="0" distB="0" distL="0" distR="0" wp14:anchorId="5D3206E5" wp14:editId="647617AF">
            <wp:extent cx="4489450" cy="3517900"/>
            <wp:effectExtent l="0" t="0" r="635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9FE3E36" w14:textId="24F5FB10" w:rsidR="0093134B" w:rsidRDefault="00A370AE" w:rsidP="00A370AE">
      <w:pPr>
        <w:pStyle w:val="Caption"/>
        <w:jc w:val="center"/>
      </w:pPr>
      <w:r>
        <w:t xml:space="preserve">Figure </w:t>
      </w:r>
      <w:fldSimple w:instr=" SEQ Figure \* ARABIC ">
        <w:r>
          <w:rPr>
            <w:noProof/>
          </w:rPr>
          <w:t>1</w:t>
        </w:r>
      </w:fldSimple>
      <w:r>
        <w:t>:</w:t>
      </w:r>
      <w:r w:rsidRPr="00FE78D2">
        <w:t>Profitability Ratios of Marriot</w:t>
      </w:r>
      <w:r>
        <w:t>. Source: Self-created.</w:t>
      </w:r>
    </w:p>
    <w:p w14:paraId="02995338" w14:textId="77777777" w:rsidR="001C54F2" w:rsidRDefault="001C54F2">
      <w:pPr>
        <w:spacing w:before="0" w:after="160" w:line="259" w:lineRule="auto"/>
        <w:jc w:val="left"/>
      </w:pPr>
    </w:p>
    <w:p w14:paraId="17D63A0B" w14:textId="77777777" w:rsidR="001C54F2" w:rsidRDefault="001C54F2" w:rsidP="00E94EA8">
      <w:pPr>
        <w:pStyle w:val="Heading2"/>
      </w:pPr>
      <w:bookmarkStart w:id="3" w:name="_Toc120634368"/>
      <w:r>
        <w:t>Liquidity Ratios</w:t>
      </w:r>
      <w:bookmarkEnd w:id="3"/>
      <w:r>
        <w:t xml:space="preserve"> </w:t>
      </w:r>
    </w:p>
    <w:p w14:paraId="42DD3116" w14:textId="48E5086B" w:rsidR="00E94EA8" w:rsidRDefault="00C4406E" w:rsidP="001C54F2">
      <w:r w:rsidRPr="00C4406E">
        <w:t xml:space="preserve">One of the many helpful financial indicators is referred to as "liquidity ratios," and it reveals </w:t>
      </w:r>
      <w:proofErr w:type="gramStart"/>
      <w:r w:rsidRPr="00C4406E">
        <w:t>whether or not</w:t>
      </w:r>
      <w:proofErr w:type="gramEnd"/>
      <w:r w:rsidRPr="00C4406E">
        <w:t xml:space="preserve"> a debtor can satisfy its current debt obligations without resorting to extra funding. There are many more useful financial measures. The term "liquidity" refers to an organization's ability to convert assets into cash in a quick and cost-effective manner</w:t>
      </w:r>
      <w:r w:rsidR="00A26501">
        <w:t xml:space="preserve"> </w:t>
      </w:r>
      <w:r w:rsidR="00A26501" w:rsidRPr="00A26501">
        <w:t>(Gibson, 2018)</w:t>
      </w:r>
      <w:r w:rsidRPr="00C4406E">
        <w:t xml:space="preserve">. When </w:t>
      </w:r>
      <w:proofErr w:type="gramStart"/>
      <w:r w:rsidRPr="00C4406E">
        <w:t>put to use</w:t>
      </w:r>
      <w:proofErr w:type="gramEnd"/>
      <w:r w:rsidRPr="00C4406E">
        <w:t xml:space="preserve"> in the capacity as a comparison instrument, liquidity ratios excel. This study might be approached from either an internal or an external point of view. In 2020, the current ratio of Marriot International was 0.49, and it increased to 0.57 the following year. Even if there is not a significant shift, the ratio has improved, which is a good indicator for the firm since it indicates that the company has acquired greater capacity in meeting the demands of creditors</w:t>
      </w:r>
      <w:r w:rsidR="00E94EA8">
        <w:t xml:space="preserve">. </w:t>
      </w:r>
      <w:r w:rsidRPr="00C4406E">
        <w:t xml:space="preserve">Another liquidity ratio, Days Sales in Receivable, also improved, going from 61.04 in 2020 to 52.20 in 2021. This change represents a significant decrease. </w:t>
      </w:r>
      <w:proofErr w:type="gramStart"/>
      <w:r w:rsidRPr="00C4406E">
        <w:t>As a consequence of</w:t>
      </w:r>
      <w:proofErr w:type="gramEnd"/>
      <w:r w:rsidRPr="00C4406E">
        <w:t xml:space="preserve"> this, the organization will need a lower number of days on average in 2021 to collect cash from its receivables than it did in 2020.</w:t>
      </w:r>
    </w:p>
    <w:p w14:paraId="13642BA1" w14:textId="77777777" w:rsidR="00E94EA8" w:rsidRDefault="00E94EA8" w:rsidP="00E94EA8">
      <w:pPr>
        <w:jc w:val="center"/>
      </w:pPr>
    </w:p>
    <w:p w14:paraId="12F2C506" w14:textId="77777777" w:rsidR="00A370AE" w:rsidRDefault="00E94EA8" w:rsidP="00A370AE">
      <w:pPr>
        <w:keepNext/>
        <w:jc w:val="center"/>
      </w:pPr>
      <w:r>
        <w:rPr>
          <w:noProof/>
        </w:rPr>
        <w:drawing>
          <wp:inline distT="0" distB="0" distL="0" distR="0" wp14:anchorId="2EA997AE" wp14:editId="1D8EFB99">
            <wp:extent cx="4864100" cy="3365500"/>
            <wp:effectExtent l="0" t="0" r="12700" b="6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1B67A7D" w14:textId="5F543B3B" w:rsidR="00E94EA8" w:rsidRDefault="00A370AE" w:rsidP="00A370AE">
      <w:pPr>
        <w:pStyle w:val="Caption"/>
        <w:jc w:val="center"/>
      </w:pPr>
      <w:r>
        <w:t xml:space="preserve">Figure </w:t>
      </w:r>
      <w:fldSimple w:instr=" SEQ Figure \* ARABIC ">
        <w:r>
          <w:rPr>
            <w:noProof/>
          </w:rPr>
          <w:t>2</w:t>
        </w:r>
      </w:fldSimple>
      <w:r>
        <w:t>:Liquidity</w:t>
      </w:r>
      <w:r w:rsidRPr="00DE6366">
        <w:t xml:space="preserve"> Ratios of Marriot. Source: Self-created.</w:t>
      </w:r>
    </w:p>
    <w:p w14:paraId="6B7B5A21" w14:textId="77777777" w:rsidR="00E94EA8" w:rsidRDefault="00E94EA8" w:rsidP="00E94EA8"/>
    <w:p w14:paraId="63350030" w14:textId="77777777" w:rsidR="00E94EA8" w:rsidRDefault="00E94EA8" w:rsidP="00DA2EE0">
      <w:pPr>
        <w:pStyle w:val="Heading2"/>
      </w:pPr>
      <w:bookmarkStart w:id="4" w:name="_Toc120634369"/>
      <w:r>
        <w:t>Efficiency Ratios</w:t>
      </w:r>
      <w:bookmarkEnd w:id="4"/>
      <w:r>
        <w:t xml:space="preserve"> </w:t>
      </w:r>
    </w:p>
    <w:p w14:paraId="78AF5910" w14:textId="70FF6AB6" w:rsidR="000E4B4B" w:rsidRDefault="00DA2EE0" w:rsidP="00E94EA8">
      <w:r w:rsidRPr="00DA2EE0">
        <w:t xml:space="preserve">When attempting to assess how well a corporation distributes its resources, it is common practice to compute the organization's efficiency ratio. The turnover of accounts receivable, the reduction of accounts payable, the growth and distribution of equity, as well as the use of inventories and equipment may all be evaluated with the help of an efficiency ratio. Analysts use efficiency ratios, which are often referred to as activity ratios, </w:t>
      </w:r>
      <w:proofErr w:type="gramStart"/>
      <w:r w:rsidRPr="00DA2EE0">
        <w:t>in order to</w:t>
      </w:r>
      <w:proofErr w:type="gramEnd"/>
      <w:r w:rsidRPr="00DA2EE0">
        <w:t xml:space="preserve"> evaluate the state of an organization's operations at the present time</w:t>
      </w:r>
      <w:r w:rsidR="00A26501">
        <w:t xml:space="preserve"> </w:t>
      </w:r>
      <w:r w:rsidR="00A26501" w:rsidRPr="00A26501">
        <w:t>(</w:t>
      </w:r>
      <w:proofErr w:type="spellStart"/>
      <w:r w:rsidR="00A26501" w:rsidRPr="00A26501">
        <w:t>Fridson</w:t>
      </w:r>
      <w:proofErr w:type="spellEnd"/>
      <w:r w:rsidR="00A26501" w:rsidRPr="00A26501">
        <w:t xml:space="preserve"> &amp; Alvarez, 2022)</w:t>
      </w:r>
      <w:r w:rsidRPr="00DA2EE0">
        <w:t xml:space="preserve">. </w:t>
      </w:r>
      <w:proofErr w:type="gramStart"/>
      <w:r w:rsidRPr="00DA2EE0">
        <w:t>All of</w:t>
      </w:r>
      <w:proofErr w:type="gramEnd"/>
      <w:r w:rsidRPr="00DA2EE0">
        <w:t xml:space="preserve"> these ratios assess how well a company is performing by contrasting the amount of cash on hand to the total amount of debt that the company has. In 2020, the asset turnover ratio for the Marriott corporation was 0.43, but in 2021 it increased to 0.54. As a result, the corporation has strengthened its ability to generate income from the whole of its assets. In addition, the turnover of receivables has improved, reaching a new high of 6.99 in 2021, up from 5.98 the year before. Because of this, Marriott is now better able to convert its accounts receivable into cash.</w:t>
      </w:r>
    </w:p>
    <w:p w14:paraId="3284E616" w14:textId="77777777" w:rsidR="000E4B4B" w:rsidRDefault="000E4B4B" w:rsidP="000E4B4B">
      <w:pPr>
        <w:jc w:val="center"/>
      </w:pPr>
    </w:p>
    <w:p w14:paraId="7C989679" w14:textId="77777777" w:rsidR="00A370AE" w:rsidRDefault="000E4B4B" w:rsidP="00A370AE">
      <w:pPr>
        <w:keepNext/>
        <w:jc w:val="center"/>
      </w:pPr>
      <w:r>
        <w:rPr>
          <w:noProof/>
        </w:rPr>
        <w:drawing>
          <wp:inline distT="0" distB="0" distL="0" distR="0" wp14:anchorId="01B84691" wp14:editId="69C1A7E1">
            <wp:extent cx="5378450" cy="3276600"/>
            <wp:effectExtent l="0" t="0" r="1270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53380A2" w14:textId="1E1F2A22" w:rsidR="000E4B4B" w:rsidRDefault="00A370AE" w:rsidP="00A370AE">
      <w:pPr>
        <w:pStyle w:val="Caption"/>
        <w:jc w:val="center"/>
      </w:pPr>
      <w:r>
        <w:t xml:space="preserve">Figure </w:t>
      </w:r>
      <w:fldSimple w:instr=" SEQ Figure \* ARABIC ">
        <w:r>
          <w:rPr>
            <w:noProof/>
          </w:rPr>
          <w:t>3</w:t>
        </w:r>
      </w:fldSimple>
      <w:r>
        <w:t>: Efficiency</w:t>
      </w:r>
      <w:r w:rsidRPr="000C64CD">
        <w:t xml:space="preserve"> Ratios of Marriot. Source: Self-created.</w:t>
      </w:r>
    </w:p>
    <w:p w14:paraId="43C3E9F3" w14:textId="77777777" w:rsidR="000E4B4B" w:rsidRDefault="000E4B4B" w:rsidP="000E4B4B"/>
    <w:p w14:paraId="4CCF5712" w14:textId="77777777" w:rsidR="000E4B4B" w:rsidRDefault="000E4B4B" w:rsidP="00A370AE">
      <w:pPr>
        <w:pStyle w:val="Heading2"/>
      </w:pPr>
      <w:bookmarkStart w:id="5" w:name="_Toc120634370"/>
      <w:r>
        <w:t>Solvency Ratios</w:t>
      </w:r>
      <w:bookmarkEnd w:id="5"/>
    </w:p>
    <w:p w14:paraId="02A52081" w14:textId="52A1D621" w:rsidR="00A370AE" w:rsidRDefault="000E4B4B" w:rsidP="000E4B4B">
      <w:r w:rsidRPr="000E4B4B">
        <w:t xml:space="preserve">The solvency ratio is often used by investors and prospective lenders to determine </w:t>
      </w:r>
      <w:proofErr w:type="gramStart"/>
      <w:r w:rsidRPr="000E4B4B">
        <w:t>whether or not</w:t>
      </w:r>
      <w:proofErr w:type="gramEnd"/>
      <w:r w:rsidRPr="000E4B4B">
        <w:t xml:space="preserve"> a firm can repay its long-term debt. The solvency ratio may be used as part of a comprehensive analysis of a company's financial health to determine </w:t>
      </w:r>
      <w:proofErr w:type="gramStart"/>
      <w:r w:rsidRPr="000E4B4B">
        <w:t>whether or not</w:t>
      </w:r>
      <w:proofErr w:type="gramEnd"/>
      <w:r w:rsidRPr="000E4B4B">
        <w:t xml:space="preserve"> its cash flow is sufficient to meet its long-term commitments. When the ratio is unfavourable, there is a greater risk of debt default by the company. Solvency ratios are a way for bond buyers and possible lenders to assess a company's financial stability</w:t>
      </w:r>
      <w:r w:rsidR="00A26501">
        <w:t xml:space="preserve"> </w:t>
      </w:r>
      <w:r w:rsidR="00A26501" w:rsidRPr="00A26501">
        <w:t>(Graham, 2016)</w:t>
      </w:r>
      <w:r w:rsidRPr="000E4B4B">
        <w:t>.</w:t>
      </w:r>
      <w:r w:rsidR="007718B3">
        <w:t xml:space="preserve"> Marriot’s Debt-to-capital ratio is 0.87 in 2021 whereas it was 0.96 in 2020 which means that in 2020 Marriot had more debt finance for its total capital </w:t>
      </w:r>
      <w:r w:rsidR="00A370AE">
        <w:t xml:space="preserve">compared to 2021 but the company is still majorly debt financed. In Debt-to-equity ratio Marriot had 7.17 in 2021 but it was 24.13 in 2020. This reflects that the company had 24.13 times more debt compared to equity in 2020 but the ratio reduced to 7.17 times in 2021. </w:t>
      </w:r>
    </w:p>
    <w:p w14:paraId="4CBE26DD" w14:textId="77777777" w:rsidR="00A370AE" w:rsidRDefault="00A370AE" w:rsidP="00A370AE">
      <w:pPr>
        <w:keepNext/>
        <w:jc w:val="center"/>
      </w:pPr>
      <w:r>
        <w:rPr>
          <w:noProof/>
        </w:rPr>
        <w:lastRenderedPageBreak/>
        <w:drawing>
          <wp:inline distT="0" distB="0" distL="0" distR="0" wp14:anchorId="23EEB50A" wp14:editId="693AFA67">
            <wp:extent cx="5327650" cy="2933700"/>
            <wp:effectExtent l="0" t="0" r="63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E5D436" w14:textId="49C2F4A8" w:rsidR="00A370AE" w:rsidRDefault="00A370AE" w:rsidP="00A370AE">
      <w:pPr>
        <w:pStyle w:val="Caption"/>
        <w:jc w:val="center"/>
      </w:pPr>
      <w:r>
        <w:t xml:space="preserve">Figure </w:t>
      </w:r>
      <w:fldSimple w:instr=" SEQ Figure \* ARABIC ">
        <w:r>
          <w:rPr>
            <w:noProof/>
          </w:rPr>
          <w:t>4</w:t>
        </w:r>
      </w:fldSimple>
      <w:r>
        <w:t>: Solvency</w:t>
      </w:r>
      <w:r w:rsidRPr="006A73D5">
        <w:t xml:space="preserve"> Ratios of Marriot. Source: Self-created.</w:t>
      </w:r>
    </w:p>
    <w:p w14:paraId="32B46C81" w14:textId="0E1B69FF" w:rsidR="006E218A" w:rsidRDefault="006E218A" w:rsidP="000E4B4B">
      <w:r>
        <w:br w:type="page"/>
      </w:r>
    </w:p>
    <w:p w14:paraId="5239E245" w14:textId="4B143963" w:rsidR="006E218A" w:rsidRDefault="006E218A" w:rsidP="006E218A">
      <w:pPr>
        <w:pStyle w:val="Heading1"/>
      </w:pPr>
      <w:bookmarkStart w:id="6" w:name="_Toc120634371"/>
      <w:r>
        <w:lastRenderedPageBreak/>
        <w:t>Limitations of Ratios in Hotel Management</w:t>
      </w:r>
      <w:bookmarkEnd w:id="6"/>
      <w:r>
        <w:t xml:space="preserve"> </w:t>
      </w:r>
    </w:p>
    <w:p w14:paraId="6CD63BFB" w14:textId="741403F3" w:rsidR="004D5752" w:rsidRDefault="004D5752" w:rsidP="004D5752">
      <w:r w:rsidRPr="004D5752">
        <w:t>Several restrictions apply to ratio analysis, as they would to any method of financial analysis. Understanding these limitations is critical for avoiding false conclusions.</w:t>
      </w:r>
      <w:r w:rsidR="00D40B88">
        <w:t xml:space="preserve"> Some most relevant limitations are,</w:t>
      </w:r>
    </w:p>
    <w:p w14:paraId="3EE88A19" w14:textId="79383426" w:rsidR="00D40B88" w:rsidRDefault="00D40B88" w:rsidP="004D5752">
      <w:r w:rsidRPr="00D40B88">
        <w:rPr>
          <w:b/>
          <w:bCs/>
        </w:rPr>
        <w:t>Historical Information:</w:t>
      </w:r>
      <w:r>
        <w:t xml:space="preserve"> </w:t>
      </w:r>
      <w:r w:rsidRPr="00D40B88">
        <w:t>The historical performance information that is readily accessible to the public was the source of the data that was used in the study. Having said that, metrics that are produced through ratio analyses are not necessarily predictive of a 's future moving ahead in the market</w:t>
      </w:r>
      <w:r w:rsidR="00A26501">
        <w:t xml:space="preserve"> </w:t>
      </w:r>
      <w:r w:rsidR="00A26501" w:rsidRPr="00A26501">
        <w:t>(Asquith &amp; Weiss, 2019)</w:t>
      </w:r>
      <w:r w:rsidRPr="00D40B88">
        <w:t>.</w:t>
      </w:r>
    </w:p>
    <w:p w14:paraId="47C11E6C" w14:textId="1250A551" w:rsidR="00D40B88" w:rsidRDefault="00D40B88" w:rsidP="004D5752">
      <w:r w:rsidRPr="00D40B88">
        <w:rPr>
          <w:b/>
          <w:bCs/>
        </w:rPr>
        <w:t>Accounting policies:</w:t>
      </w:r>
      <w:r w:rsidRPr="00D40B88">
        <w:t xml:space="preserve"> Any changes made to the company's accounting rules and processes have the potential to have a significant impact on the </w:t>
      </w:r>
      <w:proofErr w:type="gramStart"/>
      <w:r w:rsidRPr="00D40B88">
        <w:t>manner in which</w:t>
      </w:r>
      <w:proofErr w:type="gramEnd"/>
      <w:r w:rsidRPr="00D40B88">
        <w:t xml:space="preserve"> financial data is presented</w:t>
      </w:r>
      <w:r w:rsidR="00A26501">
        <w:t xml:space="preserve"> </w:t>
      </w:r>
      <w:r w:rsidR="00A26501" w:rsidRPr="00A26501">
        <w:t xml:space="preserve">(Santoso &amp; </w:t>
      </w:r>
      <w:proofErr w:type="spellStart"/>
      <w:r w:rsidR="00A26501" w:rsidRPr="00A26501">
        <w:t>Supatmi</w:t>
      </w:r>
      <w:proofErr w:type="spellEnd"/>
      <w:r w:rsidR="00A26501" w:rsidRPr="00A26501">
        <w:t>, 2021)</w:t>
      </w:r>
      <w:r w:rsidRPr="00D40B88">
        <w:t>. When this occurs, it is impossible to compare the financial outcomes recorded before and after the modification because the fundamental financial indicators that are used in ratio analysis have been altered. This makes it impossible to compare the outcomes of the financial situation before and after the modification.</w:t>
      </w:r>
    </w:p>
    <w:p w14:paraId="160D3BA3" w14:textId="77777777" w:rsidR="00D40B88" w:rsidRDefault="00D40B88" w:rsidP="004D5752">
      <w:r w:rsidRPr="00D40B88">
        <w:rPr>
          <w:b/>
          <w:bCs/>
        </w:rPr>
        <w:t>Inflationary effects:</w:t>
      </w:r>
      <w:r w:rsidRPr="00D40B88">
        <w:t xml:space="preserve"> There are pauses in time between reports </w:t>
      </w:r>
      <w:proofErr w:type="gramStart"/>
      <w:r w:rsidRPr="00D40B88">
        <w:t>as a result of</w:t>
      </w:r>
      <w:proofErr w:type="gramEnd"/>
      <w:r w:rsidRPr="00D40B88">
        <w:t xml:space="preserve"> the fact that financial statements are just publicly disclosed at certain times. The fact that real prices may have changed over the interval due to inflation will not be reflected in the financial records </w:t>
      </w:r>
      <w:proofErr w:type="gramStart"/>
      <w:r w:rsidRPr="00D40B88">
        <w:t>due to the fact that</w:t>
      </w:r>
      <w:proofErr w:type="gramEnd"/>
      <w:r w:rsidRPr="00D40B88">
        <w:t xml:space="preserve"> this fact will not be represented. It is not feasible to establish comparisons between data from different historical periods that have any meaningful significance unless inflation is </w:t>
      </w:r>
      <w:proofErr w:type="gramStart"/>
      <w:r w:rsidRPr="00D40B88">
        <w:t>taken into account</w:t>
      </w:r>
      <w:proofErr w:type="gramEnd"/>
      <w:r w:rsidRPr="00D40B88">
        <w:t>.</w:t>
      </w:r>
    </w:p>
    <w:p w14:paraId="5D1898BB" w14:textId="26829D59" w:rsidR="00B4403D" w:rsidRDefault="00B4403D" w:rsidP="004D5752">
      <w:r w:rsidRPr="00B4403D">
        <w:rPr>
          <w:b/>
          <w:bCs/>
        </w:rPr>
        <w:t>Operational changes:</w:t>
      </w:r>
      <w:r w:rsidRPr="00B4403D">
        <w:t xml:space="preserve"> The operational structure of a corporation may undergo significant shifts in response to changes in the company's strategy for supply chains or the product it sells. When comparing financial indicators before and after a major shift in operations, it may be misleading to extrapolate information about the company's success and </w:t>
      </w:r>
      <w:proofErr w:type="gramStart"/>
      <w:r w:rsidRPr="00B4403D">
        <w:t>future prospects</w:t>
      </w:r>
      <w:proofErr w:type="gramEnd"/>
      <w:r w:rsidRPr="00B4403D">
        <w:t xml:space="preserve"> from the differences</w:t>
      </w:r>
      <w:r w:rsidR="00A26501">
        <w:t xml:space="preserve"> </w:t>
      </w:r>
      <w:r w:rsidR="00A26501" w:rsidRPr="00A26501">
        <w:t>(</w:t>
      </w:r>
      <w:proofErr w:type="spellStart"/>
      <w:r w:rsidR="00A26501" w:rsidRPr="00A26501">
        <w:t>Vernimmen</w:t>
      </w:r>
      <w:proofErr w:type="spellEnd"/>
      <w:r w:rsidR="00A26501" w:rsidRPr="00A26501">
        <w:t xml:space="preserve"> et al., 2022)</w:t>
      </w:r>
      <w:r w:rsidRPr="00B4403D">
        <w:t>.</w:t>
      </w:r>
      <w:r>
        <w:t xml:space="preserve"> Hotels can also change its service packages and options which can have impact on financial ratios.</w:t>
      </w:r>
    </w:p>
    <w:p w14:paraId="498DED56" w14:textId="77777777" w:rsidR="003017F8" w:rsidRDefault="00B4403D" w:rsidP="004D5752">
      <w:r w:rsidRPr="00B4403D">
        <w:rPr>
          <w:b/>
          <w:bCs/>
        </w:rPr>
        <w:t>Seasonality effects:</w:t>
      </w:r>
      <w:r w:rsidRPr="00B4403D">
        <w:t xml:space="preserve"> Analysts need to understand the potential limitations of ratio analysis owing to seasonal factors. Lack of consideration for seasonality effects in </w:t>
      </w:r>
      <w:r w:rsidRPr="00B4403D">
        <w:lastRenderedPageBreak/>
        <w:t>accounting ratios might lead to misinterpretation of the study's conclusions.</w:t>
      </w:r>
      <w:r>
        <w:t xml:space="preserve"> Hotels normally do batter in </w:t>
      </w:r>
      <w:proofErr w:type="gramStart"/>
      <w:r>
        <w:t>summer time</w:t>
      </w:r>
      <w:proofErr w:type="gramEnd"/>
      <w:r>
        <w:t xml:space="preserve"> in Europe than in the winter. </w:t>
      </w:r>
    </w:p>
    <w:p w14:paraId="10E42A22" w14:textId="77777777" w:rsidR="00D95AF3" w:rsidRDefault="003017F8" w:rsidP="004D5752">
      <w:r>
        <w:t xml:space="preserve">Therefore, before concluding any decision financial analyst must consider the limitations that affect ratio analysis </w:t>
      </w:r>
      <w:r w:rsidR="00FA7022">
        <w:t xml:space="preserve">even in the hotel management. </w:t>
      </w:r>
    </w:p>
    <w:p w14:paraId="7C2CEED9" w14:textId="462EB901" w:rsidR="006E218A" w:rsidRDefault="006E218A" w:rsidP="006E218A">
      <w:pPr>
        <w:pStyle w:val="Heading1"/>
      </w:pPr>
      <w:bookmarkStart w:id="7" w:name="_Toc120634372"/>
      <w:r>
        <w:t>Understanding The Ratios for Decision Making</w:t>
      </w:r>
      <w:bookmarkEnd w:id="7"/>
      <w:r>
        <w:t xml:space="preserve"> </w:t>
      </w:r>
    </w:p>
    <w:p w14:paraId="097C4132" w14:textId="418DE6E4" w:rsidR="006E218A" w:rsidRDefault="00A32A17" w:rsidP="006E218A">
      <w:r w:rsidRPr="00A32A17">
        <w:t>For every business, the accounting files represent a vast database. Ratios may be a helpful way to summarize a company's financial health. Users may choose to avoid the extensive financial information if they so want. They may calculate the ratios, analyse the information, and take appropriate action. They need to provide a plethora of information on the efficiency and financial stability of the business. There are occasions when upper management just doesn't have the time or capacity to examine every single item of accounting data before making crucial decisions. Nonetheless, ratio analyses may help summarize this avalanche of data into something more manageable.</w:t>
      </w:r>
    </w:p>
    <w:p w14:paraId="7AA88916" w14:textId="77FBF087" w:rsidR="00A32A17" w:rsidRDefault="00A32A17" w:rsidP="006E218A">
      <w:r w:rsidRPr="00A32A17">
        <w:t>Ratio analysis may be used to acquire a thorough comprehension of vital indicators and the company's health. This data might be used for analysis and improvement of future forecasts by management, as well as for determining the reasons for any discrepancies between actuals and estimates</w:t>
      </w:r>
      <w:r w:rsidR="00A26501">
        <w:t xml:space="preserve"> </w:t>
      </w:r>
      <w:r w:rsidR="00A26501" w:rsidRPr="00A26501">
        <w:t>(Alexander, 2018)</w:t>
      </w:r>
      <w:r w:rsidRPr="00A32A17">
        <w:t>. Therefore, they aid in the control role by giving management an open look at the gap between expected and actual financial outcomes. It also helps management make more realistic budget and forecasting estimates.</w:t>
      </w:r>
    </w:p>
    <w:p w14:paraId="6A74EFF9" w14:textId="49E1CA19" w:rsidR="00A32A17" w:rsidRDefault="00A32A17" w:rsidP="006E218A">
      <w:r w:rsidRPr="00A32A17">
        <w:t xml:space="preserve">Key performance indicators may be used to get insight into the threats an organization confronts and the measures it has taken to mitigate those threats. For a more thorough understanding of the risks associated with taking on external debt, businesses can consider calculating leverage ratios such as financial leverage and operational leverage. How much of the company's assets have been financed by debt and how long it can stay in business with the current level of operating income are both reflected in the </w:t>
      </w:r>
      <w:r w:rsidR="0086152F">
        <w:t xml:space="preserve">solvency </w:t>
      </w:r>
      <w:r w:rsidRPr="00A32A17">
        <w:t>ratios</w:t>
      </w:r>
      <w:r w:rsidR="0086152F">
        <w:t xml:space="preserve"> </w:t>
      </w:r>
      <w:r w:rsidR="0086152F" w:rsidRPr="0086152F">
        <w:t xml:space="preserve">(Drake &amp; </w:t>
      </w:r>
      <w:proofErr w:type="spellStart"/>
      <w:r w:rsidR="0086152F" w:rsidRPr="0086152F">
        <w:t>Fabozzi</w:t>
      </w:r>
      <w:proofErr w:type="spellEnd"/>
      <w:r w:rsidR="0086152F" w:rsidRPr="0086152F">
        <w:t>, 2018)</w:t>
      </w:r>
      <w:r w:rsidRPr="00A32A17">
        <w:t xml:space="preserve">. Certain ratios may be used to assess the company's ability to service its debts, including interest and principal. It's exciting to think that this may be a way whereby credit default risk is introduced. You should be aware that the </w:t>
      </w:r>
      <w:r w:rsidRPr="00A32A17">
        <w:lastRenderedPageBreak/>
        <w:t>debt-equity ratio,</w:t>
      </w:r>
      <w:r>
        <w:t xml:space="preserve"> debt-asset ratio</w:t>
      </w:r>
      <w:r w:rsidRPr="00A32A17">
        <w:t>, and the interest coverage ratio are all measures we employ to assess your financial well-being and credit risk.</w:t>
      </w:r>
    </w:p>
    <w:p w14:paraId="7483EC27" w14:textId="77777777" w:rsidR="00D95AF3" w:rsidRDefault="00A32A17" w:rsidP="00AA70EF">
      <w:r>
        <w:t xml:space="preserve">As top hotel chain in the world Marriot also requires </w:t>
      </w:r>
      <w:proofErr w:type="gramStart"/>
      <w:r>
        <w:t>to assess</w:t>
      </w:r>
      <w:proofErr w:type="gramEnd"/>
      <w:r>
        <w:t xml:space="preserve"> its financial ratios so that its management can take correct and effective decisions at the correct time </w:t>
      </w:r>
      <w:r w:rsidR="00AA70EF">
        <w:t xml:space="preserve">by considering a comprehensive information about the company. </w:t>
      </w:r>
    </w:p>
    <w:p w14:paraId="1EF4F588" w14:textId="77777777" w:rsidR="00D95AF3" w:rsidRDefault="00D95AF3" w:rsidP="006E218A">
      <w:pPr>
        <w:pStyle w:val="Heading1"/>
      </w:pPr>
      <w:bookmarkStart w:id="8" w:name="_Toc120634373"/>
    </w:p>
    <w:p w14:paraId="351CC725" w14:textId="2E055E07" w:rsidR="006E218A" w:rsidRDefault="006E218A" w:rsidP="006E218A">
      <w:pPr>
        <w:pStyle w:val="Heading1"/>
      </w:pPr>
      <w:r>
        <w:t>Conclusion</w:t>
      </w:r>
      <w:bookmarkEnd w:id="8"/>
      <w:r>
        <w:t xml:space="preserve"> </w:t>
      </w:r>
    </w:p>
    <w:p w14:paraId="32B93DE1" w14:textId="30E039E9" w:rsidR="006E218A" w:rsidRDefault="00AA70EF" w:rsidP="006E218A">
      <w:r>
        <w:t xml:space="preserve">Marriot is market dominating hotel chain which is constantly growing over the year by mergers and acquisition of other hotel groups. Its most of the financial ratios are promising in 2021 compared to the previous year. It has high profitability, healthy liquidity ratio, solid efficiency. Though its solvency ratio improved in 2021 but the company is still highly dependent on debt financing. Before taking any major </w:t>
      </w:r>
      <w:proofErr w:type="gramStart"/>
      <w:r>
        <w:t>decisions</w:t>
      </w:r>
      <w:proofErr w:type="gramEnd"/>
      <w:r>
        <w:t xml:space="preserve"> the company’s management and analysts should consider the limitations of ratio analysis but they should not ignore the results of ratio analysis. </w:t>
      </w:r>
    </w:p>
    <w:p w14:paraId="7E1EA526" w14:textId="78B29AB0" w:rsidR="006E218A" w:rsidRDefault="006E218A">
      <w:pPr>
        <w:spacing w:before="0" w:after="160" w:line="259" w:lineRule="auto"/>
        <w:jc w:val="left"/>
      </w:pPr>
      <w:r>
        <w:br w:type="page"/>
      </w:r>
    </w:p>
    <w:p w14:paraId="7976EC66" w14:textId="77777777" w:rsidR="006E218A" w:rsidRDefault="006E218A" w:rsidP="006E218A">
      <w:pPr>
        <w:pStyle w:val="Heading1"/>
      </w:pPr>
      <w:bookmarkStart w:id="9" w:name="_Toc120634374"/>
      <w:r>
        <w:lastRenderedPageBreak/>
        <w:t>Reference</w:t>
      </w:r>
      <w:bookmarkEnd w:id="9"/>
    </w:p>
    <w:p w14:paraId="0AD7A4BC" w14:textId="77777777" w:rsidR="00A26501" w:rsidRDefault="006E218A" w:rsidP="00A26501">
      <w:r>
        <w:t xml:space="preserve"> </w:t>
      </w:r>
      <w:r w:rsidR="00A26501">
        <w:t xml:space="preserve">Alexander, J. (2018) Financial Planning &amp;amp; Analysis and Performance Management. Hoboken: Wiley. </w:t>
      </w:r>
    </w:p>
    <w:p w14:paraId="0DD76730" w14:textId="77777777" w:rsidR="00A26501" w:rsidRDefault="00A26501" w:rsidP="00A26501">
      <w:r>
        <w:t xml:space="preserve">Asquith, P. and Weiss, L.A. (2019) Lessons in corporate finance: A case studies approach to financial tools, financial policies, and valuation. Hoboken, NJ: Wiley. </w:t>
      </w:r>
    </w:p>
    <w:p w14:paraId="1B9E5A55" w14:textId="77777777" w:rsidR="00A26501" w:rsidRDefault="00A26501" w:rsidP="00A26501">
      <w:r>
        <w:t xml:space="preserve">Drake, P.P. and </w:t>
      </w:r>
      <w:proofErr w:type="spellStart"/>
      <w:r>
        <w:t>Fabozzi</w:t>
      </w:r>
      <w:proofErr w:type="spellEnd"/>
      <w:r>
        <w:t xml:space="preserve">, F.J. (2018) “Financial Ratio Analysis,” </w:t>
      </w:r>
      <w:proofErr w:type="spellStart"/>
      <w:r>
        <w:t>Encyclopedia</w:t>
      </w:r>
      <w:proofErr w:type="spellEnd"/>
      <w:r>
        <w:t xml:space="preserve"> of Financial Models [Preprint]. Available at: https://doi.org/10.1002/9781118182635.efm0074. </w:t>
      </w:r>
    </w:p>
    <w:p w14:paraId="24FC23B5" w14:textId="77777777" w:rsidR="00A26501" w:rsidRDefault="00A26501" w:rsidP="00A26501">
      <w:proofErr w:type="spellStart"/>
      <w:r>
        <w:t>Fridson</w:t>
      </w:r>
      <w:proofErr w:type="spellEnd"/>
      <w:r>
        <w:t xml:space="preserve">, M.S. and Alvarez, F. (2022) Financial statement analysis: A practitioner's guide. Hoboken: John Wiley &amp;amp; Sons, Inc. </w:t>
      </w:r>
    </w:p>
    <w:p w14:paraId="77F28C66" w14:textId="77777777" w:rsidR="00A26501" w:rsidRDefault="00A26501" w:rsidP="00A26501">
      <w:r>
        <w:t xml:space="preserve">Gibson, C.H. (2018) Financial statement analysis. Mason, OH: South-Western. </w:t>
      </w:r>
    </w:p>
    <w:p w14:paraId="2F01275B" w14:textId="77777777" w:rsidR="00A26501" w:rsidRDefault="00A26501" w:rsidP="00A26501">
      <w:r>
        <w:t xml:space="preserve">Graham, B. (2016) The intelligent investor. New York: Harper. </w:t>
      </w:r>
    </w:p>
    <w:p w14:paraId="5A4FA31A" w14:textId="77777777" w:rsidR="00A26501" w:rsidRDefault="00A26501" w:rsidP="00A26501">
      <w:r>
        <w:t xml:space="preserve">Marriott financial ratios for analysis 2009-2022: (2022) Macrotrends. Available at: https://www.macrotrends.net/stocks/charts/MAR/marriott/financial-ratios (Accessed: November 29, 2022). </w:t>
      </w:r>
    </w:p>
    <w:p w14:paraId="3C30FC81" w14:textId="77777777" w:rsidR="00A26501" w:rsidRDefault="00A26501" w:rsidP="00A26501">
      <w:r>
        <w:t xml:space="preserve">Marriott International, (2022) Marriott International. Available at: https://www.marriott.com/marriott/aboutmarriott.mi (Accessed: November 29, 2022). </w:t>
      </w:r>
    </w:p>
    <w:p w14:paraId="3E53B575" w14:textId="77777777" w:rsidR="00A26501" w:rsidRDefault="00A26501" w:rsidP="00A26501">
      <w:r>
        <w:t xml:space="preserve">Santoso, T.G. and </w:t>
      </w:r>
      <w:proofErr w:type="spellStart"/>
      <w:r>
        <w:t>Supatmi</w:t>
      </w:r>
      <w:proofErr w:type="spellEnd"/>
      <w:r>
        <w:t xml:space="preserve">, S. (2021) “Financial Ratio Analysis to assess financial performance of the Hotel Industry,” International Journal of Social Science and Business, 5(3), p. 346. Available at: https://doi.org/10.23887/ijssb.v5i3.37003. </w:t>
      </w:r>
    </w:p>
    <w:p w14:paraId="2C65261E" w14:textId="77777777" w:rsidR="00A26501" w:rsidRDefault="00A26501" w:rsidP="00A26501">
      <w:r>
        <w:t xml:space="preserve">Tracy, A. (2019) Ratio Analysis Fundamentals: How 17 financial ratios can allow you to analyse any business on the planet. Brookvale, Australia: </w:t>
      </w:r>
      <w:proofErr w:type="spellStart"/>
      <w:r>
        <w:t>Accofina</w:t>
      </w:r>
      <w:proofErr w:type="spellEnd"/>
      <w:r>
        <w:t xml:space="preserve">. </w:t>
      </w:r>
    </w:p>
    <w:p w14:paraId="76E543C0" w14:textId="3F7413DB" w:rsidR="006E218A" w:rsidRPr="006E218A" w:rsidRDefault="00A26501" w:rsidP="00A26501">
      <w:proofErr w:type="spellStart"/>
      <w:r>
        <w:t>Vernimmen</w:t>
      </w:r>
      <w:proofErr w:type="spellEnd"/>
      <w:r>
        <w:t xml:space="preserve">, P., </w:t>
      </w:r>
      <w:proofErr w:type="spellStart"/>
      <w:r>
        <w:t>Quiry</w:t>
      </w:r>
      <w:proofErr w:type="spellEnd"/>
      <w:r>
        <w:t>, P. and Fur, Y.L. (2022) Corporate finance: Theory and practice. Chichester, West Sussex, United Kingdom: Wiley.</w:t>
      </w:r>
    </w:p>
    <w:sectPr w:rsidR="006E218A" w:rsidRPr="006E218A" w:rsidSect="007462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C8C2F" w14:textId="77777777" w:rsidR="00D460A5" w:rsidRDefault="00D460A5" w:rsidP="00A365F6">
      <w:pPr>
        <w:spacing w:before="0" w:after="0" w:line="240" w:lineRule="auto"/>
      </w:pPr>
      <w:r>
        <w:separator/>
      </w:r>
    </w:p>
  </w:endnote>
  <w:endnote w:type="continuationSeparator" w:id="0">
    <w:p w14:paraId="4ECE03E4" w14:textId="77777777" w:rsidR="00D460A5" w:rsidRDefault="00D460A5" w:rsidP="00A365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486DD" w14:textId="77777777" w:rsidR="00D460A5" w:rsidRDefault="00D460A5" w:rsidP="00A365F6">
      <w:pPr>
        <w:spacing w:before="0" w:after="0" w:line="240" w:lineRule="auto"/>
      </w:pPr>
      <w:r>
        <w:separator/>
      </w:r>
    </w:p>
  </w:footnote>
  <w:footnote w:type="continuationSeparator" w:id="0">
    <w:p w14:paraId="6BE30B7B" w14:textId="77777777" w:rsidR="00D460A5" w:rsidRDefault="00D460A5" w:rsidP="00A365F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szQ1NzIxNzUwMzJR0lEKTi0uzszPAykwqgUAAE4h/SwAAAA="/>
  </w:docVars>
  <w:rsids>
    <w:rsidRoot w:val="006E218A"/>
    <w:rsid w:val="00096609"/>
    <w:rsid w:val="000E4B4B"/>
    <w:rsid w:val="00124723"/>
    <w:rsid w:val="001C54F2"/>
    <w:rsid w:val="003017F8"/>
    <w:rsid w:val="00302AE9"/>
    <w:rsid w:val="00352ED1"/>
    <w:rsid w:val="00362BCB"/>
    <w:rsid w:val="00411D20"/>
    <w:rsid w:val="004D5752"/>
    <w:rsid w:val="005511F1"/>
    <w:rsid w:val="005F151C"/>
    <w:rsid w:val="00631A2A"/>
    <w:rsid w:val="006906B2"/>
    <w:rsid w:val="00695AC6"/>
    <w:rsid w:val="006E218A"/>
    <w:rsid w:val="0074622D"/>
    <w:rsid w:val="0076140A"/>
    <w:rsid w:val="007718B3"/>
    <w:rsid w:val="00860AE9"/>
    <w:rsid w:val="0086152F"/>
    <w:rsid w:val="008A197F"/>
    <w:rsid w:val="009208EF"/>
    <w:rsid w:val="0093134B"/>
    <w:rsid w:val="009A2691"/>
    <w:rsid w:val="00A26501"/>
    <w:rsid w:val="00A32A17"/>
    <w:rsid w:val="00A365F6"/>
    <w:rsid w:val="00A370AE"/>
    <w:rsid w:val="00A62D68"/>
    <w:rsid w:val="00AA70EF"/>
    <w:rsid w:val="00B265B6"/>
    <w:rsid w:val="00B4403D"/>
    <w:rsid w:val="00BA6044"/>
    <w:rsid w:val="00C25242"/>
    <w:rsid w:val="00C4406E"/>
    <w:rsid w:val="00D40B88"/>
    <w:rsid w:val="00D460A5"/>
    <w:rsid w:val="00D80DD0"/>
    <w:rsid w:val="00D95AF3"/>
    <w:rsid w:val="00DA2EE0"/>
    <w:rsid w:val="00DE55D8"/>
    <w:rsid w:val="00DF3728"/>
    <w:rsid w:val="00E94EA8"/>
    <w:rsid w:val="00EE38C1"/>
    <w:rsid w:val="00F6196F"/>
    <w:rsid w:val="00FA70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504B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18A"/>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6E218A"/>
    <w:pPr>
      <w:keepNext/>
      <w:keepLines/>
      <w:spacing w:before="240" w:after="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6E218A"/>
    <w:pPr>
      <w:keepNext/>
      <w:keepLines/>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18A"/>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6E218A"/>
    <w:rPr>
      <w:rFonts w:ascii="Arial" w:eastAsiaTheme="majorEastAsia" w:hAnsi="Arial" w:cstheme="majorBidi"/>
      <w:b/>
      <w:color w:val="0070C0"/>
      <w:sz w:val="28"/>
      <w:szCs w:val="26"/>
    </w:rPr>
  </w:style>
  <w:style w:type="paragraph" w:styleId="Caption">
    <w:name w:val="caption"/>
    <w:basedOn w:val="Normal"/>
    <w:next w:val="Normal"/>
    <w:uiPriority w:val="35"/>
    <w:unhideWhenUsed/>
    <w:qFormat/>
    <w:rsid w:val="00A370AE"/>
    <w:pPr>
      <w:spacing w:before="0" w:after="200" w:line="240" w:lineRule="auto"/>
    </w:pPr>
    <w:rPr>
      <w:i/>
      <w:iCs/>
      <w:color w:val="44546A" w:themeColor="text2"/>
      <w:sz w:val="18"/>
      <w:szCs w:val="18"/>
    </w:rPr>
  </w:style>
  <w:style w:type="paragraph" w:styleId="NoSpacing">
    <w:name w:val="No Spacing"/>
    <w:uiPriority w:val="1"/>
    <w:qFormat/>
    <w:rsid w:val="004D5752"/>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B265B6"/>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265B6"/>
    <w:pPr>
      <w:spacing w:after="100"/>
    </w:pPr>
  </w:style>
  <w:style w:type="paragraph" w:styleId="TOC2">
    <w:name w:val="toc 2"/>
    <w:basedOn w:val="Normal"/>
    <w:next w:val="Normal"/>
    <w:autoRedefine/>
    <w:uiPriority w:val="39"/>
    <w:unhideWhenUsed/>
    <w:rsid w:val="00B265B6"/>
    <w:pPr>
      <w:spacing w:after="100"/>
      <w:ind w:left="240"/>
    </w:pPr>
  </w:style>
  <w:style w:type="character" w:styleId="Hyperlink">
    <w:name w:val="Hyperlink"/>
    <w:basedOn w:val="DefaultParagraphFont"/>
    <w:uiPriority w:val="99"/>
    <w:unhideWhenUsed/>
    <w:rsid w:val="00B265B6"/>
    <w:rPr>
      <w:color w:val="0563C1" w:themeColor="hyperlink"/>
      <w:u w:val="single"/>
    </w:rPr>
  </w:style>
  <w:style w:type="paragraph" w:styleId="Header">
    <w:name w:val="header"/>
    <w:basedOn w:val="Normal"/>
    <w:link w:val="HeaderChar"/>
    <w:uiPriority w:val="99"/>
    <w:unhideWhenUsed/>
    <w:rsid w:val="00A365F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65F6"/>
    <w:rPr>
      <w:rFonts w:ascii="Arial" w:hAnsi="Arial"/>
      <w:sz w:val="24"/>
    </w:rPr>
  </w:style>
  <w:style w:type="paragraph" w:styleId="Footer">
    <w:name w:val="footer"/>
    <w:basedOn w:val="Normal"/>
    <w:link w:val="FooterChar"/>
    <w:uiPriority w:val="99"/>
    <w:unhideWhenUsed/>
    <w:rsid w:val="00A365F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65F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Ratios of Marriot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039661708953049E-2"/>
          <c:y val="0.14718253968253969"/>
          <c:w val="0.91544181977252848"/>
          <c:h val="0.75013842019747534"/>
        </c:manualLayout>
      </c:layout>
      <c:barChart>
        <c:barDir val="col"/>
        <c:grouping val="clustered"/>
        <c:varyColors val="0"/>
        <c:ser>
          <c:idx val="0"/>
          <c:order val="0"/>
          <c:tx>
            <c:strRef>
              <c:f>Sheet1!$B$1</c:f>
              <c:strCache>
                <c:ptCount val="1"/>
                <c:pt idx="0">
                  <c:v>Gross Margin </c:v>
                </c:pt>
              </c:strCache>
            </c:strRef>
          </c:tx>
          <c:spPr>
            <a:solidFill>
              <a:schemeClr val="accent1"/>
            </a:solidFill>
            <a:ln>
              <a:noFill/>
            </a:ln>
            <a:effectLst/>
          </c:spPr>
          <c:invertIfNegative val="0"/>
          <c:cat>
            <c:numRef>
              <c:f>Sheet1!$A$2:$A$3</c:f>
              <c:numCache>
                <c:formatCode>General</c:formatCode>
                <c:ptCount val="2"/>
                <c:pt idx="0">
                  <c:v>2021</c:v>
                </c:pt>
                <c:pt idx="1">
                  <c:v>2020</c:v>
                </c:pt>
              </c:numCache>
            </c:numRef>
          </c:cat>
          <c:val>
            <c:numRef>
              <c:f>Sheet1!$B$2:$B$3</c:f>
              <c:numCache>
                <c:formatCode>General</c:formatCode>
                <c:ptCount val="2"/>
                <c:pt idx="0">
                  <c:v>20.21</c:v>
                </c:pt>
                <c:pt idx="1">
                  <c:v>13.8</c:v>
                </c:pt>
              </c:numCache>
            </c:numRef>
          </c:val>
          <c:extLst>
            <c:ext xmlns:c16="http://schemas.microsoft.com/office/drawing/2014/chart" uri="{C3380CC4-5D6E-409C-BE32-E72D297353CC}">
              <c16:uniqueId val="{00000000-944F-4038-96D8-0635200B3064}"/>
            </c:ext>
          </c:extLst>
        </c:ser>
        <c:ser>
          <c:idx val="1"/>
          <c:order val="1"/>
          <c:tx>
            <c:strRef>
              <c:f>Sheet1!$C$1</c:f>
              <c:strCache>
                <c:ptCount val="1"/>
                <c:pt idx="0">
                  <c:v>Operating Margin</c:v>
                </c:pt>
              </c:strCache>
            </c:strRef>
          </c:tx>
          <c:spPr>
            <a:solidFill>
              <a:schemeClr val="accent2"/>
            </a:solidFill>
            <a:ln>
              <a:noFill/>
            </a:ln>
            <a:effectLst/>
          </c:spPr>
          <c:invertIfNegative val="0"/>
          <c:cat>
            <c:numRef>
              <c:f>Sheet1!$A$2:$A$3</c:f>
              <c:numCache>
                <c:formatCode>General</c:formatCode>
                <c:ptCount val="2"/>
                <c:pt idx="0">
                  <c:v>2021</c:v>
                </c:pt>
                <c:pt idx="1">
                  <c:v>2020</c:v>
                </c:pt>
              </c:numCache>
            </c:numRef>
          </c:cat>
          <c:val>
            <c:numRef>
              <c:f>Sheet1!$C$2:$C$3</c:f>
              <c:numCache>
                <c:formatCode>General</c:formatCode>
                <c:ptCount val="2"/>
                <c:pt idx="0">
                  <c:v>12.69</c:v>
                </c:pt>
                <c:pt idx="1">
                  <c:v>0.79</c:v>
                </c:pt>
              </c:numCache>
            </c:numRef>
          </c:val>
          <c:extLst>
            <c:ext xmlns:c16="http://schemas.microsoft.com/office/drawing/2014/chart" uri="{C3380CC4-5D6E-409C-BE32-E72D297353CC}">
              <c16:uniqueId val="{00000001-944F-4038-96D8-0635200B3064}"/>
            </c:ext>
          </c:extLst>
        </c:ser>
        <c:ser>
          <c:idx val="2"/>
          <c:order val="2"/>
          <c:tx>
            <c:strRef>
              <c:f>Sheet1!$D$1</c:f>
              <c:strCache>
                <c:ptCount val="1"/>
                <c:pt idx="0">
                  <c:v>Net Margin </c:v>
                </c:pt>
              </c:strCache>
            </c:strRef>
          </c:tx>
          <c:spPr>
            <a:solidFill>
              <a:schemeClr val="accent3"/>
            </a:solidFill>
            <a:ln>
              <a:noFill/>
            </a:ln>
            <a:effectLst/>
          </c:spPr>
          <c:invertIfNegative val="0"/>
          <c:cat>
            <c:numRef>
              <c:f>Sheet1!$A$2:$A$3</c:f>
              <c:numCache>
                <c:formatCode>General</c:formatCode>
                <c:ptCount val="2"/>
                <c:pt idx="0">
                  <c:v>2021</c:v>
                </c:pt>
                <c:pt idx="1">
                  <c:v>2020</c:v>
                </c:pt>
              </c:numCache>
            </c:numRef>
          </c:cat>
          <c:val>
            <c:numRef>
              <c:f>Sheet1!$D$2:$D$3</c:f>
              <c:numCache>
                <c:formatCode>General</c:formatCode>
                <c:ptCount val="2"/>
                <c:pt idx="0">
                  <c:v>7.93</c:v>
                </c:pt>
                <c:pt idx="1">
                  <c:v>-2.5299999999999998</c:v>
                </c:pt>
              </c:numCache>
            </c:numRef>
          </c:val>
          <c:extLst>
            <c:ext xmlns:c16="http://schemas.microsoft.com/office/drawing/2014/chart" uri="{C3380CC4-5D6E-409C-BE32-E72D297353CC}">
              <c16:uniqueId val="{00000002-944F-4038-96D8-0635200B3064}"/>
            </c:ext>
          </c:extLst>
        </c:ser>
        <c:ser>
          <c:idx val="3"/>
          <c:order val="3"/>
          <c:tx>
            <c:strRef>
              <c:f>Sheet1!$E$1</c:f>
              <c:strCache>
                <c:ptCount val="1"/>
                <c:pt idx="0">
                  <c:v>ROE</c:v>
                </c:pt>
              </c:strCache>
            </c:strRef>
          </c:tx>
          <c:spPr>
            <a:solidFill>
              <a:schemeClr val="accent4"/>
            </a:solidFill>
            <a:ln>
              <a:noFill/>
            </a:ln>
            <a:effectLst/>
          </c:spPr>
          <c:invertIfNegative val="0"/>
          <c:cat>
            <c:numRef>
              <c:f>Sheet1!$A$2:$A$3</c:f>
              <c:numCache>
                <c:formatCode>General</c:formatCode>
                <c:ptCount val="2"/>
                <c:pt idx="0">
                  <c:v>2021</c:v>
                </c:pt>
                <c:pt idx="1">
                  <c:v>2020</c:v>
                </c:pt>
              </c:numCache>
            </c:numRef>
          </c:cat>
          <c:val>
            <c:numRef>
              <c:f>Sheet1!$E$2:$E$3</c:f>
              <c:numCache>
                <c:formatCode>General</c:formatCode>
                <c:ptCount val="2"/>
                <c:pt idx="0">
                  <c:v>77.72</c:v>
                </c:pt>
                <c:pt idx="1">
                  <c:v>-62.09</c:v>
                </c:pt>
              </c:numCache>
            </c:numRef>
          </c:val>
          <c:extLst>
            <c:ext xmlns:c16="http://schemas.microsoft.com/office/drawing/2014/chart" uri="{C3380CC4-5D6E-409C-BE32-E72D297353CC}">
              <c16:uniqueId val="{00000004-944F-4038-96D8-0635200B3064}"/>
            </c:ext>
          </c:extLst>
        </c:ser>
        <c:ser>
          <c:idx val="4"/>
          <c:order val="4"/>
          <c:tx>
            <c:strRef>
              <c:f>Sheet1!$F$1</c:f>
              <c:strCache>
                <c:ptCount val="1"/>
                <c:pt idx="0">
                  <c:v>ROI</c:v>
                </c:pt>
              </c:strCache>
            </c:strRef>
          </c:tx>
          <c:spPr>
            <a:solidFill>
              <a:schemeClr val="accent5"/>
            </a:solidFill>
            <a:ln>
              <a:noFill/>
            </a:ln>
            <a:effectLst/>
          </c:spPr>
          <c:invertIfNegative val="0"/>
          <c:cat>
            <c:numRef>
              <c:f>Sheet1!$A$2:$A$3</c:f>
              <c:numCache>
                <c:formatCode>General</c:formatCode>
                <c:ptCount val="2"/>
                <c:pt idx="0">
                  <c:v>2021</c:v>
                </c:pt>
                <c:pt idx="1">
                  <c:v>2020</c:v>
                </c:pt>
              </c:numCache>
            </c:numRef>
          </c:cat>
          <c:val>
            <c:numRef>
              <c:f>Sheet1!$F$2:$F$3</c:f>
              <c:numCache>
                <c:formatCode>General</c:formatCode>
                <c:ptCount val="2"/>
                <c:pt idx="0">
                  <c:v>10.220000000000001</c:v>
                </c:pt>
                <c:pt idx="1">
                  <c:v>2.77</c:v>
                </c:pt>
              </c:numCache>
            </c:numRef>
          </c:val>
          <c:extLst>
            <c:ext xmlns:c16="http://schemas.microsoft.com/office/drawing/2014/chart" uri="{C3380CC4-5D6E-409C-BE32-E72D297353CC}">
              <c16:uniqueId val="{00000005-944F-4038-96D8-0635200B3064}"/>
            </c:ext>
          </c:extLst>
        </c:ser>
        <c:dLbls>
          <c:showLegendKey val="0"/>
          <c:showVal val="0"/>
          <c:showCatName val="0"/>
          <c:showSerName val="0"/>
          <c:showPercent val="0"/>
          <c:showBubbleSize val="0"/>
        </c:dLbls>
        <c:gapWidth val="219"/>
        <c:overlap val="-27"/>
        <c:axId val="980940575"/>
        <c:axId val="980938495"/>
      </c:barChart>
      <c:catAx>
        <c:axId val="980940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0938495"/>
        <c:crosses val="autoZero"/>
        <c:auto val="1"/>
        <c:lblAlgn val="ctr"/>
        <c:lblOffset val="100"/>
        <c:noMultiLvlLbl val="0"/>
      </c:catAx>
      <c:valAx>
        <c:axId val="980938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09405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Ratios of Marriot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Current Ratio</c:v>
                </c:pt>
              </c:strCache>
            </c:strRef>
          </c:tx>
          <c:spPr>
            <a:solidFill>
              <a:schemeClr val="accent1"/>
            </a:solidFill>
            <a:ln>
              <a:noFill/>
            </a:ln>
            <a:effectLst/>
          </c:spPr>
          <c:invertIfNegative val="0"/>
          <c:cat>
            <c:numRef>
              <c:f>Sheet1!$A$2:$A$3</c:f>
              <c:numCache>
                <c:formatCode>General</c:formatCode>
                <c:ptCount val="2"/>
                <c:pt idx="0">
                  <c:v>2021</c:v>
                </c:pt>
                <c:pt idx="1">
                  <c:v>2020</c:v>
                </c:pt>
              </c:numCache>
            </c:numRef>
          </c:cat>
          <c:val>
            <c:numRef>
              <c:f>Sheet1!$B$2:$B$3</c:f>
              <c:numCache>
                <c:formatCode>General</c:formatCode>
                <c:ptCount val="2"/>
                <c:pt idx="0">
                  <c:v>0.56999999999999995</c:v>
                </c:pt>
                <c:pt idx="1">
                  <c:v>0.49</c:v>
                </c:pt>
              </c:numCache>
            </c:numRef>
          </c:val>
          <c:extLst>
            <c:ext xmlns:c16="http://schemas.microsoft.com/office/drawing/2014/chart" uri="{C3380CC4-5D6E-409C-BE32-E72D297353CC}">
              <c16:uniqueId val="{00000000-12B4-4E4F-9D49-BC86F5C2D540}"/>
            </c:ext>
          </c:extLst>
        </c:ser>
        <c:ser>
          <c:idx val="1"/>
          <c:order val="1"/>
          <c:tx>
            <c:strRef>
              <c:f>Sheet1!$C$1</c:f>
              <c:strCache>
                <c:ptCount val="1"/>
                <c:pt idx="0">
                  <c:v>Days Sales in Receivables </c:v>
                </c:pt>
              </c:strCache>
            </c:strRef>
          </c:tx>
          <c:spPr>
            <a:solidFill>
              <a:schemeClr val="accent2"/>
            </a:solidFill>
            <a:ln>
              <a:noFill/>
            </a:ln>
            <a:effectLst/>
          </c:spPr>
          <c:invertIfNegative val="0"/>
          <c:cat>
            <c:numRef>
              <c:f>Sheet1!$A$2:$A$3</c:f>
              <c:numCache>
                <c:formatCode>General</c:formatCode>
                <c:ptCount val="2"/>
                <c:pt idx="0">
                  <c:v>2021</c:v>
                </c:pt>
                <c:pt idx="1">
                  <c:v>2020</c:v>
                </c:pt>
              </c:numCache>
            </c:numRef>
          </c:cat>
          <c:val>
            <c:numRef>
              <c:f>Sheet1!$C$2:$C$3</c:f>
              <c:numCache>
                <c:formatCode>General</c:formatCode>
                <c:ptCount val="2"/>
                <c:pt idx="0">
                  <c:v>52.2</c:v>
                </c:pt>
                <c:pt idx="1">
                  <c:v>61.04</c:v>
                </c:pt>
              </c:numCache>
            </c:numRef>
          </c:val>
          <c:extLst>
            <c:ext xmlns:c16="http://schemas.microsoft.com/office/drawing/2014/chart" uri="{C3380CC4-5D6E-409C-BE32-E72D297353CC}">
              <c16:uniqueId val="{00000001-12B4-4E4F-9D49-BC86F5C2D540}"/>
            </c:ext>
          </c:extLst>
        </c:ser>
        <c:dLbls>
          <c:showLegendKey val="0"/>
          <c:showVal val="0"/>
          <c:showCatName val="0"/>
          <c:showSerName val="0"/>
          <c:showPercent val="0"/>
          <c:showBubbleSize val="0"/>
        </c:dLbls>
        <c:gapWidth val="182"/>
        <c:axId val="489653391"/>
        <c:axId val="489652143"/>
      </c:barChart>
      <c:catAx>
        <c:axId val="4896533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52143"/>
        <c:crosses val="autoZero"/>
        <c:auto val="1"/>
        <c:lblAlgn val="ctr"/>
        <c:lblOffset val="100"/>
        <c:noMultiLvlLbl val="0"/>
      </c:catAx>
      <c:valAx>
        <c:axId val="4896521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653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r>
              <a:rPr lang="en-GB" baseline="0"/>
              <a:t> Ratios of Marriot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Asset Turnover</c:v>
                </c:pt>
              </c:strCache>
            </c:strRef>
          </c:tx>
          <c:spPr>
            <a:solidFill>
              <a:schemeClr val="accent1"/>
            </a:solidFill>
            <a:ln>
              <a:noFill/>
            </a:ln>
            <a:effectLst/>
          </c:spPr>
          <c:invertIfNegative val="0"/>
          <c:cat>
            <c:numRef>
              <c:f>Sheet1!$A$2:$A$3</c:f>
              <c:numCache>
                <c:formatCode>General</c:formatCode>
                <c:ptCount val="2"/>
                <c:pt idx="0">
                  <c:v>2021</c:v>
                </c:pt>
                <c:pt idx="1">
                  <c:v>2020</c:v>
                </c:pt>
              </c:numCache>
            </c:numRef>
          </c:cat>
          <c:val>
            <c:numRef>
              <c:f>Sheet1!$B$2:$B$3</c:f>
              <c:numCache>
                <c:formatCode>General</c:formatCode>
                <c:ptCount val="2"/>
                <c:pt idx="0">
                  <c:v>0.54</c:v>
                </c:pt>
                <c:pt idx="1">
                  <c:v>0.43</c:v>
                </c:pt>
              </c:numCache>
            </c:numRef>
          </c:val>
          <c:extLst>
            <c:ext xmlns:c16="http://schemas.microsoft.com/office/drawing/2014/chart" uri="{C3380CC4-5D6E-409C-BE32-E72D297353CC}">
              <c16:uniqueId val="{00000000-C9A6-4043-9C8D-EB17F335094A}"/>
            </c:ext>
          </c:extLst>
        </c:ser>
        <c:ser>
          <c:idx val="1"/>
          <c:order val="1"/>
          <c:tx>
            <c:strRef>
              <c:f>Sheet1!$C$1</c:f>
              <c:strCache>
                <c:ptCount val="1"/>
                <c:pt idx="0">
                  <c:v>Receivable Turnover</c:v>
                </c:pt>
              </c:strCache>
            </c:strRef>
          </c:tx>
          <c:spPr>
            <a:solidFill>
              <a:schemeClr val="accent2"/>
            </a:solidFill>
            <a:ln>
              <a:noFill/>
            </a:ln>
            <a:effectLst/>
          </c:spPr>
          <c:invertIfNegative val="0"/>
          <c:cat>
            <c:numRef>
              <c:f>Sheet1!$A$2:$A$3</c:f>
              <c:numCache>
                <c:formatCode>General</c:formatCode>
                <c:ptCount val="2"/>
                <c:pt idx="0">
                  <c:v>2021</c:v>
                </c:pt>
                <c:pt idx="1">
                  <c:v>2020</c:v>
                </c:pt>
              </c:numCache>
            </c:numRef>
          </c:cat>
          <c:val>
            <c:numRef>
              <c:f>Sheet1!$C$2:$C$3</c:f>
              <c:numCache>
                <c:formatCode>General</c:formatCode>
                <c:ptCount val="2"/>
                <c:pt idx="0">
                  <c:v>6.99</c:v>
                </c:pt>
                <c:pt idx="1">
                  <c:v>5.98</c:v>
                </c:pt>
              </c:numCache>
            </c:numRef>
          </c:val>
          <c:extLst>
            <c:ext xmlns:c16="http://schemas.microsoft.com/office/drawing/2014/chart" uri="{C3380CC4-5D6E-409C-BE32-E72D297353CC}">
              <c16:uniqueId val="{00000001-C9A6-4043-9C8D-EB17F335094A}"/>
            </c:ext>
          </c:extLst>
        </c:ser>
        <c:dLbls>
          <c:showLegendKey val="0"/>
          <c:showVal val="0"/>
          <c:showCatName val="0"/>
          <c:showSerName val="0"/>
          <c:showPercent val="0"/>
          <c:showBubbleSize val="0"/>
        </c:dLbls>
        <c:gapWidth val="219"/>
        <c:overlap val="-27"/>
        <c:axId val="1066514543"/>
        <c:axId val="1066521199"/>
      </c:barChart>
      <c:catAx>
        <c:axId val="1066514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6521199"/>
        <c:crosses val="autoZero"/>
        <c:auto val="1"/>
        <c:lblAlgn val="ctr"/>
        <c:lblOffset val="100"/>
        <c:noMultiLvlLbl val="0"/>
      </c:catAx>
      <c:valAx>
        <c:axId val="1066521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6514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Solvency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Debt/Capital Ratio</c:v>
                </c:pt>
              </c:strCache>
            </c:strRef>
          </c:tx>
          <c:spPr>
            <a:solidFill>
              <a:schemeClr val="accent1"/>
            </a:solidFill>
            <a:ln>
              <a:noFill/>
            </a:ln>
            <a:effectLst/>
          </c:spPr>
          <c:invertIfNegative val="0"/>
          <c:cat>
            <c:numRef>
              <c:f>Sheet1!$A$2:$A$3</c:f>
              <c:numCache>
                <c:formatCode>General</c:formatCode>
                <c:ptCount val="2"/>
                <c:pt idx="0">
                  <c:v>2021</c:v>
                </c:pt>
                <c:pt idx="1">
                  <c:v>2020</c:v>
                </c:pt>
              </c:numCache>
            </c:numRef>
          </c:cat>
          <c:val>
            <c:numRef>
              <c:f>Sheet1!$B$2:$B$3</c:f>
              <c:numCache>
                <c:formatCode>General</c:formatCode>
                <c:ptCount val="2"/>
                <c:pt idx="0">
                  <c:v>0.87</c:v>
                </c:pt>
                <c:pt idx="1">
                  <c:v>0.96</c:v>
                </c:pt>
              </c:numCache>
            </c:numRef>
          </c:val>
          <c:extLst>
            <c:ext xmlns:c16="http://schemas.microsoft.com/office/drawing/2014/chart" uri="{C3380CC4-5D6E-409C-BE32-E72D297353CC}">
              <c16:uniqueId val="{00000000-9410-4C6E-B480-192C91D76D8F}"/>
            </c:ext>
          </c:extLst>
        </c:ser>
        <c:ser>
          <c:idx val="1"/>
          <c:order val="1"/>
          <c:tx>
            <c:strRef>
              <c:f>Sheet1!$C$1</c:f>
              <c:strCache>
                <c:ptCount val="1"/>
                <c:pt idx="0">
                  <c:v>Debt/Equity ratio</c:v>
                </c:pt>
              </c:strCache>
            </c:strRef>
          </c:tx>
          <c:spPr>
            <a:solidFill>
              <a:schemeClr val="accent2"/>
            </a:solidFill>
            <a:ln>
              <a:noFill/>
            </a:ln>
            <a:effectLst/>
          </c:spPr>
          <c:invertIfNegative val="0"/>
          <c:cat>
            <c:numRef>
              <c:f>Sheet1!$A$2:$A$3</c:f>
              <c:numCache>
                <c:formatCode>General</c:formatCode>
                <c:ptCount val="2"/>
                <c:pt idx="0">
                  <c:v>2021</c:v>
                </c:pt>
                <c:pt idx="1">
                  <c:v>2020</c:v>
                </c:pt>
              </c:numCache>
            </c:numRef>
          </c:cat>
          <c:val>
            <c:numRef>
              <c:f>Sheet1!$C$2:$C$3</c:f>
              <c:numCache>
                <c:formatCode>General</c:formatCode>
                <c:ptCount val="2"/>
                <c:pt idx="0">
                  <c:v>7.17</c:v>
                </c:pt>
                <c:pt idx="1">
                  <c:v>24.13</c:v>
                </c:pt>
              </c:numCache>
            </c:numRef>
          </c:val>
          <c:extLst>
            <c:ext xmlns:c16="http://schemas.microsoft.com/office/drawing/2014/chart" uri="{C3380CC4-5D6E-409C-BE32-E72D297353CC}">
              <c16:uniqueId val="{00000001-9410-4C6E-B480-192C91D76D8F}"/>
            </c:ext>
          </c:extLst>
        </c:ser>
        <c:dLbls>
          <c:showLegendKey val="0"/>
          <c:showVal val="0"/>
          <c:showCatName val="0"/>
          <c:showSerName val="0"/>
          <c:showPercent val="0"/>
          <c:showBubbleSize val="0"/>
        </c:dLbls>
        <c:gapWidth val="219"/>
        <c:overlap val="-27"/>
        <c:axId val="1230955503"/>
        <c:axId val="1230957167"/>
      </c:barChart>
      <c:catAx>
        <c:axId val="12309555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957167"/>
        <c:crosses val="autoZero"/>
        <c:auto val="1"/>
        <c:lblAlgn val="ctr"/>
        <c:lblOffset val="100"/>
        <c:noMultiLvlLbl val="0"/>
      </c:catAx>
      <c:valAx>
        <c:axId val="1230957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09555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30D97-597D-49BE-B259-6CDFC8A27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2132</Words>
  <Characters>12153</Characters>
  <Application>Microsoft Office Word</Application>
  <DocSecurity>0</DocSecurity>
  <Lines>101</Lines>
  <Paragraphs>28</Paragraphs>
  <ScaleCrop>false</ScaleCrop>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2022-11-29T11:13:00Z</dcterms:created>
  <dcterms:modified xsi:type="dcterms:W3CDTF">2022-12-09T00:42:00Z</dcterms:modified>
</cp:coreProperties>
</file>