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21582" w14:textId="6ACDCFEF" w:rsidR="0075610D" w:rsidRDefault="0075610D" w:rsidP="0075610D">
      <w:pPr>
        <w:jc w:val="center"/>
      </w:pPr>
      <w:r>
        <w:rPr>
          <w:noProof/>
        </w:rPr>
        <w:drawing>
          <wp:inline distT="0" distB="0" distL="0" distR="0" wp14:anchorId="74AEFD6E" wp14:editId="783D5DA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693A1D7" w14:textId="77777777" w:rsidR="0075610D" w:rsidRDefault="0075610D" w:rsidP="0075610D">
      <w:pPr>
        <w:jc w:val="center"/>
        <w:rPr>
          <w:rFonts w:ascii="Arial" w:hAnsi="Arial" w:cs="Arial"/>
          <w:b/>
          <w:bCs/>
        </w:rPr>
      </w:pPr>
    </w:p>
    <w:p w14:paraId="56CD7C56" w14:textId="594992DA" w:rsidR="0075610D" w:rsidRPr="00646406" w:rsidRDefault="0075610D" w:rsidP="0075610D">
      <w:pPr>
        <w:jc w:val="center"/>
        <w:rPr>
          <w:rFonts w:ascii="Arial" w:hAnsi="Arial" w:cs="Arial"/>
          <w:b/>
          <w:bCs/>
        </w:rPr>
      </w:pPr>
      <w:r w:rsidRPr="00646406">
        <w:rPr>
          <w:rFonts w:ascii="Arial" w:hAnsi="Arial" w:cs="Arial"/>
          <w:b/>
          <w:bCs/>
        </w:rPr>
        <w:t>Student Name:</w:t>
      </w:r>
      <w:r>
        <w:rPr>
          <w:rFonts w:ascii="Arial" w:hAnsi="Arial" w:cs="Arial"/>
          <w:b/>
          <w:bCs/>
        </w:rPr>
        <w:t xml:space="preserve"> Nikki </w:t>
      </w:r>
      <w:proofErr w:type="spellStart"/>
      <w:r>
        <w:rPr>
          <w:rFonts w:ascii="Arial" w:hAnsi="Arial" w:cs="Arial"/>
          <w:b/>
          <w:bCs/>
        </w:rPr>
        <w:t>Lotiwan</w:t>
      </w:r>
      <w:proofErr w:type="spellEnd"/>
      <w:r>
        <w:rPr>
          <w:rFonts w:ascii="Arial" w:hAnsi="Arial" w:cs="Arial"/>
          <w:b/>
          <w:bCs/>
        </w:rPr>
        <w:t xml:space="preserve"> </w:t>
      </w:r>
    </w:p>
    <w:p w14:paraId="2427C377" w14:textId="77777777" w:rsidR="0075610D" w:rsidRPr="00646406" w:rsidRDefault="0075610D" w:rsidP="0075610D">
      <w:pPr>
        <w:jc w:val="center"/>
        <w:rPr>
          <w:rFonts w:ascii="Arial" w:hAnsi="Arial" w:cs="Arial"/>
          <w:b/>
          <w:bCs/>
        </w:rPr>
      </w:pPr>
    </w:p>
    <w:p w14:paraId="24826601" w14:textId="77777777" w:rsidR="0075610D" w:rsidRPr="00646406" w:rsidRDefault="0075610D" w:rsidP="0075610D">
      <w:pPr>
        <w:jc w:val="center"/>
        <w:rPr>
          <w:rFonts w:ascii="Arial" w:hAnsi="Arial" w:cs="Arial"/>
          <w:b/>
          <w:bCs/>
        </w:rPr>
      </w:pPr>
      <w:r w:rsidRPr="00646406">
        <w:rPr>
          <w:rFonts w:ascii="Arial" w:hAnsi="Arial" w:cs="Arial"/>
          <w:b/>
          <w:bCs/>
        </w:rPr>
        <w:t>Student ID:</w:t>
      </w:r>
      <w:r>
        <w:rPr>
          <w:rFonts w:ascii="Arial" w:hAnsi="Arial" w:cs="Arial"/>
          <w:b/>
          <w:bCs/>
        </w:rPr>
        <w:t xml:space="preserve"> 2518745</w:t>
      </w:r>
    </w:p>
    <w:p w14:paraId="398FE990" w14:textId="77777777" w:rsidR="0075610D" w:rsidRPr="00646406" w:rsidRDefault="0075610D" w:rsidP="0075610D">
      <w:pPr>
        <w:jc w:val="center"/>
        <w:rPr>
          <w:rFonts w:ascii="Arial" w:hAnsi="Arial" w:cs="Arial"/>
        </w:rPr>
      </w:pPr>
    </w:p>
    <w:p w14:paraId="610011CD" w14:textId="77777777" w:rsidR="0075610D" w:rsidRPr="00646406" w:rsidRDefault="0075610D" w:rsidP="0075610D">
      <w:pPr>
        <w:jc w:val="center"/>
        <w:rPr>
          <w:rFonts w:ascii="Arial" w:hAnsi="Arial" w:cs="Arial"/>
        </w:rPr>
      </w:pPr>
    </w:p>
    <w:p w14:paraId="5AB7D32B" w14:textId="04393CF6" w:rsidR="0075610D" w:rsidRPr="00646406" w:rsidRDefault="0075610D" w:rsidP="0075610D">
      <w:pPr>
        <w:jc w:val="center"/>
        <w:rPr>
          <w:rFonts w:ascii="Arial" w:hAnsi="Arial" w:cs="Arial"/>
          <w:b/>
          <w:bCs/>
        </w:rPr>
      </w:pPr>
      <w:r w:rsidRPr="00646406">
        <w:rPr>
          <w:rFonts w:ascii="Arial" w:hAnsi="Arial" w:cs="Arial"/>
          <w:b/>
          <w:bCs/>
        </w:rPr>
        <w:t xml:space="preserve">Module Name: </w:t>
      </w:r>
      <w:r>
        <w:rPr>
          <w:rFonts w:ascii="Arial" w:hAnsi="Arial" w:cs="Arial"/>
          <w:b/>
          <w:bCs/>
        </w:rPr>
        <w:t xml:space="preserve">Strategic Management </w:t>
      </w:r>
    </w:p>
    <w:p w14:paraId="592CEF76" w14:textId="77777777" w:rsidR="0075610D" w:rsidRPr="00646406" w:rsidRDefault="0075610D" w:rsidP="0075610D">
      <w:pPr>
        <w:jc w:val="center"/>
        <w:rPr>
          <w:rFonts w:ascii="Arial" w:hAnsi="Arial" w:cs="Arial"/>
          <w:b/>
          <w:bCs/>
        </w:rPr>
      </w:pPr>
    </w:p>
    <w:p w14:paraId="2BEB6FB7" w14:textId="78F2478D" w:rsidR="0075610D" w:rsidRPr="00646406" w:rsidRDefault="0075610D" w:rsidP="0075610D">
      <w:pPr>
        <w:jc w:val="center"/>
        <w:rPr>
          <w:rFonts w:ascii="Arial" w:hAnsi="Arial" w:cs="Arial"/>
          <w:b/>
          <w:bCs/>
        </w:rPr>
      </w:pPr>
      <w:r w:rsidRPr="00646406">
        <w:rPr>
          <w:rFonts w:ascii="Arial" w:hAnsi="Arial" w:cs="Arial"/>
          <w:b/>
          <w:bCs/>
        </w:rPr>
        <w:t>Module Code: LCMB70</w:t>
      </w:r>
      <w:r>
        <w:rPr>
          <w:rFonts w:ascii="Arial" w:hAnsi="Arial" w:cs="Arial"/>
          <w:b/>
          <w:bCs/>
        </w:rPr>
        <w:t>03</w:t>
      </w:r>
    </w:p>
    <w:p w14:paraId="02297DE6" w14:textId="77777777" w:rsidR="0075610D" w:rsidRPr="00646406" w:rsidRDefault="0075610D" w:rsidP="0075610D">
      <w:pPr>
        <w:jc w:val="center"/>
        <w:rPr>
          <w:rFonts w:ascii="Arial" w:hAnsi="Arial" w:cs="Arial"/>
          <w:b/>
          <w:bCs/>
        </w:rPr>
      </w:pPr>
    </w:p>
    <w:p w14:paraId="0CCF9FCC" w14:textId="77777777" w:rsidR="0075610D" w:rsidRPr="00646406" w:rsidRDefault="0075610D" w:rsidP="0075610D">
      <w:pPr>
        <w:rPr>
          <w:rFonts w:ascii="Arial" w:hAnsi="Arial" w:cs="Arial"/>
          <w:b/>
          <w:bCs/>
        </w:rPr>
      </w:pPr>
    </w:p>
    <w:p w14:paraId="0C74B784" w14:textId="77777777" w:rsidR="004E3342" w:rsidRPr="004E3342" w:rsidRDefault="0075610D" w:rsidP="004E3342">
      <w:pPr>
        <w:jc w:val="center"/>
        <w:rPr>
          <w:rFonts w:ascii="Arial" w:hAnsi="Arial" w:cs="Arial"/>
          <w:b/>
          <w:bCs/>
        </w:rPr>
      </w:pPr>
      <w:r w:rsidRPr="00646406">
        <w:rPr>
          <w:rFonts w:ascii="Arial" w:hAnsi="Arial" w:cs="Arial"/>
          <w:b/>
          <w:bCs/>
        </w:rPr>
        <w:t>Lecturer’s Name:</w:t>
      </w:r>
      <w:r>
        <w:rPr>
          <w:rFonts w:ascii="Arial" w:hAnsi="Arial" w:cs="Arial"/>
          <w:b/>
          <w:bCs/>
        </w:rPr>
        <w:t xml:space="preserve"> </w:t>
      </w:r>
      <w:r w:rsidR="004E3342" w:rsidRPr="004E3342">
        <w:rPr>
          <w:rFonts w:ascii="Arial" w:hAnsi="Arial" w:cs="Arial"/>
          <w:b/>
          <w:bCs/>
        </w:rPr>
        <w:t>Gladius David Kulothungan</w:t>
      </w:r>
    </w:p>
    <w:p w14:paraId="14321447" w14:textId="74B10A95" w:rsidR="0075610D" w:rsidRDefault="0075610D" w:rsidP="0075610D">
      <w:pPr>
        <w:jc w:val="center"/>
        <w:rPr>
          <w:rFonts w:ascii="Arial" w:hAnsi="Arial" w:cs="Arial"/>
          <w:b/>
          <w:bCs/>
        </w:rPr>
      </w:pPr>
    </w:p>
    <w:p w14:paraId="6040B6FB" w14:textId="77777777" w:rsidR="0075610D" w:rsidRDefault="0075610D" w:rsidP="0075610D">
      <w:pPr>
        <w:jc w:val="center"/>
        <w:rPr>
          <w:rFonts w:ascii="Arial" w:hAnsi="Arial" w:cs="Arial"/>
          <w:b/>
          <w:bCs/>
        </w:rPr>
      </w:pPr>
    </w:p>
    <w:p w14:paraId="2DB8ABEA" w14:textId="04858C9D" w:rsidR="0075610D" w:rsidRDefault="0075610D" w:rsidP="0075610D">
      <w:pPr>
        <w:jc w:val="center"/>
        <w:rPr>
          <w:rFonts w:ascii="Arial" w:hAnsi="Arial" w:cs="Arial"/>
          <w:b/>
          <w:bCs/>
        </w:rPr>
      </w:pPr>
      <w:r>
        <w:rPr>
          <w:rFonts w:ascii="Arial" w:hAnsi="Arial" w:cs="Arial"/>
          <w:b/>
          <w:bCs/>
        </w:rPr>
        <w:t xml:space="preserve">Word count: </w:t>
      </w:r>
      <w:r w:rsidR="004E3342">
        <w:rPr>
          <w:rFonts w:ascii="Arial" w:hAnsi="Arial" w:cs="Arial"/>
          <w:b/>
          <w:bCs/>
        </w:rPr>
        <w:t>6200</w:t>
      </w:r>
    </w:p>
    <w:p w14:paraId="20A80162" w14:textId="77777777" w:rsidR="0075610D" w:rsidRDefault="0075610D" w:rsidP="0075610D">
      <w:pPr>
        <w:jc w:val="center"/>
        <w:rPr>
          <w:rFonts w:ascii="Arial" w:hAnsi="Arial" w:cs="Arial"/>
          <w:b/>
          <w:bCs/>
        </w:rPr>
      </w:pPr>
    </w:p>
    <w:p w14:paraId="6849CA1E" w14:textId="77777777" w:rsidR="0075610D" w:rsidRDefault="0075610D" w:rsidP="0075610D">
      <w:pPr>
        <w:jc w:val="center"/>
        <w:rPr>
          <w:rFonts w:ascii="Arial" w:hAnsi="Arial" w:cs="Arial"/>
          <w:b/>
          <w:bCs/>
        </w:rPr>
      </w:pPr>
      <w:r w:rsidRPr="00646406">
        <w:rPr>
          <w:rFonts w:ascii="Arial" w:hAnsi="Arial" w:cs="Arial"/>
          <w:b/>
          <w:bCs/>
        </w:rPr>
        <w:t xml:space="preserve">Term </w:t>
      </w:r>
      <w:r>
        <w:rPr>
          <w:rFonts w:ascii="Arial" w:hAnsi="Arial" w:cs="Arial"/>
          <w:b/>
          <w:bCs/>
        </w:rPr>
        <w:t>2</w:t>
      </w:r>
    </w:p>
    <w:p w14:paraId="71DBBF9B" w14:textId="77777777" w:rsidR="0075610D" w:rsidRDefault="0075610D" w:rsidP="0075610D">
      <w:pPr>
        <w:jc w:val="center"/>
        <w:rPr>
          <w:rFonts w:ascii="Arial" w:hAnsi="Arial" w:cs="Arial"/>
          <w:b/>
          <w:bCs/>
        </w:rPr>
      </w:pPr>
    </w:p>
    <w:p w14:paraId="16528DEE" w14:textId="77777777" w:rsidR="0075610D" w:rsidRDefault="0075610D" w:rsidP="0075610D">
      <w:pPr>
        <w:jc w:val="center"/>
        <w:rPr>
          <w:rFonts w:ascii="Arial" w:hAnsi="Arial" w:cs="Arial"/>
          <w:b/>
          <w:bCs/>
        </w:rPr>
      </w:pPr>
    </w:p>
    <w:p w14:paraId="781B973C" w14:textId="77777777" w:rsidR="0075610D" w:rsidRDefault="0075610D" w:rsidP="0075610D">
      <w:pPr>
        <w:jc w:val="center"/>
        <w:rPr>
          <w:rFonts w:ascii="Arial" w:hAnsi="Arial" w:cs="Arial"/>
          <w:b/>
          <w:bCs/>
        </w:rPr>
      </w:pPr>
    </w:p>
    <w:p w14:paraId="5585C657" w14:textId="77777777" w:rsidR="0075610D" w:rsidRDefault="0075610D" w:rsidP="0075610D">
      <w:pPr>
        <w:jc w:val="center"/>
        <w:rPr>
          <w:rFonts w:ascii="Arial" w:hAnsi="Arial" w:cs="Arial"/>
          <w:b/>
          <w:bCs/>
        </w:rPr>
      </w:pPr>
    </w:p>
    <w:p w14:paraId="0816E707" w14:textId="77777777" w:rsidR="0075610D" w:rsidRDefault="0075610D" w:rsidP="0075610D">
      <w:pPr>
        <w:jc w:val="center"/>
        <w:rPr>
          <w:rFonts w:ascii="Arial" w:hAnsi="Arial" w:cs="Arial"/>
          <w:b/>
          <w:bCs/>
        </w:rPr>
      </w:pPr>
    </w:p>
    <w:p w14:paraId="3A97C59F" w14:textId="77777777" w:rsidR="005D2396" w:rsidRDefault="005D2396" w:rsidP="0075610D">
      <w:pPr>
        <w:rPr>
          <w:rFonts w:ascii="Arial" w:hAnsi="Arial" w:cs="Arial"/>
          <w:b/>
          <w:bCs/>
        </w:rPr>
      </w:pPr>
    </w:p>
    <w:p w14:paraId="25D42649" w14:textId="5A7E54F9" w:rsidR="0075610D" w:rsidRPr="005132B7" w:rsidRDefault="0075610D" w:rsidP="005132B7">
      <w:pPr>
        <w:rPr>
          <w:rFonts w:ascii="Arial" w:hAnsi="Arial" w:cs="Arial"/>
          <w:b/>
          <w:bCs/>
          <w:sz w:val="30"/>
          <w:szCs w:val="30"/>
          <w:u w:val="single"/>
        </w:rPr>
      </w:pPr>
      <w:r w:rsidRPr="000A18B2">
        <w:rPr>
          <w:rFonts w:ascii="Arial" w:hAnsi="Arial" w:cs="Arial"/>
          <w:b/>
          <w:bCs/>
          <w:sz w:val="30"/>
          <w:szCs w:val="30"/>
          <w:u w:val="single"/>
        </w:rPr>
        <w:t>Table of Contents</w:t>
      </w:r>
    </w:p>
    <w:tbl>
      <w:tblPr>
        <w:tblW w:w="0" w:type="auto"/>
        <w:shd w:val="clear" w:color="auto" w:fill="22262B"/>
        <w:tblCellMar>
          <w:top w:w="15" w:type="dxa"/>
          <w:left w:w="15" w:type="dxa"/>
          <w:bottom w:w="15" w:type="dxa"/>
          <w:right w:w="15" w:type="dxa"/>
        </w:tblCellMar>
        <w:tblLook w:val="04A0" w:firstRow="1" w:lastRow="0" w:firstColumn="1" w:lastColumn="0" w:noHBand="0" w:noVBand="1"/>
      </w:tblPr>
      <w:tblGrid>
        <w:gridCol w:w="6912"/>
        <w:gridCol w:w="981"/>
      </w:tblGrid>
      <w:tr w:rsidR="00302E21" w:rsidRPr="00302E21" w14:paraId="50650E2F" w14:textId="77777777" w:rsidTr="00302E21">
        <w:tc>
          <w:tcPr>
            <w:tcW w:w="0" w:type="auto"/>
            <w:tcBorders>
              <w:bottom w:val="single" w:sz="4" w:space="0" w:color="5E5E5E"/>
            </w:tcBorders>
            <w:shd w:val="clear" w:color="auto" w:fill="FFFFFF" w:themeFill="background1"/>
            <w:hideMark/>
          </w:tcPr>
          <w:p w14:paraId="38159F52" w14:textId="77777777" w:rsidR="00302E21" w:rsidRPr="00302E21" w:rsidRDefault="00302E21" w:rsidP="00302E21">
            <w:pPr>
              <w:rPr>
                <w:b/>
                <w:bCs/>
              </w:rPr>
            </w:pPr>
            <w:r w:rsidRPr="00302E21">
              <w:rPr>
                <w:b/>
                <w:bCs/>
              </w:rPr>
              <w:t>Section</w:t>
            </w:r>
          </w:p>
        </w:tc>
        <w:tc>
          <w:tcPr>
            <w:tcW w:w="0" w:type="auto"/>
            <w:tcBorders>
              <w:bottom w:val="single" w:sz="4" w:space="0" w:color="5E5E5E"/>
            </w:tcBorders>
            <w:shd w:val="clear" w:color="auto" w:fill="FFFFFF" w:themeFill="background1"/>
            <w:hideMark/>
          </w:tcPr>
          <w:p w14:paraId="308DF10B" w14:textId="77777777" w:rsidR="00302E21" w:rsidRPr="00302E21" w:rsidRDefault="00302E21" w:rsidP="00302E21">
            <w:pPr>
              <w:rPr>
                <w:b/>
                <w:bCs/>
              </w:rPr>
            </w:pPr>
            <w:r w:rsidRPr="00302E21">
              <w:rPr>
                <w:b/>
                <w:bCs/>
              </w:rPr>
              <w:t>Page No.</w:t>
            </w:r>
          </w:p>
        </w:tc>
      </w:tr>
      <w:tr w:rsidR="00302E21" w:rsidRPr="00302E21" w14:paraId="31ED4F6E" w14:textId="77777777" w:rsidTr="00302E21">
        <w:tc>
          <w:tcPr>
            <w:tcW w:w="0" w:type="auto"/>
            <w:tcBorders>
              <w:bottom w:val="single" w:sz="4" w:space="0" w:color="37383B"/>
            </w:tcBorders>
            <w:shd w:val="clear" w:color="auto" w:fill="FFFFFF" w:themeFill="background1"/>
            <w:hideMark/>
          </w:tcPr>
          <w:p w14:paraId="4FDDFD16" w14:textId="77777777" w:rsidR="00302E21" w:rsidRPr="00302E21" w:rsidRDefault="00302E21" w:rsidP="00302E21">
            <w:r w:rsidRPr="00302E21">
              <w:rPr>
                <w:b/>
                <w:bCs/>
              </w:rPr>
              <w:t>1. Organizational Context &amp; Overview</w:t>
            </w:r>
          </w:p>
        </w:tc>
        <w:tc>
          <w:tcPr>
            <w:tcW w:w="0" w:type="auto"/>
            <w:tcBorders>
              <w:bottom w:val="single" w:sz="4" w:space="0" w:color="37383B"/>
            </w:tcBorders>
            <w:shd w:val="clear" w:color="auto" w:fill="FFFFFF" w:themeFill="background1"/>
            <w:hideMark/>
          </w:tcPr>
          <w:p w14:paraId="124310EF" w14:textId="0DAEB6F5" w:rsidR="00302E21" w:rsidRPr="00302E21" w:rsidRDefault="00BC216F" w:rsidP="00302E21">
            <w:r>
              <w:t>6</w:t>
            </w:r>
          </w:p>
        </w:tc>
      </w:tr>
      <w:tr w:rsidR="00302E21" w:rsidRPr="00302E21" w14:paraId="7AC2ABEC" w14:textId="77777777" w:rsidTr="00302E21">
        <w:tc>
          <w:tcPr>
            <w:tcW w:w="0" w:type="auto"/>
            <w:tcBorders>
              <w:bottom w:val="single" w:sz="4" w:space="0" w:color="37383B"/>
            </w:tcBorders>
            <w:shd w:val="clear" w:color="auto" w:fill="FFFFFF" w:themeFill="background1"/>
            <w:hideMark/>
          </w:tcPr>
          <w:p w14:paraId="780D080C" w14:textId="77777777" w:rsidR="00302E21" w:rsidRPr="00302E21" w:rsidRDefault="00302E21" w:rsidP="00302E21">
            <w:r w:rsidRPr="00302E21">
              <w:t>    1.1 Business Model</w:t>
            </w:r>
          </w:p>
        </w:tc>
        <w:tc>
          <w:tcPr>
            <w:tcW w:w="0" w:type="auto"/>
            <w:tcBorders>
              <w:bottom w:val="single" w:sz="4" w:space="0" w:color="37383B"/>
            </w:tcBorders>
            <w:shd w:val="clear" w:color="auto" w:fill="FFFFFF" w:themeFill="background1"/>
            <w:hideMark/>
          </w:tcPr>
          <w:p w14:paraId="26FAB371" w14:textId="6C57183F" w:rsidR="00302E21" w:rsidRPr="00302E21" w:rsidRDefault="00BC216F" w:rsidP="00302E21">
            <w:r>
              <w:t>6</w:t>
            </w:r>
          </w:p>
        </w:tc>
      </w:tr>
      <w:tr w:rsidR="00302E21" w:rsidRPr="00302E21" w14:paraId="4840C977" w14:textId="77777777" w:rsidTr="00302E21">
        <w:tc>
          <w:tcPr>
            <w:tcW w:w="0" w:type="auto"/>
            <w:tcBorders>
              <w:bottom w:val="single" w:sz="4" w:space="0" w:color="37383B"/>
            </w:tcBorders>
            <w:shd w:val="clear" w:color="auto" w:fill="FFFFFF" w:themeFill="background1"/>
            <w:hideMark/>
          </w:tcPr>
          <w:p w14:paraId="194A6D94" w14:textId="77777777" w:rsidR="00302E21" w:rsidRPr="00302E21" w:rsidRDefault="00302E21" w:rsidP="00302E21">
            <w:r w:rsidRPr="00302E21">
              <w:t>    1.2 Industry Overview &amp; Main Competitors</w:t>
            </w:r>
          </w:p>
        </w:tc>
        <w:tc>
          <w:tcPr>
            <w:tcW w:w="0" w:type="auto"/>
            <w:tcBorders>
              <w:bottom w:val="single" w:sz="4" w:space="0" w:color="37383B"/>
            </w:tcBorders>
            <w:shd w:val="clear" w:color="auto" w:fill="FFFFFF" w:themeFill="background1"/>
            <w:hideMark/>
          </w:tcPr>
          <w:p w14:paraId="575A8F85" w14:textId="38EE14BF" w:rsidR="00302E21" w:rsidRPr="00302E21" w:rsidRDefault="00064B76" w:rsidP="00302E21">
            <w:r>
              <w:t>7</w:t>
            </w:r>
          </w:p>
        </w:tc>
      </w:tr>
      <w:tr w:rsidR="00302E21" w:rsidRPr="00302E21" w14:paraId="698FFA1C" w14:textId="77777777" w:rsidTr="00302E21">
        <w:tc>
          <w:tcPr>
            <w:tcW w:w="0" w:type="auto"/>
            <w:tcBorders>
              <w:bottom w:val="single" w:sz="4" w:space="0" w:color="37383B"/>
            </w:tcBorders>
            <w:shd w:val="clear" w:color="auto" w:fill="FFFFFF" w:themeFill="background1"/>
            <w:hideMark/>
          </w:tcPr>
          <w:p w14:paraId="787DC680" w14:textId="77777777" w:rsidR="00302E21" w:rsidRPr="00302E21" w:rsidRDefault="00302E21" w:rsidP="00302E21">
            <w:r w:rsidRPr="00302E21">
              <w:t>    1.3 Current Market Standing</w:t>
            </w:r>
          </w:p>
        </w:tc>
        <w:tc>
          <w:tcPr>
            <w:tcW w:w="0" w:type="auto"/>
            <w:tcBorders>
              <w:bottom w:val="single" w:sz="4" w:space="0" w:color="37383B"/>
            </w:tcBorders>
            <w:shd w:val="clear" w:color="auto" w:fill="FFFFFF" w:themeFill="background1"/>
            <w:hideMark/>
          </w:tcPr>
          <w:p w14:paraId="0C350866" w14:textId="00FCD7B8" w:rsidR="00302E21" w:rsidRPr="00302E21" w:rsidRDefault="00064B76" w:rsidP="00302E21">
            <w:r>
              <w:t>7</w:t>
            </w:r>
          </w:p>
        </w:tc>
      </w:tr>
      <w:tr w:rsidR="00302E21" w:rsidRPr="00302E21" w14:paraId="42792CA7" w14:textId="77777777" w:rsidTr="00302E21">
        <w:tc>
          <w:tcPr>
            <w:tcW w:w="0" w:type="auto"/>
            <w:tcBorders>
              <w:bottom w:val="single" w:sz="4" w:space="0" w:color="37383B"/>
            </w:tcBorders>
            <w:shd w:val="clear" w:color="auto" w:fill="FFFFFF" w:themeFill="background1"/>
            <w:hideMark/>
          </w:tcPr>
          <w:p w14:paraId="537AE1D5" w14:textId="77777777" w:rsidR="00302E21" w:rsidRPr="00302E21" w:rsidRDefault="00302E21" w:rsidP="00302E21">
            <w:r w:rsidRPr="00302E21">
              <w:rPr>
                <w:b/>
                <w:bCs/>
              </w:rPr>
              <w:t>2. External Analysis (PESTEL Framework)</w:t>
            </w:r>
          </w:p>
        </w:tc>
        <w:tc>
          <w:tcPr>
            <w:tcW w:w="0" w:type="auto"/>
            <w:tcBorders>
              <w:bottom w:val="single" w:sz="4" w:space="0" w:color="37383B"/>
            </w:tcBorders>
            <w:shd w:val="clear" w:color="auto" w:fill="FFFFFF" w:themeFill="background1"/>
            <w:hideMark/>
          </w:tcPr>
          <w:p w14:paraId="2C36842B" w14:textId="4A8FB8CB" w:rsidR="00302E21" w:rsidRPr="00302E21" w:rsidRDefault="00064B76" w:rsidP="00302E21">
            <w:r>
              <w:t>7</w:t>
            </w:r>
          </w:p>
        </w:tc>
      </w:tr>
      <w:tr w:rsidR="00302E21" w:rsidRPr="00302E21" w14:paraId="768F0602" w14:textId="77777777" w:rsidTr="00302E21">
        <w:tc>
          <w:tcPr>
            <w:tcW w:w="0" w:type="auto"/>
            <w:tcBorders>
              <w:bottom w:val="single" w:sz="4" w:space="0" w:color="37383B"/>
            </w:tcBorders>
            <w:shd w:val="clear" w:color="auto" w:fill="FFFFFF" w:themeFill="background1"/>
            <w:hideMark/>
          </w:tcPr>
          <w:p w14:paraId="3DB2E400" w14:textId="77777777" w:rsidR="00302E21" w:rsidRPr="00302E21" w:rsidRDefault="00302E21" w:rsidP="00302E21">
            <w:r w:rsidRPr="00302E21">
              <w:t>    2.1 Political Factors</w:t>
            </w:r>
          </w:p>
        </w:tc>
        <w:tc>
          <w:tcPr>
            <w:tcW w:w="0" w:type="auto"/>
            <w:tcBorders>
              <w:bottom w:val="single" w:sz="4" w:space="0" w:color="37383B"/>
            </w:tcBorders>
            <w:shd w:val="clear" w:color="auto" w:fill="FFFFFF" w:themeFill="background1"/>
            <w:hideMark/>
          </w:tcPr>
          <w:p w14:paraId="12E1ABF8" w14:textId="7372A21C" w:rsidR="00302E21" w:rsidRPr="00302E21" w:rsidRDefault="00064B76" w:rsidP="00302E21">
            <w:r>
              <w:t>7</w:t>
            </w:r>
          </w:p>
        </w:tc>
      </w:tr>
      <w:tr w:rsidR="00302E21" w:rsidRPr="00302E21" w14:paraId="002FB401" w14:textId="77777777" w:rsidTr="00302E21">
        <w:tc>
          <w:tcPr>
            <w:tcW w:w="0" w:type="auto"/>
            <w:tcBorders>
              <w:bottom w:val="single" w:sz="4" w:space="0" w:color="37383B"/>
            </w:tcBorders>
            <w:shd w:val="clear" w:color="auto" w:fill="FFFFFF" w:themeFill="background1"/>
            <w:hideMark/>
          </w:tcPr>
          <w:p w14:paraId="67E66E6A" w14:textId="77777777" w:rsidR="00302E21" w:rsidRPr="00302E21" w:rsidRDefault="00302E21" w:rsidP="00302E21">
            <w:r w:rsidRPr="00302E21">
              <w:t>    2.2 Economic Factors</w:t>
            </w:r>
          </w:p>
        </w:tc>
        <w:tc>
          <w:tcPr>
            <w:tcW w:w="0" w:type="auto"/>
            <w:tcBorders>
              <w:bottom w:val="single" w:sz="4" w:space="0" w:color="37383B"/>
            </w:tcBorders>
            <w:shd w:val="clear" w:color="auto" w:fill="FFFFFF" w:themeFill="background1"/>
            <w:hideMark/>
          </w:tcPr>
          <w:p w14:paraId="0E26C3BC" w14:textId="200E8B52" w:rsidR="00302E21" w:rsidRPr="00302E21" w:rsidRDefault="00064B76" w:rsidP="00302E21">
            <w:r>
              <w:t>8</w:t>
            </w:r>
          </w:p>
        </w:tc>
      </w:tr>
      <w:tr w:rsidR="00302E21" w:rsidRPr="00302E21" w14:paraId="1110F45B" w14:textId="77777777" w:rsidTr="00302E21">
        <w:tc>
          <w:tcPr>
            <w:tcW w:w="0" w:type="auto"/>
            <w:tcBorders>
              <w:bottom w:val="single" w:sz="4" w:space="0" w:color="37383B"/>
            </w:tcBorders>
            <w:shd w:val="clear" w:color="auto" w:fill="FFFFFF" w:themeFill="background1"/>
            <w:hideMark/>
          </w:tcPr>
          <w:p w14:paraId="41194063" w14:textId="77777777" w:rsidR="00302E21" w:rsidRPr="00302E21" w:rsidRDefault="00302E21" w:rsidP="00302E21">
            <w:r w:rsidRPr="00302E21">
              <w:t>    2.3 Social Factors</w:t>
            </w:r>
          </w:p>
        </w:tc>
        <w:tc>
          <w:tcPr>
            <w:tcW w:w="0" w:type="auto"/>
            <w:tcBorders>
              <w:bottom w:val="single" w:sz="4" w:space="0" w:color="37383B"/>
            </w:tcBorders>
            <w:shd w:val="clear" w:color="auto" w:fill="FFFFFF" w:themeFill="background1"/>
            <w:hideMark/>
          </w:tcPr>
          <w:p w14:paraId="00C7EE63" w14:textId="470D9F81" w:rsidR="00302E21" w:rsidRPr="00302E21" w:rsidRDefault="00064B76" w:rsidP="00302E21">
            <w:r>
              <w:t>8</w:t>
            </w:r>
          </w:p>
        </w:tc>
      </w:tr>
      <w:tr w:rsidR="00302E21" w:rsidRPr="00302E21" w14:paraId="62D05EFB" w14:textId="77777777" w:rsidTr="00302E21">
        <w:tc>
          <w:tcPr>
            <w:tcW w:w="0" w:type="auto"/>
            <w:tcBorders>
              <w:bottom w:val="single" w:sz="4" w:space="0" w:color="37383B"/>
            </w:tcBorders>
            <w:shd w:val="clear" w:color="auto" w:fill="FFFFFF" w:themeFill="background1"/>
            <w:hideMark/>
          </w:tcPr>
          <w:p w14:paraId="527AF6DD" w14:textId="77777777" w:rsidR="00302E21" w:rsidRPr="00302E21" w:rsidRDefault="00302E21" w:rsidP="00302E21">
            <w:r w:rsidRPr="00302E21">
              <w:t>    2.4 Technological Factors</w:t>
            </w:r>
          </w:p>
        </w:tc>
        <w:tc>
          <w:tcPr>
            <w:tcW w:w="0" w:type="auto"/>
            <w:tcBorders>
              <w:bottom w:val="single" w:sz="4" w:space="0" w:color="37383B"/>
            </w:tcBorders>
            <w:shd w:val="clear" w:color="auto" w:fill="FFFFFF" w:themeFill="background1"/>
            <w:hideMark/>
          </w:tcPr>
          <w:p w14:paraId="525D5D47" w14:textId="33A7D03F" w:rsidR="00302E21" w:rsidRPr="00302E21" w:rsidRDefault="00064B76" w:rsidP="00302E21">
            <w:r>
              <w:t>8</w:t>
            </w:r>
          </w:p>
        </w:tc>
      </w:tr>
      <w:tr w:rsidR="00302E21" w:rsidRPr="00302E21" w14:paraId="7AD4FECF" w14:textId="77777777" w:rsidTr="00302E21">
        <w:tc>
          <w:tcPr>
            <w:tcW w:w="0" w:type="auto"/>
            <w:tcBorders>
              <w:bottom w:val="single" w:sz="4" w:space="0" w:color="37383B"/>
            </w:tcBorders>
            <w:shd w:val="clear" w:color="auto" w:fill="FFFFFF" w:themeFill="background1"/>
            <w:hideMark/>
          </w:tcPr>
          <w:p w14:paraId="6ED8BC7D" w14:textId="77777777" w:rsidR="00302E21" w:rsidRPr="00302E21" w:rsidRDefault="00302E21" w:rsidP="00302E21">
            <w:r w:rsidRPr="00302E21">
              <w:t>    2.5 Environmental Factors</w:t>
            </w:r>
          </w:p>
        </w:tc>
        <w:tc>
          <w:tcPr>
            <w:tcW w:w="0" w:type="auto"/>
            <w:tcBorders>
              <w:bottom w:val="single" w:sz="4" w:space="0" w:color="37383B"/>
            </w:tcBorders>
            <w:shd w:val="clear" w:color="auto" w:fill="FFFFFF" w:themeFill="background1"/>
            <w:hideMark/>
          </w:tcPr>
          <w:p w14:paraId="0BC40A8A" w14:textId="6502DE11" w:rsidR="00302E21" w:rsidRPr="00302E21" w:rsidRDefault="00064B76" w:rsidP="00302E21">
            <w:r>
              <w:t>9</w:t>
            </w:r>
          </w:p>
        </w:tc>
      </w:tr>
      <w:tr w:rsidR="00302E21" w:rsidRPr="00302E21" w14:paraId="1DADE06A" w14:textId="77777777" w:rsidTr="00302E21">
        <w:tc>
          <w:tcPr>
            <w:tcW w:w="0" w:type="auto"/>
            <w:tcBorders>
              <w:bottom w:val="single" w:sz="4" w:space="0" w:color="37383B"/>
            </w:tcBorders>
            <w:shd w:val="clear" w:color="auto" w:fill="FFFFFF" w:themeFill="background1"/>
            <w:hideMark/>
          </w:tcPr>
          <w:p w14:paraId="5840519F" w14:textId="77777777" w:rsidR="00302E21" w:rsidRPr="00302E21" w:rsidRDefault="00302E21" w:rsidP="00302E21">
            <w:r w:rsidRPr="00302E21">
              <w:t>    2.6 Legal Factors</w:t>
            </w:r>
          </w:p>
        </w:tc>
        <w:tc>
          <w:tcPr>
            <w:tcW w:w="0" w:type="auto"/>
            <w:tcBorders>
              <w:bottom w:val="single" w:sz="4" w:space="0" w:color="37383B"/>
            </w:tcBorders>
            <w:shd w:val="clear" w:color="auto" w:fill="FFFFFF" w:themeFill="background1"/>
            <w:hideMark/>
          </w:tcPr>
          <w:p w14:paraId="36881582" w14:textId="4BE95958" w:rsidR="00302E21" w:rsidRPr="00302E21" w:rsidRDefault="00064B76" w:rsidP="00302E21">
            <w:r>
              <w:t>9</w:t>
            </w:r>
          </w:p>
        </w:tc>
      </w:tr>
      <w:tr w:rsidR="00302E21" w:rsidRPr="00302E21" w14:paraId="35ACC755" w14:textId="77777777" w:rsidTr="00302E21">
        <w:tc>
          <w:tcPr>
            <w:tcW w:w="0" w:type="auto"/>
            <w:tcBorders>
              <w:bottom w:val="single" w:sz="4" w:space="0" w:color="37383B"/>
            </w:tcBorders>
            <w:shd w:val="clear" w:color="auto" w:fill="FFFFFF" w:themeFill="background1"/>
            <w:hideMark/>
          </w:tcPr>
          <w:p w14:paraId="32870139" w14:textId="77777777" w:rsidR="00302E21" w:rsidRPr="00302E21" w:rsidRDefault="00302E21" w:rsidP="00302E21">
            <w:r w:rsidRPr="00302E21">
              <w:t>    2.7 Key Opportunities &amp; Threats</w:t>
            </w:r>
          </w:p>
        </w:tc>
        <w:tc>
          <w:tcPr>
            <w:tcW w:w="0" w:type="auto"/>
            <w:tcBorders>
              <w:bottom w:val="single" w:sz="4" w:space="0" w:color="37383B"/>
            </w:tcBorders>
            <w:shd w:val="clear" w:color="auto" w:fill="FFFFFF" w:themeFill="background1"/>
            <w:hideMark/>
          </w:tcPr>
          <w:p w14:paraId="0046C2D3" w14:textId="398B8A97" w:rsidR="00302E21" w:rsidRPr="00302E21" w:rsidRDefault="00064B76" w:rsidP="00302E21">
            <w:r>
              <w:t>10</w:t>
            </w:r>
          </w:p>
        </w:tc>
      </w:tr>
      <w:tr w:rsidR="00302E21" w:rsidRPr="00302E21" w14:paraId="5C4DDA70" w14:textId="77777777" w:rsidTr="00302E21">
        <w:tc>
          <w:tcPr>
            <w:tcW w:w="0" w:type="auto"/>
            <w:tcBorders>
              <w:bottom w:val="single" w:sz="4" w:space="0" w:color="37383B"/>
            </w:tcBorders>
            <w:shd w:val="clear" w:color="auto" w:fill="FFFFFF" w:themeFill="background1"/>
            <w:hideMark/>
          </w:tcPr>
          <w:p w14:paraId="4067E7F0" w14:textId="77777777" w:rsidR="00302E21" w:rsidRPr="00302E21" w:rsidRDefault="00302E21" w:rsidP="00302E21">
            <w:r w:rsidRPr="00302E21">
              <w:rPr>
                <w:b/>
                <w:bCs/>
              </w:rPr>
              <w:t>3. Internal Analysis (VRIO Framework)</w:t>
            </w:r>
          </w:p>
        </w:tc>
        <w:tc>
          <w:tcPr>
            <w:tcW w:w="0" w:type="auto"/>
            <w:tcBorders>
              <w:bottom w:val="single" w:sz="4" w:space="0" w:color="37383B"/>
            </w:tcBorders>
            <w:shd w:val="clear" w:color="auto" w:fill="FFFFFF" w:themeFill="background1"/>
            <w:hideMark/>
          </w:tcPr>
          <w:p w14:paraId="6D39C52A" w14:textId="64798483" w:rsidR="00302E21" w:rsidRPr="00302E21" w:rsidRDefault="00064B76" w:rsidP="00302E21">
            <w:r>
              <w:t>10</w:t>
            </w:r>
          </w:p>
        </w:tc>
      </w:tr>
      <w:tr w:rsidR="00302E21" w:rsidRPr="00302E21" w14:paraId="5C24446E" w14:textId="77777777" w:rsidTr="00302E21">
        <w:tc>
          <w:tcPr>
            <w:tcW w:w="0" w:type="auto"/>
            <w:tcBorders>
              <w:bottom w:val="single" w:sz="4" w:space="0" w:color="37383B"/>
            </w:tcBorders>
            <w:shd w:val="clear" w:color="auto" w:fill="FFFFFF" w:themeFill="background1"/>
            <w:hideMark/>
          </w:tcPr>
          <w:p w14:paraId="31C1D008" w14:textId="77777777" w:rsidR="00302E21" w:rsidRPr="00302E21" w:rsidRDefault="00302E21" w:rsidP="00302E21">
            <w:r w:rsidRPr="00302E21">
              <w:t>    3.1 Valuable Resources</w:t>
            </w:r>
          </w:p>
        </w:tc>
        <w:tc>
          <w:tcPr>
            <w:tcW w:w="0" w:type="auto"/>
            <w:tcBorders>
              <w:bottom w:val="single" w:sz="4" w:space="0" w:color="37383B"/>
            </w:tcBorders>
            <w:shd w:val="clear" w:color="auto" w:fill="FFFFFF" w:themeFill="background1"/>
            <w:hideMark/>
          </w:tcPr>
          <w:p w14:paraId="73569879" w14:textId="32BCBA3B" w:rsidR="00302E21" w:rsidRPr="00302E21" w:rsidRDefault="00064B76" w:rsidP="00302E21">
            <w:r>
              <w:t>11</w:t>
            </w:r>
          </w:p>
        </w:tc>
      </w:tr>
      <w:tr w:rsidR="00302E21" w:rsidRPr="00302E21" w14:paraId="76F1957C" w14:textId="77777777" w:rsidTr="00302E21">
        <w:tc>
          <w:tcPr>
            <w:tcW w:w="0" w:type="auto"/>
            <w:tcBorders>
              <w:bottom w:val="single" w:sz="4" w:space="0" w:color="37383B"/>
            </w:tcBorders>
            <w:shd w:val="clear" w:color="auto" w:fill="FFFFFF" w:themeFill="background1"/>
            <w:hideMark/>
          </w:tcPr>
          <w:p w14:paraId="76620E25" w14:textId="77777777" w:rsidR="00302E21" w:rsidRPr="00302E21" w:rsidRDefault="00302E21" w:rsidP="00302E21">
            <w:r w:rsidRPr="00302E21">
              <w:t>    3.2 Rare Resources</w:t>
            </w:r>
          </w:p>
        </w:tc>
        <w:tc>
          <w:tcPr>
            <w:tcW w:w="0" w:type="auto"/>
            <w:tcBorders>
              <w:bottom w:val="single" w:sz="4" w:space="0" w:color="37383B"/>
            </w:tcBorders>
            <w:shd w:val="clear" w:color="auto" w:fill="FFFFFF" w:themeFill="background1"/>
            <w:hideMark/>
          </w:tcPr>
          <w:p w14:paraId="2AC587A5" w14:textId="62448F26" w:rsidR="00302E21" w:rsidRPr="00302E21" w:rsidRDefault="00064B76" w:rsidP="00302E21">
            <w:r>
              <w:t>11</w:t>
            </w:r>
          </w:p>
        </w:tc>
      </w:tr>
      <w:tr w:rsidR="00302E21" w:rsidRPr="00302E21" w14:paraId="12D87C1C" w14:textId="77777777" w:rsidTr="00302E21">
        <w:tc>
          <w:tcPr>
            <w:tcW w:w="0" w:type="auto"/>
            <w:tcBorders>
              <w:bottom w:val="single" w:sz="4" w:space="0" w:color="37383B"/>
            </w:tcBorders>
            <w:shd w:val="clear" w:color="auto" w:fill="FFFFFF" w:themeFill="background1"/>
            <w:hideMark/>
          </w:tcPr>
          <w:p w14:paraId="2D00C05E" w14:textId="77777777" w:rsidR="00302E21" w:rsidRPr="00302E21" w:rsidRDefault="00302E21" w:rsidP="00302E21">
            <w:r w:rsidRPr="00302E21">
              <w:t>    3.3 Inimitable Resources</w:t>
            </w:r>
          </w:p>
        </w:tc>
        <w:tc>
          <w:tcPr>
            <w:tcW w:w="0" w:type="auto"/>
            <w:tcBorders>
              <w:bottom w:val="single" w:sz="4" w:space="0" w:color="37383B"/>
            </w:tcBorders>
            <w:shd w:val="clear" w:color="auto" w:fill="FFFFFF" w:themeFill="background1"/>
            <w:hideMark/>
          </w:tcPr>
          <w:p w14:paraId="10E0959E" w14:textId="44883C05" w:rsidR="00302E21" w:rsidRPr="00302E21" w:rsidRDefault="00064B76" w:rsidP="00302E21">
            <w:r>
              <w:t>12</w:t>
            </w:r>
          </w:p>
        </w:tc>
      </w:tr>
      <w:tr w:rsidR="00302E21" w:rsidRPr="00302E21" w14:paraId="678AA55C" w14:textId="77777777" w:rsidTr="00302E21">
        <w:tc>
          <w:tcPr>
            <w:tcW w:w="0" w:type="auto"/>
            <w:tcBorders>
              <w:bottom w:val="single" w:sz="4" w:space="0" w:color="37383B"/>
            </w:tcBorders>
            <w:shd w:val="clear" w:color="auto" w:fill="FFFFFF" w:themeFill="background1"/>
            <w:hideMark/>
          </w:tcPr>
          <w:p w14:paraId="161DEA02" w14:textId="77777777" w:rsidR="00302E21" w:rsidRPr="00302E21" w:rsidRDefault="00302E21" w:rsidP="00302E21">
            <w:r w:rsidRPr="00302E21">
              <w:t>    3.4 Organizations Capabilities</w:t>
            </w:r>
          </w:p>
        </w:tc>
        <w:tc>
          <w:tcPr>
            <w:tcW w:w="0" w:type="auto"/>
            <w:tcBorders>
              <w:bottom w:val="single" w:sz="4" w:space="0" w:color="37383B"/>
            </w:tcBorders>
            <w:shd w:val="clear" w:color="auto" w:fill="FFFFFF" w:themeFill="background1"/>
            <w:hideMark/>
          </w:tcPr>
          <w:p w14:paraId="14A70C2C" w14:textId="285A2124" w:rsidR="00302E21" w:rsidRPr="00302E21" w:rsidRDefault="00064B76" w:rsidP="00302E21">
            <w:r>
              <w:t>12</w:t>
            </w:r>
          </w:p>
        </w:tc>
      </w:tr>
      <w:tr w:rsidR="00302E21" w:rsidRPr="00302E21" w14:paraId="609FEB3A" w14:textId="77777777" w:rsidTr="00302E21">
        <w:tc>
          <w:tcPr>
            <w:tcW w:w="0" w:type="auto"/>
            <w:tcBorders>
              <w:bottom w:val="single" w:sz="4" w:space="0" w:color="37383B"/>
            </w:tcBorders>
            <w:shd w:val="clear" w:color="auto" w:fill="FFFFFF" w:themeFill="background1"/>
            <w:hideMark/>
          </w:tcPr>
          <w:p w14:paraId="4CF6AF29" w14:textId="77777777" w:rsidR="00302E21" w:rsidRPr="00302E21" w:rsidRDefault="00302E21" w:rsidP="00302E21">
            <w:r w:rsidRPr="00302E21">
              <w:t>    3.5 Internal Strengths and Weaknesses</w:t>
            </w:r>
          </w:p>
        </w:tc>
        <w:tc>
          <w:tcPr>
            <w:tcW w:w="0" w:type="auto"/>
            <w:tcBorders>
              <w:bottom w:val="single" w:sz="4" w:space="0" w:color="37383B"/>
            </w:tcBorders>
            <w:shd w:val="clear" w:color="auto" w:fill="FFFFFF" w:themeFill="background1"/>
            <w:hideMark/>
          </w:tcPr>
          <w:p w14:paraId="2EAA9196" w14:textId="2BFFAE29" w:rsidR="00302E21" w:rsidRPr="00302E21" w:rsidRDefault="00302E21" w:rsidP="00302E21">
            <w:r w:rsidRPr="00302E21">
              <w:t>1</w:t>
            </w:r>
            <w:r w:rsidR="00064B76">
              <w:t>2</w:t>
            </w:r>
          </w:p>
        </w:tc>
      </w:tr>
      <w:tr w:rsidR="00302E21" w:rsidRPr="00302E21" w14:paraId="02763E99" w14:textId="77777777" w:rsidTr="00302E21">
        <w:tc>
          <w:tcPr>
            <w:tcW w:w="0" w:type="auto"/>
            <w:tcBorders>
              <w:bottom w:val="single" w:sz="4" w:space="0" w:color="37383B"/>
            </w:tcBorders>
            <w:shd w:val="clear" w:color="auto" w:fill="FFFFFF" w:themeFill="background1"/>
            <w:hideMark/>
          </w:tcPr>
          <w:p w14:paraId="720FF1B3" w14:textId="77777777" w:rsidR="00302E21" w:rsidRPr="00302E21" w:rsidRDefault="00302E21" w:rsidP="00302E21">
            <w:r w:rsidRPr="00302E21">
              <w:rPr>
                <w:b/>
                <w:bCs/>
              </w:rPr>
              <w:t>4. SWOT Analysis</w:t>
            </w:r>
          </w:p>
        </w:tc>
        <w:tc>
          <w:tcPr>
            <w:tcW w:w="0" w:type="auto"/>
            <w:tcBorders>
              <w:bottom w:val="single" w:sz="4" w:space="0" w:color="37383B"/>
            </w:tcBorders>
            <w:shd w:val="clear" w:color="auto" w:fill="FFFFFF" w:themeFill="background1"/>
            <w:hideMark/>
          </w:tcPr>
          <w:p w14:paraId="68B853DD" w14:textId="6149E0E0" w:rsidR="00302E21" w:rsidRPr="00302E21" w:rsidRDefault="00302E21" w:rsidP="00302E21">
            <w:r w:rsidRPr="00302E21">
              <w:rPr>
                <w:b/>
                <w:bCs/>
              </w:rPr>
              <w:t>1</w:t>
            </w:r>
            <w:r w:rsidR="00064B76">
              <w:rPr>
                <w:b/>
                <w:bCs/>
              </w:rPr>
              <w:t>3</w:t>
            </w:r>
          </w:p>
        </w:tc>
      </w:tr>
      <w:tr w:rsidR="00302E21" w:rsidRPr="00302E21" w14:paraId="3B608362" w14:textId="77777777" w:rsidTr="00302E21">
        <w:tc>
          <w:tcPr>
            <w:tcW w:w="0" w:type="auto"/>
            <w:tcBorders>
              <w:bottom w:val="single" w:sz="4" w:space="0" w:color="37383B"/>
            </w:tcBorders>
            <w:shd w:val="clear" w:color="auto" w:fill="FFFFFF" w:themeFill="background1"/>
            <w:hideMark/>
          </w:tcPr>
          <w:p w14:paraId="0D4C29FC" w14:textId="77777777" w:rsidR="00302E21" w:rsidRPr="00302E21" w:rsidRDefault="00302E21" w:rsidP="00302E21">
            <w:r w:rsidRPr="00302E21">
              <w:t>    4.5 Linking SWOT with PESTEL &amp; VRIO Findings</w:t>
            </w:r>
          </w:p>
        </w:tc>
        <w:tc>
          <w:tcPr>
            <w:tcW w:w="0" w:type="auto"/>
            <w:tcBorders>
              <w:bottom w:val="single" w:sz="4" w:space="0" w:color="37383B"/>
            </w:tcBorders>
            <w:shd w:val="clear" w:color="auto" w:fill="FFFFFF" w:themeFill="background1"/>
            <w:hideMark/>
          </w:tcPr>
          <w:p w14:paraId="3DF35715" w14:textId="700342CF" w:rsidR="00302E21" w:rsidRPr="00302E21" w:rsidRDefault="00302E21" w:rsidP="00302E21">
            <w:r w:rsidRPr="00302E21">
              <w:t>1</w:t>
            </w:r>
            <w:r w:rsidR="00064B76">
              <w:t>5</w:t>
            </w:r>
          </w:p>
        </w:tc>
      </w:tr>
      <w:tr w:rsidR="00302E21" w:rsidRPr="00302E21" w14:paraId="77118FC1" w14:textId="77777777" w:rsidTr="00302E21">
        <w:tc>
          <w:tcPr>
            <w:tcW w:w="0" w:type="auto"/>
            <w:tcBorders>
              <w:bottom w:val="single" w:sz="4" w:space="0" w:color="37383B"/>
            </w:tcBorders>
            <w:shd w:val="clear" w:color="auto" w:fill="FFFFFF" w:themeFill="background1"/>
            <w:hideMark/>
          </w:tcPr>
          <w:p w14:paraId="009D0B17" w14:textId="77777777" w:rsidR="00302E21" w:rsidRPr="00302E21" w:rsidRDefault="00302E21" w:rsidP="00302E21">
            <w:r w:rsidRPr="00302E21">
              <w:rPr>
                <w:b/>
                <w:bCs/>
              </w:rPr>
              <w:t>5. Comprehensive &amp; Holistic View of the Organization</w:t>
            </w:r>
          </w:p>
        </w:tc>
        <w:tc>
          <w:tcPr>
            <w:tcW w:w="0" w:type="auto"/>
            <w:tcBorders>
              <w:bottom w:val="single" w:sz="4" w:space="0" w:color="37383B"/>
            </w:tcBorders>
            <w:shd w:val="clear" w:color="auto" w:fill="FFFFFF" w:themeFill="background1"/>
            <w:hideMark/>
          </w:tcPr>
          <w:p w14:paraId="23BF2595" w14:textId="3A151435" w:rsidR="00302E21" w:rsidRPr="00302E21" w:rsidRDefault="00302E21" w:rsidP="00302E21">
            <w:r w:rsidRPr="00302E21">
              <w:rPr>
                <w:b/>
                <w:bCs/>
              </w:rPr>
              <w:t>1</w:t>
            </w:r>
            <w:r w:rsidR="00064B76">
              <w:rPr>
                <w:b/>
                <w:bCs/>
              </w:rPr>
              <w:t>5</w:t>
            </w:r>
          </w:p>
        </w:tc>
      </w:tr>
      <w:tr w:rsidR="00302E21" w:rsidRPr="00302E21" w14:paraId="15D84B62" w14:textId="77777777" w:rsidTr="00302E21">
        <w:tc>
          <w:tcPr>
            <w:tcW w:w="0" w:type="auto"/>
            <w:tcBorders>
              <w:bottom w:val="single" w:sz="4" w:space="0" w:color="37383B"/>
            </w:tcBorders>
            <w:shd w:val="clear" w:color="auto" w:fill="FFFFFF" w:themeFill="background1"/>
            <w:hideMark/>
          </w:tcPr>
          <w:p w14:paraId="77C4E784" w14:textId="77777777" w:rsidR="00302E21" w:rsidRPr="00302E21" w:rsidRDefault="00302E21" w:rsidP="00302E21">
            <w:r w:rsidRPr="00302E21">
              <w:lastRenderedPageBreak/>
              <w:t>    5.1 Current CSR Initiatives &amp; Sustainability Activities</w:t>
            </w:r>
          </w:p>
        </w:tc>
        <w:tc>
          <w:tcPr>
            <w:tcW w:w="0" w:type="auto"/>
            <w:tcBorders>
              <w:bottom w:val="single" w:sz="4" w:space="0" w:color="37383B"/>
            </w:tcBorders>
            <w:shd w:val="clear" w:color="auto" w:fill="FFFFFF" w:themeFill="background1"/>
            <w:hideMark/>
          </w:tcPr>
          <w:p w14:paraId="57F2BA0C" w14:textId="1C8CDA51" w:rsidR="00302E21" w:rsidRPr="00302E21" w:rsidRDefault="00302E21" w:rsidP="00302E21">
            <w:r w:rsidRPr="00302E21">
              <w:t>1</w:t>
            </w:r>
            <w:r w:rsidR="00064B76">
              <w:t>5</w:t>
            </w:r>
          </w:p>
        </w:tc>
      </w:tr>
      <w:tr w:rsidR="00302E21" w:rsidRPr="00302E21" w14:paraId="31A76081" w14:textId="77777777" w:rsidTr="00302E21">
        <w:tc>
          <w:tcPr>
            <w:tcW w:w="0" w:type="auto"/>
            <w:tcBorders>
              <w:bottom w:val="single" w:sz="4" w:space="0" w:color="37383B"/>
            </w:tcBorders>
            <w:shd w:val="clear" w:color="auto" w:fill="FFFFFF" w:themeFill="background1"/>
            <w:hideMark/>
          </w:tcPr>
          <w:p w14:paraId="25D0AD18" w14:textId="77777777" w:rsidR="00302E21" w:rsidRPr="00302E21" w:rsidRDefault="00302E21" w:rsidP="00302E21">
            <w:r w:rsidRPr="00302E21">
              <w:t>    5.2 Environmental Commitments</w:t>
            </w:r>
          </w:p>
        </w:tc>
        <w:tc>
          <w:tcPr>
            <w:tcW w:w="0" w:type="auto"/>
            <w:tcBorders>
              <w:bottom w:val="single" w:sz="4" w:space="0" w:color="37383B"/>
            </w:tcBorders>
            <w:shd w:val="clear" w:color="auto" w:fill="FFFFFF" w:themeFill="background1"/>
            <w:hideMark/>
          </w:tcPr>
          <w:p w14:paraId="518D37ED" w14:textId="322044F8" w:rsidR="00302E21" w:rsidRPr="00302E21" w:rsidRDefault="00302E21" w:rsidP="00302E21">
            <w:r w:rsidRPr="00302E21">
              <w:t>1</w:t>
            </w:r>
            <w:r w:rsidR="00064B76">
              <w:t>6</w:t>
            </w:r>
          </w:p>
        </w:tc>
      </w:tr>
      <w:tr w:rsidR="00302E21" w:rsidRPr="00302E21" w14:paraId="66D91CEA" w14:textId="77777777" w:rsidTr="00302E21">
        <w:tc>
          <w:tcPr>
            <w:tcW w:w="0" w:type="auto"/>
            <w:tcBorders>
              <w:bottom w:val="single" w:sz="4" w:space="0" w:color="37383B"/>
            </w:tcBorders>
            <w:shd w:val="clear" w:color="auto" w:fill="FFFFFF" w:themeFill="background1"/>
            <w:hideMark/>
          </w:tcPr>
          <w:p w14:paraId="7D2E13CB" w14:textId="77777777" w:rsidR="00302E21" w:rsidRPr="00302E21" w:rsidRDefault="00302E21" w:rsidP="00302E21">
            <w:r w:rsidRPr="00302E21">
              <w:t>    5.3 Social Responsibility Initiatives</w:t>
            </w:r>
          </w:p>
        </w:tc>
        <w:tc>
          <w:tcPr>
            <w:tcW w:w="0" w:type="auto"/>
            <w:tcBorders>
              <w:bottom w:val="single" w:sz="4" w:space="0" w:color="37383B"/>
            </w:tcBorders>
            <w:shd w:val="clear" w:color="auto" w:fill="FFFFFF" w:themeFill="background1"/>
            <w:hideMark/>
          </w:tcPr>
          <w:p w14:paraId="6BBA5844" w14:textId="4F93FD4F" w:rsidR="00302E21" w:rsidRPr="00302E21" w:rsidRDefault="00302E21" w:rsidP="00302E21">
            <w:r w:rsidRPr="00302E21">
              <w:t>1</w:t>
            </w:r>
            <w:r w:rsidR="00064B76">
              <w:t>6</w:t>
            </w:r>
          </w:p>
        </w:tc>
      </w:tr>
      <w:tr w:rsidR="00302E21" w:rsidRPr="00302E21" w14:paraId="762C9194" w14:textId="77777777" w:rsidTr="00302E21">
        <w:tc>
          <w:tcPr>
            <w:tcW w:w="0" w:type="auto"/>
            <w:tcBorders>
              <w:bottom w:val="single" w:sz="4" w:space="0" w:color="37383B"/>
            </w:tcBorders>
            <w:shd w:val="clear" w:color="auto" w:fill="FFFFFF" w:themeFill="background1"/>
            <w:hideMark/>
          </w:tcPr>
          <w:p w14:paraId="323732B9" w14:textId="77777777" w:rsidR="00302E21" w:rsidRPr="00302E21" w:rsidRDefault="00302E21" w:rsidP="00302E21">
            <w:r w:rsidRPr="00302E21">
              <w:t>    5.4 Evaluation of Alignment with Business Objectives</w:t>
            </w:r>
          </w:p>
        </w:tc>
        <w:tc>
          <w:tcPr>
            <w:tcW w:w="0" w:type="auto"/>
            <w:tcBorders>
              <w:bottom w:val="single" w:sz="4" w:space="0" w:color="37383B"/>
            </w:tcBorders>
            <w:shd w:val="clear" w:color="auto" w:fill="FFFFFF" w:themeFill="background1"/>
            <w:hideMark/>
          </w:tcPr>
          <w:p w14:paraId="0AA1A466" w14:textId="1E505C5F" w:rsidR="00064B76" w:rsidRPr="00302E21" w:rsidRDefault="00302E21" w:rsidP="00302E21">
            <w:r w:rsidRPr="00302E21">
              <w:t>1</w:t>
            </w:r>
            <w:r w:rsidR="00064B76">
              <w:t>6</w:t>
            </w:r>
          </w:p>
        </w:tc>
      </w:tr>
      <w:tr w:rsidR="00302E21" w:rsidRPr="00302E21" w14:paraId="243AB119" w14:textId="77777777" w:rsidTr="00302E21">
        <w:tc>
          <w:tcPr>
            <w:tcW w:w="0" w:type="auto"/>
            <w:tcBorders>
              <w:bottom w:val="single" w:sz="4" w:space="0" w:color="37383B"/>
            </w:tcBorders>
            <w:shd w:val="clear" w:color="auto" w:fill="FFFFFF" w:themeFill="background1"/>
            <w:hideMark/>
          </w:tcPr>
          <w:p w14:paraId="26D9C145" w14:textId="77777777" w:rsidR="00302E21" w:rsidRPr="00302E21" w:rsidRDefault="00302E21" w:rsidP="00302E21">
            <w:r w:rsidRPr="00302E21">
              <w:rPr>
                <w:b/>
                <w:bCs/>
              </w:rPr>
              <w:t>6.0 Balanced Scorecard Analysis</w:t>
            </w:r>
          </w:p>
        </w:tc>
        <w:tc>
          <w:tcPr>
            <w:tcW w:w="0" w:type="auto"/>
            <w:tcBorders>
              <w:bottom w:val="single" w:sz="4" w:space="0" w:color="37383B"/>
            </w:tcBorders>
            <w:shd w:val="clear" w:color="auto" w:fill="FFFFFF" w:themeFill="background1"/>
            <w:hideMark/>
          </w:tcPr>
          <w:p w14:paraId="0AD83A21" w14:textId="3D08D614" w:rsidR="00302E21" w:rsidRPr="00302E21" w:rsidRDefault="00302E21" w:rsidP="00302E21">
            <w:r w:rsidRPr="00302E21">
              <w:rPr>
                <w:b/>
                <w:bCs/>
              </w:rPr>
              <w:t>1</w:t>
            </w:r>
            <w:r w:rsidR="00064B76">
              <w:rPr>
                <w:b/>
                <w:bCs/>
              </w:rPr>
              <w:t>7</w:t>
            </w:r>
          </w:p>
        </w:tc>
      </w:tr>
      <w:tr w:rsidR="00302E21" w:rsidRPr="00302E21" w14:paraId="1D6627B1" w14:textId="77777777" w:rsidTr="00302E21">
        <w:tc>
          <w:tcPr>
            <w:tcW w:w="0" w:type="auto"/>
            <w:tcBorders>
              <w:bottom w:val="single" w:sz="4" w:space="0" w:color="37383B"/>
            </w:tcBorders>
            <w:shd w:val="clear" w:color="auto" w:fill="FFFFFF" w:themeFill="background1"/>
            <w:hideMark/>
          </w:tcPr>
          <w:p w14:paraId="7AA8CCE4" w14:textId="77777777" w:rsidR="00302E21" w:rsidRPr="00302E21" w:rsidRDefault="00302E21" w:rsidP="00302E21">
            <w:r w:rsidRPr="00302E21">
              <w:t>    6.1 Financial Perspectives</w:t>
            </w:r>
          </w:p>
        </w:tc>
        <w:tc>
          <w:tcPr>
            <w:tcW w:w="0" w:type="auto"/>
            <w:tcBorders>
              <w:bottom w:val="single" w:sz="4" w:space="0" w:color="37383B"/>
            </w:tcBorders>
            <w:shd w:val="clear" w:color="auto" w:fill="FFFFFF" w:themeFill="background1"/>
            <w:hideMark/>
          </w:tcPr>
          <w:p w14:paraId="38C94B9A" w14:textId="625EE1DD" w:rsidR="00302E21" w:rsidRPr="00302E21" w:rsidRDefault="00302E21" w:rsidP="00302E21">
            <w:r w:rsidRPr="00302E21">
              <w:t>1</w:t>
            </w:r>
            <w:r w:rsidR="00064B76">
              <w:t>7</w:t>
            </w:r>
          </w:p>
        </w:tc>
      </w:tr>
      <w:tr w:rsidR="00302E21" w:rsidRPr="00302E21" w14:paraId="318ED5D0" w14:textId="77777777" w:rsidTr="00302E21">
        <w:tc>
          <w:tcPr>
            <w:tcW w:w="0" w:type="auto"/>
            <w:tcBorders>
              <w:bottom w:val="single" w:sz="4" w:space="0" w:color="37383B"/>
            </w:tcBorders>
            <w:shd w:val="clear" w:color="auto" w:fill="FFFFFF" w:themeFill="background1"/>
            <w:hideMark/>
          </w:tcPr>
          <w:p w14:paraId="730D757C" w14:textId="77777777" w:rsidR="00302E21" w:rsidRPr="00302E21" w:rsidRDefault="00302E21" w:rsidP="00302E21">
            <w:r w:rsidRPr="00302E21">
              <w:t>    6.2 Customer Perspective</w:t>
            </w:r>
          </w:p>
        </w:tc>
        <w:tc>
          <w:tcPr>
            <w:tcW w:w="0" w:type="auto"/>
            <w:tcBorders>
              <w:bottom w:val="single" w:sz="4" w:space="0" w:color="37383B"/>
            </w:tcBorders>
            <w:shd w:val="clear" w:color="auto" w:fill="FFFFFF" w:themeFill="background1"/>
            <w:hideMark/>
          </w:tcPr>
          <w:p w14:paraId="6660FB20" w14:textId="7747063D" w:rsidR="00302E21" w:rsidRPr="00302E21" w:rsidRDefault="00302E21" w:rsidP="00302E21">
            <w:r w:rsidRPr="00302E21">
              <w:t>1</w:t>
            </w:r>
            <w:r w:rsidR="00064B76">
              <w:t>8</w:t>
            </w:r>
          </w:p>
        </w:tc>
      </w:tr>
      <w:tr w:rsidR="00302E21" w:rsidRPr="00302E21" w14:paraId="5166FD93" w14:textId="77777777" w:rsidTr="00302E21">
        <w:tc>
          <w:tcPr>
            <w:tcW w:w="0" w:type="auto"/>
            <w:tcBorders>
              <w:bottom w:val="single" w:sz="4" w:space="0" w:color="37383B"/>
            </w:tcBorders>
            <w:shd w:val="clear" w:color="auto" w:fill="FFFFFF" w:themeFill="background1"/>
            <w:hideMark/>
          </w:tcPr>
          <w:p w14:paraId="4FAD6893" w14:textId="77777777" w:rsidR="00302E21" w:rsidRPr="00302E21" w:rsidRDefault="00302E21" w:rsidP="00302E21">
            <w:r w:rsidRPr="00302E21">
              <w:t>    6.3 Internal Business Process Perspective</w:t>
            </w:r>
          </w:p>
        </w:tc>
        <w:tc>
          <w:tcPr>
            <w:tcW w:w="0" w:type="auto"/>
            <w:tcBorders>
              <w:bottom w:val="single" w:sz="4" w:space="0" w:color="37383B"/>
            </w:tcBorders>
            <w:shd w:val="clear" w:color="auto" w:fill="FFFFFF" w:themeFill="background1"/>
            <w:hideMark/>
          </w:tcPr>
          <w:p w14:paraId="4A91AB57" w14:textId="4BBB0B04" w:rsidR="00302E21" w:rsidRPr="00302E21" w:rsidRDefault="00302E21" w:rsidP="00302E21">
            <w:r w:rsidRPr="00302E21">
              <w:t>1</w:t>
            </w:r>
            <w:r w:rsidR="00064B76">
              <w:t>8</w:t>
            </w:r>
          </w:p>
        </w:tc>
      </w:tr>
      <w:tr w:rsidR="00302E21" w:rsidRPr="00302E21" w14:paraId="6CAEFAA5" w14:textId="77777777" w:rsidTr="00302E21">
        <w:tc>
          <w:tcPr>
            <w:tcW w:w="0" w:type="auto"/>
            <w:tcBorders>
              <w:bottom w:val="single" w:sz="4" w:space="0" w:color="37383B"/>
            </w:tcBorders>
            <w:shd w:val="clear" w:color="auto" w:fill="FFFFFF" w:themeFill="background1"/>
            <w:hideMark/>
          </w:tcPr>
          <w:p w14:paraId="771AC97D" w14:textId="77777777" w:rsidR="00302E21" w:rsidRPr="00302E21" w:rsidRDefault="00302E21" w:rsidP="00302E21">
            <w:r w:rsidRPr="00302E21">
              <w:t>    6.4 Learning &amp; Growth Perspective</w:t>
            </w:r>
          </w:p>
        </w:tc>
        <w:tc>
          <w:tcPr>
            <w:tcW w:w="0" w:type="auto"/>
            <w:tcBorders>
              <w:bottom w:val="single" w:sz="4" w:space="0" w:color="37383B"/>
            </w:tcBorders>
            <w:shd w:val="clear" w:color="auto" w:fill="FFFFFF" w:themeFill="background1"/>
            <w:hideMark/>
          </w:tcPr>
          <w:p w14:paraId="59B0BF7D" w14:textId="77777777" w:rsidR="00302E21" w:rsidRPr="00302E21" w:rsidRDefault="00302E21" w:rsidP="00302E21">
            <w:r w:rsidRPr="00302E21">
              <w:t>18</w:t>
            </w:r>
          </w:p>
        </w:tc>
      </w:tr>
      <w:tr w:rsidR="00302E21" w:rsidRPr="00302E21" w14:paraId="2DD9DB15" w14:textId="77777777" w:rsidTr="00302E21">
        <w:tc>
          <w:tcPr>
            <w:tcW w:w="0" w:type="auto"/>
            <w:tcBorders>
              <w:bottom w:val="single" w:sz="4" w:space="0" w:color="37383B"/>
            </w:tcBorders>
            <w:shd w:val="clear" w:color="auto" w:fill="FFFFFF" w:themeFill="background1"/>
            <w:hideMark/>
          </w:tcPr>
          <w:p w14:paraId="0FD27CC9" w14:textId="77777777" w:rsidR="00302E21" w:rsidRPr="00302E21" w:rsidRDefault="00302E21" w:rsidP="00302E21">
            <w:r w:rsidRPr="00302E21">
              <w:rPr>
                <w:b/>
                <w:bCs/>
              </w:rPr>
              <w:t>5.0 Identification of Current Strategy: “Accelerating the Arches”</w:t>
            </w:r>
          </w:p>
        </w:tc>
        <w:tc>
          <w:tcPr>
            <w:tcW w:w="0" w:type="auto"/>
            <w:tcBorders>
              <w:bottom w:val="single" w:sz="4" w:space="0" w:color="37383B"/>
            </w:tcBorders>
            <w:shd w:val="clear" w:color="auto" w:fill="FFFFFF" w:themeFill="background1"/>
            <w:hideMark/>
          </w:tcPr>
          <w:p w14:paraId="1909F3C7" w14:textId="2E8C09FE" w:rsidR="00302E21" w:rsidRPr="00302E21" w:rsidRDefault="00302E21" w:rsidP="00302E21">
            <w:r w:rsidRPr="00302E21">
              <w:rPr>
                <w:b/>
                <w:bCs/>
              </w:rPr>
              <w:t>1</w:t>
            </w:r>
            <w:r w:rsidR="00064B76">
              <w:rPr>
                <w:b/>
                <w:bCs/>
              </w:rPr>
              <w:t>8</w:t>
            </w:r>
          </w:p>
        </w:tc>
      </w:tr>
      <w:tr w:rsidR="00302E21" w:rsidRPr="00302E21" w14:paraId="5BB6FA2D" w14:textId="77777777" w:rsidTr="00302E21">
        <w:tc>
          <w:tcPr>
            <w:tcW w:w="0" w:type="auto"/>
            <w:tcBorders>
              <w:bottom w:val="single" w:sz="4" w:space="0" w:color="37383B"/>
            </w:tcBorders>
            <w:shd w:val="clear" w:color="auto" w:fill="FFFFFF" w:themeFill="background1"/>
            <w:hideMark/>
          </w:tcPr>
          <w:p w14:paraId="19B67A8A" w14:textId="77777777" w:rsidR="00302E21" w:rsidRPr="00302E21" w:rsidRDefault="00302E21" w:rsidP="00302E21">
            <w:r w:rsidRPr="00302E21">
              <w:t>    5.1 Porter’s Generic Strategies Analysis</w:t>
            </w:r>
          </w:p>
        </w:tc>
        <w:tc>
          <w:tcPr>
            <w:tcW w:w="0" w:type="auto"/>
            <w:tcBorders>
              <w:bottom w:val="single" w:sz="4" w:space="0" w:color="37383B"/>
            </w:tcBorders>
            <w:shd w:val="clear" w:color="auto" w:fill="FFFFFF" w:themeFill="background1"/>
            <w:hideMark/>
          </w:tcPr>
          <w:p w14:paraId="0887C5AC" w14:textId="77777777" w:rsidR="00302E21" w:rsidRPr="00302E21" w:rsidRDefault="00302E21" w:rsidP="00302E21">
            <w:r w:rsidRPr="00302E21">
              <w:t>19</w:t>
            </w:r>
          </w:p>
        </w:tc>
      </w:tr>
      <w:tr w:rsidR="00302E21" w:rsidRPr="00302E21" w14:paraId="4F4C74FC" w14:textId="77777777" w:rsidTr="00302E21">
        <w:tc>
          <w:tcPr>
            <w:tcW w:w="0" w:type="auto"/>
            <w:tcBorders>
              <w:bottom w:val="single" w:sz="4" w:space="0" w:color="37383B"/>
            </w:tcBorders>
            <w:shd w:val="clear" w:color="auto" w:fill="FFFFFF" w:themeFill="background1"/>
            <w:hideMark/>
          </w:tcPr>
          <w:p w14:paraId="15A86E03" w14:textId="77777777" w:rsidR="00302E21" w:rsidRPr="00302E21" w:rsidRDefault="00302E21" w:rsidP="00302E21">
            <w:r w:rsidRPr="00302E21">
              <w:t>    5.2 Value Proposition</w:t>
            </w:r>
          </w:p>
        </w:tc>
        <w:tc>
          <w:tcPr>
            <w:tcW w:w="0" w:type="auto"/>
            <w:tcBorders>
              <w:bottom w:val="single" w:sz="4" w:space="0" w:color="37383B"/>
            </w:tcBorders>
            <w:shd w:val="clear" w:color="auto" w:fill="FFFFFF" w:themeFill="background1"/>
            <w:hideMark/>
          </w:tcPr>
          <w:p w14:paraId="79911E83" w14:textId="71EE58C9" w:rsidR="00302E21" w:rsidRPr="00302E21" w:rsidRDefault="00064B76" w:rsidP="00302E21">
            <w:r>
              <w:t>19</w:t>
            </w:r>
          </w:p>
        </w:tc>
      </w:tr>
      <w:tr w:rsidR="00302E21" w:rsidRPr="00302E21" w14:paraId="6140D7AB" w14:textId="77777777" w:rsidTr="00302E21">
        <w:tc>
          <w:tcPr>
            <w:tcW w:w="0" w:type="auto"/>
            <w:tcBorders>
              <w:bottom w:val="single" w:sz="4" w:space="0" w:color="37383B"/>
            </w:tcBorders>
            <w:shd w:val="clear" w:color="auto" w:fill="FFFFFF" w:themeFill="background1"/>
            <w:hideMark/>
          </w:tcPr>
          <w:p w14:paraId="4330C8E1" w14:textId="77777777" w:rsidR="00302E21" w:rsidRPr="00302E21" w:rsidRDefault="00302E21" w:rsidP="00302E21">
            <w:r w:rsidRPr="00302E21">
              <w:rPr>
                <w:b/>
                <w:bCs/>
              </w:rPr>
              <w:t>6.0 Porter’s Five Forces Framework</w:t>
            </w:r>
          </w:p>
        </w:tc>
        <w:tc>
          <w:tcPr>
            <w:tcW w:w="0" w:type="auto"/>
            <w:tcBorders>
              <w:bottom w:val="single" w:sz="4" w:space="0" w:color="37383B"/>
            </w:tcBorders>
            <w:shd w:val="clear" w:color="auto" w:fill="FFFFFF" w:themeFill="background1"/>
            <w:hideMark/>
          </w:tcPr>
          <w:p w14:paraId="419737B4" w14:textId="71F388C8" w:rsidR="00302E21" w:rsidRPr="00302E21" w:rsidRDefault="00302E21" w:rsidP="00302E21">
            <w:r w:rsidRPr="00302E21">
              <w:rPr>
                <w:b/>
                <w:bCs/>
              </w:rPr>
              <w:t>2</w:t>
            </w:r>
            <w:r w:rsidR="00064B76">
              <w:rPr>
                <w:b/>
                <w:bCs/>
              </w:rPr>
              <w:t>0</w:t>
            </w:r>
          </w:p>
        </w:tc>
      </w:tr>
      <w:tr w:rsidR="00302E21" w:rsidRPr="00302E21" w14:paraId="3BBFD44D" w14:textId="77777777" w:rsidTr="00302E21">
        <w:tc>
          <w:tcPr>
            <w:tcW w:w="0" w:type="auto"/>
            <w:tcBorders>
              <w:bottom w:val="single" w:sz="4" w:space="0" w:color="37383B"/>
            </w:tcBorders>
            <w:shd w:val="clear" w:color="auto" w:fill="FFFFFF" w:themeFill="background1"/>
            <w:hideMark/>
          </w:tcPr>
          <w:p w14:paraId="0F9EAED0" w14:textId="77777777" w:rsidR="00302E21" w:rsidRPr="00302E21" w:rsidRDefault="00302E21" w:rsidP="00302E21">
            <w:r w:rsidRPr="00302E21">
              <w:t>    6.1 Core Forces &amp; Strategic Impact</w:t>
            </w:r>
          </w:p>
        </w:tc>
        <w:tc>
          <w:tcPr>
            <w:tcW w:w="0" w:type="auto"/>
            <w:tcBorders>
              <w:bottom w:val="single" w:sz="4" w:space="0" w:color="37383B"/>
            </w:tcBorders>
            <w:shd w:val="clear" w:color="auto" w:fill="FFFFFF" w:themeFill="background1"/>
            <w:hideMark/>
          </w:tcPr>
          <w:p w14:paraId="55A5266C" w14:textId="77777777" w:rsidR="00302E21" w:rsidRPr="00302E21" w:rsidRDefault="00302E21" w:rsidP="00302E21">
            <w:r w:rsidRPr="00302E21">
              <w:t>21</w:t>
            </w:r>
          </w:p>
        </w:tc>
      </w:tr>
      <w:tr w:rsidR="00302E21" w:rsidRPr="00302E21" w14:paraId="0F94AF79" w14:textId="77777777" w:rsidTr="00302E21">
        <w:tc>
          <w:tcPr>
            <w:tcW w:w="0" w:type="auto"/>
            <w:tcBorders>
              <w:bottom w:val="single" w:sz="4" w:space="0" w:color="37383B"/>
            </w:tcBorders>
            <w:shd w:val="clear" w:color="auto" w:fill="FFFFFF" w:themeFill="background1"/>
            <w:hideMark/>
          </w:tcPr>
          <w:p w14:paraId="49406A5C" w14:textId="77777777" w:rsidR="00302E21" w:rsidRPr="00302E21" w:rsidRDefault="00302E21" w:rsidP="00302E21">
            <w:r w:rsidRPr="00302E21">
              <w:rPr>
                <w:b/>
                <w:bCs/>
              </w:rPr>
              <w:t>7.0 Ansoff Matrix Framework</w:t>
            </w:r>
          </w:p>
        </w:tc>
        <w:tc>
          <w:tcPr>
            <w:tcW w:w="0" w:type="auto"/>
            <w:tcBorders>
              <w:bottom w:val="single" w:sz="4" w:space="0" w:color="37383B"/>
            </w:tcBorders>
            <w:shd w:val="clear" w:color="auto" w:fill="FFFFFF" w:themeFill="background1"/>
            <w:hideMark/>
          </w:tcPr>
          <w:p w14:paraId="473D23D6" w14:textId="77777777" w:rsidR="00302E21" w:rsidRPr="00302E21" w:rsidRDefault="00302E21" w:rsidP="00302E21">
            <w:r w:rsidRPr="00302E21">
              <w:rPr>
                <w:b/>
                <w:bCs/>
              </w:rPr>
              <w:t>23</w:t>
            </w:r>
          </w:p>
        </w:tc>
      </w:tr>
      <w:tr w:rsidR="00302E21" w:rsidRPr="00302E21" w14:paraId="772DB362" w14:textId="77777777" w:rsidTr="00302E21">
        <w:tc>
          <w:tcPr>
            <w:tcW w:w="0" w:type="auto"/>
            <w:tcBorders>
              <w:bottom w:val="single" w:sz="4" w:space="0" w:color="37383B"/>
            </w:tcBorders>
            <w:shd w:val="clear" w:color="auto" w:fill="FFFFFF" w:themeFill="background1"/>
            <w:hideMark/>
          </w:tcPr>
          <w:p w14:paraId="561C698E" w14:textId="77777777" w:rsidR="00302E21" w:rsidRPr="00302E21" w:rsidRDefault="00302E21" w:rsidP="00302E21">
            <w:r w:rsidRPr="00302E21">
              <w:t>    7.1 Growth Strategy Analysis</w:t>
            </w:r>
          </w:p>
        </w:tc>
        <w:tc>
          <w:tcPr>
            <w:tcW w:w="0" w:type="auto"/>
            <w:tcBorders>
              <w:bottom w:val="single" w:sz="4" w:space="0" w:color="37383B"/>
            </w:tcBorders>
            <w:shd w:val="clear" w:color="auto" w:fill="FFFFFF" w:themeFill="background1"/>
            <w:hideMark/>
          </w:tcPr>
          <w:p w14:paraId="1B0A5A0F" w14:textId="77777777" w:rsidR="00302E21" w:rsidRPr="00302E21" w:rsidRDefault="00302E21" w:rsidP="00302E21">
            <w:r w:rsidRPr="00302E21">
              <w:t>23</w:t>
            </w:r>
          </w:p>
        </w:tc>
      </w:tr>
      <w:tr w:rsidR="00302E21" w:rsidRPr="00302E21" w14:paraId="5ACCF33B" w14:textId="77777777" w:rsidTr="00302E21">
        <w:tc>
          <w:tcPr>
            <w:tcW w:w="0" w:type="auto"/>
            <w:tcBorders>
              <w:bottom w:val="single" w:sz="4" w:space="0" w:color="37383B"/>
            </w:tcBorders>
            <w:shd w:val="clear" w:color="auto" w:fill="FFFFFF" w:themeFill="background1"/>
            <w:hideMark/>
          </w:tcPr>
          <w:p w14:paraId="2F47B0D0" w14:textId="77777777" w:rsidR="00302E21" w:rsidRPr="00302E21" w:rsidRDefault="00302E21" w:rsidP="00302E21">
            <w:r w:rsidRPr="00302E21">
              <w:rPr>
                <w:b/>
                <w:bCs/>
              </w:rPr>
              <w:t>8.0 Strategic Recommendations</w:t>
            </w:r>
          </w:p>
        </w:tc>
        <w:tc>
          <w:tcPr>
            <w:tcW w:w="0" w:type="auto"/>
            <w:tcBorders>
              <w:bottom w:val="single" w:sz="4" w:space="0" w:color="37383B"/>
            </w:tcBorders>
            <w:shd w:val="clear" w:color="auto" w:fill="FFFFFF" w:themeFill="background1"/>
            <w:hideMark/>
          </w:tcPr>
          <w:p w14:paraId="6C56D8ED" w14:textId="77777777" w:rsidR="00302E21" w:rsidRPr="00302E21" w:rsidRDefault="00302E21" w:rsidP="00302E21">
            <w:r w:rsidRPr="00302E21">
              <w:rPr>
                <w:b/>
                <w:bCs/>
              </w:rPr>
              <w:t>25</w:t>
            </w:r>
          </w:p>
        </w:tc>
      </w:tr>
      <w:tr w:rsidR="00302E21" w:rsidRPr="00302E21" w14:paraId="1E3C3C5A" w14:textId="77777777" w:rsidTr="00302E21">
        <w:tc>
          <w:tcPr>
            <w:tcW w:w="0" w:type="auto"/>
            <w:tcBorders>
              <w:bottom w:val="single" w:sz="4" w:space="0" w:color="37383B"/>
            </w:tcBorders>
            <w:shd w:val="clear" w:color="auto" w:fill="FFFFFF" w:themeFill="background1"/>
            <w:hideMark/>
          </w:tcPr>
          <w:p w14:paraId="039C1772" w14:textId="77777777" w:rsidR="00302E21" w:rsidRPr="00302E21" w:rsidRDefault="00302E21" w:rsidP="00302E21">
            <w:r w:rsidRPr="00302E21">
              <w:t>    8.1 Growth Recommendation: Omni-Channel Expansion</w:t>
            </w:r>
          </w:p>
        </w:tc>
        <w:tc>
          <w:tcPr>
            <w:tcW w:w="0" w:type="auto"/>
            <w:tcBorders>
              <w:bottom w:val="single" w:sz="4" w:space="0" w:color="37383B"/>
            </w:tcBorders>
            <w:shd w:val="clear" w:color="auto" w:fill="FFFFFF" w:themeFill="background1"/>
            <w:hideMark/>
          </w:tcPr>
          <w:p w14:paraId="163C314E" w14:textId="77777777" w:rsidR="00302E21" w:rsidRPr="00302E21" w:rsidRDefault="00302E21" w:rsidP="00302E21">
            <w:r w:rsidRPr="00302E21">
              <w:t>25</w:t>
            </w:r>
          </w:p>
        </w:tc>
      </w:tr>
      <w:tr w:rsidR="00302E21" w:rsidRPr="00302E21" w14:paraId="6AD4EEE3" w14:textId="77777777" w:rsidTr="00302E21">
        <w:tc>
          <w:tcPr>
            <w:tcW w:w="0" w:type="auto"/>
            <w:tcBorders>
              <w:bottom w:val="single" w:sz="4" w:space="0" w:color="37383B"/>
            </w:tcBorders>
            <w:shd w:val="clear" w:color="auto" w:fill="FFFFFF" w:themeFill="background1"/>
            <w:hideMark/>
          </w:tcPr>
          <w:p w14:paraId="07E41952" w14:textId="77777777" w:rsidR="00302E21" w:rsidRPr="00302E21" w:rsidRDefault="00302E21" w:rsidP="00302E21">
            <w:r w:rsidRPr="00302E21">
              <w:t>    8.2 Technology-Driven Operational Efficiency</w:t>
            </w:r>
          </w:p>
        </w:tc>
        <w:tc>
          <w:tcPr>
            <w:tcW w:w="0" w:type="auto"/>
            <w:tcBorders>
              <w:bottom w:val="single" w:sz="4" w:space="0" w:color="37383B"/>
            </w:tcBorders>
            <w:shd w:val="clear" w:color="auto" w:fill="FFFFFF" w:themeFill="background1"/>
            <w:hideMark/>
          </w:tcPr>
          <w:p w14:paraId="54AC2359" w14:textId="77777777" w:rsidR="00302E21" w:rsidRPr="00302E21" w:rsidRDefault="00302E21" w:rsidP="00302E21">
            <w:r w:rsidRPr="00302E21">
              <w:t>25</w:t>
            </w:r>
          </w:p>
        </w:tc>
      </w:tr>
      <w:tr w:rsidR="00302E21" w:rsidRPr="00302E21" w14:paraId="2DEB4437" w14:textId="77777777" w:rsidTr="00302E21">
        <w:tc>
          <w:tcPr>
            <w:tcW w:w="0" w:type="auto"/>
            <w:tcBorders>
              <w:bottom w:val="single" w:sz="4" w:space="0" w:color="37383B"/>
            </w:tcBorders>
            <w:shd w:val="clear" w:color="auto" w:fill="FFFFFF" w:themeFill="background1"/>
            <w:hideMark/>
          </w:tcPr>
          <w:p w14:paraId="05DD6757" w14:textId="77777777" w:rsidR="00302E21" w:rsidRPr="00302E21" w:rsidRDefault="00302E21" w:rsidP="00302E21">
            <w:r w:rsidRPr="00302E21">
              <w:t>    8.3 “Plan for Change” Acceleration</w:t>
            </w:r>
          </w:p>
        </w:tc>
        <w:tc>
          <w:tcPr>
            <w:tcW w:w="0" w:type="auto"/>
            <w:tcBorders>
              <w:bottom w:val="single" w:sz="4" w:space="0" w:color="37383B"/>
            </w:tcBorders>
            <w:shd w:val="clear" w:color="auto" w:fill="FFFFFF" w:themeFill="background1"/>
            <w:hideMark/>
          </w:tcPr>
          <w:p w14:paraId="19D2253D" w14:textId="77777777" w:rsidR="00302E21" w:rsidRPr="00302E21" w:rsidRDefault="00302E21" w:rsidP="00302E21">
            <w:r w:rsidRPr="00302E21">
              <w:t>26</w:t>
            </w:r>
          </w:p>
        </w:tc>
      </w:tr>
      <w:tr w:rsidR="00302E21" w:rsidRPr="00302E21" w14:paraId="4C4782D2" w14:textId="77777777" w:rsidTr="00302E21">
        <w:tc>
          <w:tcPr>
            <w:tcW w:w="0" w:type="auto"/>
            <w:tcBorders>
              <w:bottom w:val="single" w:sz="4" w:space="0" w:color="37383B"/>
            </w:tcBorders>
            <w:shd w:val="clear" w:color="auto" w:fill="FFFFFF" w:themeFill="background1"/>
            <w:hideMark/>
          </w:tcPr>
          <w:p w14:paraId="35A4CE85" w14:textId="77777777" w:rsidR="00302E21" w:rsidRPr="00302E21" w:rsidRDefault="00302E21" w:rsidP="00302E21">
            <w:r w:rsidRPr="00302E21">
              <w:rPr>
                <w:b/>
                <w:bCs/>
              </w:rPr>
              <w:t xml:space="preserve">9.0 </w:t>
            </w:r>
            <w:proofErr w:type="spellStart"/>
            <w:r w:rsidRPr="00302E21">
              <w:rPr>
                <w:b/>
                <w:bCs/>
              </w:rPr>
              <w:t>SAFe</w:t>
            </w:r>
            <w:proofErr w:type="spellEnd"/>
            <w:r w:rsidRPr="00302E21">
              <w:rPr>
                <w:b/>
                <w:bCs/>
              </w:rPr>
              <w:t xml:space="preserve"> Strategy Evaluation Framework</w:t>
            </w:r>
          </w:p>
        </w:tc>
        <w:tc>
          <w:tcPr>
            <w:tcW w:w="0" w:type="auto"/>
            <w:tcBorders>
              <w:bottom w:val="single" w:sz="4" w:space="0" w:color="37383B"/>
            </w:tcBorders>
            <w:shd w:val="clear" w:color="auto" w:fill="FFFFFF" w:themeFill="background1"/>
            <w:hideMark/>
          </w:tcPr>
          <w:p w14:paraId="0E93844F" w14:textId="77777777" w:rsidR="00302E21" w:rsidRPr="00302E21" w:rsidRDefault="00302E21" w:rsidP="00302E21">
            <w:r w:rsidRPr="00302E21">
              <w:rPr>
                <w:b/>
                <w:bCs/>
              </w:rPr>
              <w:t>27</w:t>
            </w:r>
          </w:p>
        </w:tc>
      </w:tr>
      <w:tr w:rsidR="00302E21" w:rsidRPr="00302E21" w14:paraId="15B84721" w14:textId="77777777" w:rsidTr="00302E21">
        <w:tc>
          <w:tcPr>
            <w:tcW w:w="0" w:type="auto"/>
            <w:tcBorders>
              <w:bottom w:val="single" w:sz="4" w:space="0" w:color="37383B"/>
            </w:tcBorders>
            <w:shd w:val="clear" w:color="auto" w:fill="FFFFFF" w:themeFill="background1"/>
            <w:hideMark/>
          </w:tcPr>
          <w:p w14:paraId="6E728E00" w14:textId="77777777" w:rsidR="00302E21" w:rsidRPr="00302E21" w:rsidRDefault="00302E21" w:rsidP="00302E21">
            <w:r w:rsidRPr="00302E21">
              <w:t>    9.1 Strategy Evaluation (</w:t>
            </w:r>
            <w:proofErr w:type="spellStart"/>
            <w:r w:rsidRPr="00302E21">
              <w:t>SAFe</w:t>
            </w:r>
            <w:proofErr w:type="spellEnd"/>
            <w:r w:rsidRPr="00302E21">
              <w:t xml:space="preserve"> Criteria)</w:t>
            </w:r>
          </w:p>
        </w:tc>
        <w:tc>
          <w:tcPr>
            <w:tcW w:w="0" w:type="auto"/>
            <w:tcBorders>
              <w:bottom w:val="single" w:sz="4" w:space="0" w:color="37383B"/>
            </w:tcBorders>
            <w:shd w:val="clear" w:color="auto" w:fill="FFFFFF" w:themeFill="background1"/>
            <w:hideMark/>
          </w:tcPr>
          <w:p w14:paraId="3BBE7C6D" w14:textId="77777777" w:rsidR="00302E21" w:rsidRPr="00302E21" w:rsidRDefault="00302E21" w:rsidP="00302E21">
            <w:r w:rsidRPr="00302E21">
              <w:t>27</w:t>
            </w:r>
          </w:p>
        </w:tc>
      </w:tr>
      <w:tr w:rsidR="00302E21" w:rsidRPr="00302E21" w14:paraId="7106C46B" w14:textId="77777777" w:rsidTr="00302E21">
        <w:tc>
          <w:tcPr>
            <w:tcW w:w="0" w:type="auto"/>
            <w:tcBorders>
              <w:bottom w:val="single" w:sz="4" w:space="0" w:color="37383B"/>
            </w:tcBorders>
            <w:shd w:val="clear" w:color="auto" w:fill="FFFFFF" w:themeFill="background1"/>
            <w:hideMark/>
          </w:tcPr>
          <w:p w14:paraId="598D752F" w14:textId="77777777" w:rsidR="00302E21" w:rsidRPr="00302E21" w:rsidRDefault="00302E21" w:rsidP="00302E21">
            <w:r w:rsidRPr="00302E21">
              <w:t>    9.2 Strategic Validation Summary</w:t>
            </w:r>
          </w:p>
        </w:tc>
        <w:tc>
          <w:tcPr>
            <w:tcW w:w="0" w:type="auto"/>
            <w:tcBorders>
              <w:bottom w:val="single" w:sz="4" w:space="0" w:color="37383B"/>
            </w:tcBorders>
            <w:shd w:val="clear" w:color="auto" w:fill="FFFFFF" w:themeFill="background1"/>
            <w:hideMark/>
          </w:tcPr>
          <w:p w14:paraId="22D56EC2" w14:textId="77777777" w:rsidR="00302E21" w:rsidRPr="00302E21" w:rsidRDefault="00302E21" w:rsidP="00302E21">
            <w:r w:rsidRPr="00302E21">
              <w:t>28</w:t>
            </w:r>
          </w:p>
        </w:tc>
      </w:tr>
      <w:tr w:rsidR="00302E21" w:rsidRPr="00302E21" w14:paraId="1CF3CE27" w14:textId="77777777" w:rsidTr="00302E21">
        <w:tc>
          <w:tcPr>
            <w:tcW w:w="0" w:type="auto"/>
            <w:tcBorders>
              <w:bottom w:val="single" w:sz="4" w:space="0" w:color="37383B"/>
            </w:tcBorders>
            <w:shd w:val="clear" w:color="auto" w:fill="FFFFFF" w:themeFill="background1"/>
            <w:hideMark/>
          </w:tcPr>
          <w:p w14:paraId="2BAA22B3" w14:textId="77777777" w:rsidR="00302E21" w:rsidRPr="00302E21" w:rsidRDefault="00302E21" w:rsidP="00302E21">
            <w:r w:rsidRPr="00302E21">
              <w:rPr>
                <w:b/>
                <w:bCs/>
              </w:rPr>
              <w:t>10.0 Implementation &amp; Strategy Execution</w:t>
            </w:r>
          </w:p>
        </w:tc>
        <w:tc>
          <w:tcPr>
            <w:tcW w:w="0" w:type="auto"/>
            <w:tcBorders>
              <w:bottom w:val="single" w:sz="4" w:space="0" w:color="37383B"/>
            </w:tcBorders>
            <w:shd w:val="clear" w:color="auto" w:fill="FFFFFF" w:themeFill="background1"/>
            <w:hideMark/>
          </w:tcPr>
          <w:p w14:paraId="3902012C" w14:textId="77777777" w:rsidR="00302E21" w:rsidRPr="00302E21" w:rsidRDefault="00302E21" w:rsidP="00302E21">
            <w:r w:rsidRPr="00302E21">
              <w:rPr>
                <w:b/>
                <w:bCs/>
              </w:rPr>
              <w:t>29</w:t>
            </w:r>
          </w:p>
        </w:tc>
      </w:tr>
      <w:tr w:rsidR="00302E21" w:rsidRPr="00302E21" w14:paraId="1EBF4BE6" w14:textId="77777777" w:rsidTr="00302E21">
        <w:tc>
          <w:tcPr>
            <w:tcW w:w="0" w:type="auto"/>
            <w:tcBorders>
              <w:bottom w:val="single" w:sz="4" w:space="0" w:color="37383B"/>
            </w:tcBorders>
            <w:shd w:val="clear" w:color="auto" w:fill="FFFFFF" w:themeFill="background1"/>
            <w:hideMark/>
          </w:tcPr>
          <w:p w14:paraId="5038677D" w14:textId="77777777" w:rsidR="00302E21" w:rsidRPr="00302E21" w:rsidRDefault="00302E21" w:rsidP="00302E21">
            <w:r w:rsidRPr="00302E21">
              <w:lastRenderedPageBreak/>
              <w:t>    10.1 Steps for Implementation &amp; Timeline</w:t>
            </w:r>
          </w:p>
        </w:tc>
        <w:tc>
          <w:tcPr>
            <w:tcW w:w="0" w:type="auto"/>
            <w:tcBorders>
              <w:bottom w:val="single" w:sz="4" w:space="0" w:color="37383B"/>
            </w:tcBorders>
            <w:shd w:val="clear" w:color="auto" w:fill="FFFFFF" w:themeFill="background1"/>
            <w:hideMark/>
          </w:tcPr>
          <w:p w14:paraId="1EE6FE87" w14:textId="77777777" w:rsidR="00302E21" w:rsidRPr="00302E21" w:rsidRDefault="00302E21" w:rsidP="00302E21">
            <w:r w:rsidRPr="00302E21">
              <w:t>29</w:t>
            </w:r>
          </w:p>
        </w:tc>
      </w:tr>
      <w:tr w:rsidR="00302E21" w:rsidRPr="00302E21" w14:paraId="5B91E976" w14:textId="77777777" w:rsidTr="00302E21">
        <w:tc>
          <w:tcPr>
            <w:tcW w:w="0" w:type="auto"/>
            <w:tcBorders>
              <w:bottom w:val="single" w:sz="4" w:space="0" w:color="37383B"/>
            </w:tcBorders>
            <w:shd w:val="clear" w:color="auto" w:fill="FFFFFF" w:themeFill="background1"/>
            <w:hideMark/>
          </w:tcPr>
          <w:p w14:paraId="2BCF7BA4" w14:textId="77777777" w:rsidR="00302E21" w:rsidRPr="00302E21" w:rsidRDefault="00302E21" w:rsidP="00302E21">
            <w:r w:rsidRPr="00302E21">
              <w:t>    10.2 Resource Allocation &amp; Budget Considerations</w:t>
            </w:r>
          </w:p>
        </w:tc>
        <w:tc>
          <w:tcPr>
            <w:tcW w:w="0" w:type="auto"/>
            <w:tcBorders>
              <w:bottom w:val="single" w:sz="4" w:space="0" w:color="37383B"/>
            </w:tcBorders>
            <w:shd w:val="clear" w:color="auto" w:fill="FFFFFF" w:themeFill="background1"/>
            <w:hideMark/>
          </w:tcPr>
          <w:p w14:paraId="51C70830" w14:textId="3AFCB565" w:rsidR="00302E21" w:rsidRPr="00302E21" w:rsidRDefault="00064B76" w:rsidP="00302E21">
            <w:r>
              <w:t>29</w:t>
            </w:r>
          </w:p>
        </w:tc>
      </w:tr>
      <w:tr w:rsidR="00302E21" w:rsidRPr="00302E21" w14:paraId="4D8E696D" w14:textId="77777777" w:rsidTr="00302E21">
        <w:tc>
          <w:tcPr>
            <w:tcW w:w="0" w:type="auto"/>
            <w:tcBorders>
              <w:bottom w:val="single" w:sz="4" w:space="0" w:color="37383B"/>
            </w:tcBorders>
            <w:shd w:val="clear" w:color="auto" w:fill="FFFFFF" w:themeFill="background1"/>
            <w:hideMark/>
          </w:tcPr>
          <w:p w14:paraId="07B62D69" w14:textId="77777777" w:rsidR="00302E21" w:rsidRPr="00302E21" w:rsidRDefault="00302E21" w:rsidP="00302E21">
            <w:r w:rsidRPr="00302E21">
              <w:t>    10.3 Anticipated Strategic Results</w:t>
            </w:r>
          </w:p>
        </w:tc>
        <w:tc>
          <w:tcPr>
            <w:tcW w:w="0" w:type="auto"/>
            <w:tcBorders>
              <w:bottom w:val="single" w:sz="4" w:space="0" w:color="37383B"/>
            </w:tcBorders>
            <w:shd w:val="clear" w:color="auto" w:fill="FFFFFF" w:themeFill="background1"/>
            <w:hideMark/>
          </w:tcPr>
          <w:p w14:paraId="72F8CAF1" w14:textId="5488322C" w:rsidR="00064B76" w:rsidRPr="00302E21" w:rsidRDefault="00064B76" w:rsidP="00302E21">
            <w:r>
              <w:t>29</w:t>
            </w:r>
          </w:p>
        </w:tc>
      </w:tr>
      <w:tr w:rsidR="00302E21" w:rsidRPr="00302E21" w14:paraId="1D488FD7" w14:textId="77777777" w:rsidTr="00302E21">
        <w:tc>
          <w:tcPr>
            <w:tcW w:w="0" w:type="auto"/>
            <w:tcBorders>
              <w:bottom w:val="single" w:sz="4" w:space="0" w:color="37383B"/>
            </w:tcBorders>
            <w:shd w:val="clear" w:color="auto" w:fill="FFFFFF" w:themeFill="background1"/>
            <w:hideMark/>
          </w:tcPr>
          <w:p w14:paraId="6B6F4766" w14:textId="77777777" w:rsidR="00302E21" w:rsidRPr="00302E21" w:rsidRDefault="00302E21" w:rsidP="00302E21">
            <w:r w:rsidRPr="00302E21">
              <w:rPr>
                <w:b/>
                <w:bCs/>
              </w:rPr>
              <w:t>11.0 Strategic Risks &amp; Mitigation Matrix</w:t>
            </w:r>
          </w:p>
        </w:tc>
        <w:tc>
          <w:tcPr>
            <w:tcW w:w="0" w:type="auto"/>
            <w:tcBorders>
              <w:bottom w:val="single" w:sz="4" w:space="0" w:color="37383B"/>
            </w:tcBorders>
            <w:shd w:val="clear" w:color="auto" w:fill="FFFFFF" w:themeFill="background1"/>
            <w:hideMark/>
          </w:tcPr>
          <w:p w14:paraId="2712F4DD" w14:textId="746B496C" w:rsidR="00302E21" w:rsidRPr="00302E21" w:rsidRDefault="00302E21" w:rsidP="00302E21">
            <w:r w:rsidRPr="00302E21">
              <w:rPr>
                <w:b/>
                <w:bCs/>
              </w:rPr>
              <w:t>3</w:t>
            </w:r>
            <w:r w:rsidR="00064B76">
              <w:rPr>
                <w:b/>
                <w:bCs/>
              </w:rPr>
              <w:t>0</w:t>
            </w:r>
          </w:p>
        </w:tc>
      </w:tr>
      <w:tr w:rsidR="00302E21" w:rsidRPr="00302E21" w14:paraId="340DE6F9" w14:textId="77777777" w:rsidTr="00302E21">
        <w:tc>
          <w:tcPr>
            <w:tcW w:w="0" w:type="auto"/>
            <w:tcBorders>
              <w:bottom w:val="single" w:sz="4" w:space="0" w:color="37383B"/>
            </w:tcBorders>
            <w:shd w:val="clear" w:color="auto" w:fill="FFFFFF" w:themeFill="background1"/>
            <w:hideMark/>
          </w:tcPr>
          <w:p w14:paraId="03C2DE83" w14:textId="77777777" w:rsidR="00302E21" w:rsidRPr="00302E21" w:rsidRDefault="00302E21" w:rsidP="00302E21">
            <w:r w:rsidRPr="00302E21">
              <w:t>    11.1 Analysis of Strategic Risks &amp; Challenges</w:t>
            </w:r>
          </w:p>
        </w:tc>
        <w:tc>
          <w:tcPr>
            <w:tcW w:w="0" w:type="auto"/>
            <w:tcBorders>
              <w:bottom w:val="single" w:sz="4" w:space="0" w:color="37383B"/>
            </w:tcBorders>
            <w:shd w:val="clear" w:color="auto" w:fill="FFFFFF" w:themeFill="background1"/>
            <w:hideMark/>
          </w:tcPr>
          <w:p w14:paraId="65DEEBEE" w14:textId="15A9982D" w:rsidR="00302E21" w:rsidRPr="00302E21" w:rsidRDefault="00302E21" w:rsidP="00302E21">
            <w:r w:rsidRPr="00302E21">
              <w:t>3</w:t>
            </w:r>
            <w:r w:rsidR="00064B76">
              <w:t>0</w:t>
            </w:r>
          </w:p>
        </w:tc>
      </w:tr>
      <w:tr w:rsidR="00302E21" w:rsidRPr="00302E21" w14:paraId="4A192E0A" w14:textId="77777777" w:rsidTr="00302E21">
        <w:tc>
          <w:tcPr>
            <w:tcW w:w="0" w:type="auto"/>
            <w:tcBorders>
              <w:bottom w:val="single" w:sz="4" w:space="0" w:color="37383B"/>
            </w:tcBorders>
            <w:shd w:val="clear" w:color="auto" w:fill="FFFFFF" w:themeFill="background1"/>
            <w:hideMark/>
          </w:tcPr>
          <w:p w14:paraId="1462AC4F" w14:textId="77777777" w:rsidR="00302E21" w:rsidRPr="00302E21" w:rsidRDefault="00302E21" w:rsidP="00302E21">
            <w:r w:rsidRPr="00302E21">
              <w:t>    11.2 Risk Mitigation Framework</w:t>
            </w:r>
          </w:p>
        </w:tc>
        <w:tc>
          <w:tcPr>
            <w:tcW w:w="0" w:type="auto"/>
            <w:tcBorders>
              <w:bottom w:val="single" w:sz="4" w:space="0" w:color="37383B"/>
            </w:tcBorders>
            <w:shd w:val="clear" w:color="auto" w:fill="FFFFFF" w:themeFill="background1"/>
            <w:hideMark/>
          </w:tcPr>
          <w:p w14:paraId="287921FA" w14:textId="3B7E568A" w:rsidR="00302E21" w:rsidRPr="00302E21" w:rsidRDefault="00064B76" w:rsidP="00302E21">
            <w:r>
              <w:t>30</w:t>
            </w:r>
          </w:p>
        </w:tc>
      </w:tr>
      <w:tr w:rsidR="00302E21" w:rsidRPr="00302E21" w14:paraId="0BD69256" w14:textId="77777777" w:rsidTr="00302E21">
        <w:tc>
          <w:tcPr>
            <w:tcW w:w="0" w:type="auto"/>
            <w:tcBorders>
              <w:bottom w:val="single" w:sz="4" w:space="0" w:color="37383B"/>
            </w:tcBorders>
            <w:shd w:val="clear" w:color="auto" w:fill="FFFFFF" w:themeFill="background1"/>
            <w:hideMark/>
          </w:tcPr>
          <w:p w14:paraId="430814A4" w14:textId="77777777" w:rsidR="00302E21" w:rsidRPr="00302E21" w:rsidRDefault="00302E21" w:rsidP="00302E21">
            <w:r w:rsidRPr="00302E21">
              <w:rPr>
                <w:b/>
                <w:bCs/>
              </w:rPr>
              <w:t>12.0 Conclusion</w:t>
            </w:r>
          </w:p>
        </w:tc>
        <w:tc>
          <w:tcPr>
            <w:tcW w:w="0" w:type="auto"/>
            <w:tcBorders>
              <w:bottom w:val="single" w:sz="4" w:space="0" w:color="37383B"/>
            </w:tcBorders>
            <w:shd w:val="clear" w:color="auto" w:fill="FFFFFF" w:themeFill="background1"/>
            <w:hideMark/>
          </w:tcPr>
          <w:p w14:paraId="280CBDB5" w14:textId="6A8F8B12" w:rsidR="00302E21" w:rsidRPr="00302E21" w:rsidRDefault="00302E21" w:rsidP="00302E21">
            <w:r w:rsidRPr="00302E21">
              <w:rPr>
                <w:b/>
                <w:bCs/>
              </w:rPr>
              <w:t>3</w:t>
            </w:r>
            <w:r w:rsidR="00064B76">
              <w:rPr>
                <w:b/>
                <w:bCs/>
              </w:rPr>
              <w:t>1</w:t>
            </w:r>
          </w:p>
        </w:tc>
      </w:tr>
      <w:tr w:rsidR="00302E21" w:rsidRPr="00302E21" w14:paraId="17FD2C92" w14:textId="77777777" w:rsidTr="00302E21">
        <w:tc>
          <w:tcPr>
            <w:tcW w:w="0" w:type="auto"/>
            <w:tcBorders>
              <w:bottom w:val="single" w:sz="4" w:space="0" w:color="37383B"/>
            </w:tcBorders>
            <w:shd w:val="clear" w:color="auto" w:fill="FFFFFF" w:themeFill="background1"/>
            <w:hideMark/>
          </w:tcPr>
          <w:p w14:paraId="41B8AEF4" w14:textId="77777777" w:rsidR="00302E21" w:rsidRPr="00302E21" w:rsidRDefault="00302E21" w:rsidP="00302E21">
            <w:r w:rsidRPr="00302E21">
              <w:t>    12.1 Strategic Position &amp; Value Proposition</w:t>
            </w:r>
          </w:p>
        </w:tc>
        <w:tc>
          <w:tcPr>
            <w:tcW w:w="0" w:type="auto"/>
            <w:tcBorders>
              <w:bottom w:val="single" w:sz="4" w:space="0" w:color="37383B"/>
            </w:tcBorders>
            <w:shd w:val="clear" w:color="auto" w:fill="FFFFFF" w:themeFill="background1"/>
            <w:hideMark/>
          </w:tcPr>
          <w:p w14:paraId="651CABF1" w14:textId="1D185F0C" w:rsidR="00302E21" w:rsidRPr="00302E21" w:rsidRDefault="00302E21" w:rsidP="00302E21">
            <w:r w:rsidRPr="00302E21">
              <w:t>3</w:t>
            </w:r>
            <w:r w:rsidR="00064B76">
              <w:t>1</w:t>
            </w:r>
          </w:p>
        </w:tc>
      </w:tr>
      <w:tr w:rsidR="00302E21" w:rsidRPr="00302E21" w14:paraId="7C458792" w14:textId="77777777" w:rsidTr="00302E21">
        <w:tc>
          <w:tcPr>
            <w:tcW w:w="0" w:type="auto"/>
            <w:tcBorders>
              <w:bottom w:val="single" w:sz="4" w:space="0" w:color="37383B"/>
            </w:tcBorders>
            <w:shd w:val="clear" w:color="auto" w:fill="FFFFFF" w:themeFill="background1"/>
            <w:hideMark/>
          </w:tcPr>
          <w:p w14:paraId="66A3A5B8" w14:textId="77777777" w:rsidR="00302E21" w:rsidRPr="00302E21" w:rsidRDefault="00302E21" w:rsidP="00302E21">
            <w:r w:rsidRPr="00302E21">
              <w:t>    12.2 Key Analytical Findings</w:t>
            </w:r>
          </w:p>
        </w:tc>
        <w:tc>
          <w:tcPr>
            <w:tcW w:w="0" w:type="auto"/>
            <w:tcBorders>
              <w:bottom w:val="single" w:sz="4" w:space="0" w:color="37383B"/>
            </w:tcBorders>
            <w:shd w:val="clear" w:color="auto" w:fill="FFFFFF" w:themeFill="background1"/>
            <w:hideMark/>
          </w:tcPr>
          <w:p w14:paraId="2F196507" w14:textId="2DF1F5D5" w:rsidR="00302E21" w:rsidRPr="00302E21" w:rsidRDefault="00302E21" w:rsidP="00302E21">
            <w:r w:rsidRPr="00302E21">
              <w:t>3</w:t>
            </w:r>
            <w:r w:rsidR="00064B76">
              <w:t>1</w:t>
            </w:r>
          </w:p>
        </w:tc>
      </w:tr>
      <w:tr w:rsidR="00302E21" w:rsidRPr="00302E21" w14:paraId="47B0859A" w14:textId="77777777" w:rsidTr="00302E21">
        <w:tc>
          <w:tcPr>
            <w:tcW w:w="0" w:type="auto"/>
            <w:tcBorders>
              <w:bottom w:val="single" w:sz="4" w:space="0" w:color="37383B"/>
            </w:tcBorders>
            <w:shd w:val="clear" w:color="auto" w:fill="FFFFFF" w:themeFill="background1"/>
            <w:hideMark/>
          </w:tcPr>
          <w:p w14:paraId="126ED790" w14:textId="77777777" w:rsidR="00302E21" w:rsidRPr="00302E21" w:rsidRDefault="00302E21" w:rsidP="00302E21">
            <w:r w:rsidRPr="00302E21">
              <w:t>    12.3 Recommended Strategy &amp; Strategic Benefits</w:t>
            </w:r>
          </w:p>
        </w:tc>
        <w:tc>
          <w:tcPr>
            <w:tcW w:w="0" w:type="auto"/>
            <w:tcBorders>
              <w:bottom w:val="single" w:sz="4" w:space="0" w:color="37383B"/>
            </w:tcBorders>
            <w:shd w:val="clear" w:color="auto" w:fill="FFFFFF" w:themeFill="background1"/>
            <w:hideMark/>
          </w:tcPr>
          <w:p w14:paraId="41507BF7" w14:textId="7336BEFD" w:rsidR="00302E21" w:rsidRPr="00302E21" w:rsidRDefault="00302E21" w:rsidP="00302E21">
            <w:r w:rsidRPr="00302E21">
              <w:t>3</w:t>
            </w:r>
            <w:r w:rsidR="00064B76">
              <w:t>2</w:t>
            </w:r>
          </w:p>
        </w:tc>
      </w:tr>
      <w:tr w:rsidR="00302E21" w:rsidRPr="00302E21" w14:paraId="2C0EE799" w14:textId="77777777" w:rsidTr="00302E21">
        <w:tc>
          <w:tcPr>
            <w:tcW w:w="0" w:type="auto"/>
            <w:tcBorders>
              <w:bottom w:val="single" w:sz="4" w:space="0" w:color="37383B"/>
            </w:tcBorders>
            <w:shd w:val="clear" w:color="auto" w:fill="FFFFFF" w:themeFill="background1"/>
            <w:hideMark/>
          </w:tcPr>
          <w:p w14:paraId="5A023ABD" w14:textId="77777777" w:rsidR="00302E21" w:rsidRPr="00302E21" w:rsidRDefault="00302E21" w:rsidP="00302E21">
            <w:r w:rsidRPr="00302E21">
              <w:rPr>
                <w:b/>
                <w:bCs/>
              </w:rPr>
              <w:t>Section 2: Reflective Account</w:t>
            </w:r>
          </w:p>
        </w:tc>
        <w:tc>
          <w:tcPr>
            <w:tcW w:w="0" w:type="auto"/>
            <w:tcBorders>
              <w:bottom w:val="single" w:sz="4" w:space="0" w:color="37383B"/>
            </w:tcBorders>
            <w:shd w:val="clear" w:color="auto" w:fill="FFFFFF" w:themeFill="background1"/>
            <w:hideMark/>
          </w:tcPr>
          <w:p w14:paraId="22943DAD" w14:textId="5D2FA63D" w:rsidR="00302E21" w:rsidRPr="00302E21" w:rsidRDefault="00302E21" w:rsidP="00302E21">
            <w:r w:rsidRPr="00302E21">
              <w:rPr>
                <w:b/>
                <w:bCs/>
              </w:rPr>
              <w:t>3</w:t>
            </w:r>
            <w:r w:rsidR="00064B76">
              <w:rPr>
                <w:b/>
                <w:bCs/>
              </w:rPr>
              <w:t>2</w:t>
            </w:r>
          </w:p>
        </w:tc>
      </w:tr>
      <w:tr w:rsidR="00302E21" w:rsidRPr="00302E21" w14:paraId="47979424" w14:textId="77777777" w:rsidTr="00302E21">
        <w:tc>
          <w:tcPr>
            <w:tcW w:w="0" w:type="auto"/>
            <w:tcBorders>
              <w:bottom w:val="single" w:sz="4" w:space="0" w:color="37383B"/>
            </w:tcBorders>
            <w:shd w:val="clear" w:color="auto" w:fill="FFFFFF" w:themeFill="background1"/>
            <w:hideMark/>
          </w:tcPr>
          <w:p w14:paraId="52D79293" w14:textId="77777777" w:rsidR="00302E21" w:rsidRPr="00302E21" w:rsidRDefault="00302E21" w:rsidP="00302E21">
            <w:r w:rsidRPr="00302E21">
              <w:t>    1. Description</w:t>
            </w:r>
          </w:p>
        </w:tc>
        <w:tc>
          <w:tcPr>
            <w:tcW w:w="0" w:type="auto"/>
            <w:tcBorders>
              <w:bottom w:val="single" w:sz="4" w:space="0" w:color="37383B"/>
            </w:tcBorders>
            <w:shd w:val="clear" w:color="auto" w:fill="FFFFFF" w:themeFill="background1"/>
            <w:hideMark/>
          </w:tcPr>
          <w:p w14:paraId="331F01DF" w14:textId="27C4899C" w:rsidR="00302E21" w:rsidRPr="00302E21" w:rsidRDefault="00302E21" w:rsidP="00302E21">
            <w:r w:rsidRPr="00302E21">
              <w:t>3</w:t>
            </w:r>
            <w:r w:rsidR="00064B76">
              <w:t>2</w:t>
            </w:r>
          </w:p>
        </w:tc>
      </w:tr>
      <w:tr w:rsidR="00302E21" w:rsidRPr="00302E21" w14:paraId="75B65FC0" w14:textId="77777777" w:rsidTr="00302E21">
        <w:tc>
          <w:tcPr>
            <w:tcW w:w="0" w:type="auto"/>
            <w:tcBorders>
              <w:bottom w:val="single" w:sz="4" w:space="0" w:color="37383B"/>
            </w:tcBorders>
            <w:shd w:val="clear" w:color="auto" w:fill="FFFFFF" w:themeFill="background1"/>
            <w:hideMark/>
          </w:tcPr>
          <w:p w14:paraId="1D1AF189" w14:textId="77777777" w:rsidR="00302E21" w:rsidRPr="00302E21" w:rsidRDefault="00302E21" w:rsidP="00302E21">
            <w:r w:rsidRPr="00302E21">
              <w:t>    2. Feeling</w:t>
            </w:r>
          </w:p>
        </w:tc>
        <w:tc>
          <w:tcPr>
            <w:tcW w:w="0" w:type="auto"/>
            <w:tcBorders>
              <w:bottom w:val="single" w:sz="4" w:space="0" w:color="37383B"/>
            </w:tcBorders>
            <w:shd w:val="clear" w:color="auto" w:fill="FFFFFF" w:themeFill="background1"/>
            <w:hideMark/>
          </w:tcPr>
          <w:p w14:paraId="2DB0E10C" w14:textId="0EF5D9E7" w:rsidR="00302E21" w:rsidRPr="00302E21" w:rsidRDefault="00302E21" w:rsidP="00302E21">
            <w:r w:rsidRPr="00302E21">
              <w:t>3</w:t>
            </w:r>
            <w:r w:rsidR="00064B76">
              <w:t>3</w:t>
            </w:r>
          </w:p>
        </w:tc>
      </w:tr>
      <w:tr w:rsidR="00302E21" w:rsidRPr="00302E21" w14:paraId="2F8F9A58" w14:textId="77777777" w:rsidTr="00302E21">
        <w:tc>
          <w:tcPr>
            <w:tcW w:w="0" w:type="auto"/>
            <w:tcBorders>
              <w:bottom w:val="single" w:sz="4" w:space="0" w:color="37383B"/>
            </w:tcBorders>
            <w:shd w:val="clear" w:color="auto" w:fill="FFFFFF" w:themeFill="background1"/>
            <w:hideMark/>
          </w:tcPr>
          <w:p w14:paraId="70843325" w14:textId="77777777" w:rsidR="00302E21" w:rsidRPr="00302E21" w:rsidRDefault="00302E21" w:rsidP="00302E21">
            <w:r w:rsidRPr="00302E21">
              <w:t>    3. Evaluation</w:t>
            </w:r>
          </w:p>
        </w:tc>
        <w:tc>
          <w:tcPr>
            <w:tcW w:w="0" w:type="auto"/>
            <w:tcBorders>
              <w:bottom w:val="single" w:sz="4" w:space="0" w:color="37383B"/>
            </w:tcBorders>
            <w:shd w:val="clear" w:color="auto" w:fill="FFFFFF" w:themeFill="background1"/>
            <w:hideMark/>
          </w:tcPr>
          <w:p w14:paraId="1AAB0FF3" w14:textId="27585055" w:rsidR="00302E21" w:rsidRPr="00302E21" w:rsidRDefault="00302E21" w:rsidP="00302E21">
            <w:r w:rsidRPr="00302E21">
              <w:t>3</w:t>
            </w:r>
            <w:r w:rsidR="00064B76">
              <w:t>3</w:t>
            </w:r>
          </w:p>
        </w:tc>
      </w:tr>
      <w:tr w:rsidR="00302E21" w:rsidRPr="00302E21" w14:paraId="6E4CF152" w14:textId="77777777" w:rsidTr="00302E21">
        <w:tc>
          <w:tcPr>
            <w:tcW w:w="0" w:type="auto"/>
            <w:tcBorders>
              <w:bottom w:val="single" w:sz="4" w:space="0" w:color="37383B"/>
            </w:tcBorders>
            <w:shd w:val="clear" w:color="auto" w:fill="FFFFFF" w:themeFill="background1"/>
            <w:hideMark/>
          </w:tcPr>
          <w:p w14:paraId="3320FD3C" w14:textId="77777777" w:rsidR="00302E21" w:rsidRPr="00302E21" w:rsidRDefault="00302E21" w:rsidP="00302E21">
            <w:r w:rsidRPr="00302E21">
              <w:t>    4. Analysis</w:t>
            </w:r>
          </w:p>
        </w:tc>
        <w:tc>
          <w:tcPr>
            <w:tcW w:w="0" w:type="auto"/>
            <w:tcBorders>
              <w:bottom w:val="single" w:sz="4" w:space="0" w:color="37383B"/>
            </w:tcBorders>
            <w:shd w:val="clear" w:color="auto" w:fill="FFFFFF" w:themeFill="background1"/>
            <w:hideMark/>
          </w:tcPr>
          <w:p w14:paraId="139FA36B" w14:textId="04C30DAE" w:rsidR="00302E21" w:rsidRPr="00302E21" w:rsidRDefault="00302E21" w:rsidP="00302E21">
            <w:r w:rsidRPr="00302E21">
              <w:t>3</w:t>
            </w:r>
            <w:r w:rsidR="00064B76">
              <w:t>3</w:t>
            </w:r>
          </w:p>
        </w:tc>
      </w:tr>
      <w:tr w:rsidR="00302E21" w:rsidRPr="00302E21" w14:paraId="011CEEBD" w14:textId="77777777" w:rsidTr="00302E21">
        <w:tc>
          <w:tcPr>
            <w:tcW w:w="0" w:type="auto"/>
            <w:tcBorders>
              <w:bottom w:val="single" w:sz="4" w:space="0" w:color="37383B"/>
            </w:tcBorders>
            <w:shd w:val="clear" w:color="auto" w:fill="FFFFFF" w:themeFill="background1"/>
            <w:hideMark/>
          </w:tcPr>
          <w:p w14:paraId="18D2D280" w14:textId="77777777" w:rsidR="00302E21" w:rsidRPr="00302E21" w:rsidRDefault="00302E21" w:rsidP="00302E21">
            <w:r w:rsidRPr="00302E21">
              <w:t>    5. Conclusion</w:t>
            </w:r>
          </w:p>
        </w:tc>
        <w:tc>
          <w:tcPr>
            <w:tcW w:w="0" w:type="auto"/>
            <w:tcBorders>
              <w:bottom w:val="single" w:sz="4" w:space="0" w:color="37383B"/>
            </w:tcBorders>
            <w:shd w:val="clear" w:color="auto" w:fill="FFFFFF" w:themeFill="background1"/>
            <w:hideMark/>
          </w:tcPr>
          <w:p w14:paraId="6AE227C7" w14:textId="2AA1E88B" w:rsidR="00302E21" w:rsidRPr="00302E21" w:rsidRDefault="00302E21" w:rsidP="00302E21">
            <w:r w:rsidRPr="00302E21">
              <w:t>3</w:t>
            </w:r>
            <w:r w:rsidR="00064B76">
              <w:t>3</w:t>
            </w:r>
          </w:p>
        </w:tc>
      </w:tr>
      <w:tr w:rsidR="00302E21" w:rsidRPr="00302E21" w14:paraId="38498E62" w14:textId="77777777" w:rsidTr="00302E21">
        <w:tc>
          <w:tcPr>
            <w:tcW w:w="0" w:type="auto"/>
            <w:tcBorders>
              <w:bottom w:val="single" w:sz="4" w:space="0" w:color="37383B"/>
            </w:tcBorders>
            <w:shd w:val="clear" w:color="auto" w:fill="FFFFFF" w:themeFill="background1"/>
            <w:hideMark/>
          </w:tcPr>
          <w:p w14:paraId="4DFF7C6F" w14:textId="77777777" w:rsidR="00302E21" w:rsidRPr="00302E21" w:rsidRDefault="00302E21" w:rsidP="00302E21">
            <w:r w:rsidRPr="00302E21">
              <w:t>    6. Action Plan</w:t>
            </w:r>
          </w:p>
        </w:tc>
        <w:tc>
          <w:tcPr>
            <w:tcW w:w="0" w:type="auto"/>
            <w:tcBorders>
              <w:bottom w:val="single" w:sz="4" w:space="0" w:color="37383B"/>
            </w:tcBorders>
            <w:shd w:val="clear" w:color="auto" w:fill="FFFFFF" w:themeFill="background1"/>
            <w:hideMark/>
          </w:tcPr>
          <w:p w14:paraId="5D559BDE" w14:textId="01D422AF" w:rsidR="00302E21" w:rsidRPr="00302E21" w:rsidRDefault="00302E21" w:rsidP="00302E21">
            <w:r w:rsidRPr="00302E21">
              <w:t>3</w:t>
            </w:r>
            <w:r w:rsidR="00064B76">
              <w:t>4</w:t>
            </w:r>
          </w:p>
        </w:tc>
      </w:tr>
      <w:tr w:rsidR="00302E21" w:rsidRPr="00302E21" w14:paraId="0F0A900F" w14:textId="77777777" w:rsidTr="00302E21">
        <w:tc>
          <w:tcPr>
            <w:tcW w:w="0" w:type="auto"/>
            <w:tcBorders>
              <w:bottom w:val="single" w:sz="4" w:space="0" w:color="37383B"/>
            </w:tcBorders>
            <w:shd w:val="clear" w:color="auto" w:fill="FFFFFF" w:themeFill="background1"/>
            <w:hideMark/>
          </w:tcPr>
          <w:p w14:paraId="78E80D4E" w14:textId="77777777" w:rsidR="00302E21" w:rsidRPr="00302E21" w:rsidRDefault="00302E21" w:rsidP="00302E21">
            <w:r w:rsidRPr="00302E21">
              <w:rPr>
                <w:b/>
                <w:bCs/>
              </w:rPr>
              <w:t>3. Reference List</w:t>
            </w:r>
          </w:p>
        </w:tc>
        <w:tc>
          <w:tcPr>
            <w:tcW w:w="0" w:type="auto"/>
            <w:tcBorders>
              <w:bottom w:val="single" w:sz="4" w:space="0" w:color="37383B"/>
            </w:tcBorders>
            <w:shd w:val="clear" w:color="auto" w:fill="FFFFFF" w:themeFill="background1"/>
            <w:hideMark/>
          </w:tcPr>
          <w:p w14:paraId="79536304" w14:textId="13B6A670" w:rsidR="00302E21" w:rsidRPr="00302E21" w:rsidRDefault="00302E21" w:rsidP="00302E21">
            <w:r w:rsidRPr="00302E21">
              <w:rPr>
                <w:b/>
                <w:bCs/>
              </w:rPr>
              <w:t>3</w:t>
            </w:r>
            <w:r w:rsidR="00064B76">
              <w:rPr>
                <w:b/>
                <w:bCs/>
              </w:rPr>
              <w:t>5</w:t>
            </w:r>
          </w:p>
        </w:tc>
      </w:tr>
    </w:tbl>
    <w:p w14:paraId="02F0E9A6" w14:textId="77777777" w:rsidR="005D2396" w:rsidRDefault="005D2396" w:rsidP="00302E21"/>
    <w:p w14:paraId="0F30B26D" w14:textId="0EE4A174" w:rsidR="005D2396" w:rsidRDefault="005D2396" w:rsidP="005132B7">
      <w:pPr>
        <w:jc w:val="both"/>
      </w:pPr>
    </w:p>
    <w:p w14:paraId="704166D8" w14:textId="77777777" w:rsidR="00CD2A51" w:rsidRDefault="00CD2A51" w:rsidP="005F6E92">
      <w:pPr>
        <w:jc w:val="both"/>
      </w:pPr>
    </w:p>
    <w:p w14:paraId="436BAB12" w14:textId="77777777" w:rsidR="004E3342" w:rsidRDefault="004E3342" w:rsidP="005F6E92">
      <w:pPr>
        <w:jc w:val="both"/>
      </w:pPr>
    </w:p>
    <w:p w14:paraId="410691C3" w14:textId="77777777" w:rsidR="004E3342" w:rsidRDefault="004E3342" w:rsidP="005F6E92">
      <w:pPr>
        <w:jc w:val="both"/>
      </w:pPr>
    </w:p>
    <w:p w14:paraId="4F951945" w14:textId="77777777" w:rsidR="004E3342" w:rsidRDefault="004E3342" w:rsidP="005F6E92">
      <w:pPr>
        <w:jc w:val="both"/>
      </w:pPr>
    </w:p>
    <w:p w14:paraId="196450EA" w14:textId="77777777" w:rsidR="004E3342" w:rsidRDefault="004E3342" w:rsidP="005F6E92">
      <w:pPr>
        <w:jc w:val="both"/>
        <w:rPr>
          <w:rFonts w:ascii="Arial" w:hAnsi="Arial" w:cs="Arial"/>
          <w:b/>
          <w:bCs/>
          <w:sz w:val="28"/>
          <w:szCs w:val="28"/>
        </w:rPr>
      </w:pPr>
    </w:p>
    <w:p w14:paraId="055957F8" w14:textId="4B3FF907" w:rsidR="005D2396" w:rsidRPr="00CD31FC" w:rsidRDefault="00CD31FC" w:rsidP="00CD2A51">
      <w:pPr>
        <w:jc w:val="both"/>
        <w:rPr>
          <w:rFonts w:ascii="Arial" w:hAnsi="Arial" w:cs="Arial"/>
          <w:b/>
          <w:bCs/>
          <w:sz w:val="28"/>
          <w:szCs w:val="28"/>
        </w:rPr>
      </w:pPr>
      <w:r>
        <w:rPr>
          <w:rFonts w:ascii="Arial" w:hAnsi="Arial" w:cs="Arial"/>
          <w:b/>
          <w:bCs/>
          <w:sz w:val="28"/>
          <w:szCs w:val="28"/>
        </w:rPr>
        <w:lastRenderedPageBreak/>
        <w:t xml:space="preserve">1. </w:t>
      </w:r>
      <w:r w:rsidR="001813BF" w:rsidRPr="00CD31FC">
        <w:rPr>
          <w:rFonts w:ascii="Arial" w:hAnsi="Arial" w:cs="Arial"/>
          <w:b/>
          <w:bCs/>
          <w:sz w:val="28"/>
          <w:szCs w:val="28"/>
        </w:rPr>
        <w:t>Organizational Context &amp; Overview</w:t>
      </w:r>
    </w:p>
    <w:p w14:paraId="0291C83D" w14:textId="2568EF8E" w:rsidR="00755851" w:rsidRDefault="00755851" w:rsidP="00CD2A51">
      <w:pPr>
        <w:jc w:val="both"/>
        <w:rPr>
          <w:rFonts w:ascii="Arial" w:hAnsi="Arial" w:cs="Arial"/>
        </w:rPr>
      </w:pPr>
      <w:r>
        <w:rPr>
          <w:rFonts w:ascii="Arial" w:hAnsi="Arial" w:cs="Arial"/>
        </w:rPr>
        <w:t xml:space="preserve">McDonald’s UK has been chosen for this analysis as it exemplifies a mature International Operated Market (IOM) that is currently commemorating its 50th anniversary. The UK serves as a strategic “blueprint” for the global framework, particularly through its “Plan for Change” sustainability initiative and its substantial economic impact, contributing approximately </w:t>
      </w:r>
      <w:r w:rsidRPr="00755851">
        <w:rPr>
          <w:rFonts w:ascii="Arial" w:hAnsi="Arial" w:cs="Arial"/>
        </w:rPr>
        <w:t>£</w:t>
      </w:r>
      <w:r>
        <w:rPr>
          <w:rFonts w:ascii="Arial" w:hAnsi="Arial" w:cs="Arial"/>
        </w:rPr>
        <w:t xml:space="preserve">94.45 billion in Gross Value Added (GVA) to the UK economy since 1974. </w:t>
      </w:r>
    </w:p>
    <w:p w14:paraId="6E84BA9C" w14:textId="044BD920" w:rsidR="00D0271A" w:rsidRDefault="00D0271A" w:rsidP="00CD2A51">
      <w:pPr>
        <w:jc w:val="both"/>
        <w:rPr>
          <w:rFonts w:ascii="Arial" w:hAnsi="Arial" w:cs="Arial"/>
        </w:rPr>
      </w:pPr>
      <w:r>
        <w:rPr>
          <w:rFonts w:ascii="Arial" w:hAnsi="Arial" w:cs="Arial"/>
        </w:rPr>
        <w:t xml:space="preserve">Although McDonald’s Corporation originated in Des Plaines, Illinois, in 1955, the brand made its debut in the UK in October 1974, inauguring its first restaurant on Woolwich High Street. The UK operations have since grown to encompass over 1,450 locations, transforming them from a solitary outlet into a prominent cultural institution that caters to an average pf 3.2 to 4 million customers each day. </w:t>
      </w:r>
    </w:p>
    <w:p w14:paraId="1E1C4AB1" w14:textId="77777777" w:rsidR="00C439EB" w:rsidRDefault="00D0271A" w:rsidP="00CD2A51">
      <w:pPr>
        <w:jc w:val="both"/>
        <w:rPr>
          <w:rFonts w:ascii="Arial" w:hAnsi="Arial" w:cs="Arial"/>
        </w:rPr>
      </w:pPr>
      <w:r>
        <w:rPr>
          <w:rFonts w:ascii="Arial" w:hAnsi="Arial" w:cs="Arial"/>
        </w:rPr>
        <w:t>McDonald’s UK aligns its global mission of “making delicious feel-good moments easy for everyone” with a localized vision articulated through the “Plan for Change,” launched in 2021 to spearhead positive social and environmental transformation within the industry. This strategic framework aims to attain Net Zero emissions across its operations by 2040, as part of its “time-bound commitments,” while guaranteeing that all ingredients are of high quality and sustainably sourced. The focus encompasses the planet, people, restaurants, and food, thereby promoting enduring brand trust and community resilience.</w:t>
      </w:r>
    </w:p>
    <w:p w14:paraId="4DB50A61" w14:textId="74528DF1" w:rsidR="00D0271A" w:rsidRDefault="00D0271A" w:rsidP="00CD2A51">
      <w:pPr>
        <w:jc w:val="both"/>
        <w:rPr>
          <w:rFonts w:ascii="Arial" w:hAnsi="Arial" w:cs="Arial"/>
        </w:rPr>
      </w:pPr>
      <w:r>
        <w:rPr>
          <w:rFonts w:ascii="Arial" w:hAnsi="Arial" w:cs="Arial"/>
        </w:rPr>
        <w:t xml:space="preserve"> </w:t>
      </w:r>
    </w:p>
    <w:p w14:paraId="30DA2B95" w14:textId="2172FE48" w:rsidR="00F730FB" w:rsidRPr="00C439EB" w:rsidRDefault="00CD31FC" w:rsidP="00CD2A51">
      <w:pPr>
        <w:jc w:val="both"/>
        <w:rPr>
          <w:rFonts w:ascii="Arial" w:hAnsi="Arial" w:cs="Arial"/>
          <w:b/>
          <w:bCs/>
          <w:i/>
          <w:iCs/>
          <w:u w:val="single"/>
        </w:rPr>
      </w:pPr>
      <w:r>
        <w:rPr>
          <w:rFonts w:ascii="Arial" w:hAnsi="Arial" w:cs="Arial"/>
          <w:b/>
          <w:bCs/>
          <w:i/>
          <w:iCs/>
          <w:u w:val="single"/>
        </w:rPr>
        <w:t xml:space="preserve">1.1 </w:t>
      </w:r>
      <w:r w:rsidR="00F730FB" w:rsidRPr="00C439EB">
        <w:rPr>
          <w:rFonts w:ascii="Arial" w:hAnsi="Arial" w:cs="Arial"/>
          <w:b/>
          <w:bCs/>
          <w:i/>
          <w:iCs/>
          <w:u w:val="single"/>
        </w:rPr>
        <w:t xml:space="preserve">Business Model </w:t>
      </w:r>
    </w:p>
    <w:p w14:paraId="701E00A7" w14:textId="4D9533F5" w:rsidR="00F730FB" w:rsidRDefault="00F730FB" w:rsidP="00CD2A51">
      <w:pPr>
        <w:jc w:val="both"/>
        <w:rPr>
          <w:rFonts w:ascii="Arial" w:hAnsi="Arial" w:cs="Arial"/>
        </w:rPr>
      </w:pPr>
      <w:r>
        <w:rPr>
          <w:rFonts w:ascii="Arial" w:hAnsi="Arial" w:cs="Arial"/>
        </w:rPr>
        <w:t xml:space="preserve">McDonald’s UK utilizes a matrix management structure based on a “three-legged stool” concept, which encompasses Company staff, independent franchisees, and suppliers. The franchise landscape is largely franchised at 89%, primarily through standard franchise agreements where the Company either owns or leases the real estate, while the franchisee invests in the necessary equipment and décor. This arrangement provides a stable and predictable revenue flow through rent and royalties. </w:t>
      </w:r>
    </w:p>
    <w:p w14:paraId="0ADD4EC2" w14:textId="77777777" w:rsidR="00C439EB" w:rsidRDefault="00C439EB" w:rsidP="00CD2A51">
      <w:pPr>
        <w:jc w:val="both"/>
        <w:rPr>
          <w:rFonts w:ascii="Arial" w:hAnsi="Arial" w:cs="Arial"/>
        </w:rPr>
      </w:pPr>
    </w:p>
    <w:p w14:paraId="486FF743" w14:textId="0F7CB2E4" w:rsidR="00C439EB" w:rsidRPr="00C439EB" w:rsidRDefault="00CD31FC" w:rsidP="00CD2A51">
      <w:pPr>
        <w:jc w:val="both"/>
        <w:rPr>
          <w:rFonts w:ascii="Arial" w:hAnsi="Arial" w:cs="Arial"/>
          <w:b/>
          <w:bCs/>
          <w:i/>
          <w:iCs/>
          <w:u w:val="single"/>
        </w:rPr>
      </w:pPr>
      <w:r>
        <w:rPr>
          <w:rFonts w:ascii="Arial" w:hAnsi="Arial" w:cs="Arial"/>
          <w:b/>
          <w:bCs/>
          <w:i/>
          <w:iCs/>
          <w:u w:val="single"/>
        </w:rPr>
        <w:t xml:space="preserve">1.2 </w:t>
      </w:r>
      <w:r w:rsidR="00C439EB" w:rsidRPr="00C439EB">
        <w:rPr>
          <w:rFonts w:ascii="Arial" w:hAnsi="Arial" w:cs="Arial"/>
          <w:b/>
          <w:bCs/>
          <w:i/>
          <w:iCs/>
          <w:u w:val="single"/>
        </w:rPr>
        <w:t>Industry Overview &amp; Main Competitors</w:t>
      </w:r>
    </w:p>
    <w:p w14:paraId="6F003AE2" w14:textId="29C1C9D1" w:rsidR="00C439EB" w:rsidRDefault="00C439EB" w:rsidP="00CD2A51">
      <w:pPr>
        <w:jc w:val="both"/>
        <w:rPr>
          <w:rFonts w:ascii="Arial" w:hAnsi="Arial" w:cs="Arial"/>
        </w:rPr>
      </w:pPr>
      <w:r>
        <w:rPr>
          <w:rFonts w:ascii="Arial" w:hAnsi="Arial" w:cs="Arial"/>
        </w:rPr>
        <w:t xml:space="preserve">The UK Quick Service Restaurant (QSR) sector demonstrates remarkable resilience, representing more than one-third of the overall foodservice revenue in 2024. Prominent trends include the simplification of menus, an emphasis on individual lunchtime experiences, and a vigorous shift towards digital transformation. </w:t>
      </w:r>
    </w:p>
    <w:p w14:paraId="570484D4" w14:textId="6BCDB12A" w:rsidR="00C439EB" w:rsidRDefault="00C439EB" w:rsidP="00CD2A51">
      <w:pPr>
        <w:jc w:val="both"/>
        <w:rPr>
          <w:rFonts w:ascii="Arial" w:hAnsi="Arial" w:cs="Arial"/>
        </w:rPr>
      </w:pPr>
      <w:r w:rsidRPr="00C439EB">
        <w:rPr>
          <w:rFonts w:ascii="Arial" w:hAnsi="Arial" w:cs="Arial"/>
          <w:b/>
          <w:bCs/>
        </w:rPr>
        <w:t>Key Competitors:</w:t>
      </w:r>
      <w:r>
        <w:rPr>
          <w:rFonts w:ascii="Arial" w:hAnsi="Arial" w:cs="Arial"/>
        </w:rPr>
        <w:t xml:space="preserve"> Major players such as Greggs and KFC possess significant market share, alongside McDonald’s. </w:t>
      </w:r>
    </w:p>
    <w:p w14:paraId="729DD2C3" w14:textId="15804DD8" w:rsidR="00C439EB" w:rsidRDefault="00C439EB" w:rsidP="00CD2A51">
      <w:pPr>
        <w:jc w:val="both"/>
        <w:rPr>
          <w:rFonts w:ascii="Arial" w:hAnsi="Arial" w:cs="Arial"/>
        </w:rPr>
      </w:pPr>
      <w:r w:rsidRPr="00C439EB">
        <w:rPr>
          <w:rFonts w:ascii="Arial" w:hAnsi="Arial" w:cs="Arial"/>
          <w:b/>
          <w:bCs/>
        </w:rPr>
        <w:lastRenderedPageBreak/>
        <w:t>Emerging Challenges:</w:t>
      </w:r>
      <w:r>
        <w:rPr>
          <w:rFonts w:ascii="Arial" w:hAnsi="Arial" w:cs="Arial"/>
        </w:rPr>
        <w:t xml:space="preserve"> New challenger brands are gaining momentum through unique product offerings and regional expansion, in addition to casual dining establishments (for, instance, German Doner Kebab) that are enhancing their delivery options. </w:t>
      </w:r>
    </w:p>
    <w:p w14:paraId="3A2CE642" w14:textId="77777777" w:rsidR="00C439EB" w:rsidRDefault="00C439EB" w:rsidP="00CD2A51">
      <w:pPr>
        <w:jc w:val="both"/>
        <w:rPr>
          <w:rFonts w:ascii="Arial" w:hAnsi="Arial" w:cs="Arial"/>
        </w:rPr>
      </w:pPr>
    </w:p>
    <w:p w14:paraId="025DD483" w14:textId="1199BF97" w:rsidR="00C439EB" w:rsidRPr="00C439EB" w:rsidRDefault="00A10B0A" w:rsidP="00CD2A51">
      <w:pPr>
        <w:jc w:val="both"/>
        <w:rPr>
          <w:rFonts w:ascii="Arial" w:hAnsi="Arial" w:cs="Arial"/>
          <w:b/>
          <w:bCs/>
          <w:i/>
          <w:iCs/>
          <w:u w:val="single"/>
        </w:rPr>
      </w:pPr>
      <w:r>
        <w:rPr>
          <w:rFonts w:ascii="Arial" w:hAnsi="Arial" w:cs="Arial"/>
          <w:b/>
          <w:bCs/>
          <w:i/>
          <w:iCs/>
          <w:u w:val="single"/>
        </w:rPr>
        <w:t xml:space="preserve">1.3 </w:t>
      </w:r>
      <w:r w:rsidR="00C439EB" w:rsidRPr="00C439EB">
        <w:rPr>
          <w:rFonts w:ascii="Arial" w:hAnsi="Arial" w:cs="Arial"/>
          <w:b/>
          <w:bCs/>
          <w:i/>
          <w:iCs/>
          <w:u w:val="single"/>
        </w:rPr>
        <w:t>Current Market Standing</w:t>
      </w:r>
    </w:p>
    <w:p w14:paraId="645B4678" w14:textId="39555762" w:rsidR="00CD31FC" w:rsidRDefault="00C439EB" w:rsidP="00CD2A51">
      <w:pPr>
        <w:jc w:val="both"/>
        <w:rPr>
          <w:rFonts w:ascii="Arial" w:hAnsi="Arial" w:cs="Arial"/>
        </w:rPr>
      </w:pPr>
      <w:r>
        <w:rPr>
          <w:rFonts w:ascii="Arial" w:hAnsi="Arial" w:cs="Arial"/>
        </w:rPr>
        <w:t xml:space="preserve">McDonald’s continues to hold a dominant position in the UK fast food market. Its strategic initiative, “Accelerating the Arches,” emphasizes a commitment to the 4Ds: Digital, Delivery, Drive-Thru, and Development. In 2024, the company reported over 5 million new </w:t>
      </w:r>
      <w:r w:rsidR="00CD31FC">
        <w:rPr>
          <w:rFonts w:ascii="Arial" w:hAnsi="Arial" w:cs="Arial"/>
        </w:rPr>
        <w:t>registrations</w:t>
      </w:r>
      <w:r>
        <w:rPr>
          <w:rFonts w:ascii="Arial" w:hAnsi="Arial" w:cs="Arial"/>
        </w:rPr>
        <w:t xml:space="preserve"> for its app, further solidifying its leadership in the digital-first hospitality sector. </w:t>
      </w:r>
    </w:p>
    <w:p w14:paraId="3D357D7F" w14:textId="3DAB013D" w:rsidR="00C439EB" w:rsidRDefault="00C439EB" w:rsidP="00CD2A51">
      <w:pPr>
        <w:jc w:val="both"/>
        <w:rPr>
          <w:rFonts w:ascii="Arial" w:hAnsi="Arial" w:cs="Arial"/>
        </w:rPr>
      </w:pPr>
      <w:r>
        <w:rPr>
          <w:rFonts w:ascii="Arial" w:hAnsi="Arial" w:cs="Arial"/>
        </w:rPr>
        <w:t xml:space="preserve"> </w:t>
      </w:r>
    </w:p>
    <w:p w14:paraId="0466BC4D" w14:textId="7C5979BF" w:rsidR="00C439EB" w:rsidRDefault="00CD31FC" w:rsidP="00CD2A51">
      <w:pPr>
        <w:jc w:val="both"/>
        <w:rPr>
          <w:rFonts w:ascii="Arial" w:hAnsi="Arial" w:cs="Arial"/>
          <w:b/>
          <w:bCs/>
          <w:sz w:val="28"/>
          <w:szCs w:val="28"/>
        </w:rPr>
      </w:pPr>
      <w:r w:rsidRPr="009664C2">
        <w:rPr>
          <w:rFonts w:ascii="Arial" w:hAnsi="Arial" w:cs="Arial"/>
          <w:b/>
          <w:bCs/>
          <w:sz w:val="28"/>
          <w:szCs w:val="28"/>
        </w:rPr>
        <w:t xml:space="preserve">2. </w:t>
      </w:r>
      <w:r w:rsidR="009664C2" w:rsidRPr="009664C2">
        <w:rPr>
          <w:rFonts w:ascii="Arial" w:hAnsi="Arial" w:cs="Arial"/>
          <w:b/>
          <w:bCs/>
          <w:sz w:val="28"/>
          <w:szCs w:val="28"/>
        </w:rPr>
        <w:t>External Analysis (PESTEL Framework)</w:t>
      </w:r>
    </w:p>
    <w:p w14:paraId="1DF79024" w14:textId="77777777" w:rsidR="005544EB" w:rsidRDefault="009664C2" w:rsidP="00CD2A51">
      <w:pPr>
        <w:jc w:val="both"/>
        <w:rPr>
          <w:rFonts w:ascii="Arial" w:hAnsi="Arial" w:cs="Arial"/>
          <w:b/>
          <w:bCs/>
          <w:i/>
          <w:iCs/>
          <w:u w:val="single"/>
        </w:rPr>
      </w:pPr>
      <w:r w:rsidRPr="009664C2">
        <w:rPr>
          <w:rFonts w:ascii="Arial" w:hAnsi="Arial" w:cs="Arial"/>
          <w:b/>
          <w:bCs/>
          <w:i/>
          <w:iCs/>
          <w:u w:val="single"/>
        </w:rPr>
        <w:t xml:space="preserve">2.1 Political Factors </w:t>
      </w:r>
    </w:p>
    <w:p w14:paraId="70C6DBCB" w14:textId="6245D84E" w:rsidR="00D60274" w:rsidRDefault="006759C5" w:rsidP="00CD2A51">
      <w:pPr>
        <w:jc w:val="both"/>
        <w:rPr>
          <w:rFonts w:ascii="Arial" w:hAnsi="Arial" w:cs="Arial"/>
        </w:rPr>
      </w:pPr>
      <w:r w:rsidRPr="00875EC6">
        <w:rPr>
          <w:rFonts w:ascii="Arial" w:hAnsi="Arial" w:cs="Arial"/>
          <w:b/>
          <w:bCs/>
        </w:rPr>
        <w:t>Dual Governance Matrix:</w:t>
      </w:r>
      <w:r>
        <w:rPr>
          <w:rFonts w:ascii="Arial" w:hAnsi="Arial" w:cs="Arial"/>
        </w:rPr>
        <w:t xml:space="preserve"> The operational alignment within a global matrix framework reconciles corporate governance standards with compliance </w:t>
      </w:r>
      <w:proofErr w:type="gramStart"/>
      <w:r>
        <w:rPr>
          <w:rFonts w:ascii="Arial" w:hAnsi="Arial" w:cs="Arial"/>
        </w:rPr>
        <w:t>to</w:t>
      </w:r>
      <w:proofErr w:type="gramEnd"/>
      <w:r>
        <w:rPr>
          <w:rFonts w:ascii="Arial" w:hAnsi="Arial" w:cs="Arial"/>
        </w:rPr>
        <w:t xml:space="preserve"> regional UK regulations (Johnson, Scholes &amp; Whittington, 2008; McDonald’s, 2024). </w:t>
      </w:r>
    </w:p>
    <w:p w14:paraId="795DC34B" w14:textId="2413316E" w:rsidR="006759C5" w:rsidRDefault="006759C5" w:rsidP="00CD2A51">
      <w:pPr>
        <w:jc w:val="both"/>
        <w:rPr>
          <w:rFonts w:ascii="Arial" w:hAnsi="Arial" w:cs="Arial"/>
        </w:rPr>
      </w:pPr>
      <w:r w:rsidRPr="00875EC6">
        <w:rPr>
          <w:rFonts w:ascii="Arial" w:hAnsi="Arial" w:cs="Arial"/>
          <w:b/>
          <w:bCs/>
        </w:rPr>
        <w:t>Workplace Equality Initiatives:</w:t>
      </w:r>
      <w:r>
        <w:rPr>
          <w:rFonts w:ascii="Arial" w:hAnsi="Arial" w:cs="Arial"/>
        </w:rPr>
        <w:t xml:space="preserve"> A legally binding Section 23 agreement with the EHRC implements proactive anti-harassment measures, ensuring workplace inclusivity (Equality Act 2006; EHRC, 2023; Forbes Solicitors, 2026). </w:t>
      </w:r>
    </w:p>
    <w:p w14:paraId="3264806C" w14:textId="3FA3A17D" w:rsidR="00875EC6" w:rsidRDefault="00875EC6" w:rsidP="00CD2A51">
      <w:pPr>
        <w:jc w:val="both"/>
        <w:rPr>
          <w:rFonts w:ascii="Arial" w:hAnsi="Arial" w:cs="Arial"/>
        </w:rPr>
      </w:pPr>
      <w:r w:rsidRPr="00875EC6">
        <w:rPr>
          <w:rFonts w:ascii="Arial" w:hAnsi="Arial" w:cs="Arial"/>
          <w:b/>
          <w:bCs/>
        </w:rPr>
        <w:t>Agricultural Supply Chain Resilience:</w:t>
      </w:r>
      <w:r>
        <w:rPr>
          <w:rFonts w:ascii="Arial" w:hAnsi="Arial" w:cs="Arial"/>
        </w:rPr>
        <w:t xml:space="preserve"> Establishing strategic long-term partnerships with over 23,000 farmers in the UK &amp; Ireland helps to reduce trade volatility &amp; bolster national agricultural stability (Love, 1995;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 McDonald’s UK, 2024). </w:t>
      </w:r>
    </w:p>
    <w:p w14:paraId="2D4B06C9" w14:textId="77777777" w:rsidR="00D60274" w:rsidRDefault="00D60274" w:rsidP="00CD2A51">
      <w:pPr>
        <w:jc w:val="both"/>
        <w:rPr>
          <w:rFonts w:ascii="Arial" w:hAnsi="Arial" w:cs="Arial"/>
        </w:rPr>
      </w:pPr>
    </w:p>
    <w:p w14:paraId="5F77C30C" w14:textId="77777777" w:rsidR="00D60274" w:rsidRDefault="00D60274" w:rsidP="00CD2A51">
      <w:pPr>
        <w:jc w:val="both"/>
        <w:rPr>
          <w:rFonts w:ascii="Arial" w:hAnsi="Arial" w:cs="Arial"/>
          <w:b/>
          <w:bCs/>
          <w:i/>
          <w:iCs/>
          <w:u w:val="single"/>
        </w:rPr>
      </w:pPr>
      <w:r w:rsidRPr="00D60274">
        <w:rPr>
          <w:rFonts w:ascii="Arial" w:hAnsi="Arial" w:cs="Arial"/>
          <w:b/>
          <w:bCs/>
          <w:i/>
          <w:iCs/>
          <w:u w:val="single"/>
        </w:rPr>
        <w:t>2.2 Economic Factors</w:t>
      </w:r>
    </w:p>
    <w:p w14:paraId="242C853C" w14:textId="3AF0759F" w:rsidR="00A6527F" w:rsidRDefault="004F459C" w:rsidP="00CD2A51">
      <w:pPr>
        <w:jc w:val="both"/>
        <w:rPr>
          <w:rFonts w:ascii="Arial" w:hAnsi="Arial" w:cs="Arial"/>
        </w:rPr>
      </w:pPr>
      <w:r w:rsidRPr="004F459C">
        <w:rPr>
          <w:rFonts w:ascii="Arial" w:hAnsi="Arial" w:cs="Arial"/>
          <w:b/>
          <w:bCs/>
        </w:rPr>
        <w:t>Macroeconomic Contribution:</w:t>
      </w:r>
      <w:r>
        <w:rPr>
          <w:rFonts w:ascii="Arial" w:hAnsi="Arial" w:cs="Arial"/>
        </w:rPr>
        <w:t xml:space="preserve"> Since 1974, the UK economy has benefited significantly, with over </w:t>
      </w:r>
      <w:r w:rsidRPr="004F459C">
        <w:rPr>
          <w:rFonts w:ascii="Arial" w:hAnsi="Arial" w:cs="Arial"/>
        </w:rPr>
        <w:t>£</w:t>
      </w:r>
      <w:r>
        <w:rPr>
          <w:rFonts w:ascii="Arial" w:hAnsi="Arial" w:cs="Arial"/>
        </w:rPr>
        <w:t xml:space="preserve">94.45 billion generated in Gross Value Added (GVA) (Statista, 2024; McDonald’s UK, 2024). </w:t>
      </w:r>
    </w:p>
    <w:p w14:paraId="01B916F7" w14:textId="2CA50D3E" w:rsidR="004F459C" w:rsidRDefault="004F459C" w:rsidP="00CD2A51">
      <w:pPr>
        <w:jc w:val="both"/>
        <w:rPr>
          <w:rFonts w:ascii="Arial" w:hAnsi="Arial" w:cs="Arial"/>
        </w:rPr>
      </w:pPr>
      <w:r w:rsidRPr="004F459C">
        <w:rPr>
          <w:rFonts w:ascii="Arial" w:hAnsi="Arial" w:cs="Arial"/>
          <w:b/>
          <w:bCs/>
        </w:rPr>
        <w:t>Inflationary Margin Pressures:</w:t>
      </w:r>
      <w:r>
        <w:rPr>
          <w:rFonts w:ascii="Arial" w:hAnsi="Arial" w:cs="Arial"/>
        </w:rPr>
        <w:t xml:space="preserve"> Ongoing inflation &amp; cost-of-living issues limit consumer disposable income &amp; put pressure on franchise operating margins (Spanos, </w:t>
      </w:r>
      <w:proofErr w:type="spellStart"/>
      <w:r>
        <w:rPr>
          <w:rFonts w:ascii="Arial" w:hAnsi="Arial" w:cs="Arial"/>
        </w:rPr>
        <w:t>Zaralis</w:t>
      </w:r>
      <w:proofErr w:type="spellEnd"/>
      <w:r>
        <w:rPr>
          <w:rFonts w:ascii="Arial" w:hAnsi="Arial" w:cs="Arial"/>
        </w:rPr>
        <w:t xml:space="preserve"> &amp; </w:t>
      </w:r>
      <w:proofErr w:type="spellStart"/>
      <w:r>
        <w:rPr>
          <w:rFonts w:ascii="Arial" w:hAnsi="Arial" w:cs="Arial"/>
        </w:rPr>
        <w:t>Lioukas</w:t>
      </w:r>
      <w:proofErr w:type="spellEnd"/>
      <w:r>
        <w:rPr>
          <w:rFonts w:ascii="Arial" w:hAnsi="Arial" w:cs="Arial"/>
        </w:rPr>
        <w:t xml:space="preserve">, 2004; KPMG, 2024; Deloitte, 2024). </w:t>
      </w:r>
    </w:p>
    <w:p w14:paraId="59CACE6C" w14:textId="3664DB77" w:rsidR="004F459C" w:rsidRDefault="004F459C" w:rsidP="00CD2A51">
      <w:pPr>
        <w:jc w:val="both"/>
        <w:rPr>
          <w:rFonts w:ascii="Arial" w:hAnsi="Arial" w:cs="Arial"/>
        </w:rPr>
      </w:pPr>
      <w:r w:rsidRPr="004F459C">
        <w:rPr>
          <w:rFonts w:ascii="Arial" w:hAnsi="Arial" w:cs="Arial"/>
          <w:b/>
          <w:bCs/>
        </w:rPr>
        <w:lastRenderedPageBreak/>
        <w:t>Capital Investment Commitment:</w:t>
      </w:r>
      <w:r>
        <w:rPr>
          <w:rFonts w:ascii="Arial" w:hAnsi="Arial" w:cs="Arial"/>
        </w:rPr>
        <w:t xml:space="preserve"> A planned investment of </w:t>
      </w:r>
      <w:r w:rsidRPr="004F459C">
        <w:rPr>
          <w:rFonts w:ascii="Arial" w:hAnsi="Arial" w:cs="Arial"/>
        </w:rPr>
        <w:t>£</w:t>
      </w:r>
      <w:r>
        <w:rPr>
          <w:rFonts w:ascii="Arial" w:hAnsi="Arial" w:cs="Arial"/>
        </w:rPr>
        <w:t xml:space="preserve">1 billion to establish over 200 new restaurants in the UK &amp; Ireland by 2028 reflects a strong long-term confidence in the market (Grant, 2021; McDonald’s UK, 2024). </w:t>
      </w:r>
    </w:p>
    <w:p w14:paraId="4D588523" w14:textId="77777777" w:rsidR="00F62D8B" w:rsidRDefault="00F62D8B" w:rsidP="00CD2A51">
      <w:pPr>
        <w:jc w:val="both"/>
        <w:rPr>
          <w:rFonts w:ascii="Arial" w:hAnsi="Arial" w:cs="Arial"/>
        </w:rPr>
      </w:pPr>
    </w:p>
    <w:p w14:paraId="3919741E" w14:textId="77777777" w:rsidR="00F62D8B" w:rsidRDefault="00F62D8B" w:rsidP="00CD2A51">
      <w:pPr>
        <w:jc w:val="both"/>
        <w:rPr>
          <w:rFonts w:ascii="Arial" w:hAnsi="Arial" w:cs="Arial"/>
        </w:rPr>
      </w:pPr>
      <w:r w:rsidRPr="00F62D8B">
        <w:rPr>
          <w:rFonts w:ascii="Arial" w:hAnsi="Arial" w:cs="Arial"/>
          <w:b/>
          <w:bCs/>
          <w:i/>
          <w:iCs/>
          <w:u w:val="single"/>
        </w:rPr>
        <w:t>2.3 Social Factors</w:t>
      </w:r>
    </w:p>
    <w:p w14:paraId="1A48AC53" w14:textId="17B05B7E" w:rsidR="00BF1AAC" w:rsidRDefault="004F459C" w:rsidP="00CD2A51">
      <w:pPr>
        <w:jc w:val="both"/>
        <w:rPr>
          <w:rFonts w:ascii="Arial" w:hAnsi="Arial" w:cs="Arial"/>
        </w:rPr>
      </w:pPr>
      <w:r w:rsidRPr="00F240E5">
        <w:rPr>
          <w:rFonts w:ascii="Arial" w:hAnsi="Arial" w:cs="Arial"/>
          <w:b/>
          <w:bCs/>
        </w:rPr>
        <w:t>Changing Consumption Trends:</w:t>
      </w:r>
      <w:r>
        <w:rPr>
          <w:rFonts w:ascii="Arial" w:hAnsi="Arial" w:cs="Arial"/>
        </w:rPr>
        <w:t xml:space="preserve"> The evolving lifestyles in the UK are driving a greater need for convenient solo dining options during the week &amp; affordable QSR alternatives (Lumina Intelligence, 2024; Gilbert, 2022). </w:t>
      </w:r>
    </w:p>
    <w:p w14:paraId="58FA89E9" w14:textId="5227087D" w:rsidR="004F459C" w:rsidRDefault="004F459C" w:rsidP="00CD2A51">
      <w:pPr>
        <w:jc w:val="both"/>
        <w:rPr>
          <w:rFonts w:ascii="Arial" w:hAnsi="Arial" w:cs="Arial"/>
        </w:rPr>
      </w:pPr>
      <w:r w:rsidRPr="00F240E5">
        <w:rPr>
          <w:rFonts w:ascii="Arial" w:hAnsi="Arial" w:cs="Arial"/>
          <w:b/>
          <w:bCs/>
        </w:rPr>
        <w:t>Digital-First Audience:</w:t>
      </w:r>
      <w:r>
        <w:rPr>
          <w:rFonts w:ascii="Arial" w:hAnsi="Arial" w:cs="Arial"/>
        </w:rPr>
        <w:t xml:space="preserve"> The primary demographic (ages 25-34) emphasizes frequent visits influenced by </w:t>
      </w:r>
      <w:r w:rsidR="00F40428">
        <w:rPr>
          <w:rFonts w:ascii="Arial" w:hAnsi="Arial" w:cs="Arial"/>
        </w:rPr>
        <w:t xml:space="preserve">mobile app interactions and digital loyalty programs (Kumar &amp; Reinartz, 2016; Statista, 2024). </w:t>
      </w:r>
    </w:p>
    <w:p w14:paraId="42A50315" w14:textId="550C5188" w:rsidR="0037628C" w:rsidRDefault="0037628C" w:rsidP="00CD2A51">
      <w:pPr>
        <w:jc w:val="both"/>
        <w:rPr>
          <w:rFonts w:ascii="Arial" w:hAnsi="Arial" w:cs="Arial"/>
        </w:rPr>
      </w:pPr>
      <w:r w:rsidRPr="00F240E5">
        <w:rPr>
          <w:rFonts w:ascii="Arial" w:hAnsi="Arial" w:cs="Arial"/>
          <w:b/>
          <w:bCs/>
        </w:rPr>
        <w:t>Health &amp; Sustainability Focus:</w:t>
      </w:r>
      <w:r>
        <w:rPr>
          <w:rFonts w:ascii="Arial" w:hAnsi="Arial" w:cs="Arial"/>
        </w:rPr>
        <w:t xml:space="preserve"> Increasing consumer interest in plant-based diets &amp; menu transparency leads to a broader range of offerings (e.g., </w:t>
      </w:r>
      <w:proofErr w:type="spellStart"/>
      <w:r>
        <w:rPr>
          <w:rFonts w:ascii="Arial" w:hAnsi="Arial" w:cs="Arial"/>
        </w:rPr>
        <w:t>McPlant</w:t>
      </w:r>
      <w:proofErr w:type="spellEnd"/>
      <w:r>
        <w:rPr>
          <w:rFonts w:ascii="Arial" w:hAnsi="Arial" w:cs="Arial"/>
        </w:rPr>
        <w:t xml:space="preserve">) &amp; improved nutritional labeling (Carroll, 1991; Johnson, Scholes &amp; Whittington, 2008; McDonald’s UK, 2024). </w:t>
      </w:r>
    </w:p>
    <w:p w14:paraId="4D2D4D88" w14:textId="77777777" w:rsidR="00BF1AAC" w:rsidRDefault="00BF1AAC" w:rsidP="00CD2A51">
      <w:pPr>
        <w:jc w:val="both"/>
        <w:rPr>
          <w:rFonts w:ascii="Arial" w:hAnsi="Arial" w:cs="Arial"/>
        </w:rPr>
      </w:pPr>
    </w:p>
    <w:p w14:paraId="6537A595" w14:textId="77777777" w:rsidR="00BF1AAC" w:rsidRDefault="00BF1AAC" w:rsidP="00CD2A51">
      <w:pPr>
        <w:jc w:val="both"/>
        <w:rPr>
          <w:rFonts w:ascii="Arial" w:hAnsi="Arial" w:cs="Arial"/>
        </w:rPr>
      </w:pPr>
      <w:r w:rsidRPr="00BF1AAC">
        <w:rPr>
          <w:rFonts w:ascii="Arial" w:hAnsi="Arial" w:cs="Arial"/>
          <w:b/>
          <w:bCs/>
          <w:i/>
          <w:iCs/>
          <w:u w:val="single"/>
        </w:rPr>
        <w:t xml:space="preserve">2.4 Technological Factors </w:t>
      </w:r>
      <w:r w:rsidR="00F62D8B" w:rsidRPr="00BF1AAC">
        <w:rPr>
          <w:rFonts w:ascii="Arial" w:hAnsi="Arial" w:cs="Arial"/>
          <w:b/>
          <w:bCs/>
          <w:i/>
          <w:iCs/>
          <w:u w:val="single"/>
        </w:rPr>
        <w:t xml:space="preserve"> </w:t>
      </w:r>
    </w:p>
    <w:p w14:paraId="6FB9E0F9" w14:textId="3B490C5A" w:rsidR="00F62D8B" w:rsidRDefault="00F240E5" w:rsidP="00CD2A51">
      <w:pPr>
        <w:jc w:val="both"/>
        <w:rPr>
          <w:rFonts w:ascii="Arial" w:hAnsi="Arial" w:cs="Arial"/>
        </w:rPr>
      </w:pPr>
      <w:r w:rsidRPr="005F581E">
        <w:rPr>
          <w:rFonts w:ascii="Arial" w:hAnsi="Arial" w:cs="Arial"/>
          <w:b/>
          <w:bCs/>
        </w:rPr>
        <w:t>Digital Ecosystem Expansion:</w:t>
      </w:r>
      <w:r>
        <w:rPr>
          <w:rFonts w:ascii="Arial" w:hAnsi="Arial" w:cs="Arial"/>
        </w:rPr>
        <w:t xml:space="preserve"> The execution of the global “Accelerating the Arches” strategy fosters digital engagement, resulting in over 5 million new app registrations each year in the UK (Kumar &amp; Reinartz, 2016; McDonald’s Corporation, 2024). </w:t>
      </w:r>
    </w:p>
    <w:p w14:paraId="4AB5A30E" w14:textId="5E73616B" w:rsidR="00F240E5" w:rsidRDefault="00F240E5" w:rsidP="00CD2A51">
      <w:pPr>
        <w:jc w:val="both"/>
        <w:rPr>
          <w:rFonts w:ascii="Arial" w:hAnsi="Arial" w:cs="Arial"/>
        </w:rPr>
      </w:pPr>
      <w:r w:rsidRPr="005F581E">
        <w:rPr>
          <w:rFonts w:ascii="Arial" w:hAnsi="Arial" w:cs="Arial"/>
          <w:b/>
          <w:bCs/>
        </w:rPr>
        <w:t>AI operational Integration:</w:t>
      </w:r>
      <w:r>
        <w:rPr>
          <w:rFonts w:ascii="Arial" w:hAnsi="Arial" w:cs="Arial"/>
        </w:rPr>
        <w:t xml:space="preserve"> The use of predictive AI technologies enhances inventory control, workforce scheduling, operational planning, and reduces food waste (AP Capital Research, 2025; McDonald’s Corporation, 2024).</w:t>
      </w:r>
    </w:p>
    <w:p w14:paraId="791504DB" w14:textId="2BB34A4B" w:rsidR="00F240E5" w:rsidRDefault="00F240E5" w:rsidP="00CD2A51">
      <w:pPr>
        <w:jc w:val="both"/>
        <w:rPr>
          <w:rFonts w:ascii="Arial" w:hAnsi="Arial" w:cs="Arial"/>
        </w:rPr>
      </w:pPr>
      <w:r w:rsidRPr="005F581E">
        <w:rPr>
          <w:rFonts w:ascii="Arial" w:hAnsi="Arial" w:cs="Arial"/>
          <w:b/>
          <w:bCs/>
        </w:rPr>
        <w:t>In-Store Automation:</w:t>
      </w:r>
      <w:r>
        <w:rPr>
          <w:rFonts w:ascii="Arial" w:hAnsi="Arial" w:cs="Arial"/>
        </w:rPr>
        <w:t xml:space="preserve"> The extensive adoption of self-service kiosks &amp; mobile checkout options improves order processing &amp; accelerates service delivery (Gilbert, 2022; McDonald’s Corporation, 2024). </w:t>
      </w:r>
    </w:p>
    <w:p w14:paraId="6BB670C8" w14:textId="77777777" w:rsidR="002C5938" w:rsidRDefault="002C5938" w:rsidP="00CD2A51">
      <w:pPr>
        <w:jc w:val="both"/>
        <w:rPr>
          <w:rFonts w:ascii="Arial" w:hAnsi="Arial" w:cs="Arial"/>
        </w:rPr>
      </w:pPr>
    </w:p>
    <w:p w14:paraId="2AE17031" w14:textId="78BD324B" w:rsidR="002C5938" w:rsidRDefault="002C5938" w:rsidP="00CD2A51">
      <w:pPr>
        <w:jc w:val="both"/>
        <w:rPr>
          <w:rFonts w:ascii="Arial" w:hAnsi="Arial" w:cs="Arial"/>
          <w:b/>
          <w:bCs/>
          <w:i/>
          <w:iCs/>
          <w:u w:val="single"/>
        </w:rPr>
      </w:pPr>
      <w:r w:rsidRPr="002C5938">
        <w:rPr>
          <w:rFonts w:ascii="Arial" w:hAnsi="Arial" w:cs="Arial"/>
          <w:b/>
          <w:bCs/>
          <w:i/>
          <w:iCs/>
          <w:u w:val="single"/>
        </w:rPr>
        <w:t xml:space="preserve">2.5 Environmental Factors </w:t>
      </w:r>
    </w:p>
    <w:p w14:paraId="559B6B13" w14:textId="703341C5" w:rsidR="002C5938" w:rsidRDefault="00694061" w:rsidP="00CD2A51">
      <w:pPr>
        <w:jc w:val="both"/>
        <w:rPr>
          <w:rFonts w:ascii="Arial" w:hAnsi="Arial" w:cs="Arial"/>
        </w:rPr>
      </w:pPr>
      <w:r w:rsidRPr="003F3485">
        <w:rPr>
          <w:rFonts w:ascii="Arial" w:hAnsi="Arial" w:cs="Arial"/>
          <w:b/>
          <w:bCs/>
        </w:rPr>
        <w:t>Net Zero Commitments:</w:t>
      </w:r>
      <w:r>
        <w:rPr>
          <w:rFonts w:ascii="Arial" w:hAnsi="Arial" w:cs="Arial"/>
        </w:rPr>
        <w:t xml:space="preserve"> The comprehensive strategy aims for Net Zero Greenhouse gas emissions in global operations by 2040 (Carroll, 1991; McDonald’s Corporation, 2024). </w:t>
      </w:r>
    </w:p>
    <w:p w14:paraId="34F50F94" w14:textId="30293AB3" w:rsidR="00694061" w:rsidRDefault="00694061" w:rsidP="00CD2A51">
      <w:pPr>
        <w:jc w:val="both"/>
        <w:rPr>
          <w:rFonts w:ascii="Arial" w:hAnsi="Arial" w:cs="Arial"/>
        </w:rPr>
      </w:pPr>
      <w:r w:rsidRPr="003F3485">
        <w:rPr>
          <w:rFonts w:ascii="Arial" w:hAnsi="Arial" w:cs="Arial"/>
          <w:b/>
          <w:bCs/>
        </w:rPr>
        <w:lastRenderedPageBreak/>
        <w:t>Sustainable Infrastructure:</w:t>
      </w:r>
      <w:r>
        <w:rPr>
          <w:rFonts w:ascii="Arial" w:hAnsi="Arial" w:cs="Arial"/>
        </w:rPr>
        <w:t xml:space="preserve"> The construction of retail stores complies with the UK Green Building Council (UKGBC) Net Zero emissions standards (UKGBC, 2023; McDonald’s UK, 2024). </w:t>
      </w:r>
    </w:p>
    <w:p w14:paraId="5F959BBF" w14:textId="1CF38C28" w:rsidR="00694061" w:rsidRDefault="00694061" w:rsidP="00CD2A51">
      <w:pPr>
        <w:jc w:val="both"/>
        <w:rPr>
          <w:rFonts w:ascii="Arial" w:hAnsi="Arial" w:cs="Arial"/>
        </w:rPr>
      </w:pPr>
      <w:r w:rsidRPr="003F3485">
        <w:rPr>
          <w:rFonts w:ascii="Arial" w:hAnsi="Arial" w:cs="Arial"/>
          <w:b/>
          <w:bCs/>
        </w:rPr>
        <w:t>Deforestation-Free Supply Chain:</w:t>
      </w:r>
      <w:r>
        <w:rPr>
          <w:rFonts w:ascii="Arial" w:hAnsi="Arial" w:cs="Arial"/>
        </w:rPr>
        <w:t xml:space="preserve"> Sourcing criteria ensure 93% of customer packaging is renewable or recycled, and 99.1% of primary commodities (beef, coffee, soy) are procured without deforestation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 McDonald’s Corporation, 2024). </w:t>
      </w:r>
    </w:p>
    <w:p w14:paraId="4A60CCE1" w14:textId="77777777" w:rsidR="00A154F2" w:rsidRDefault="00A154F2" w:rsidP="00CD2A51">
      <w:pPr>
        <w:jc w:val="both"/>
        <w:rPr>
          <w:rFonts w:ascii="Arial" w:hAnsi="Arial" w:cs="Arial"/>
        </w:rPr>
      </w:pPr>
    </w:p>
    <w:p w14:paraId="1D46990A" w14:textId="77777777" w:rsidR="00A154F2" w:rsidRDefault="00A154F2" w:rsidP="00CD2A51">
      <w:pPr>
        <w:jc w:val="both"/>
        <w:rPr>
          <w:rFonts w:ascii="Arial" w:hAnsi="Arial" w:cs="Arial"/>
        </w:rPr>
      </w:pPr>
      <w:r w:rsidRPr="00A154F2">
        <w:rPr>
          <w:rFonts w:ascii="Arial" w:hAnsi="Arial" w:cs="Arial"/>
          <w:b/>
          <w:bCs/>
          <w:i/>
          <w:iCs/>
          <w:u w:val="single"/>
        </w:rPr>
        <w:t>2.6 Legal Factors</w:t>
      </w:r>
    </w:p>
    <w:p w14:paraId="3E4B86A7" w14:textId="0ACA2AC8" w:rsidR="005F6E92" w:rsidRDefault="003F3485" w:rsidP="00CD2A51">
      <w:pPr>
        <w:jc w:val="both"/>
        <w:rPr>
          <w:rFonts w:ascii="Arial" w:hAnsi="Arial" w:cs="Arial"/>
        </w:rPr>
      </w:pPr>
      <w:r w:rsidRPr="003E15AA">
        <w:rPr>
          <w:rFonts w:ascii="Arial" w:hAnsi="Arial" w:cs="Arial"/>
          <w:b/>
          <w:bCs/>
        </w:rPr>
        <w:t xml:space="preserve">Governance Framework Compliance: </w:t>
      </w:r>
      <w:r>
        <w:rPr>
          <w:rFonts w:ascii="Arial" w:hAnsi="Arial" w:cs="Arial"/>
        </w:rPr>
        <w:t xml:space="preserve">Following the Wates Corporate Governance </w:t>
      </w:r>
      <w:r w:rsidR="00FE3CA7">
        <w:rPr>
          <w:rFonts w:ascii="Arial" w:hAnsi="Arial" w:cs="Arial"/>
        </w:rPr>
        <w:t xml:space="preserve">Principles for Large Private Companies enhances board accountability &amp; risk management (Financial Reporting Council, 2018; </w:t>
      </w:r>
      <w:proofErr w:type="spellStart"/>
      <w:r w:rsidR="00FE3CA7">
        <w:rPr>
          <w:rFonts w:ascii="Arial" w:hAnsi="Arial" w:cs="Arial"/>
        </w:rPr>
        <w:t>NEDAGlobal</w:t>
      </w:r>
      <w:proofErr w:type="spellEnd"/>
      <w:r w:rsidR="00FE3CA7">
        <w:rPr>
          <w:rFonts w:ascii="Arial" w:hAnsi="Arial" w:cs="Arial"/>
        </w:rPr>
        <w:t xml:space="preserve">, 2018). </w:t>
      </w:r>
    </w:p>
    <w:p w14:paraId="5D47D200" w14:textId="35457B49" w:rsidR="00FE3CA7" w:rsidRDefault="00FE3CA7" w:rsidP="00CD2A51">
      <w:pPr>
        <w:jc w:val="both"/>
        <w:rPr>
          <w:rFonts w:ascii="Arial" w:hAnsi="Arial" w:cs="Arial"/>
        </w:rPr>
      </w:pPr>
      <w:r w:rsidRPr="003E15AA">
        <w:rPr>
          <w:rFonts w:ascii="Arial" w:hAnsi="Arial" w:cs="Arial"/>
          <w:b/>
          <w:bCs/>
        </w:rPr>
        <w:t>Equal Opportunity Disclosure:</w:t>
      </w:r>
      <w:r>
        <w:rPr>
          <w:rFonts w:ascii="Arial" w:hAnsi="Arial" w:cs="Arial"/>
        </w:rPr>
        <w:t xml:space="preserve"> Compliance with the Gender Pay Gap regulations reflects workplace fairness, evidence by a reported 0% median gender pay gap (Equality Act 2010; McDonald’s UK, 2024). </w:t>
      </w:r>
    </w:p>
    <w:p w14:paraId="2A2A05D3" w14:textId="2EC37D25" w:rsidR="00FE3CA7" w:rsidRDefault="00FE3CA7" w:rsidP="00CD2A51">
      <w:pPr>
        <w:jc w:val="both"/>
        <w:rPr>
          <w:rFonts w:ascii="Arial" w:hAnsi="Arial" w:cs="Arial"/>
        </w:rPr>
      </w:pPr>
      <w:r w:rsidRPr="003E15AA">
        <w:rPr>
          <w:rFonts w:ascii="Arial" w:hAnsi="Arial" w:cs="Arial"/>
          <w:b/>
          <w:bCs/>
        </w:rPr>
        <w:t>Regulatory Cost Drivers:</w:t>
      </w:r>
      <w:r>
        <w:rPr>
          <w:rFonts w:ascii="Arial" w:hAnsi="Arial" w:cs="Arial"/>
        </w:rPr>
        <w:t xml:space="preserve"> Increases in the National Living Wage &amp; HFSS calorie-labeling requirements elevate compliance costs &amp; necessitate continuous menu adjustments (Johnson, Scholes &amp; Whittington, 2008; GOV.UK, 2025).  </w:t>
      </w:r>
    </w:p>
    <w:p w14:paraId="48F3483E" w14:textId="77777777" w:rsidR="00FE3CA7" w:rsidRDefault="00FE3CA7" w:rsidP="00CD2A51">
      <w:pPr>
        <w:jc w:val="both"/>
        <w:rPr>
          <w:rFonts w:ascii="Arial" w:hAnsi="Arial" w:cs="Arial"/>
        </w:rPr>
      </w:pPr>
    </w:p>
    <w:p w14:paraId="4DC81E45" w14:textId="5290D2E7" w:rsidR="004F2ED4" w:rsidRDefault="004F2ED4" w:rsidP="00CD2A51">
      <w:pPr>
        <w:jc w:val="both"/>
        <w:rPr>
          <w:rFonts w:ascii="Arial" w:hAnsi="Arial" w:cs="Arial"/>
          <w:b/>
          <w:bCs/>
          <w:i/>
          <w:iCs/>
          <w:u w:val="single"/>
        </w:rPr>
      </w:pPr>
      <w:r w:rsidRPr="004F2ED4">
        <w:rPr>
          <w:rFonts w:ascii="Arial" w:hAnsi="Arial" w:cs="Arial"/>
          <w:b/>
          <w:bCs/>
          <w:i/>
          <w:iCs/>
          <w:u w:val="single"/>
        </w:rPr>
        <w:t xml:space="preserve">2.7 Key Opportunities &amp; Threats </w:t>
      </w:r>
    </w:p>
    <w:tbl>
      <w:tblPr>
        <w:tblStyle w:val="GridTable4"/>
        <w:tblW w:w="0" w:type="auto"/>
        <w:tblLook w:val="04A0" w:firstRow="1" w:lastRow="0" w:firstColumn="1" w:lastColumn="0" w:noHBand="0" w:noVBand="1"/>
      </w:tblPr>
      <w:tblGrid>
        <w:gridCol w:w="4675"/>
        <w:gridCol w:w="4675"/>
      </w:tblGrid>
      <w:tr w:rsidR="004F2ED4" w14:paraId="3713A52C" w14:textId="77777777" w:rsidTr="00BA5E26">
        <w:trPr>
          <w:cnfStyle w:val="100000000000" w:firstRow="1" w:lastRow="0" w:firstColumn="0" w:lastColumn="0" w:oddVBand="0" w:evenVBand="0" w:oddHBand="0"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4675" w:type="dxa"/>
          </w:tcPr>
          <w:p w14:paraId="5D0D3C0C" w14:textId="5DEFA591" w:rsidR="004F2ED4" w:rsidRPr="00BA5E26" w:rsidRDefault="004F2ED4" w:rsidP="00CD2A51">
            <w:pPr>
              <w:jc w:val="both"/>
              <w:rPr>
                <w:rFonts w:ascii="Arial" w:hAnsi="Arial" w:cs="Arial"/>
                <w:b w:val="0"/>
                <w:bCs w:val="0"/>
                <w:sz w:val="28"/>
                <w:szCs w:val="28"/>
              </w:rPr>
            </w:pPr>
            <w:r w:rsidRPr="00BA5E26">
              <w:rPr>
                <w:rFonts w:ascii="Arial" w:hAnsi="Arial" w:cs="Arial"/>
                <w:b w:val="0"/>
                <w:bCs w:val="0"/>
                <w:sz w:val="28"/>
                <w:szCs w:val="28"/>
              </w:rPr>
              <w:t>Opportunities</w:t>
            </w:r>
          </w:p>
        </w:tc>
        <w:tc>
          <w:tcPr>
            <w:tcW w:w="4675" w:type="dxa"/>
          </w:tcPr>
          <w:p w14:paraId="5FC581DB" w14:textId="4DAF971F" w:rsidR="004F2ED4" w:rsidRPr="00BA5E26" w:rsidRDefault="004F2ED4"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rPr>
            </w:pPr>
            <w:r w:rsidRPr="00BA5E26">
              <w:rPr>
                <w:rFonts w:ascii="Arial" w:hAnsi="Arial" w:cs="Arial"/>
                <w:b w:val="0"/>
                <w:bCs w:val="0"/>
                <w:sz w:val="28"/>
                <w:szCs w:val="28"/>
              </w:rPr>
              <w:t>Threats</w:t>
            </w:r>
          </w:p>
        </w:tc>
      </w:tr>
      <w:tr w:rsidR="004F2ED4" w14:paraId="52A8E374" w14:textId="77777777" w:rsidTr="00BA5E26">
        <w:trPr>
          <w:cnfStyle w:val="000000100000" w:firstRow="0" w:lastRow="0" w:firstColumn="0" w:lastColumn="0" w:oddVBand="0" w:evenVBand="0" w:oddHBand="1" w:evenHBand="0" w:firstRowFirstColumn="0" w:firstRowLastColumn="0" w:lastRowFirstColumn="0" w:lastRowLastColumn="0"/>
          <w:trHeight w:val="1835"/>
        </w:trPr>
        <w:tc>
          <w:tcPr>
            <w:cnfStyle w:val="001000000000" w:firstRow="0" w:lastRow="0" w:firstColumn="1" w:lastColumn="0" w:oddVBand="0" w:evenVBand="0" w:oddHBand="0" w:evenHBand="0" w:firstRowFirstColumn="0" w:firstRowLastColumn="0" w:lastRowFirstColumn="0" w:lastRowLastColumn="0"/>
            <w:tcW w:w="4675" w:type="dxa"/>
          </w:tcPr>
          <w:p w14:paraId="07B45112" w14:textId="11721596" w:rsidR="004F2ED4" w:rsidRPr="00BA5E26" w:rsidRDefault="004F2ED4" w:rsidP="00CD2A51">
            <w:pPr>
              <w:jc w:val="both"/>
              <w:rPr>
                <w:rFonts w:ascii="Arial" w:hAnsi="Arial" w:cs="Arial"/>
                <w:b w:val="0"/>
                <w:bCs w:val="0"/>
              </w:rPr>
            </w:pPr>
            <w:r w:rsidRPr="00BA5E26">
              <w:rPr>
                <w:rFonts w:ascii="Arial" w:hAnsi="Arial" w:cs="Arial"/>
                <w:b w:val="0"/>
                <w:bCs w:val="0"/>
              </w:rPr>
              <w:t xml:space="preserve">The expansion of AI applications in areas such as ordering, forecasting, and operational management has the potential to enhance efficiency, lower costs, and improve customer experience (McDonald’s Corporation, 2024). </w:t>
            </w:r>
          </w:p>
        </w:tc>
        <w:tc>
          <w:tcPr>
            <w:tcW w:w="4675" w:type="dxa"/>
          </w:tcPr>
          <w:p w14:paraId="2B96C8FA" w14:textId="751F3F07" w:rsidR="004F2ED4" w:rsidRDefault="00F26DFB"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Ongoing inflationary pressures and broader economic instability are consistently diminishing discretionary consumer expenditure in the UK hospitality industry (KPMG, 2024). </w:t>
            </w:r>
          </w:p>
        </w:tc>
      </w:tr>
      <w:tr w:rsidR="004F2ED4" w14:paraId="2FAC7585" w14:textId="77777777" w:rsidTr="00BA5E26">
        <w:trPr>
          <w:trHeight w:val="1475"/>
        </w:trPr>
        <w:tc>
          <w:tcPr>
            <w:cnfStyle w:val="001000000000" w:firstRow="0" w:lastRow="0" w:firstColumn="1" w:lastColumn="0" w:oddVBand="0" w:evenVBand="0" w:oddHBand="0" w:evenHBand="0" w:firstRowFirstColumn="0" w:firstRowLastColumn="0" w:lastRowFirstColumn="0" w:lastRowLastColumn="0"/>
            <w:tcW w:w="4675" w:type="dxa"/>
          </w:tcPr>
          <w:p w14:paraId="342AC1AB" w14:textId="43B8834C" w:rsidR="004F2ED4" w:rsidRPr="00BA5E26" w:rsidRDefault="004F2ED4" w:rsidP="00CD2A51">
            <w:pPr>
              <w:jc w:val="both"/>
              <w:rPr>
                <w:rFonts w:ascii="Arial" w:hAnsi="Arial" w:cs="Arial"/>
                <w:b w:val="0"/>
                <w:bCs w:val="0"/>
              </w:rPr>
            </w:pPr>
            <w:r w:rsidRPr="00BA5E26">
              <w:rPr>
                <w:rFonts w:ascii="Arial" w:hAnsi="Arial" w:cs="Arial"/>
                <w:b w:val="0"/>
                <w:bCs w:val="0"/>
              </w:rPr>
              <w:t>The increasing demand for healthier, plant-based, and sustainable food creates opportunities for further innovation in menus and expansion in the market (Lumina Intelligence, 2024).</w:t>
            </w:r>
          </w:p>
        </w:tc>
        <w:tc>
          <w:tcPr>
            <w:tcW w:w="4675" w:type="dxa"/>
          </w:tcPr>
          <w:p w14:paraId="67547F81" w14:textId="54C5356C" w:rsidR="004F2ED4" w:rsidRDefault="00F26DFB"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escalating requirements of the National Living Wage and the growing costs associated with employment exert significant pressure on the profitability of restaurants (UK Government, 2024). </w:t>
            </w:r>
          </w:p>
        </w:tc>
      </w:tr>
      <w:tr w:rsidR="004F2ED4" w14:paraId="5439350A" w14:textId="77777777" w:rsidTr="00BA5E26">
        <w:trPr>
          <w:cnfStyle w:val="000000100000" w:firstRow="0" w:lastRow="0" w:firstColumn="0" w:lastColumn="0" w:oddVBand="0" w:evenVBand="0" w:oddHBand="1" w:evenHBand="0" w:firstRowFirstColumn="0" w:firstRowLastColumn="0" w:lastRowFirstColumn="0" w:lastRowLastColumn="0"/>
          <w:trHeight w:val="1781"/>
        </w:trPr>
        <w:tc>
          <w:tcPr>
            <w:cnfStyle w:val="001000000000" w:firstRow="0" w:lastRow="0" w:firstColumn="1" w:lastColumn="0" w:oddVBand="0" w:evenVBand="0" w:oddHBand="0" w:evenHBand="0" w:firstRowFirstColumn="0" w:firstRowLastColumn="0" w:lastRowFirstColumn="0" w:lastRowLastColumn="0"/>
            <w:tcW w:w="4675" w:type="dxa"/>
          </w:tcPr>
          <w:p w14:paraId="06253A40" w14:textId="77945BF4" w:rsidR="004F2ED4" w:rsidRPr="00BA5E26" w:rsidRDefault="009A5D4D" w:rsidP="00CD2A51">
            <w:pPr>
              <w:jc w:val="both"/>
              <w:rPr>
                <w:rFonts w:ascii="Arial" w:hAnsi="Arial" w:cs="Arial"/>
                <w:b w:val="0"/>
                <w:bCs w:val="0"/>
              </w:rPr>
            </w:pPr>
            <w:r w:rsidRPr="00BA5E26">
              <w:rPr>
                <w:rFonts w:ascii="Arial" w:hAnsi="Arial" w:cs="Arial"/>
                <w:b w:val="0"/>
                <w:bCs w:val="0"/>
              </w:rPr>
              <w:lastRenderedPageBreak/>
              <w:t xml:space="preserve">The ongoing expansion of the </w:t>
            </w:r>
            <w:proofErr w:type="spellStart"/>
            <w:r w:rsidRPr="00BA5E26">
              <w:rPr>
                <w:rFonts w:ascii="Arial" w:hAnsi="Arial" w:cs="Arial"/>
                <w:b w:val="0"/>
                <w:bCs w:val="0"/>
              </w:rPr>
              <w:t>MyMcDonald’s</w:t>
            </w:r>
            <w:proofErr w:type="spellEnd"/>
            <w:r w:rsidRPr="00BA5E26">
              <w:rPr>
                <w:rFonts w:ascii="Arial" w:hAnsi="Arial" w:cs="Arial"/>
                <w:b w:val="0"/>
                <w:bCs w:val="0"/>
              </w:rPr>
              <w:t xml:space="preserve"> Reward program, along with a rise in app registrations, has the potential to enhance customer loyalty and encourage repeat purchases (McDonald’s UK, 2024). </w:t>
            </w:r>
          </w:p>
        </w:tc>
        <w:tc>
          <w:tcPr>
            <w:tcW w:w="4675" w:type="dxa"/>
          </w:tcPr>
          <w:p w14:paraId="5D384EF0" w14:textId="147DD16E" w:rsidR="004F2ED4" w:rsidRDefault="00F26DFB"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growing competition from emerging quick-service and fast-casual brands, especially on food delivery platforms, could potentially diminish market share (Statista, 2024). </w:t>
            </w:r>
          </w:p>
        </w:tc>
      </w:tr>
      <w:tr w:rsidR="004F2ED4" w14:paraId="094C0CA8" w14:textId="77777777" w:rsidTr="00BA5E26">
        <w:tc>
          <w:tcPr>
            <w:cnfStyle w:val="001000000000" w:firstRow="0" w:lastRow="0" w:firstColumn="1" w:lastColumn="0" w:oddVBand="0" w:evenVBand="0" w:oddHBand="0" w:evenHBand="0" w:firstRowFirstColumn="0" w:firstRowLastColumn="0" w:lastRowFirstColumn="0" w:lastRowLastColumn="0"/>
            <w:tcW w:w="4675" w:type="dxa"/>
          </w:tcPr>
          <w:p w14:paraId="31B49108" w14:textId="1C26BB0C" w:rsidR="004F2ED4" w:rsidRPr="00BA5E26" w:rsidRDefault="00F26DFB" w:rsidP="00CD2A51">
            <w:pPr>
              <w:jc w:val="both"/>
              <w:rPr>
                <w:rFonts w:ascii="Arial" w:hAnsi="Arial" w:cs="Arial"/>
                <w:b w:val="0"/>
                <w:bCs w:val="0"/>
              </w:rPr>
            </w:pPr>
            <w:r w:rsidRPr="00BA5E26">
              <w:rPr>
                <w:rFonts w:ascii="Arial" w:hAnsi="Arial" w:cs="Arial"/>
                <w:b w:val="0"/>
                <w:bCs w:val="0"/>
              </w:rPr>
              <w:t xml:space="preserve">Investing in smaller-format restaurants, digital platforms, and Net Zero restaurant designs </w:t>
            </w:r>
            <w:r w:rsidR="00BA5E26" w:rsidRPr="00BA5E26">
              <w:rPr>
                <w:rFonts w:ascii="Arial" w:hAnsi="Arial" w:cs="Arial"/>
                <w:b w:val="0"/>
                <w:bCs w:val="0"/>
              </w:rPr>
              <w:t>foster</w:t>
            </w:r>
            <w:r w:rsidRPr="00BA5E26">
              <w:rPr>
                <w:rFonts w:ascii="Arial" w:hAnsi="Arial" w:cs="Arial"/>
                <w:b w:val="0"/>
                <w:bCs w:val="0"/>
              </w:rPr>
              <w:t xml:space="preserve"> sustainable growth in the long run (McDonald’s UK, 2024). </w:t>
            </w:r>
          </w:p>
        </w:tc>
        <w:tc>
          <w:tcPr>
            <w:tcW w:w="4675" w:type="dxa"/>
          </w:tcPr>
          <w:p w14:paraId="772CB5EC" w14:textId="7E399A2A" w:rsidR="004F2ED4" w:rsidRDefault="00F26DFB"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Continuous disturbances impacting third-party delivery services, such as labor conflicts and operational shortcomings, could adversely affect delivery efficiency and customer contentment (Deloitte, 2024). </w:t>
            </w:r>
          </w:p>
        </w:tc>
      </w:tr>
    </w:tbl>
    <w:p w14:paraId="72AEAE35" w14:textId="77777777" w:rsidR="004F2ED4" w:rsidRDefault="004F2ED4" w:rsidP="00CD2A51">
      <w:pPr>
        <w:jc w:val="both"/>
        <w:rPr>
          <w:rFonts w:ascii="Arial" w:hAnsi="Arial" w:cs="Arial"/>
        </w:rPr>
      </w:pPr>
    </w:p>
    <w:p w14:paraId="4667814B" w14:textId="62A5352F" w:rsidR="00ED2FFA" w:rsidRDefault="00ED2FFA" w:rsidP="00CD2A51">
      <w:pPr>
        <w:jc w:val="both"/>
        <w:rPr>
          <w:rFonts w:ascii="Arial" w:hAnsi="Arial" w:cs="Arial"/>
          <w:b/>
          <w:bCs/>
          <w:sz w:val="28"/>
          <w:szCs w:val="28"/>
        </w:rPr>
      </w:pPr>
      <w:r w:rsidRPr="00ED2FFA">
        <w:rPr>
          <w:rFonts w:ascii="Arial" w:hAnsi="Arial" w:cs="Arial"/>
          <w:b/>
          <w:bCs/>
          <w:sz w:val="28"/>
          <w:szCs w:val="28"/>
        </w:rPr>
        <w:t xml:space="preserve">3. Internal Analysis (VRIO Framework)  </w:t>
      </w:r>
    </w:p>
    <w:p w14:paraId="25058762" w14:textId="72797D32" w:rsidR="005F6E92" w:rsidRDefault="00ED2FFA" w:rsidP="00CD2A51">
      <w:pPr>
        <w:jc w:val="both"/>
        <w:rPr>
          <w:rFonts w:ascii="Arial" w:hAnsi="Arial" w:cs="Arial"/>
        </w:rPr>
      </w:pPr>
      <w:r>
        <w:rPr>
          <w:rFonts w:ascii="Arial" w:hAnsi="Arial" w:cs="Arial"/>
        </w:rPr>
        <w:t xml:space="preserve">The VRIO framework, introduced by Barney (1991), assesses if an organization’s resources and capabilities are Valuable, Rare, Inimitable, and Organized, thereby determining their potential to generate a sustainable competitive advantage. When the VRIO framework is applied to McDonald’s UK, it reveals various strategic resources that enhance its enduring competitive stance in the UK Quick Service Restaurant (QSR) sector. </w:t>
      </w:r>
    </w:p>
    <w:p w14:paraId="2DA560CE" w14:textId="77777777" w:rsidR="0066108B" w:rsidRPr="00ED2FFA" w:rsidRDefault="0066108B" w:rsidP="00CD2A51">
      <w:pPr>
        <w:jc w:val="both"/>
        <w:rPr>
          <w:rFonts w:ascii="Arial" w:hAnsi="Arial" w:cs="Arial"/>
        </w:rPr>
      </w:pPr>
    </w:p>
    <w:tbl>
      <w:tblPr>
        <w:tblStyle w:val="GridTable4"/>
        <w:tblW w:w="0" w:type="auto"/>
        <w:tblLook w:val="04A0" w:firstRow="1" w:lastRow="0" w:firstColumn="1" w:lastColumn="0" w:noHBand="0" w:noVBand="1"/>
      </w:tblPr>
      <w:tblGrid>
        <w:gridCol w:w="2524"/>
        <w:gridCol w:w="1324"/>
        <w:gridCol w:w="1044"/>
        <w:gridCol w:w="1417"/>
        <w:gridCol w:w="1451"/>
        <w:gridCol w:w="1590"/>
      </w:tblGrid>
      <w:tr w:rsidR="00626957" w14:paraId="3CCFC9A3" w14:textId="77777777" w:rsidTr="006610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4" w:type="dxa"/>
          </w:tcPr>
          <w:p w14:paraId="0D366F5A" w14:textId="2B8FD7E1" w:rsidR="00626957" w:rsidRPr="009A67FC" w:rsidRDefault="00626957" w:rsidP="00CD2A51">
            <w:pPr>
              <w:jc w:val="both"/>
              <w:rPr>
                <w:rFonts w:ascii="Arial" w:hAnsi="Arial" w:cs="Arial"/>
              </w:rPr>
            </w:pPr>
            <w:r w:rsidRPr="009A67FC">
              <w:rPr>
                <w:rFonts w:ascii="Arial" w:hAnsi="Arial" w:cs="Arial"/>
              </w:rPr>
              <w:t>Re</w:t>
            </w:r>
            <w:r w:rsidR="0046759A" w:rsidRPr="009A67FC">
              <w:rPr>
                <w:rFonts w:ascii="Arial" w:hAnsi="Arial" w:cs="Arial"/>
              </w:rPr>
              <w:t>source/Capability</w:t>
            </w:r>
          </w:p>
        </w:tc>
        <w:tc>
          <w:tcPr>
            <w:tcW w:w="1324" w:type="dxa"/>
          </w:tcPr>
          <w:p w14:paraId="7C5A7F92" w14:textId="0B62ADDA" w:rsidR="00626957" w:rsidRPr="009A67FC" w:rsidRDefault="0046759A"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A67FC">
              <w:rPr>
                <w:rFonts w:ascii="Arial" w:hAnsi="Arial" w:cs="Arial"/>
              </w:rPr>
              <w:t>Valuable</w:t>
            </w:r>
          </w:p>
        </w:tc>
        <w:tc>
          <w:tcPr>
            <w:tcW w:w="1044" w:type="dxa"/>
          </w:tcPr>
          <w:p w14:paraId="36DD06DD" w14:textId="0CD42E29" w:rsidR="00626957" w:rsidRPr="009A67FC" w:rsidRDefault="0046759A"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A67FC">
              <w:rPr>
                <w:rFonts w:ascii="Arial" w:hAnsi="Arial" w:cs="Arial"/>
              </w:rPr>
              <w:t xml:space="preserve">Rare </w:t>
            </w:r>
          </w:p>
        </w:tc>
        <w:tc>
          <w:tcPr>
            <w:tcW w:w="1417" w:type="dxa"/>
          </w:tcPr>
          <w:p w14:paraId="585D2BD1" w14:textId="7919D681" w:rsidR="00626957" w:rsidRPr="009A67FC" w:rsidRDefault="0046759A"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A67FC">
              <w:rPr>
                <w:rFonts w:ascii="Arial" w:hAnsi="Arial" w:cs="Arial"/>
              </w:rPr>
              <w:t xml:space="preserve">Inimitable </w:t>
            </w:r>
          </w:p>
        </w:tc>
        <w:tc>
          <w:tcPr>
            <w:tcW w:w="1451" w:type="dxa"/>
          </w:tcPr>
          <w:p w14:paraId="0966E179" w14:textId="75D3D283" w:rsidR="00626957" w:rsidRPr="009A67FC" w:rsidRDefault="0046759A"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A67FC">
              <w:rPr>
                <w:rFonts w:ascii="Arial" w:hAnsi="Arial" w:cs="Arial"/>
              </w:rPr>
              <w:t>Organized</w:t>
            </w:r>
          </w:p>
        </w:tc>
        <w:tc>
          <w:tcPr>
            <w:tcW w:w="1590" w:type="dxa"/>
          </w:tcPr>
          <w:p w14:paraId="4AE48BB0" w14:textId="281FF92E" w:rsidR="00626957" w:rsidRPr="009A67FC" w:rsidRDefault="0046759A"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A67FC">
              <w:rPr>
                <w:rFonts w:ascii="Arial" w:hAnsi="Arial" w:cs="Arial"/>
              </w:rPr>
              <w:t>Competitive Position</w:t>
            </w:r>
          </w:p>
        </w:tc>
      </w:tr>
      <w:tr w:rsidR="00626957" w14:paraId="2C46BA94" w14:textId="77777777" w:rsidTr="00661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4" w:type="dxa"/>
          </w:tcPr>
          <w:p w14:paraId="0A773EDF" w14:textId="721B50E9" w:rsidR="00626957" w:rsidRPr="009A67FC" w:rsidRDefault="0046759A" w:rsidP="00CD2A51">
            <w:pPr>
              <w:jc w:val="both"/>
              <w:rPr>
                <w:rFonts w:ascii="Arial" w:hAnsi="Arial" w:cs="Arial"/>
                <w:b w:val="0"/>
                <w:bCs w:val="0"/>
              </w:rPr>
            </w:pPr>
            <w:r w:rsidRPr="009A67FC">
              <w:rPr>
                <w:rFonts w:ascii="Arial" w:hAnsi="Arial" w:cs="Arial"/>
                <w:b w:val="0"/>
                <w:bCs w:val="0"/>
              </w:rPr>
              <w:t>Prime Real Estate Portfolio</w:t>
            </w:r>
          </w:p>
        </w:tc>
        <w:tc>
          <w:tcPr>
            <w:tcW w:w="1324" w:type="dxa"/>
          </w:tcPr>
          <w:p w14:paraId="1BB39D86" w14:textId="2924287A"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044" w:type="dxa"/>
          </w:tcPr>
          <w:p w14:paraId="54AECD1C" w14:textId="5E0DC64A"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417" w:type="dxa"/>
          </w:tcPr>
          <w:p w14:paraId="50FF8430" w14:textId="2E3A2932"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451" w:type="dxa"/>
          </w:tcPr>
          <w:p w14:paraId="757EF72E" w14:textId="46737186"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590" w:type="dxa"/>
          </w:tcPr>
          <w:p w14:paraId="22DDA66F" w14:textId="26FA6E99" w:rsidR="00626957" w:rsidRDefault="009A67FC"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Sustainable Competitive Advantage  </w:t>
            </w:r>
          </w:p>
        </w:tc>
      </w:tr>
      <w:tr w:rsidR="00626957" w14:paraId="14ABA2BD" w14:textId="77777777" w:rsidTr="0066108B">
        <w:tc>
          <w:tcPr>
            <w:cnfStyle w:val="001000000000" w:firstRow="0" w:lastRow="0" w:firstColumn="1" w:lastColumn="0" w:oddVBand="0" w:evenVBand="0" w:oddHBand="0" w:evenHBand="0" w:firstRowFirstColumn="0" w:firstRowLastColumn="0" w:lastRowFirstColumn="0" w:lastRowLastColumn="0"/>
            <w:tcW w:w="2524" w:type="dxa"/>
          </w:tcPr>
          <w:p w14:paraId="307099D5" w14:textId="35748BF3" w:rsidR="00626957" w:rsidRPr="009A67FC" w:rsidRDefault="0046759A" w:rsidP="00CD2A51">
            <w:pPr>
              <w:jc w:val="both"/>
              <w:rPr>
                <w:rFonts w:ascii="Arial" w:hAnsi="Arial" w:cs="Arial"/>
                <w:b w:val="0"/>
                <w:bCs w:val="0"/>
              </w:rPr>
            </w:pPr>
            <w:r w:rsidRPr="009A67FC">
              <w:rPr>
                <w:rFonts w:ascii="Arial" w:hAnsi="Arial" w:cs="Arial"/>
                <w:b w:val="0"/>
                <w:bCs w:val="0"/>
              </w:rPr>
              <w:t>Digital Ecosystem (4Ds Strategy)</w:t>
            </w:r>
          </w:p>
        </w:tc>
        <w:tc>
          <w:tcPr>
            <w:tcW w:w="1324" w:type="dxa"/>
          </w:tcPr>
          <w:p w14:paraId="6ACA4097" w14:textId="1B636519"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Yes</w:t>
            </w:r>
          </w:p>
        </w:tc>
        <w:tc>
          <w:tcPr>
            <w:tcW w:w="1044" w:type="dxa"/>
          </w:tcPr>
          <w:p w14:paraId="6C1CD43E" w14:textId="01EFE6AF"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1417" w:type="dxa"/>
          </w:tcPr>
          <w:p w14:paraId="2907443D" w14:textId="45D56A8C"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1451" w:type="dxa"/>
          </w:tcPr>
          <w:p w14:paraId="16D1996D" w14:textId="699BC70F"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Yes</w:t>
            </w:r>
          </w:p>
        </w:tc>
        <w:tc>
          <w:tcPr>
            <w:tcW w:w="1590" w:type="dxa"/>
          </w:tcPr>
          <w:p w14:paraId="01F7A618" w14:textId="4B607C98" w:rsidR="00626957" w:rsidRDefault="009A67FC"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Competitive Parity</w:t>
            </w:r>
          </w:p>
        </w:tc>
      </w:tr>
      <w:tr w:rsidR="00626957" w14:paraId="5B367F04" w14:textId="77777777" w:rsidTr="00661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4" w:type="dxa"/>
          </w:tcPr>
          <w:p w14:paraId="178EF319" w14:textId="78982D63" w:rsidR="00626957" w:rsidRPr="009A67FC" w:rsidRDefault="0046759A" w:rsidP="00CD2A51">
            <w:pPr>
              <w:jc w:val="both"/>
              <w:rPr>
                <w:rFonts w:ascii="Arial" w:hAnsi="Arial" w:cs="Arial"/>
                <w:b w:val="0"/>
                <w:bCs w:val="0"/>
              </w:rPr>
            </w:pPr>
            <w:r w:rsidRPr="009A67FC">
              <w:rPr>
                <w:rFonts w:ascii="Arial" w:hAnsi="Arial" w:cs="Arial"/>
                <w:b w:val="0"/>
                <w:bCs w:val="0"/>
              </w:rPr>
              <w:t xml:space="preserve">“Three-Legged Stool” Business Model </w:t>
            </w:r>
          </w:p>
        </w:tc>
        <w:tc>
          <w:tcPr>
            <w:tcW w:w="1324" w:type="dxa"/>
          </w:tcPr>
          <w:p w14:paraId="6210C6AB" w14:textId="27D58EAD"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044" w:type="dxa"/>
          </w:tcPr>
          <w:p w14:paraId="38A27DFD" w14:textId="21864A70"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417" w:type="dxa"/>
          </w:tcPr>
          <w:p w14:paraId="4CC83404" w14:textId="143E7612"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451" w:type="dxa"/>
          </w:tcPr>
          <w:p w14:paraId="378066E1" w14:textId="1F9426C6" w:rsidR="00626957" w:rsidRDefault="0046759A"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1590" w:type="dxa"/>
          </w:tcPr>
          <w:p w14:paraId="53F78F04" w14:textId="25A78A63" w:rsidR="00626957" w:rsidRDefault="009A67FC"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Sustainable Competitive Advantage </w:t>
            </w:r>
          </w:p>
        </w:tc>
      </w:tr>
      <w:tr w:rsidR="00626957" w14:paraId="09AC9F30" w14:textId="77777777" w:rsidTr="0066108B">
        <w:tc>
          <w:tcPr>
            <w:cnfStyle w:val="001000000000" w:firstRow="0" w:lastRow="0" w:firstColumn="1" w:lastColumn="0" w:oddVBand="0" w:evenVBand="0" w:oddHBand="0" w:evenHBand="0" w:firstRowFirstColumn="0" w:firstRowLastColumn="0" w:lastRowFirstColumn="0" w:lastRowLastColumn="0"/>
            <w:tcW w:w="2524" w:type="dxa"/>
          </w:tcPr>
          <w:p w14:paraId="54B3B23D" w14:textId="7C0D6CF4" w:rsidR="00626957" w:rsidRPr="009A67FC" w:rsidRDefault="0046759A" w:rsidP="00CD2A51">
            <w:pPr>
              <w:jc w:val="both"/>
              <w:rPr>
                <w:rFonts w:ascii="Arial" w:hAnsi="Arial" w:cs="Arial"/>
                <w:b w:val="0"/>
                <w:bCs w:val="0"/>
              </w:rPr>
            </w:pPr>
            <w:r w:rsidRPr="009A67FC">
              <w:rPr>
                <w:rFonts w:ascii="Arial" w:hAnsi="Arial" w:cs="Arial"/>
                <w:b w:val="0"/>
                <w:bCs w:val="0"/>
              </w:rPr>
              <w:t>Supply Chain Resilience</w:t>
            </w:r>
          </w:p>
        </w:tc>
        <w:tc>
          <w:tcPr>
            <w:tcW w:w="1324" w:type="dxa"/>
          </w:tcPr>
          <w:p w14:paraId="0CC9BCAF" w14:textId="7DFB192E"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Yes</w:t>
            </w:r>
          </w:p>
        </w:tc>
        <w:tc>
          <w:tcPr>
            <w:tcW w:w="1044" w:type="dxa"/>
          </w:tcPr>
          <w:p w14:paraId="325835FB" w14:textId="0CA7612F"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Yes</w:t>
            </w:r>
          </w:p>
        </w:tc>
        <w:tc>
          <w:tcPr>
            <w:tcW w:w="1417" w:type="dxa"/>
          </w:tcPr>
          <w:p w14:paraId="7D1B9EB2" w14:textId="1184517A"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1451" w:type="dxa"/>
          </w:tcPr>
          <w:p w14:paraId="27A3FB91" w14:textId="4896FB8E" w:rsidR="00626957" w:rsidRDefault="0046759A"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Yes</w:t>
            </w:r>
          </w:p>
        </w:tc>
        <w:tc>
          <w:tcPr>
            <w:tcW w:w="1590" w:type="dxa"/>
          </w:tcPr>
          <w:p w14:paraId="58F6A88A" w14:textId="7C8B203F" w:rsidR="009A67FC" w:rsidRDefault="009A67FC"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Temporary Competitive Advantage</w:t>
            </w:r>
          </w:p>
        </w:tc>
      </w:tr>
    </w:tbl>
    <w:p w14:paraId="5CD14B67" w14:textId="6A8266B5" w:rsidR="00ED2FFA" w:rsidRDefault="00ED2FFA" w:rsidP="00CD2A51">
      <w:pPr>
        <w:jc w:val="both"/>
        <w:rPr>
          <w:rFonts w:ascii="Arial" w:hAnsi="Arial" w:cs="Arial"/>
        </w:rPr>
      </w:pPr>
    </w:p>
    <w:p w14:paraId="73A0D29D" w14:textId="77777777" w:rsidR="009D063A" w:rsidRDefault="009D063A" w:rsidP="00CD2A51">
      <w:pPr>
        <w:jc w:val="both"/>
        <w:rPr>
          <w:rFonts w:ascii="Arial" w:hAnsi="Arial" w:cs="Arial"/>
          <w:b/>
          <w:bCs/>
          <w:i/>
          <w:iCs/>
          <w:u w:val="single"/>
        </w:rPr>
      </w:pPr>
      <w:r w:rsidRPr="009D063A">
        <w:rPr>
          <w:rFonts w:ascii="Arial" w:hAnsi="Arial" w:cs="Arial"/>
          <w:b/>
          <w:bCs/>
          <w:i/>
          <w:iCs/>
          <w:u w:val="single"/>
        </w:rPr>
        <w:t>3.1 Valuable Resources</w:t>
      </w:r>
    </w:p>
    <w:p w14:paraId="6C45B04C" w14:textId="0AF126BB" w:rsidR="001C6497" w:rsidRDefault="00392104" w:rsidP="00CD2A51">
      <w:pPr>
        <w:jc w:val="both"/>
        <w:rPr>
          <w:rFonts w:ascii="Arial" w:hAnsi="Arial" w:cs="Arial"/>
        </w:rPr>
      </w:pPr>
      <w:r w:rsidRPr="004669C2">
        <w:rPr>
          <w:rFonts w:ascii="Arial" w:hAnsi="Arial" w:cs="Arial"/>
          <w:b/>
          <w:bCs/>
        </w:rPr>
        <w:t>Prime Real Estate Portfolio:</w:t>
      </w:r>
      <w:r>
        <w:rPr>
          <w:rFonts w:ascii="Arial" w:hAnsi="Arial" w:cs="Arial"/>
        </w:rPr>
        <w:t xml:space="preserve"> Ownership of freehold properties &amp; long-term leases with high foot traffic ensure steady rental income, franchise royalties, and consistent customer visits (Barney, 1991; Love, 1995; McDonald’s UK, 2024). </w:t>
      </w:r>
    </w:p>
    <w:p w14:paraId="7DF961DE" w14:textId="180141D2" w:rsidR="00392104" w:rsidRDefault="00392104" w:rsidP="00CD2A51">
      <w:pPr>
        <w:jc w:val="both"/>
        <w:rPr>
          <w:rFonts w:ascii="Arial" w:hAnsi="Arial" w:cs="Arial"/>
        </w:rPr>
      </w:pPr>
      <w:r w:rsidRPr="004669C2">
        <w:rPr>
          <w:rFonts w:ascii="Arial" w:hAnsi="Arial" w:cs="Arial"/>
          <w:b/>
          <w:bCs/>
        </w:rPr>
        <w:lastRenderedPageBreak/>
        <w:t>Digital Ecosystem:</w:t>
      </w:r>
      <w:r>
        <w:rPr>
          <w:rFonts w:ascii="Arial" w:hAnsi="Arial" w:cs="Arial"/>
        </w:rPr>
        <w:t xml:space="preserve"> The addition of over 11 million app registrations (6 million in 2023; 5 million in 2024) enhances personalized marketing, boosts customer retention, and increases purchase frequency (Kumar &amp; Reinartz, 2016; McDonald’s UK, 2024). </w:t>
      </w:r>
    </w:p>
    <w:p w14:paraId="4B4699FE" w14:textId="77777777" w:rsidR="004669C2" w:rsidRDefault="004669C2" w:rsidP="00CD2A51">
      <w:pPr>
        <w:jc w:val="both"/>
        <w:rPr>
          <w:rFonts w:ascii="Arial" w:hAnsi="Arial" w:cs="Arial"/>
        </w:rPr>
      </w:pPr>
    </w:p>
    <w:p w14:paraId="2B7C9F4A" w14:textId="77777777" w:rsidR="001C6497" w:rsidRDefault="001C6497" w:rsidP="00CD2A51">
      <w:pPr>
        <w:jc w:val="both"/>
        <w:rPr>
          <w:rFonts w:ascii="Arial" w:hAnsi="Arial" w:cs="Arial"/>
        </w:rPr>
      </w:pPr>
    </w:p>
    <w:p w14:paraId="2C3A4ABD" w14:textId="77777777" w:rsidR="001C6497" w:rsidRDefault="001C6497" w:rsidP="00CD2A51">
      <w:pPr>
        <w:jc w:val="both"/>
        <w:rPr>
          <w:rFonts w:ascii="Arial" w:hAnsi="Arial" w:cs="Arial"/>
        </w:rPr>
      </w:pPr>
      <w:r w:rsidRPr="001C6497">
        <w:rPr>
          <w:rFonts w:ascii="Arial" w:hAnsi="Arial" w:cs="Arial"/>
          <w:b/>
          <w:bCs/>
          <w:i/>
          <w:iCs/>
          <w:u w:val="single"/>
        </w:rPr>
        <w:t>3.2 Rare Resources</w:t>
      </w:r>
    </w:p>
    <w:p w14:paraId="284CBF9A" w14:textId="77B6F7F1" w:rsidR="003C1722" w:rsidRDefault="004669C2" w:rsidP="00CD2A51">
      <w:pPr>
        <w:jc w:val="both"/>
        <w:rPr>
          <w:rFonts w:ascii="Arial" w:hAnsi="Arial" w:cs="Arial"/>
        </w:rPr>
      </w:pPr>
      <w:proofErr w:type="gramStart"/>
      <w:r w:rsidRPr="004669C2">
        <w:rPr>
          <w:rFonts w:ascii="Arial" w:hAnsi="Arial" w:cs="Arial"/>
          <w:b/>
          <w:bCs/>
        </w:rPr>
        <w:t>“Three-Legged Stool” Model</w:t>
      </w:r>
      <w:proofErr w:type="gramEnd"/>
      <w:r w:rsidRPr="004669C2">
        <w:rPr>
          <w:rFonts w:ascii="Arial" w:hAnsi="Arial" w:cs="Arial"/>
          <w:b/>
          <w:bCs/>
        </w:rPr>
        <w:t>:</w:t>
      </w:r>
      <w:r>
        <w:rPr>
          <w:rFonts w:ascii="Arial" w:hAnsi="Arial" w:cs="Arial"/>
        </w:rPr>
        <w:t xml:space="preserve"> Strategic alignment among corporate staff, independent franchisees (who manage 89% of UK locations), and suppliers ensures consistent quality while allowing for local flexibility (Love, 1995;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 McDonald’s UK, 2024). </w:t>
      </w:r>
    </w:p>
    <w:p w14:paraId="7FE92981" w14:textId="763317CE" w:rsidR="004669C2" w:rsidRDefault="004669C2" w:rsidP="00CD2A51">
      <w:pPr>
        <w:jc w:val="both"/>
        <w:rPr>
          <w:rFonts w:ascii="Arial" w:hAnsi="Arial" w:cs="Arial"/>
        </w:rPr>
      </w:pPr>
      <w:r w:rsidRPr="004669C2">
        <w:rPr>
          <w:rFonts w:ascii="Arial" w:hAnsi="Arial" w:cs="Arial"/>
          <w:b/>
          <w:bCs/>
        </w:rPr>
        <w:t>Plant-Based Leadership:</w:t>
      </w:r>
      <w:r>
        <w:rPr>
          <w:rFonts w:ascii="Arial" w:hAnsi="Arial" w:cs="Arial"/>
        </w:rPr>
        <w:t xml:space="preserve"> Being a first mover in the UK plant-based </w:t>
      </w:r>
      <w:proofErr w:type="gramStart"/>
      <w:r>
        <w:rPr>
          <w:rFonts w:ascii="Arial" w:hAnsi="Arial" w:cs="Arial"/>
        </w:rPr>
        <w:t>fast food</w:t>
      </w:r>
      <w:proofErr w:type="gramEnd"/>
      <w:r>
        <w:rPr>
          <w:rFonts w:ascii="Arial" w:hAnsi="Arial" w:cs="Arial"/>
        </w:rPr>
        <w:t xml:space="preserve"> sector offers a competitive edge among health-focused &amp; environmentally conscious consumers (Carroll, 1991; </w:t>
      </w:r>
      <w:proofErr w:type="spellStart"/>
      <w:r>
        <w:rPr>
          <w:rFonts w:ascii="Arial" w:hAnsi="Arial" w:cs="Arial"/>
        </w:rPr>
        <w:t>Groth</w:t>
      </w:r>
      <w:proofErr w:type="spellEnd"/>
      <w:r>
        <w:rPr>
          <w:rFonts w:ascii="Arial" w:hAnsi="Arial" w:cs="Arial"/>
        </w:rPr>
        <w:t xml:space="preserve">, 2025; Lumina Intelligence, 2024). </w:t>
      </w:r>
    </w:p>
    <w:p w14:paraId="23496ABD" w14:textId="77777777" w:rsidR="004669C2" w:rsidRDefault="004669C2" w:rsidP="00CD2A51">
      <w:pPr>
        <w:jc w:val="both"/>
        <w:rPr>
          <w:rFonts w:ascii="Arial" w:hAnsi="Arial" w:cs="Arial"/>
        </w:rPr>
      </w:pPr>
    </w:p>
    <w:p w14:paraId="16A30F1F" w14:textId="77777777" w:rsidR="003C1722" w:rsidRDefault="003C1722" w:rsidP="00CD2A51">
      <w:pPr>
        <w:jc w:val="both"/>
        <w:rPr>
          <w:rFonts w:ascii="Arial" w:hAnsi="Arial" w:cs="Arial"/>
        </w:rPr>
      </w:pPr>
    </w:p>
    <w:p w14:paraId="0795D784" w14:textId="77777777" w:rsidR="003C1722" w:rsidRDefault="003C1722" w:rsidP="00CD2A51">
      <w:pPr>
        <w:jc w:val="both"/>
        <w:rPr>
          <w:rFonts w:ascii="Arial" w:hAnsi="Arial" w:cs="Arial"/>
        </w:rPr>
      </w:pPr>
      <w:r w:rsidRPr="003C1722">
        <w:rPr>
          <w:rFonts w:ascii="Arial" w:hAnsi="Arial" w:cs="Arial"/>
          <w:b/>
          <w:bCs/>
          <w:i/>
          <w:iCs/>
          <w:u w:val="single"/>
        </w:rPr>
        <w:t>3.3 Inimitable Resources</w:t>
      </w:r>
    </w:p>
    <w:p w14:paraId="2311372D" w14:textId="01D79662" w:rsidR="00E625FD" w:rsidRDefault="004669C2" w:rsidP="00CD2A51">
      <w:pPr>
        <w:jc w:val="both"/>
        <w:rPr>
          <w:rFonts w:ascii="Arial" w:hAnsi="Arial" w:cs="Arial"/>
        </w:rPr>
      </w:pPr>
      <w:r w:rsidRPr="00A448E8">
        <w:rPr>
          <w:rFonts w:ascii="Arial" w:hAnsi="Arial" w:cs="Arial"/>
          <w:b/>
          <w:bCs/>
        </w:rPr>
        <w:t>Relational Supply Network:</w:t>
      </w:r>
      <w:r>
        <w:rPr>
          <w:rFonts w:ascii="Arial" w:hAnsi="Arial" w:cs="Arial"/>
        </w:rPr>
        <w:t xml:space="preserve"> Long-standing collaborations with over 23,000 farmers from Britain &amp; Ireland, many lasting over 40 years, establish a socially intricate &amp; unique supply chain that underpins the Plan for Change (Barney, 1991;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 McDonald’s UK, 2024). </w:t>
      </w:r>
    </w:p>
    <w:p w14:paraId="4AE3B581" w14:textId="1C9A080B" w:rsidR="00A448E8" w:rsidRDefault="00A448E8" w:rsidP="00CD2A51">
      <w:pPr>
        <w:jc w:val="both"/>
        <w:rPr>
          <w:rFonts w:ascii="Arial" w:hAnsi="Arial" w:cs="Arial"/>
        </w:rPr>
      </w:pPr>
      <w:r w:rsidRPr="00A448E8">
        <w:rPr>
          <w:rFonts w:ascii="Arial" w:hAnsi="Arial" w:cs="Arial"/>
          <w:b/>
          <w:bCs/>
        </w:rPr>
        <w:t>Matrix Governance:</w:t>
      </w:r>
      <w:r>
        <w:rPr>
          <w:rFonts w:ascii="Arial" w:hAnsi="Arial" w:cs="Arial"/>
        </w:rPr>
        <w:t xml:space="preserve"> A dual-structure approach ensures a balance between global operational uniformity &amp; adherence to UK regulations, while also allowing for local adaptability (Johnson, Scholes &amp; Whittington, 2008; McDonald’s Corporation, 2024). </w:t>
      </w:r>
    </w:p>
    <w:p w14:paraId="1C9D1B41" w14:textId="77777777" w:rsidR="00E625FD" w:rsidRDefault="00E625FD" w:rsidP="00CD2A51">
      <w:pPr>
        <w:jc w:val="both"/>
        <w:rPr>
          <w:rFonts w:ascii="Arial" w:hAnsi="Arial" w:cs="Arial"/>
        </w:rPr>
      </w:pPr>
    </w:p>
    <w:p w14:paraId="26A9F5E8" w14:textId="77777777" w:rsidR="0060626A" w:rsidRDefault="0060626A" w:rsidP="00CD2A51">
      <w:pPr>
        <w:jc w:val="both"/>
        <w:rPr>
          <w:rFonts w:ascii="Arial" w:hAnsi="Arial" w:cs="Arial"/>
        </w:rPr>
      </w:pPr>
      <w:r w:rsidRPr="0060626A">
        <w:rPr>
          <w:rFonts w:ascii="Arial" w:hAnsi="Arial" w:cs="Arial"/>
          <w:b/>
          <w:bCs/>
          <w:i/>
          <w:iCs/>
          <w:u w:val="single"/>
        </w:rPr>
        <w:t xml:space="preserve">3.4 Organizations Capabilities </w:t>
      </w:r>
      <w:r w:rsidR="003C1722" w:rsidRPr="0060626A">
        <w:rPr>
          <w:rFonts w:ascii="Arial" w:hAnsi="Arial" w:cs="Arial"/>
          <w:b/>
          <w:bCs/>
          <w:i/>
          <w:iCs/>
          <w:u w:val="single"/>
        </w:rPr>
        <w:t xml:space="preserve"> </w:t>
      </w:r>
      <w:r w:rsidR="001C6497" w:rsidRPr="0060626A">
        <w:rPr>
          <w:rFonts w:ascii="Arial" w:hAnsi="Arial" w:cs="Arial"/>
          <w:b/>
          <w:bCs/>
          <w:i/>
          <w:iCs/>
          <w:u w:val="single"/>
        </w:rPr>
        <w:t xml:space="preserve"> </w:t>
      </w:r>
      <w:r w:rsidR="008310F4" w:rsidRPr="0060626A">
        <w:rPr>
          <w:rFonts w:ascii="Arial" w:hAnsi="Arial" w:cs="Arial"/>
          <w:b/>
          <w:bCs/>
          <w:i/>
          <w:iCs/>
          <w:u w:val="single"/>
        </w:rPr>
        <w:t xml:space="preserve"> </w:t>
      </w:r>
    </w:p>
    <w:p w14:paraId="7861F70D" w14:textId="1FE75BE8" w:rsidR="009D063A" w:rsidRDefault="00A448E8" w:rsidP="00CD2A51">
      <w:pPr>
        <w:jc w:val="both"/>
        <w:rPr>
          <w:rFonts w:ascii="Arial" w:hAnsi="Arial" w:cs="Arial"/>
        </w:rPr>
      </w:pPr>
      <w:r w:rsidRPr="00D67D40">
        <w:rPr>
          <w:rFonts w:ascii="Arial" w:hAnsi="Arial" w:cs="Arial"/>
          <w:b/>
          <w:bCs/>
        </w:rPr>
        <w:t>Growth Drivers (“4Ds”):</w:t>
      </w:r>
      <w:r>
        <w:rPr>
          <w:rFonts w:ascii="Arial" w:hAnsi="Arial" w:cs="Arial"/>
        </w:rPr>
        <w:t xml:space="preserve"> The successful implementation of Digital, Delivery, Drive-Thru, &amp; Development enhances customer throughput (Gilbert, 2022; McDonald’s Corporation, 2024). </w:t>
      </w:r>
    </w:p>
    <w:p w14:paraId="4AE4043D" w14:textId="65C6ED20" w:rsidR="00A448E8" w:rsidRDefault="00A448E8" w:rsidP="00CD2A51">
      <w:pPr>
        <w:jc w:val="both"/>
        <w:rPr>
          <w:rFonts w:ascii="Arial" w:hAnsi="Arial" w:cs="Arial"/>
        </w:rPr>
      </w:pPr>
      <w:r w:rsidRPr="00D67D40">
        <w:rPr>
          <w:rFonts w:ascii="Arial" w:hAnsi="Arial" w:cs="Arial"/>
          <w:b/>
          <w:bCs/>
        </w:rPr>
        <w:t>Digital &amp; AI Integration:</w:t>
      </w:r>
      <w:r>
        <w:rPr>
          <w:rFonts w:ascii="Arial" w:hAnsi="Arial" w:cs="Arial"/>
        </w:rPr>
        <w:t xml:space="preserve"> Investments in predictive AI, digital ordering, and data analytics improve inventory management, workforce scheduling, and waste reduction (Porter, 1985; AP Capital Research, 2025). </w:t>
      </w:r>
    </w:p>
    <w:p w14:paraId="7D3EC969" w14:textId="481891B7" w:rsidR="00F96450" w:rsidRDefault="00F96450" w:rsidP="00CD2A51">
      <w:pPr>
        <w:jc w:val="both"/>
        <w:rPr>
          <w:rFonts w:ascii="Arial" w:hAnsi="Arial" w:cs="Arial"/>
        </w:rPr>
      </w:pPr>
      <w:r w:rsidRPr="00D67D40">
        <w:rPr>
          <w:rFonts w:ascii="Arial" w:hAnsi="Arial" w:cs="Arial"/>
          <w:b/>
          <w:bCs/>
        </w:rPr>
        <w:lastRenderedPageBreak/>
        <w:t>Governance Framework:</w:t>
      </w:r>
      <w:r>
        <w:rPr>
          <w:rFonts w:ascii="Arial" w:hAnsi="Arial" w:cs="Arial"/>
        </w:rPr>
        <w:t xml:space="preserve"> Compliance with the Wastes Corporate Governance Principles guarantees risk management &amp; accountability within the franchise network (Financial Reporting Council, 2023). </w:t>
      </w:r>
    </w:p>
    <w:p w14:paraId="57D3FA89" w14:textId="77777777" w:rsidR="00333A59" w:rsidRDefault="00333A59" w:rsidP="00CD2A51">
      <w:pPr>
        <w:jc w:val="both"/>
        <w:rPr>
          <w:rFonts w:ascii="Arial" w:hAnsi="Arial" w:cs="Arial"/>
        </w:rPr>
      </w:pPr>
    </w:p>
    <w:p w14:paraId="006C0CB0" w14:textId="2EEA2BBE" w:rsidR="00B16EEE" w:rsidRDefault="00B16EEE" w:rsidP="00CD2A51">
      <w:pPr>
        <w:jc w:val="both"/>
        <w:rPr>
          <w:rFonts w:ascii="Arial" w:hAnsi="Arial" w:cs="Arial"/>
          <w:b/>
          <w:bCs/>
          <w:i/>
          <w:iCs/>
          <w:u w:val="single"/>
        </w:rPr>
      </w:pPr>
      <w:r w:rsidRPr="00B16EEE">
        <w:rPr>
          <w:rFonts w:ascii="Arial" w:hAnsi="Arial" w:cs="Arial"/>
          <w:b/>
          <w:bCs/>
          <w:i/>
          <w:iCs/>
          <w:u w:val="single"/>
        </w:rPr>
        <w:t>3.5 Internal Strengths and Weaknesses</w:t>
      </w:r>
    </w:p>
    <w:p w14:paraId="0C0014DC" w14:textId="25F853EC" w:rsidR="0014075F" w:rsidRDefault="00B16EEE" w:rsidP="00CD2A51">
      <w:pPr>
        <w:jc w:val="both"/>
        <w:rPr>
          <w:rFonts w:ascii="Arial" w:hAnsi="Arial" w:cs="Arial"/>
        </w:rPr>
      </w:pPr>
      <w:r>
        <w:rPr>
          <w:rFonts w:ascii="Arial" w:hAnsi="Arial" w:cs="Arial"/>
          <w:b/>
          <w:bCs/>
        </w:rPr>
        <w:t>Strengths</w:t>
      </w:r>
      <w:r w:rsidR="00333A59">
        <w:rPr>
          <w:rFonts w:ascii="Arial" w:hAnsi="Arial" w:cs="Arial"/>
          <w:b/>
          <w:bCs/>
        </w:rPr>
        <w:t xml:space="preserve">: </w:t>
      </w:r>
      <w:r w:rsidR="00333A59">
        <w:rPr>
          <w:rFonts w:ascii="Arial" w:hAnsi="Arial" w:cs="Arial"/>
        </w:rPr>
        <w:t xml:space="preserve">Leading brand equity in the market; strong digital infrastructure (apps, kiosks); 99.1% sourcing that is deforestation-free; and significant financial recovery </w:t>
      </w:r>
      <w:r w:rsidR="00295D62">
        <w:rPr>
          <w:rFonts w:ascii="Arial" w:hAnsi="Arial" w:cs="Arial"/>
        </w:rPr>
        <w:t>(</w:t>
      </w:r>
      <w:r w:rsidR="00295D62" w:rsidRPr="00295D62">
        <w:rPr>
          <w:rFonts w:ascii="Arial" w:hAnsi="Arial" w:cs="Arial"/>
        </w:rPr>
        <w:t>£</w:t>
      </w:r>
      <w:r w:rsidR="00295D62">
        <w:rPr>
          <w:rFonts w:ascii="Arial" w:hAnsi="Arial" w:cs="Arial"/>
        </w:rPr>
        <w:t xml:space="preserve">79M post-tax profit in 2024 compared to </w:t>
      </w:r>
      <w:r w:rsidR="00295D62" w:rsidRPr="00295D62">
        <w:rPr>
          <w:rFonts w:ascii="Arial" w:hAnsi="Arial" w:cs="Arial"/>
        </w:rPr>
        <w:t>£</w:t>
      </w:r>
      <w:r w:rsidR="00295D62">
        <w:rPr>
          <w:rFonts w:ascii="Arial" w:hAnsi="Arial" w:cs="Arial"/>
        </w:rPr>
        <w:t xml:space="preserve">35 in 2023) (Barney, 1991; Statista, 2024; McDonald’s UK, 2024). </w:t>
      </w:r>
    </w:p>
    <w:p w14:paraId="351CAA11" w14:textId="1ABC8234" w:rsidR="00295D62" w:rsidRPr="00295D62" w:rsidRDefault="00295D62" w:rsidP="00CD2A51">
      <w:pPr>
        <w:jc w:val="both"/>
        <w:rPr>
          <w:rFonts w:ascii="Arial" w:hAnsi="Arial" w:cs="Arial"/>
        </w:rPr>
      </w:pPr>
      <w:r>
        <w:rPr>
          <w:rFonts w:ascii="Arial" w:hAnsi="Arial" w:cs="Arial"/>
          <w:b/>
          <w:bCs/>
        </w:rPr>
        <w:t xml:space="preserve">Weaknesses: </w:t>
      </w:r>
      <w:r>
        <w:rPr>
          <w:rFonts w:ascii="Arial" w:hAnsi="Arial" w:cs="Arial"/>
        </w:rPr>
        <w:t xml:space="preserve">Margin pressure on franchisees due to macroeconomic inflation; increases in the statutory National Living Wage; dependence on third-party delivery &amp; associated commissions costs; and the need for ongoing menu changes to comply with HFSS &amp; calorie labeling regulations (Spanos, </w:t>
      </w:r>
      <w:proofErr w:type="spellStart"/>
      <w:r>
        <w:rPr>
          <w:rFonts w:ascii="Arial" w:hAnsi="Arial" w:cs="Arial"/>
        </w:rPr>
        <w:t>Zaralis</w:t>
      </w:r>
      <w:proofErr w:type="spellEnd"/>
      <w:r>
        <w:rPr>
          <w:rFonts w:ascii="Arial" w:hAnsi="Arial" w:cs="Arial"/>
        </w:rPr>
        <w:t xml:space="preserve"> &amp; </w:t>
      </w:r>
      <w:proofErr w:type="spellStart"/>
      <w:r>
        <w:rPr>
          <w:rFonts w:ascii="Arial" w:hAnsi="Arial" w:cs="Arial"/>
        </w:rPr>
        <w:t>Lioukas</w:t>
      </w:r>
      <w:proofErr w:type="spellEnd"/>
      <w:r>
        <w:rPr>
          <w:rFonts w:ascii="Arial" w:hAnsi="Arial" w:cs="Arial"/>
        </w:rPr>
        <w:t xml:space="preserve">, 2024; Johnson, Scholes &amp; Whittington, 2008; Kumar &amp; Reinartz, 2016; GOV.UK, 2025). </w:t>
      </w:r>
    </w:p>
    <w:p w14:paraId="50EFDE46" w14:textId="77777777" w:rsidR="005F6E92" w:rsidRDefault="005F6E92" w:rsidP="00CD2A51">
      <w:pPr>
        <w:jc w:val="both"/>
        <w:rPr>
          <w:rFonts w:ascii="Arial" w:hAnsi="Arial" w:cs="Arial"/>
        </w:rPr>
      </w:pPr>
    </w:p>
    <w:p w14:paraId="64AEF6C7" w14:textId="3FCF5AFB" w:rsidR="00451215" w:rsidRDefault="00451215" w:rsidP="00CD2A51">
      <w:pPr>
        <w:jc w:val="both"/>
        <w:rPr>
          <w:rFonts w:ascii="Arial" w:hAnsi="Arial" w:cs="Arial"/>
          <w:b/>
          <w:bCs/>
          <w:sz w:val="28"/>
          <w:szCs w:val="28"/>
        </w:rPr>
      </w:pPr>
      <w:r w:rsidRPr="00451215">
        <w:rPr>
          <w:rFonts w:ascii="Arial" w:hAnsi="Arial" w:cs="Arial"/>
          <w:b/>
          <w:bCs/>
          <w:sz w:val="28"/>
          <w:szCs w:val="28"/>
        </w:rPr>
        <w:t>4. SWOT Analysis</w:t>
      </w:r>
    </w:p>
    <w:tbl>
      <w:tblPr>
        <w:tblStyle w:val="GridTable4"/>
        <w:tblW w:w="9350" w:type="dxa"/>
        <w:tblLook w:val="04A0" w:firstRow="1" w:lastRow="0" w:firstColumn="1" w:lastColumn="0" w:noHBand="0" w:noVBand="1"/>
      </w:tblPr>
      <w:tblGrid>
        <w:gridCol w:w="1794"/>
        <w:gridCol w:w="4061"/>
        <w:gridCol w:w="3495"/>
      </w:tblGrid>
      <w:tr w:rsidR="00274AE8" w14:paraId="3B3ED13D" w14:textId="5F2DFCAE" w:rsidTr="00274A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4" w:type="dxa"/>
          </w:tcPr>
          <w:p w14:paraId="2FB5FD3D" w14:textId="60C54A1B" w:rsidR="00274AE8" w:rsidRDefault="00274AE8" w:rsidP="00CD2A51">
            <w:pPr>
              <w:jc w:val="both"/>
              <w:rPr>
                <w:rFonts w:ascii="Arial" w:hAnsi="Arial" w:cs="Arial"/>
              </w:rPr>
            </w:pPr>
            <w:r>
              <w:rPr>
                <w:rFonts w:ascii="Arial" w:hAnsi="Arial" w:cs="Arial"/>
              </w:rPr>
              <w:t>Category</w:t>
            </w:r>
          </w:p>
        </w:tc>
        <w:tc>
          <w:tcPr>
            <w:tcW w:w="4061" w:type="dxa"/>
          </w:tcPr>
          <w:p w14:paraId="73C0D709" w14:textId="7852EE60" w:rsidR="00274AE8" w:rsidRDefault="00274AE8"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Key Factors &amp; Strategic Impact</w:t>
            </w:r>
          </w:p>
        </w:tc>
        <w:tc>
          <w:tcPr>
            <w:tcW w:w="3495" w:type="dxa"/>
          </w:tcPr>
          <w:p w14:paraId="02437648" w14:textId="77777777" w:rsidR="00274AE8" w:rsidRDefault="00274AE8"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274AE8" w14:paraId="56B96D96" w14:textId="711D5E2D" w:rsidTr="00274A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4" w:type="dxa"/>
          </w:tcPr>
          <w:p w14:paraId="73EDE347" w14:textId="1F3BC74A" w:rsidR="00274AE8" w:rsidRDefault="00274AE8" w:rsidP="00CD2A51">
            <w:pPr>
              <w:jc w:val="both"/>
              <w:rPr>
                <w:rFonts w:ascii="Arial" w:hAnsi="Arial" w:cs="Arial"/>
              </w:rPr>
            </w:pPr>
            <w:r>
              <w:rPr>
                <w:rFonts w:ascii="Arial" w:hAnsi="Arial" w:cs="Arial"/>
              </w:rPr>
              <w:t xml:space="preserve">Strengths </w:t>
            </w:r>
          </w:p>
        </w:tc>
        <w:tc>
          <w:tcPr>
            <w:tcW w:w="4061" w:type="dxa"/>
          </w:tcPr>
          <w:p w14:paraId="2021F2FD" w14:textId="77777777" w:rsidR="00274AE8" w:rsidRDefault="00274AE8" w:rsidP="00387B53">
            <w:pPr>
              <w:pStyle w:val="ListParagraph"/>
              <w:numPr>
                <w:ilvl w:val="0"/>
                <w:numId w:val="40"/>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Market leadership is propelled by strong brand equity, a wide-reaching presence, &amp; fundamental value communication</w:t>
            </w:r>
          </w:p>
          <w:p w14:paraId="15C9F823" w14:textId="77777777" w:rsidR="00274AE8" w:rsidRDefault="00274AE8" w:rsidP="00387B53">
            <w:pPr>
              <w:pStyle w:val="ListParagraph"/>
              <w:numPr>
                <w:ilvl w:val="0"/>
                <w:numId w:val="40"/>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 data-centric digital loyalty framework, with over 11 million app registrants, enhances purchase frequency &amp; customer retention. </w:t>
            </w:r>
          </w:p>
          <w:p w14:paraId="5AC83B8A" w14:textId="77777777" w:rsidR="00274AE8" w:rsidRDefault="00274AE8" w:rsidP="00387B53">
            <w:pPr>
              <w:pStyle w:val="ListParagraph"/>
              <w:numPr>
                <w:ilvl w:val="0"/>
                <w:numId w:val="40"/>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 cohesive real estate portfolio ensures consistent cash flows, complemented by a 40-year relational supply chain network involving more than 23,000 farmers in the UK &amp; Ireland. </w:t>
            </w:r>
          </w:p>
          <w:p w14:paraId="08351DFF" w14:textId="6EFF7118" w:rsidR="00274AE8" w:rsidRPr="00387B53" w:rsidRDefault="00274AE8" w:rsidP="00387B53">
            <w:pPr>
              <w:pStyle w:val="ListParagraph"/>
              <w:numPr>
                <w:ilvl w:val="0"/>
                <w:numId w:val="40"/>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Financial robustness is demonstrated by a post-tax profit of </w:t>
            </w:r>
            <w:r w:rsidRPr="00387B53">
              <w:rPr>
                <w:rFonts w:ascii="Arial" w:hAnsi="Arial" w:cs="Arial"/>
              </w:rPr>
              <w:t>£</w:t>
            </w:r>
            <w:r>
              <w:rPr>
                <w:rFonts w:ascii="Arial" w:hAnsi="Arial" w:cs="Arial"/>
              </w:rPr>
              <w:t xml:space="preserve">79 million, even in </w:t>
            </w:r>
            <w:r>
              <w:rPr>
                <w:rFonts w:ascii="Arial" w:hAnsi="Arial" w:cs="Arial"/>
              </w:rPr>
              <w:lastRenderedPageBreak/>
              <w:t xml:space="preserve">the face of macroeconomic challenges. </w:t>
            </w:r>
          </w:p>
        </w:tc>
        <w:tc>
          <w:tcPr>
            <w:tcW w:w="3495" w:type="dxa"/>
          </w:tcPr>
          <w:p w14:paraId="0EB2E322" w14:textId="18C7C52B" w:rsidR="00274AE8" w:rsidRPr="00274AE8" w:rsidRDefault="00274AE8" w:rsidP="00274AE8">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(Barney, 1991; Love, 1995; Kumar &amp; Reinartz, 2016;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2022)</w:t>
            </w:r>
          </w:p>
        </w:tc>
      </w:tr>
      <w:tr w:rsidR="00274AE8" w14:paraId="63A9C4A3" w14:textId="7FC0406D" w:rsidTr="00274AE8">
        <w:tc>
          <w:tcPr>
            <w:cnfStyle w:val="001000000000" w:firstRow="0" w:lastRow="0" w:firstColumn="1" w:lastColumn="0" w:oddVBand="0" w:evenVBand="0" w:oddHBand="0" w:evenHBand="0" w:firstRowFirstColumn="0" w:firstRowLastColumn="0" w:lastRowFirstColumn="0" w:lastRowLastColumn="0"/>
            <w:tcW w:w="1794" w:type="dxa"/>
          </w:tcPr>
          <w:p w14:paraId="22ADECBC" w14:textId="221E734E" w:rsidR="00274AE8" w:rsidRDefault="00274AE8" w:rsidP="00CD2A51">
            <w:pPr>
              <w:jc w:val="both"/>
              <w:rPr>
                <w:rFonts w:ascii="Arial" w:hAnsi="Arial" w:cs="Arial"/>
              </w:rPr>
            </w:pPr>
            <w:r>
              <w:rPr>
                <w:rFonts w:ascii="Arial" w:hAnsi="Arial" w:cs="Arial"/>
              </w:rPr>
              <w:t>Weaknesses</w:t>
            </w:r>
          </w:p>
        </w:tc>
        <w:tc>
          <w:tcPr>
            <w:tcW w:w="4061" w:type="dxa"/>
          </w:tcPr>
          <w:p w14:paraId="061C9AC0" w14:textId="125DE846" w:rsidR="00274AE8" w:rsidRDefault="00274AE8" w:rsidP="000F344F">
            <w:pPr>
              <w:pStyle w:val="ListParagraph"/>
              <w:numPr>
                <w:ilvl w:val="0"/>
                <w:numId w:val="41"/>
              </w:num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significant dependence on external delivery aggregators limits the ability to manage the entire customer experience effectively &amp; subjects’ operations to commission costs. </w:t>
            </w:r>
          </w:p>
          <w:p w14:paraId="76325BCD" w14:textId="0E5D3E6D" w:rsidR="00274AE8" w:rsidRDefault="00274AE8" w:rsidP="000F344F">
            <w:pPr>
              <w:pStyle w:val="ListParagraph"/>
              <w:numPr>
                <w:ilvl w:val="0"/>
                <w:numId w:val="41"/>
              </w:num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Franchisees are experiencing a reduction in profit margins because of macroeconomic inflation &amp; the implementation of statutory increases in the National Living Wage. </w:t>
            </w:r>
          </w:p>
          <w:p w14:paraId="055FA897" w14:textId="52144BD2" w:rsidR="00274AE8" w:rsidRPr="000F344F" w:rsidRDefault="00274AE8" w:rsidP="000F344F">
            <w:pPr>
              <w:pStyle w:val="ListParagraph"/>
              <w:numPr>
                <w:ilvl w:val="0"/>
                <w:numId w:val="41"/>
              </w:num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Vulnerabilities in brand perception are associated with regulatory restrictions on HFSS products &amp; the requirement for mandatory calorie labelling. </w:t>
            </w:r>
          </w:p>
        </w:tc>
        <w:tc>
          <w:tcPr>
            <w:tcW w:w="3495" w:type="dxa"/>
          </w:tcPr>
          <w:p w14:paraId="0D7494D4" w14:textId="5B89A301" w:rsidR="00274AE8" w:rsidRPr="00274AE8" w:rsidRDefault="00274AE8" w:rsidP="00274AE8">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(Spanos, </w:t>
            </w:r>
            <w:proofErr w:type="spellStart"/>
            <w:r>
              <w:rPr>
                <w:rFonts w:ascii="Arial" w:hAnsi="Arial" w:cs="Arial"/>
              </w:rPr>
              <w:t>Zaralis</w:t>
            </w:r>
            <w:proofErr w:type="spellEnd"/>
            <w:r>
              <w:rPr>
                <w:rFonts w:ascii="Arial" w:hAnsi="Arial" w:cs="Arial"/>
              </w:rPr>
              <w:t xml:space="preserve"> &amp; </w:t>
            </w:r>
            <w:proofErr w:type="spellStart"/>
            <w:r>
              <w:rPr>
                <w:rFonts w:ascii="Arial" w:hAnsi="Arial" w:cs="Arial"/>
              </w:rPr>
              <w:t>Lioukas</w:t>
            </w:r>
            <w:proofErr w:type="spellEnd"/>
            <w:r>
              <w:rPr>
                <w:rFonts w:ascii="Arial" w:hAnsi="Arial" w:cs="Arial"/>
              </w:rPr>
              <w:t>, 2004; Johnson, Scholes &amp; Whittington, 2008; Gilbert, 2022)</w:t>
            </w:r>
          </w:p>
        </w:tc>
      </w:tr>
      <w:tr w:rsidR="00274AE8" w14:paraId="4D748FFF" w14:textId="4C7E4CFA" w:rsidTr="00274A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4" w:type="dxa"/>
          </w:tcPr>
          <w:p w14:paraId="02E98925" w14:textId="77073394" w:rsidR="00274AE8" w:rsidRDefault="00274AE8" w:rsidP="00CD2A51">
            <w:pPr>
              <w:jc w:val="both"/>
              <w:rPr>
                <w:rFonts w:ascii="Arial" w:hAnsi="Arial" w:cs="Arial"/>
              </w:rPr>
            </w:pPr>
            <w:r>
              <w:rPr>
                <w:rFonts w:ascii="Arial" w:hAnsi="Arial" w:cs="Arial"/>
              </w:rPr>
              <w:t>Opportunities</w:t>
            </w:r>
          </w:p>
        </w:tc>
        <w:tc>
          <w:tcPr>
            <w:tcW w:w="4061" w:type="dxa"/>
          </w:tcPr>
          <w:p w14:paraId="54100B21" w14:textId="77777777" w:rsidR="00274AE8" w:rsidRDefault="00274AE8" w:rsidP="000F344F">
            <w:pPr>
              <w:pStyle w:val="ListParagraph"/>
              <w:numPr>
                <w:ilvl w:val="0"/>
                <w:numId w:val="42"/>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incorporation of predictive AI models into inventory forecasting &amp; labor scheduling aims to enhance cost efficiency and reduce food waste. </w:t>
            </w:r>
          </w:p>
          <w:p w14:paraId="69F377B3" w14:textId="77777777" w:rsidR="00274AE8" w:rsidRDefault="00274AE8" w:rsidP="000F344F">
            <w:pPr>
              <w:pStyle w:val="ListParagraph"/>
              <w:numPr>
                <w:ilvl w:val="0"/>
                <w:numId w:val="42"/>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diversification of the menu to include plant-based &amp; healthier fast-food options addresses the evolving socio-cultural trends towards wellness. </w:t>
            </w:r>
          </w:p>
          <w:p w14:paraId="543F0172" w14:textId="0133E1AE" w:rsidR="00274AE8" w:rsidRPr="000F344F" w:rsidRDefault="00274AE8" w:rsidP="000F344F">
            <w:pPr>
              <w:pStyle w:val="ListParagraph"/>
              <w:numPr>
                <w:ilvl w:val="0"/>
                <w:numId w:val="42"/>
              </w:num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Expansion focused on specific formats, such as smaller urban &amp; digital-first ‘Drive to’ units, is designed to meet the demand of solo diners seeking off-premises dining options. </w:t>
            </w:r>
          </w:p>
        </w:tc>
        <w:tc>
          <w:tcPr>
            <w:tcW w:w="3495" w:type="dxa"/>
          </w:tcPr>
          <w:p w14:paraId="245BE2FF" w14:textId="6486C3F7" w:rsidR="00274AE8" w:rsidRPr="00274AE8" w:rsidRDefault="00274AE8" w:rsidP="00274AE8">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(Carroll, 1991; Spanos, </w:t>
            </w:r>
            <w:proofErr w:type="spellStart"/>
            <w:r>
              <w:rPr>
                <w:rFonts w:ascii="Arial" w:hAnsi="Arial" w:cs="Arial"/>
              </w:rPr>
              <w:t>Zaralis</w:t>
            </w:r>
            <w:proofErr w:type="spellEnd"/>
            <w:r>
              <w:rPr>
                <w:rFonts w:ascii="Arial" w:hAnsi="Arial" w:cs="Arial"/>
              </w:rPr>
              <w:t xml:space="preserve"> &amp; </w:t>
            </w:r>
            <w:proofErr w:type="spellStart"/>
            <w:r>
              <w:rPr>
                <w:rFonts w:ascii="Arial" w:hAnsi="Arial" w:cs="Arial"/>
              </w:rPr>
              <w:t>Lioukas</w:t>
            </w:r>
            <w:proofErr w:type="spellEnd"/>
            <w:r>
              <w:rPr>
                <w:rFonts w:ascii="Arial" w:hAnsi="Arial" w:cs="Arial"/>
              </w:rPr>
              <w:t xml:space="preserve">, 2004; AP Capital Research, 2025; </w:t>
            </w:r>
            <w:proofErr w:type="spellStart"/>
            <w:r>
              <w:rPr>
                <w:rFonts w:ascii="Arial" w:hAnsi="Arial" w:cs="Arial"/>
              </w:rPr>
              <w:t>Groth</w:t>
            </w:r>
            <w:proofErr w:type="spellEnd"/>
            <w:r>
              <w:rPr>
                <w:rFonts w:ascii="Arial" w:hAnsi="Arial" w:cs="Arial"/>
              </w:rPr>
              <w:t>, 2025)</w:t>
            </w:r>
          </w:p>
        </w:tc>
      </w:tr>
      <w:tr w:rsidR="00274AE8" w14:paraId="7B75DB60" w14:textId="742011BF" w:rsidTr="00274AE8">
        <w:tc>
          <w:tcPr>
            <w:cnfStyle w:val="001000000000" w:firstRow="0" w:lastRow="0" w:firstColumn="1" w:lastColumn="0" w:oddVBand="0" w:evenVBand="0" w:oddHBand="0" w:evenHBand="0" w:firstRowFirstColumn="0" w:firstRowLastColumn="0" w:lastRowFirstColumn="0" w:lastRowLastColumn="0"/>
            <w:tcW w:w="1794" w:type="dxa"/>
          </w:tcPr>
          <w:p w14:paraId="0BC508CD" w14:textId="6EB2B9D8" w:rsidR="00274AE8" w:rsidRDefault="00274AE8" w:rsidP="00CD2A51">
            <w:pPr>
              <w:jc w:val="both"/>
              <w:rPr>
                <w:rFonts w:ascii="Arial" w:hAnsi="Arial" w:cs="Arial"/>
              </w:rPr>
            </w:pPr>
            <w:r>
              <w:rPr>
                <w:rFonts w:ascii="Arial" w:hAnsi="Arial" w:cs="Arial"/>
              </w:rPr>
              <w:t>Threats</w:t>
            </w:r>
          </w:p>
        </w:tc>
        <w:tc>
          <w:tcPr>
            <w:tcW w:w="4061" w:type="dxa"/>
          </w:tcPr>
          <w:p w14:paraId="1AEFFFC2" w14:textId="77777777" w:rsidR="00274AE8" w:rsidRDefault="00274AE8" w:rsidP="00755BCE">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Established operators like Greggs &amp; KFC face fierce competition in the QSR sector, particularly from fast-</w:t>
            </w:r>
            <w:r>
              <w:rPr>
                <w:rFonts w:ascii="Arial" w:hAnsi="Arial" w:cs="Arial"/>
              </w:rPr>
              <w:lastRenderedPageBreak/>
              <w:t xml:space="preserve">casual dining brands on food delivery platforms. </w:t>
            </w:r>
          </w:p>
          <w:p w14:paraId="2CC9EE6C" w14:textId="77777777" w:rsidR="00274AE8" w:rsidRDefault="00274AE8" w:rsidP="00755BCE">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Economic pressures &amp; reduced real household incomes are limiting discretionary spending among consumers. </w:t>
            </w:r>
          </w:p>
          <w:p w14:paraId="20EF47D0" w14:textId="43DF8356" w:rsidR="00274AE8" w:rsidRPr="00755BCE" w:rsidRDefault="00274AE8" w:rsidP="00755BCE">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UK food delivery market is maturing, necessitating a strategic transition from focusing solely on volume growth to enhancing customer lifetime value (CLV). </w:t>
            </w:r>
          </w:p>
        </w:tc>
        <w:tc>
          <w:tcPr>
            <w:tcW w:w="3495" w:type="dxa"/>
          </w:tcPr>
          <w:p w14:paraId="0D55C6AC" w14:textId="09D1C051" w:rsidR="00274AE8" w:rsidRPr="00274AE8" w:rsidRDefault="00274AE8" w:rsidP="00274AE8">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(Porter, 1985; Ansoff, 1957; Kumar &amp; Reinartz, 2016; Gilbert, 2022)</w:t>
            </w:r>
          </w:p>
        </w:tc>
      </w:tr>
    </w:tbl>
    <w:p w14:paraId="4F869DC1" w14:textId="77777777" w:rsidR="00B65CEC" w:rsidRDefault="00B65CEC" w:rsidP="00CD2A51">
      <w:pPr>
        <w:jc w:val="both"/>
        <w:rPr>
          <w:rFonts w:ascii="Arial" w:hAnsi="Arial" w:cs="Arial"/>
        </w:rPr>
      </w:pPr>
    </w:p>
    <w:p w14:paraId="20CEE87B" w14:textId="6771687D" w:rsidR="00B65CEC" w:rsidRPr="00B65CEC" w:rsidRDefault="00B65CEC" w:rsidP="00CD2A51">
      <w:pPr>
        <w:jc w:val="both"/>
        <w:rPr>
          <w:rFonts w:ascii="Arial" w:hAnsi="Arial" w:cs="Arial"/>
          <w:b/>
          <w:bCs/>
          <w:i/>
          <w:iCs/>
          <w:u w:val="single"/>
        </w:rPr>
      </w:pPr>
      <w:r w:rsidRPr="00B65CEC">
        <w:rPr>
          <w:rFonts w:ascii="Arial" w:hAnsi="Arial" w:cs="Arial"/>
          <w:b/>
          <w:bCs/>
          <w:i/>
          <w:iCs/>
          <w:u w:val="single"/>
        </w:rPr>
        <w:t xml:space="preserve">4.5 Linking SWOT with PESTEL &amp; VRIO Findings </w:t>
      </w:r>
    </w:p>
    <w:p w14:paraId="0F76D24B" w14:textId="1C2D4B6C" w:rsidR="000F344F" w:rsidRDefault="00B65CEC" w:rsidP="003671E1">
      <w:pPr>
        <w:jc w:val="both"/>
        <w:rPr>
          <w:rFonts w:ascii="Arial" w:hAnsi="Arial" w:cs="Arial"/>
        </w:rPr>
      </w:pPr>
      <w:r>
        <w:rPr>
          <w:rFonts w:ascii="Arial" w:hAnsi="Arial" w:cs="Arial"/>
        </w:rPr>
        <w:t xml:space="preserve">The SWOT analysis integrates </w:t>
      </w:r>
      <w:r w:rsidR="003671E1">
        <w:rPr>
          <w:rFonts w:ascii="Arial" w:hAnsi="Arial" w:cs="Arial"/>
        </w:rPr>
        <w:t xml:space="preserve">external PESTEL factors with internal VRIO capabilities to assess McDonald’s strategic position. Opportunities such as the scaling of AI &amp; the diversification of the menu reflect technological &amp; socio-cultural transformations, whereas external threats—including inflation, rising wages, and calorie labeling—illustrate macroeconomic and legal challenges (Johnson, Scholes &amp; Whittington, 2008). From the perspective of the Resource-Based View, essential strengths such as prime real estate, enduring supplier relationships, and the “three-legged stool” framework represent sustainable competitive advantages due to their value, rarity, and inimitability (Barney, 1991). Additionally, the ‘Accelerating the Arches’ strategy utilizes digital loyalty infrastructure to enhance long-term market dominance. </w:t>
      </w:r>
    </w:p>
    <w:p w14:paraId="4368F18E" w14:textId="77777777" w:rsidR="000F344F" w:rsidRDefault="000F344F" w:rsidP="003671E1">
      <w:pPr>
        <w:jc w:val="both"/>
        <w:rPr>
          <w:rFonts w:ascii="Arial" w:hAnsi="Arial" w:cs="Arial"/>
        </w:rPr>
      </w:pPr>
    </w:p>
    <w:p w14:paraId="27E2097C" w14:textId="6C52D929" w:rsidR="00434DAF" w:rsidRDefault="00434DAF" w:rsidP="00CD2A51">
      <w:pPr>
        <w:jc w:val="both"/>
        <w:rPr>
          <w:rFonts w:ascii="Arial" w:hAnsi="Arial" w:cs="Arial"/>
          <w:b/>
          <w:bCs/>
          <w:sz w:val="28"/>
          <w:szCs w:val="28"/>
        </w:rPr>
      </w:pPr>
      <w:r w:rsidRPr="00434DAF">
        <w:rPr>
          <w:rFonts w:ascii="Arial" w:hAnsi="Arial" w:cs="Arial"/>
          <w:b/>
          <w:bCs/>
          <w:sz w:val="28"/>
          <w:szCs w:val="28"/>
        </w:rPr>
        <w:t xml:space="preserve">5. Comprehensive </w:t>
      </w:r>
      <w:r>
        <w:rPr>
          <w:rFonts w:ascii="Arial" w:hAnsi="Arial" w:cs="Arial"/>
          <w:b/>
          <w:bCs/>
          <w:sz w:val="28"/>
          <w:szCs w:val="28"/>
        </w:rPr>
        <w:t xml:space="preserve">&amp; Holistic View of the Organization </w:t>
      </w:r>
    </w:p>
    <w:p w14:paraId="6D3026BB" w14:textId="2E7B6671" w:rsidR="00434DAF" w:rsidRPr="00434DAF" w:rsidRDefault="00434DAF" w:rsidP="00CD2A51">
      <w:pPr>
        <w:jc w:val="both"/>
        <w:rPr>
          <w:rFonts w:ascii="Arial" w:hAnsi="Arial" w:cs="Arial"/>
          <w:b/>
          <w:bCs/>
          <w:i/>
          <w:iCs/>
          <w:u w:val="single"/>
        </w:rPr>
      </w:pPr>
      <w:r w:rsidRPr="00434DAF">
        <w:rPr>
          <w:rFonts w:ascii="Arial" w:hAnsi="Arial" w:cs="Arial"/>
          <w:b/>
          <w:bCs/>
          <w:i/>
          <w:iCs/>
          <w:u w:val="single"/>
        </w:rPr>
        <w:t xml:space="preserve">5.1 Current CSR Initiatives &amp; Sustainability Activities </w:t>
      </w:r>
    </w:p>
    <w:p w14:paraId="579E1FE7" w14:textId="2A4C3F37" w:rsidR="00503616" w:rsidRDefault="003023C0" w:rsidP="00CD2A51">
      <w:pPr>
        <w:jc w:val="both"/>
        <w:rPr>
          <w:rFonts w:ascii="Arial" w:hAnsi="Arial" w:cs="Arial"/>
        </w:rPr>
      </w:pPr>
      <w:r w:rsidRPr="00A825C7">
        <w:rPr>
          <w:rFonts w:ascii="Arial" w:hAnsi="Arial" w:cs="Arial"/>
          <w:b/>
          <w:bCs/>
        </w:rPr>
        <w:t>Strategic Integration:</w:t>
      </w:r>
      <w:r>
        <w:rPr>
          <w:rFonts w:ascii="Arial" w:hAnsi="Arial" w:cs="Arial"/>
        </w:rPr>
        <w:t xml:space="preserve"> CSR is directly incorporated into the fundamental corporate strategy through the Plan for Change framework, fostering systemic value creation across four key areas: Plant, People, Restaurants, &amp; Food (Carroll, 1991; Elkington, 1997).</w:t>
      </w:r>
    </w:p>
    <w:p w14:paraId="13A32758" w14:textId="6104DAC8" w:rsidR="003023C0" w:rsidRDefault="003023C0" w:rsidP="00CD2A51">
      <w:pPr>
        <w:jc w:val="both"/>
        <w:rPr>
          <w:rFonts w:ascii="Arial" w:hAnsi="Arial" w:cs="Arial"/>
        </w:rPr>
      </w:pPr>
      <w:r w:rsidRPr="00A825C7">
        <w:rPr>
          <w:rFonts w:ascii="Arial" w:hAnsi="Arial" w:cs="Arial"/>
          <w:b/>
          <w:bCs/>
        </w:rPr>
        <w:t>Creating Shared Value (CSV):</w:t>
      </w:r>
      <w:r>
        <w:rPr>
          <w:rFonts w:ascii="Arial" w:hAnsi="Arial" w:cs="Arial"/>
        </w:rPr>
        <w:t xml:space="preserve"> The introduction of plant-based menu options (e.g., </w:t>
      </w:r>
      <w:proofErr w:type="spellStart"/>
      <w:r>
        <w:rPr>
          <w:rFonts w:ascii="Arial" w:hAnsi="Arial" w:cs="Arial"/>
        </w:rPr>
        <w:t>McPlant</w:t>
      </w:r>
      <w:proofErr w:type="spellEnd"/>
      <w:r>
        <w:rPr>
          <w:rFonts w:ascii="Arial" w:hAnsi="Arial" w:cs="Arial"/>
        </w:rPr>
        <w:t xml:space="preserve">) &amp; improved digital nutritional labeling aligns environmental objectives with evolving socio-cultural preferences for healthier dining options (Porter &amp; Kramer, 2006; Lumina Intelligence, 2024). </w:t>
      </w:r>
    </w:p>
    <w:p w14:paraId="57BF0BA4" w14:textId="77777777" w:rsidR="005260DF" w:rsidRDefault="005260DF" w:rsidP="00CD2A51">
      <w:pPr>
        <w:jc w:val="both"/>
        <w:rPr>
          <w:rFonts w:ascii="Arial" w:hAnsi="Arial" w:cs="Arial"/>
        </w:rPr>
      </w:pPr>
    </w:p>
    <w:p w14:paraId="3434A6F2" w14:textId="28D9CB24" w:rsidR="00503616" w:rsidRPr="00FE0A19" w:rsidRDefault="00503616" w:rsidP="00CD2A51">
      <w:pPr>
        <w:jc w:val="both"/>
        <w:rPr>
          <w:rFonts w:ascii="Arial" w:hAnsi="Arial" w:cs="Arial"/>
          <w:b/>
          <w:bCs/>
          <w:i/>
          <w:iCs/>
          <w:u w:val="single"/>
        </w:rPr>
      </w:pPr>
      <w:r w:rsidRPr="00FE0A19">
        <w:rPr>
          <w:rFonts w:ascii="Arial" w:hAnsi="Arial" w:cs="Arial"/>
          <w:b/>
          <w:bCs/>
          <w:i/>
          <w:iCs/>
          <w:u w:val="single"/>
        </w:rPr>
        <w:lastRenderedPageBreak/>
        <w:t xml:space="preserve">5.2 </w:t>
      </w:r>
      <w:r w:rsidR="00FE0A19" w:rsidRPr="00FE0A19">
        <w:rPr>
          <w:rFonts w:ascii="Arial" w:hAnsi="Arial" w:cs="Arial"/>
          <w:b/>
          <w:bCs/>
          <w:i/>
          <w:iCs/>
          <w:u w:val="single"/>
        </w:rPr>
        <w:t xml:space="preserve">Environmental Commitments </w:t>
      </w:r>
    </w:p>
    <w:p w14:paraId="2A8E189A" w14:textId="64185671" w:rsidR="0068713C" w:rsidRDefault="00A825C7" w:rsidP="00CD2A51">
      <w:pPr>
        <w:jc w:val="both"/>
        <w:rPr>
          <w:rFonts w:ascii="Arial" w:hAnsi="Arial" w:cs="Arial"/>
        </w:rPr>
      </w:pPr>
      <w:r w:rsidRPr="00A825C7">
        <w:rPr>
          <w:rFonts w:ascii="Arial" w:hAnsi="Arial" w:cs="Arial"/>
          <w:b/>
          <w:bCs/>
        </w:rPr>
        <w:t>Net-Zero Decarbonization Target:</w:t>
      </w:r>
      <w:r>
        <w:rPr>
          <w:rFonts w:ascii="Arial" w:hAnsi="Arial" w:cs="Arial"/>
        </w:rPr>
        <w:t xml:space="preserve"> A strategic commitment to reach Net-Zero greenhouse gas emissions gas emissions in operation across the UK &amp; Ireland by 2040 (McDonald’s Corporation, 2024). </w:t>
      </w:r>
    </w:p>
    <w:p w14:paraId="1D71BAA7" w14:textId="77FF6C8C" w:rsidR="00A825C7" w:rsidRDefault="00A825C7" w:rsidP="00CD2A51">
      <w:pPr>
        <w:jc w:val="both"/>
        <w:rPr>
          <w:rFonts w:ascii="Arial" w:hAnsi="Arial" w:cs="Arial"/>
        </w:rPr>
      </w:pPr>
      <w:r w:rsidRPr="00A825C7">
        <w:rPr>
          <w:rFonts w:ascii="Arial" w:hAnsi="Arial" w:cs="Arial"/>
          <w:b/>
          <w:bCs/>
        </w:rPr>
        <w:t>Sustainable Infrastructure &amp; Eco-Efficiency:</w:t>
      </w:r>
      <w:r>
        <w:rPr>
          <w:rFonts w:ascii="Arial" w:hAnsi="Arial" w:cs="Arial"/>
        </w:rPr>
        <w:t xml:space="preserve"> The implementation of low-carbon store designs in accordance with the UKGBC framework has led to a 16% reduction in emissions from restaurants &amp; offices since 2018 (Porter &amp; van der Linde, 1995; UKGBC, 2019). </w:t>
      </w:r>
    </w:p>
    <w:p w14:paraId="5FCBDFB4" w14:textId="0F105562" w:rsidR="00A825C7" w:rsidRDefault="00A825C7" w:rsidP="00CD2A51">
      <w:pPr>
        <w:jc w:val="both"/>
        <w:rPr>
          <w:rFonts w:ascii="Arial" w:hAnsi="Arial" w:cs="Arial"/>
        </w:rPr>
      </w:pPr>
      <w:r w:rsidRPr="00A825C7">
        <w:rPr>
          <w:rFonts w:ascii="Arial" w:hAnsi="Arial" w:cs="Arial"/>
          <w:b/>
          <w:bCs/>
        </w:rPr>
        <w:t xml:space="preserve">Circular Resource Sourcing: </w:t>
      </w:r>
      <w:r>
        <w:rPr>
          <w:rFonts w:ascii="Arial" w:hAnsi="Arial" w:cs="Arial"/>
        </w:rPr>
        <w:t xml:space="preserve">The attainment of 93% renewable or recycled packaging, along with 99.1% deforestation-free sourcing of priority commodities, strengthens supply chain resilience (Carroll, 1991; </w:t>
      </w:r>
      <w:proofErr w:type="spellStart"/>
      <w:r>
        <w:rPr>
          <w:rFonts w:ascii="Arial" w:hAnsi="Arial" w:cs="Arial"/>
        </w:rPr>
        <w:t>Geissdoerfer</w:t>
      </w:r>
      <w:proofErr w:type="spellEnd"/>
      <w:r>
        <w:rPr>
          <w:rFonts w:ascii="Arial" w:hAnsi="Arial" w:cs="Arial"/>
        </w:rPr>
        <w:t xml:space="preserve"> et al., 2017). </w:t>
      </w:r>
    </w:p>
    <w:p w14:paraId="0150B401" w14:textId="77777777" w:rsidR="0068713C" w:rsidRDefault="0068713C" w:rsidP="00CD2A51">
      <w:pPr>
        <w:jc w:val="both"/>
        <w:rPr>
          <w:rFonts w:ascii="Arial" w:hAnsi="Arial" w:cs="Arial"/>
        </w:rPr>
      </w:pPr>
    </w:p>
    <w:p w14:paraId="2AF64816" w14:textId="77777777" w:rsidR="0068713C" w:rsidRDefault="0068713C" w:rsidP="00CD2A51">
      <w:pPr>
        <w:jc w:val="both"/>
        <w:rPr>
          <w:rFonts w:ascii="Arial" w:hAnsi="Arial" w:cs="Arial"/>
          <w:b/>
          <w:bCs/>
          <w:i/>
          <w:iCs/>
          <w:u w:val="single"/>
        </w:rPr>
      </w:pPr>
      <w:r w:rsidRPr="0068713C">
        <w:rPr>
          <w:rFonts w:ascii="Arial" w:hAnsi="Arial" w:cs="Arial"/>
          <w:b/>
          <w:bCs/>
          <w:i/>
          <w:iCs/>
          <w:u w:val="single"/>
        </w:rPr>
        <w:t xml:space="preserve">5.3 Social Responsibility Initiatives </w:t>
      </w:r>
    </w:p>
    <w:p w14:paraId="2C7C116D" w14:textId="2922C7DC" w:rsidR="00C1433F" w:rsidRDefault="00A825C7" w:rsidP="00CD2A51">
      <w:pPr>
        <w:jc w:val="both"/>
        <w:rPr>
          <w:rFonts w:ascii="Arial" w:hAnsi="Arial" w:cs="Arial"/>
        </w:rPr>
      </w:pPr>
      <w:r w:rsidRPr="00417F74">
        <w:rPr>
          <w:rFonts w:ascii="Arial" w:hAnsi="Arial" w:cs="Arial"/>
          <w:b/>
          <w:bCs/>
        </w:rPr>
        <w:t>Socio-Economic Contribution:</w:t>
      </w:r>
      <w:r>
        <w:rPr>
          <w:rFonts w:ascii="Arial" w:hAnsi="Arial" w:cs="Arial"/>
        </w:rPr>
        <w:t xml:space="preserve"> Since 1974, it has generated a substantial macroeconomic effect, contributing </w:t>
      </w:r>
      <w:r w:rsidRPr="00A825C7">
        <w:rPr>
          <w:rFonts w:ascii="Arial" w:hAnsi="Arial" w:cs="Arial"/>
        </w:rPr>
        <w:t>£</w:t>
      </w:r>
      <w:r>
        <w:rPr>
          <w:rFonts w:ascii="Arial" w:hAnsi="Arial" w:cs="Arial"/>
        </w:rPr>
        <w:t xml:space="preserve">94.45 billion in Gross Value Added (GVA) to the UK (Freeman, 1984; McDonald’s UK, 2024). </w:t>
      </w:r>
    </w:p>
    <w:p w14:paraId="676A1C56" w14:textId="2C884DA8" w:rsidR="00A825C7" w:rsidRDefault="00A825C7" w:rsidP="00CD2A51">
      <w:pPr>
        <w:jc w:val="both"/>
        <w:rPr>
          <w:rFonts w:ascii="Arial" w:hAnsi="Arial" w:cs="Arial"/>
        </w:rPr>
      </w:pPr>
      <w:r w:rsidRPr="00417F74">
        <w:rPr>
          <w:rFonts w:ascii="Arial" w:hAnsi="Arial" w:cs="Arial"/>
          <w:b/>
          <w:bCs/>
        </w:rPr>
        <w:t>Community &amp; Workforce Equity:</w:t>
      </w:r>
      <w:r>
        <w:rPr>
          <w:rFonts w:ascii="Arial" w:hAnsi="Arial" w:cs="Arial"/>
        </w:rPr>
        <w:t xml:space="preserve"> Initiatives like Makin’ It enhance youth skills, </w:t>
      </w:r>
      <w:r w:rsidR="00EC2F7B" w:rsidRPr="00EC2F7B">
        <w:rPr>
          <w:rFonts w:ascii="Arial" w:hAnsi="Arial" w:cs="Arial"/>
        </w:rPr>
        <w:t>£</w:t>
      </w:r>
      <w:r w:rsidR="00EC2F7B">
        <w:rPr>
          <w:rFonts w:ascii="Arial" w:hAnsi="Arial" w:cs="Arial"/>
        </w:rPr>
        <w:t xml:space="preserve">14.8M has been collected for RMHC, 1.1M surplus meals have been redistributed through </w:t>
      </w:r>
      <w:proofErr w:type="spellStart"/>
      <w:r w:rsidR="00EC2F7B">
        <w:rPr>
          <w:rFonts w:ascii="Arial" w:hAnsi="Arial" w:cs="Arial"/>
        </w:rPr>
        <w:t>FareShare</w:t>
      </w:r>
      <w:proofErr w:type="spellEnd"/>
      <w:r w:rsidR="00EC2F7B">
        <w:rPr>
          <w:rFonts w:ascii="Arial" w:hAnsi="Arial" w:cs="Arial"/>
        </w:rPr>
        <w:t xml:space="preserve">, and a 0% median gender pay gap is upheld (Carroll, 1991; EHRC, 2023). </w:t>
      </w:r>
    </w:p>
    <w:p w14:paraId="2F0CE7FD" w14:textId="77777777" w:rsidR="005260DF" w:rsidRDefault="005260DF" w:rsidP="00CD2A51">
      <w:pPr>
        <w:jc w:val="both"/>
        <w:rPr>
          <w:rFonts w:ascii="Arial" w:hAnsi="Arial" w:cs="Arial"/>
        </w:rPr>
      </w:pPr>
    </w:p>
    <w:p w14:paraId="4007D45C" w14:textId="61C511FE" w:rsidR="003263B1" w:rsidRDefault="003263B1" w:rsidP="00CD2A51">
      <w:pPr>
        <w:jc w:val="both"/>
        <w:rPr>
          <w:rFonts w:ascii="Arial" w:hAnsi="Arial" w:cs="Arial"/>
          <w:b/>
          <w:bCs/>
          <w:i/>
          <w:iCs/>
          <w:u w:val="single"/>
        </w:rPr>
      </w:pPr>
      <w:r w:rsidRPr="008769DB">
        <w:rPr>
          <w:rFonts w:ascii="Arial" w:hAnsi="Arial" w:cs="Arial"/>
          <w:b/>
          <w:bCs/>
          <w:i/>
          <w:iCs/>
          <w:u w:val="single"/>
        </w:rPr>
        <w:t xml:space="preserve">5.4 Evaluation of Alignment with Business Objectives </w:t>
      </w:r>
    </w:p>
    <w:p w14:paraId="51D43D08" w14:textId="3F6D33CA" w:rsidR="008769DB" w:rsidRDefault="00417F74" w:rsidP="00CD2A51">
      <w:pPr>
        <w:jc w:val="both"/>
        <w:rPr>
          <w:rFonts w:ascii="Arial" w:hAnsi="Arial" w:cs="Arial"/>
        </w:rPr>
      </w:pPr>
      <w:r w:rsidRPr="00417F74">
        <w:rPr>
          <w:rFonts w:ascii="Arial" w:hAnsi="Arial" w:cs="Arial"/>
          <w:b/>
          <w:bCs/>
        </w:rPr>
        <w:t>Profit-Sustainability Synergy:</w:t>
      </w:r>
      <w:r>
        <w:rPr>
          <w:rFonts w:ascii="Arial" w:hAnsi="Arial" w:cs="Arial"/>
        </w:rPr>
        <w:t xml:space="preserve"> Corporate Social Responsibility (CSR) is closely aligned with the Accelerating the Arches growth strategy, demonstrating that environmental stewardship fosters a sustainable competitive edge (Porter &amp; Kramer, 2011). </w:t>
      </w:r>
    </w:p>
    <w:p w14:paraId="5ADA1210" w14:textId="6EA5BB8B" w:rsidR="00417F74" w:rsidRDefault="00417F74" w:rsidP="00CD2A51">
      <w:pPr>
        <w:jc w:val="both"/>
        <w:rPr>
          <w:rFonts w:ascii="Arial" w:hAnsi="Arial" w:cs="Arial"/>
        </w:rPr>
      </w:pPr>
      <w:r w:rsidRPr="00417F74">
        <w:rPr>
          <w:rFonts w:ascii="Arial" w:hAnsi="Arial" w:cs="Arial"/>
          <w:b/>
          <w:bCs/>
        </w:rPr>
        <w:t>Supply Chain &amp; Operational Resilience:</w:t>
      </w:r>
      <w:r>
        <w:rPr>
          <w:rFonts w:ascii="Arial" w:hAnsi="Arial" w:cs="Arial"/>
        </w:rPr>
        <w:t xml:space="preserve"> Establishing long-term relationships with 23,000 farmers in Britain &amp; Ireland ensures stability in commodities, while the use of predictive AI minimizes food waste &amp; lowers operational costs (Elkington, 1997;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 </w:t>
      </w:r>
    </w:p>
    <w:p w14:paraId="6CB496E5" w14:textId="77777777" w:rsidR="00724EE4" w:rsidRDefault="00724EE4" w:rsidP="00CD2A51">
      <w:pPr>
        <w:jc w:val="both"/>
        <w:rPr>
          <w:rFonts w:ascii="Arial" w:hAnsi="Arial" w:cs="Arial"/>
        </w:rPr>
      </w:pPr>
    </w:p>
    <w:p w14:paraId="117A6B50" w14:textId="506566C9" w:rsidR="00F26B0D" w:rsidRDefault="00F26B0D" w:rsidP="00CD2A51">
      <w:pPr>
        <w:jc w:val="both"/>
        <w:rPr>
          <w:rFonts w:ascii="Arial" w:hAnsi="Arial" w:cs="Arial"/>
          <w:b/>
          <w:bCs/>
          <w:sz w:val="28"/>
          <w:szCs w:val="28"/>
        </w:rPr>
      </w:pPr>
      <w:r w:rsidRPr="00F26B0D">
        <w:rPr>
          <w:rFonts w:ascii="Arial" w:hAnsi="Arial" w:cs="Arial"/>
          <w:b/>
          <w:bCs/>
          <w:sz w:val="28"/>
          <w:szCs w:val="28"/>
        </w:rPr>
        <w:t>6.0 Balanced Scorecard Analysis</w:t>
      </w:r>
    </w:p>
    <w:p w14:paraId="72C1EB90" w14:textId="3924AE91" w:rsidR="00DD7B5F" w:rsidRDefault="00F26B0D" w:rsidP="00CD2A51">
      <w:pPr>
        <w:jc w:val="both"/>
        <w:rPr>
          <w:rFonts w:ascii="Arial" w:hAnsi="Arial" w:cs="Arial"/>
        </w:rPr>
      </w:pPr>
      <w:r>
        <w:rPr>
          <w:rFonts w:ascii="Arial" w:hAnsi="Arial" w:cs="Arial"/>
        </w:rPr>
        <w:t xml:space="preserve">As detailed in the assessment specification, the Balanced Scorecard (Kaplan &amp; Norton, 1992) offers a comprehensive strategic management framework that enhances business evaluation by merging conventional financial indicators with non-financial operational </w:t>
      </w:r>
      <w:r>
        <w:rPr>
          <w:rFonts w:ascii="Arial" w:hAnsi="Arial" w:cs="Arial"/>
        </w:rPr>
        <w:lastRenderedPageBreak/>
        <w:t xml:space="preserve">metrics (Kaplan &amp; Norton, 1996; Madsen, 2025). For McDonald’s Restaurants Limited (UK), this framework facilitates the implementation of corporate growth strategies in conjunction with localized sustainability initiatives by converting overreaching strategy </w:t>
      </w:r>
      <w:r w:rsidR="005043E8">
        <w:rPr>
          <w:rFonts w:ascii="Arial" w:hAnsi="Arial" w:cs="Arial"/>
        </w:rPr>
        <w:t>into practical</w:t>
      </w:r>
      <w:r>
        <w:rPr>
          <w:rFonts w:ascii="Arial" w:hAnsi="Arial" w:cs="Arial"/>
        </w:rPr>
        <w:t xml:space="preserve"> operational objectives across four unique business dimensions (Qian &amp; Chen, 2019; Awadallah, 2024). </w:t>
      </w:r>
    </w:p>
    <w:p w14:paraId="305238C1" w14:textId="77777777" w:rsidR="00DD7B5F" w:rsidRDefault="00DD7B5F" w:rsidP="00CD2A51">
      <w:pPr>
        <w:jc w:val="both"/>
        <w:rPr>
          <w:rFonts w:ascii="Arial" w:hAnsi="Arial" w:cs="Arial"/>
        </w:rPr>
      </w:pPr>
    </w:p>
    <w:p w14:paraId="2AD241A1" w14:textId="5F2C9826" w:rsidR="00DD7B5F" w:rsidRDefault="005043E8" w:rsidP="00CD2A51">
      <w:pPr>
        <w:jc w:val="both"/>
        <w:rPr>
          <w:rFonts w:ascii="Arial" w:hAnsi="Arial" w:cs="Arial"/>
          <w:b/>
          <w:bCs/>
          <w:i/>
          <w:iCs/>
          <w:u w:val="single"/>
        </w:rPr>
      </w:pPr>
      <w:r w:rsidRPr="005043E8">
        <w:rPr>
          <w:rFonts w:ascii="Arial" w:hAnsi="Arial" w:cs="Arial"/>
          <w:b/>
          <w:bCs/>
          <w:i/>
          <w:iCs/>
          <w:u w:val="single"/>
        </w:rPr>
        <w:t>6.1 Financial Perspectives</w:t>
      </w:r>
    </w:p>
    <w:p w14:paraId="5F1C731C" w14:textId="177729F6" w:rsidR="009A4D03" w:rsidRPr="005043E8" w:rsidRDefault="005043E8" w:rsidP="00CD2A51">
      <w:pPr>
        <w:jc w:val="both"/>
        <w:rPr>
          <w:rFonts w:ascii="Arial" w:hAnsi="Arial" w:cs="Arial"/>
        </w:rPr>
      </w:pPr>
      <w:r>
        <w:rPr>
          <w:rFonts w:ascii="Arial" w:hAnsi="Arial" w:cs="Arial"/>
        </w:rPr>
        <w:t xml:space="preserve">This viewpoint emphasizes the importance of achieving sustained &amp; profitable growth while delivering long-term economic value to McDonald’s Corporation &amp; its network of independent franchises (Kaplan &amp; Norton, 2004; Niven, 2014). </w:t>
      </w:r>
      <w:r w:rsidR="00167851">
        <w:rPr>
          <w:rFonts w:ascii="Arial" w:hAnsi="Arial" w:cs="Arial"/>
        </w:rPr>
        <w:t xml:space="preserve"> </w:t>
      </w:r>
    </w:p>
    <w:tbl>
      <w:tblPr>
        <w:tblStyle w:val="GridTable5Dark"/>
        <w:tblW w:w="0" w:type="auto"/>
        <w:tblLook w:val="04A0" w:firstRow="1" w:lastRow="0" w:firstColumn="1" w:lastColumn="0" w:noHBand="0" w:noVBand="1"/>
      </w:tblPr>
      <w:tblGrid>
        <w:gridCol w:w="1870"/>
        <w:gridCol w:w="1870"/>
        <w:gridCol w:w="1870"/>
        <w:gridCol w:w="1870"/>
        <w:gridCol w:w="1870"/>
      </w:tblGrid>
      <w:tr w:rsidR="009A4D03" w14:paraId="6B806F57" w14:textId="77777777" w:rsidTr="00727B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AC0F93A" w14:textId="4E6E1FC2" w:rsidR="009A4D03" w:rsidRDefault="009A4D03" w:rsidP="00CD2A51">
            <w:pPr>
              <w:jc w:val="both"/>
              <w:rPr>
                <w:rFonts w:ascii="Arial" w:hAnsi="Arial" w:cs="Arial"/>
              </w:rPr>
            </w:pPr>
            <w:r>
              <w:rPr>
                <w:rFonts w:ascii="Arial" w:hAnsi="Arial" w:cs="Arial"/>
              </w:rPr>
              <w:t xml:space="preserve">Perspective </w:t>
            </w:r>
          </w:p>
        </w:tc>
        <w:tc>
          <w:tcPr>
            <w:tcW w:w="1870" w:type="dxa"/>
          </w:tcPr>
          <w:p w14:paraId="7825E4C8" w14:textId="482C7394" w:rsidR="009A4D03" w:rsidRDefault="009A4D03"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Objectives </w:t>
            </w:r>
          </w:p>
        </w:tc>
        <w:tc>
          <w:tcPr>
            <w:tcW w:w="1870" w:type="dxa"/>
          </w:tcPr>
          <w:p w14:paraId="60C6CE21" w14:textId="0550379F" w:rsidR="009A4D03" w:rsidRDefault="009A4D03"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KPIs </w:t>
            </w:r>
          </w:p>
        </w:tc>
        <w:tc>
          <w:tcPr>
            <w:tcW w:w="1870" w:type="dxa"/>
          </w:tcPr>
          <w:p w14:paraId="45DEC365" w14:textId="27C7E1E6" w:rsidR="009A4D03" w:rsidRDefault="009A4D03"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Targets</w:t>
            </w:r>
          </w:p>
        </w:tc>
        <w:tc>
          <w:tcPr>
            <w:tcW w:w="1870" w:type="dxa"/>
          </w:tcPr>
          <w:p w14:paraId="0DFAD9C1" w14:textId="40558A9E" w:rsidR="009A4D03" w:rsidRDefault="009A4D03"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Initiatives </w:t>
            </w:r>
          </w:p>
        </w:tc>
      </w:tr>
      <w:tr w:rsidR="009A4D03" w14:paraId="48DF902E" w14:textId="77777777" w:rsidTr="00727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93C5F95" w14:textId="3ACC0FF1" w:rsidR="009A4D03" w:rsidRDefault="009A4D03" w:rsidP="00CD2A51">
            <w:pPr>
              <w:jc w:val="both"/>
              <w:rPr>
                <w:rFonts w:ascii="Arial" w:hAnsi="Arial" w:cs="Arial"/>
              </w:rPr>
            </w:pPr>
            <w:r>
              <w:rPr>
                <w:rFonts w:ascii="Arial" w:hAnsi="Arial" w:cs="Arial"/>
              </w:rPr>
              <w:t xml:space="preserve">Financial </w:t>
            </w:r>
          </w:p>
        </w:tc>
        <w:tc>
          <w:tcPr>
            <w:tcW w:w="1870" w:type="dxa"/>
          </w:tcPr>
          <w:p w14:paraId="5C2B9E16" w14:textId="71215926" w:rsidR="009A4D03" w:rsidRDefault="009A4D03"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Sustained profitable growth </w:t>
            </w:r>
          </w:p>
        </w:tc>
        <w:tc>
          <w:tcPr>
            <w:tcW w:w="1870" w:type="dxa"/>
          </w:tcPr>
          <w:p w14:paraId="105C8C5C" w14:textId="1C741386" w:rsidR="009A4D03" w:rsidRDefault="009A4D03"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Turnover; Profit after tax</w:t>
            </w:r>
          </w:p>
        </w:tc>
        <w:tc>
          <w:tcPr>
            <w:tcW w:w="1870" w:type="dxa"/>
          </w:tcPr>
          <w:p w14:paraId="49815B25" w14:textId="28F194E9" w:rsidR="009A4D03" w:rsidRDefault="009A4D03"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3418F">
              <w:rPr>
                <w:rFonts w:ascii="Arial" w:hAnsi="Arial" w:cs="Arial"/>
              </w:rPr>
              <w:t>£</w:t>
            </w:r>
            <w:r>
              <w:rPr>
                <w:rFonts w:ascii="Arial" w:hAnsi="Arial" w:cs="Arial"/>
              </w:rPr>
              <w:t>1bn investment in UK expansion</w:t>
            </w:r>
          </w:p>
        </w:tc>
        <w:tc>
          <w:tcPr>
            <w:tcW w:w="1870" w:type="dxa"/>
          </w:tcPr>
          <w:p w14:paraId="02927D5A" w14:textId="51151146" w:rsidR="009A4D03" w:rsidRDefault="009A4D03"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4Ds Strategy (Digital, Delivery, Drive-Thru, Development)</w:t>
            </w:r>
          </w:p>
        </w:tc>
      </w:tr>
    </w:tbl>
    <w:p w14:paraId="27965CE7" w14:textId="561E2FCB" w:rsidR="00167851" w:rsidRDefault="00167851" w:rsidP="00CD2A51">
      <w:pPr>
        <w:jc w:val="both"/>
        <w:rPr>
          <w:rFonts w:ascii="Arial" w:hAnsi="Arial" w:cs="Arial"/>
        </w:rPr>
      </w:pPr>
    </w:p>
    <w:p w14:paraId="07E0AF8D" w14:textId="77777777" w:rsidR="004B1363" w:rsidRDefault="004B1363" w:rsidP="00CD2A51">
      <w:pPr>
        <w:jc w:val="both"/>
        <w:rPr>
          <w:rFonts w:ascii="Arial" w:hAnsi="Arial" w:cs="Arial"/>
        </w:rPr>
      </w:pPr>
    </w:p>
    <w:p w14:paraId="05D748C0" w14:textId="77777777" w:rsidR="003A1E6B" w:rsidRDefault="003A1E6B" w:rsidP="00CD2A51">
      <w:pPr>
        <w:jc w:val="both"/>
        <w:rPr>
          <w:rFonts w:ascii="Arial" w:hAnsi="Arial" w:cs="Arial"/>
          <w:b/>
          <w:bCs/>
          <w:i/>
          <w:iCs/>
          <w:u w:val="single"/>
        </w:rPr>
      </w:pPr>
      <w:r w:rsidRPr="003A1E6B">
        <w:rPr>
          <w:rFonts w:ascii="Arial" w:hAnsi="Arial" w:cs="Arial"/>
          <w:b/>
          <w:bCs/>
          <w:i/>
          <w:iCs/>
          <w:u w:val="single"/>
        </w:rPr>
        <w:t>6.2 Customer Perspective</w:t>
      </w:r>
    </w:p>
    <w:p w14:paraId="4F6D5977" w14:textId="53C49841" w:rsidR="00A84245" w:rsidRDefault="003A1E6B" w:rsidP="00CD2A51">
      <w:pPr>
        <w:jc w:val="both"/>
        <w:rPr>
          <w:rFonts w:ascii="Arial" w:hAnsi="Arial" w:cs="Arial"/>
        </w:rPr>
      </w:pPr>
      <w:r>
        <w:rPr>
          <w:rFonts w:ascii="Arial" w:hAnsi="Arial" w:cs="Arial"/>
        </w:rPr>
        <w:t xml:space="preserve">McDonald’s seeks to reinforce its status as the premier omni-channel quick-service restaurant (QSR) by facilitating “delicious feel-good moments for everyone” (Jones et al., 2002; Abdillah &amp; Diana, 2018). </w:t>
      </w:r>
      <w:r w:rsidR="00170952">
        <w:rPr>
          <w:rFonts w:ascii="Arial" w:hAnsi="Arial" w:cs="Arial"/>
        </w:rPr>
        <w:t xml:space="preserve"> </w:t>
      </w:r>
    </w:p>
    <w:tbl>
      <w:tblPr>
        <w:tblStyle w:val="GridTable5Dark"/>
        <w:tblW w:w="0" w:type="auto"/>
        <w:tblLook w:val="04A0" w:firstRow="1" w:lastRow="0" w:firstColumn="1" w:lastColumn="0" w:noHBand="0" w:noVBand="1"/>
      </w:tblPr>
      <w:tblGrid>
        <w:gridCol w:w="1870"/>
        <w:gridCol w:w="1870"/>
        <w:gridCol w:w="1870"/>
        <w:gridCol w:w="1870"/>
        <w:gridCol w:w="1870"/>
      </w:tblGrid>
      <w:tr w:rsidR="00A84245" w:rsidRPr="00A84245" w14:paraId="21284CFE" w14:textId="77777777" w:rsidTr="00727B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9E52419" w14:textId="6602F80F" w:rsidR="00A84245" w:rsidRPr="00A84245" w:rsidRDefault="00A84245" w:rsidP="00CD2A51">
            <w:pPr>
              <w:jc w:val="both"/>
              <w:rPr>
                <w:rFonts w:ascii="Arial" w:hAnsi="Arial" w:cs="Arial"/>
              </w:rPr>
            </w:pPr>
            <w:r w:rsidRPr="00A84245">
              <w:rPr>
                <w:rFonts w:ascii="Arial" w:hAnsi="Arial" w:cs="Arial"/>
              </w:rPr>
              <w:t xml:space="preserve">Perspective </w:t>
            </w:r>
          </w:p>
        </w:tc>
        <w:tc>
          <w:tcPr>
            <w:tcW w:w="1870" w:type="dxa"/>
          </w:tcPr>
          <w:p w14:paraId="36A6891B" w14:textId="0486BA0A" w:rsidR="00A84245" w:rsidRPr="00A84245" w:rsidRDefault="00A84245"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84245">
              <w:rPr>
                <w:rFonts w:ascii="Arial" w:hAnsi="Arial" w:cs="Arial"/>
              </w:rPr>
              <w:t xml:space="preserve">Objective </w:t>
            </w:r>
          </w:p>
        </w:tc>
        <w:tc>
          <w:tcPr>
            <w:tcW w:w="1870" w:type="dxa"/>
          </w:tcPr>
          <w:p w14:paraId="2DE6A93A" w14:textId="28BCE772" w:rsidR="00A84245" w:rsidRPr="00A84245" w:rsidRDefault="00A84245"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84245">
              <w:rPr>
                <w:rFonts w:ascii="Arial" w:hAnsi="Arial" w:cs="Arial"/>
              </w:rPr>
              <w:t>KPIs</w:t>
            </w:r>
          </w:p>
        </w:tc>
        <w:tc>
          <w:tcPr>
            <w:tcW w:w="1870" w:type="dxa"/>
          </w:tcPr>
          <w:p w14:paraId="04F6D670" w14:textId="2F89252E" w:rsidR="00A84245" w:rsidRPr="00A84245" w:rsidRDefault="00A84245"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84245">
              <w:rPr>
                <w:rFonts w:ascii="Arial" w:hAnsi="Arial" w:cs="Arial"/>
              </w:rPr>
              <w:t xml:space="preserve">Targets </w:t>
            </w:r>
          </w:p>
        </w:tc>
        <w:tc>
          <w:tcPr>
            <w:tcW w:w="1870" w:type="dxa"/>
          </w:tcPr>
          <w:p w14:paraId="0C8D3B4A" w14:textId="66DE1FCD" w:rsidR="00A84245" w:rsidRPr="00A84245" w:rsidRDefault="00A84245"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84245">
              <w:rPr>
                <w:rFonts w:ascii="Arial" w:hAnsi="Arial" w:cs="Arial"/>
              </w:rPr>
              <w:t>Initiatives</w:t>
            </w:r>
          </w:p>
        </w:tc>
      </w:tr>
      <w:tr w:rsidR="00A84245" w:rsidRPr="00A84245" w14:paraId="2B640AB3" w14:textId="77777777" w:rsidTr="00727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221E6E36" w14:textId="58A1ABAC" w:rsidR="00A84245" w:rsidRPr="00A84245" w:rsidRDefault="00A84245" w:rsidP="00CD2A51">
            <w:pPr>
              <w:jc w:val="both"/>
              <w:rPr>
                <w:rFonts w:ascii="Arial" w:hAnsi="Arial" w:cs="Arial"/>
              </w:rPr>
            </w:pPr>
            <w:r w:rsidRPr="00A84245">
              <w:rPr>
                <w:rFonts w:ascii="Arial" w:hAnsi="Arial" w:cs="Arial"/>
              </w:rPr>
              <w:t>Customer</w:t>
            </w:r>
          </w:p>
        </w:tc>
        <w:tc>
          <w:tcPr>
            <w:tcW w:w="1870" w:type="dxa"/>
          </w:tcPr>
          <w:p w14:paraId="0476E177" w14:textId="336140C1" w:rsidR="00A84245" w:rsidRPr="00A84245" w:rsidRDefault="00A84245"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84245">
              <w:rPr>
                <w:rFonts w:ascii="Arial" w:hAnsi="Arial" w:cs="Arial"/>
              </w:rPr>
              <w:t xml:space="preserve">Customer trust &amp; brand appeal </w:t>
            </w:r>
          </w:p>
        </w:tc>
        <w:tc>
          <w:tcPr>
            <w:tcW w:w="1870" w:type="dxa"/>
          </w:tcPr>
          <w:p w14:paraId="5FB44F85" w14:textId="719E5A75" w:rsidR="00A84245" w:rsidRPr="00A84245" w:rsidRDefault="00A84245"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84245">
              <w:rPr>
                <w:rFonts w:ascii="Arial" w:hAnsi="Arial" w:cs="Arial"/>
              </w:rPr>
              <w:t>App Registrations (5m+)</w:t>
            </w:r>
          </w:p>
        </w:tc>
        <w:tc>
          <w:tcPr>
            <w:tcW w:w="1870" w:type="dxa"/>
          </w:tcPr>
          <w:p w14:paraId="235B917C" w14:textId="77B4D224" w:rsidR="00A84245" w:rsidRPr="00A84245" w:rsidRDefault="00A84245"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84245">
              <w:rPr>
                <w:rFonts w:ascii="Arial" w:hAnsi="Arial" w:cs="Arial"/>
              </w:rPr>
              <w:t xml:space="preserve">Leader in plant-based/vegan offerings </w:t>
            </w:r>
          </w:p>
        </w:tc>
        <w:tc>
          <w:tcPr>
            <w:tcW w:w="1870" w:type="dxa"/>
          </w:tcPr>
          <w:p w14:paraId="0AE918AB" w14:textId="51EE019D" w:rsidR="00A84245" w:rsidRPr="00A84245" w:rsidRDefault="00A84245"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A84245">
              <w:rPr>
                <w:rFonts w:ascii="Arial" w:hAnsi="Arial" w:cs="Arial"/>
              </w:rPr>
              <w:t>MyMcDonald’s</w:t>
            </w:r>
            <w:proofErr w:type="spellEnd"/>
            <w:r w:rsidRPr="00A84245">
              <w:rPr>
                <w:rFonts w:ascii="Arial" w:hAnsi="Arial" w:cs="Arial"/>
              </w:rPr>
              <w:t xml:space="preserve"> Rewards &amp; digital signposting </w:t>
            </w:r>
          </w:p>
        </w:tc>
      </w:tr>
    </w:tbl>
    <w:p w14:paraId="5A16C263" w14:textId="77777777" w:rsidR="00E0461E" w:rsidRDefault="00E0461E" w:rsidP="00CD2A51">
      <w:pPr>
        <w:jc w:val="both"/>
        <w:rPr>
          <w:rFonts w:ascii="Arial" w:hAnsi="Arial" w:cs="Arial"/>
        </w:rPr>
      </w:pPr>
    </w:p>
    <w:p w14:paraId="471348D1" w14:textId="51DE595A" w:rsidR="00E94A13" w:rsidRDefault="003A1E6B" w:rsidP="00CD2A51">
      <w:pPr>
        <w:jc w:val="both"/>
        <w:rPr>
          <w:rFonts w:ascii="Arial" w:hAnsi="Arial" w:cs="Arial"/>
        </w:rPr>
      </w:pPr>
      <w:r w:rsidRPr="00A84245">
        <w:rPr>
          <w:rFonts w:ascii="Arial" w:hAnsi="Arial" w:cs="Arial"/>
        </w:rPr>
        <w:t xml:space="preserve"> </w:t>
      </w:r>
    </w:p>
    <w:p w14:paraId="1DB80DAB" w14:textId="3A89C1D8" w:rsidR="00E0461E" w:rsidRDefault="00E006C1" w:rsidP="00CD2A51">
      <w:pPr>
        <w:jc w:val="both"/>
        <w:rPr>
          <w:rFonts w:ascii="Arial" w:hAnsi="Arial" w:cs="Arial"/>
          <w:b/>
          <w:bCs/>
          <w:i/>
          <w:iCs/>
          <w:u w:val="single"/>
        </w:rPr>
      </w:pPr>
      <w:r w:rsidRPr="00E006C1">
        <w:rPr>
          <w:rFonts w:ascii="Arial" w:hAnsi="Arial" w:cs="Arial"/>
          <w:b/>
          <w:bCs/>
          <w:i/>
          <w:iCs/>
          <w:u w:val="single"/>
        </w:rPr>
        <w:t>6.3 Internal Business Process Perspectiv</w:t>
      </w:r>
      <w:r w:rsidR="00E0461E">
        <w:rPr>
          <w:rFonts w:ascii="Arial" w:hAnsi="Arial" w:cs="Arial"/>
          <w:b/>
          <w:bCs/>
          <w:i/>
          <w:iCs/>
          <w:u w:val="single"/>
        </w:rPr>
        <w:t>e</w:t>
      </w:r>
    </w:p>
    <w:p w14:paraId="4D3ED404" w14:textId="58608917" w:rsidR="00EA65BA" w:rsidRDefault="00E006C1" w:rsidP="00CD2A51">
      <w:pPr>
        <w:jc w:val="both"/>
        <w:rPr>
          <w:rFonts w:ascii="Arial" w:hAnsi="Arial" w:cs="Arial"/>
        </w:rPr>
      </w:pPr>
      <w:r>
        <w:rPr>
          <w:rFonts w:ascii="Arial" w:hAnsi="Arial" w:cs="Arial"/>
        </w:rPr>
        <w:t xml:space="preserve">This perspective assesses the efficiency of internal operations, the optimization of digital processes, and the environmental sustainability of the entire supply chain (Figge et al., 2002; </w:t>
      </w:r>
      <w:proofErr w:type="spellStart"/>
      <w:r>
        <w:rPr>
          <w:rFonts w:ascii="Arial" w:hAnsi="Arial" w:cs="Arial"/>
        </w:rPr>
        <w:t>Schaltegger</w:t>
      </w:r>
      <w:proofErr w:type="spellEnd"/>
      <w:r>
        <w:rPr>
          <w:rFonts w:ascii="Arial" w:hAnsi="Arial" w:cs="Arial"/>
        </w:rPr>
        <w:t xml:space="preserve"> &amp; Wagner, 2006). </w:t>
      </w:r>
      <w:r w:rsidR="00EA65BA">
        <w:rPr>
          <w:rFonts w:ascii="Arial" w:hAnsi="Arial" w:cs="Arial"/>
        </w:rPr>
        <w:t xml:space="preserve"> </w:t>
      </w:r>
    </w:p>
    <w:p w14:paraId="72015052" w14:textId="77777777" w:rsidR="00AF3611" w:rsidRDefault="00AF3611" w:rsidP="00CD2A51">
      <w:pPr>
        <w:jc w:val="both"/>
        <w:rPr>
          <w:rFonts w:ascii="Arial" w:hAnsi="Arial" w:cs="Arial"/>
        </w:rPr>
      </w:pPr>
    </w:p>
    <w:p w14:paraId="37727151" w14:textId="77777777" w:rsidR="00417F74" w:rsidRDefault="00417F74" w:rsidP="00CD2A51">
      <w:pPr>
        <w:jc w:val="both"/>
        <w:rPr>
          <w:rFonts w:ascii="Arial" w:hAnsi="Arial" w:cs="Arial"/>
        </w:rPr>
      </w:pPr>
    </w:p>
    <w:tbl>
      <w:tblPr>
        <w:tblStyle w:val="GridTable5Dark"/>
        <w:tblW w:w="0" w:type="auto"/>
        <w:tblLook w:val="04A0" w:firstRow="1" w:lastRow="0" w:firstColumn="1" w:lastColumn="0" w:noHBand="0" w:noVBand="1"/>
      </w:tblPr>
      <w:tblGrid>
        <w:gridCol w:w="1870"/>
        <w:gridCol w:w="1870"/>
        <w:gridCol w:w="1870"/>
        <w:gridCol w:w="1870"/>
        <w:gridCol w:w="1870"/>
      </w:tblGrid>
      <w:tr w:rsidR="00604648" w14:paraId="3F5C5C93" w14:textId="77777777" w:rsidTr="00727B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04DE1F6" w14:textId="0BEAAF28" w:rsidR="00604648" w:rsidRDefault="00604648" w:rsidP="00CD2A51">
            <w:pPr>
              <w:jc w:val="both"/>
              <w:rPr>
                <w:rFonts w:ascii="Arial" w:hAnsi="Arial" w:cs="Arial"/>
              </w:rPr>
            </w:pPr>
            <w:r>
              <w:rPr>
                <w:rFonts w:ascii="Arial" w:hAnsi="Arial" w:cs="Arial"/>
              </w:rPr>
              <w:lastRenderedPageBreak/>
              <w:t xml:space="preserve">Perspective </w:t>
            </w:r>
          </w:p>
        </w:tc>
        <w:tc>
          <w:tcPr>
            <w:tcW w:w="1870" w:type="dxa"/>
          </w:tcPr>
          <w:p w14:paraId="26E27794" w14:textId="2FDC4508" w:rsidR="00604648" w:rsidRDefault="00604648"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Objectives </w:t>
            </w:r>
          </w:p>
        </w:tc>
        <w:tc>
          <w:tcPr>
            <w:tcW w:w="1870" w:type="dxa"/>
          </w:tcPr>
          <w:p w14:paraId="5912411B" w14:textId="4A035463" w:rsidR="00604648" w:rsidRDefault="00604648"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KPIs</w:t>
            </w:r>
          </w:p>
        </w:tc>
        <w:tc>
          <w:tcPr>
            <w:tcW w:w="1870" w:type="dxa"/>
          </w:tcPr>
          <w:p w14:paraId="2C588892" w14:textId="1A73E060" w:rsidR="00604648" w:rsidRDefault="00604648"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Targets</w:t>
            </w:r>
          </w:p>
        </w:tc>
        <w:tc>
          <w:tcPr>
            <w:tcW w:w="1870" w:type="dxa"/>
          </w:tcPr>
          <w:p w14:paraId="5B7C01C2" w14:textId="7CDA795D" w:rsidR="00604648" w:rsidRDefault="00604648"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Initiative</w:t>
            </w:r>
          </w:p>
        </w:tc>
      </w:tr>
      <w:tr w:rsidR="00604648" w14:paraId="0A51E8DB" w14:textId="77777777" w:rsidTr="00727B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55838DC" w14:textId="75BC423C" w:rsidR="00604648" w:rsidRDefault="00604648" w:rsidP="00CD2A51">
            <w:pPr>
              <w:jc w:val="both"/>
              <w:rPr>
                <w:rFonts w:ascii="Arial" w:hAnsi="Arial" w:cs="Arial"/>
              </w:rPr>
            </w:pPr>
            <w:r>
              <w:rPr>
                <w:rFonts w:ascii="Arial" w:hAnsi="Arial" w:cs="Arial"/>
              </w:rPr>
              <w:t>Internal process</w:t>
            </w:r>
          </w:p>
        </w:tc>
        <w:tc>
          <w:tcPr>
            <w:tcW w:w="1870" w:type="dxa"/>
          </w:tcPr>
          <w:p w14:paraId="348A385F" w14:textId="06B8E4AF" w:rsidR="00604648" w:rsidRDefault="00604648"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Operational efficiency &amp; ethical sourcing </w:t>
            </w:r>
          </w:p>
        </w:tc>
        <w:tc>
          <w:tcPr>
            <w:tcW w:w="1870" w:type="dxa"/>
          </w:tcPr>
          <w:p w14:paraId="35A1764B" w14:textId="13C6B172" w:rsidR="00604648" w:rsidRDefault="00604648"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Deforestation-free priority items; Net-Zero builds</w:t>
            </w:r>
          </w:p>
        </w:tc>
        <w:tc>
          <w:tcPr>
            <w:tcW w:w="1870" w:type="dxa"/>
          </w:tcPr>
          <w:p w14:paraId="0E43F6A9" w14:textId="261C3463" w:rsidR="00604648" w:rsidRDefault="00604648"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Net Zero emissions by 2040; 93% sustainable packaging </w:t>
            </w:r>
          </w:p>
        </w:tc>
        <w:tc>
          <w:tcPr>
            <w:tcW w:w="1870" w:type="dxa"/>
          </w:tcPr>
          <w:p w14:paraId="605A7BF2" w14:textId="3F405730" w:rsidR="00604648" w:rsidRDefault="00604648"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PACE consultancy &amp; AI-driven predictive logistics </w:t>
            </w:r>
          </w:p>
        </w:tc>
      </w:tr>
    </w:tbl>
    <w:p w14:paraId="314A2CF1" w14:textId="77777777" w:rsidR="001E6A0C" w:rsidRDefault="001E6A0C" w:rsidP="00CD2A51">
      <w:pPr>
        <w:jc w:val="both"/>
        <w:rPr>
          <w:rFonts w:ascii="Arial" w:hAnsi="Arial" w:cs="Arial"/>
        </w:rPr>
      </w:pPr>
    </w:p>
    <w:p w14:paraId="3C0FD800" w14:textId="01E7315D" w:rsidR="00365906" w:rsidRDefault="00365906" w:rsidP="00CD2A51">
      <w:pPr>
        <w:jc w:val="both"/>
        <w:rPr>
          <w:rFonts w:ascii="Arial" w:hAnsi="Arial" w:cs="Arial"/>
          <w:b/>
          <w:bCs/>
          <w:i/>
          <w:iCs/>
          <w:u w:val="single"/>
        </w:rPr>
      </w:pPr>
      <w:r w:rsidRPr="00365906">
        <w:rPr>
          <w:rFonts w:ascii="Arial" w:hAnsi="Arial" w:cs="Arial"/>
          <w:b/>
          <w:bCs/>
          <w:i/>
          <w:iCs/>
          <w:u w:val="single"/>
        </w:rPr>
        <w:t>6.4 Learning &amp; Growth Perspective</w:t>
      </w:r>
    </w:p>
    <w:p w14:paraId="527DFD44" w14:textId="3F1B1017" w:rsidR="00823989" w:rsidRDefault="00647020" w:rsidP="00CD2A51">
      <w:pPr>
        <w:jc w:val="both"/>
        <w:rPr>
          <w:rFonts w:ascii="Arial" w:hAnsi="Arial" w:cs="Arial"/>
        </w:rPr>
      </w:pPr>
      <w:r>
        <w:rPr>
          <w:rFonts w:ascii="Arial" w:hAnsi="Arial" w:cs="Arial"/>
        </w:rPr>
        <w:t xml:space="preserve">This viewpoint emphasizes the importance of strategic human capital management, fostering an organizational culture that values diversity and equity, as well as establishing structures pathways for talent development (Becker et al., 2001). </w:t>
      </w:r>
      <w:r w:rsidR="00823989">
        <w:rPr>
          <w:rFonts w:ascii="Arial" w:hAnsi="Arial" w:cs="Arial"/>
        </w:rPr>
        <w:t xml:space="preserve"> </w:t>
      </w:r>
    </w:p>
    <w:tbl>
      <w:tblPr>
        <w:tblStyle w:val="GridTable5Dark"/>
        <w:tblW w:w="0" w:type="auto"/>
        <w:tblLook w:val="04A0" w:firstRow="1" w:lastRow="0" w:firstColumn="1" w:lastColumn="0" w:noHBand="0" w:noVBand="1"/>
      </w:tblPr>
      <w:tblGrid>
        <w:gridCol w:w="1870"/>
        <w:gridCol w:w="1870"/>
        <w:gridCol w:w="1870"/>
        <w:gridCol w:w="1870"/>
        <w:gridCol w:w="1870"/>
      </w:tblGrid>
      <w:tr w:rsidR="006A68F4" w14:paraId="321C3E59" w14:textId="77777777" w:rsidTr="00915D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71C0A73" w14:textId="4F500472" w:rsidR="006A68F4" w:rsidRDefault="006A68F4" w:rsidP="00CD2A51">
            <w:pPr>
              <w:jc w:val="both"/>
              <w:rPr>
                <w:rFonts w:ascii="Arial" w:hAnsi="Arial" w:cs="Arial"/>
              </w:rPr>
            </w:pPr>
            <w:r>
              <w:rPr>
                <w:rFonts w:ascii="Arial" w:hAnsi="Arial" w:cs="Arial"/>
              </w:rPr>
              <w:t xml:space="preserve">Perspective </w:t>
            </w:r>
          </w:p>
        </w:tc>
        <w:tc>
          <w:tcPr>
            <w:tcW w:w="1870" w:type="dxa"/>
          </w:tcPr>
          <w:p w14:paraId="19C9B419" w14:textId="5FFA241C" w:rsidR="006A68F4" w:rsidRDefault="006A68F4"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Objectives </w:t>
            </w:r>
          </w:p>
        </w:tc>
        <w:tc>
          <w:tcPr>
            <w:tcW w:w="1870" w:type="dxa"/>
          </w:tcPr>
          <w:p w14:paraId="6A0EE025" w14:textId="0D3A77CB" w:rsidR="006A68F4" w:rsidRDefault="006A68F4"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KPIs</w:t>
            </w:r>
          </w:p>
        </w:tc>
        <w:tc>
          <w:tcPr>
            <w:tcW w:w="1870" w:type="dxa"/>
          </w:tcPr>
          <w:p w14:paraId="57B9ED11" w14:textId="34C81722" w:rsidR="006A68F4" w:rsidRDefault="006A68F4"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Targets</w:t>
            </w:r>
          </w:p>
        </w:tc>
        <w:tc>
          <w:tcPr>
            <w:tcW w:w="1870" w:type="dxa"/>
          </w:tcPr>
          <w:p w14:paraId="12C88829" w14:textId="577B5092" w:rsidR="006A68F4" w:rsidRDefault="006A68F4"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Initiatives </w:t>
            </w:r>
          </w:p>
        </w:tc>
      </w:tr>
      <w:tr w:rsidR="006A68F4" w14:paraId="172286A0" w14:textId="77777777" w:rsidTr="00915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090B1AE" w14:textId="0FDE40A6" w:rsidR="006A68F4" w:rsidRDefault="006A68F4" w:rsidP="00CD2A51">
            <w:pPr>
              <w:jc w:val="both"/>
              <w:rPr>
                <w:rFonts w:ascii="Arial" w:hAnsi="Arial" w:cs="Arial"/>
              </w:rPr>
            </w:pPr>
            <w:r>
              <w:rPr>
                <w:rFonts w:ascii="Arial" w:hAnsi="Arial" w:cs="Arial"/>
              </w:rPr>
              <w:t xml:space="preserve">Learning &amp; Growth </w:t>
            </w:r>
          </w:p>
        </w:tc>
        <w:tc>
          <w:tcPr>
            <w:tcW w:w="1870" w:type="dxa"/>
          </w:tcPr>
          <w:p w14:paraId="49FD0F6A" w14:textId="16F885AF" w:rsidR="006A68F4" w:rsidRDefault="006A68F4"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SRI workplace culture &amp; human capital </w:t>
            </w:r>
          </w:p>
        </w:tc>
        <w:tc>
          <w:tcPr>
            <w:tcW w:w="1870" w:type="dxa"/>
          </w:tcPr>
          <w:p w14:paraId="0C453FFC" w14:textId="0AFFDD52" w:rsidR="006A68F4" w:rsidRDefault="006A68F4"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Median Gender Pay Gap; Engagement survey response </w:t>
            </w:r>
          </w:p>
        </w:tc>
        <w:tc>
          <w:tcPr>
            <w:tcW w:w="1870" w:type="dxa"/>
          </w:tcPr>
          <w:p w14:paraId="57B469C2" w14:textId="47207AB8" w:rsidR="006A68F4" w:rsidRDefault="006A68F4"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0% median gender pay gap; 52% female leadership</w:t>
            </w:r>
          </w:p>
        </w:tc>
        <w:tc>
          <w:tcPr>
            <w:tcW w:w="1870" w:type="dxa"/>
          </w:tcPr>
          <w:p w14:paraId="3F4A0EB2" w14:textId="2DEE4C7F" w:rsidR="006A68F4" w:rsidRDefault="006A68F4"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“Makin It” strategy &amp; Restaurant to Corporate Bridge </w:t>
            </w:r>
          </w:p>
        </w:tc>
      </w:tr>
    </w:tbl>
    <w:p w14:paraId="2148AC3E" w14:textId="77777777" w:rsidR="00E0461E" w:rsidRDefault="00E0461E" w:rsidP="00CD2A51">
      <w:pPr>
        <w:jc w:val="both"/>
        <w:rPr>
          <w:rFonts w:ascii="Arial" w:hAnsi="Arial" w:cs="Arial"/>
          <w:b/>
          <w:bCs/>
          <w:sz w:val="28"/>
          <w:szCs w:val="28"/>
        </w:rPr>
      </w:pPr>
    </w:p>
    <w:p w14:paraId="581995C7" w14:textId="407D483A" w:rsidR="006A68F4" w:rsidRDefault="00FD4079" w:rsidP="00CD2A51">
      <w:pPr>
        <w:jc w:val="both"/>
        <w:rPr>
          <w:rFonts w:ascii="Arial" w:hAnsi="Arial" w:cs="Arial"/>
          <w:b/>
          <w:bCs/>
          <w:sz w:val="28"/>
          <w:szCs w:val="28"/>
        </w:rPr>
      </w:pPr>
      <w:r w:rsidRPr="00FD4079">
        <w:rPr>
          <w:rFonts w:ascii="Arial" w:hAnsi="Arial" w:cs="Arial"/>
          <w:b/>
          <w:bCs/>
          <w:sz w:val="28"/>
          <w:szCs w:val="28"/>
        </w:rPr>
        <w:t>5.0 Identification of Current Strategy: “Accelerating the Arches”</w:t>
      </w:r>
    </w:p>
    <w:p w14:paraId="3F9E0E2F" w14:textId="1CB8F411" w:rsidR="00FD4079" w:rsidRDefault="00FD4079" w:rsidP="00CD2A51">
      <w:pPr>
        <w:jc w:val="both"/>
        <w:rPr>
          <w:rFonts w:ascii="Arial" w:hAnsi="Arial" w:cs="Arial"/>
        </w:rPr>
      </w:pPr>
      <w:r>
        <w:rPr>
          <w:rFonts w:ascii="Arial" w:hAnsi="Arial" w:cs="Arial"/>
        </w:rPr>
        <w:t>McDonald’s UK operates under the global growth strategy known as “Accelerating the Arches,” which provides the framework for its strategic positioning (McDonald’s Corporation, 2020; AP Capital Research, 2025). This strategy emphasizes five essential areas: purpose, mission, values, growth pillars, and the foundation of effective restaurant operations. At the heart of this strategy are three growth pillars:</w:t>
      </w:r>
    </w:p>
    <w:p w14:paraId="58A1AC9F" w14:textId="6A6D4270" w:rsidR="00FD4079" w:rsidRDefault="00FD4079" w:rsidP="00CD2A51">
      <w:pPr>
        <w:jc w:val="both"/>
        <w:rPr>
          <w:rFonts w:ascii="Arial" w:hAnsi="Arial" w:cs="Arial"/>
        </w:rPr>
      </w:pPr>
      <w:r>
        <w:rPr>
          <w:rFonts w:ascii="Arial" w:hAnsi="Arial" w:cs="Arial"/>
          <w:b/>
          <w:bCs/>
        </w:rPr>
        <w:t xml:space="preserve">Maximizing Marketing: </w:t>
      </w:r>
      <w:r>
        <w:rPr>
          <w:rFonts w:ascii="Arial" w:hAnsi="Arial" w:cs="Arial"/>
        </w:rPr>
        <w:t xml:space="preserve">Concentrating on core brand equity and affordability messaging (McDonald’s Corporation, 2023). </w:t>
      </w:r>
    </w:p>
    <w:p w14:paraId="56B527B3" w14:textId="07A4C66C" w:rsidR="00FD4079" w:rsidRDefault="00FD4079" w:rsidP="00CD2A51">
      <w:pPr>
        <w:jc w:val="both"/>
        <w:rPr>
          <w:rFonts w:ascii="Arial" w:hAnsi="Arial" w:cs="Arial"/>
        </w:rPr>
      </w:pPr>
      <w:r>
        <w:rPr>
          <w:rFonts w:ascii="Arial" w:hAnsi="Arial" w:cs="Arial"/>
          <w:b/>
          <w:bCs/>
        </w:rPr>
        <w:t xml:space="preserve">Committing to the Core: </w:t>
      </w:r>
      <w:r>
        <w:rPr>
          <w:rFonts w:ascii="Arial" w:hAnsi="Arial" w:cs="Arial"/>
        </w:rPr>
        <w:t xml:space="preserve">Reinforcing customer favorites within the beef, chicken, and coffee menu categories (AP Capital Research, 2025). </w:t>
      </w:r>
    </w:p>
    <w:p w14:paraId="206ED464" w14:textId="0F34158A" w:rsidR="00FD4079" w:rsidRDefault="00FD4079" w:rsidP="00CD2A51">
      <w:pPr>
        <w:jc w:val="both"/>
        <w:rPr>
          <w:rFonts w:ascii="Arial" w:hAnsi="Arial" w:cs="Arial"/>
        </w:rPr>
      </w:pPr>
      <w:r>
        <w:rPr>
          <w:rFonts w:ascii="Arial" w:hAnsi="Arial" w:cs="Arial"/>
          <w:b/>
          <w:bCs/>
        </w:rPr>
        <w:t xml:space="preserve">Doubling Down on the 4Ds: </w:t>
      </w:r>
      <w:r>
        <w:rPr>
          <w:rFonts w:ascii="Arial" w:hAnsi="Arial" w:cs="Arial"/>
        </w:rPr>
        <w:t xml:space="preserve">Capitalizing on Digital, Delivery, Drive-Thru, and Restaurant Development to meet evolving consumer expectations </w:t>
      </w:r>
      <w:r w:rsidR="00544284">
        <w:rPr>
          <w:rFonts w:ascii="Arial" w:hAnsi="Arial" w:cs="Arial"/>
        </w:rPr>
        <w:t xml:space="preserve">(Gilbert, 2022). </w:t>
      </w:r>
    </w:p>
    <w:p w14:paraId="78B1109C" w14:textId="77777777" w:rsidR="00544284" w:rsidRDefault="00544284" w:rsidP="00CD2A51">
      <w:pPr>
        <w:jc w:val="both"/>
        <w:rPr>
          <w:rFonts w:ascii="Arial" w:hAnsi="Arial" w:cs="Arial"/>
        </w:rPr>
      </w:pPr>
    </w:p>
    <w:p w14:paraId="46CBD1F5" w14:textId="3BBF2E7B" w:rsidR="00544284" w:rsidRDefault="00544284" w:rsidP="00CD2A51">
      <w:pPr>
        <w:jc w:val="both"/>
        <w:rPr>
          <w:rFonts w:ascii="Arial" w:hAnsi="Arial" w:cs="Arial"/>
          <w:b/>
          <w:bCs/>
          <w:i/>
          <w:iCs/>
          <w:u w:val="single"/>
        </w:rPr>
      </w:pPr>
      <w:r w:rsidRPr="00544284">
        <w:rPr>
          <w:rFonts w:ascii="Arial" w:hAnsi="Arial" w:cs="Arial"/>
          <w:b/>
          <w:bCs/>
          <w:i/>
          <w:iCs/>
          <w:u w:val="single"/>
        </w:rPr>
        <w:t xml:space="preserve">5.1 Porter’s Generic Strategies Analysis </w:t>
      </w:r>
    </w:p>
    <w:p w14:paraId="1F0707D3" w14:textId="608877D5" w:rsidR="00544284" w:rsidRDefault="00C6611F" w:rsidP="00CD2A51">
      <w:pPr>
        <w:jc w:val="both"/>
        <w:rPr>
          <w:rFonts w:ascii="Arial" w:hAnsi="Arial" w:cs="Arial"/>
        </w:rPr>
      </w:pPr>
      <w:r>
        <w:rPr>
          <w:rFonts w:ascii="Arial" w:hAnsi="Arial" w:cs="Arial"/>
        </w:rPr>
        <w:t>McDonald’s UK implements a hybrid competitive strategy that merges cost leadership with differentiation, thereby maintaining its market dominance and contesting the notion that companies must adhere to a singular strategic approach</w:t>
      </w:r>
      <w:r w:rsidR="00544284">
        <w:rPr>
          <w:rFonts w:ascii="Arial" w:hAnsi="Arial" w:cs="Arial"/>
        </w:rPr>
        <w:t xml:space="preserve"> (Porter, 1985; Spanos, </w:t>
      </w:r>
      <w:proofErr w:type="spellStart"/>
      <w:r w:rsidR="00544284">
        <w:rPr>
          <w:rFonts w:ascii="Arial" w:hAnsi="Arial" w:cs="Arial"/>
        </w:rPr>
        <w:t>Zaralis</w:t>
      </w:r>
      <w:proofErr w:type="spellEnd"/>
      <w:r w:rsidR="00544284">
        <w:rPr>
          <w:rFonts w:ascii="Arial" w:hAnsi="Arial" w:cs="Arial"/>
        </w:rPr>
        <w:t xml:space="preserve"> &amp; </w:t>
      </w:r>
      <w:proofErr w:type="spellStart"/>
      <w:r w:rsidR="00544284">
        <w:rPr>
          <w:rFonts w:ascii="Arial" w:hAnsi="Arial" w:cs="Arial"/>
        </w:rPr>
        <w:t>Lioukas</w:t>
      </w:r>
      <w:proofErr w:type="spellEnd"/>
      <w:r w:rsidR="00544284">
        <w:rPr>
          <w:rFonts w:ascii="Arial" w:hAnsi="Arial" w:cs="Arial"/>
        </w:rPr>
        <w:t>, 2004</w:t>
      </w:r>
      <w:r w:rsidR="00AC55C3">
        <w:rPr>
          <w:rFonts w:ascii="Arial" w:hAnsi="Arial" w:cs="Arial"/>
        </w:rPr>
        <w:t xml:space="preserve">; </w:t>
      </w:r>
      <w:proofErr w:type="spellStart"/>
      <w:r w:rsidR="00AC55C3">
        <w:rPr>
          <w:rFonts w:ascii="Arial" w:hAnsi="Arial" w:cs="Arial"/>
        </w:rPr>
        <w:t>Baroto</w:t>
      </w:r>
      <w:proofErr w:type="spellEnd"/>
      <w:r w:rsidR="00AC55C3">
        <w:rPr>
          <w:rFonts w:ascii="Arial" w:hAnsi="Arial" w:cs="Arial"/>
        </w:rPr>
        <w:t xml:space="preserve"> et al., 2012</w:t>
      </w:r>
      <w:r w:rsidR="00544284">
        <w:rPr>
          <w:rFonts w:ascii="Arial" w:hAnsi="Arial" w:cs="Arial"/>
        </w:rPr>
        <w:t xml:space="preserve">). </w:t>
      </w:r>
    </w:p>
    <w:p w14:paraId="03A3EB8B" w14:textId="381A1F9B" w:rsidR="00544284" w:rsidRDefault="00544284" w:rsidP="00CD2A51">
      <w:pPr>
        <w:jc w:val="both"/>
        <w:rPr>
          <w:rFonts w:ascii="Arial" w:hAnsi="Arial" w:cs="Arial"/>
        </w:rPr>
      </w:pPr>
      <w:r>
        <w:rPr>
          <w:rFonts w:ascii="Arial" w:hAnsi="Arial" w:cs="Arial"/>
          <w:b/>
          <w:bCs/>
        </w:rPr>
        <w:lastRenderedPageBreak/>
        <w:t xml:space="preserve">Cost Leadership: </w:t>
      </w:r>
      <w:r w:rsidR="00AC55C3">
        <w:rPr>
          <w:rFonts w:ascii="Arial" w:hAnsi="Arial" w:cs="Arial"/>
        </w:rPr>
        <w:t>This strategy emphasizes consistent affordability by leveraging economies of scale and an 89% franchised model to ensure stable cash flow &amp; operational efficiency (</w:t>
      </w:r>
      <w:r w:rsidR="00285422">
        <w:rPr>
          <w:rFonts w:ascii="Arial" w:hAnsi="Arial" w:cs="Arial"/>
        </w:rPr>
        <w:t xml:space="preserve">Love, 1995; McDonald’s UK, 2024). </w:t>
      </w:r>
    </w:p>
    <w:p w14:paraId="5B04B18A" w14:textId="1843A81C" w:rsidR="00285422" w:rsidRDefault="00662310" w:rsidP="00CD2A51">
      <w:pPr>
        <w:jc w:val="both"/>
        <w:rPr>
          <w:rFonts w:ascii="Arial" w:hAnsi="Arial" w:cs="Arial"/>
        </w:rPr>
      </w:pPr>
      <w:r>
        <w:rPr>
          <w:rFonts w:ascii="Arial" w:hAnsi="Arial" w:cs="Arial"/>
          <w:b/>
          <w:bCs/>
        </w:rPr>
        <w:t xml:space="preserve">Differentiation: </w:t>
      </w:r>
      <w:r w:rsidR="00AC55C3">
        <w:rPr>
          <w:rFonts w:ascii="Arial" w:hAnsi="Arial" w:cs="Arial"/>
        </w:rPr>
        <w:t>This aspect enhances digital engagement through omnichannel strategies, resulting in over 5 million app registrations, positions McDonald’s as a leader in the UK vegan fast-food market</w:t>
      </w:r>
      <w:r>
        <w:rPr>
          <w:rFonts w:ascii="Arial" w:hAnsi="Arial" w:cs="Arial"/>
        </w:rPr>
        <w:t xml:space="preserve"> (</w:t>
      </w:r>
      <w:proofErr w:type="spellStart"/>
      <w:r w:rsidR="00AC55C3">
        <w:rPr>
          <w:rFonts w:ascii="Arial" w:hAnsi="Arial" w:cs="Arial"/>
        </w:rPr>
        <w:t>QuestionPro</w:t>
      </w:r>
      <w:proofErr w:type="spellEnd"/>
      <w:r w:rsidR="00AC55C3">
        <w:rPr>
          <w:rFonts w:ascii="Arial" w:hAnsi="Arial" w:cs="Arial"/>
        </w:rPr>
        <w:t xml:space="preserve">, 2023; AMW, 2025; </w:t>
      </w:r>
      <w:proofErr w:type="spellStart"/>
      <w:r>
        <w:rPr>
          <w:rFonts w:ascii="Arial" w:hAnsi="Arial" w:cs="Arial"/>
        </w:rPr>
        <w:t>Groth</w:t>
      </w:r>
      <w:proofErr w:type="spellEnd"/>
      <w:r>
        <w:rPr>
          <w:rFonts w:ascii="Arial" w:hAnsi="Arial" w:cs="Arial"/>
        </w:rPr>
        <w:t xml:space="preserve">, 2025). </w:t>
      </w:r>
    </w:p>
    <w:p w14:paraId="5E061820" w14:textId="350C10F7" w:rsidR="00662310" w:rsidRDefault="00662310" w:rsidP="00CD2A51">
      <w:pPr>
        <w:jc w:val="both"/>
        <w:rPr>
          <w:rFonts w:ascii="Arial" w:hAnsi="Arial" w:cs="Arial"/>
        </w:rPr>
      </w:pPr>
      <w:r>
        <w:rPr>
          <w:rFonts w:ascii="Arial" w:hAnsi="Arial" w:cs="Arial"/>
          <w:b/>
          <w:bCs/>
        </w:rPr>
        <w:t xml:space="preserve">Focus Strategy: </w:t>
      </w:r>
      <w:r w:rsidR="00AC55C3">
        <w:rPr>
          <w:rFonts w:ascii="Arial" w:hAnsi="Arial" w:cs="Arial"/>
        </w:rPr>
        <w:t xml:space="preserve">The company employs format-centric growth </w:t>
      </w:r>
      <w:r w:rsidR="00CF1CEF">
        <w:rPr>
          <w:rFonts w:ascii="Arial" w:hAnsi="Arial" w:cs="Arial"/>
        </w:rPr>
        <w:t>strategies</w:t>
      </w:r>
      <w:r w:rsidR="00AC55C3">
        <w:rPr>
          <w:rFonts w:ascii="Arial" w:hAnsi="Arial" w:cs="Arial"/>
        </w:rPr>
        <w:t xml:space="preserve">, customizing local concepts such as digital-first and drive-thru units </w:t>
      </w:r>
      <w:r>
        <w:rPr>
          <w:rFonts w:ascii="Arial" w:hAnsi="Arial" w:cs="Arial"/>
        </w:rPr>
        <w:t xml:space="preserve">(Gilbert, 2022). </w:t>
      </w:r>
    </w:p>
    <w:p w14:paraId="23368CF0" w14:textId="77777777" w:rsidR="00C6611F" w:rsidRDefault="00C6611F" w:rsidP="00CD2A51">
      <w:pPr>
        <w:jc w:val="both"/>
        <w:rPr>
          <w:rFonts w:ascii="Arial" w:hAnsi="Arial" w:cs="Arial"/>
        </w:rPr>
      </w:pPr>
    </w:p>
    <w:p w14:paraId="27E510A1" w14:textId="18E325D3" w:rsidR="006E64A4" w:rsidRDefault="006E64A4" w:rsidP="00CD2A51">
      <w:pPr>
        <w:jc w:val="both"/>
        <w:rPr>
          <w:rFonts w:ascii="Arial" w:hAnsi="Arial" w:cs="Arial"/>
          <w:b/>
          <w:bCs/>
          <w:i/>
          <w:iCs/>
          <w:u w:val="single"/>
        </w:rPr>
      </w:pPr>
      <w:r w:rsidRPr="006E64A4">
        <w:rPr>
          <w:rFonts w:ascii="Arial" w:hAnsi="Arial" w:cs="Arial"/>
          <w:b/>
          <w:bCs/>
          <w:i/>
          <w:iCs/>
          <w:u w:val="single"/>
        </w:rPr>
        <w:t>5.2 Value Proposition</w:t>
      </w:r>
    </w:p>
    <w:p w14:paraId="481A081B" w14:textId="4FEE5D32" w:rsidR="004A52EB" w:rsidRDefault="0013609B" w:rsidP="00CD2A51">
      <w:pPr>
        <w:jc w:val="both"/>
        <w:rPr>
          <w:rFonts w:ascii="Arial" w:hAnsi="Arial" w:cs="Arial"/>
        </w:rPr>
      </w:pPr>
      <w:r>
        <w:rPr>
          <w:rFonts w:ascii="Arial" w:hAnsi="Arial" w:cs="Arial"/>
        </w:rPr>
        <w:t>McDonald’s UK’s value proposition is focused on providing “delicious feel-good moments easy for everyone” through its commitment to quality, value and service (McDonald’s Corporation, 2020), further supported by its Plan for Change Net-Zero 2040 initiative (Carroll, 1991; McDonald’s UK, 2021). According to the Resource-Based View (Barney, 1991), the company’s enduring competitive advantage is founded on four essential VRIO assets:</w:t>
      </w:r>
    </w:p>
    <w:p w14:paraId="01856467" w14:textId="34612AC6" w:rsidR="004A52EB" w:rsidRDefault="0013609B" w:rsidP="00CD2A51">
      <w:pPr>
        <w:jc w:val="both"/>
        <w:rPr>
          <w:rFonts w:ascii="Arial" w:hAnsi="Arial" w:cs="Arial"/>
        </w:rPr>
      </w:pPr>
      <w:r>
        <w:rPr>
          <w:rFonts w:ascii="Arial" w:hAnsi="Arial" w:cs="Arial"/>
          <w:b/>
          <w:bCs/>
        </w:rPr>
        <w:t>Prime</w:t>
      </w:r>
      <w:r w:rsidR="004A52EB">
        <w:rPr>
          <w:rFonts w:ascii="Arial" w:hAnsi="Arial" w:cs="Arial"/>
          <w:b/>
          <w:bCs/>
        </w:rPr>
        <w:t xml:space="preserve"> Real Estate: </w:t>
      </w:r>
      <w:r>
        <w:rPr>
          <w:rFonts w:ascii="Arial" w:hAnsi="Arial" w:cs="Arial"/>
        </w:rPr>
        <w:t>Strategically located, high-visibility sites such as Windsor</w:t>
      </w:r>
      <w:r w:rsidR="004A52EB">
        <w:rPr>
          <w:rFonts w:ascii="Arial" w:hAnsi="Arial" w:cs="Arial"/>
        </w:rPr>
        <w:t xml:space="preserve"> (Love, 1995). </w:t>
      </w:r>
    </w:p>
    <w:p w14:paraId="45C353CD" w14:textId="52CC34B7" w:rsidR="00F971E0" w:rsidRDefault="004A52EB" w:rsidP="00CD2A51">
      <w:pPr>
        <w:jc w:val="both"/>
        <w:rPr>
          <w:rFonts w:ascii="Arial" w:hAnsi="Arial" w:cs="Arial"/>
        </w:rPr>
      </w:pPr>
      <w:r>
        <w:rPr>
          <w:rFonts w:ascii="Arial" w:hAnsi="Arial" w:cs="Arial"/>
          <w:b/>
          <w:bCs/>
        </w:rPr>
        <w:t xml:space="preserve">The “Three-Legged Stool” Model: </w:t>
      </w:r>
      <w:r w:rsidR="005019C4">
        <w:rPr>
          <w:rFonts w:ascii="Arial" w:hAnsi="Arial" w:cs="Arial"/>
        </w:rPr>
        <w:t>Unique relational capabilities that link the corporation, franchisees, and 23,000 farmers</w:t>
      </w:r>
      <w:r>
        <w:rPr>
          <w:rFonts w:ascii="Arial" w:hAnsi="Arial" w:cs="Arial"/>
        </w:rPr>
        <w:t xml:space="preserve"> (</w:t>
      </w:r>
      <w:proofErr w:type="spellStart"/>
      <w:r>
        <w:rPr>
          <w:rFonts w:ascii="Arial" w:hAnsi="Arial" w:cs="Arial"/>
        </w:rPr>
        <w:t>Vitasek</w:t>
      </w:r>
      <w:proofErr w:type="spellEnd"/>
      <w:r>
        <w:rPr>
          <w:rFonts w:ascii="Arial" w:hAnsi="Arial" w:cs="Arial"/>
        </w:rPr>
        <w:t xml:space="preserve"> &amp; </w:t>
      </w:r>
      <w:proofErr w:type="spellStart"/>
      <w:r w:rsidR="00F971E0">
        <w:rPr>
          <w:rFonts w:ascii="Arial" w:hAnsi="Arial" w:cs="Arial"/>
        </w:rPr>
        <w:t>Manrodt</w:t>
      </w:r>
      <w:proofErr w:type="spellEnd"/>
      <w:r w:rsidR="00F971E0">
        <w:rPr>
          <w:rFonts w:ascii="Arial" w:hAnsi="Arial" w:cs="Arial"/>
        </w:rPr>
        <w:t>, 2022</w:t>
      </w:r>
      <w:r>
        <w:rPr>
          <w:rFonts w:ascii="Arial" w:hAnsi="Arial" w:cs="Arial"/>
        </w:rPr>
        <w:t>)</w:t>
      </w:r>
      <w:r w:rsidR="00F971E0">
        <w:rPr>
          <w:rFonts w:ascii="Arial" w:hAnsi="Arial" w:cs="Arial"/>
        </w:rPr>
        <w:t xml:space="preserve">. </w:t>
      </w:r>
    </w:p>
    <w:p w14:paraId="4F4536CB" w14:textId="2D2235D4" w:rsidR="00F971E0" w:rsidRDefault="00F971E0" w:rsidP="00CD2A51">
      <w:pPr>
        <w:jc w:val="both"/>
        <w:rPr>
          <w:rFonts w:ascii="Arial" w:hAnsi="Arial" w:cs="Arial"/>
        </w:rPr>
      </w:pPr>
      <w:r>
        <w:rPr>
          <w:rFonts w:ascii="Arial" w:hAnsi="Arial" w:cs="Arial"/>
          <w:b/>
          <w:bCs/>
        </w:rPr>
        <w:t xml:space="preserve">Digital Maturity: </w:t>
      </w:r>
      <w:r w:rsidR="00E57493">
        <w:rPr>
          <w:rFonts w:ascii="Arial" w:hAnsi="Arial" w:cs="Arial"/>
        </w:rPr>
        <w:t xml:space="preserve">Advanced AI inventory management tools and a multi-million-user application that enhance operational efficiency </w:t>
      </w:r>
      <w:r>
        <w:rPr>
          <w:rFonts w:ascii="Arial" w:hAnsi="Arial" w:cs="Arial"/>
        </w:rPr>
        <w:t xml:space="preserve">(AP Capital Research, 2025). </w:t>
      </w:r>
    </w:p>
    <w:p w14:paraId="521393C3" w14:textId="47E07F4E" w:rsidR="0053163E" w:rsidRDefault="00F971E0" w:rsidP="00CD2A51">
      <w:pPr>
        <w:jc w:val="both"/>
        <w:rPr>
          <w:rFonts w:ascii="Arial" w:hAnsi="Arial" w:cs="Arial"/>
        </w:rPr>
      </w:pPr>
      <w:r>
        <w:rPr>
          <w:rFonts w:ascii="Arial" w:hAnsi="Arial" w:cs="Arial"/>
          <w:b/>
          <w:bCs/>
        </w:rPr>
        <w:t xml:space="preserve">Supply Chain Resilience: </w:t>
      </w:r>
      <w:r w:rsidR="00345C0E">
        <w:rPr>
          <w:rFonts w:ascii="Arial" w:hAnsi="Arial" w:cs="Arial"/>
        </w:rPr>
        <w:t>Long-standing supplier relationships spanning 40 years that ensure quality &amp; cost-effectiveness</w:t>
      </w:r>
      <w:r>
        <w:rPr>
          <w:rFonts w:ascii="Arial" w:hAnsi="Arial" w:cs="Arial"/>
        </w:rPr>
        <w:t xml:space="preserve">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 </w:t>
      </w:r>
    </w:p>
    <w:p w14:paraId="4AA1D2A4" w14:textId="77777777" w:rsidR="0053163E" w:rsidRDefault="0053163E" w:rsidP="00CD2A51">
      <w:pPr>
        <w:jc w:val="both"/>
        <w:rPr>
          <w:rFonts w:ascii="Arial" w:hAnsi="Arial" w:cs="Arial"/>
        </w:rPr>
      </w:pPr>
    </w:p>
    <w:p w14:paraId="431ADC89" w14:textId="77777777" w:rsidR="00AA012A" w:rsidRDefault="00AA012A" w:rsidP="00CD2A51">
      <w:pPr>
        <w:jc w:val="both"/>
        <w:rPr>
          <w:rFonts w:ascii="Arial" w:hAnsi="Arial" w:cs="Arial"/>
        </w:rPr>
      </w:pPr>
    </w:p>
    <w:p w14:paraId="14A2DA89" w14:textId="77777777" w:rsidR="00AA012A" w:rsidRDefault="00AA012A" w:rsidP="00CD2A51">
      <w:pPr>
        <w:jc w:val="both"/>
        <w:rPr>
          <w:rFonts w:ascii="Arial" w:hAnsi="Arial" w:cs="Arial"/>
        </w:rPr>
      </w:pPr>
    </w:p>
    <w:p w14:paraId="79DC5A01" w14:textId="77777777" w:rsidR="00AA012A" w:rsidRDefault="00AA012A" w:rsidP="00CD2A51">
      <w:pPr>
        <w:jc w:val="both"/>
        <w:rPr>
          <w:rFonts w:ascii="Arial" w:hAnsi="Arial" w:cs="Arial"/>
        </w:rPr>
      </w:pPr>
    </w:p>
    <w:p w14:paraId="7BF29C0A" w14:textId="77777777" w:rsidR="00417F74" w:rsidRDefault="00417F74" w:rsidP="00CD2A51">
      <w:pPr>
        <w:jc w:val="both"/>
        <w:rPr>
          <w:rFonts w:ascii="Arial" w:hAnsi="Arial" w:cs="Arial"/>
        </w:rPr>
      </w:pPr>
    </w:p>
    <w:p w14:paraId="66EB39F8" w14:textId="77777777" w:rsidR="00417F74" w:rsidRDefault="00417F74" w:rsidP="00CD2A51">
      <w:pPr>
        <w:jc w:val="both"/>
        <w:rPr>
          <w:rFonts w:ascii="Arial" w:hAnsi="Arial" w:cs="Arial"/>
        </w:rPr>
      </w:pPr>
    </w:p>
    <w:p w14:paraId="6C2465DC" w14:textId="77777777" w:rsidR="00417F74" w:rsidRDefault="00417F74" w:rsidP="00CD2A51">
      <w:pPr>
        <w:jc w:val="both"/>
        <w:rPr>
          <w:rFonts w:ascii="Arial" w:hAnsi="Arial" w:cs="Arial"/>
        </w:rPr>
      </w:pPr>
    </w:p>
    <w:p w14:paraId="6B8312CB" w14:textId="77777777" w:rsidR="00417F74" w:rsidRDefault="00417F74" w:rsidP="00CD2A51">
      <w:pPr>
        <w:jc w:val="both"/>
        <w:rPr>
          <w:rFonts w:ascii="Arial" w:hAnsi="Arial" w:cs="Arial"/>
        </w:rPr>
      </w:pPr>
    </w:p>
    <w:p w14:paraId="5C8A540B" w14:textId="77777777" w:rsidR="0053163E" w:rsidRDefault="0053163E" w:rsidP="00CD2A51">
      <w:pPr>
        <w:jc w:val="both"/>
        <w:rPr>
          <w:rFonts w:ascii="Arial" w:hAnsi="Arial" w:cs="Arial"/>
          <w:b/>
          <w:bCs/>
        </w:rPr>
      </w:pPr>
      <w:r w:rsidRPr="0053163E">
        <w:rPr>
          <w:rFonts w:ascii="Arial" w:hAnsi="Arial" w:cs="Arial"/>
          <w:b/>
          <w:bCs/>
        </w:rPr>
        <w:lastRenderedPageBreak/>
        <w:t>6.0 Porter’s Five Forces Framework</w:t>
      </w:r>
    </w:p>
    <w:p w14:paraId="5C85FE56" w14:textId="77777777" w:rsidR="00823F7F" w:rsidRDefault="00823F7F" w:rsidP="00CD2A51">
      <w:pPr>
        <w:jc w:val="both"/>
        <w:rPr>
          <w:rFonts w:ascii="Arial" w:hAnsi="Arial" w:cs="Arial"/>
        </w:rPr>
      </w:pPr>
    </w:p>
    <w:p w14:paraId="385FE981" w14:textId="6FA764D5" w:rsidR="00823F7F" w:rsidRPr="00823F7F" w:rsidRDefault="00823F7F" w:rsidP="00CD2A51">
      <w:pPr>
        <w:jc w:val="both"/>
        <w:rPr>
          <w:rFonts w:ascii="Arial" w:hAnsi="Arial" w:cs="Arial"/>
        </w:rPr>
      </w:pPr>
      <w:r>
        <w:rPr>
          <w:rFonts w:ascii="Arial" w:hAnsi="Arial" w:cs="Arial"/>
          <w:noProof/>
        </w:rPr>
        <mc:AlternateContent>
          <mc:Choice Requires="wps">
            <w:drawing>
              <wp:anchor distT="0" distB="0" distL="114300" distR="114300" simplePos="0" relativeHeight="251659264" behindDoc="1" locked="0" layoutInCell="1" allowOverlap="1" wp14:anchorId="03D43BD7" wp14:editId="1424B967">
                <wp:simplePos x="0" y="0"/>
                <wp:positionH relativeFrom="column">
                  <wp:posOffset>-64168</wp:posOffset>
                </wp:positionH>
                <wp:positionV relativeFrom="paragraph">
                  <wp:posOffset>-240632</wp:posOffset>
                </wp:positionV>
                <wp:extent cx="4924926" cy="4178969"/>
                <wp:effectExtent l="0" t="0" r="28575" b="12065"/>
                <wp:wrapNone/>
                <wp:docPr id="211002867" name="Rectangle 1"/>
                <wp:cNvGraphicFramePr/>
                <a:graphic xmlns:a="http://schemas.openxmlformats.org/drawingml/2006/main">
                  <a:graphicData uri="http://schemas.microsoft.com/office/word/2010/wordprocessingShape">
                    <wps:wsp>
                      <wps:cNvSpPr/>
                      <wps:spPr>
                        <a:xfrm>
                          <a:off x="0" y="0"/>
                          <a:ext cx="4924926" cy="4178969"/>
                        </a:xfrm>
                        <a:prstGeom prst="rect">
                          <a:avLst/>
                        </a:prstGeom>
                        <a:solidFill>
                          <a:schemeClr val="tx2">
                            <a:lumMod val="25000"/>
                            <a:lumOff val="75000"/>
                          </a:schemeClr>
                        </a:solidFill>
                        <a:ln>
                          <a:solidFill>
                            <a:schemeClr val="tx2">
                              <a:lumMod val="25000"/>
                              <a:lumOff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92A5DA" id="Rectangle 1" o:spid="_x0000_s1026" style="position:absolute;margin-left:-5.05pt;margin-top:-18.95pt;width:387.8pt;height:329.0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" fillcolor="#a7caec [831]" strokecolor="#a7caec [831]" strokeweight="1.5pt"/>
            </w:pict>
          </mc:Fallback>
        </mc:AlternateContent>
      </w:r>
      <w:r w:rsidRPr="00823F7F">
        <w:rPr>
          <w:rFonts w:ascii="Arial" w:hAnsi="Arial" w:cs="Arial"/>
        </w:rPr>
        <w:t xml:space="preserve">                  PORTER FIVE FORCES</w:t>
      </w:r>
    </w:p>
    <w:p w14:paraId="528DC577" w14:textId="77777777" w:rsidR="00823F7F" w:rsidRPr="00823F7F" w:rsidRDefault="00823F7F" w:rsidP="00CD2A51">
      <w:pPr>
        <w:jc w:val="both"/>
        <w:rPr>
          <w:rFonts w:ascii="Arial" w:hAnsi="Arial" w:cs="Arial"/>
        </w:rPr>
      </w:pPr>
    </w:p>
    <w:p w14:paraId="23DD4AA3" w14:textId="5FE958A4" w:rsidR="00823F7F" w:rsidRPr="00823F7F" w:rsidRDefault="00823F7F" w:rsidP="00CD2A51">
      <w:pPr>
        <w:jc w:val="both"/>
        <w:rPr>
          <w:rFonts w:ascii="Arial" w:hAnsi="Arial" w:cs="Arial"/>
        </w:rPr>
      </w:pPr>
      <w:r w:rsidRPr="00823F7F">
        <w:rPr>
          <w:rFonts w:ascii="Arial" w:hAnsi="Arial" w:cs="Arial"/>
        </w:rPr>
        <w:t xml:space="preserve">                    Threat of New</w:t>
      </w:r>
    </w:p>
    <w:p w14:paraId="7B8511F9" w14:textId="151B0BCA" w:rsidR="00823F7F" w:rsidRPr="00823F7F" w:rsidRDefault="00823F7F" w:rsidP="0000592E">
      <w:pPr>
        <w:tabs>
          <w:tab w:val="left" w:pos="6984"/>
        </w:tabs>
        <w:jc w:val="both"/>
        <w:rPr>
          <w:rFonts w:ascii="Arial" w:hAnsi="Arial" w:cs="Arial"/>
        </w:rPr>
      </w:pPr>
      <w:r w:rsidRPr="00823F7F">
        <w:rPr>
          <w:rFonts w:ascii="Arial" w:hAnsi="Arial" w:cs="Arial"/>
        </w:rPr>
        <w:t xml:space="preserve">                        Entrants</w:t>
      </w:r>
      <w:r w:rsidR="0000592E">
        <w:rPr>
          <w:rFonts w:ascii="Arial" w:hAnsi="Arial" w:cs="Arial"/>
        </w:rPr>
        <w:tab/>
      </w:r>
    </w:p>
    <w:p w14:paraId="3B0F7797" w14:textId="77777777" w:rsidR="00823F7F" w:rsidRPr="00823F7F" w:rsidRDefault="00823F7F" w:rsidP="00CD2A51">
      <w:pPr>
        <w:jc w:val="both"/>
        <w:rPr>
          <w:rFonts w:ascii="Arial" w:hAnsi="Arial" w:cs="Arial"/>
        </w:rPr>
      </w:pPr>
      <w:r w:rsidRPr="00823F7F">
        <w:rPr>
          <w:rFonts w:ascii="Arial" w:hAnsi="Arial" w:cs="Arial"/>
        </w:rPr>
        <w:t xml:space="preserve">                            ▲</w:t>
      </w:r>
    </w:p>
    <w:p w14:paraId="5B6BB8B1" w14:textId="77777777" w:rsidR="00823F7F" w:rsidRPr="00823F7F" w:rsidRDefault="00823F7F" w:rsidP="00CD2A51">
      <w:pPr>
        <w:jc w:val="both"/>
        <w:rPr>
          <w:rFonts w:ascii="Arial" w:hAnsi="Arial" w:cs="Arial"/>
        </w:rPr>
      </w:pPr>
      <w:r w:rsidRPr="00823F7F">
        <w:rPr>
          <w:rFonts w:ascii="Arial" w:hAnsi="Arial" w:cs="Arial"/>
        </w:rPr>
        <w:t xml:space="preserve">                            │</w:t>
      </w:r>
    </w:p>
    <w:p w14:paraId="4E993A2A" w14:textId="77777777" w:rsidR="00823F7F" w:rsidRPr="00823F7F" w:rsidRDefault="00823F7F" w:rsidP="00CD2A51">
      <w:pPr>
        <w:jc w:val="both"/>
        <w:rPr>
          <w:rFonts w:ascii="Arial" w:hAnsi="Arial" w:cs="Arial"/>
        </w:rPr>
      </w:pPr>
      <w:r w:rsidRPr="00823F7F">
        <w:rPr>
          <w:rFonts w:ascii="Arial" w:hAnsi="Arial" w:cs="Arial"/>
        </w:rPr>
        <w:t xml:space="preserve">                            │</w:t>
      </w:r>
    </w:p>
    <w:p w14:paraId="67592B42" w14:textId="77777777" w:rsidR="00823F7F" w:rsidRPr="00823F7F" w:rsidRDefault="00823F7F" w:rsidP="00CD2A51">
      <w:pPr>
        <w:jc w:val="both"/>
        <w:rPr>
          <w:rFonts w:ascii="Arial" w:hAnsi="Arial" w:cs="Arial"/>
        </w:rPr>
      </w:pPr>
      <w:r w:rsidRPr="00823F7F">
        <w:rPr>
          <w:rFonts w:ascii="Arial" w:hAnsi="Arial" w:cs="Arial"/>
        </w:rPr>
        <w:t>Suppliers ◄────────── Industry Rivalry ─────────► Buyers</w:t>
      </w:r>
    </w:p>
    <w:p w14:paraId="62DD6030" w14:textId="799A9D57" w:rsidR="00823F7F" w:rsidRPr="00823F7F" w:rsidRDefault="00823F7F" w:rsidP="00CD2A51">
      <w:pPr>
        <w:jc w:val="both"/>
        <w:rPr>
          <w:rFonts w:ascii="Arial" w:hAnsi="Arial" w:cs="Arial"/>
        </w:rPr>
      </w:pPr>
      <w:r w:rsidRPr="00823F7F">
        <w:rPr>
          <w:rFonts w:ascii="Arial" w:hAnsi="Arial" w:cs="Arial"/>
        </w:rPr>
        <w:t xml:space="preserve">(Bargaining </w:t>
      </w:r>
      <w:proofErr w:type="gramStart"/>
      <w:r w:rsidRPr="00823F7F">
        <w:rPr>
          <w:rFonts w:ascii="Arial" w:hAnsi="Arial" w:cs="Arial"/>
        </w:rPr>
        <w:t xml:space="preserve">Power)   </w:t>
      </w:r>
      <w:proofErr w:type="gramEnd"/>
      <w:r w:rsidRPr="00823F7F">
        <w:rPr>
          <w:rFonts w:ascii="Arial" w:hAnsi="Arial" w:cs="Arial"/>
        </w:rPr>
        <w:t xml:space="preserve">                </w:t>
      </w:r>
      <w:proofErr w:type="gramStart"/>
      <w:r w:rsidRPr="00823F7F">
        <w:rPr>
          <w:rFonts w:ascii="Arial" w:hAnsi="Arial" w:cs="Arial"/>
        </w:rPr>
        <w:t xml:space="preserve">   (</w:t>
      </w:r>
      <w:proofErr w:type="gramEnd"/>
      <w:r w:rsidRPr="00823F7F">
        <w:rPr>
          <w:rFonts w:ascii="Arial" w:hAnsi="Arial" w:cs="Arial"/>
        </w:rPr>
        <w:t>Bargaining Power)</w:t>
      </w:r>
    </w:p>
    <w:p w14:paraId="61BFE9C7" w14:textId="77777777" w:rsidR="00823F7F" w:rsidRPr="00823F7F" w:rsidRDefault="00823F7F" w:rsidP="00CD2A51">
      <w:pPr>
        <w:jc w:val="both"/>
        <w:rPr>
          <w:rFonts w:ascii="Arial" w:hAnsi="Arial" w:cs="Arial"/>
        </w:rPr>
      </w:pPr>
      <w:r w:rsidRPr="00823F7F">
        <w:rPr>
          <w:rFonts w:ascii="Arial" w:hAnsi="Arial" w:cs="Arial"/>
        </w:rPr>
        <w:t xml:space="preserve">                            │</w:t>
      </w:r>
    </w:p>
    <w:p w14:paraId="1A78570E" w14:textId="77777777" w:rsidR="00823F7F" w:rsidRPr="00823F7F" w:rsidRDefault="00823F7F" w:rsidP="00CD2A51">
      <w:pPr>
        <w:jc w:val="both"/>
        <w:rPr>
          <w:rFonts w:ascii="Arial" w:hAnsi="Arial" w:cs="Arial"/>
        </w:rPr>
      </w:pPr>
      <w:r w:rsidRPr="00823F7F">
        <w:rPr>
          <w:rFonts w:ascii="Arial" w:hAnsi="Arial" w:cs="Arial"/>
        </w:rPr>
        <w:t xml:space="preserve">                            │</w:t>
      </w:r>
    </w:p>
    <w:p w14:paraId="15B06CCF" w14:textId="77777777" w:rsidR="00823F7F" w:rsidRPr="00823F7F" w:rsidRDefault="00823F7F" w:rsidP="00CD2A51">
      <w:pPr>
        <w:jc w:val="both"/>
        <w:rPr>
          <w:rFonts w:ascii="Arial" w:hAnsi="Arial" w:cs="Arial"/>
        </w:rPr>
      </w:pPr>
      <w:r w:rsidRPr="00823F7F">
        <w:rPr>
          <w:rFonts w:ascii="Arial" w:hAnsi="Arial" w:cs="Arial"/>
        </w:rPr>
        <w:t xml:space="preserve">                            ▼</w:t>
      </w:r>
    </w:p>
    <w:p w14:paraId="5D429F7C" w14:textId="2C4B07EF" w:rsidR="00823F7F" w:rsidRDefault="00823F7F" w:rsidP="00CD2A51">
      <w:pPr>
        <w:jc w:val="both"/>
        <w:rPr>
          <w:rFonts w:ascii="Arial" w:hAnsi="Arial" w:cs="Arial"/>
        </w:rPr>
      </w:pPr>
      <w:r w:rsidRPr="00823F7F">
        <w:rPr>
          <w:rFonts w:ascii="Arial" w:hAnsi="Arial" w:cs="Arial"/>
        </w:rPr>
        <w:t xml:space="preserve">                  Threat of Substitutes</w:t>
      </w:r>
    </w:p>
    <w:p w14:paraId="26DADB86" w14:textId="7E9068BF" w:rsidR="007B05BB" w:rsidRPr="000D61C8" w:rsidRDefault="007B05BB" w:rsidP="00CD2A51">
      <w:pPr>
        <w:jc w:val="both"/>
        <w:rPr>
          <w:rFonts w:ascii="Arial" w:hAnsi="Arial" w:cs="Arial"/>
          <w:i/>
          <w:iCs/>
        </w:rPr>
      </w:pPr>
      <w:r w:rsidRPr="000D61C8">
        <w:rPr>
          <w:rFonts w:ascii="Arial" w:hAnsi="Arial" w:cs="Arial"/>
          <w:b/>
          <w:bCs/>
          <w:i/>
          <w:iCs/>
        </w:rPr>
        <w:t>Source:</w:t>
      </w:r>
      <w:r w:rsidRPr="000D61C8">
        <w:rPr>
          <w:rFonts w:ascii="Arial" w:hAnsi="Arial" w:cs="Arial"/>
          <w:i/>
          <w:iCs/>
        </w:rPr>
        <w:t xml:space="preserve"> Adapted from Poter, M.E. (1979) How Competitive Forces Shape Strategy </w:t>
      </w:r>
    </w:p>
    <w:p w14:paraId="2FFDC3A7" w14:textId="77777777" w:rsidR="0053163E" w:rsidRDefault="0053163E" w:rsidP="00CD2A51">
      <w:pPr>
        <w:jc w:val="both"/>
        <w:rPr>
          <w:rFonts w:ascii="Arial" w:hAnsi="Arial" w:cs="Arial"/>
        </w:rPr>
      </w:pPr>
    </w:p>
    <w:p w14:paraId="18B40F98" w14:textId="336B434A" w:rsidR="0053163E" w:rsidRPr="0053163E" w:rsidRDefault="0053163E" w:rsidP="00CD2A51">
      <w:pPr>
        <w:jc w:val="both"/>
        <w:rPr>
          <w:rFonts w:ascii="Arial" w:hAnsi="Arial" w:cs="Arial"/>
          <w:b/>
          <w:bCs/>
        </w:rPr>
      </w:pPr>
      <w:r w:rsidRPr="0053163E">
        <w:rPr>
          <w:rFonts w:ascii="Arial" w:hAnsi="Arial" w:cs="Arial"/>
          <w:b/>
          <w:bCs/>
        </w:rPr>
        <w:t xml:space="preserve">6.1 Core Forces &amp; Strategic Impact </w:t>
      </w:r>
    </w:p>
    <w:p w14:paraId="08E50707" w14:textId="0F12F753" w:rsidR="0053163E" w:rsidRDefault="0053163E" w:rsidP="00CD2A51">
      <w:pPr>
        <w:jc w:val="both"/>
        <w:rPr>
          <w:rFonts w:ascii="Arial" w:hAnsi="Arial" w:cs="Arial"/>
          <w:b/>
          <w:bCs/>
          <w:i/>
          <w:iCs/>
          <w:u w:val="single"/>
        </w:rPr>
      </w:pPr>
      <w:r>
        <w:rPr>
          <w:rFonts w:ascii="Arial" w:hAnsi="Arial" w:cs="Arial"/>
          <w:b/>
          <w:bCs/>
          <w:i/>
          <w:iCs/>
          <w:u w:val="single"/>
        </w:rPr>
        <w:t xml:space="preserve">1. Threat of New Entrants </w:t>
      </w:r>
    </w:p>
    <w:p w14:paraId="6436F4DB" w14:textId="50B3FAB1" w:rsidR="00184DFF" w:rsidRPr="00801786" w:rsidRDefault="008F2768" w:rsidP="00CD2A51">
      <w:pPr>
        <w:pStyle w:val="ListParagraph"/>
        <w:numPr>
          <w:ilvl w:val="0"/>
          <w:numId w:val="10"/>
        </w:numPr>
        <w:jc w:val="both"/>
        <w:rPr>
          <w:rFonts w:ascii="Arial" w:hAnsi="Arial" w:cs="Arial"/>
        </w:rPr>
      </w:pPr>
      <w:r w:rsidRPr="00801786">
        <w:rPr>
          <w:rFonts w:ascii="Arial" w:hAnsi="Arial" w:cs="Arial"/>
          <w:b/>
          <w:bCs/>
        </w:rPr>
        <w:t xml:space="preserve">Mechanic: </w:t>
      </w:r>
      <w:r w:rsidRPr="00801786">
        <w:rPr>
          <w:rFonts w:ascii="Arial" w:hAnsi="Arial" w:cs="Arial"/>
        </w:rPr>
        <w:t>The influx of new entrants enhances the capacity and ambition to capture markets share, thereby exerting pressure on pricing, expenses, and investment levels (Porter, 1980, p.7).</w:t>
      </w:r>
    </w:p>
    <w:p w14:paraId="14B4F2EA" w14:textId="0AC88B13" w:rsidR="008F2768" w:rsidRPr="00801786" w:rsidRDefault="008F2768" w:rsidP="00CD2A51">
      <w:pPr>
        <w:pStyle w:val="ListParagraph"/>
        <w:numPr>
          <w:ilvl w:val="0"/>
          <w:numId w:val="10"/>
        </w:numPr>
        <w:jc w:val="both"/>
        <w:rPr>
          <w:rFonts w:ascii="Arial" w:hAnsi="Arial" w:cs="Arial"/>
        </w:rPr>
      </w:pPr>
      <w:r w:rsidRPr="00801786">
        <w:rPr>
          <w:rFonts w:ascii="Arial" w:hAnsi="Arial" w:cs="Arial"/>
          <w:b/>
          <w:bCs/>
        </w:rPr>
        <w:t>Key Drivers:</w:t>
      </w:r>
      <w:r w:rsidRPr="00801786">
        <w:rPr>
          <w:rFonts w:ascii="Arial" w:hAnsi="Arial" w:cs="Arial"/>
        </w:rPr>
        <w:t xml:space="preserve"> Factors such as economies of scale, costs associated with switching, capital investment necessities, and the availability of distribution channels (Porter, 2008, pp. 81-82). </w:t>
      </w:r>
    </w:p>
    <w:p w14:paraId="7CDEF467" w14:textId="7456A2E2" w:rsidR="008F2768" w:rsidRDefault="008F2768" w:rsidP="00CD2A51">
      <w:pPr>
        <w:pStyle w:val="ListParagraph"/>
        <w:numPr>
          <w:ilvl w:val="0"/>
          <w:numId w:val="10"/>
        </w:numPr>
        <w:jc w:val="both"/>
        <w:rPr>
          <w:rFonts w:ascii="Arial" w:hAnsi="Arial" w:cs="Arial"/>
        </w:rPr>
      </w:pPr>
      <w:r w:rsidRPr="00801786">
        <w:rPr>
          <w:rFonts w:ascii="Arial" w:hAnsi="Arial" w:cs="Arial"/>
          <w:b/>
          <w:bCs/>
        </w:rPr>
        <w:t>Strategic Implication:</w:t>
      </w:r>
      <w:r w:rsidRPr="00801786">
        <w:rPr>
          <w:rFonts w:ascii="Arial" w:hAnsi="Arial" w:cs="Arial"/>
        </w:rPr>
        <w:t xml:space="preserve"> Elevated entry barriers safeguard profit margins, while diminished barriers necessitate ongoing protection through scale &amp; operational efficiency. </w:t>
      </w:r>
    </w:p>
    <w:p w14:paraId="18C9DA55" w14:textId="77777777" w:rsidR="00395BAD" w:rsidRDefault="00395BAD" w:rsidP="00395BAD">
      <w:pPr>
        <w:pStyle w:val="ListParagraph"/>
        <w:jc w:val="both"/>
        <w:rPr>
          <w:rFonts w:ascii="Arial" w:hAnsi="Arial" w:cs="Arial"/>
        </w:rPr>
      </w:pPr>
    </w:p>
    <w:p w14:paraId="419A3B1F" w14:textId="77777777" w:rsidR="00B42895" w:rsidRPr="008F2768" w:rsidRDefault="00B42895" w:rsidP="00CD2A51">
      <w:pPr>
        <w:jc w:val="both"/>
        <w:rPr>
          <w:rFonts w:ascii="Arial" w:hAnsi="Arial" w:cs="Arial"/>
          <w:u w:val="double"/>
        </w:rPr>
      </w:pPr>
    </w:p>
    <w:p w14:paraId="0F7D04AF" w14:textId="4B35A63B" w:rsidR="00184DFF" w:rsidRDefault="00184DFF" w:rsidP="00CD2A51">
      <w:pPr>
        <w:jc w:val="both"/>
        <w:rPr>
          <w:rFonts w:ascii="Arial" w:hAnsi="Arial" w:cs="Arial"/>
          <w:b/>
          <w:bCs/>
          <w:i/>
          <w:iCs/>
          <w:u w:val="single"/>
        </w:rPr>
      </w:pPr>
      <w:r w:rsidRPr="00184DFF">
        <w:rPr>
          <w:rFonts w:ascii="Arial" w:hAnsi="Arial" w:cs="Arial"/>
          <w:b/>
          <w:bCs/>
          <w:i/>
          <w:iCs/>
          <w:u w:val="single"/>
        </w:rPr>
        <w:lastRenderedPageBreak/>
        <w:t xml:space="preserve">2. Bargaining Power of Suppliers </w:t>
      </w:r>
    </w:p>
    <w:p w14:paraId="667CA19D" w14:textId="07388B19" w:rsidR="00184DFF" w:rsidRPr="00801786" w:rsidRDefault="008F2768" w:rsidP="00CD2A51">
      <w:pPr>
        <w:pStyle w:val="ListParagraph"/>
        <w:numPr>
          <w:ilvl w:val="0"/>
          <w:numId w:val="11"/>
        </w:numPr>
        <w:jc w:val="both"/>
        <w:rPr>
          <w:rFonts w:ascii="Arial" w:hAnsi="Arial" w:cs="Arial"/>
        </w:rPr>
      </w:pPr>
      <w:r w:rsidRPr="00801786">
        <w:rPr>
          <w:rFonts w:ascii="Arial" w:hAnsi="Arial" w:cs="Arial"/>
          <w:b/>
          <w:bCs/>
        </w:rPr>
        <w:t>Mechanics:</w:t>
      </w:r>
      <w:r w:rsidRPr="00801786">
        <w:rPr>
          <w:rFonts w:ascii="Arial" w:hAnsi="Arial" w:cs="Arial"/>
        </w:rPr>
        <w:t xml:space="preserve"> Influential suppliers exert pressure on profitability by imposing elevated prices, restricting quality and services, or transferring costs to industry stakeholders (Porter, 1980, pp. 27-28). </w:t>
      </w:r>
    </w:p>
    <w:p w14:paraId="757BFD50" w14:textId="6BBBB73D" w:rsidR="008F2768" w:rsidRPr="00801786" w:rsidRDefault="008F2768" w:rsidP="00CD2A51">
      <w:pPr>
        <w:pStyle w:val="ListParagraph"/>
        <w:numPr>
          <w:ilvl w:val="0"/>
          <w:numId w:val="11"/>
        </w:numPr>
        <w:jc w:val="both"/>
        <w:rPr>
          <w:rFonts w:ascii="Arial" w:hAnsi="Arial" w:cs="Arial"/>
        </w:rPr>
      </w:pPr>
      <w:r w:rsidRPr="00801786">
        <w:rPr>
          <w:rFonts w:ascii="Arial" w:hAnsi="Arial" w:cs="Arial"/>
          <w:b/>
          <w:bCs/>
        </w:rPr>
        <w:t>Key Drivers:</w:t>
      </w:r>
      <w:r w:rsidRPr="00801786">
        <w:rPr>
          <w:rFonts w:ascii="Arial" w:hAnsi="Arial" w:cs="Arial"/>
        </w:rPr>
        <w:t xml:space="preserve"> The concentration of suppliers, the absence of alternative inputs, and significant switching costs associated with changing suppliers (Porter, 2008, p.82). </w:t>
      </w:r>
    </w:p>
    <w:p w14:paraId="6C277C24" w14:textId="5DC13A31" w:rsidR="008F2768" w:rsidRDefault="008F2768" w:rsidP="00CD2A51">
      <w:pPr>
        <w:pStyle w:val="ListParagraph"/>
        <w:numPr>
          <w:ilvl w:val="0"/>
          <w:numId w:val="11"/>
        </w:numPr>
        <w:jc w:val="both"/>
        <w:rPr>
          <w:rFonts w:ascii="Arial" w:hAnsi="Arial" w:cs="Arial"/>
        </w:rPr>
      </w:pPr>
      <w:r w:rsidRPr="00801786">
        <w:rPr>
          <w:rFonts w:ascii="Arial" w:hAnsi="Arial" w:cs="Arial"/>
          <w:b/>
          <w:bCs/>
        </w:rPr>
        <w:t>Strategic Implications:</w:t>
      </w:r>
      <w:r w:rsidRPr="00801786">
        <w:rPr>
          <w:rFonts w:ascii="Arial" w:hAnsi="Arial" w:cs="Arial"/>
        </w:rPr>
        <w:t xml:space="preserve"> Reliance on a limited number of suppliers diminishes the overall margin potential within the industry. </w:t>
      </w:r>
    </w:p>
    <w:p w14:paraId="46775467" w14:textId="77777777" w:rsidR="00B42895" w:rsidRDefault="00B42895" w:rsidP="00CD2A51">
      <w:pPr>
        <w:jc w:val="both"/>
        <w:rPr>
          <w:rFonts w:ascii="Arial" w:hAnsi="Arial" w:cs="Arial"/>
        </w:rPr>
      </w:pPr>
    </w:p>
    <w:p w14:paraId="7B4724B5" w14:textId="77777777" w:rsidR="00BB65BC" w:rsidRDefault="00184DFF" w:rsidP="00CD2A51">
      <w:pPr>
        <w:jc w:val="both"/>
        <w:rPr>
          <w:rFonts w:ascii="Arial" w:hAnsi="Arial" w:cs="Arial"/>
          <w:b/>
          <w:bCs/>
          <w:i/>
          <w:iCs/>
          <w:u w:val="single"/>
        </w:rPr>
      </w:pPr>
      <w:r w:rsidRPr="00184DFF">
        <w:rPr>
          <w:rFonts w:ascii="Arial" w:hAnsi="Arial" w:cs="Arial"/>
          <w:b/>
          <w:bCs/>
          <w:i/>
          <w:iCs/>
          <w:u w:val="single"/>
        </w:rPr>
        <w:t xml:space="preserve">3. Bargaining Power of Buyers  </w:t>
      </w:r>
    </w:p>
    <w:p w14:paraId="1B549D93" w14:textId="1983696F" w:rsidR="00184DFF" w:rsidRPr="00801786" w:rsidRDefault="00B42895" w:rsidP="00CD2A51">
      <w:pPr>
        <w:pStyle w:val="ListParagraph"/>
        <w:numPr>
          <w:ilvl w:val="0"/>
          <w:numId w:val="12"/>
        </w:numPr>
        <w:jc w:val="both"/>
        <w:rPr>
          <w:rFonts w:ascii="Arial" w:hAnsi="Arial" w:cs="Arial"/>
          <w:b/>
          <w:bCs/>
          <w:i/>
          <w:iCs/>
          <w:u w:val="single"/>
        </w:rPr>
      </w:pPr>
      <w:r w:rsidRPr="00801786">
        <w:rPr>
          <w:rFonts w:ascii="Arial" w:hAnsi="Arial" w:cs="Arial"/>
          <w:b/>
          <w:bCs/>
        </w:rPr>
        <w:t>Mechanic:</w:t>
      </w:r>
      <w:r w:rsidRPr="00801786">
        <w:rPr>
          <w:rFonts w:ascii="Arial" w:hAnsi="Arial" w:cs="Arial"/>
        </w:rPr>
        <w:t xml:space="preserve"> </w:t>
      </w:r>
      <w:r w:rsidR="00BB65BC" w:rsidRPr="00801786">
        <w:rPr>
          <w:rFonts w:ascii="Arial" w:hAnsi="Arial" w:cs="Arial"/>
        </w:rPr>
        <w:t xml:space="preserve">Influential customers drive prices lower, insist on improved quality or services, and leverage competition among rivals (Porter, 1980, pp. 24-26). </w:t>
      </w:r>
    </w:p>
    <w:p w14:paraId="7F780DD3" w14:textId="26407AF4" w:rsidR="00B42895" w:rsidRPr="00801786" w:rsidRDefault="00B42895" w:rsidP="00CD2A51">
      <w:pPr>
        <w:pStyle w:val="ListParagraph"/>
        <w:numPr>
          <w:ilvl w:val="0"/>
          <w:numId w:val="12"/>
        </w:numPr>
        <w:jc w:val="both"/>
        <w:rPr>
          <w:rFonts w:ascii="Arial" w:hAnsi="Arial" w:cs="Arial"/>
        </w:rPr>
      </w:pPr>
      <w:r w:rsidRPr="00801786">
        <w:rPr>
          <w:rFonts w:ascii="Arial" w:hAnsi="Arial" w:cs="Arial"/>
          <w:b/>
          <w:bCs/>
        </w:rPr>
        <w:t>Key Drivers:</w:t>
      </w:r>
      <w:r w:rsidRPr="00801786">
        <w:rPr>
          <w:rFonts w:ascii="Arial" w:hAnsi="Arial" w:cs="Arial"/>
        </w:rPr>
        <w:t xml:space="preserve"> </w:t>
      </w:r>
      <w:r w:rsidR="00BB65BC" w:rsidRPr="00801786">
        <w:rPr>
          <w:rFonts w:ascii="Arial" w:hAnsi="Arial" w:cs="Arial"/>
        </w:rPr>
        <w:t>Concentration of buyers, minimal switching costs, uniform products, and credible threats of backward integration (Porter, 2008, pp. 83-84).</w:t>
      </w:r>
    </w:p>
    <w:p w14:paraId="4443C0CD" w14:textId="59BC1BB4" w:rsidR="00B42895" w:rsidRPr="00801786" w:rsidRDefault="00B42895" w:rsidP="00CD2A51">
      <w:pPr>
        <w:pStyle w:val="ListParagraph"/>
        <w:numPr>
          <w:ilvl w:val="0"/>
          <w:numId w:val="12"/>
        </w:numPr>
        <w:jc w:val="both"/>
        <w:rPr>
          <w:rFonts w:ascii="Arial" w:hAnsi="Arial" w:cs="Arial"/>
        </w:rPr>
      </w:pPr>
      <w:r w:rsidRPr="00801786">
        <w:rPr>
          <w:rFonts w:ascii="Arial" w:hAnsi="Arial" w:cs="Arial"/>
          <w:b/>
          <w:bCs/>
        </w:rPr>
        <w:t>Strategic Implication:</w:t>
      </w:r>
      <w:r w:rsidRPr="00801786">
        <w:rPr>
          <w:rFonts w:ascii="Arial" w:hAnsi="Arial" w:cs="Arial"/>
        </w:rPr>
        <w:t xml:space="preserve"> </w:t>
      </w:r>
      <w:r w:rsidR="00BB65BC" w:rsidRPr="00801786">
        <w:rPr>
          <w:rFonts w:ascii="Arial" w:hAnsi="Arial" w:cs="Arial"/>
        </w:rPr>
        <w:t xml:space="preserve">To maintain margins, it is essential to achieve product differentiation that lessens buyer sensitivity to price. </w:t>
      </w:r>
    </w:p>
    <w:p w14:paraId="51C9E7A6" w14:textId="77777777" w:rsidR="00184DFF" w:rsidRDefault="00184DFF" w:rsidP="00CD2A51">
      <w:pPr>
        <w:jc w:val="both"/>
        <w:rPr>
          <w:rFonts w:ascii="Arial" w:hAnsi="Arial" w:cs="Arial"/>
        </w:rPr>
      </w:pPr>
    </w:p>
    <w:p w14:paraId="05D140FF" w14:textId="09A55890" w:rsidR="00F01F87" w:rsidRPr="00F01F87" w:rsidRDefault="00184DFF" w:rsidP="00CD2A51">
      <w:pPr>
        <w:jc w:val="both"/>
        <w:rPr>
          <w:rFonts w:ascii="Arial" w:hAnsi="Arial" w:cs="Arial"/>
          <w:b/>
          <w:bCs/>
          <w:i/>
          <w:iCs/>
          <w:u w:val="single"/>
        </w:rPr>
      </w:pPr>
      <w:r w:rsidRPr="00F01F87">
        <w:rPr>
          <w:rFonts w:ascii="Arial" w:hAnsi="Arial" w:cs="Arial"/>
          <w:b/>
          <w:bCs/>
          <w:i/>
          <w:iCs/>
          <w:u w:val="single"/>
        </w:rPr>
        <w:t xml:space="preserve">4. Threat of Substitutes </w:t>
      </w:r>
      <w:r w:rsidR="00F01F87" w:rsidRPr="00F01F87">
        <w:rPr>
          <w:rFonts w:ascii="Arial" w:hAnsi="Arial" w:cs="Arial"/>
          <w:b/>
          <w:bCs/>
          <w:i/>
          <w:iCs/>
          <w:u w:val="single"/>
        </w:rPr>
        <w:t xml:space="preserve"> </w:t>
      </w:r>
    </w:p>
    <w:p w14:paraId="3B624A11" w14:textId="0DC32CA5" w:rsidR="00F01F87" w:rsidRPr="00801786" w:rsidRDefault="0036382D" w:rsidP="00CD2A51">
      <w:pPr>
        <w:pStyle w:val="ListParagraph"/>
        <w:numPr>
          <w:ilvl w:val="0"/>
          <w:numId w:val="13"/>
        </w:numPr>
        <w:jc w:val="both"/>
        <w:rPr>
          <w:rFonts w:ascii="Arial" w:hAnsi="Arial" w:cs="Arial"/>
        </w:rPr>
      </w:pPr>
      <w:r w:rsidRPr="00801786">
        <w:rPr>
          <w:rFonts w:ascii="Arial" w:hAnsi="Arial" w:cs="Arial"/>
          <w:b/>
          <w:bCs/>
        </w:rPr>
        <w:t>Mechanic:</w:t>
      </w:r>
      <w:r w:rsidRPr="00801786">
        <w:rPr>
          <w:rFonts w:ascii="Arial" w:hAnsi="Arial" w:cs="Arial"/>
        </w:rPr>
        <w:t xml:space="preserve"> Products or services that serve a comparable function in a related market restrict an industry’s pricing capabilities by establishing a maximum price threshold (Porter, 1980, pp. 23-24). </w:t>
      </w:r>
    </w:p>
    <w:p w14:paraId="408E74AE" w14:textId="43A5AF9D" w:rsidR="0036382D" w:rsidRPr="00801786" w:rsidRDefault="0036382D" w:rsidP="00CD2A51">
      <w:pPr>
        <w:pStyle w:val="ListParagraph"/>
        <w:numPr>
          <w:ilvl w:val="0"/>
          <w:numId w:val="13"/>
        </w:numPr>
        <w:jc w:val="both"/>
        <w:rPr>
          <w:rFonts w:ascii="Arial" w:hAnsi="Arial" w:cs="Arial"/>
        </w:rPr>
      </w:pPr>
      <w:r w:rsidRPr="00801786">
        <w:rPr>
          <w:rFonts w:ascii="Arial" w:hAnsi="Arial" w:cs="Arial"/>
          <w:b/>
          <w:bCs/>
        </w:rPr>
        <w:t>Key Drivers:</w:t>
      </w:r>
      <w:r w:rsidRPr="00801786">
        <w:rPr>
          <w:rFonts w:ascii="Arial" w:hAnsi="Arial" w:cs="Arial"/>
        </w:rPr>
        <w:t xml:space="preserve"> The trade-offs between relative price and performance, along with minimal buyer switching costs to alternative options (Porter, 2008, p. 85). </w:t>
      </w:r>
    </w:p>
    <w:p w14:paraId="5F92572A" w14:textId="2401D0AD" w:rsidR="0036382D" w:rsidRPr="00801786" w:rsidRDefault="0036382D" w:rsidP="00CD2A51">
      <w:pPr>
        <w:pStyle w:val="ListParagraph"/>
        <w:numPr>
          <w:ilvl w:val="0"/>
          <w:numId w:val="13"/>
        </w:numPr>
        <w:jc w:val="both"/>
        <w:rPr>
          <w:rFonts w:ascii="Arial" w:hAnsi="Arial" w:cs="Arial"/>
        </w:rPr>
      </w:pPr>
      <w:r w:rsidRPr="00801786">
        <w:rPr>
          <w:rFonts w:ascii="Arial" w:hAnsi="Arial" w:cs="Arial"/>
          <w:b/>
          <w:bCs/>
        </w:rPr>
        <w:t>Strategic Implications:</w:t>
      </w:r>
      <w:r w:rsidRPr="00801786">
        <w:rPr>
          <w:rFonts w:ascii="Arial" w:hAnsi="Arial" w:cs="Arial"/>
        </w:rPr>
        <w:t xml:space="preserve"> The definition of industry boundaries should encompass functional substitutes in addition to direct competitors. </w:t>
      </w:r>
    </w:p>
    <w:p w14:paraId="294779C9" w14:textId="77777777" w:rsidR="00E33B46" w:rsidRDefault="00E33B46" w:rsidP="00CD2A51">
      <w:pPr>
        <w:jc w:val="both"/>
        <w:rPr>
          <w:rFonts w:ascii="Arial" w:hAnsi="Arial" w:cs="Arial"/>
        </w:rPr>
      </w:pPr>
    </w:p>
    <w:p w14:paraId="4ACB739C" w14:textId="0B9EA48A" w:rsidR="00E33B46" w:rsidRPr="00801786" w:rsidRDefault="00E33B46" w:rsidP="00CD2A51">
      <w:pPr>
        <w:jc w:val="both"/>
        <w:rPr>
          <w:rFonts w:ascii="Arial" w:hAnsi="Arial" w:cs="Arial"/>
          <w:b/>
          <w:bCs/>
          <w:i/>
          <w:iCs/>
          <w:u w:val="single"/>
        </w:rPr>
      </w:pPr>
      <w:r w:rsidRPr="00801786">
        <w:rPr>
          <w:rFonts w:ascii="Arial" w:hAnsi="Arial" w:cs="Arial"/>
          <w:b/>
          <w:bCs/>
          <w:i/>
          <w:iCs/>
          <w:u w:val="single"/>
        </w:rPr>
        <w:t xml:space="preserve">5. Rivalry Among Existing Competitors </w:t>
      </w:r>
    </w:p>
    <w:p w14:paraId="030B6D58" w14:textId="61F4B0BD" w:rsidR="00E33B46" w:rsidRPr="00801786" w:rsidRDefault="00E33B46" w:rsidP="00CD2A51">
      <w:pPr>
        <w:pStyle w:val="ListParagraph"/>
        <w:numPr>
          <w:ilvl w:val="0"/>
          <w:numId w:val="14"/>
        </w:numPr>
        <w:jc w:val="both"/>
        <w:rPr>
          <w:rFonts w:ascii="Arial" w:hAnsi="Arial" w:cs="Arial"/>
        </w:rPr>
      </w:pPr>
      <w:r w:rsidRPr="00801786">
        <w:rPr>
          <w:rFonts w:ascii="Arial" w:hAnsi="Arial" w:cs="Arial"/>
          <w:b/>
          <w:bCs/>
        </w:rPr>
        <w:t>Mechanic:</w:t>
      </w:r>
      <w:r w:rsidRPr="00801786">
        <w:rPr>
          <w:rFonts w:ascii="Arial" w:hAnsi="Arial" w:cs="Arial"/>
        </w:rPr>
        <w:t xml:space="preserve"> </w:t>
      </w:r>
      <w:r w:rsidR="000453C1" w:rsidRPr="00801786">
        <w:rPr>
          <w:rFonts w:ascii="Arial" w:hAnsi="Arial" w:cs="Arial"/>
        </w:rPr>
        <w:t>The intensity of competition manifests through price reductions, aggressive marketing strategies, and the launch of new products, which have a direct effect on the profitability of the industry (Porter, 1980, pp. 17-20).</w:t>
      </w:r>
    </w:p>
    <w:p w14:paraId="4AF528A1" w14:textId="1A6C391B" w:rsidR="000453C1" w:rsidRPr="00801786" w:rsidRDefault="000453C1" w:rsidP="00CD2A51">
      <w:pPr>
        <w:pStyle w:val="ListParagraph"/>
        <w:numPr>
          <w:ilvl w:val="0"/>
          <w:numId w:val="14"/>
        </w:numPr>
        <w:jc w:val="both"/>
        <w:rPr>
          <w:rFonts w:ascii="Arial" w:hAnsi="Arial" w:cs="Arial"/>
        </w:rPr>
      </w:pPr>
      <w:r w:rsidRPr="00801786">
        <w:rPr>
          <w:rFonts w:ascii="Arial" w:hAnsi="Arial" w:cs="Arial"/>
          <w:b/>
          <w:bCs/>
        </w:rPr>
        <w:t>Key Drivers:</w:t>
      </w:r>
      <w:r w:rsidRPr="00801786">
        <w:rPr>
          <w:rFonts w:ascii="Arial" w:hAnsi="Arial" w:cs="Arial"/>
        </w:rPr>
        <w:t xml:space="preserve"> A large no. of competitors or those of equal strength</w:t>
      </w:r>
      <w:r w:rsidR="00801786" w:rsidRPr="00801786">
        <w:rPr>
          <w:rFonts w:ascii="Arial" w:hAnsi="Arial" w:cs="Arial"/>
        </w:rPr>
        <w:t xml:space="preserve">, sluggish growth within industry, significant barriers to exit, and products that have a short shelf life (Porter, 2008, pp. 85-86). </w:t>
      </w:r>
    </w:p>
    <w:p w14:paraId="24296D51" w14:textId="1E1A6F31" w:rsidR="007A0C1B" w:rsidRDefault="00801786" w:rsidP="00CD2A51">
      <w:pPr>
        <w:pStyle w:val="ListParagraph"/>
        <w:numPr>
          <w:ilvl w:val="0"/>
          <w:numId w:val="14"/>
        </w:numPr>
        <w:jc w:val="both"/>
        <w:rPr>
          <w:rFonts w:ascii="Arial" w:hAnsi="Arial" w:cs="Arial"/>
        </w:rPr>
      </w:pPr>
      <w:r w:rsidRPr="00801786">
        <w:rPr>
          <w:rFonts w:ascii="Arial" w:hAnsi="Arial" w:cs="Arial"/>
          <w:b/>
          <w:bCs/>
        </w:rPr>
        <w:lastRenderedPageBreak/>
        <w:t>Strategic Consequences:</w:t>
      </w:r>
      <w:r w:rsidRPr="00801786">
        <w:rPr>
          <w:rFonts w:ascii="Arial" w:hAnsi="Arial" w:cs="Arial"/>
        </w:rPr>
        <w:t xml:space="preserve"> Rivalry based on pricing consistently undermines profitability for all participants; in contrast, non-price competition (such as branding &amp; innovation) has the potential to enhance the overall value of the industry.</w:t>
      </w:r>
    </w:p>
    <w:p w14:paraId="649E457A" w14:textId="77777777" w:rsidR="00AA012A" w:rsidRPr="00AA012A" w:rsidRDefault="00AA012A" w:rsidP="00AA012A">
      <w:pPr>
        <w:pStyle w:val="ListParagraph"/>
        <w:jc w:val="both"/>
        <w:rPr>
          <w:rFonts w:ascii="Arial" w:hAnsi="Arial" w:cs="Arial"/>
        </w:rPr>
      </w:pPr>
    </w:p>
    <w:p w14:paraId="356B0936" w14:textId="1CDE46E1" w:rsidR="00DA43C3" w:rsidRPr="00735958" w:rsidRDefault="00DA43C3" w:rsidP="00CD2A51">
      <w:pPr>
        <w:jc w:val="both"/>
        <w:rPr>
          <w:rFonts w:ascii="Arial" w:hAnsi="Arial" w:cs="Arial"/>
          <w:b/>
          <w:bCs/>
        </w:rPr>
      </w:pPr>
      <w:r w:rsidRPr="00735958">
        <w:rPr>
          <w:rFonts w:ascii="Arial" w:hAnsi="Arial" w:cs="Arial"/>
          <w:b/>
          <w:bCs/>
        </w:rPr>
        <w:t>7.0 Ansoff Matrix Framework</w:t>
      </w:r>
    </w:p>
    <w:p w14:paraId="3C99A16D" w14:textId="16A85371" w:rsidR="00024BDD" w:rsidRDefault="00034469" w:rsidP="00CD2A51">
      <w:pPr>
        <w:jc w:val="both"/>
        <w:rPr>
          <w:rFonts w:ascii="Arial" w:hAnsi="Arial" w:cs="Arial"/>
        </w:rPr>
      </w:pPr>
      <w:r>
        <w:rPr>
          <w:rFonts w:ascii="Arial" w:hAnsi="Arial" w:cs="Arial"/>
          <w:noProof/>
        </w:rPr>
        <mc:AlternateContent>
          <mc:Choice Requires="wps">
            <w:drawing>
              <wp:anchor distT="0" distB="0" distL="114300" distR="114300" simplePos="0" relativeHeight="251660288" behindDoc="1" locked="0" layoutInCell="1" allowOverlap="1" wp14:anchorId="1E5BFF92" wp14:editId="12A8DAE2">
                <wp:simplePos x="0" y="0"/>
                <wp:positionH relativeFrom="margin">
                  <wp:posOffset>1138989</wp:posOffset>
                </wp:positionH>
                <wp:positionV relativeFrom="paragraph">
                  <wp:posOffset>237089</wp:posOffset>
                </wp:positionV>
                <wp:extent cx="3753853" cy="3320716"/>
                <wp:effectExtent l="0" t="0" r="18415" b="13335"/>
                <wp:wrapNone/>
                <wp:docPr id="1760719261" name="Rectangle 2"/>
                <wp:cNvGraphicFramePr/>
                <a:graphic xmlns:a="http://schemas.openxmlformats.org/drawingml/2006/main">
                  <a:graphicData uri="http://schemas.microsoft.com/office/word/2010/wordprocessingShape">
                    <wps:wsp>
                      <wps:cNvSpPr/>
                      <wps:spPr>
                        <a:xfrm>
                          <a:off x="0" y="0"/>
                          <a:ext cx="3753853" cy="3320716"/>
                        </a:xfrm>
                        <a:prstGeom prst="rect">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FC09CE" id="Rectangle 2" o:spid="_x0000_s1026" style="position:absolute;margin-left:89.7pt;margin-top:18.65pt;width:295.6pt;height:2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" fillcolor="#a7caec [831]" strokecolor="#030e13 [484]" strokeweight="1.5pt">
                <w10:wrap anchorx="margin"/>
              </v:rect>
            </w:pict>
          </mc:Fallback>
        </mc:AlternateContent>
      </w:r>
    </w:p>
    <w:p w14:paraId="0CDB73D5" w14:textId="6EB85ECA" w:rsidR="00034469" w:rsidRPr="00034469" w:rsidRDefault="00034469" w:rsidP="00B942D4">
      <w:pPr>
        <w:jc w:val="center"/>
        <w:rPr>
          <w:rFonts w:ascii="Arial" w:hAnsi="Arial" w:cs="Arial"/>
        </w:rPr>
      </w:pPr>
      <w:r w:rsidRPr="00034469">
        <w:rPr>
          <w:rFonts w:ascii="Arial" w:hAnsi="Arial" w:cs="Arial"/>
        </w:rPr>
        <w:t>ANSOFF MATRIX</w:t>
      </w:r>
    </w:p>
    <w:p w14:paraId="59F76D45" w14:textId="77777777" w:rsidR="00034469" w:rsidRPr="00034469" w:rsidRDefault="00034469" w:rsidP="00B942D4">
      <w:pPr>
        <w:jc w:val="center"/>
        <w:rPr>
          <w:rFonts w:ascii="Arial" w:hAnsi="Arial" w:cs="Arial"/>
        </w:rPr>
      </w:pPr>
    </w:p>
    <w:p w14:paraId="0427E76E" w14:textId="321960B9" w:rsidR="00034469" w:rsidRPr="00034469" w:rsidRDefault="00034469" w:rsidP="00B942D4">
      <w:pPr>
        <w:jc w:val="center"/>
        <w:rPr>
          <w:rFonts w:ascii="Arial" w:hAnsi="Arial" w:cs="Arial"/>
        </w:rPr>
      </w:pPr>
      <w:r w:rsidRPr="00034469">
        <w:rPr>
          <w:rFonts w:ascii="Arial" w:hAnsi="Arial" w:cs="Arial"/>
        </w:rPr>
        <w:t>PRODUCTS</w:t>
      </w:r>
    </w:p>
    <w:p w14:paraId="09E62801" w14:textId="12A05E12" w:rsidR="00034469" w:rsidRPr="00034469" w:rsidRDefault="00034469" w:rsidP="00B942D4">
      <w:pPr>
        <w:jc w:val="center"/>
        <w:rPr>
          <w:rFonts w:ascii="Arial" w:hAnsi="Arial" w:cs="Arial"/>
        </w:rPr>
      </w:pPr>
      <w:r w:rsidRPr="00034469">
        <w:rPr>
          <w:rFonts w:ascii="Arial" w:hAnsi="Arial" w:cs="Arial"/>
        </w:rPr>
        <w:t>Existing      New</w:t>
      </w:r>
    </w:p>
    <w:p w14:paraId="5D9954F3" w14:textId="2D45893E" w:rsidR="00034469" w:rsidRPr="00034469" w:rsidRDefault="00034469" w:rsidP="00B942D4">
      <w:pPr>
        <w:jc w:val="center"/>
        <w:rPr>
          <w:rFonts w:ascii="Arial" w:hAnsi="Arial" w:cs="Arial"/>
        </w:rPr>
      </w:pPr>
      <w:r w:rsidRPr="00034469">
        <w:rPr>
          <w:rFonts w:ascii="Arial" w:hAnsi="Arial" w:cs="Arial"/>
        </w:rPr>
        <w:t>+------------+------------+</w:t>
      </w:r>
    </w:p>
    <w:p w14:paraId="5E5CDD05" w14:textId="77777777" w:rsidR="00034469" w:rsidRPr="00034469" w:rsidRDefault="00034469" w:rsidP="00B942D4">
      <w:pPr>
        <w:jc w:val="center"/>
        <w:rPr>
          <w:rFonts w:ascii="Arial" w:hAnsi="Arial" w:cs="Arial"/>
        </w:rPr>
      </w:pPr>
      <w:r w:rsidRPr="00034469">
        <w:rPr>
          <w:rFonts w:ascii="Arial" w:hAnsi="Arial" w:cs="Arial"/>
        </w:rPr>
        <w:t>Existing     | Market     | Product    |</w:t>
      </w:r>
    </w:p>
    <w:p w14:paraId="2B97F47D" w14:textId="77777777" w:rsidR="00034469" w:rsidRPr="00034469" w:rsidRDefault="00034469" w:rsidP="00B942D4">
      <w:pPr>
        <w:jc w:val="center"/>
        <w:rPr>
          <w:rFonts w:ascii="Arial" w:hAnsi="Arial" w:cs="Arial"/>
        </w:rPr>
      </w:pPr>
      <w:r w:rsidRPr="00034469">
        <w:rPr>
          <w:rFonts w:ascii="Arial" w:hAnsi="Arial" w:cs="Arial"/>
        </w:rPr>
        <w:t>Markets      | Penetration| Development|</w:t>
      </w:r>
    </w:p>
    <w:p w14:paraId="7F8B39EC" w14:textId="5FAEEBE9" w:rsidR="00034469" w:rsidRPr="00034469" w:rsidRDefault="00034469" w:rsidP="00B942D4">
      <w:pPr>
        <w:jc w:val="center"/>
        <w:rPr>
          <w:rFonts w:ascii="Arial" w:hAnsi="Arial" w:cs="Arial"/>
        </w:rPr>
      </w:pPr>
      <w:r w:rsidRPr="00034469">
        <w:rPr>
          <w:rFonts w:ascii="Arial" w:hAnsi="Arial" w:cs="Arial"/>
        </w:rPr>
        <w:t>+------------+------------+</w:t>
      </w:r>
    </w:p>
    <w:p w14:paraId="1B39FCC3" w14:textId="77777777" w:rsidR="00034469" w:rsidRPr="00034469" w:rsidRDefault="00034469" w:rsidP="00B942D4">
      <w:pPr>
        <w:jc w:val="center"/>
        <w:rPr>
          <w:rFonts w:ascii="Arial" w:hAnsi="Arial" w:cs="Arial"/>
        </w:rPr>
      </w:pPr>
      <w:r w:rsidRPr="00034469">
        <w:rPr>
          <w:rFonts w:ascii="Arial" w:hAnsi="Arial" w:cs="Arial"/>
        </w:rPr>
        <w:t xml:space="preserve">New          | Market     | </w:t>
      </w:r>
      <w:proofErr w:type="spellStart"/>
      <w:r w:rsidRPr="00034469">
        <w:rPr>
          <w:rFonts w:ascii="Arial" w:hAnsi="Arial" w:cs="Arial"/>
        </w:rPr>
        <w:t>Diversifi</w:t>
      </w:r>
      <w:proofErr w:type="spellEnd"/>
      <w:r w:rsidRPr="00034469">
        <w:rPr>
          <w:rFonts w:ascii="Arial" w:hAnsi="Arial" w:cs="Arial"/>
        </w:rPr>
        <w:t>- |</w:t>
      </w:r>
    </w:p>
    <w:p w14:paraId="1AA27938" w14:textId="77777777" w:rsidR="00034469" w:rsidRPr="00034469" w:rsidRDefault="00034469" w:rsidP="00B942D4">
      <w:pPr>
        <w:jc w:val="center"/>
        <w:rPr>
          <w:rFonts w:ascii="Arial" w:hAnsi="Arial" w:cs="Arial"/>
        </w:rPr>
      </w:pPr>
      <w:r w:rsidRPr="00034469">
        <w:rPr>
          <w:rFonts w:ascii="Arial" w:hAnsi="Arial" w:cs="Arial"/>
        </w:rPr>
        <w:t>Markets      | Development| cation     |</w:t>
      </w:r>
    </w:p>
    <w:p w14:paraId="1234BC2B" w14:textId="549D220F" w:rsidR="00034469" w:rsidRDefault="00034469" w:rsidP="00B942D4">
      <w:pPr>
        <w:jc w:val="center"/>
        <w:rPr>
          <w:rFonts w:ascii="Arial" w:hAnsi="Arial" w:cs="Arial"/>
        </w:rPr>
      </w:pPr>
      <w:r w:rsidRPr="00034469">
        <w:rPr>
          <w:rFonts w:ascii="Arial" w:hAnsi="Arial" w:cs="Arial"/>
        </w:rPr>
        <w:t>+------------+------------+</w:t>
      </w:r>
    </w:p>
    <w:p w14:paraId="3FEA5C31" w14:textId="4A41F654" w:rsidR="00735958" w:rsidRPr="00024BDD" w:rsidRDefault="00024BDD" w:rsidP="00B942D4">
      <w:pPr>
        <w:jc w:val="center"/>
        <w:rPr>
          <w:rFonts w:ascii="Arial" w:hAnsi="Arial" w:cs="Arial"/>
          <w:i/>
          <w:iCs/>
        </w:rPr>
      </w:pPr>
      <w:r w:rsidRPr="00024BDD">
        <w:rPr>
          <w:rFonts w:ascii="Arial" w:hAnsi="Arial" w:cs="Arial"/>
          <w:b/>
          <w:bCs/>
          <w:i/>
          <w:iCs/>
        </w:rPr>
        <w:t>Source:</w:t>
      </w:r>
      <w:r w:rsidRPr="00024BDD">
        <w:rPr>
          <w:rFonts w:ascii="Arial" w:hAnsi="Arial" w:cs="Arial"/>
          <w:i/>
          <w:iCs/>
        </w:rPr>
        <w:t xml:space="preserve"> Ansoff, H.I. (1957) strategies for Diversification</w:t>
      </w:r>
    </w:p>
    <w:p w14:paraId="2BF549C8" w14:textId="1282C66C" w:rsidR="00735958" w:rsidRPr="00735958" w:rsidRDefault="00735958" w:rsidP="00CD2A51">
      <w:pPr>
        <w:jc w:val="both"/>
        <w:rPr>
          <w:rFonts w:ascii="Arial" w:hAnsi="Arial" w:cs="Arial"/>
          <w:b/>
          <w:bCs/>
        </w:rPr>
      </w:pPr>
      <w:r w:rsidRPr="00735958">
        <w:rPr>
          <w:rFonts w:ascii="Arial" w:hAnsi="Arial" w:cs="Arial"/>
          <w:b/>
          <w:bCs/>
        </w:rPr>
        <w:t xml:space="preserve">7.1 Growth Strategy Analysis </w:t>
      </w:r>
    </w:p>
    <w:p w14:paraId="10917651" w14:textId="50AAEC77" w:rsidR="00735958" w:rsidRPr="00735958" w:rsidRDefault="00735958" w:rsidP="00CD2A51">
      <w:pPr>
        <w:jc w:val="both"/>
        <w:rPr>
          <w:rFonts w:ascii="Arial" w:hAnsi="Arial" w:cs="Arial"/>
          <w:b/>
          <w:bCs/>
          <w:i/>
          <w:iCs/>
          <w:u w:val="single"/>
        </w:rPr>
      </w:pPr>
      <w:r w:rsidRPr="00735958">
        <w:rPr>
          <w:rFonts w:ascii="Arial" w:hAnsi="Arial" w:cs="Arial"/>
          <w:b/>
          <w:bCs/>
          <w:i/>
          <w:iCs/>
          <w:u w:val="single"/>
        </w:rPr>
        <w:t>1. Market Penetration (Lowest Risk)</w:t>
      </w:r>
    </w:p>
    <w:p w14:paraId="1FC08AA4" w14:textId="5C19AF70" w:rsidR="00735958" w:rsidRPr="00CD2A51" w:rsidRDefault="00735958" w:rsidP="00CD2A51">
      <w:pPr>
        <w:pStyle w:val="ListParagraph"/>
        <w:numPr>
          <w:ilvl w:val="0"/>
          <w:numId w:val="22"/>
        </w:numPr>
        <w:jc w:val="both"/>
        <w:rPr>
          <w:rFonts w:ascii="Arial" w:hAnsi="Arial" w:cs="Arial"/>
        </w:rPr>
      </w:pPr>
      <w:r w:rsidRPr="00CD2A51">
        <w:rPr>
          <w:rFonts w:ascii="Arial" w:hAnsi="Arial" w:cs="Arial"/>
          <w:b/>
          <w:bCs/>
        </w:rPr>
        <w:t>Strategic Mechanism:</w:t>
      </w:r>
      <w:r w:rsidRPr="00CD2A51">
        <w:rPr>
          <w:rFonts w:ascii="Arial" w:hAnsi="Arial" w:cs="Arial"/>
        </w:rPr>
        <w:t xml:space="preserve"> Enhancing market share within current markets by leveraging existing product lines to increase purchase frequency and customer loyalty (Ansoff, 1957, p. 114; Ansoff et al., 2018). </w:t>
      </w:r>
    </w:p>
    <w:p w14:paraId="3730B575" w14:textId="0F69DB23" w:rsidR="00735958" w:rsidRDefault="00C3098C" w:rsidP="00CD2A51">
      <w:pPr>
        <w:pStyle w:val="ListParagraph"/>
        <w:numPr>
          <w:ilvl w:val="0"/>
          <w:numId w:val="22"/>
        </w:numPr>
        <w:jc w:val="both"/>
        <w:rPr>
          <w:rFonts w:ascii="Arial" w:hAnsi="Arial" w:cs="Arial"/>
        </w:rPr>
      </w:pPr>
      <w:r w:rsidRPr="00CD2A51">
        <w:rPr>
          <w:rFonts w:ascii="Arial" w:hAnsi="Arial" w:cs="Arial"/>
          <w:b/>
          <w:bCs/>
        </w:rPr>
        <w:t>Applications to McDonald’s UK:</w:t>
      </w:r>
      <w:r w:rsidRPr="00CD2A51">
        <w:rPr>
          <w:rFonts w:ascii="Arial" w:hAnsi="Arial" w:cs="Arial"/>
        </w:rPr>
        <w:t xml:space="preserve"> Implemented through the “Accelerating the Arches” growth pillars and the “4Ds” (Digital, Delivery, Drive-Thru, Development) (McDonald’s Corporation, 2020; AP Capital Research, 2025). This initiative is bolstered by a £1 billion investment for the establishment of 200 new restaurants and the digital expansion via the </w:t>
      </w:r>
      <w:proofErr w:type="spellStart"/>
      <w:r w:rsidRPr="00CD2A51">
        <w:rPr>
          <w:rFonts w:ascii="Arial" w:hAnsi="Arial" w:cs="Arial"/>
        </w:rPr>
        <w:t>MyMcDonald’s</w:t>
      </w:r>
      <w:proofErr w:type="spellEnd"/>
      <w:r w:rsidRPr="00CD2A51">
        <w:rPr>
          <w:rFonts w:ascii="Arial" w:hAnsi="Arial" w:cs="Arial"/>
        </w:rPr>
        <w:t xml:space="preserve"> Rewards platform (Gilbert, 2022; AMW, 2025). </w:t>
      </w:r>
    </w:p>
    <w:p w14:paraId="195DBAF2" w14:textId="77777777" w:rsidR="007D07EA" w:rsidRPr="007D07EA" w:rsidRDefault="007D07EA" w:rsidP="007D07EA">
      <w:pPr>
        <w:jc w:val="both"/>
        <w:rPr>
          <w:rFonts w:ascii="Arial" w:hAnsi="Arial" w:cs="Arial"/>
        </w:rPr>
      </w:pPr>
    </w:p>
    <w:p w14:paraId="435C036D" w14:textId="77777777" w:rsidR="00C3098C" w:rsidRDefault="00C3098C" w:rsidP="00CD2A51">
      <w:pPr>
        <w:jc w:val="both"/>
        <w:rPr>
          <w:rFonts w:ascii="Arial" w:hAnsi="Arial" w:cs="Arial"/>
        </w:rPr>
      </w:pPr>
    </w:p>
    <w:p w14:paraId="5774D060" w14:textId="301EF7CC" w:rsidR="00C3098C" w:rsidRPr="002F5384" w:rsidRDefault="00C3098C" w:rsidP="00CD2A51">
      <w:pPr>
        <w:jc w:val="both"/>
        <w:rPr>
          <w:rFonts w:ascii="Arial" w:hAnsi="Arial" w:cs="Arial"/>
          <w:b/>
          <w:bCs/>
          <w:i/>
          <w:iCs/>
          <w:u w:val="single"/>
        </w:rPr>
      </w:pPr>
      <w:r w:rsidRPr="002F5384">
        <w:rPr>
          <w:rFonts w:ascii="Arial" w:hAnsi="Arial" w:cs="Arial"/>
          <w:b/>
          <w:bCs/>
          <w:i/>
          <w:iCs/>
          <w:u w:val="single"/>
        </w:rPr>
        <w:lastRenderedPageBreak/>
        <w:t>2. Product Development (Moderate Risk)</w:t>
      </w:r>
    </w:p>
    <w:p w14:paraId="2557AFB2" w14:textId="71FB62FB" w:rsidR="00735958" w:rsidRPr="00CD2A51" w:rsidRDefault="00C3098C" w:rsidP="00CD2A51">
      <w:pPr>
        <w:pStyle w:val="ListParagraph"/>
        <w:numPr>
          <w:ilvl w:val="0"/>
          <w:numId w:val="23"/>
        </w:numPr>
        <w:jc w:val="both"/>
        <w:rPr>
          <w:rFonts w:ascii="Arial" w:hAnsi="Arial" w:cs="Arial"/>
        </w:rPr>
      </w:pPr>
      <w:r w:rsidRPr="00CD2A51">
        <w:rPr>
          <w:rFonts w:ascii="Arial" w:hAnsi="Arial" w:cs="Arial"/>
          <w:b/>
          <w:bCs/>
        </w:rPr>
        <w:t>Strategic Mechanism:</w:t>
      </w:r>
      <w:r w:rsidRPr="00CD2A51">
        <w:rPr>
          <w:rFonts w:ascii="Arial" w:hAnsi="Arial" w:cs="Arial"/>
        </w:rPr>
        <w:t xml:space="preserve"> Launching modified or completely new products within existing market channels to meet changing customer preferences (Ansoff, 1957, p. 114; Johnson, Scholes and Whittington, 2008). </w:t>
      </w:r>
    </w:p>
    <w:p w14:paraId="2EF1D77A" w14:textId="2EC1A3F7" w:rsidR="00C3098C" w:rsidRPr="00CD2A51" w:rsidRDefault="00C3098C" w:rsidP="00CD2A51">
      <w:pPr>
        <w:pStyle w:val="ListParagraph"/>
        <w:numPr>
          <w:ilvl w:val="0"/>
          <w:numId w:val="23"/>
        </w:numPr>
        <w:jc w:val="both"/>
        <w:rPr>
          <w:rFonts w:ascii="Arial" w:hAnsi="Arial" w:cs="Arial"/>
        </w:rPr>
      </w:pPr>
      <w:r w:rsidRPr="00CD2A51">
        <w:rPr>
          <w:rFonts w:ascii="Arial" w:hAnsi="Arial" w:cs="Arial"/>
          <w:b/>
          <w:bCs/>
        </w:rPr>
        <w:t>Application to McDonald’s UK:</w:t>
      </w:r>
      <w:r w:rsidRPr="00CD2A51">
        <w:rPr>
          <w:rFonts w:ascii="Arial" w:hAnsi="Arial" w:cs="Arial"/>
        </w:rPr>
        <w:t xml:space="preserve"> Responding to evolving health and sustainability demand by aiming for market leadership in plant-based offerings in the UK and employing a Nutrition Innovation Council as part of the “Plan for Change” initiative (McDonald’s UK, 2021; </w:t>
      </w:r>
      <w:proofErr w:type="spellStart"/>
      <w:r w:rsidRPr="00CD2A51">
        <w:rPr>
          <w:rFonts w:ascii="Arial" w:hAnsi="Arial" w:cs="Arial"/>
        </w:rPr>
        <w:t>Groth</w:t>
      </w:r>
      <w:proofErr w:type="spellEnd"/>
      <w:r w:rsidRPr="00CD2A51">
        <w:rPr>
          <w:rFonts w:ascii="Arial" w:hAnsi="Arial" w:cs="Arial"/>
        </w:rPr>
        <w:t xml:space="preserve">, 2025). </w:t>
      </w:r>
    </w:p>
    <w:p w14:paraId="53662677" w14:textId="77777777" w:rsidR="002F5384" w:rsidRDefault="002F5384" w:rsidP="00CD2A51">
      <w:pPr>
        <w:jc w:val="both"/>
        <w:rPr>
          <w:rFonts w:ascii="Arial" w:hAnsi="Arial" w:cs="Arial"/>
        </w:rPr>
      </w:pPr>
    </w:p>
    <w:p w14:paraId="449034C5" w14:textId="2E732788" w:rsidR="002F5384" w:rsidRPr="00934F8A" w:rsidRDefault="002F5384" w:rsidP="00CD2A51">
      <w:pPr>
        <w:jc w:val="both"/>
        <w:rPr>
          <w:rFonts w:ascii="Arial" w:hAnsi="Arial" w:cs="Arial"/>
          <w:b/>
          <w:bCs/>
          <w:i/>
          <w:iCs/>
          <w:u w:val="single"/>
        </w:rPr>
      </w:pPr>
      <w:r w:rsidRPr="00934F8A">
        <w:rPr>
          <w:rFonts w:ascii="Arial" w:hAnsi="Arial" w:cs="Arial"/>
          <w:b/>
          <w:bCs/>
          <w:i/>
          <w:iCs/>
          <w:u w:val="single"/>
        </w:rPr>
        <w:t>3. Market Development (Moderate Risk)</w:t>
      </w:r>
    </w:p>
    <w:p w14:paraId="47BDEE0D" w14:textId="77777777" w:rsidR="00B53A89" w:rsidRPr="00CD2A51" w:rsidRDefault="002F5384" w:rsidP="00CD2A51">
      <w:pPr>
        <w:pStyle w:val="ListParagraph"/>
        <w:numPr>
          <w:ilvl w:val="0"/>
          <w:numId w:val="24"/>
        </w:numPr>
        <w:jc w:val="both"/>
        <w:rPr>
          <w:rFonts w:ascii="Arial" w:hAnsi="Arial" w:cs="Arial"/>
        </w:rPr>
      </w:pPr>
      <w:r w:rsidRPr="00CD2A51">
        <w:rPr>
          <w:rFonts w:ascii="Arial" w:hAnsi="Arial" w:cs="Arial"/>
          <w:b/>
          <w:bCs/>
        </w:rPr>
        <w:t>Strategic Mechanism:</w:t>
      </w:r>
      <w:r w:rsidRPr="00CD2A51">
        <w:rPr>
          <w:rFonts w:ascii="Arial" w:hAnsi="Arial" w:cs="Arial"/>
        </w:rPr>
        <w:t xml:space="preserve"> Expanding current product lines into new geographical areas, market segments, or unconventional retail formats (Ansoff</w:t>
      </w:r>
      <w:r w:rsidR="00B53A89" w:rsidRPr="00CD2A51">
        <w:rPr>
          <w:rFonts w:ascii="Arial" w:hAnsi="Arial" w:cs="Arial"/>
        </w:rPr>
        <w:t>, 1957, p. 114</w:t>
      </w:r>
      <w:r w:rsidRPr="00CD2A51">
        <w:rPr>
          <w:rFonts w:ascii="Arial" w:hAnsi="Arial" w:cs="Arial"/>
        </w:rPr>
        <w:t>)</w:t>
      </w:r>
      <w:r w:rsidR="00B53A89" w:rsidRPr="00CD2A51">
        <w:rPr>
          <w:rFonts w:ascii="Arial" w:hAnsi="Arial" w:cs="Arial"/>
        </w:rPr>
        <w:t>.</w:t>
      </w:r>
    </w:p>
    <w:p w14:paraId="37CB19C6" w14:textId="77777777" w:rsidR="00B53A89" w:rsidRPr="00CD2A51" w:rsidRDefault="00B53A89" w:rsidP="00CD2A51">
      <w:pPr>
        <w:pStyle w:val="ListParagraph"/>
        <w:numPr>
          <w:ilvl w:val="0"/>
          <w:numId w:val="24"/>
        </w:numPr>
        <w:jc w:val="both"/>
        <w:rPr>
          <w:rFonts w:ascii="Arial" w:hAnsi="Arial" w:cs="Arial"/>
        </w:rPr>
      </w:pPr>
      <w:r w:rsidRPr="00CD2A51">
        <w:rPr>
          <w:rFonts w:ascii="Arial" w:hAnsi="Arial" w:cs="Arial"/>
          <w:b/>
          <w:bCs/>
        </w:rPr>
        <w:t>Application to McDonald’s UK:</w:t>
      </w:r>
      <w:r w:rsidRPr="00CD2A51">
        <w:rPr>
          <w:rFonts w:ascii="Arial" w:hAnsi="Arial" w:cs="Arial"/>
        </w:rPr>
        <w:t xml:space="preserve"> Implementing smaller outlet formats and specialized “Drive to” locations to cater to specific consumer needs, while also focusing on the “solo lunchtime” market segment (Gilbert, 2022; </w:t>
      </w:r>
      <w:proofErr w:type="spellStart"/>
      <w:r w:rsidRPr="00CD2A51">
        <w:rPr>
          <w:rFonts w:ascii="Arial" w:hAnsi="Arial" w:cs="Arial"/>
        </w:rPr>
        <w:t>QuestionPro</w:t>
      </w:r>
      <w:proofErr w:type="spellEnd"/>
      <w:r w:rsidRPr="00CD2A51">
        <w:rPr>
          <w:rFonts w:ascii="Arial" w:hAnsi="Arial" w:cs="Arial"/>
        </w:rPr>
        <w:t xml:space="preserve">, 2023). </w:t>
      </w:r>
    </w:p>
    <w:p w14:paraId="739479C9" w14:textId="77777777" w:rsidR="00B53A89" w:rsidRPr="00934F8A" w:rsidRDefault="00B53A89" w:rsidP="00CD2A51">
      <w:pPr>
        <w:jc w:val="both"/>
        <w:rPr>
          <w:rFonts w:ascii="Arial" w:hAnsi="Arial" w:cs="Arial"/>
          <w:b/>
          <w:bCs/>
          <w:i/>
          <w:iCs/>
          <w:u w:val="single"/>
        </w:rPr>
      </w:pPr>
      <w:r w:rsidRPr="00934F8A">
        <w:rPr>
          <w:rFonts w:ascii="Arial" w:hAnsi="Arial" w:cs="Arial"/>
          <w:b/>
          <w:bCs/>
          <w:i/>
          <w:iCs/>
          <w:u w:val="single"/>
        </w:rPr>
        <w:t>4. Diversification (Higher Risk)</w:t>
      </w:r>
    </w:p>
    <w:p w14:paraId="79395AE7" w14:textId="07F596F9" w:rsidR="002F5384" w:rsidRPr="00CD2A51" w:rsidRDefault="00B53A89" w:rsidP="00CD2A51">
      <w:pPr>
        <w:pStyle w:val="ListParagraph"/>
        <w:numPr>
          <w:ilvl w:val="0"/>
          <w:numId w:val="25"/>
        </w:numPr>
        <w:jc w:val="both"/>
        <w:rPr>
          <w:rFonts w:ascii="Arial" w:hAnsi="Arial" w:cs="Arial"/>
        </w:rPr>
      </w:pPr>
      <w:r w:rsidRPr="00CD2A51">
        <w:rPr>
          <w:rFonts w:ascii="Arial" w:hAnsi="Arial" w:cs="Arial"/>
          <w:b/>
          <w:bCs/>
        </w:rPr>
        <w:t>Strategic Mechanism:</w:t>
      </w:r>
      <w:r w:rsidRPr="00CD2A51">
        <w:rPr>
          <w:rFonts w:ascii="Arial" w:hAnsi="Arial" w:cs="Arial"/>
        </w:rPr>
        <w:t xml:space="preserve"> Simultaneously entering new markets with new products, which new products have the highest level of operational risk (Ansoff, 1957, p. 114; </w:t>
      </w:r>
      <w:proofErr w:type="spellStart"/>
      <w:r w:rsidRPr="00CD2A51">
        <w:rPr>
          <w:rFonts w:ascii="Arial" w:hAnsi="Arial" w:cs="Arial"/>
        </w:rPr>
        <w:t>Rumelt</w:t>
      </w:r>
      <w:proofErr w:type="spellEnd"/>
      <w:r w:rsidRPr="00CD2A51">
        <w:rPr>
          <w:rFonts w:ascii="Arial" w:hAnsi="Arial" w:cs="Arial"/>
        </w:rPr>
        <w:t>, 1974).</w:t>
      </w:r>
    </w:p>
    <w:p w14:paraId="61AF2762" w14:textId="3FEF6C52" w:rsidR="00B53A89" w:rsidRPr="00CD2A51" w:rsidRDefault="00B53A89" w:rsidP="00CD2A51">
      <w:pPr>
        <w:pStyle w:val="ListParagraph"/>
        <w:numPr>
          <w:ilvl w:val="0"/>
          <w:numId w:val="25"/>
        </w:numPr>
        <w:jc w:val="both"/>
        <w:rPr>
          <w:rFonts w:ascii="Arial" w:hAnsi="Arial" w:cs="Arial"/>
        </w:rPr>
      </w:pPr>
      <w:r w:rsidRPr="00CD2A51">
        <w:rPr>
          <w:rFonts w:ascii="Arial" w:hAnsi="Arial" w:cs="Arial"/>
          <w:b/>
          <w:bCs/>
        </w:rPr>
        <w:t>Application to McDonald’s UK:</w:t>
      </w:r>
      <w:r w:rsidRPr="00CD2A51">
        <w:rPr>
          <w:rFonts w:ascii="Arial" w:hAnsi="Arial" w:cs="Arial"/>
        </w:rPr>
        <w:t xml:space="preserve"> Broadening operational capabilities into digital infrastructure, utilizing predictive AI for automated inventory management, dynamic scheduling, and a digital-first hospitality approach (AP Capital Research, 2025). </w:t>
      </w:r>
    </w:p>
    <w:p w14:paraId="29F101CE" w14:textId="77777777" w:rsidR="00B53A89" w:rsidRDefault="00B53A89" w:rsidP="00CD2A51">
      <w:pPr>
        <w:jc w:val="both"/>
        <w:rPr>
          <w:rFonts w:ascii="Arial" w:hAnsi="Arial" w:cs="Arial"/>
        </w:rPr>
      </w:pPr>
    </w:p>
    <w:p w14:paraId="1AFDFD6E" w14:textId="1474EC2B" w:rsidR="00013A37" w:rsidRDefault="000C0BA2" w:rsidP="00CD2A51">
      <w:pPr>
        <w:jc w:val="both"/>
        <w:rPr>
          <w:rFonts w:ascii="Arial" w:hAnsi="Arial" w:cs="Arial"/>
          <w:b/>
          <w:bCs/>
        </w:rPr>
      </w:pPr>
      <w:r>
        <w:rPr>
          <w:rFonts w:ascii="Arial" w:hAnsi="Arial" w:cs="Arial"/>
          <w:b/>
          <w:bCs/>
        </w:rPr>
        <w:t xml:space="preserve">8.0 Strategic Recommendations </w:t>
      </w:r>
    </w:p>
    <w:p w14:paraId="3DC316CF" w14:textId="2F438863" w:rsidR="000C0BA2" w:rsidRDefault="000C0BA2" w:rsidP="00CD2A51">
      <w:pPr>
        <w:jc w:val="both"/>
        <w:rPr>
          <w:rFonts w:ascii="Arial" w:hAnsi="Arial" w:cs="Arial"/>
          <w:b/>
          <w:bCs/>
          <w:i/>
          <w:iCs/>
          <w:u w:val="single"/>
        </w:rPr>
      </w:pPr>
      <w:r w:rsidRPr="000C0BA2">
        <w:rPr>
          <w:rFonts w:ascii="Arial" w:hAnsi="Arial" w:cs="Arial"/>
          <w:b/>
          <w:bCs/>
          <w:i/>
          <w:iCs/>
          <w:u w:val="single"/>
        </w:rPr>
        <w:t>1. Growth Recommendation: Omni-Channel Expansion</w:t>
      </w:r>
    </w:p>
    <w:p w14:paraId="13A471F1" w14:textId="1284F918" w:rsidR="00296A28" w:rsidRPr="00CD2A51" w:rsidRDefault="00296A28" w:rsidP="00CD2A51">
      <w:pPr>
        <w:pStyle w:val="ListParagraph"/>
        <w:numPr>
          <w:ilvl w:val="0"/>
          <w:numId w:val="26"/>
        </w:numPr>
        <w:jc w:val="both"/>
        <w:rPr>
          <w:rFonts w:ascii="Arial" w:hAnsi="Arial" w:cs="Arial"/>
        </w:rPr>
      </w:pPr>
      <w:r w:rsidRPr="00CD2A51">
        <w:rPr>
          <w:rFonts w:ascii="Arial" w:hAnsi="Arial" w:cs="Arial"/>
          <w:b/>
          <w:bCs/>
        </w:rPr>
        <w:t>Strategy &amp; Action:</w:t>
      </w:r>
      <w:r w:rsidRPr="00CD2A51">
        <w:rPr>
          <w:rFonts w:ascii="Arial" w:hAnsi="Arial" w:cs="Arial"/>
        </w:rPr>
        <w:t xml:space="preserve"> Intensify focus on the 4Ds (Digital, Delivery, Drive-Thru, Development) by allocating £1 billion in capital to establish over 200 new restaurants by 2028, while experimenting with smaller urban units &amp; “Drive to” formats (Gilbert, 2022). </w:t>
      </w:r>
    </w:p>
    <w:p w14:paraId="5B758AF4" w14:textId="0A3FB805" w:rsidR="00296A28" w:rsidRPr="00CD2A51" w:rsidRDefault="00296A28" w:rsidP="00CD2A51">
      <w:pPr>
        <w:pStyle w:val="ListParagraph"/>
        <w:numPr>
          <w:ilvl w:val="0"/>
          <w:numId w:val="26"/>
        </w:numPr>
        <w:jc w:val="both"/>
        <w:rPr>
          <w:rFonts w:ascii="Arial" w:hAnsi="Arial" w:cs="Arial"/>
        </w:rPr>
      </w:pPr>
      <w:r w:rsidRPr="00CD2A51">
        <w:rPr>
          <w:rFonts w:ascii="Arial" w:hAnsi="Arial" w:cs="Arial"/>
          <w:b/>
          <w:bCs/>
        </w:rPr>
        <w:t>Academic Rationale:</w:t>
      </w:r>
      <w:r w:rsidRPr="00CD2A51">
        <w:rPr>
          <w:rFonts w:ascii="Arial" w:hAnsi="Arial" w:cs="Arial"/>
        </w:rPr>
        <w:t xml:space="preserve"> Market penetration reduces strategic risk by capitalizing on existing core competencies (Ansoff, 1957; Johnson, Scholes and Whittington, 2008). Leveraging a well-established base of over 11 million digital loyalty </w:t>
      </w:r>
      <w:r w:rsidRPr="00CD2A51">
        <w:rPr>
          <w:rFonts w:ascii="Arial" w:hAnsi="Arial" w:cs="Arial"/>
        </w:rPr>
        <w:lastRenderedPageBreak/>
        <w:t xml:space="preserve">registrants enhances transaction frequency and customer lifetime value (Kumar &amp; Reinartz, 2016; AMW, 2025). </w:t>
      </w:r>
    </w:p>
    <w:p w14:paraId="087BB8BE" w14:textId="6AE12F95" w:rsidR="000C0BA2" w:rsidRDefault="000C0BA2" w:rsidP="00CD2A51">
      <w:pPr>
        <w:jc w:val="both"/>
        <w:rPr>
          <w:rFonts w:ascii="Arial" w:hAnsi="Arial" w:cs="Arial"/>
        </w:rPr>
      </w:pPr>
    </w:p>
    <w:p w14:paraId="6F752A62" w14:textId="7D7526C6" w:rsidR="00296A28" w:rsidRPr="003A7E9C" w:rsidRDefault="00296A28" w:rsidP="00CD2A51">
      <w:pPr>
        <w:jc w:val="both"/>
        <w:rPr>
          <w:rFonts w:ascii="Arial" w:hAnsi="Arial" w:cs="Arial"/>
          <w:b/>
          <w:bCs/>
          <w:i/>
          <w:iCs/>
          <w:u w:val="single"/>
        </w:rPr>
      </w:pPr>
      <w:r w:rsidRPr="003A7E9C">
        <w:rPr>
          <w:rFonts w:ascii="Arial" w:hAnsi="Arial" w:cs="Arial"/>
          <w:b/>
          <w:bCs/>
          <w:i/>
          <w:iCs/>
          <w:u w:val="single"/>
        </w:rPr>
        <w:t>2. Recommendations for Profitability: Technology-Driven Operational Efficiency</w:t>
      </w:r>
    </w:p>
    <w:p w14:paraId="5C83730E" w14:textId="33F0AC43" w:rsidR="00296A28" w:rsidRPr="00CD2A51" w:rsidRDefault="00296A28" w:rsidP="00CD2A51">
      <w:pPr>
        <w:pStyle w:val="ListParagraph"/>
        <w:numPr>
          <w:ilvl w:val="0"/>
          <w:numId w:val="27"/>
        </w:numPr>
        <w:jc w:val="both"/>
        <w:rPr>
          <w:rFonts w:ascii="Arial" w:hAnsi="Arial" w:cs="Arial"/>
        </w:rPr>
      </w:pPr>
      <w:r w:rsidRPr="00CD2A51">
        <w:rPr>
          <w:rFonts w:ascii="Arial" w:hAnsi="Arial" w:cs="Arial"/>
          <w:b/>
          <w:bCs/>
        </w:rPr>
        <w:t>Strategy &amp; Action:</w:t>
      </w:r>
      <w:r w:rsidRPr="00CD2A51">
        <w:rPr>
          <w:rFonts w:ascii="Arial" w:hAnsi="Arial" w:cs="Arial"/>
        </w:rPr>
        <w:t xml:space="preserve"> Implement </w:t>
      </w:r>
      <w:r w:rsidR="00AF3611">
        <w:rPr>
          <w:rFonts w:ascii="Arial" w:hAnsi="Arial" w:cs="Arial"/>
        </w:rPr>
        <w:t xml:space="preserve">dynamic machine learning AI tools throughout the “Three-Legged Stool” network (corporate, franchisees, suppliers) to automate inventory forecasting, enhance labor scheduling, and facilitate dynamic pricing. </w:t>
      </w:r>
    </w:p>
    <w:p w14:paraId="63B4C7B2" w14:textId="61120399" w:rsidR="00296A28" w:rsidRPr="00CD2A51" w:rsidRDefault="00296A28" w:rsidP="00CD2A51">
      <w:pPr>
        <w:pStyle w:val="ListParagraph"/>
        <w:numPr>
          <w:ilvl w:val="0"/>
          <w:numId w:val="27"/>
        </w:numPr>
        <w:jc w:val="both"/>
        <w:rPr>
          <w:rFonts w:ascii="Arial" w:hAnsi="Arial" w:cs="Arial"/>
        </w:rPr>
      </w:pPr>
      <w:r w:rsidRPr="00CD2A51">
        <w:rPr>
          <w:rFonts w:ascii="Arial" w:hAnsi="Arial" w:cs="Arial"/>
          <w:b/>
          <w:bCs/>
        </w:rPr>
        <w:t>Academic Rationale:</w:t>
      </w:r>
      <w:r w:rsidRPr="00CD2A51">
        <w:rPr>
          <w:rFonts w:ascii="Arial" w:hAnsi="Arial" w:cs="Arial"/>
        </w:rPr>
        <w:t xml:space="preserve"> In </w:t>
      </w:r>
      <w:r w:rsidR="00133C64">
        <w:rPr>
          <w:rFonts w:ascii="Arial" w:hAnsi="Arial" w:cs="Arial"/>
        </w:rPr>
        <w:t xml:space="preserve">established markets characterized by high buyer price sensitivity, sustaining internal cost leadership is essential for safeguarding franchise operating margins. The integration of predictive technology into long-term supplier partnerships (over 40 years) and an 89% franchised base transforms operational practices into a unique, inimitable VRIO capability.  </w:t>
      </w:r>
    </w:p>
    <w:p w14:paraId="7AD4C303" w14:textId="77777777" w:rsidR="00D165AB" w:rsidRDefault="00D165AB" w:rsidP="00CD2A51">
      <w:pPr>
        <w:jc w:val="both"/>
        <w:rPr>
          <w:rFonts w:ascii="Arial" w:hAnsi="Arial" w:cs="Arial"/>
        </w:rPr>
      </w:pPr>
    </w:p>
    <w:p w14:paraId="6C98B907" w14:textId="469E65A1" w:rsidR="00D165AB" w:rsidRPr="003A7E9C" w:rsidRDefault="00D165AB" w:rsidP="00CD2A51">
      <w:pPr>
        <w:jc w:val="both"/>
        <w:rPr>
          <w:rFonts w:ascii="Arial" w:hAnsi="Arial" w:cs="Arial"/>
          <w:b/>
          <w:bCs/>
          <w:i/>
          <w:iCs/>
          <w:u w:val="single"/>
        </w:rPr>
      </w:pPr>
      <w:r w:rsidRPr="003A7E9C">
        <w:rPr>
          <w:rFonts w:ascii="Arial" w:hAnsi="Arial" w:cs="Arial"/>
          <w:b/>
          <w:bCs/>
          <w:i/>
          <w:iCs/>
          <w:u w:val="single"/>
        </w:rPr>
        <w:t>3. Recommendation for Sustainability: “Plan for Change” Acceleration</w:t>
      </w:r>
    </w:p>
    <w:p w14:paraId="2EEB6D6E" w14:textId="0E42B02A" w:rsidR="00D165AB" w:rsidRPr="00CD2A51" w:rsidRDefault="00D165AB" w:rsidP="00CD2A51">
      <w:pPr>
        <w:pStyle w:val="ListParagraph"/>
        <w:numPr>
          <w:ilvl w:val="0"/>
          <w:numId w:val="28"/>
        </w:numPr>
        <w:jc w:val="both"/>
        <w:rPr>
          <w:rFonts w:ascii="Arial" w:hAnsi="Arial" w:cs="Arial"/>
        </w:rPr>
      </w:pPr>
      <w:r w:rsidRPr="00CD2A51">
        <w:rPr>
          <w:rFonts w:ascii="Arial" w:hAnsi="Arial" w:cs="Arial"/>
          <w:b/>
          <w:bCs/>
        </w:rPr>
        <w:t>Strategy &amp; Action:</w:t>
      </w:r>
      <w:r w:rsidRPr="00CD2A51">
        <w:rPr>
          <w:rFonts w:ascii="Arial" w:hAnsi="Arial" w:cs="Arial"/>
        </w:rPr>
        <w:t xml:space="preserve"> </w:t>
      </w:r>
      <w:r w:rsidR="001F6BAC">
        <w:rPr>
          <w:rFonts w:ascii="Arial" w:hAnsi="Arial" w:cs="Arial"/>
        </w:rPr>
        <w:t xml:space="preserve">Accelerate the implementation of Net-Zero emissions blueprint stores by the 2040 deadline, while enhancing plant-based menu options (e.g., </w:t>
      </w:r>
      <w:proofErr w:type="spellStart"/>
      <w:r w:rsidR="001F6BAC">
        <w:rPr>
          <w:rFonts w:ascii="Arial" w:hAnsi="Arial" w:cs="Arial"/>
        </w:rPr>
        <w:t>McPlant</w:t>
      </w:r>
      <w:proofErr w:type="spellEnd"/>
      <w:r w:rsidR="001F6BAC">
        <w:rPr>
          <w:rFonts w:ascii="Arial" w:hAnsi="Arial" w:cs="Arial"/>
        </w:rPr>
        <w:t xml:space="preserve"> line) &amp; ensuring digital nutritional transparency. </w:t>
      </w:r>
    </w:p>
    <w:p w14:paraId="1D1C5574" w14:textId="6C1BC654" w:rsidR="00D165AB" w:rsidRPr="00CD2A51" w:rsidRDefault="00D165AB" w:rsidP="00CD2A51">
      <w:pPr>
        <w:pStyle w:val="ListParagraph"/>
        <w:numPr>
          <w:ilvl w:val="0"/>
          <w:numId w:val="28"/>
        </w:numPr>
        <w:jc w:val="both"/>
        <w:rPr>
          <w:rFonts w:ascii="Arial" w:hAnsi="Arial" w:cs="Arial"/>
        </w:rPr>
      </w:pPr>
      <w:r w:rsidRPr="00CD2A51">
        <w:rPr>
          <w:rFonts w:ascii="Arial" w:hAnsi="Arial" w:cs="Arial"/>
          <w:b/>
          <w:bCs/>
        </w:rPr>
        <w:t>Academic Rationale:</w:t>
      </w:r>
      <w:r w:rsidRPr="00CD2A51">
        <w:rPr>
          <w:rFonts w:ascii="Arial" w:hAnsi="Arial" w:cs="Arial"/>
        </w:rPr>
        <w:t xml:space="preserve"> Aligning business operations with macro-environmental sustainability factors (PESTEL) reduces </w:t>
      </w:r>
      <w:r w:rsidR="001F6BAC">
        <w:rPr>
          <w:rFonts w:ascii="Arial" w:hAnsi="Arial" w:cs="Arial"/>
        </w:rPr>
        <w:t>long-term regulatory compliance risks. Strategic Corporate Social Responsibility (CSR) fosters non-price brand differentiations, strengthening stakeholders trust in comparison to QSR competitors</w:t>
      </w:r>
      <w:r w:rsidRPr="00CD2A51">
        <w:rPr>
          <w:rFonts w:ascii="Arial" w:hAnsi="Arial" w:cs="Arial"/>
        </w:rPr>
        <w:t xml:space="preserve"> (Carroll, 1991; Porter, 1985). </w:t>
      </w:r>
    </w:p>
    <w:p w14:paraId="2BDF71D5" w14:textId="3A0EE3F8" w:rsidR="00D165AB" w:rsidRPr="00011694" w:rsidRDefault="00C9268C" w:rsidP="00CD2A51">
      <w:pPr>
        <w:jc w:val="both"/>
        <w:rPr>
          <w:rFonts w:ascii="Arial" w:hAnsi="Arial" w:cs="Arial"/>
          <w:b/>
          <w:bCs/>
          <w:i/>
          <w:iCs/>
          <w:u w:val="single"/>
        </w:rPr>
      </w:pPr>
      <w:r w:rsidRPr="00011694">
        <w:rPr>
          <w:rFonts w:ascii="Arial" w:hAnsi="Arial" w:cs="Arial"/>
          <w:b/>
          <w:bCs/>
          <w:i/>
          <w:iCs/>
          <w:u w:val="single"/>
        </w:rPr>
        <w:t>4. Strategic Support Summary</w:t>
      </w:r>
    </w:p>
    <w:tbl>
      <w:tblPr>
        <w:tblStyle w:val="GridTable5Dark"/>
        <w:tblW w:w="0" w:type="auto"/>
        <w:tblLook w:val="04A0" w:firstRow="1" w:lastRow="0" w:firstColumn="1" w:lastColumn="0" w:noHBand="0" w:noVBand="1"/>
      </w:tblPr>
      <w:tblGrid>
        <w:gridCol w:w="3116"/>
        <w:gridCol w:w="3117"/>
        <w:gridCol w:w="3117"/>
      </w:tblGrid>
      <w:tr w:rsidR="00C9268C" w14:paraId="4DABF431" w14:textId="77777777" w:rsidTr="003A7E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EB6D05E" w14:textId="20B99121" w:rsidR="00C9268C" w:rsidRPr="003A7E9C" w:rsidRDefault="00C9268C" w:rsidP="00CD2A51">
            <w:pPr>
              <w:jc w:val="both"/>
              <w:rPr>
                <w:rFonts w:ascii="Arial" w:hAnsi="Arial" w:cs="Arial"/>
              </w:rPr>
            </w:pPr>
            <w:r w:rsidRPr="003A7E9C">
              <w:rPr>
                <w:rFonts w:ascii="Arial" w:hAnsi="Arial" w:cs="Arial"/>
              </w:rPr>
              <w:t xml:space="preserve">Strategic Lens </w:t>
            </w:r>
          </w:p>
        </w:tc>
        <w:tc>
          <w:tcPr>
            <w:tcW w:w="3117" w:type="dxa"/>
          </w:tcPr>
          <w:p w14:paraId="1664641E" w14:textId="742A07DD" w:rsidR="00C9268C" w:rsidRPr="003A7E9C" w:rsidRDefault="00C9268C"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A7E9C">
              <w:rPr>
                <w:rFonts w:ascii="Arial" w:hAnsi="Arial" w:cs="Arial"/>
              </w:rPr>
              <w:t>Key Strategic Alignment</w:t>
            </w:r>
          </w:p>
        </w:tc>
        <w:tc>
          <w:tcPr>
            <w:tcW w:w="3117" w:type="dxa"/>
          </w:tcPr>
          <w:p w14:paraId="24618EB1" w14:textId="271E3CC0" w:rsidR="00C9268C" w:rsidRPr="003A7E9C" w:rsidRDefault="00C9268C" w:rsidP="00CD2A51">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A7E9C">
              <w:rPr>
                <w:rFonts w:ascii="Arial" w:hAnsi="Arial" w:cs="Arial"/>
              </w:rPr>
              <w:t xml:space="preserve">Supporting Academic Literature </w:t>
            </w:r>
          </w:p>
        </w:tc>
      </w:tr>
      <w:tr w:rsidR="00C9268C" w14:paraId="43EADEA5" w14:textId="77777777" w:rsidTr="003A7E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8C3D81C" w14:textId="212A13E5" w:rsidR="00C9268C" w:rsidRDefault="00C9268C" w:rsidP="00CD2A51">
            <w:pPr>
              <w:jc w:val="both"/>
              <w:rPr>
                <w:rFonts w:ascii="Arial" w:hAnsi="Arial" w:cs="Arial"/>
              </w:rPr>
            </w:pPr>
            <w:r>
              <w:rPr>
                <w:rFonts w:ascii="Arial" w:hAnsi="Arial" w:cs="Arial"/>
              </w:rPr>
              <w:t xml:space="preserve">PESTEL </w:t>
            </w:r>
          </w:p>
        </w:tc>
        <w:tc>
          <w:tcPr>
            <w:tcW w:w="3117" w:type="dxa"/>
          </w:tcPr>
          <w:p w14:paraId="6C46A1FB" w14:textId="5D7FF55C" w:rsidR="00C9268C" w:rsidRDefault="00C9268C"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Mitigates the risks posed by macroeconomic inflation &amp; responds to socio-cultural trends favoring plant-based alternatives  </w:t>
            </w:r>
          </w:p>
        </w:tc>
        <w:tc>
          <w:tcPr>
            <w:tcW w:w="3117" w:type="dxa"/>
          </w:tcPr>
          <w:p w14:paraId="6CC10507" w14:textId="24FB8981" w:rsidR="00C9268C" w:rsidRDefault="00C9268C"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Johnson, Scholes &amp; Whittington (2008)</w:t>
            </w:r>
          </w:p>
        </w:tc>
      </w:tr>
      <w:tr w:rsidR="00C9268C" w14:paraId="64819943" w14:textId="77777777" w:rsidTr="003A7E9C">
        <w:tc>
          <w:tcPr>
            <w:cnfStyle w:val="001000000000" w:firstRow="0" w:lastRow="0" w:firstColumn="1" w:lastColumn="0" w:oddVBand="0" w:evenVBand="0" w:oddHBand="0" w:evenHBand="0" w:firstRowFirstColumn="0" w:firstRowLastColumn="0" w:lastRowFirstColumn="0" w:lastRowLastColumn="0"/>
            <w:tcW w:w="3116" w:type="dxa"/>
          </w:tcPr>
          <w:p w14:paraId="246C3895" w14:textId="7C951813" w:rsidR="00C9268C" w:rsidRDefault="00C9268C" w:rsidP="00CD2A51">
            <w:pPr>
              <w:jc w:val="both"/>
              <w:rPr>
                <w:rFonts w:ascii="Arial" w:hAnsi="Arial" w:cs="Arial"/>
              </w:rPr>
            </w:pPr>
            <w:r>
              <w:rPr>
                <w:rFonts w:ascii="Arial" w:hAnsi="Arial" w:cs="Arial"/>
              </w:rPr>
              <w:t>VRIO</w:t>
            </w:r>
          </w:p>
        </w:tc>
        <w:tc>
          <w:tcPr>
            <w:tcW w:w="3117" w:type="dxa"/>
          </w:tcPr>
          <w:p w14:paraId="66C38165" w14:textId="32566690" w:rsidR="00C9268C" w:rsidRDefault="00C9268C"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Utilizes valuable prime real estate &amp; a socially intricate, unique supply chain resilience</w:t>
            </w:r>
          </w:p>
        </w:tc>
        <w:tc>
          <w:tcPr>
            <w:tcW w:w="3117" w:type="dxa"/>
          </w:tcPr>
          <w:p w14:paraId="7547F4A7" w14:textId="59DE59DF" w:rsidR="00C9268C" w:rsidRDefault="003A7E9C"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Barney (1991); </w:t>
            </w:r>
            <w:proofErr w:type="spellStart"/>
            <w:r>
              <w:rPr>
                <w:rFonts w:ascii="Arial" w:hAnsi="Arial" w:cs="Arial"/>
              </w:rPr>
              <w:t>Vitasek</w:t>
            </w:r>
            <w:proofErr w:type="spellEnd"/>
            <w:r>
              <w:rPr>
                <w:rFonts w:ascii="Arial" w:hAnsi="Arial" w:cs="Arial"/>
              </w:rPr>
              <w:t xml:space="preserve"> &amp; </w:t>
            </w:r>
            <w:proofErr w:type="spellStart"/>
            <w:r>
              <w:rPr>
                <w:rFonts w:ascii="Arial" w:hAnsi="Arial" w:cs="Arial"/>
              </w:rPr>
              <w:t>Manrodt</w:t>
            </w:r>
            <w:proofErr w:type="spellEnd"/>
            <w:r>
              <w:rPr>
                <w:rFonts w:ascii="Arial" w:hAnsi="Arial" w:cs="Arial"/>
              </w:rPr>
              <w:t xml:space="preserve"> (2022)</w:t>
            </w:r>
          </w:p>
        </w:tc>
      </w:tr>
      <w:tr w:rsidR="00C9268C" w14:paraId="77AAD40A" w14:textId="77777777" w:rsidTr="003A7E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AE17D13" w14:textId="652D1A2F" w:rsidR="00C9268C" w:rsidRDefault="00C9268C" w:rsidP="00CD2A51">
            <w:pPr>
              <w:jc w:val="both"/>
              <w:rPr>
                <w:rFonts w:ascii="Arial" w:hAnsi="Arial" w:cs="Arial"/>
              </w:rPr>
            </w:pPr>
            <w:r>
              <w:rPr>
                <w:rFonts w:ascii="Arial" w:hAnsi="Arial" w:cs="Arial"/>
              </w:rPr>
              <w:t>Porter’s Five Forces</w:t>
            </w:r>
          </w:p>
        </w:tc>
        <w:tc>
          <w:tcPr>
            <w:tcW w:w="3117" w:type="dxa"/>
          </w:tcPr>
          <w:p w14:paraId="178824A9" w14:textId="4B070861" w:rsidR="00C9268C" w:rsidRDefault="00C9268C"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Mitigates fierce competition in the quick-service restaurant sector (such as Greggs &amp; KFC) and </w:t>
            </w:r>
            <w:r>
              <w:rPr>
                <w:rFonts w:ascii="Arial" w:hAnsi="Arial" w:cs="Arial"/>
              </w:rPr>
              <w:lastRenderedPageBreak/>
              <w:t xml:space="preserve">addresses significant buyer power through the implementation of an app that fosters brand loyalty and emphasizes cost leadership </w:t>
            </w:r>
          </w:p>
        </w:tc>
        <w:tc>
          <w:tcPr>
            <w:tcW w:w="3117" w:type="dxa"/>
          </w:tcPr>
          <w:p w14:paraId="5CF32A4E" w14:textId="44064E81" w:rsidR="00C9268C" w:rsidRDefault="003A7E9C" w:rsidP="00CD2A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Porter (1985); Spanos, </w:t>
            </w:r>
            <w:proofErr w:type="spellStart"/>
            <w:r>
              <w:rPr>
                <w:rFonts w:ascii="Arial" w:hAnsi="Arial" w:cs="Arial"/>
              </w:rPr>
              <w:t>Zaralis</w:t>
            </w:r>
            <w:proofErr w:type="spellEnd"/>
            <w:r>
              <w:rPr>
                <w:rFonts w:ascii="Arial" w:hAnsi="Arial" w:cs="Arial"/>
              </w:rPr>
              <w:t xml:space="preserve"> &amp; </w:t>
            </w:r>
            <w:proofErr w:type="spellStart"/>
            <w:r>
              <w:rPr>
                <w:rFonts w:ascii="Arial" w:hAnsi="Arial" w:cs="Arial"/>
              </w:rPr>
              <w:t>Lioukas</w:t>
            </w:r>
            <w:proofErr w:type="spellEnd"/>
            <w:r>
              <w:rPr>
                <w:rFonts w:ascii="Arial" w:hAnsi="Arial" w:cs="Arial"/>
              </w:rPr>
              <w:t xml:space="preserve"> (2004)</w:t>
            </w:r>
          </w:p>
        </w:tc>
      </w:tr>
      <w:tr w:rsidR="00C9268C" w14:paraId="054CB9F2" w14:textId="77777777" w:rsidTr="003A7E9C">
        <w:tc>
          <w:tcPr>
            <w:cnfStyle w:val="001000000000" w:firstRow="0" w:lastRow="0" w:firstColumn="1" w:lastColumn="0" w:oddVBand="0" w:evenVBand="0" w:oddHBand="0" w:evenHBand="0" w:firstRowFirstColumn="0" w:firstRowLastColumn="0" w:lastRowFirstColumn="0" w:lastRowLastColumn="0"/>
            <w:tcW w:w="3116" w:type="dxa"/>
          </w:tcPr>
          <w:p w14:paraId="6F957E70" w14:textId="602306FD" w:rsidR="00C9268C" w:rsidRDefault="00C9268C" w:rsidP="00CD2A51">
            <w:pPr>
              <w:jc w:val="both"/>
              <w:rPr>
                <w:rFonts w:ascii="Arial" w:hAnsi="Arial" w:cs="Arial"/>
              </w:rPr>
            </w:pPr>
            <w:r>
              <w:rPr>
                <w:rFonts w:ascii="Arial" w:hAnsi="Arial" w:cs="Arial"/>
              </w:rPr>
              <w:t>Ansoff Matrix</w:t>
            </w:r>
          </w:p>
        </w:tc>
        <w:tc>
          <w:tcPr>
            <w:tcW w:w="3117" w:type="dxa"/>
          </w:tcPr>
          <w:p w14:paraId="552083CD" w14:textId="1E4D637A" w:rsidR="00C9268C" w:rsidRDefault="003A7E9C"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Ensures low-risk market penetration through the scaling of the </w:t>
            </w:r>
            <w:proofErr w:type="spellStart"/>
            <w:r>
              <w:rPr>
                <w:rFonts w:ascii="Arial" w:hAnsi="Arial" w:cs="Arial"/>
              </w:rPr>
              <w:t>MyMcDonald’s</w:t>
            </w:r>
            <w:proofErr w:type="spellEnd"/>
            <w:r>
              <w:rPr>
                <w:rFonts w:ascii="Arial" w:hAnsi="Arial" w:cs="Arial"/>
              </w:rPr>
              <w:t xml:space="preserve"> app &amp; fosters product development through innovations in a plant-</w:t>
            </w:r>
            <w:r w:rsidR="00011694">
              <w:rPr>
                <w:rFonts w:ascii="Arial" w:hAnsi="Arial" w:cs="Arial"/>
              </w:rPr>
              <w:t>based</w:t>
            </w:r>
            <w:r>
              <w:rPr>
                <w:rFonts w:ascii="Arial" w:hAnsi="Arial" w:cs="Arial"/>
              </w:rPr>
              <w:t xml:space="preserve"> menu. </w:t>
            </w:r>
          </w:p>
        </w:tc>
        <w:tc>
          <w:tcPr>
            <w:tcW w:w="3117" w:type="dxa"/>
          </w:tcPr>
          <w:p w14:paraId="5B6D25B7" w14:textId="3E84C6FE" w:rsidR="00C9268C" w:rsidRDefault="003A7E9C" w:rsidP="00CD2A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Ansoff (1957); Ansoff et al., (2018).</w:t>
            </w:r>
          </w:p>
        </w:tc>
      </w:tr>
    </w:tbl>
    <w:p w14:paraId="5665F367" w14:textId="77777777" w:rsidR="00C9268C" w:rsidRDefault="00C9268C" w:rsidP="00CD2A51">
      <w:pPr>
        <w:jc w:val="both"/>
        <w:rPr>
          <w:rFonts w:ascii="Arial" w:hAnsi="Arial" w:cs="Arial"/>
        </w:rPr>
      </w:pPr>
    </w:p>
    <w:p w14:paraId="5E8E607A" w14:textId="68B730AF" w:rsidR="00D165AB" w:rsidRPr="00E4169E" w:rsidRDefault="00011694" w:rsidP="00CD2A51">
      <w:pPr>
        <w:jc w:val="both"/>
        <w:rPr>
          <w:rFonts w:ascii="Arial" w:hAnsi="Arial" w:cs="Arial"/>
          <w:b/>
          <w:bCs/>
        </w:rPr>
      </w:pPr>
      <w:r w:rsidRPr="00E4169E">
        <w:rPr>
          <w:rFonts w:ascii="Arial" w:hAnsi="Arial" w:cs="Arial"/>
          <w:b/>
          <w:bCs/>
        </w:rPr>
        <w:t xml:space="preserve">9.0 </w:t>
      </w:r>
      <w:proofErr w:type="spellStart"/>
      <w:r w:rsidRPr="00E4169E">
        <w:rPr>
          <w:rFonts w:ascii="Arial" w:hAnsi="Arial" w:cs="Arial"/>
          <w:b/>
          <w:bCs/>
        </w:rPr>
        <w:t>SAFe</w:t>
      </w:r>
      <w:proofErr w:type="spellEnd"/>
      <w:r w:rsidRPr="00E4169E">
        <w:rPr>
          <w:rFonts w:ascii="Arial" w:hAnsi="Arial" w:cs="Arial"/>
          <w:b/>
          <w:bCs/>
        </w:rPr>
        <w:t xml:space="preserve"> Strategy Evaluation Framework </w:t>
      </w:r>
    </w:p>
    <w:p w14:paraId="0F985AD1" w14:textId="565CCD61" w:rsidR="00011694" w:rsidRDefault="00011694" w:rsidP="00CD2A51">
      <w:pPr>
        <w:jc w:val="both"/>
        <w:rPr>
          <w:rFonts w:ascii="Arial" w:hAnsi="Arial" w:cs="Arial"/>
        </w:rPr>
      </w:pPr>
      <w:r>
        <w:rPr>
          <w:rFonts w:ascii="Arial" w:hAnsi="Arial" w:cs="Arial"/>
        </w:rPr>
        <w:t xml:space="preserve">The </w:t>
      </w:r>
      <w:proofErr w:type="spellStart"/>
      <w:r>
        <w:rPr>
          <w:rFonts w:ascii="Arial" w:hAnsi="Arial" w:cs="Arial"/>
        </w:rPr>
        <w:t>SAFe</w:t>
      </w:r>
      <w:proofErr w:type="spellEnd"/>
      <w:r>
        <w:rPr>
          <w:rFonts w:ascii="Arial" w:hAnsi="Arial" w:cs="Arial"/>
        </w:rPr>
        <w:t xml:space="preserve"> (Suitability, Acceptability, Feasibility) framework offers a systematic assessment to determine if suggested strategic options are consistent with an </w:t>
      </w:r>
      <w:r w:rsidR="00E4169E">
        <w:rPr>
          <w:rFonts w:ascii="Arial" w:hAnsi="Arial" w:cs="Arial"/>
        </w:rPr>
        <w:t>organization’s</w:t>
      </w:r>
      <w:r>
        <w:rPr>
          <w:rFonts w:ascii="Arial" w:hAnsi="Arial" w:cs="Arial"/>
        </w:rPr>
        <w:t xml:space="preserve"> env</w:t>
      </w:r>
      <w:r w:rsidR="00E4169E">
        <w:rPr>
          <w:rFonts w:ascii="Arial" w:hAnsi="Arial" w:cs="Arial"/>
        </w:rPr>
        <w:t xml:space="preserve">ironment, risk tolerance, and available resources (Johnson, Scholes &amp; Whittington, 2008). </w:t>
      </w:r>
    </w:p>
    <w:p w14:paraId="330564C5" w14:textId="77777777" w:rsidR="00E4169E" w:rsidRDefault="00E4169E" w:rsidP="00CD2A51">
      <w:pPr>
        <w:jc w:val="both"/>
        <w:rPr>
          <w:rFonts w:ascii="Arial" w:hAnsi="Arial" w:cs="Arial"/>
        </w:rPr>
      </w:pPr>
    </w:p>
    <w:p w14:paraId="4CCA9BD4" w14:textId="28ECD6B2" w:rsidR="00E4169E" w:rsidRPr="00E4169E" w:rsidRDefault="00E4169E" w:rsidP="00CD2A51">
      <w:pPr>
        <w:jc w:val="both"/>
        <w:rPr>
          <w:rFonts w:ascii="Arial" w:hAnsi="Arial" w:cs="Arial"/>
          <w:b/>
          <w:bCs/>
        </w:rPr>
      </w:pPr>
      <w:r w:rsidRPr="00E4169E">
        <w:rPr>
          <w:rFonts w:ascii="Arial" w:hAnsi="Arial" w:cs="Arial"/>
          <w:b/>
          <w:bCs/>
        </w:rPr>
        <w:t>9.1 Strategy Evaluation (</w:t>
      </w:r>
      <w:proofErr w:type="spellStart"/>
      <w:r w:rsidRPr="00E4169E">
        <w:rPr>
          <w:rFonts w:ascii="Arial" w:hAnsi="Arial" w:cs="Arial"/>
          <w:b/>
          <w:bCs/>
        </w:rPr>
        <w:t>SAFe</w:t>
      </w:r>
      <w:proofErr w:type="spellEnd"/>
      <w:r w:rsidRPr="00E4169E">
        <w:rPr>
          <w:rFonts w:ascii="Arial" w:hAnsi="Arial" w:cs="Arial"/>
          <w:b/>
          <w:bCs/>
        </w:rPr>
        <w:t xml:space="preserve"> Criteria)</w:t>
      </w:r>
    </w:p>
    <w:p w14:paraId="7A6EF042" w14:textId="6798544B" w:rsidR="00E4169E" w:rsidRDefault="00E4169E" w:rsidP="00CD2A51">
      <w:pPr>
        <w:jc w:val="both"/>
        <w:rPr>
          <w:rFonts w:ascii="Arial" w:hAnsi="Arial" w:cs="Arial"/>
          <w:b/>
          <w:bCs/>
          <w:i/>
          <w:iCs/>
          <w:u w:val="single"/>
        </w:rPr>
      </w:pPr>
      <w:r w:rsidRPr="00E4169E">
        <w:rPr>
          <w:rFonts w:ascii="Arial" w:hAnsi="Arial" w:cs="Arial"/>
          <w:b/>
          <w:bCs/>
          <w:i/>
          <w:iCs/>
          <w:u w:val="single"/>
        </w:rPr>
        <w:t>1. Suitability (Strategic &amp; Environmental Fit)</w:t>
      </w:r>
    </w:p>
    <w:p w14:paraId="4CA6B580" w14:textId="64F1F045" w:rsidR="00E4169E" w:rsidRPr="00CD2A51" w:rsidRDefault="00E4169E" w:rsidP="00CD2A51">
      <w:pPr>
        <w:pStyle w:val="ListParagraph"/>
        <w:numPr>
          <w:ilvl w:val="0"/>
          <w:numId w:val="29"/>
        </w:numPr>
        <w:jc w:val="both"/>
        <w:rPr>
          <w:rFonts w:ascii="Arial" w:hAnsi="Arial" w:cs="Arial"/>
        </w:rPr>
      </w:pPr>
      <w:r w:rsidRPr="00CD2A51">
        <w:rPr>
          <w:rFonts w:ascii="Arial" w:hAnsi="Arial" w:cs="Arial"/>
          <w:b/>
          <w:bCs/>
        </w:rPr>
        <w:t xml:space="preserve">Strategic Fit: </w:t>
      </w:r>
      <w:r w:rsidRPr="00CD2A51">
        <w:rPr>
          <w:rFonts w:ascii="Arial" w:hAnsi="Arial" w:cs="Arial"/>
        </w:rPr>
        <w:t xml:space="preserve">Utilizes AI efficiency to address macroeconomic inflation challenges &amp; consumer price sensitivity, thereby maintaining the “everyday affordability” positioning (Porter, 1985; AP Capital Research, 2025). </w:t>
      </w:r>
    </w:p>
    <w:p w14:paraId="723FFBBD" w14:textId="3909C823" w:rsidR="00E4169E" w:rsidRPr="00CD2A51" w:rsidRDefault="00E4169E" w:rsidP="00CD2A51">
      <w:pPr>
        <w:pStyle w:val="ListParagraph"/>
        <w:numPr>
          <w:ilvl w:val="0"/>
          <w:numId w:val="29"/>
        </w:numPr>
        <w:jc w:val="both"/>
        <w:rPr>
          <w:rFonts w:ascii="Arial" w:hAnsi="Arial" w:cs="Arial"/>
        </w:rPr>
      </w:pPr>
      <w:r w:rsidRPr="00CD2A51">
        <w:rPr>
          <w:rFonts w:ascii="Arial" w:hAnsi="Arial" w:cs="Arial"/>
          <w:b/>
          <w:bCs/>
        </w:rPr>
        <w:t>Market Alignment:</w:t>
      </w:r>
      <w:r w:rsidRPr="00CD2A51">
        <w:rPr>
          <w:rFonts w:ascii="Arial" w:hAnsi="Arial" w:cs="Arial"/>
        </w:rPr>
        <w:t xml:space="preserve"> The expansion of “Drive to” and compact urban store formats takes advantage of changing socio-cultural preferences for off-premises dining and quick lunchtime options (Gilbert, 2022). </w:t>
      </w:r>
    </w:p>
    <w:p w14:paraId="595B9C1A" w14:textId="0FE5176A" w:rsidR="00E4169E" w:rsidRPr="00CD2A51" w:rsidRDefault="00E4169E" w:rsidP="00CD2A51">
      <w:pPr>
        <w:pStyle w:val="ListParagraph"/>
        <w:numPr>
          <w:ilvl w:val="0"/>
          <w:numId w:val="29"/>
        </w:numPr>
        <w:jc w:val="both"/>
        <w:rPr>
          <w:rFonts w:ascii="Arial" w:hAnsi="Arial" w:cs="Arial"/>
        </w:rPr>
      </w:pPr>
      <w:r w:rsidRPr="00CD2A51">
        <w:rPr>
          <w:rFonts w:ascii="Arial" w:hAnsi="Arial" w:cs="Arial"/>
          <w:b/>
          <w:bCs/>
        </w:rPr>
        <w:t>Competitive Differentiation:</w:t>
      </w:r>
      <w:r w:rsidRPr="00CD2A51">
        <w:rPr>
          <w:rFonts w:ascii="Arial" w:hAnsi="Arial" w:cs="Arial"/>
        </w:rPr>
        <w:t xml:space="preserve"> The scaling of the “Plan for Change” leverages McDonald’s prominent position in the UK plant-forward market, creating non-price differentiation from direct fast-food competitors (Carroll, 1991; </w:t>
      </w:r>
      <w:proofErr w:type="spellStart"/>
      <w:r w:rsidRPr="00CD2A51">
        <w:rPr>
          <w:rFonts w:ascii="Arial" w:hAnsi="Arial" w:cs="Arial"/>
        </w:rPr>
        <w:t>Groth</w:t>
      </w:r>
      <w:proofErr w:type="spellEnd"/>
      <w:r w:rsidRPr="00CD2A51">
        <w:rPr>
          <w:rFonts w:ascii="Arial" w:hAnsi="Arial" w:cs="Arial"/>
        </w:rPr>
        <w:t xml:space="preserve">, 2025). </w:t>
      </w:r>
    </w:p>
    <w:p w14:paraId="5AC2EE97" w14:textId="77777777" w:rsidR="000552C7" w:rsidRDefault="000552C7" w:rsidP="00CD2A51">
      <w:pPr>
        <w:jc w:val="both"/>
        <w:rPr>
          <w:rFonts w:ascii="Arial" w:hAnsi="Arial" w:cs="Arial"/>
        </w:rPr>
      </w:pPr>
    </w:p>
    <w:p w14:paraId="7B5C7DA6" w14:textId="18C207D2" w:rsidR="000552C7" w:rsidRPr="007E34F3" w:rsidRDefault="000552C7" w:rsidP="00CD2A51">
      <w:pPr>
        <w:jc w:val="both"/>
        <w:rPr>
          <w:rFonts w:ascii="Arial" w:hAnsi="Arial" w:cs="Arial"/>
          <w:b/>
          <w:bCs/>
          <w:i/>
          <w:iCs/>
          <w:u w:val="single"/>
        </w:rPr>
      </w:pPr>
      <w:r w:rsidRPr="007E34F3">
        <w:rPr>
          <w:rFonts w:ascii="Arial" w:hAnsi="Arial" w:cs="Arial"/>
          <w:b/>
          <w:bCs/>
          <w:i/>
          <w:iCs/>
          <w:u w:val="single"/>
        </w:rPr>
        <w:t>2. Acceptability (Stakeholder Expectations &amp; Risk)</w:t>
      </w:r>
    </w:p>
    <w:p w14:paraId="7FE7AF52" w14:textId="7D987984" w:rsidR="00E4169E" w:rsidRPr="00CD2A51" w:rsidRDefault="00622B6C" w:rsidP="00CD2A51">
      <w:pPr>
        <w:pStyle w:val="ListParagraph"/>
        <w:numPr>
          <w:ilvl w:val="0"/>
          <w:numId w:val="30"/>
        </w:numPr>
        <w:jc w:val="both"/>
        <w:rPr>
          <w:rFonts w:ascii="Arial" w:hAnsi="Arial" w:cs="Arial"/>
        </w:rPr>
      </w:pPr>
      <w:r w:rsidRPr="00CD2A51">
        <w:rPr>
          <w:rFonts w:ascii="Arial" w:hAnsi="Arial" w:cs="Arial"/>
          <w:b/>
          <w:bCs/>
        </w:rPr>
        <w:t>Shareholder Returns:</w:t>
      </w:r>
      <w:r w:rsidRPr="00CD2A51">
        <w:rPr>
          <w:rFonts w:ascii="Arial" w:hAnsi="Arial" w:cs="Arial"/>
        </w:rPr>
        <w:t xml:space="preserve"> The consistent profitability of £79 million after tax in 2024 supports the £1 billion capital expansion initiative (McDonald’s UK, 2024).</w:t>
      </w:r>
    </w:p>
    <w:p w14:paraId="32555E69" w14:textId="77777777" w:rsidR="00622B6C" w:rsidRPr="00CD2A51" w:rsidRDefault="00622B6C" w:rsidP="00CD2A51">
      <w:pPr>
        <w:pStyle w:val="ListParagraph"/>
        <w:numPr>
          <w:ilvl w:val="0"/>
          <w:numId w:val="30"/>
        </w:numPr>
        <w:jc w:val="both"/>
        <w:rPr>
          <w:rFonts w:ascii="Arial" w:hAnsi="Arial" w:cs="Arial"/>
        </w:rPr>
      </w:pPr>
      <w:r w:rsidRPr="00CD2A51">
        <w:rPr>
          <w:rFonts w:ascii="Arial" w:hAnsi="Arial" w:cs="Arial"/>
          <w:b/>
          <w:bCs/>
        </w:rPr>
        <w:lastRenderedPageBreak/>
        <w:t>Franchise Alignment:</w:t>
      </w:r>
      <w:r w:rsidRPr="00CD2A51">
        <w:rPr>
          <w:rFonts w:ascii="Arial" w:hAnsi="Arial" w:cs="Arial"/>
        </w:rPr>
        <w:t xml:space="preserve"> The ownership of real estate by the parent company reduces capital risk for franchisees within the 89% franchised network, adhering to the “three-legged stool” framework (Love, 1995; </w:t>
      </w:r>
      <w:proofErr w:type="spellStart"/>
      <w:r w:rsidRPr="00CD2A51">
        <w:rPr>
          <w:rFonts w:ascii="Arial" w:hAnsi="Arial" w:cs="Arial"/>
        </w:rPr>
        <w:t>Vitasek</w:t>
      </w:r>
      <w:proofErr w:type="spellEnd"/>
      <w:r w:rsidRPr="00CD2A51">
        <w:rPr>
          <w:rFonts w:ascii="Arial" w:hAnsi="Arial" w:cs="Arial"/>
        </w:rPr>
        <w:t xml:space="preserve"> &amp; </w:t>
      </w:r>
      <w:proofErr w:type="spellStart"/>
      <w:r w:rsidRPr="00CD2A51">
        <w:rPr>
          <w:rFonts w:ascii="Arial" w:hAnsi="Arial" w:cs="Arial"/>
        </w:rPr>
        <w:t>Manrodt</w:t>
      </w:r>
      <w:proofErr w:type="spellEnd"/>
      <w:r w:rsidRPr="00CD2A51">
        <w:rPr>
          <w:rFonts w:ascii="Arial" w:hAnsi="Arial" w:cs="Arial"/>
        </w:rPr>
        <w:t>, 2022).</w:t>
      </w:r>
    </w:p>
    <w:p w14:paraId="3B9B492A" w14:textId="77777777" w:rsidR="00622B6C" w:rsidRPr="00CD2A51" w:rsidRDefault="00622B6C" w:rsidP="00CD2A51">
      <w:pPr>
        <w:pStyle w:val="ListParagraph"/>
        <w:numPr>
          <w:ilvl w:val="0"/>
          <w:numId w:val="30"/>
        </w:numPr>
        <w:jc w:val="both"/>
        <w:rPr>
          <w:rFonts w:ascii="Arial" w:hAnsi="Arial" w:cs="Arial"/>
        </w:rPr>
      </w:pPr>
      <w:r w:rsidRPr="00CD2A51">
        <w:rPr>
          <w:rFonts w:ascii="Arial" w:hAnsi="Arial" w:cs="Arial"/>
          <w:b/>
          <w:bCs/>
        </w:rPr>
        <w:t>Customer Loyalty:</w:t>
      </w:r>
      <w:r w:rsidRPr="00CD2A51">
        <w:rPr>
          <w:rFonts w:ascii="Arial" w:hAnsi="Arial" w:cs="Arial"/>
        </w:rPr>
        <w:t xml:space="preserve"> The achievement of over 11 million digital loyalty registrations meets the demands of the core demographic (ages 25-34) for tailored app-based experiences (Kumar &amp; Reinartz, 2016; AMW, 2025). </w:t>
      </w:r>
    </w:p>
    <w:p w14:paraId="53B5D99A" w14:textId="77777777" w:rsidR="00622B6C" w:rsidRDefault="00622B6C" w:rsidP="00CD2A51">
      <w:pPr>
        <w:jc w:val="both"/>
        <w:rPr>
          <w:rFonts w:ascii="Arial" w:hAnsi="Arial" w:cs="Arial"/>
        </w:rPr>
      </w:pPr>
    </w:p>
    <w:p w14:paraId="46C62FBA" w14:textId="07C6919A" w:rsidR="00622B6C" w:rsidRPr="007E34F3" w:rsidRDefault="00622B6C" w:rsidP="00CD2A51">
      <w:pPr>
        <w:jc w:val="both"/>
        <w:rPr>
          <w:rFonts w:ascii="Arial" w:hAnsi="Arial" w:cs="Arial"/>
          <w:b/>
          <w:bCs/>
          <w:i/>
          <w:iCs/>
          <w:u w:val="single"/>
        </w:rPr>
      </w:pPr>
      <w:r w:rsidRPr="007E34F3">
        <w:rPr>
          <w:rFonts w:ascii="Arial" w:hAnsi="Arial" w:cs="Arial"/>
          <w:b/>
          <w:bCs/>
          <w:i/>
          <w:iCs/>
          <w:u w:val="single"/>
        </w:rPr>
        <w:t xml:space="preserve">3. Feasibility (Availability of Resources &amp; Capabilities) </w:t>
      </w:r>
    </w:p>
    <w:p w14:paraId="00C116AF" w14:textId="37865B1C" w:rsidR="00E4169E" w:rsidRPr="00CD2A51" w:rsidRDefault="00622B6C" w:rsidP="00CD2A51">
      <w:pPr>
        <w:pStyle w:val="ListParagraph"/>
        <w:numPr>
          <w:ilvl w:val="0"/>
          <w:numId w:val="31"/>
        </w:numPr>
        <w:jc w:val="both"/>
        <w:rPr>
          <w:rFonts w:ascii="Arial" w:hAnsi="Arial" w:cs="Arial"/>
        </w:rPr>
      </w:pPr>
      <w:r w:rsidRPr="00CD2A51">
        <w:rPr>
          <w:rFonts w:ascii="Arial" w:hAnsi="Arial" w:cs="Arial"/>
          <w:b/>
          <w:bCs/>
        </w:rPr>
        <w:t>Financial Capital:</w:t>
      </w:r>
      <w:r w:rsidRPr="00CD2A51">
        <w:rPr>
          <w:rFonts w:ascii="Arial" w:hAnsi="Arial" w:cs="Arial"/>
        </w:rPr>
        <w:t xml:space="preserve"> The capital reserves, along with a gross profit base of £826 million, ensure adequate liquidity for the four-year growth initiative (McDonald’s UK, 2024).</w:t>
      </w:r>
    </w:p>
    <w:p w14:paraId="68869BCB" w14:textId="7A46C1DA" w:rsidR="00622B6C" w:rsidRPr="00CD2A51" w:rsidRDefault="00622B6C" w:rsidP="00CD2A51">
      <w:pPr>
        <w:pStyle w:val="ListParagraph"/>
        <w:numPr>
          <w:ilvl w:val="0"/>
          <w:numId w:val="31"/>
        </w:numPr>
        <w:jc w:val="both"/>
        <w:rPr>
          <w:rFonts w:ascii="Arial" w:hAnsi="Arial" w:cs="Arial"/>
        </w:rPr>
      </w:pPr>
      <w:r w:rsidRPr="00CD2A51">
        <w:rPr>
          <w:rFonts w:ascii="Arial" w:hAnsi="Arial" w:cs="Arial"/>
          <w:b/>
          <w:bCs/>
        </w:rPr>
        <w:t>Resources Readiness:</w:t>
      </w:r>
      <w:r w:rsidRPr="00CD2A51">
        <w:rPr>
          <w:rFonts w:ascii="Arial" w:hAnsi="Arial" w:cs="Arial"/>
        </w:rPr>
        <w:t xml:space="preserve"> The company possesses prime physical real estate assets and has established long-term supply chain partnerships with 23,000 farmers in the UK &amp; Ireland, providing the necessary infrastructure for scaling operations (Barney, 1991; </w:t>
      </w:r>
      <w:proofErr w:type="spellStart"/>
      <w:r w:rsidRPr="00CD2A51">
        <w:rPr>
          <w:rFonts w:ascii="Arial" w:hAnsi="Arial" w:cs="Arial"/>
        </w:rPr>
        <w:t>Vitasek</w:t>
      </w:r>
      <w:proofErr w:type="spellEnd"/>
      <w:r w:rsidRPr="00CD2A51">
        <w:rPr>
          <w:rFonts w:ascii="Arial" w:hAnsi="Arial" w:cs="Arial"/>
        </w:rPr>
        <w:t xml:space="preserve"> &amp; </w:t>
      </w:r>
      <w:proofErr w:type="spellStart"/>
      <w:r w:rsidRPr="00CD2A51">
        <w:rPr>
          <w:rFonts w:ascii="Arial" w:hAnsi="Arial" w:cs="Arial"/>
        </w:rPr>
        <w:t>Manrodt</w:t>
      </w:r>
      <w:proofErr w:type="spellEnd"/>
      <w:r w:rsidRPr="00CD2A51">
        <w:rPr>
          <w:rFonts w:ascii="Arial" w:hAnsi="Arial" w:cs="Arial"/>
        </w:rPr>
        <w:t xml:space="preserve">, 2022). </w:t>
      </w:r>
    </w:p>
    <w:p w14:paraId="7DAFD35A" w14:textId="620B9B40" w:rsidR="00622B6C" w:rsidRDefault="00622B6C" w:rsidP="00CD2A51">
      <w:pPr>
        <w:pStyle w:val="ListParagraph"/>
        <w:numPr>
          <w:ilvl w:val="0"/>
          <w:numId w:val="31"/>
        </w:numPr>
        <w:jc w:val="both"/>
        <w:rPr>
          <w:rFonts w:ascii="Arial" w:hAnsi="Arial" w:cs="Arial"/>
        </w:rPr>
      </w:pPr>
      <w:r w:rsidRPr="00CD2A51">
        <w:rPr>
          <w:rFonts w:ascii="Arial" w:hAnsi="Arial" w:cs="Arial"/>
          <w:b/>
          <w:bCs/>
        </w:rPr>
        <w:t>Technological Capability:</w:t>
      </w:r>
      <w:r w:rsidRPr="00CD2A51">
        <w:rPr>
          <w:rFonts w:ascii="Arial" w:hAnsi="Arial" w:cs="Arial"/>
        </w:rPr>
        <w:t xml:space="preserve"> The current app architecture and the transition to a unified IT system (</w:t>
      </w:r>
      <w:proofErr w:type="spellStart"/>
      <w:r w:rsidRPr="00CD2A51">
        <w:rPr>
          <w:rFonts w:ascii="Arial" w:hAnsi="Arial" w:cs="Arial"/>
        </w:rPr>
        <w:t>McD</w:t>
      </w:r>
      <w:proofErr w:type="spellEnd"/>
      <w:r w:rsidRPr="00CD2A51">
        <w:rPr>
          <w:rFonts w:ascii="Arial" w:hAnsi="Arial" w:cs="Arial"/>
        </w:rPr>
        <w:t xml:space="preserve"> Connect) demonstrate the organization’s ability to effectively scale AI integration in predictive inventory management and labor scheduling (AP Capital Research, 2025). </w:t>
      </w:r>
    </w:p>
    <w:p w14:paraId="06E5746C" w14:textId="77777777" w:rsidR="00B9392B" w:rsidRPr="00B9392B" w:rsidRDefault="00B9392B" w:rsidP="00B9392B">
      <w:pPr>
        <w:ind w:left="360"/>
        <w:jc w:val="both"/>
        <w:rPr>
          <w:rFonts w:ascii="Arial" w:hAnsi="Arial" w:cs="Arial"/>
        </w:rPr>
      </w:pPr>
    </w:p>
    <w:p w14:paraId="7D4BCD31" w14:textId="68E7F76B" w:rsidR="00622B6C" w:rsidRPr="007E34F3" w:rsidRDefault="00622B6C" w:rsidP="00CD2A51">
      <w:pPr>
        <w:jc w:val="both"/>
        <w:rPr>
          <w:rFonts w:ascii="Arial" w:hAnsi="Arial" w:cs="Arial"/>
          <w:b/>
          <w:bCs/>
        </w:rPr>
      </w:pPr>
      <w:r w:rsidRPr="007E34F3">
        <w:rPr>
          <w:rFonts w:ascii="Arial" w:hAnsi="Arial" w:cs="Arial"/>
          <w:b/>
          <w:bCs/>
        </w:rPr>
        <w:t xml:space="preserve">9.2 Strategic Validation Summary </w:t>
      </w:r>
    </w:p>
    <w:p w14:paraId="283ACEF2" w14:textId="5DBFDDA2" w:rsidR="00622B6C" w:rsidRDefault="00622B6C" w:rsidP="00CD2A51">
      <w:pPr>
        <w:jc w:val="both"/>
        <w:rPr>
          <w:rFonts w:ascii="Arial" w:hAnsi="Arial" w:cs="Arial"/>
        </w:rPr>
      </w:pPr>
      <w:r>
        <w:rPr>
          <w:rFonts w:ascii="Arial" w:hAnsi="Arial" w:cs="Arial"/>
        </w:rPr>
        <w:t xml:space="preserve">The combined strategy of Digital Differentiation &amp; Sustainability Leadership is confirmed as the most effective approach within the </w:t>
      </w:r>
      <w:proofErr w:type="spellStart"/>
      <w:r>
        <w:rPr>
          <w:rFonts w:ascii="Arial" w:hAnsi="Arial" w:cs="Arial"/>
        </w:rPr>
        <w:t>SAFe</w:t>
      </w:r>
      <w:proofErr w:type="spellEnd"/>
      <w:r>
        <w:rPr>
          <w:rFonts w:ascii="Arial" w:hAnsi="Arial" w:cs="Arial"/>
        </w:rPr>
        <w:t xml:space="preserve"> framework (Johnson, Scholes &amp; Whittington, 2008). This strategy utilizes essential VRIO resources (prime real estate and unique relational supply chains) while mitigating external macroeconomic risks (such as inflation &amp; health regulations) to sustain a leading one-third market share in the UK Quick </w:t>
      </w:r>
      <w:r w:rsidR="0098099D">
        <w:rPr>
          <w:rFonts w:ascii="Arial" w:hAnsi="Arial" w:cs="Arial"/>
        </w:rPr>
        <w:t>Service Restaurant (QSR) industry (Barney, 1991; AP Capital Research, 2025)</w:t>
      </w:r>
      <w:r>
        <w:rPr>
          <w:rFonts w:ascii="Arial" w:hAnsi="Arial" w:cs="Arial"/>
        </w:rPr>
        <w:t xml:space="preserve">. </w:t>
      </w:r>
    </w:p>
    <w:p w14:paraId="35A333D0" w14:textId="77777777" w:rsidR="003A2E93" w:rsidRDefault="003A2E93" w:rsidP="00CD2A51">
      <w:pPr>
        <w:jc w:val="both"/>
        <w:rPr>
          <w:rFonts w:ascii="Arial" w:hAnsi="Arial" w:cs="Arial"/>
        </w:rPr>
      </w:pPr>
    </w:p>
    <w:p w14:paraId="28184ECF" w14:textId="48F21598" w:rsidR="003A2E93" w:rsidRDefault="003A2E93" w:rsidP="00CD2A51">
      <w:pPr>
        <w:jc w:val="both"/>
        <w:rPr>
          <w:rFonts w:ascii="Arial" w:hAnsi="Arial" w:cs="Arial"/>
          <w:b/>
          <w:bCs/>
        </w:rPr>
      </w:pPr>
      <w:r w:rsidRPr="003A2E93">
        <w:rPr>
          <w:rFonts w:ascii="Arial" w:hAnsi="Arial" w:cs="Arial"/>
          <w:b/>
          <w:bCs/>
        </w:rPr>
        <w:t>10.0 Implementation &amp; Strategy Execution</w:t>
      </w:r>
    </w:p>
    <w:p w14:paraId="6CDE7B15" w14:textId="350284A1" w:rsidR="003A2E93" w:rsidRDefault="003A2E93" w:rsidP="00CD2A51">
      <w:pPr>
        <w:jc w:val="both"/>
        <w:rPr>
          <w:rFonts w:ascii="Arial" w:hAnsi="Arial" w:cs="Arial"/>
          <w:b/>
          <w:bCs/>
          <w:i/>
          <w:iCs/>
          <w:u w:val="single"/>
        </w:rPr>
      </w:pPr>
      <w:r w:rsidRPr="003A2E93">
        <w:rPr>
          <w:rFonts w:ascii="Arial" w:hAnsi="Arial" w:cs="Arial"/>
          <w:b/>
          <w:bCs/>
          <w:i/>
          <w:iCs/>
          <w:u w:val="single"/>
        </w:rPr>
        <w:t xml:space="preserve">1. Steps for Implementation &amp; Timeline </w:t>
      </w:r>
    </w:p>
    <w:p w14:paraId="691DB4B0" w14:textId="36122126" w:rsidR="003A2E93" w:rsidRDefault="007D07EA" w:rsidP="00CD2A51">
      <w:pPr>
        <w:jc w:val="both"/>
        <w:rPr>
          <w:rFonts w:ascii="Arial" w:hAnsi="Arial" w:cs="Arial"/>
        </w:rPr>
      </w:pPr>
      <w:r>
        <w:rPr>
          <w:rFonts w:ascii="Arial" w:hAnsi="Arial" w:cs="Arial"/>
        </w:rPr>
        <w:t xml:space="preserve">The execution of strategy necessitates the alignment of processes, the distribution of resources, and the management of change across various operational </w:t>
      </w:r>
      <w:r w:rsidR="000714C1">
        <w:rPr>
          <w:rFonts w:ascii="Arial" w:hAnsi="Arial" w:cs="Arial"/>
        </w:rPr>
        <w:t>timelines (</w:t>
      </w:r>
      <w:r w:rsidR="003A2E93">
        <w:rPr>
          <w:rFonts w:ascii="Arial" w:hAnsi="Arial" w:cs="Arial"/>
        </w:rPr>
        <w:t xml:space="preserve">Kaplan &amp; Norton, 2004; Johnson, Scholes &amp; Whittington, 2008). </w:t>
      </w:r>
    </w:p>
    <w:p w14:paraId="7EEBAF96" w14:textId="24C05F75" w:rsidR="003A2E93" w:rsidRPr="00CD2A51" w:rsidRDefault="003A2E93" w:rsidP="00CD2A51">
      <w:pPr>
        <w:pStyle w:val="ListParagraph"/>
        <w:numPr>
          <w:ilvl w:val="0"/>
          <w:numId w:val="32"/>
        </w:numPr>
        <w:jc w:val="both"/>
        <w:rPr>
          <w:rFonts w:ascii="Arial" w:hAnsi="Arial" w:cs="Arial"/>
        </w:rPr>
      </w:pPr>
      <w:r w:rsidRPr="00CD2A51">
        <w:rPr>
          <w:rFonts w:ascii="Arial" w:hAnsi="Arial" w:cs="Arial"/>
          <w:b/>
          <w:bCs/>
        </w:rPr>
        <w:lastRenderedPageBreak/>
        <w:t>Short-Term (012 Months):</w:t>
      </w:r>
      <w:r w:rsidRPr="00CD2A51">
        <w:rPr>
          <w:rFonts w:ascii="Arial" w:hAnsi="Arial" w:cs="Arial"/>
        </w:rPr>
        <w:t xml:space="preserve"> Implement AI technology (</w:t>
      </w:r>
      <w:proofErr w:type="spellStart"/>
      <w:r w:rsidRPr="00CD2A51">
        <w:rPr>
          <w:rFonts w:ascii="Arial" w:hAnsi="Arial" w:cs="Arial"/>
        </w:rPr>
        <w:t>McD</w:t>
      </w:r>
      <w:proofErr w:type="spellEnd"/>
      <w:r w:rsidRPr="00CD2A51">
        <w:rPr>
          <w:rFonts w:ascii="Arial" w:hAnsi="Arial" w:cs="Arial"/>
        </w:rPr>
        <w:t xml:space="preserve"> Connect) throughout supply chains &amp; franchisees to enhance dynamic scheduling and improve inventory efficiency, while also broadening plant-based offerings through the Nutrition Innovation Council (AP Capital Research, 2025; </w:t>
      </w:r>
      <w:proofErr w:type="spellStart"/>
      <w:r w:rsidRPr="00CD2A51">
        <w:rPr>
          <w:rFonts w:ascii="Arial" w:hAnsi="Arial" w:cs="Arial"/>
        </w:rPr>
        <w:t>Groth</w:t>
      </w:r>
      <w:proofErr w:type="spellEnd"/>
      <w:r w:rsidRPr="00CD2A51">
        <w:rPr>
          <w:rFonts w:ascii="Arial" w:hAnsi="Arial" w:cs="Arial"/>
        </w:rPr>
        <w:t xml:space="preserve">, 2025). Initiate safe workplace cultural workshops (SafeSpace+) for all leadership personnel (McDonald’s UK, 2024). </w:t>
      </w:r>
    </w:p>
    <w:p w14:paraId="38A100DE" w14:textId="3109C45D" w:rsidR="003A2E93" w:rsidRPr="00CD2A51" w:rsidRDefault="003A2E93" w:rsidP="00CD2A51">
      <w:pPr>
        <w:pStyle w:val="ListParagraph"/>
        <w:numPr>
          <w:ilvl w:val="0"/>
          <w:numId w:val="32"/>
        </w:numPr>
        <w:jc w:val="both"/>
        <w:rPr>
          <w:rFonts w:ascii="Arial" w:hAnsi="Arial" w:cs="Arial"/>
        </w:rPr>
      </w:pPr>
      <w:r w:rsidRPr="00CD2A51">
        <w:rPr>
          <w:rFonts w:ascii="Arial" w:hAnsi="Arial" w:cs="Arial"/>
          <w:b/>
          <w:bCs/>
        </w:rPr>
        <w:t>Medium-Term (1-4 Years):</w:t>
      </w:r>
      <w:r w:rsidRPr="00CD2A51">
        <w:rPr>
          <w:rFonts w:ascii="Arial" w:hAnsi="Arial" w:cs="Arial"/>
        </w:rPr>
        <w:t xml:space="preserve"> </w:t>
      </w:r>
      <w:r w:rsidR="000714C1">
        <w:rPr>
          <w:rFonts w:ascii="Arial" w:hAnsi="Arial" w:cs="Arial"/>
        </w:rPr>
        <w:t xml:space="preserve">Execute the </w:t>
      </w:r>
      <w:r w:rsidR="000714C1" w:rsidRPr="000714C1">
        <w:rPr>
          <w:rFonts w:ascii="Arial" w:hAnsi="Arial" w:cs="Arial"/>
        </w:rPr>
        <w:t>£</w:t>
      </w:r>
      <w:r w:rsidR="000714C1">
        <w:rPr>
          <w:rFonts w:ascii="Arial" w:hAnsi="Arial" w:cs="Arial"/>
        </w:rPr>
        <w:t xml:space="preserve">1 billion growth initiative, which involves launching 200+ Net Zero sites &amp; creating 24,000 jobs, in conjunction with aligning over 165 franchisees under the “Plan to win” framework </w:t>
      </w:r>
      <w:r w:rsidR="007B6143" w:rsidRPr="00CD2A51">
        <w:rPr>
          <w:rFonts w:ascii="Arial" w:hAnsi="Arial" w:cs="Arial"/>
        </w:rPr>
        <w:t xml:space="preserve">(Love, 1995; </w:t>
      </w:r>
      <w:proofErr w:type="spellStart"/>
      <w:r w:rsidR="007B6143" w:rsidRPr="00CD2A51">
        <w:rPr>
          <w:rFonts w:ascii="Arial" w:hAnsi="Arial" w:cs="Arial"/>
        </w:rPr>
        <w:t>Vitasek</w:t>
      </w:r>
      <w:proofErr w:type="spellEnd"/>
      <w:r w:rsidR="007B6143" w:rsidRPr="00CD2A51">
        <w:rPr>
          <w:rFonts w:ascii="Arial" w:hAnsi="Arial" w:cs="Arial"/>
        </w:rPr>
        <w:t xml:space="preserve"> &amp; </w:t>
      </w:r>
      <w:proofErr w:type="spellStart"/>
      <w:r w:rsidR="007B6143" w:rsidRPr="00CD2A51">
        <w:rPr>
          <w:rFonts w:ascii="Arial" w:hAnsi="Arial" w:cs="Arial"/>
        </w:rPr>
        <w:t>Manrodt</w:t>
      </w:r>
      <w:proofErr w:type="spellEnd"/>
      <w:r w:rsidR="007B6143" w:rsidRPr="00CD2A51">
        <w:rPr>
          <w:rFonts w:ascii="Arial" w:hAnsi="Arial" w:cs="Arial"/>
        </w:rPr>
        <w:t>, 2022).</w:t>
      </w:r>
    </w:p>
    <w:p w14:paraId="129FAB43" w14:textId="0361A0A3" w:rsidR="007B6143" w:rsidRDefault="007B6143" w:rsidP="00CD2A51">
      <w:pPr>
        <w:pStyle w:val="ListParagraph"/>
        <w:numPr>
          <w:ilvl w:val="0"/>
          <w:numId w:val="32"/>
        </w:numPr>
        <w:jc w:val="both"/>
        <w:rPr>
          <w:rFonts w:ascii="Arial" w:hAnsi="Arial" w:cs="Arial"/>
        </w:rPr>
      </w:pPr>
      <w:r w:rsidRPr="00CD2A51">
        <w:rPr>
          <w:rFonts w:ascii="Arial" w:hAnsi="Arial" w:cs="Arial"/>
          <w:b/>
          <w:bCs/>
        </w:rPr>
        <w:t>Long-Term (By 2040):</w:t>
      </w:r>
      <w:r w:rsidRPr="00CD2A51">
        <w:rPr>
          <w:rFonts w:ascii="Arial" w:hAnsi="Arial" w:cs="Arial"/>
        </w:rPr>
        <w:t xml:space="preserve"> </w:t>
      </w:r>
      <w:r w:rsidR="000714C1">
        <w:rPr>
          <w:rFonts w:ascii="Arial" w:hAnsi="Arial" w:cs="Arial"/>
        </w:rPr>
        <w:t xml:space="preserve">Attain Net-Zero emissions alongside a completely circular and deforestation-free supply chain </w:t>
      </w:r>
      <w:r w:rsidRPr="00CD2A51">
        <w:rPr>
          <w:rFonts w:ascii="Arial" w:hAnsi="Arial" w:cs="Arial"/>
        </w:rPr>
        <w:t xml:space="preserve">(McDonald’s UK, 2021). </w:t>
      </w:r>
    </w:p>
    <w:p w14:paraId="3F14AD14" w14:textId="77777777" w:rsidR="007B6143" w:rsidRDefault="007B6143" w:rsidP="00B942D4">
      <w:pPr>
        <w:pStyle w:val="ListParagraph"/>
        <w:jc w:val="both"/>
        <w:rPr>
          <w:rFonts w:ascii="Arial" w:hAnsi="Arial" w:cs="Arial"/>
        </w:rPr>
      </w:pPr>
    </w:p>
    <w:p w14:paraId="60CD3844" w14:textId="77777777" w:rsidR="00B942D4" w:rsidRDefault="00B942D4" w:rsidP="00B942D4">
      <w:pPr>
        <w:pStyle w:val="ListParagraph"/>
        <w:jc w:val="both"/>
        <w:rPr>
          <w:rFonts w:ascii="Arial" w:hAnsi="Arial" w:cs="Arial"/>
        </w:rPr>
      </w:pPr>
    </w:p>
    <w:p w14:paraId="297AFFE9" w14:textId="77777777" w:rsidR="00B942D4" w:rsidRPr="00B942D4" w:rsidRDefault="00B942D4" w:rsidP="00B942D4">
      <w:pPr>
        <w:pStyle w:val="ListParagraph"/>
        <w:jc w:val="both"/>
        <w:rPr>
          <w:rFonts w:ascii="Arial" w:hAnsi="Arial" w:cs="Arial"/>
        </w:rPr>
      </w:pPr>
    </w:p>
    <w:p w14:paraId="145600D9" w14:textId="71C29E79" w:rsidR="007B6143" w:rsidRPr="000D4B74" w:rsidRDefault="007B6143" w:rsidP="00CD2A51">
      <w:pPr>
        <w:jc w:val="both"/>
        <w:rPr>
          <w:rFonts w:ascii="Arial" w:hAnsi="Arial" w:cs="Arial"/>
          <w:b/>
          <w:bCs/>
          <w:i/>
          <w:iCs/>
          <w:u w:val="single"/>
        </w:rPr>
      </w:pPr>
      <w:r w:rsidRPr="000D4B74">
        <w:rPr>
          <w:rFonts w:ascii="Arial" w:hAnsi="Arial" w:cs="Arial"/>
          <w:b/>
          <w:bCs/>
          <w:i/>
          <w:iCs/>
          <w:u w:val="single"/>
        </w:rPr>
        <w:t>2. Resource Allocation &amp; Budget Considerations</w:t>
      </w:r>
    </w:p>
    <w:p w14:paraId="760DA835" w14:textId="41A39BA0" w:rsidR="007B6143" w:rsidRDefault="007B6143" w:rsidP="00CD2A51">
      <w:pPr>
        <w:jc w:val="both"/>
        <w:rPr>
          <w:rFonts w:ascii="Arial" w:hAnsi="Arial" w:cs="Arial"/>
        </w:rPr>
      </w:pPr>
      <w:r>
        <w:rPr>
          <w:rFonts w:ascii="Arial" w:hAnsi="Arial" w:cs="Arial"/>
        </w:rPr>
        <w:t xml:space="preserve">According to the Resource-Based View (RBV), a competitive advantage is maintained when financial, physical, and human resources are strategically organized (Barney, 1991). </w:t>
      </w:r>
    </w:p>
    <w:p w14:paraId="63C2F230" w14:textId="4751ACDD" w:rsidR="007B6143" w:rsidRPr="00CD2A51" w:rsidRDefault="007B6143" w:rsidP="00CD2A51">
      <w:pPr>
        <w:pStyle w:val="ListParagraph"/>
        <w:numPr>
          <w:ilvl w:val="0"/>
          <w:numId w:val="33"/>
        </w:numPr>
        <w:jc w:val="both"/>
        <w:rPr>
          <w:rFonts w:ascii="Arial" w:hAnsi="Arial" w:cs="Arial"/>
        </w:rPr>
      </w:pPr>
      <w:r w:rsidRPr="00CD2A51">
        <w:rPr>
          <w:rFonts w:ascii="Arial" w:hAnsi="Arial" w:cs="Arial"/>
          <w:b/>
          <w:bCs/>
        </w:rPr>
        <w:t>Human &amp; Physical Capital:</w:t>
      </w:r>
      <w:r w:rsidRPr="00CD2A51">
        <w:rPr>
          <w:rFonts w:ascii="Arial" w:hAnsi="Arial" w:cs="Arial"/>
        </w:rPr>
        <w:t xml:space="preserve"> Hire 24,000 staff members and enhance the prime real estate portfolio by incorporating compact urban &amp; “Drive to” formats (Gilbert, 2022; McDonald’s UK, 2024). </w:t>
      </w:r>
    </w:p>
    <w:p w14:paraId="044381DA" w14:textId="77777777" w:rsidR="00FA420D" w:rsidRPr="00CD2A51" w:rsidRDefault="007B6143" w:rsidP="00CD2A51">
      <w:pPr>
        <w:pStyle w:val="ListParagraph"/>
        <w:numPr>
          <w:ilvl w:val="0"/>
          <w:numId w:val="33"/>
        </w:numPr>
        <w:jc w:val="both"/>
        <w:rPr>
          <w:rFonts w:ascii="Arial" w:hAnsi="Arial" w:cs="Arial"/>
        </w:rPr>
      </w:pPr>
      <w:r w:rsidRPr="00CD2A51">
        <w:rPr>
          <w:rFonts w:ascii="Arial" w:hAnsi="Arial" w:cs="Arial"/>
          <w:b/>
          <w:bCs/>
        </w:rPr>
        <w:t>Supply Chain &amp; Technology Assets:</w:t>
      </w:r>
      <w:r w:rsidRPr="00CD2A51">
        <w:rPr>
          <w:rFonts w:ascii="Arial" w:hAnsi="Arial" w:cs="Arial"/>
        </w:rPr>
        <w:t xml:space="preserve"> Sustain collaborative relationship</w:t>
      </w:r>
      <w:r w:rsidR="00FA420D" w:rsidRPr="00CD2A51">
        <w:rPr>
          <w:rFonts w:ascii="Arial" w:hAnsi="Arial" w:cs="Arial"/>
        </w:rPr>
        <w:t xml:space="preserve"> with over 23, 000 farmers from Britain &amp; Ireland to ensure 100% sustainable sourcing (</w:t>
      </w:r>
      <w:proofErr w:type="spellStart"/>
      <w:r w:rsidR="00FA420D" w:rsidRPr="00CD2A51">
        <w:rPr>
          <w:rFonts w:ascii="Arial" w:hAnsi="Arial" w:cs="Arial"/>
        </w:rPr>
        <w:t>Vitasek</w:t>
      </w:r>
      <w:proofErr w:type="spellEnd"/>
      <w:r w:rsidR="00FA420D" w:rsidRPr="00CD2A51">
        <w:rPr>
          <w:rFonts w:ascii="Arial" w:hAnsi="Arial" w:cs="Arial"/>
        </w:rPr>
        <w:t xml:space="preserve"> &amp; </w:t>
      </w:r>
      <w:proofErr w:type="spellStart"/>
      <w:r w:rsidR="00FA420D" w:rsidRPr="00CD2A51">
        <w:rPr>
          <w:rFonts w:ascii="Arial" w:hAnsi="Arial" w:cs="Arial"/>
        </w:rPr>
        <w:t>Manrodt</w:t>
      </w:r>
      <w:proofErr w:type="spellEnd"/>
      <w:r w:rsidR="00FA420D" w:rsidRPr="00CD2A51">
        <w:rPr>
          <w:rFonts w:ascii="Arial" w:hAnsi="Arial" w:cs="Arial"/>
        </w:rPr>
        <w:t xml:space="preserve">, 2022). Utilize the </w:t>
      </w:r>
      <w:proofErr w:type="spellStart"/>
      <w:r w:rsidR="00FA420D" w:rsidRPr="00CD2A51">
        <w:rPr>
          <w:rFonts w:ascii="Arial" w:hAnsi="Arial" w:cs="Arial"/>
        </w:rPr>
        <w:t>MyMcDonald’s</w:t>
      </w:r>
      <w:proofErr w:type="spellEnd"/>
      <w:r w:rsidR="00FA420D" w:rsidRPr="00CD2A51">
        <w:rPr>
          <w:rFonts w:ascii="Arial" w:hAnsi="Arial" w:cs="Arial"/>
        </w:rPr>
        <w:t xml:space="preserve"> Rewards platform, which boasts over 11 million users, in conjunction with proprietary AI ordering assistants (AP Capital Research, 2025; AMW, 2025).</w:t>
      </w:r>
    </w:p>
    <w:p w14:paraId="3B95B9CA" w14:textId="77777777" w:rsidR="00FA420D" w:rsidRPr="00CD2A51" w:rsidRDefault="00FA420D" w:rsidP="00CD2A51">
      <w:pPr>
        <w:pStyle w:val="ListParagraph"/>
        <w:numPr>
          <w:ilvl w:val="0"/>
          <w:numId w:val="33"/>
        </w:numPr>
        <w:jc w:val="both"/>
        <w:rPr>
          <w:rFonts w:ascii="Arial" w:hAnsi="Arial" w:cs="Arial"/>
        </w:rPr>
      </w:pPr>
      <w:r w:rsidRPr="00CD2A51">
        <w:rPr>
          <w:rFonts w:ascii="Arial" w:hAnsi="Arial" w:cs="Arial"/>
          <w:b/>
          <w:bCs/>
        </w:rPr>
        <w:t>Financial Structure &amp; Cost Control:</w:t>
      </w:r>
      <w:r w:rsidRPr="00CD2A51">
        <w:rPr>
          <w:rFonts w:ascii="Arial" w:hAnsi="Arial" w:cs="Arial"/>
        </w:rPr>
        <w:t xml:space="preserve"> Implement a £1 billion </w:t>
      </w:r>
      <w:proofErr w:type="spellStart"/>
      <w:r w:rsidRPr="00CD2A51">
        <w:rPr>
          <w:rFonts w:ascii="Arial" w:hAnsi="Arial" w:cs="Arial"/>
        </w:rPr>
        <w:t>CapEx</w:t>
      </w:r>
      <w:proofErr w:type="spellEnd"/>
      <w:r w:rsidRPr="00CD2A51">
        <w:rPr>
          <w:rFonts w:ascii="Arial" w:hAnsi="Arial" w:cs="Arial"/>
        </w:rPr>
        <w:t xml:space="preserve"> co-investment strategy where the parent company acquires real estate assets while franchisees finance equipment and digital interfaces (Love, 1995). AI-enhanced operational tools help alleviate the impact of minimum wage increases and inflation in raw material costs (Porter, 1985; Spanos, </w:t>
      </w:r>
      <w:proofErr w:type="spellStart"/>
      <w:r w:rsidRPr="00CD2A51">
        <w:rPr>
          <w:rFonts w:ascii="Arial" w:hAnsi="Arial" w:cs="Arial"/>
        </w:rPr>
        <w:t>Zaralis</w:t>
      </w:r>
      <w:proofErr w:type="spellEnd"/>
      <w:r w:rsidRPr="00CD2A51">
        <w:rPr>
          <w:rFonts w:ascii="Arial" w:hAnsi="Arial" w:cs="Arial"/>
        </w:rPr>
        <w:t xml:space="preserve"> &amp; </w:t>
      </w:r>
      <w:proofErr w:type="spellStart"/>
      <w:r w:rsidRPr="00CD2A51">
        <w:rPr>
          <w:rFonts w:ascii="Arial" w:hAnsi="Arial" w:cs="Arial"/>
        </w:rPr>
        <w:t>Lioukas</w:t>
      </w:r>
      <w:proofErr w:type="spellEnd"/>
      <w:r w:rsidRPr="00CD2A51">
        <w:rPr>
          <w:rFonts w:ascii="Arial" w:hAnsi="Arial" w:cs="Arial"/>
        </w:rPr>
        <w:t xml:space="preserve">, 2004). </w:t>
      </w:r>
    </w:p>
    <w:p w14:paraId="3B378C77" w14:textId="77777777" w:rsidR="00FA420D" w:rsidRDefault="00FA420D" w:rsidP="00CD2A51">
      <w:pPr>
        <w:jc w:val="both"/>
        <w:rPr>
          <w:rFonts w:ascii="Arial" w:hAnsi="Arial" w:cs="Arial"/>
        </w:rPr>
      </w:pPr>
    </w:p>
    <w:p w14:paraId="245E415C" w14:textId="77777777" w:rsidR="00B655AC" w:rsidRDefault="00B655AC" w:rsidP="00CD2A51">
      <w:pPr>
        <w:jc w:val="both"/>
        <w:rPr>
          <w:rFonts w:ascii="Arial" w:hAnsi="Arial" w:cs="Arial"/>
        </w:rPr>
      </w:pPr>
    </w:p>
    <w:p w14:paraId="0864B980" w14:textId="77777777" w:rsidR="00B655AC" w:rsidRDefault="00B655AC" w:rsidP="00CD2A51">
      <w:pPr>
        <w:jc w:val="both"/>
        <w:rPr>
          <w:rFonts w:ascii="Arial" w:hAnsi="Arial" w:cs="Arial"/>
        </w:rPr>
      </w:pPr>
    </w:p>
    <w:p w14:paraId="2E9A66AE" w14:textId="77777777" w:rsidR="00B655AC" w:rsidRDefault="00B655AC" w:rsidP="00CD2A51">
      <w:pPr>
        <w:jc w:val="both"/>
        <w:rPr>
          <w:rFonts w:ascii="Arial" w:hAnsi="Arial" w:cs="Arial"/>
        </w:rPr>
      </w:pPr>
    </w:p>
    <w:p w14:paraId="7778F279" w14:textId="77777777" w:rsidR="00FA420D" w:rsidRPr="00476969" w:rsidRDefault="00FA420D" w:rsidP="00CD2A51">
      <w:pPr>
        <w:jc w:val="both"/>
        <w:rPr>
          <w:rFonts w:ascii="Arial" w:hAnsi="Arial" w:cs="Arial"/>
          <w:b/>
          <w:bCs/>
          <w:i/>
          <w:iCs/>
          <w:u w:val="single"/>
        </w:rPr>
      </w:pPr>
      <w:r w:rsidRPr="00476969">
        <w:rPr>
          <w:rFonts w:ascii="Arial" w:hAnsi="Arial" w:cs="Arial"/>
          <w:b/>
          <w:bCs/>
          <w:i/>
          <w:iCs/>
          <w:u w:val="single"/>
        </w:rPr>
        <w:lastRenderedPageBreak/>
        <w:t xml:space="preserve">3. Anticipated Strategic Results </w:t>
      </w:r>
    </w:p>
    <w:p w14:paraId="53AB2BFE" w14:textId="77777777" w:rsidR="00FA420D" w:rsidRPr="00CD2A51" w:rsidRDefault="00FA420D" w:rsidP="00CD2A51">
      <w:pPr>
        <w:pStyle w:val="ListParagraph"/>
        <w:numPr>
          <w:ilvl w:val="0"/>
          <w:numId w:val="34"/>
        </w:numPr>
        <w:jc w:val="both"/>
        <w:rPr>
          <w:rFonts w:ascii="Arial" w:hAnsi="Arial" w:cs="Arial"/>
        </w:rPr>
      </w:pPr>
      <w:r w:rsidRPr="00CD2A51">
        <w:rPr>
          <w:rFonts w:ascii="Arial" w:hAnsi="Arial" w:cs="Arial"/>
          <w:b/>
          <w:bCs/>
        </w:rPr>
        <w:t>Financial &amp; Market Performance:</w:t>
      </w:r>
      <w:r w:rsidRPr="00CD2A51">
        <w:rPr>
          <w:rFonts w:ascii="Arial" w:hAnsi="Arial" w:cs="Arial"/>
        </w:rPr>
        <w:t xml:space="preserve"> Safeguards McDonald’s UK’s leading one-third share of the Quick Service Restaurant (QSR) market &amp; expands upon its historical contribution exceeding £94.45 billion in Gross Valued Added (GVA) to the UK economy (McDonald’s UK, 2024). </w:t>
      </w:r>
    </w:p>
    <w:p w14:paraId="6ACDD705" w14:textId="17B4F2B4" w:rsidR="007B6143" w:rsidRPr="00CD2A51" w:rsidRDefault="00FA420D" w:rsidP="00CD2A51">
      <w:pPr>
        <w:pStyle w:val="ListParagraph"/>
        <w:numPr>
          <w:ilvl w:val="0"/>
          <w:numId w:val="34"/>
        </w:numPr>
        <w:jc w:val="both"/>
        <w:rPr>
          <w:rFonts w:ascii="Arial" w:hAnsi="Arial" w:cs="Arial"/>
        </w:rPr>
      </w:pPr>
      <w:r w:rsidRPr="00CD2A51">
        <w:rPr>
          <w:rFonts w:ascii="Arial" w:hAnsi="Arial" w:cs="Arial"/>
          <w:b/>
          <w:bCs/>
        </w:rPr>
        <w:t>Brand Equity &amp; Customer Retention:</w:t>
      </w:r>
      <w:r w:rsidRPr="00CD2A51">
        <w:rPr>
          <w:rFonts w:ascii="Arial" w:hAnsi="Arial" w:cs="Arial"/>
        </w:rPr>
        <w:t xml:space="preserve"> Strengthens brand credibility with essential stakeholders through the “Plan for Change” sustainability objectives, while increasing transaction frequency among primary demographics (ages 25-34) via tailored digital rewards (Carroll, 1991; Kumar &amp; Reinartz, 2016).  </w:t>
      </w:r>
    </w:p>
    <w:p w14:paraId="6ED6DE86" w14:textId="77777777" w:rsidR="00476969" w:rsidRDefault="00476969" w:rsidP="00CD2A51">
      <w:pPr>
        <w:jc w:val="both"/>
        <w:rPr>
          <w:rFonts w:ascii="Arial" w:hAnsi="Arial" w:cs="Arial"/>
        </w:rPr>
      </w:pPr>
    </w:p>
    <w:p w14:paraId="2A189E06" w14:textId="4759D271" w:rsidR="00476969" w:rsidRPr="003300D2" w:rsidRDefault="00417E17" w:rsidP="00CD2A51">
      <w:pPr>
        <w:jc w:val="both"/>
        <w:rPr>
          <w:rFonts w:ascii="Arial" w:hAnsi="Arial" w:cs="Arial"/>
          <w:b/>
          <w:bCs/>
        </w:rPr>
      </w:pPr>
      <w:r w:rsidRPr="003300D2">
        <w:rPr>
          <w:rFonts w:ascii="Arial" w:hAnsi="Arial" w:cs="Arial"/>
          <w:b/>
          <w:bCs/>
        </w:rPr>
        <w:t xml:space="preserve">11.0 Strategic Risks &amp; Mitigation Matrix </w:t>
      </w:r>
    </w:p>
    <w:p w14:paraId="6471644D" w14:textId="269D2DCF" w:rsidR="00417E17" w:rsidRPr="003300D2" w:rsidRDefault="00417E17" w:rsidP="00CD2A51">
      <w:pPr>
        <w:jc w:val="both"/>
        <w:rPr>
          <w:rFonts w:ascii="Arial" w:hAnsi="Arial" w:cs="Arial"/>
          <w:b/>
          <w:bCs/>
          <w:i/>
          <w:iCs/>
          <w:u w:val="single"/>
        </w:rPr>
      </w:pPr>
      <w:r w:rsidRPr="003300D2">
        <w:rPr>
          <w:rFonts w:ascii="Arial" w:hAnsi="Arial" w:cs="Arial"/>
          <w:b/>
          <w:bCs/>
          <w:i/>
          <w:iCs/>
          <w:u w:val="single"/>
        </w:rPr>
        <w:t xml:space="preserve">1. </w:t>
      </w:r>
      <w:r w:rsidR="00842EBD" w:rsidRPr="003300D2">
        <w:rPr>
          <w:rFonts w:ascii="Arial" w:hAnsi="Arial" w:cs="Arial"/>
          <w:b/>
          <w:bCs/>
          <w:i/>
          <w:iCs/>
          <w:u w:val="single"/>
        </w:rPr>
        <w:t>Analysis of Strategic Risks &amp; Challenges</w:t>
      </w:r>
    </w:p>
    <w:p w14:paraId="67EE1504" w14:textId="33883460" w:rsidR="00842EBD" w:rsidRPr="00CD2A51" w:rsidRDefault="00842EBD" w:rsidP="00CD2A51">
      <w:pPr>
        <w:pStyle w:val="ListParagraph"/>
        <w:numPr>
          <w:ilvl w:val="0"/>
          <w:numId w:val="35"/>
        </w:numPr>
        <w:jc w:val="both"/>
        <w:rPr>
          <w:rFonts w:ascii="Arial" w:hAnsi="Arial" w:cs="Arial"/>
        </w:rPr>
      </w:pPr>
      <w:r w:rsidRPr="00CD2A51">
        <w:rPr>
          <w:rFonts w:ascii="Arial" w:hAnsi="Arial" w:cs="Arial"/>
          <w:b/>
          <w:bCs/>
        </w:rPr>
        <w:t>Competitive Pressure:</w:t>
      </w:r>
      <w:r w:rsidRPr="00CD2A51">
        <w:rPr>
          <w:rFonts w:ascii="Arial" w:hAnsi="Arial" w:cs="Arial"/>
        </w:rPr>
        <w:t xml:space="preserve"> Intense competition from well-established fast-food brands (such as Greggs &amp; KFC) &amp; the emergence of delivery-centric “dark kitchens disrupts market share and diminishes the visibility of traditional brands (Porter, 1985; Gilbert, 2022). </w:t>
      </w:r>
    </w:p>
    <w:p w14:paraId="4DE56E30" w14:textId="7C60543F" w:rsidR="00842EBD" w:rsidRPr="00CD2A51" w:rsidRDefault="00842EBD" w:rsidP="00CD2A51">
      <w:pPr>
        <w:pStyle w:val="ListParagraph"/>
        <w:numPr>
          <w:ilvl w:val="0"/>
          <w:numId w:val="35"/>
        </w:numPr>
        <w:jc w:val="both"/>
        <w:rPr>
          <w:rFonts w:ascii="Arial" w:hAnsi="Arial" w:cs="Arial"/>
        </w:rPr>
      </w:pPr>
      <w:r w:rsidRPr="00CD2A51">
        <w:rPr>
          <w:rFonts w:ascii="Arial" w:hAnsi="Arial" w:cs="Arial"/>
          <w:b/>
          <w:bCs/>
        </w:rPr>
        <w:t>Financial Vulnerability:</w:t>
      </w:r>
      <w:r w:rsidRPr="00CD2A51">
        <w:rPr>
          <w:rFonts w:ascii="Arial" w:hAnsi="Arial" w:cs="Arial"/>
        </w:rPr>
        <w:t xml:space="preserve"> Rising macroeconomic inflation and increases in the statutory National Living Wage contribute to higher operational costs, thereby compressing profit margins (Spanos, </w:t>
      </w:r>
      <w:proofErr w:type="spellStart"/>
      <w:r w:rsidRPr="00CD2A51">
        <w:rPr>
          <w:rFonts w:ascii="Arial" w:hAnsi="Arial" w:cs="Arial"/>
        </w:rPr>
        <w:t>Zaralis</w:t>
      </w:r>
      <w:proofErr w:type="spellEnd"/>
      <w:r w:rsidRPr="00CD2A51">
        <w:rPr>
          <w:rFonts w:ascii="Arial" w:hAnsi="Arial" w:cs="Arial"/>
        </w:rPr>
        <w:t xml:space="preserve"> &amp; </w:t>
      </w:r>
      <w:proofErr w:type="spellStart"/>
      <w:r w:rsidRPr="00CD2A51">
        <w:rPr>
          <w:rFonts w:ascii="Arial" w:hAnsi="Arial" w:cs="Arial"/>
        </w:rPr>
        <w:t>Lioukas</w:t>
      </w:r>
      <w:proofErr w:type="spellEnd"/>
      <w:r w:rsidRPr="00CD2A51">
        <w:rPr>
          <w:rFonts w:ascii="Arial" w:hAnsi="Arial" w:cs="Arial"/>
        </w:rPr>
        <w:t xml:space="preserve">, 2004; GOV.UK, 2025). </w:t>
      </w:r>
    </w:p>
    <w:p w14:paraId="399484A6" w14:textId="71A68FF0" w:rsidR="00C97DA4" w:rsidRPr="00CD2A51" w:rsidRDefault="00C97DA4" w:rsidP="00CD2A51">
      <w:pPr>
        <w:pStyle w:val="ListParagraph"/>
        <w:numPr>
          <w:ilvl w:val="0"/>
          <w:numId w:val="35"/>
        </w:numPr>
        <w:jc w:val="both"/>
        <w:rPr>
          <w:rFonts w:ascii="Arial" w:hAnsi="Arial" w:cs="Arial"/>
        </w:rPr>
      </w:pPr>
      <w:r w:rsidRPr="00CD2A51">
        <w:rPr>
          <w:rFonts w:ascii="Arial" w:hAnsi="Arial" w:cs="Arial"/>
          <w:b/>
          <w:bCs/>
        </w:rPr>
        <w:t>Operational Dependency &amp; Culture:</w:t>
      </w:r>
      <w:r w:rsidRPr="00CD2A51">
        <w:rPr>
          <w:rFonts w:ascii="Arial" w:hAnsi="Arial" w:cs="Arial"/>
        </w:rPr>
        <w:t xml:space="preserve"> A heavy reliance on third-party delivery services</w:t>
      </w:r>
      <w:r w:rsidR="00380665" w:rsidRPr="00CD2A51">
        <w:rPr>
          <w:rFonts w:ascii="Arial" w:hAnsi="Arial" w:cs="Arial"/>
        </w:rPr>
        <w:t xml:space="preserve"> (like Just Eat &amp; Uber Eats) poses risks of margin reductions and diminishes control over customer interactions, while cultural challenges within the workplace require stringent governance to safeguard employee well-being (Kumar &amp; Reinartz, 2016; McDonald’s Corporation, 2025). </w:t>
      </w:r>
    </w:p>
    <w:p w14:paraId="24E31056" w14:textId="1C28E5BE" w:rsidR="00380665" w:rsidRPr="00CD2A51" w:rsidRDefault="00380665" w:rsidP="00CD2A51">
      <w:pPr>
        <w:pStyle w:val="ListParagraph"/>
        <w:numPr>
          <w:ilvl w:val="0"/>
          <w:numId w:val="35"/>
        </w:numPr>
        <w:jc w:val="both"/>
        <w:rPr>
          <w:rFonts w:ascii="Arial" w:hAnsi="Arial" w:cs="Arial"/>
        </w:rPr>
      </w:pPr>
      <w:r w:rsidRPr="00CD2A51">
        <w:rPr>
          <w:rFonts w:ascii="Arial" w:hAnsi="Arial" w:cs="Arial"/>
          <w:b/>
          <w:bCs/>
        </w:rPr>
        <w:t>Market &amp; Regulatory Shifts:</w:t>
      </w:r>
      <w:r w:rsidRPr="00CD2A51">
        <w:rPr>
          <w:rFonts w:ascii="Arial" w:hAnsi="Arial" w:cs="Arial"/>
        </w:rPr>
        <w:t xml:space="preserve"> Ongoing cost-of-living challenges limit discretionary spending by consumers, while strict public health regulations (such as mandatory calorie labeling) impact the attractiveness of traditional fast-food offerings (Johnson, Scholes &amp; Whittington, 2008). </w:t>
      </w:r>
    </w:p>
    <w:p w14:paraId="3F8A34FF" w14:textId="1A8F78A7" w:rsidR="00380665" w:rsidRDefault="00380665" w:rsidP="00CD2A51">
      <w:pPr>
        <w:jc w:val="both"/>
        <w:rPr>
          <w:rFonts w:ascii="Arial" w:hAnsi="Arial" w:cs="Arial"/>
        </w:rPr>
      </w:pPr>
    </w:p>
    <w:p w14:paraId="63D336BE" w14:textId="1279AD25" w:rsidR="00380665" w:rsidRPr="0054347E" w:rsidRDefault="00380665" w:rsidP="00CD2A51">
      <w:pPr>
        <w:jc w:val="both"/>
        <w:rPr>
          <w:rFonts w:ascii="Arial" w:hAnsi="Arial" w:cs="Arial"/>
          <w:b/>
          <w:bCs/>
          <w:i/>
          <w:iCs/>
          <w:u w:val="single"/>
        </w:rPr>
      </w:pPr>
      <w:r w:rsidRPr="0054347E">
        <w:rPr>
          <w:rFonts w:ascii="Arial" w:hAnsi="Arial" w:cs="Arial"/>
          <w:b/>
          <w:bCs/>
          <w:i/>
          <w:iCs/>
          <w:u w:val="single"/>
        </w:rPr>
        <w:t>2. Risk Mitigation Framework</w:t>
      </w:r>
    </w:p>
    <w:p w14:paraId="125440DF" w14:textId="460BAF5E" w:rsidR="00380665" w:rsidRPr="00CD2A51" w:rsidRDefault="003300D2" w:rsidP="00CD2A51">
      <w:pPr>
        <w:pStyle w:val="ListParagraph"/>
        <w:numPr>
          <w:ilvl w:val="0"/>
          <w:numId w:val="36"/>
        </w:numPr>
        <w:jc w:val="both"/>
        <w:rPr>
          <w:rFonts w:ascii="Arial" w:hAnsi="Arial" w:cs="Arial"/>
        </w:rPr>
      </w:pPr>
      <w:r w:rsidRPr="00CD2A51">
        <w:rPr>
          <w:rFonts w:ascii="Arial" w:hAnsi="Arial" w:cs="Arial"/>
          <w:b/>
          <w:bCs/>
        </w:rPr>
        <w:t>Digital Differentiation &amp; Cost Leadership:</w:t>
      </w:r>
      <w:r w:rsidRPr="00CD2A51">
        <w:rPr>
          <w:rFonts w:ascii="Arial" w:hAnsi="Arial" w:cs="Arial"/>
        </w:rPr>
        <w:t xml:space="preserve"> The expansion of the </w:t>
      </w:r>
      <w:proofErr w:type="spellStart"/>
      <w:r w:rsidRPr="00CD2A51">
        <w:rPr>
          <w:rFonts w:ascii="Arial" w:hAnsi="Arial" w:cs="Arial"/>
        </w:rPr>
        <w:t>MyMcDonald’s</w:t>
      </w:r>
      <w:proofErr w:type="spellEnd"/>
      <w:r w:rsidRPr="00CD2A51">
        <w:rPr>
          <w:rFonts w:ascii="Arial" w:hAnsi="Arial" w:cs="Arial"/>
        </w:rPr>
        <w:t xml:space="preserve"> app, which boasts over 11 million loyalty registrants, diminishes reliance on delivery services. Concurrently, the application of AI for optimizing inventory and labor helps to alleviate the financial pressures associated with statutory minimum wage increases (Porter, 1985; AMW, 2025; AP Capital Research, 2025). </w:t>
      </w:r>
    </w:p>
    <w:p w14:paraId="59440A8A" w14:textId="20B0C940" w:rsidR="003300D2" w:rsidRPr="00CD2A51" w:rsidRDefault="003300D2" w:rsidP="00CD2A51">
      <w:pPr>
        <w:pStyle w:val="ListParagraph"/>
        <w:numPr>
          <w:ilvl w:val="0"/>
          <w:numId w:val="36"/>
        </w:numPr>
        <w:jc w:val="both"/>
        <w:rPr>
          <w:rFonts w:ascii="Arial" w:hAnsi="Arial" w:cs="Arial"/>
        </w:rPr>
      </w:pPr>
      <w:r w:rsidRPr="00CD2A51">
        <w:rPr>
          <w:rFonts w:ascii="Arial" w:hAnsi="Arial" w:cs="Arial"/>
          <w:b/>
          <w:bCs/>
        </w:rPr>
        <w:lastRenderedPageBreak/>
        <w:t>Operational Excellence &amp; Governance:</w:t>
      </w:r>
      <w:r w:rsidRPr="00CD2A51">
        <w:rPr>
          <w:rFonts w:ascii="Arial" w:hAnsi="Arial" w:cs="Arial"/>
        </w:rPr>
        <w:t xml:space="preserve"> The adoption of the Operations Performance &amp; Customer Excellence (PACE) consulting framework establishes rigorous operational, safety, and workplace standards, supported by the Business Continuity and Crisis Management (BCCM) system (McDonald’s Corporation, 2022). </w:t>
      </w:r>
    </w:p>
    <w:p w14:paraId="10371049" w14:textId="77D6D899" w:rsidR="003300D2" w:rsidRPr="00CD2A51" w:rsidRDefault="003300D2" w:rsidP="00CD2A51">
      <w:pPr>
        <w:pStyle w:val="ListParagraph"/>
        <w:numPr>
          <w:ilvl w:val="0"/>
          <w:numId w:val="36"/>
        </w:numPr>
        <w:jc w:val="both"/>
        <w:rPr>
          <w:rFonts w:ascii="Arial" w:hAnsi="Arial" w:cs="Arial"/>
        </w:rPr>
      </w:pPr>
      <w:r w:rsidRPr="00CD2A51">
        <w:rPr>
          <w:rFonts w:ascii="Arial" w:hAnsi="Arial" w:cs="Arial"/>
          <w:b/>
          <w:bCs/>
        </w:rPr>
        <w:t>Sustainability &amp; Brand Protection:</w:t>
      </w:r>
      <w:r w:rsidRPr="00CD2A51">
        <w:rPr>
          <w:rFonts w:ascii="Arial" w:hAnsi="Arial" w:cs="Arial"/>
        </w:rPr>
        <w:t xml:space="preserve"> The implementation of the “Plan for Change” </w:t>
      </w:r>
      <w:r w:rsidR="0054347E" w:rsidRPr="00CD2A51">
        <w:rPr>
          <w:rFonts w:ascii="Arial" w:hAnsi="Arial" w:cs="Arial"/>
        </w:rPr>
        <w:t xml:space="preserve">initiative aimed at achieving a Net-Zero footprint by 2040 fosters strategic differentiation that is not based on price, thereby safeguarding brand equity from regulatory changes and reputational risks (Carroll, 1991; McDonald’s UK, 2021). </w:t>
      </w:r>
    </w:p>
    <w:p w14:paraId="27997845" w14:textId="77777777" w:rsidR="0054347E" w:rsidRPr="00A731CA" w:rsidRDefault="0054347E" w:rsidP="00CD2A51">
      <w:pPr>
        <w:jc w:val="both"/>
        <w:rPr>
          <w:rFonts w:ascii="Arial" w:hAnsi="Arial" w:cs="Arial"/>
          <w:b/>
          <w:bCs/>
        </w:rPr>
      </w:pPr>
    </w:p>
    <w:p w14:paraId="7A55DC15" w14:textId="247EDC5C" w:rsidR="00A731CA" w:rsidRDefault="00A731CA" w:rsidP="00CD2A51">
      <w:pPr>
        <w:jc w:val="both"/>
        <w:rPr>
          <w:rFonts w:ascii="Arial" w:hAnsi="Arial" w:cs="Arial"/>
          <w:b/>
          <w:bCs/>
        </w:rPr>
      </w:pPr>
      <w:r w:rsidRPr="00A731CA">
        <w:rPr>
          <w:rFonts w:ascii="Arial" w:hAnsi="Arial" w:cs="Arial"/>
          <w:b/>
          <w:bCs/>
        </w:rPr>
        <w:t xml:space="preserve">12. Conclusion </w:t>
      </w:r>
    </w:p>
    <w:p w14:paraId="57C9BF61" w14:textId="0D9C3FBC" w:rsidR="00A731CA" w:rsidRPr="000B163C" w:rsidRDefault="00A731CA" w:rsidP="00CD2A51">
      <w:pPr>
        <w:jc w:val="both"/>
        <w:rPr>
          <w:rFonts w:ascii="Arial" w:hAnsi="Arial" w:cs="Arial"/>
          <w:b/>
          <w:bCs/>
          <w:i/>
          <w:iCs/>
          <w:u w:val="single"/>
        </w:rPr>
      </w:pPr>
      <w:r w:rsidRPr="000B163C">
        <w:rPr>
          <w:rFonts w:ascii="Arial" w:hAnsi="Arial" w:cs="Arial"/>
          <w:b/>
          <w:bCs/>
          <w:i/>
          <w:iCs/>
          <w:u w:val="single"/>
        </w:rPr>
        <w:t>1. Strategic Position &amp; Value Proposition</w:t>
      </w:r>
    </w:p>
    <w:p w14:paraId="164DCC18" w14:textId="56CA7E44" w:rsidR="00A731CA" w:rsidRDefault="00A731CA" w:rsidP="00CD2A51">
      <w:pPr>
        <w:jc w:val="both"/>
        <w:rPr>
          <w:rFonts w:ascii="Arial" w:hAnsi="Arial" w:cs="Arial"/>
        </w:rPr>
      </w:pPr>
      <w:r>
        <w:rPr>
          <w:rFonts w:ascii="Arial" w:hAnsi="Arial" w:cs="Arial"/>
        </w:rPr>
        <w:t xml:space="preserve">McDonald’s UK holds a preeminent position as a market leader in the Quick Service Restaurant (QSR) industry, utilizing its “Accelerating the Arches” strategy to foster growth through the “4Ds” (Digital, Delivery, Drive-Thru, Development) (McDonald’s Corporation, 2020; AP Capital Research, 2025). The fundamental value proposition of the company—providing quality, service, and affordability—is further enhanced by the “Plan for Change” sustainability initiative, which aims to cultivate long-term brand equity and trust among stakeholders (Carroll, 1991; McDonald’s UK, 2021). </w:t>
      </w:r>
    </w:p>
    <w:p w14:paraId="538B9C5E" w14:textId="77777777" w:rsidR="0084638B" w:rsidRDefault="0084638B" w:rsidP="00CD2A51">
      <w:pPr>
        <w:jc w:val="both"/>
        <w:rPr>
          <w:rFonts w:ascii="Arial" w:hAnsi="Arial" w:cs="Arial"/>
        </w:rPr>
      </w:pPr>
    </w:p>
    <w:p w14:paraId="4AC34FD9" w14:textId="77BC0596" w:rsidR="002B6BC5" w:rsidRPr="002A1C96" w:rsidRDefault="000B163C" w:rsidP="00CD2A51">
      <w:pPr>
        <w:jc w:val="both"/>
        <w:rPr>
          <w:rFonts w:ascii="Arial" w:hAnsi="Arial" w:cs="Arial"/>
          <w:b/>
          <w:bCs/>
          <w:i/>
          <w:iCs/>
          <w:u w:val="single"/>
        </w:rPr>
      </w:pPr>
      <w:r w:rsidRPr="002A1C96">
        <w:rPr>
          <w:rFonts w:ascii="Arial" w:hAnsi="Arial" w:cs="Arial"/>
          <w:b/>
          <w:bCs/>
          <w:i/>
          <w:iCs/>
          <w:u w:val="single"/>
        </w:rPr>
        <w:t>2. Key Analytical Findings</w:t>
      </w:r>
    </w:p>
    <w:p w14:paraId="45DCDB6A" w14:textId="79BA755A" w:rsidR="000B163C" w:rsidRPr="00CD2A51" w:rsidRDefault="000B163C" w:rsidP="00CD2A51">
      <w:pPr>
        <w:pStyle w:val="ListParagraph"/>
        <w:numPr>
          <w:ilvl w:val="0"/>
          <w:numId w:val="37"/>
        </w:numPr>
        <w:jc w:val="both"/>
        <w:rPr>
          <w:rFonts w:ascii="Arial" w:hAnsi="Arial" w:cs="Arial"/>
        </w:rPr>
      </w:pPr>
      <w:r w:rsidRPr="00CD2A51">
        <w:rPr>
          <w:rFonts w:ascii="Arial" w:hAnsi="Arial" w:cs="Arial"/>
          <w:b/>
          <w:bCs/>
        </w:rPr>
        <w:t>External Context (PESTEL &amp; Porter’s Five Forces):</w:t>
      </w:r>
      <w:r w:rsidRPr="00CD2A51">
        <w:rPr>
          <w:rFonts w:ascii="Arial" w:hAnsi="Arial" w:cs="Arial"/>
        </w:rPr>
        <w:t xml:space="preserve"> The presence of high macroeconomic inflation coupled with fierce market competition (e.g., Greggs, KFC) poses significant cost &amp; competitive challenges. However, evolving consumer preferences also present opportunities for enhanced digital engagement and the expansion of plant-based menu offerings (Porter, 1985; Johnson, Scholes &amp; Whittington, 2008; </w:t>
      </w:r>
      <w:proofErr w:type="spellStart"/>
      <w:r w:rsidRPr="00CD2A51">
        <w:rPr>
          <w:rFonts w:ascii="Arial" w:hAnsi="Arial" w:cs="Arial"/>
        </w:rPr>
        <w:t>Groth</w:t>
      </w:r>
      <w:proofErr w:type="spellEnd"/>
      <w:r w:rsidRPr="00CD2A51">
        <w:rPr>
          <w:rFonts w:ascii="Arial" w:hAnsi="Arial" w:cs="Arial"/>
        </w:rPr>
        <w:t xml:space="preserve">, 2025). </w:t>
      </w:r>
    </w:p>
    <w:p w14:paraId="7AE13359" w14:textId="77777777" w:rsidR="000B163C" w:rsidRPr="00CD2A51" w:rsidRDefault="000B163C" w:rsidP="00CD2A51">
      <w:pPr>
        <w:pStyle w:val="ListParagraph"/>
        <w:numPr>
          <w:ilvl w:val="0"/>
          <w:numId w:val="37"/>
        </w:numPr>
        <w:jc w:val="both"/>
        <w:rPr>
          <w:rFonts w:ascii="Arial" w:hAnsi="Arial" w:cs="Arial"/>
        </w:rPr>
      </w:pPr>
      <w:r w:rsidRPr="00CD2A51">
        <w:rPr>
          <w:rFonts w:ascii="Arial" w:hAnsi="Arial" w:cs="Arial"/>
          <w:b/>
          <w:bCs/>
        </w:rPr>
        <w:t xml:space="preserve">Internal Capabilities (RBV / VRIO): </w:t>
      </w:r>
      <w:r w:rsidRPr="00CD2A51">
        <w:rPr>
          <w:rFonts w:ascii="Arial" w:hAnsi="Arial" w:cs="Arial"/>
        </w:rPr>
        <w:t xml:space="preserve">According to the Resource-Based View, McDonald’s maintains a competitive edge through its irreplaceable prime real estate holdings and its collaborative “three-legged stool” network, which includes franchisees, employees, and 23,000 farmers from Britain and Ireland (Barney, 1991; </w:t>
      </w:r>
      <w:proofErr w:type="spellStart"/>
      <w:r w:rsidRPr="00CD2A51">
        <w:rPr>
          <w:rFonts w:ascii="Arial" w:hAnsi="Arial" w:cs="Arial"/>
        </w:rPr>
        <w:t>Vitasek</w:t>
      </w:r>
      <w:proofErr w:type="spellEnd"/>
      <w:r w:rsidRPr="00CD2A51">
        <w:rPr>
          <w:rFonts w:ascii="Arial" w:hAnsi="Arial" w:cs="Arial"/>
        </w:rPr>
        <w:t xml:space="preserve"> &amp; </w:t>
      </w:r>
      <w:proofErr w:type="spellStart"/>
      <w:r w:rsidRPr="00CD2A51">
        <w:rPr>
          <w:rFonts w:ascii="Arial" w:hAnsi="Arial" w:cs="Arial"/>
        </w:rPr>
        <w:t>Manrodt</w:t>
      </w:r>
      <w:proofErr w:type="spellEnd"/>
      <w:r w:rsidRPr="00CD2A51">
        <w:rPr>
          <w:rFonts w:ascii="Arial" w:hAnsi="Arial" w:cs="Arial"/>
        </w:rPr>
        <w:t xml:space="preserve">, 2022). </w:t>
      </w:r>
    </w:p>
    <w:p w14:paraId="2F349294" w14:textId="65E5F401" w:rsidR="000B163C" w:rsidRPr="00CD2A51" w:rsidRDefault="000B163C" w:rsidP="00CD2A51">
      <w:pPr>
        <w:pStyle w:val="ListParagraph"/>
        <w:numPr>
          <w:ilvl w:val="0"/>
          <w:numId w:val="37"/>
        </w:numPr>
        <w:jc w:val="both"/>
        <w:rPr>
          <w:rFonts w:ascii="Arial" w:hAnsi="Arial" w:cs="Arial"/>
        </w:rPr>
      </w:pPr>
      <w:r w:rsidRPr="00CD2A51">
        <w:rPr>
          <w:rFonts w:ascii="Arial" w:hAnsi="Arial" w:cs="Arial"/>
          <w:b/>
          <w:bCs/>
        </w:rPr>
        <w:t>Digital Synergy (SWOT):</w:t>
      </w:r>
      <w:r w:rsidRPr="00CD2A51">
        <w:rPr>
          <w:rFonts w:ascii="Arial" w:hAnsi="Arial" w:cs="Arial"/>
        </w:rPr>
        <w:t xml:space="preserve"> The company’s digital maturity is a key operational strength, evidenced by more than 11 million app registrations that enhance customer retention, lifetime value, and differentiation beyond price (Kumar &amp; Reinartz, 2016; AMW, 2025).  </w:t>
      </w:r>
    </w:p>
    <w:p w14:paraId="17E87A1F" w14:textId="77777777" w:rsidR="002A1C96" w:rsidRDefault="002A1C96" w:rsidP="00CD2A51">
      <w:pPr>
        <w:jc w:val="both"/>
        <w:rPr>
          <w:rFonts w:ascii="Arial" w:hAnsi="Arial" w:cs="Arial"/>
        </w:rPr>
      </w:pPr>
    </w:p>
    <w:p w14:paraId="713CA509" w14:textId="0EE0AFE2" w:rsidR="002A1C96" w:rsidRDefault="002A1C96" w:rsidP="00CD2A51">
      <w:pPr>
        <w:jc w:val="both"/>
        <w:rPr>
          <w:rFonts w:ascii="Arial" w:hAnsi="Arial" w:cs="Arial"/>
          <w:b/>
          <w:bCs/>
          <w:i/>
          <w:iCs/>
          <w:u w:val="single"/>
        </w:rPr>
      </w:pPr>
      <w:r w:rsidRPr="002A1C96">
        <w:rPr>
          <w:rFonts w:ascii="Arial" w:hAnsi="Arial" w:cs="Arial"/>
          <w:b/>
          <w:bCs/>
          <w:i/>
          <w:iCs/>
          <w:u w:val="single"/>
        </w:rPr>
        <w:t xml:space="preserve">3. Recommended Strategy &amp; Strategic Benefits </w:t>
      </w:r>
    </w:p>
    <w:p w14:paraId="042D5F15" w14:textId="0C7F55E5" w:rsidR="002A1C96" w:rsidRPr="00CD2A51" w:rsidRDefault="002A1C96" w:rsidP="00CD2A51">
      <w:pPr>
        <w:pStyle w:val="ListParagraph"/>
        <w:numPr>
          <w:ilvl w:val="0"/>
          <w:numId w:val="38"/>
        </w:numPr>
        <w:jc w:val="both"/>
        <w:rPr>
          <w:rFonts w:ascii="Arial" w:hAnsi="Arial" w:cs="Arial"/>
        </w:rPr>
      </w:pPr>
      <w:r w:rsidRPr="00CD2A51">
        <w:rPr>
          <w:rFonts w:ascii="Arial" w:hAnsi="Arial" w:cs="Arial"/>
          <w:b/>
          <w:bCs/>
        </w:rPr>
        <w:t xml:space="preserve">Proposed Approach: </w:t>
      </w:r>
      <w:r w:rsidRPr="00CD2A51">
        <w:rPr>
          <w:rFonts w:ascii="Arial" w:hAnsi="Arial" w:cs="Arial"/>
        </w:rPr>
        <w:t xml:space="preserve">A low-risk Market Penetration strategy (Ansoff, 1957) focused on Digital Differentiation &amp; Sustainability Leadership, supported by a capital investment of £1 billion to establish over 200 new locations (Gilbert, 2022; AP Capital Research, 2025). </w:t>
      </w:r>
    </w:p>
    <w:p w14:paraId="346244B5" w14:textId="37970962" w:rsidR="002A1C96" w:rsidRPr="00CD2A51" w:rsidRDefault="002A1C96" w:rsidP="00CD2A51">
      <w:pPr>
        <w:pStyle w:val="ListParagraph"/>
        <w:numPr>
          <w:ilvl w:val="0"/>
          <w:numId w:val="38"/>
        </w:numPr>
        <w:jc w:val="both"/>
        <w:rPr>
          <w:rFonts w:ascii="Arial" w:hAnsi="Arial" w:cs="Arial"/>
        </w:rPr>
      </w:pPr>
      <w:r w:rsidRPr="00CD2A51">
        <w:rPr>
          <w:rFonts w:ascii="Arial" w:hAnsi="Arial" w:cs="Arial"/>
          <w:b/>
          <w:bCs/>
        </w:rPr>
        <w:t>Economic Consequence:</w:t>
      </w:r>
      <w:r w:rsidRPr="00CD2A51">
        <w:rPr>
          <w:rFonts w:ascii="Arial" w:hAnsi="Arial" w:cs="Arial"/>
        </w:rPr>
        <w:t xml:space="preserve"> Increases market share while enhancing its historical contribution exceeding £94.45 billion in Gross Value Added (GVA) to the UK economy (McDonald’s UK, 2024). </w:t>
      </w:r>
    </w:p>
    <w:p w14:paraId="679BA323" w14:textId="3070374B" w:rsidR="002A1C96" w:rsidRPr="00CD2A51" w:rsidRDefault="002A1C96" w:rsidP="00CD2A51">
      <w:pPr>
        <w:pStyle w:val="ListParagraph"/>
        <w:numPr>
          <w:ilvl w:val="0"/>
          <w:numId w:val="38"/>
        </w:numPr>
        <w:jc w:val="both"/>
        <w:rPr>
          <w:rFonts w:ascii="Arial" w:hAnsi="Arial" w:cs="Arial"/>
        </w:rPr>
      </w:pPr>
      <w:r w:rsidRPr="00CD2A51">
        <w:rPr>
          <w:rFonts w:ascii="Arial" w:hAnsi="Arial" w:cs="Arial"/>
          <w:b/>
          <w:bCs/>
        </w:rPr>
        <w:t xml:space="preserve">Operational Robustness: </w:t>
      </w:r>
      <w:r w:rsidRPr="00CD2A51">
        <w:rPr>
          <w:rFonts w:ascii="Arial" w:hAnsi="Arial" w:cs="Arial"/>
        </w:rPr>
        <w:t xml:space="preserve">Addresses escalating labor expenses and food inflation through AI-enhanced predictive inventory management &amp; adaptive scheduling (Porter, 1985; Spanos, </w:t>
      </w:r>
      <w:proofErr w:type="spellStart"/>
      <w:r w:rsidRPr="00CD2A51">
        <w:rPr>
          <w:rFonts w:ascii="Arial" w:hAnsi="Arial" w:cs="Arial"/>
        </w:rPr>
        <w:t>Zaralis</w:t>
      </w:r>
      <w:proofErr w:type="spellEnd"/>
      <w:r w:rsidRPr="00CD2A51">
        <w:rPr>
          <w:rFonts w:ascii="Arial" w:hAnsi="Arial" w:cs="Arial"/>
        </w:rPr>
        <w:t xml:space="preserve"> &amp; </w:t>
      </w:r>
      <w:proofErr w:type="spellStart"/>
      <w:r w:rsidRPr="00CD2A51">
        <w:rPr>
          <w:rFonts w:ascii="Arial" w:hAnsi="Arial" w:cs="Arial"/>
        </w:rPr>
        <w:t>Lioukas</w:t>
      </w:r>
      <w:proofErr w:type="spellEnd"/>
      <w:r w:rsidRPr="00CD2A51">
        <w:rPr>
          <w:rFonts w:ascii="Arial" w:hAnsi="Arial" w:cs="Arial"/>
        </w:rPr>
        <w:t xml:space="preserve">, 2004). </w:t>
      </w:r>
    </w:p>
    <w:p w14:paraId="05E9F2AD" w14:textId="4DF19803" w:rsidR="002A1C96" w:rsidRDefault="002A1C96" w:rsidP="00CD2A51">
      <w:pPr>
        <w:pStyle w:val="ListParagraph"/>
        <w:numPr>
          <w:ilvl w:val="0"/>
          <w:numId w:val="38"/>
        </w:numPr>
        <w:jc w:val="both"/>
        <w:rPr>
          <w:rFonts w:ascii="Arial" w:hAnsi="Arial" w:cs="Arial"/>
        </w:rPr>
      </w:pPr>
      <w:r w:rsidRPr="00CD2A51">
        <w:rPr>
          <w:rFonts w:ascii="Arial" w:hAnsi="Arial" w:cs="Arial"/>
          <w:b/>
          <w:bCs/>
        </w:rPr>
        <w:t>Brand Value:</w:t>
      </w:r>
      <w:r w:rsidRPr="00CD2A51">
        <w:rPr>
          <w:rFonts w:ascii="Arial" w:hAnsi="Arial" w:cs="Arial"/>
        </w:rPr>
        <w:t xml:space="preserve"> Ensures customer loyalty &amp; meets corporate social responsibility (CSR) obligations through Net-Zero initiatives &amp; innovations in plant-based menu offerings (Carroll, 1991; McDonald’s UK, 2021). </w:t>
      </w:r>
    </w:p>
    <w:p w14:paraId="044C85CF" w14:textId="77777777" w:rsidR="00042D37" w:rsidRPr="00CD2A51" w:rsidRDefault="00042D37" w:rsidP="00B942D4">
      <w:pPr>
        <w:pStyle w:val="ListParagraph"/>
        <w:jc w:val="both"/>
        <w:rPr>
          <w:rFonts w:ascii="Arial" w:hAnsi="Arial" w:cs="Arial"/>
        </w:rPr>
      </w:pPr>
    </w:p>
    <w:p w14:paraId="51CEE99C" w14:textId="77777777" w:rsidR="00B9392B" w:rsidRDefault="00B9392B" w:rsidP="00CD2A51">
      <w:pPr>
        <w:jc w:val="both"/>
        <w:rPr>
          <w:rFonts w:ascii="Arial" w:hAnsi="Arial" w:cs="Arial"/>
        </w:rPr>
      </w:pPr>
    </w:p>
    <w:p w14:paraId="73171B0F" w14:textId="4AD02444" w:rsidR="00523D25" w:rsidRPr="00523D25" w:rsidRDefault="00523D25" w:rsidP="00CD2A51">
      <w:pPr>
        <w:jc w:val="both"/>
        <w:rPr>
          <w:rFonts w:ascii="Arial" w:hAnsi="Arial" w:cs="Arial"/>
          <w:b/>
          <w:bCs/>
          <w:sz w:val="28"/>
          <w:szCs w:val="28"/>
        </w:rPr>
      </w:pPr>
      <w:r w:rsidRPr="00523D25">
        <w:rPr>
          <w:rFonts w:ascii="Arial" w:hAnsi="Arial" w:cs="Arial"/>
          <w:b/>
          <w:bCs/>
          <w:sz w:val="28"/>
          <w:szCs w:val="28"/>
        </w:rPr>
        <w:t xml:space="preserve">Section 2: Reflective Account </w:t>
      </w:r>
    </w:p>
    <w:p w14:paraId="43F0E451" w14:textId="77777777" w:rsidR="004468AC" w:rsidRDefault="00523D25" w:rsidP="00CD2A51">
      <w:pPr>
        <w:jc w:val="both"/>
        <w:rPr>
          <w:rFonts w:ascii="Arial" w:hAnsi="Arial" w:cs="Arial"/>
        </w:rPr>
      </w:pPr>
      <w:r>
        <w:rPr>
          <w:rFonts w:ascii="Arial" w:hAnsi="Arial" w:cs="Arial"/>
        </w:rPr>
        <w:t xml:space="preserve">This reflective account utilizes the Gibbs Reflective Cycle (Gibbs, 1988) to assess the methodology involved in researching &amp; implementing the strategic management analysis for McDonald’s Restaurants Limited (UK). </w:t>
      </w:r>
    </w:p>
    <w:p w14:paraId="490AF2F5" w14:textId="77EFC1F6" w:rsidR="00523D25" w:rsidRPr="0069226B" w:rsidRDefault="004468AC" w:rsidP="00CD2A51">
      <w:pPr>
        <w:jc w:val="both"/>
        <w:rPr>
          <w:rFonts w:ascii="Arial" w:hAnsi="Arial" w:cs="Arial"/>
          <w:b/>
          <w:bCs/>
          <w:i/>
          <w:iCs/>
          <w:u w:val="single"/>
        </w:rPr>
      </w:pPr>
      <w:r w:rsidRPr="0069226B">
        <w:rPr>
          <w:rFonts w:ascii="Arial" w:hAnsi="Arial" w:cs="Arial"/>
          <w:b/>
          <w:bCs/>
          <w:i/>
          <w:iCs/>
          <w:u w:val="single"/>
        </w:rPr>
        <w:t>1. Description</w:t>
      </w:r>
    </w:p>
    <w:p w14:paraId="46AFF7D5" w14:textId="466DA6AD" w:rsidR="004468AC" w:rsidRDefault="00204804" w:rsidP="00CD2A51">
      <w:pPr>
        <w:jc w:val="both"/>
        <w:rPr>
          <w:rFonts w:ascii="Arial" w:hAnsi="Arial" w:cs="Arial"/>
        </w:rPr>
      </w:pPr>
      <w:r w:rsidRPr="00204804">
        <w:rPr>
          <w:rFonts w:ascii="Arial" w:hAnsi="Arial" w:cs="Arial"/>
          <w:b/>
          <w:bCs/>
        </w:rPr>
        <w:t>Role &amp;</w:t>
      </w:r>
      <w:r w:rsidR="00161A07" w:rsidRPr="00204804">
        <w:rPr>
          <w:rFonts w:ascii="Arial" w:hAnsi="Arial" w:cs="Arial"/>
          <w:b/>
          <w:bCs/>
        </w:rPr>
        <w:t xml:space="preserve"> Objective:</w:t>
      </w:r>
      <w:r w:rsidR="00161A07">
        <w:rPr>
          <w:rFonts w:ascii="Arial" w:hAnsi="Arial" w:cs="Arial"/>
        </w:rPr>
        <w:t xml:space="preserve"> Served as a strategic consultant assessing </w:t>
      </w:r>
      <w:r>
        <w:rPr>
          <w:rFonts w:ascii="Arial" w:hAnsi="Arial" w:cs="Arial"/>
        </w:rPr>
        <w:t xml:space="preserve">McDonald’s UK’s competitive stance to provide the Board of Directors with actionable, evidence-based insights. </w:t>
      </w:r>
    </w:p>
    <w:p w14:paraId="435A153F" w14:textId="56E6DDBF" w:rsidR="00204804" w:rsidRDefault="00204804" w:rsidP="00CD2A51">
      <w:pPr>
        <w:jc w:val="both"/>
        <w:rPr>
          <w:rFonts w:ascii="Arial" w:hAnsi="Arial" w:cs="Arial"/>
        </w:rPr>
      </w:pPr>
      <w:r w:rsidRPr="00204804">
        <w:rPr>
          <w:rFonts w:ascii="Arial" w:hAnsi="Arial" w:cs="Arial"/>
          <w:b/>
          <w:bCs/>
        </w:rPr>
        <w:t xml:space="preserve">Methodological Integration: </w:t>
      </w:r>
      <w:r>
        <w:rPr>
          <w:rFonts w:ascii="Arial" w:hAnsi="Arial" w:cs="Arial"/>
        </w:rPr>
        <w:t xml:space="preserve">Integrated industry datasets (Lumina Intelligence) corporate disclosures, academic literature through essential strategic frameworks—PESTEL, Porter’s Five Forces, VRIO, &amp; the Balanced Scorecard (Barney, 1991; Kaplan &amp; Norton, 1992; Porter, 1985; McDonald’s UK, 2024).  </w:t>
      </w:r>
    </w:p>
    <w:p w14:paraId="2F996756" w14:textId="77777777" w:rsidR="00204804" w:rsidRDefault="00204804" w:rsidP="00CD2A51">
      <w:pPr>
        <w:jc w:val="both"/>
        <w:rPr>
          <w:rFonts w:ascii="Arial" w:hAnsi="Arial" w:cs="Arial"/>
        </w:rPr>
      </w:pPr>
    </w:p>
    <w:p w14:paraId="10929966" w14:textId="05FC1526" w:rsidR="004468AC" w:rsidRPr="0069226B" w:rsidRDefault="004468AC" w:rsidP="00CD2A51">
      <w:pPr>
        <w:jc w:val="both"/>
        <w:rPr>
          <w:rFonts w:ascii="Arial" w:hAnsi="Arial" w:cs="Arial"/>
          <w:b/>
          <w:bCs/>
          <w:i/>
          <w:iCs/>
          <w:u w:val="single"/>
        </w:rPr>
      </w:pPr>
      <w:r w:rsidRPr="0069226B">
        <w:rPr>
          <w:rFonts w:ascii="Arial" w:hAnsi="Arial" w:cs="Arial"/>
          <w:b/>
          <w:bCs/>
          <w:i/>
          <w:iCs/>
          <w:u w:val="single"/>
        </w:rPr>
        <w:t xml:space="preserve">2. Feeling </w:t>
      </w:r>
    </w:p>
    <w:p w14:paraId="4A8E71A4" w14:textId="77777777" w:rsidR="00441C5C" w:rsidRDefault="00441C5C" w:rsidP="00CD2A51">
      <w:pPr>
        <w:jc w:val="both"/>
        <w:rPr>
          <w:rFonts w:ascii="Arial" w:hAnsi="Arial" w:cs="Arial"/>
        </w:rPr>
      </w:pPr>
      <w:r w:rsidRPr="0074658F">
        <w:rPr>
          <w:rFonts w:ascii="Arial" w:hAnsi="Arial" w:cs="Arial"/>
          <w:b/>
          <w:bCs/>
        </w:rPr>
        <w:t>Consultative Transition:</w:t>
      </w:r>
      <w:r>
        <w:rPr>
          <w:rFonts w:ascii="Arial" w:hAnsi="Arial" w:cs="Arial"/>
        </w:rPr>
        <w:t xml:space="preserve"> Moving from an academic student viewpoint to an executive advisor position initially created cognitive dissonance, necessitating a shift from descriptive reporting to direct, evidence-based advisory output (</w:t>
      </w:r>
      <w:proofErr w:type="spellStart"/>
      <w:r>
        <w:rPr>
          <w:rFonts w:ascii="Arial" w:hAnsi="Arial" w:cs="Arial"/>
        </w:rPr>
        <w:t>Schien</w:t>
      </w:r>
      <w:proofErr w:type="spellEnd"/>
      <w:r>
        <w:rPr>
          <w:rFonts w:ascii="Arial" w:hAnsi="Arial" w:cs="Arial"/>
        </w:rPr>
        <w:t xml:space="preserve">, 1999). </w:t>
      </w:r>
    </w:p>
    <w:p w14:paraId="1E955655" w14:textId="493B3FEE" w:rsidR="001B2E72" w:rsidRDefault="00441C5C" w:rsidP="00CD2A51">
      <w:pPr>
        <w:jc w:val="both"/>
        <w:rPr>
          <w:rFonts w:ascii="Arial" w:hAnsi="Arial" w:cs="Arial"/>
        </w:rPr>
      </w:pPr>
      <w:r w:rsidRPr="0074658F">
        <w:rPr>
          <w:rFonts w:ascii="Arial" w:hAnsi="Arial" w:cs="Arial"/>
          <w:b/>
          <w:bCs/>
        </w:rPr>
        <w:lastRenderedPageBreak/>
        <w:t>Navigating Organizational Complexity:</w:t>
      </w:r>
      <w:r>
        <w:rPr>
          <w:rFonts w:ascii="Arial" w:hAnsi="Arial" w:cs="Arial"/>
        </w:rPr>
        <w:t xml:space="preserve"> Examining McDonald’s intricate Internationally Operated Market (IOM) matrix raised initial concerns about Level 7 depth requirements, which were addressed by anchoring the analysis in empirical data (e.g., the </w:t>
      </w:r>
      <w:r w:rsidRPr="00441C5C">
        <w:rPr>
          <w:rFonts w:ascii="Arial" w:hAnsi="Arial" w:cs="Arial"/>
        </w:rPr>
        <w:t>£</w:t>
      </w:r>
      <w:r>
        <w:rPr>
          <w:rFonts w:ascii="Arial" w:hAnsi="Arial" w:cs="Arial"/>
        </w:rPr>
        <w:t xml:space="preserve">1 billion capital expansion planned for 2024-2028) (McDonald’s UK, 2024).  </w:t>
      </w:r>
      <w:r w:rsidR="004468AC">
        <w:rPr>
          <w:rFonts w:ascii="Arial" w:hAnsi="Arial" w:cs="Arial"/>
        </w:rPr>
        <w:t xml:space="preserve"> </w:t>
      </w:r>
    </w:p>
    <w:p w14:paraId="6C5BE553" w14:textId="77777777" w:rsidR="00EE196A" w:rsidRPr="0069226B" w:rsidRDefault="001B2E72" w:rsidP="00CD2A51">
      <w:pPr>
        <w:jc w:val="both"/>
        <w:rPr>
          <w:rFonts w:ascii="Arial" w:hAnsi="Arial" w:cs="Arial"/>
          <w:b/>
          <w:bCs/>
          <w:i/>
          <w:iCs/>
          <w:u w:val="single"/>
        </w:rPr>
      </w:pPr>
      <w:r w:rsidRPr="0069226B">
        <w:rPr>
          <w:rFonts w:ascii="Arial" w:hAnsi="Arial" w:cs="Arial"/>
          <w:b/>
          <w:bCs/>
          <w:i/>
          <w:iCs/>
          <w:u w:val="single"/>
        </w:rPr>
        <w:t>3.</w:t>
      </w:r>
      <w:r w:rsidR="00EE196A" w:rsidRPr="0069226B">
        <w:rPr>
          <w:rFonts w:ascii="Arial" w:hAnsi="Arial" w:cs="Arial"/>
          <w:b/>
          <w:bCs/>
          <w:i/>
          <w:iCs/>
          <w:u w:val="single"/>
        </w:rPr>
        <w:t xml:space="preserve"> Evaluation</w:t>
      </w:r>
    </w:p>
    <w:p w14:paraId="17BE4C99" w14:textId="4E284CF9" w:rsidR="00581B4B" w:rsidRDefault="00D74CE1" w:rsidP="00CD2A51">
      <w:pPr>
        <w:jc w:val="both"/>
        <w:rPr>
          <w:rFonts w:ascii="Arial" w:hAnsi="Arial" w:cs="Arial"/>
        </w:rPr>
      </w:pPr>
      <w:r w:rsidRPr="00C30F03">
        <w:rPr>
          <w:rFonts w:ascii="Arial" w:hAnsi="Arial" w:cs="Arial"/>
          <w:b/>
          <w:bCs/>
        </w:rPr>
        <w:t>Analytical Strengths:</w:t>
      </w:r>
      <w:r>
        <w:rPr>
          <w:rFonts w:ascii="Arial" w:hAnsi="Arial" w:cs="Arial"/>
        </w:rPr>
        <w:t xml:space="preserve"> Integrating diverse QSR market data provided profound insights into changes in off-premises consumer behavior and reliance on delivery aggregators (Gilbert, 2022). </w:t>
      </w:r>
    </w:p>
    <w:p w14:paraId="42B6FB04" w14:textId="1C6823FC" w:rsidR="00D74CE1" w:rsidRDefault="00D74CE1" w:rsidP="00CD2A51">
      <w:pPr>
        <w:jc w:val="both"/>
        <w:rPr>
          <w:rFonts w:ascii="Arial" w:hAnsi="Arial" w:cs="Arial"/>
        </w:rPr>
      </w:pPr>
      <w:r w:rsidRPr="00C30F03">
        <w:rPr>
          <w:rFonts w:ascii="Arial" w:hAnsi="Arial" w:cs="Arial"/>
          <w:b/>
          <w:bCs/>
        </w:rPr>
        <w:t>Strategic Challenges:</w:t>
      </w:r>
      <w:r>
        <w:rPr>
          <w:rFonts w:ascii="Arial" w:hAnsi="Arial" w:cs="Arial"/>
        </w:rPr>
        <w:t xml:space="preserve"> Condensing vast corporate governance disclosures into concise, executive-level strategic insights necessitated ongoing revisions to maintain a balance between academic precision and operational flexibility (Mintzberg, 1994).  </w:t>
      </w:r>
    </w:p>
    <w:p w14:paraId="26C7F5C3" w14:textId="77777777" w:rsidR="00581B4B" w:rsidRPr="0069226B" w:rsidRDefault="00581B4B" w:rsidP="00CD2A51">
      <w:pPr>
        <w:jc w:val="both"/>
        <w:rPr>
          <w:rFonts w:ascii="Arial" w:hAnsi="Arial" w:cs="Arial"/>
          <w:b/>
          <w:bCs/>
          <w:i/>
          <w:iCs/>
          <w:u w:val="single"/>
        </w:rPr>
      </w:pPr>
      <w:r w:rsidRPr="0069226B">
        <w:rPr>
          <w:rFonts w:ascii="Arial" w:hAnsi="Arial" w:cs="Arial"/>
          <w:b/>
          <w:bCs/>
          <w:i/>
          <w:iCs/>
          <w:u w:val="single"/>
        </w:rPr>
        <w:t xml:space="preserve">4. Analysis </w:t>
      </w:r>
    </w:p>
    <w:p w14:paraId="7449F9B8" w14:textId="624299F7" w:rsidR="004468AC" w:rsidRDefault="00C30F03" w:rsidP="00CD2A51">
      <w:pPr>
        <w:jc w:val="both"/>
        <w:rPr>
          <w:rFonts w:ascii="Arial" w:hAnsi="Arial" w:cs="Arial"/>
        </w:rPr>
      </w:pPr>
      <w:r w:rsidRPr="00885D33">
        <w:rPr>
          <w:rFonts w:ascii="Arial" w:hAnsi="Arial" w:cs="Arial"/>
          <w:b/>
          <w:bCs/>
        </w:rPr>
        <w:t xml:space="preserve">Exploratory Shift: </w:t>
      </w:r>
      <w:r>
        <w:rPr>
          <w:rFonts w:ascii="Arial" w:hAnsi="Arial" w:cs="Arial"/>
        </w:rPr>
        <w:t xml:space="preserve">Moved the focus of analysis from identifying “what” happens to understanding “why” &amp; “how” competitive advantages are maintained. </w:t>
      </w:r>
    </w:p>
    <w:p w14:paraId="5D0AA8AA" w14:textId="587BDEEC" w:rsidR="00C30F03" w:rsidRDefault="00C30F03" w:rsidP="00CD2A51">
      <w:pPr>
        <w:jc w:val="both"/>
        <w:rPr>
          <w:rFonts w:ascii="Arial" w:hAnsi="Arial" w:cs="Arial"/>
        </w:rPr>
      </w:pPr>
      <w:r w:rsidRPr="00885D33">
        <w:rPr>
          <w:rFonts w:ascii="Arial" w:hAnsi="Arial" w:cs="Arial"/>
          <w:b/>
          <w:bCs/>
        </w:rPr>
        <w:t>Resource-Based View (RBV):</w:t>
      </w:r>
      <w:r>
        <w:rPr>
          <w:rFonts w:ascii="Arial" w:hAnsi="Arial" w:cs="Arial"/>
        </w:rPr>
        <w:t xml:space="preserve"> An assessment of the “Three-Legged Stool” model revealed that McDonald’s primary VRIO advantage is derived from unique relational capital and </w:t>
      </w:r>
      <w:r w:rsidR="00885D33">
        <w:rPr>
          <w:rFonts w:ascii="Arial" w:hAnsi="Arial" w:cs="Arial"/>
        </w:rPr>
        <w:t xml:space="preserve">social complexity within its corporate, franchisee, and supplier networks (Barney, 1991; Love, 1995; </w:t>
      </w:r>
      <w:proofErr w:type="spellStart"/>
      <w:r w:rsidR="00885D33">
        <w:rPr>
          <w:rFonts w:ascii="Arial" w:hAnsi="Arial" w:cs="Arial"/>
        </w:rPr>
        <w:t>Vitasek</w:t>
      </w:r>
      <w:proofErr w:type="spellEnd"/>
      <w:r w:rsidR="00885D33">
        <w:rPr>
          <w:rFonts w:ascii="Arial" w:hAnsi="Arial" w:cs="Arial"/>
        </w:rPr>
        <w:t xml:space="preserve"> &amp; </w:t>
      </w:r>
      <w:proofErr w:type="spellStart"/>
      <w:r w:rsidR="00885D33">
        <w:rPr>
          <w:rFonts w:ascii="Arial" w:hAnsi="Arial" w:cs="Arial"/>
        </w:rPr>
        <w:t>Manrodt</w:t>
      </w:r>
      <w:proofErr w:type="spellEnd"/>
      <w:r w:rsidR="00885D33">
        <w:rPr>
          <w:rFonts w:ascii="Arial" w:hAnsi="Arial" w:cs="Arial"/>
        </w:rPr>
        <w:t xml:space="preserve">, 2022). </w:t>
      </w:r>
    </w:p>
    <w:p w14:paraId="332314A0" w14:textId="63BC86B6" w:rsidR="00885D33" w:rsidRDefault="00885D33" w:rsidP="00CD2A51">
      <w:pPr>
        <w:jc w:val="both"/>
        <w:rPr>
          <w:rFonts w:ascii="Arial" w:hAnsi="Arial" w:cs="Arial"/>
        </w:rPr>
      </w:pPr>
      <w:r w:rsidRPr="00885D33">
        <w:rPr>
          <w:rFonts w:ascii="Arial" w:hAnsi="Arial" w:cs="Arial"/>
          <w:b/>
          <w:bCs/>
        </w:rPr>
        <w:t>Balanced Scorecard &amp; AI Synergy:</w:t>
      </w:r>
      <w:r>
        <w:rPr>
          <w:rFonts w:ascii="Arial" w:hAnsi="Arial" w:cs="Arial"/>
        </w:rPr>
        <w:t xml:space="preserve"> Linking governance and inclusion efforts to the Learning &amp; Growth perspectives illustrates how social capital safeguards brand equity (Kaplan &amp; Norton, 1996). Additionally, the incorporation of AI in inventory and labor scheduling transforms technology from a mere support role to a key factor in achieving cost leadership (Porter, 1985; AP Capital Research, 2025). </w:t>
      </w:r>
    </w:p>
    <w:p w14:paraId="4B860084" w14:textId="64AD02B1" w:rsidR="001A43DA" w:rsidRPr="0069226B" w:rsidRDefault="001A43DA" w:rsidP="00CD2A51">
      <w:pPr>
        <w:jc w:val="both"/>
        <w:rPr>
          <w:rFonts w:ascii="Arial" w:hAnsi="Arial" w:cs="Arial"/>
          <w:b/>
          <w:bCs/>
          <w:i/>
          <w:iCs/>
          <w:u w:val="single"/>
        </w:rPr>
      </w:pPr>
      <w:r w:rsidRPr="0069226B">
        <w:rPr>
          <w:rFonts w:ascii="Arial" w:hAnsi="Arial" w:cs="Arial"/>
          <w:b/>
          <w:bCs/>
          <w:i/>
          <w:iCs/>
          <w:u w:val="single"/>
        </w:rPr>
        <w:t>5. Conclusion</w:t>
      </w:r>
    </w:p>
    <w:p w14:paraId="6B7C3683" w14:textId="77777777" w:rsidR="00885D33" w:rsidRDefault="00885D33" w:rsidP="00CD2A51">
      <w:pPr>
        <w:jc w:val="both"/>
        <w:rPr>
          <w:rFonts w:ascii="Arial" w:hAnsi="Arial" w:cs="Arial"/>
        </w:rPr>
      </w:pPr>
      <w:r w:rsidRPr="0072580C">
        <w:rPr>
          <w:rFonts w:ascii="Arial" w:hAnsi="Arial" w:cs="Arial"/>
          <w:b/>
          <w:bCs/>
        </w:rPr>
        <w:t>Theory-to Practice Synthesis:</w:t>
      </w:r>
      <w:r>
        <w:rPr>
          <w:rFonts w:ascii="Arial" w:hAnsi="Arial" w:cs="Arial"/>
        </w:rPr>
        <w:t xml:space="preserve"> Emphasized that a sustainable strategic advantage relies on the alignment of multi-stakeholder networks rather than merely on short-term financial results (Freeman, 1984; Johnson, Scholes &amp; Whittington, 2008). </w:t>
      </w:r>
    </w:p>
    <w:p w14:paraId="42E2141B" w14:textId="77777777" w:rsidR="00885D33" w:rsidRDefault="00885D33" w:rsidP="00CD2A51">
      <w:pPr>
        <w:jc w:val="both"/>
        <w:rPr>
          <w:rFonts w:ascii="Arial" w:hAnsi="Arial" w:cs="Arial"/>
        </w:rPr>
      </w:pPr>
      <w:r w:rsidRPr="0072580C">
        <w:rPr>
          <w:rFonts w:ascii="Arial" w:hAnsi="Arial" w:cs="Arial"/>
          <w:b/>
          <w:bCs/>
        </w:rPr>
        <w:t>Strategic Risk Mitigation:</w:t>
      </w:r>
      <w:r>
        <w:rPr>
          <w:rFonts w:ascii="Arial" w:hAnsi="Arial" w:cs="Arial"/>
        </w:rPr>
        <w:t xml:space="preserve"> Established that ESG frameworks such as Plan for Change functions as effective tools for mitigating risks associated with evolving regulatory and socio-cultural demands (Carroll, 1991).</w:t>
      </w:r>
    </w:p>
    <w:p w14:paraId="1899BE98" w14:textId="0834F4E9" w:rsidR="001A43DA" w:rsidRDefault="00885D33" w:rsidP="00CD2A51">
      <w:pPr>
        <w:jc w:val="both"/>
        <w:rPr>
          <w:rFonts w:ascii="Arial" w:hAnsi="Arial" w:cs="Arial"/>
        </w:rPr>
      </w:pPr>
      <w:r w:rsidRPr="0072580C">
        <w:rPr>
          <w:rFonts w:ascii="Arial" w:hAnsi="Arial" w:cs="Arial"/>
          <w:b/>
          <w:bCs/>
        </w:rPr>
        <w:t>Future Practice:</w:t>
      </w:r>
      <w:r>
        <w:rPr>
          <w:rFonts w:ascii="Arial" w:hAnsi="Arial" w:cs="Arial"/>
        </w:rPr>
        <w:t xml:space="preserve"> Acknowledged that strategic management is a dynamic &amp; ongoing capability that necessitates continuous market sensing &amp; realignment of value propositions (Teece, Pisano &amp; </w:t>
      </w:r>
      <w:proofErr w:type="spellStart"/>
      <w:r>
        <w:rPr>
          <w:rFonts w:ascii="Arial" w:hAnsi="Arial" w:cs="Arial"/>
        </w:rPr>
        <w:t>Shuen</w:t>
      </w:r>
      <w:proofErr w:type="spellEnd"/>
      <w:r>
        <w:rPr>
          <w:rFonts w:ascii="Arial" w:hAnsi="Arial" w:cs="Arial"/>
        </w:rPr>
        <w:t xml:space="preserve">, 1997).  </w:t>
      </w:r>
    </w:p>
    <w:p w14:paraId="6A9BE4C3" w14:textId="77777777" w:rsidR="00885D33" w:rsidRDefault="00885D33" w:rsidP="00CD2A51">
      <w:pPr>
        <w:jc w:val="both"/>
        <w:rPr>
          <w:rFonts w:ascii="Arial" w:hAnsi="Arial" w:cs="Arial"/>
        </w:rPr>
      </w:pPr>
    </w:p>
    <w:p w14:paraId="4734A113" w14:textId="7D3EBBC2" w:rsidR="004468AC" w:rsidRPr="0069226B" w:rsidRDefault="00F0674C" w:rsidP="00CD2A51">
      <w:pPr>
        <w:jc w:val="both"/>
        <w:rPr>
          <w:rFonts w:ascii="Arial" w:hAnsi="Arial" w:cs="Arial"/>
          <w:b/>
          <w:bCs/>
          <w:i/>
          <w:iCs/>
          <w:u w:val="single"/>
        </w:rPr>
      </w:pPr>
      <w:r w:rsidRPr="0069226B">
        <w:rPr>
          <w:rFonts w:ascii="Arial" w:hAnsi="Arial" w:cs="Arial"/>
          <w:b/>
          <w:bCs/>
          <w:i/>
          <w:iCs/>
          <w:u w:val="single"/>
        </w:rPr>
        <w:lastRenderedPageBreak/>
        <w:t>6. Action Plan</w:t>
      </w:r>
    </w:p>
    <w:p w14:paraId="6051E5A6" w14:textId="15CD3883" w:rsidR="00F0674C" w:rsidRDefault="00F0674C" w:rsidP="00CD2A51">
      <w:pPr>
        <w:jc w:val="both"/>
        <w:rPr>
          <w:rFonts w:ascii="Arial" w:hAnsi="Arial" w:cs="Arial"/>
        </w:rPr>
      </w:pPr>
      <w:r>
        <w:rPr>
          <w:rFonts w:ascii="Arial" w:hAnsi="Arial" w:cs="Arial"/>
        </w:rPr>
        <w:t xml:space="preserve">To enhance my future performance in strategic consulting, I will: </w:t>
      </w:r>
    </w:p>
    <w:p w14:paraId="179635CB" w14:textId="58FC5341" w:rsidR="00F0674C" w:rsidRPr="00042D37" w:rsidRDefault="00F0674C" w:rsidP="00042D37">
      <w:pPr>
        <w:pStyle w:val="ListParagraph"/>
        <w:numPr>
          <w:ilvl w:val="0"/>
          <w:numId w:val="39"/>
        </w:numPr>
        <w:jc w:val="both"/>
        <w:rPr>
          <w:rFonts w:ascii="Arial" w:hAnsi="Arial" w:cs="Arial"/>
        </w:rPr>
      </w:pPr>
      <w:r w:rsidRPr="00042D37">
        <w:rPr>
          <w:rFonts w:ascii="Arial" w:hAnsi="Arial" w:cs="Arial"/>
          <w:b/>
          <w:bCs/>
        </w:rPr>
        <w:t>Access Specialized Datasets Early:</w:t>
      </w:r>
      <w:r w:rsidRPr="00042D37">
        <w:rPr>
          <w:rFonts w:ascii="Arial" w:hAnsi="Arial" w:cs="Arial"/>
        </w:rPr>
        <w:t xml:space="preserve"> Integrate specialized industry intelligence at an earlier stage in the research process to expedite data triangulation (Saunders, Lewis &amp; Thornhill, 2019). </w:t>
      </w:r>
    </w:p>
    <w:p w14:paraId="60244531" w14:textId="39F27C94" w:rsidR="00F0674C" w:rsidRPr="00042D37" w:rsidRDefault="00F0674C" w:rsidP="00042D37">
      <w:pPr>
        <w:pStyle w:val="ListParagraph"/>
        <w:numPr>
          <w:ilvl w:val="0"/>
          <w:numId w:val="39"/>
        </w:numPr>
        <w:jc w:val="both"/>
        <w:rPr>
          <w:rFonts w:ascii="Arial" w:hAnsi="Arial" w:cs="Arial"/>
        </w:rPr>
      </w:pPr>
      <w:r w:rsidRPr="00042D37">
        <w:rPr>
          <w:rFonts w:ascii="Arial" w:hAnsi="Arial" w:cs="Arial"/>
          <w:b/>
          <w:bCs/>
        </w:rPr>
        <w:t>Monitor Regulatory Trends:</w:t>
      </w:r>
      <w:r w:rsidRPr="00042D37">
        <w:rPr>
          <w:rFonts w:ascii="Arial" w:hAnsi="Arial" w:cs="Arial"/>
        </w:rPr>
        <w:t xml:space="preserve"> Observe the evolving policies in the UK, including HFSS restrictions and ESG compliance metrics, to foresee macro-environmental changes (Johnson, Scholes &amp; Whittington, 2008).</w:t>
      </w:r>
    </w:p>
    <w:p w14:paraId="46C73A0E" w14:textId="6B6E1A91" w:rsidR="00F0674C" w:rsidRPr="00042D37" w:rsidRDefault="00F0674C" w:rsidP="00042D37">
      <w:pPr>
        <w:pStyle w:val="ListParagraph"/>
        <w:numPr>
          <w:ilvl w:val="0"/>
          <w:numId w:val="39"/>
        </w:numPr>
        <w:jc w:val="both"/>
        <w:rPr>
          <w:rFonts w:ascii="Arial" w:hAnsi="Arial" w:cs="Arial"/>
        </w:rPr>
      </w:pPr>
      <w:r w:rsidRPr="00042D37">
        <w:rPr>
          <w:rFonts w:ascii="Arial" w:hAnsi="Arial" w:cs="Arial"/>
          <w:b/>
          <w:bCs/>
        </w:rPr>
        <w:t>Develop Judgment Under Ambiguity:</w:t>
      </w:r>
      <w:r w:rsidRPr="00042D37">
        <w:rPr>
          <w:rFonts w:ascii="Arial" w:hAnsi="Arial" w:cs="Arial"/>
        </w:rPr>
        <w:t xml:space="preserve"> Strengthen my critical reasoning skills to create decision-making frameworks when empirical data is lacking (Eisenhardt &amp; Zbaracki, 1992). </w:t>
      </w:r>
    </w:p>
    <w:p w14:paraId="25409A2E" w14:textId="067DE0AC" w:rsidR="00F0674C" w:rsidRDefault="00F0674C" w:rsidP="00042D37">
      <w:pPr>
        <w:pStyle w:val="ListParagraph"/>
        <w:numPr>
          <w:ilvl w:val="0"/>
          <w:numId w:val="39"/>
        </w:numPr>
        <w:jc w:val="both"/>
        <w:rPr>
          <w:rFonts w:ascii="Arial" w:hAnsi="Arial" w:cs="Arial"/>
        </w:rPr>
      </w:pPr>
      <w:r w:rsidRPr="00042D37">
        <w:rPr>
          <w:rFonts w:ascii="Arial" w:hAnsi="Arial" w:cs="Arial"/>
          <w:b/>
          <w:bCs/>
        </w:rPr>
        <w:t>Enhance Executive Visuals:</w:t>
      </w:r>
      <w:r w:rsidRPr="00042D37">
        <w:rPr>
          <w:rFonts w:ascii="Arial" w:hAnsi="Arial" w:cs="Arial"/>
        </w:rPr>
        <w:t xml:space="preserve"> Employ structured visual tools (such as VRIO matrices &amp; Ansoff decision trees) to effectively convey complex strategic decisions to executive boards (Minto, 2009). </w:t>
      </w:r>
    </w:p>
    <w:p w14:paraId="3B2457CD" w14:textId="77777777" w:rsidR="00B9392B" w:rsidRDefault="00B9392B" w:rsidP="00B9392B">
      <w:pPr>
        <w:jc w:val="both"/>
        <w:rPr>
          <w:rFonts w:ascii="Arial" w:hAnsi="Arial" w:cs="Arial"/>
        </w:rPr>
      </w:pPr>
    </w:p>
    <w:p w14:paraId="02FDA3B7" w14:textId="77777777" w:rsidR="00B9392B" w:rsidRDefault="00B9392B" w:rsidP="00B9392B">
      <w:pPr>
        <w:jc w:val="both"/>
        <w:rPr>
          <w:rFonts w:ascii="Arial" w:hAnsi="Arial" w:cs="Arial"/>
        </w:rPr>
      </w:pPr>
    </w:p>
    <w:p w14:paraId="272AEC0A" w14:textId="77777777" w:rsidR="00B9392B" w:rsidRDefault="00B9392B" w:rsidP="00B9392B">
      <w:pPr>
        <w:jc w:val="both"/>
        <w:rPr>
          <w:rFonts w:ascii="Arial" w:hAnsi="Arial" w:cs="Arial"/>
        </w:rPr>
      </w:pPr>
    </w:p>
    <w:p w14:paraId="125E5875" w14:textId="77777777" w:rsidR="00B9392B" w:rsidRDefault="00B9392B" w:rsidP="00B9392B">
      <w:pPr>
        <w:jc w:val="both"/>
        <w:rPr>
          <w:rFonts w:ascii="Arial" w:hAnsi="Arial" w:cs="Arial"/>
        </w:rPr>
      </w:pPr>
    </w:p>
    <w:p w14:paraId="6861CA86" w14:textId="77777777" w:rsidR="0072580C" w:rsidRDefault="0072580C" w:rsidP="00B9392B">
      <w:pPr>
        <w:jc w:val="both"/>
        <w:rPr>
          <w:rFonts w:ascii="Arial" w:hAnsi="Arial" w:cs="Arial"/>
        </w:rPr>
      </w:pPr>
    </w:p>
    <w:p w14:paraId="3C428BB4" w14:textId="77777777" w:rsidR="0072580C" w:rsidRDefault="0072580C" w:rsidP="00B9392B">
      <w:pPr>
        <w:jc w:val="both"/>
        <w:rPr>
          <w:rFonts w:ascii="Arial" w:hAnsi="Arial" w:cs="Arial"/>
        </w:rPr>
      </w:pPr>
    </w:p>
    <w:p w14:paraId="094A2143" w14:textId="77777777" w:rsidR="0072580C" w:rsidRDefault="0072580C" w:rsidP="00B9392B">
      <w:pPr>
        <w:jc w:val="both"/>
        <w:rPr>
          <w:rFonts w:ascii="Arial" w:hAnsi="Arial" w:cs="Arial"/>
        </w:rPr>
      </w:pPr>
    </w:p>
    <w:p w14:paraId="77FF2ABB" w14:textId="77777777" w:rsidR="0072580C" w:rsidRDefault="0072580C" w:rsidP="00B9392B">
      <w:pPr>
        <w:jc w:val="both"/>
        <w:rPr>
          <w:rFonts w:ascii="Arial" w:hAnsi="Arial" w:cs="Arial"/>
        </w:rPr>
      </w:pPr>
    </w:p>
    <w:p w14:paraId="7F093A87" w14:textId="77777777" w:rsidR="0072580C" w:rsidRDefault="0072580C" w:rsidP="00B9392B">
      <w:pPr>
        <w:jc w:val="both"/>
        <w:rPr>
          <w:rFonts w:ascii="Arial" w:hAnsi="Arial" w:cs="Arial"/>
        </w:rPr>
      </w:pPr>
    </w:p>
    <w:p w14:paraId="38576315" w14:textId="77777777" w:rsidR="0072580C" w:rsidRDefault="0072580C" w:rsidP="00B9392B">
      <w:pPr>
        <w:jc w:val="both"/>
        <w:rPr>
          <w:rFonts w:ascii="Arial" w:hAnsi="Arial" w:cs="Arial"/>
        </w:rPr>
      </w:pPr>
    </w:p>
    <w:p w14:paraId="6A76EE0D" w14:textId="77777777" w:rsidR="0072580C" w:rsidRDefault="0072580C" w:rsidP="00B9392B">
      <w:pPr>
        <w:jc w:val="both"/>
        <w:rPr>
          <w:rFonts w:ascii="Arial" w:hAnsi="Arial" w:cs="Arial"/>
        </w:rPr>
      </w:pPr>
    </w:p>
    <w:p w14:paraId="1DF78567" w14:textId="77777777" w:rsidR="0072580C" w:rsidRDefault="0072580C" w:rsidP="00B9392B">
      <w:pPr>
        <w:jc w:val="both"/>
        <w:rPr>
          <w:rFonts w:ascii="Arial" w:hAnsi="Arial" w:cs="Arial"/>
        </w:rPr>
      </w:pPr>
    </w:p>
    <w:p w14:paraId="22DED423" w14:textId="77777777" w:rsidR="0072580C" w:rsidRDefault="0072580C" w:rsidP="00B9392B">
      <w:pPr>
        <w:jc w:val="both"/>
        <w:rPr>
          <w:rFonts w:ascii="Arial" w:hAnsi="Arial" w:cs="Arial"/>
        </w:rPr>
      </w:pPr>
    </w:p>
    <w:p w14:paraId="2F670924" w14:textId="77777777" w:rsidR="0072580C" w:rsidRDefault="0072580C" w:rsidP="00B9392B">
      <w:pPr>
        <w:jc w:val="both"/>
        <w:rPr>
          <w:rFonts w:ascii="Arial" w:hAnsi="Arial" w:cs="Arial"/>
        </w:rPr>
      </w:pPr>
    </w:p>
    <w:p w14:paraId="2206544B" w14:textId="77777777" w:rsidR="0072580C" w:rsidRDefault="0072580C" w:rsidP="00B9392B">
      <w:pPr>
        <w:jc w:val="both"/>
        <w:rPr>
          <w:rFonts w:ascii="Arial" w:hAnsi="Arial" w:cs="Arial"/>
        </w:rPr>
      </w:pPr>
    </w:p>
    <w:p w14:paraId="11AFD547" w14:textId="77777777" w:rsidR="0072580C" w:rsidRDefault="0072580C" w:rsidP="00B9392B">
      <w:pPr>
        <w:jc w:val="both"/>
        <w:rPr>
          <w:rFonts w:ascii="Arial" w:hAnsi="Arial" w:cs="Arial"/>
        </w:rPr>
      </w:pPr>
    </w:p>
    <w:p w14:paraId="2B8266CC" w14:textId="6D0A0344" w:rsidR="00B9392B" w:rsidRPr="00270D13" w:rsidRDefault="00B9392B" w:rsidP="00270D13">
      <w:pPr>
        <w:tabs>
          <w:tab w:val="left" w:pos="3069"/>
        </w:tabs>
        <w:jc w:val="both"/>
        <w:rPr>
          <w:rFonts w:ascii="Arial" w:hAnsi="Arial" w:cs="Arial"/>
          <w:b/>
          <w:bCs/>
          <w:sz w:val="28"/>
          <w:szCs w:val="28"/>
          <w:u w:val="single"/>
        </w:rPr>
      </w:pPr>
      <w:r w:rsidRPr="00270D13">
        <w:rPr>
          <w:rFonts w:ascii="Arial" w:hAnsi="Arial" w:cs="Arial"/>
          <w:b/>
          <w:bCs/>
          <w:sz w:val="28"/>
          <w:szCs w:val="28"/>
          <w:u w:val="single"/>
        </w:rPr>
        <w:lastRenderedPageBreak/>
        <w:t>3. Reference Lis</w:t>
      </w:r>
      <w:r w:rsidR="0038510F">
        <w:rPr>
          <w:rFonts w:ascii="Arial" w:hAnsi="Arial" w:cs="Arial"/>
          <w:b/>
          <w:bCs/>
          <w:sz w:val="28"/>
          <w:szCs w:val="28"/>
          <w:u w:val="single"/>
        </w:rPr>
        <w:t xml:space="preserve">t </w:t>
      </w:r>
    </w:p>
    <w:p w14:paraId="7A71A936" w14:textId="739D633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Abdillah, W. and Diana, A. (2018) </w:t>
      </w:r>
      <w:r w:rsidRPr="002633C9">
        <w:rPr>
          <w:rFonts w:ascii="Arial" w:hAnsi="Arial" w:cs="Arial"/>
          <w:i/>
          <w:iCs/>
        </w:rPr>
        <w:t>Strategic Management Concepts</w:t>
      </w:r>
      <w:r w:rsidRPr="002633C9">
        <w:rPr>
          <w:rFonts w:ascii="Arial" w:hAnsi="Arial" w:cs="Arial"/>
        </w:rPr>
        <w:t xml:space="preserve">. Jakarta: </w:t>
      </w:r>
      <w:proofErr w:type="spellStart"/>
      <w:r w:rsidRPr="002633C9">
        <w:rPr>
          <w:rFonts w:ascii="Arial" w:hAnsi="Arial" w:cs="Arial"/>
        </w:rPr>
        <w:t>Penerbit</w:t>
      </w:r>
      <w:proofErr w:type="spellEnd"/>
      <w:r w:rsidRPr="002633C9">
        <w:rPr>
          <w:rFonts w:ascii="Arial" w:hAnsi="Arial" w:cs="Arial"/>
        </w:rPr>
        <w:t xml:space="preserve"> Andi.</w:t>
      </w:r>
    </w:p>
    <w:p w14:paraId="75757254" w14:textId="3B371DB8"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AMW (2025) </w:t>
      </w:r>
      <w:r w:rsidRPr="002633C9">
        <w:rPr>
          <w:rFonts w:ascii="Arial" w:hAnsi="Arial" w:cs="Arial"/>
          <w:i/>
          <w:iCs/>
        </w:rPr>
        <w:t>Digital Loyalty and Customer Lifetime Value in QSR</w:t>
      </w:r>
      <w:r w:rsidRPr="002633C9">
        <w:rPr>
          <w:rFonts w:ascii="Arial" w:hAnsi="Arial" w:cs="Arial"/>
        </w:rPr>
        <w:t>. London: AMW Market Insights.</w:t>
      </w:r>
    </w:p>
    <w:p w14:paraId="35AFE824" w14:textId="3163116D"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Ansoff, H. I. (1957) 'Strategies for diversification', </w:t>
      </w:r>
      <w:r w:rsidRPr="002633C9">
        <w:rPr>
          <w:rFonts w:ascii="Arial" w:hAnsi="Arial" w:cs="Arial"/>
          <w:i/>
          <w:iCs/>
        </w:rPr>
        <w:t>Harvard Business Review</w:t>
      </w:r>
      <w:r w:rsidRPr="002633C9">
        <w:rPr>
          <w:rFonts w:ascii="Arial" w:hAnsi="Arial" w:cs="Arial"/>
        </w:rPr>
        <w:t>, 35(5), pp. 113–124.</w:t>
      </w:r>
    </w:p>
    <w:p w14:paraId="38698F03" w14:textId="2BA65584"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Ansoff, H. I., Kipley, D., Lewis, A. O., Helm-Stevens, R. and Ansoff, R. (2018) </w:t>
      </w:r>
      <w:r w:rsidRPr="002633C9">
        <w:rPr>
          <w:rFonts w:ascii="Arial" w:hAnsi="Arial" w:cs="Arial"/>
          <w:i/>
          <w:iCs/>
        </w:rPr>
        <w:t>Implanting Strategic Management</w:t>
      </w:r>
      <w:r w:rsidRPr="002633C9">
        <w:rPr>
          <w:rFonts w:ascii="Arial" w:hAnsi="Arial" w:cs="Arial"/>
        </w:rPr>
        <w:t xml:space="preserve">. 3rd </w:t>
      </w:r>
      <w:proofErr w:type="spellStart"/>
      <w:r w:rsidRPr="002633C9">
        <w:rPr>
          <w:rFonts w:ascii="Arial" w:hAnsi="Arial" w:cs="Arial"/>
        </w:rPr>
        <w:t>edn</w:t>
      </w:r>
      <w:proofErr w:type="spellEnd"/>
      <w:r w:rsidRPr="002633C9">
        <w:rPr>
          <w:rFonts w:ascii="Arial" w:hAnsi="Arial" w:cs="Arial"/>
        </w:rPr>
        <w:t>. Cham: Springer.</w:t>
      </w:r>
    </w:p>
    <w:p w14:paraId="44A02913" w14:textId="018FECA5"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AP Capital Research (2025) </w:t>
      </w:r>
      <w:r w:rsidRPr="002633C9">
        <w:rPr>
          <w:rFonts w:ascii="Arial" w:hAnsi="Arial" w:cs="Arial"/>
          <w:i/>
          <w:iCs/>
        </w:rPr>
        <w:t>McDonald’s Corporation: AI and Digital Transformation Analysis</w:t>
      </w:r>
      <w:r w:rsidRPr="002633C9">
        <w:rPr>
          <w:rFonts w:ascii="Arial" w:hAnsi="Arial" w:cs="Arial"/>
        </w:rPr>
        <w:t>. London: AP Capital.</w:t>
      </w:r>
    </w:p>
    <w:p w14:paraId="4F54A694" w14:textId="4927ED29"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Awadallah, E. (2024) </w:t>
      </w:r>
      <w:r w:rsidRPr="002633C9">
        <w:rPr>
          <w:rFonts w:ascii="Arial" w:hAnsi="Arial" w:cs="Arial"/>
          <w:i/>
          <w:iCs/>
        </w:rPr>
        <w:t>Performance Management Frameworks in Modern Enterprises</w:t>
      </w:r>
      <w:r w:rsidRPr="002633C9">
        <w:rPr>
          <w:rFonts w:ascii="Arial" w:hAnsi="Arial" w:cs="Arial"/>
        </w:rPr>
        <w:t>. Oxford: Oxford University Press.</w:t>
      </w:r>
    </w:p>
    <w:p w14:paraId="7D874C16" w14:textId="14D9B54B"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Barney, J. B. (1991) 'Firm resources and sustained competitive advantage', </w:t>
      </w:r>
      <w:r w:rsidRPr="002633C9">
        <w:rPr>
          <w:rFonts w:ascii="Arial" w:hAnsi="Arial" w:cs="Arial"/>
          <w:i/>
          <w:iCs/>
        </w:rPr>
        <w:t>Journal of Management</w:t>
      </w:r>
      <w:r w:rsidRPr="002633C9">
        <w:rPr>
          <w:rFonts w:ascii="Arial" w:hAnsi="Arial" w:cs="Arial"/>
        </w:rPr>
        <w:t>, 17(1), pp. 99–120.</w:t>
      </w:r>
    </w:p>
    <w:p w14:paraId="4A7EDD68" w14:textId="2FAAF84D" w:rsidR="00270D13" w:rsidRPr="002633C9" w:rsidRDefault="00270D13" w:rsidP="00270D13">
      <w:pPr>
        <w:pStyle w:val="ListParagraph"/>
        <w:numPr>
          <w:ilvl w:val="0"/>
          <w:numId w:val="39"/>
        </w:numPr>
        <w:jc w:val="both"/>
        <w:rPr>
          <w:rFonts w:ascii="Arial" w:hAnsi="Arial" w:cs="Arial"/>
        </w:rPr>
      </w:pPr>
      <w:proofErr w:type="spellStart"/>
      <w:r w:rsidRPr="002633C9">
        <w:rPr>
          <w:rFonts w:ascii="Arial" w:hAnsi="Arial" w:cs="Arial"/>
        </w:rPr>
        <w:t>Baroto</w:t>
      </w:r>
      <w:proofErr w:type="spellEnd"/>
      <w:r w:rsidRPr="002633C9">
        <w:rPr>
          <w:rFonts w:ascii="Arial" w:hAnsi="Arial" w:cs="Arial"/>
        </w:rPr>
        <w:t xml:space="preserve">, M. B., Abdullah, N. L. and Wan, H. L. (2012) 'Hybrid strategy: a new strategy for competitive advantage', </w:t>
      </w:r>
      <w:r w:rsidRPr="002633C9">
        <w:rPr>
          <w:rFonts w:ascii="Arial" w:hAnsi="Arial" w:cs="Arial"/>
          <w:i/>
          <w:iCs/>
        </w:rPr>
        <w:t>International Journal of Business and Management</w:t>
      </w:r>
      <w:r w:rsidRPr="002633C9">
        <w:rPr>
          <w:rFonts w:ascii="Arial" w:hAnsi="Arial" w:cs="Arial"/>
        </w:rPr>
        <w:t>, 7(20), pp. 120–133.</w:t>
      </w:r>
    </w:p>
    <w:p w14:paraId="0000AA8A" w14:textId="3BCCDC5E"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Becker, B. E., </w:t>
      </w:r>
      <w:proofErr w:type="spellStart"/>
      <w:r w:rsidRPr="002633C9">
        <w:rPr>
          <w:rFonts w:ascii="Arial" w:hAnsi="Arial" w:cs="Arial"/>
        </w:rPr>
        <w:t>Huselid</w:t>
      </w:r>
      <w:proofErr w:type="spellEnd"/>
      <w:r w:rsidRPr="002633C9">
        <w:rPr>
          <w:rFonts w:ascii="Arial" w:hAnsi="Arial" w:cs="Arial"/>
        </w:rPr>
        <w:t xml:space="preserve">, M. A. and Ulrich, D. (2001) </w:t>
      </w:r>
      <w:r w:rsidRPr="002633C9">
        <w:rPr>
          <w:rFonts w:ascii="Arial" w:hAnsi="Arial" w:cs="Arial"/>
          <w:i/>
          <w:iCs/>
        </w:rPr>
        <w:t>The HR Scorecard: Linking People, Strategy, and Performance</w:t>
      </w:r>
      <w:r w:rsidRPr="002633C9">
        <w:rPr>
          <w:rFonts w:ascii="Arial" w:hAnsi="Arial" w:cs="Arial"/>
        </w:rPr>
        <w:t>. Boston: Harvard Business School Press.</w:t>
      </w:r>
    </w:p>
    <w:p w14:paraId="349B15BF" w14:textId="519D893A"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Carroll, A. B. (1991) 'The pyramid of corporate social responsibility: Toward the moral management of organizational stakeholders', </w:t>
      </w:r>
      <w:r w:rsidRPr="002633C9">
        <w:rPr>
          <w:rFonts w:ascii="Arial" w:hAnsi="Arial" w:cs="Arial"/>
          <w:i/>
          <w:iCs/>
        </w:rPr>
        <w:t>Business Horizons</w:t>
      </w:r>
      <w:r w:rsidRPr="002633C9">
        <w:rPr>
          <w:rFonts w:ascii="Arial" w:hAnsi="Arial" w:cs="Arial"/>
        </w:rPr>
        <w:t>, 34(4), pp. 39–48.</w:t>
      </w:r>
    </w:p>
    <w:p w14:paraId="3C9E2145" w14:textId="2F224471"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Deloitte (2024) </w:t>
      </w:r>
      <w:r w:rsidRPr="002633C9">
        <w:rPr>
          <w:rFonts w:ascii="Arial" w:hAnsi="Arial" w:cs="Arial"/>
          <w:i/>
          <w:iCs/>
        </w:rPr>
        <w:t>UK Hospitality and Food Service Outlook 2024</w:t>
      </w:r>
      <w:r w:rsidRPr="002633C9">
        <w:rPr>
          <w:rFonts w:ascii="Arial" w:hAnsi="Arial" w:cs="Arial"/>
        </w:rPr>
        <w:t>. London: Deloitte LLP.</w:t>
      </w:r>
    </w:p>
    <w:p w14:paraId="196F3660" w14:textId="77B81DFE"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EHRC (2023) </w:t>
      </w:r>
      <w:r w:rsidRPr="002633C9">
        <w:rPr>
          <w:rFonts w:ascii="Arial" w:hAnsi="Arial" w:cs="Arial"/>
          <w:i/>
          <w:iCs/>
        </w:rPr>
        <w:t>Section 23 Agreement: McDonald’s Restaurants Limited and the EHRC</w:t>
      </w:r>
      <w:r w:rsidRPr="002633C9">
        <w:rPr>
          <w:rFonts w:ascii="Arial" w:hAnsi="Arial" w:cs="Arial"/>
        </w:rPr>
        <w:t>. London: Equality and Human Rights Commission.</w:t>
      </w:r>
    </w:p>
    <w:p w14:paraId="5A85C057" w14:textId="17E46171"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Eisenhardt, K. M. and Zbaracki, M. J. (1992) 'Strategic decision making', </w:t>
      </w:r>
      <w:r w:rsidRPr="002633C9">
        <w:rPr>
          <w:rFonts w:ascii="Arial" w:hAnsi="Arial" w:cs="Arial"/>
          <w:i/>
          <w:iCs/>
        </w:rPr>
        <w:t>Strategic Management Journal</w:t>
      </w:r>
      <w:r w:rsidRPr="002633C9">
        <w:rPr>
          <w:rFonts w:ascii="Arial" w:hAnsi="Arial" w:cs="Arial"/>
        </w:rPr>
        <w:t>, 13(S1), pp. 17–37.</w:t>
      </w:r>
    </w:p>
    <w:p w14:paraId="58309DAD" w14:textId="1C5CF90D"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Elkington, J. (1997) </w:t>
      </w:r>
      <w:r w:rsidRPr="002633C9">
        <w:rPr>
          <w:rFonts w:ascii="Arial" w:hAnsi="Arial" w:cs="Arial"/>
          <w:i/>
          <w:iCs/>
        </w:rPr>
        <w:t>Cannibals with Forks: The Triple Bottom Line of 21st Century Business</w:t>
      </w:r>
      <w:r w:rsidRPr="002633C9">
        <w:rPr>
          <w:rFonts w:ascii="Arial" w:hAnsi="Arial" w:cs="Arial"/>
        </w:rPr>
        <w:t>. Oxford: Capstone Publishing.</w:t>
      </w:r>
    </w:p>
    <w:p w14:paraId="5C1DC80B" w14:textId="4142F59C"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Equality Act 2006 (c. 3). London: The Stationery Office.</w:t>
      </w:r>
    </w:p>
    <w:p w14:paraId="7D9031CC" w14:textId="3200BD03"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Equality Act 2010 (c. 15). London: The Stationery Office.</w:t>
      </w:r>
    </w:p>
    <w:p w14:paraId="1FD35D37" w14:textId="43BC4BA4"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Figge, F., Hahn, T., </w:t>
      </w:r>
      <w:proofErr w:type="spellStart"/>
      <w:r w:rsidRPr="002633C9">
        <w:rPr>
          <w:rFonts w:ascii="Arial" w:hAnsi="Arial" w:cs="Arial"/>
        </w:rPr>
        <w:t>Schaltegger</w:t>
      </w:r>
      <w:proofErr w:type="spellEnd"/>
      <w:r w:rsidRPr="002633C9">
        <w:rPr>
          <w:rFonts w:ascii="Arial" w:hAnsi="Arial" w:cs="Arial"/>
        </w:rPr>
        <w:t xml:space="preserve">, S. and Wagner, M. (2002) 'The Sustainability Balanced Scorecard–linking sustainability management to business strategy', </w:t>
      </w:r>
      <w:r w:rsidRPr="002633C9">
        <w:rPr>
          <w:rFonts w:ascii="Arial" w:hAnsi="Arial" w:cs="Arial"/>
          <w:i/>
          <w:iCs/>
        </w:rPr>
        <w:t>Business Strategy and the Environment</w:t>
      </w:r>
      <w:r w:rsidRPr="002633C9">
        <w:rPr>
          <w:rFonts w:ascii="Arial" w:hAnsi="Arial" w:cs="Arial"/>
        </w:rPr>
        <w:t>, 11(5), pp. 269–284.</w:t>
      </w:r>
    </w:p>
    <w:p w14:paraId="0AABD56F" w14:textId="5678C2DB"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Financial Reporting Council (2018) </w:t>
      </w:r>
      <w:r w:rsidRPr="002633C9">
        <w:rPr>
          <w:rFonts w:ascii="Arial" w:hAnsi="Arial" w:cs="Arial"/>
          <w:i/>
          <w:iCs/>
        </w:rPr>
        <w:t>The Wates Corporate Governance Principles for Large Private Companies</w:t>
      </w:r>
      <w:r w:rsidRPr="002633C9">
        <w:rPr>
          <w:rFonts w:ascii="Arial" w:hAnsi="Arial" w:cs="Arial"/>
        </w:rPr>
        <w:t>. London: FRC.</w:t>
      </w:r>
    </w:p>
    <w:p w14:paraId="7D27BD9D" w14:textId="36A51B1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lastRenderedPageBreak/>
        <w:t xml:space="preserve">Financial Reporting Council (2023) </w:t>
      </w:r>
      <w:r w:rsidRPr="002633C9">
        <w:rPr>
          <w:rFonts w:ascii="Arial" w:hAnsi="Arial" w:cs="Arial"/>
          <w:i/>
          <w:iCs/>
        </w:rPr>
        <w:t>UK Corporate Governance Code Updates</w:t>
      </w:r>
      <w:r w:rsidRPr="002633C9">
        <w:rPr>
          <w:rFonts w:ascii="Arial" w:hAnsi="Arial" w:cs="Arial"/>
        </w:rPr>
        <w:t>. London: FRC.</w:t>
      </w:r>
    </w:p>
    <w:p w14:paraId="78A23C5F" w14:textId="2746E0A7"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Forbes Solicitors (2026) </w:t>
      </w:r>
      <w:r w:rsidRPr="002633C9">
        <w:rPr>
          <w:rFonts w:ascii="Arial" w:hAnsi="Arial" w:cs="Arial"/>
          <w:i/>
          <w:iCs/>
        </w:rPr>
        <w:t>Employment Law and Workplace Harassment Standards in the UK</w:t>
      </w:r>
      <w:r w:rsidRPr="002633C9">
        <w:rPr>
          <w:rFonts w:ascii="Arial" w:hAnsi="Arial" w:cs="Arial"/>
        </w:rPr>
        <w:t>. Manchester: Forbes.</w:t>
      </w:r>
    </w:p>
    <w:p w14:paraId="02F310F6" w14:textId="794EC32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Freeman, R. E. (1984) </w:t>
      </w:r>
      <w:r w:rsidRPr="002633C9">
        <w:rPr>
          <w:rFonts w:ascii="Arial" w:hAnsi="Arial" w:cs="Arial"/>
          <w:i/>
          <w:iCs/>
        </w:rPr>
        <w:t>Strategic Management: A Stakeholder Approach</w:t>
      </w:r>
      <w:r w:rsidRPr="002633C9">
        <w:rPr>
          <w:rFonts w:ascii="Arial" w:hAnsi="Arial" w:cs="Arial"/>
        </w:rPr>
        <w:t>. Boston: Pitman.</w:t>
      </w:r>
    </w:p>
    <w:p w14:paraId="41DE5800" w14:textId="1D9A7396"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Geissdoerfer, M., </w:t>
      </w:r>
      <w:proofErr w:type="spellStart"/>
      <w:r w:rsidRPr="002633C9">
        <w:rPr>
          <w:rFonts w:ascii="Arial" w:hAnsi="Arial" w:cs="Arial"/>
        </w:rPr>
        <w:t>Savaget</w:t>
      </w:r>
      <w:proofErr w:type="spellEnd"/>
      <w:r w:rsidRPr="002633C9">
        <w:rPr>
          <w:rFonts w:ascii="Arial" w:hAnsi="Arial" w:cs="Arial"/>
        </w:rPr>
        <w:t xml:space="preserve">, P., Bocken, N. M. and </w:t>
      </w:r>
      <w:proofErr w:type="spellStart"/>
      <w:r w:rsidRPr="002633C9">
        <w:rPr>
          <w:rFonts w:ascii="Arial" w:hAnsi="Arial" w:cs="Arial"/>
        </w:rPr>
        <w:t>Hultink</w:t>
      </w:r>
      <w:proofErr w:type="spellEnd"/>
      <w:r w:rsidRPr="002633C9">
        <w:rPr>
          <w:rFonts w:ascii="Arial" w:hAnsi="Arial" w:cs="Arial"/>
        </w:rPr>
        <w:t xml:space="preserve">, E. J. (2017) 'The Circular Economy–A new sustainability paradigm?', </w:t>
      </w:r>
      <w:r w:rsidRPr="002633C9">
        <w:rPr>
          <w:rFonts w:ascii="Arial" w:hAnsi="Arial" w:cs="Arial"/>
          <w:i/>
          <w:iCs/>
        </w:rPr>
        <w:t>Journal of Cleaner Production</w:t>
      </w:r>
      <w:r w:rsidRPr="002633C9">
        <w:rPr>
          <w:rFonts w:ascii="Arial" w:hAnsi="Arial" w:cs="Arial"/>
        </w:rPr>
        <w:t>, 143, pp. 757–768.</w:t>
      </w:r>
    </w:p>
    <w:p w14:paraId="09E2DF68" w14:textId="7B6B437B"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Gibbs, G. (1988) </w:t>
      </w:r>
      <w:r w:rsidRPr="002633C9">
        <w:rPr>
          <w:rFonts w:ascii="Arial" w:hAnsi="Arial" w:cs="Arial"/>
          <w:i/>
          <w:iCs/>
        </w:rPr>
        <w:t>Learning by Doing: A Guide to Teaching and Learning Methods</w:t>
      </w:r>
      <w:r w:rsidRPr="002633C9">
        <w:rPr>
          <w:rFonts w:ascii="Arial" w:hAnsi="Arial" w:cs="Arial"/>
        </w:rPr>
        <w:t>. Further Education Unit. Oxford: Oxford Polytechnic.</w:t>
      </w:r>
    </w:p>
    <w:p w14:paraId="5FA1565F" w14:textId="58D001B3"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Gilbert, B. (2022) </w:t>
      </w:r>
      <w:r w:rsidRPr="002633C9">
        <w:rPr>
          <w:rFonts w:ascii="Arial" w:hAnsi="Arial" w:cs="Arial"/>
          <w:i/>
          <w:iCs/>
        </w:rPr>
        <w:t>Restaurant Technology and Fast-Food Evolution: The Digital Transformation of the QSR Sector</w:t>
      </w:r>
      <w:r w:rsidRPr="002633C9">
        <w:rPr>
          <w:rFonts w:ascii="Arial" w:hAnsi="Arial" w:cs="Arial"/>
        </w:rPr>
        <w:t>. London: Routledge.</w:t>
      </w:r>
    </w:p>
    <w:p w14:paraId="4B7B6030" w14:textId="3259986A"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GOV.UK (2025) </w:t>
      </w:r>
      <w:r w:rsidRPr="002633C9">
        <w:rPr>
          <w:rFonts w:ascii="Arial" w:hAnsi="Arial" w:cs="Arial"/>
          <w:i/>
          <w:iCs/>
        </w:rPr>
        <w:t>National Minimum Wage, National Living Wage and HFSS Regulatory Updates</w:t>
      </w:r>
      <w:r w:rsidRPr="002633C9">
        <w:rPr>
          <w:rFonts w:ascii="Arial" w:hAnsi="Arial" w:cs="Arial"/>
        </w:rPr>
        <w:t xml:space="preserve">. Available at: </w:t>
      </w:r>
      <w:hyperlink r:id="rId9" w:tgtFrame="_blank" w:history="1">
        <w:r w:rsidRPr="002633C9">
          <w:rPr>
            <w:rStyle w:val="Hyperlink"/>
            <w:rFonts w:ascii="Arial" w:hAnsi="Arial" w:cs="Arial"/>
          </w:rPr>
          <w:t>https://www.gov.uk</w:t>
        </w:r>
      </w:hyperlink>
      <w:r w:rsidRPr="002633C9">
        <w:rPr>
          <w:rFonts w:ascii="Arial" w:hAnsi="Arial" w:cs="Arial"/>
        </w:rPr>
        <w:t xml:space="preserve"> (Accessed: 12 January 2026).</w:t>
      </w:r>
    </w:p>
    <w:p w14:paraId="5725FDEF" w14:textId="08B27E1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Grant, R. M. (2021) </w:t>
      </w:r>
      <w:r w:rsidRPr="002633C9">
        <w:rPr>
          <w:rFonts w:ascii="Arial" w:hAnsi="Arial" w:cs="Arial"/>
          <w:i/>
          <w:iCs/>
        </w:rPr>
        <w:t>Contemporary Strategy Analysis</w:t>
      </w:r>
      <w:r w:rsidRPr="002633C9">
        <w:rPr>
          <w:rFonts w:ascii="Arial" w:hAnsi="Arial" w:cs="Arial"/>
        </w:rPr>
        <w:t xml:space="preserve">. 11th </w:t>
      </w:r>
      <w:proofErr w:type="spellStart"/>
      <w:r w:rsidRPr="002633C9">
        <w:rPr>
          <w:rFonts w:ascii="Arial" w:hAnsi="Arial" w:cs="Arial"/>
        </w:rPr>
        <w:t>edn</w:t>
      </w:r>
      <w:proofErr w:type="spellEnd"/>
      <w:r w:rsidRPr="002633C9">
        <w:rPr>
          <w:rFonts w:ascii="Arial" w:hAnsi="Arial" w:cs="Arial"/>
        </w:rPr>
        <w:t>. Chichester: John Wiley &amp; Sons.</w:t>
      </w:r>
    </w:p>
    <w:p w14:paraId="678B9443" w14:textId="5C12E99C" w:rsidR="00270D13" w:rsidRPr="002633C9" w:rsidRDefault="00270D13" w:rsidP="00270D13">
      <w:pPr>
        <w:pStyle w:val="ListParagraph"/>
        <w:numPr>
          <w:ilvl w:val="0"/>
          <w:numId w:val="39"/>
        </w:numPr>
        <w:jc w:val="both"/>
        <w:rPr>
          <w:rFonts w:ascii="Arial" w:hAnsi="Arial" w:cs="Arial"/>
        </w:rPr>
      </w:pPr>
      <w:proofErr w:type="spellStart"/>
      <w:r w:rsidRPr="002633C9">
        <w:rPr>
          <w:rFonts w:ascii="Arial" w:hAnsi="Arial" w:cs="Arial"/>
        </w:rPr>
        <w:t>Groth</w:t>
      </w:r>
      <w:proofErr w:type="spellEnd"/>
      <w:r w:rsidRPr="002633C9">
        <w:rPr>
          <w:rFonts w:ascii="Arial" w:hAnsi="Arial" w:cs="Arial"/>
        </w:rPr>
        <w:t xml:space="preserve">, O. (2025) </w:t>
      </w:r>
      <w:r w:rsidRPr="002633C9">
        <w:rPr>
          <w:rFonts w:ascii="Arial" w:hAnsi="Arial" w:cs="Arial"/>
          <w:i/>
          <w:iCs/>
        </w:rPr>
        <w:t>Plant-Based Consumer Trends and Market Shifts in the UK</w:t>
      </w:r>
      <w:r w:rsidRPr="002633C9">
        <w:rPr>
          <w:rFonts w:ascii="Arial" w:hAnsi="Arial" w:cs="Arial"/>
        </w:rPr>
        <w:t>. London: Food Science Publishers.</w:t>
      </w:r>
    </w:p>
    <w:p w14:paraId="70C3B164" w14:textId="47FA2479"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Johnson, G., Scholes, K. and Whittington, R. (2008) </w:t>
      </w:r>
      <w:r w:rsidRPr="002633C9">
        <w:rPr>
          <w:rFonts w:ascii="Arial" w:hAnsi="Arial" w:cs="Arial"/>
          <w:i/>
          <w:iCs/>
        </w:rPr>
        <w:t>Exploring Corporate Strategy</w:t>
      </w:r>
      <w:r w:rsidRPr="002633C9">
        <w:rPr>
          <w:rFonts w:ascii="Arial" w:hAnsi="Arial" w:cs="Arial"/>
        </w:rPr>
        <w:t xml:space="preserve">. 8th </w:t>
      </w:r>
      <w:proofErr w:type="spellStart"/>
      <w:r w:rsidRPr="002633C9">
        <w:rPr>
          <w:rFonts w:ascii="Arial" w:hAnsi="Arial" w:cs="Arial"/>
        </w:rPr>
        <w:t>edn</w:t>
      </w:r>
      <w:proofErr w:type="spellEnd"/>
      <w:r w:rsidRPr="002633C9">
        <w:rPr>
          <w:rFonts w:ascii="Arial" w:hAnsi="Arial" w:cs="Arial"/>
        </w:rPr>
        <w:t>. Harlow: Pearson Education.</w:t>
      </w:r>
    </w:p>
    <w:p w14:paraId="1E794E7A" w14:textId="35EEC88D"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Jones, P., Taylor, D. and Nickson, D. (2002) </w:t>
      </w:r>
      <w:r w:rsidRPr="002633C9">
        <w:rPr>
          <w:rFonts w:ascii="Arial" w:hAnsi="Arial" w:cs="Arial"/>
          <w:i/>
          <w:iCs/>
        </w:rPr>
        <w:t>Service Quality and Operational Excellence in the Hospitality Industry</w:t>
      </w:r>
      <w:r w:rsidRPr="002633C9">
        <w:rPr>
          <w:rFonts w:ascii="Arial" w:hAnsi="Arial" w:cs="Arial"/>
        </w:rPr>
        <w:t>. London: Cassell.</w:t>
      </w:r>
    </w:p>
    <w:p w14:paraId="2EC46F9E" w14:textId="400171B2"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Kaplan, R. S. and Norton, D. P. (1992) 'The balanced scorecard: measures that drive performance', </w:t>
      </w:r>
      <w:r w:rsidRPr="002633C9">
        <w:rPr>
          <w:rFonts w:ascii="Arial" w:hAnsi="Arial" w:cs="Arial"/>
          <w:i/>
          <w:iCs/>
        </w:rPr>
        <w:t>Harvard Business Review</w:t>
      </w:r>
      <w:r w:rsidRPr="002633C9">
        <w:rPr>
          <w:rFonts w:ascii="Arial" w:hAnsi="Arial" w:cs="Arial"/>
        </w:rPr>
        <w:t>, 70(1), pp. 71–79.</w:t>
      </w:r>
    </w:p>
    <w:p w14:paraId="40FADD4F" w14:textId="36843485"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Kaplan, R. S. and Norton, D. P. (1996) </w:t>
      </w:r>
      <w:r w:rsidRPr="002633C9">
        <w:rPr>
          <w:rFonts w:ascii="Arial" w:hAnsi="Arial" w:cs="Arial"/>
          <w:i/>
          <w:iCs/>
        </w:rPr>
        <w:t>Translating Strategy into Action: The Balanced Scorecard</w:t>
      </w:r>
      <w:r w:rsidRPr="002633C9">
        <w:rPr>
          <w:rFonts w:ascii="Arial" w:hAnsi="Arial" w:cs="Arial"/>
        </w:rPr>
        <w:t>. Boston: Harvard Business School Press.</w:t>
      </w:r>
    </w:p>
    <w:p w14:paraId="73090287" w14:textId="4960F5D5"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Kaplan, R. S. and Norton, D. P. (2004) </w:t>
      </w:r>
      <w:r w:rsidRPr="002633C9">
        <w:rPr>
          <w:rFonts w:ascii="Arial" w:hAnsi="Arial" w:cs="Arial"/>
          <w:i/>
          <w:iCs/>
        </w:rPr>
        <w:t>Strategy Maps: Converting Intangible Assets into Tangible Outcomes</w:t>
      </w:r>
      <w:r w:rsidRPr="002633C9">
        <w:rPr>
          <w:rFonts w:ascii="Arial" w:hAnsi="Arial" w:cs="Arial"/>
        </w:rPr>
        <w:t>. Boston: Harvard Business School Press.</w:t>
      </w:r>
    </w:p>
    <w:p w14:paraId="3BB2E549" w14:textId="1156F74C"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KPMG (2024) </w:t>
      </w:r>
      <w:r w:rsidRPr="002633C9">
        <w:rPr>
          <w:rFonts w:ascii="Arial" w:hAnsi="Arial" w:cs="Arial"/>
          <w:i/>
          <w:iCs/>
        </w:rPr>
        <w:t>UK Hospitality Economic Outlook: Navigating Inflationary Pressures</w:t>
      </w:r>
      <w:r w:rsidRPr="002633C9">
        <w:rPr>
          <w:rFonts w:ascii="Arial" w:hAnsi="Arial" w:cs="Arial"/>
        </w:rPr>
        <w:t>. London: KPMG UK.</w:t>
      </w:r>
    </w:p>
    <w:p w14:paraId="5912FF41" w14:textId="4616372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Kumar, V. and Reinartz, W. (2016) 'Creating enduring customer value', </w:t>
      </w:r>
      <w:r w:rsidRPr="002633C9">
        <w:rPr>
          <w:rFonts w:ascii="Arial" w:hAnsi="Arial" w:cs="Arial"/>
          <w:i/>
          <w:iCs/>
        </w:rPr>
        <w:t>Journal of Marketing</w:t>
      </w:r>
      <w:r w:rsidRPr="002633C9">
        <w:rPr>
          <w:rFonts w:ascii="Arial" w:hAnsi="Arial" w:cs="Arial"/>
        </w:rPr>
        <w:t>, 80(6), pp. 36–68.</w:t>
      </w:r>
    </w:p>
    <w:p w14:paraId="48D7435E" w14:textId="169EBA49"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Love, J. F. (1995) </w:t>
      </w:r>
      <w:r w:rsidRPr="002633C9">
        <w:rPr>
          <w:rFonts w:ascii="Arial" w:hAnsi="Arial" w:cs="Arial"/>
          <w:i/>
          <w:iCs/>
        </w:rPr>
        <w:t>McDonald's: Behind the Arches</w:t>
      </w:r>
      <w:r w:rsidRPr="002633C9">
        <w:rPr>
          <w:rFonts w:ascii="Arial" w:hAnsi="Arial" w:cs="Arial"/>
        </w:rPr>
        <w:t>. New York: Bantam Books.</w:t>
      </w:r>
    </w:p>
    <w:p w14:paraId="0540566D" w14:textId="234B00F6"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Lumina Intelligence (2024) </w:t>
      </w:r>
      <w:r w:rsidRPr="002633C9">
        <w:rPr>
          <w:rFonts w:ascii="Arial" w:hAnsi="Arial" w:cs="Arial"/>
          <w:i/>
          <w:iCs/>
        </w:rPr>
        <w:t>UK Eating Out Market Report 2024</w:t>
      </w:r>
      <w:r w:rsidRPr="002633C9">
        <w:rPr>
          <w:rFonts w:ascii="Arial" w:hAnsi="Arial" w:cs="Arial"/>
        </w:rPr>
        <w:t>. London: Lumina Intelligence.</w:t>
      </w:r>
    </w:p>
    <w:p w14:paraId="10404EF2" w14:textId="1B712EC4"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Madsen, D. O. (2025) 'The evolution and adaptation of the Balanced Scorecard in modern management', </w:t>
      </w:r>
      <w:r w:rsidRPr="002633C9">
        <w:rPr>
          <w:rFonts w:ascii="Arial" w:hAnsi="Arial" w:cs="Arial"/>
          <w:i/>
          <w:iCs/>
        </w:rPr>
        <w:t>Journal of Management &amp; Organization</w:t>
      </w:r>
      <w:r w:rsidRPr="002633C9">
        <w:rPr>
          <w:rFonts w:ascii="Arial" w:hAnsi="Arial" w:cs="Arial"/>
        </w:rPr>
        <w:t>, 31(1), pp. 45–62.</w:t>
      </w:r>
    </w:p>
    <w:p w14:paraId="0E214800" w14:textId="6B9EB95B"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lastRenderedPageBreak/>
        <w:t xml:space="preserve">McDonald’s Corporation (2020) </w:t>
      </w:r>
      <w:r w:rsidRPr="002633C9">
        <w:rPr>
          <w:rFonts w:ascii="Arial" w:hAnsi="Arial" w:cs="Arial"/>
          <w:i/>
          <w:iCs/>
        </w:rPr>
        <w:t>Accelerating the Arches: Our Global Growth Strategy</w:t>
      </w:r>
      <w:r w:rsidRPr="002633C9">
        <w:rPr>
          <w:rFonts w:ascii="Arial" w:hAnsi="Arial" w:cs="Arial"/>
        </w:rPr>
        <w:t>. Chicago: McDonald’s Corporation.</w:t>
      </w:r>
    </w:p>
    <w:p w14:paraId="2DD3D050" w14:textId="3F1C0A0A"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McDonald’s Corporation (2022) </w:t>
      </w:r>
      <w:r w:rsidRPr="002633C9">
        <w:rPr>
          <w:rFonts w:ascii="Arial" w:hAnsi="Arial" w:cs="Arial"/>
          <w:i/>
          <w:iCs/>
        </w:rPr>
        <w:t>PACE Framework and Operational Standards Directive</w:t>
      </w:r>
      <w:r w:rsidRPr="002633C9">
        <w:rPr>
          <w:rFonts w:ascii="Arial" w:hAnsi="Arial" w:cs="Arial"/>
        </w:rPr>
        <w:t>. Chicago: McDonald’s Corporation.</w:t>
      </w:r>
    </w:p>
    <w:p w14:paraId="31EB5C43" w14:textId="2C00292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McDonald’s Corporation (2023) </w:t>
      </w:r>
      <w:r w:rsidRPr="002633C9">
        <w:rPr>
          <w:rFonts w:ascii="Arial" w:hAnsi="Arial" w:cs="Arial"/>
          <w:i/>
          <w:iCs/>
        </w:rPr>
        <w:t>Marketing and Brand Equity Annual Disclosures</w:t>
      </w:r>
      <w:r w:rsidRPr="002633C9">
        <w:rPr>
          <w:rFonts w:ascii="Arial" w:hAnsi="Arial" w:cs="Arial"/>
        </w:rPr>
        <w:t>. Chicago: McDonald’s Corporation.</w:t>
      </w:r>
    </w:p>
    <w:p w14:paraId="2D3F4FF5" w14:textId="4A069D89"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McDonald’s Corporation (2024) </w:t>
      </w:r>
      <w:r w:rsidRPr="002633C9">
        <w:rPr>
          <w:rFonts w:ascii="Arial" w:hAnsi="Arial" w:cs="Arial"/>
          <w:i/>
          <w:iCs/>
        </w:rPr>
        <w:t>Annual Strategic, Financial and Environmental Disclosures 2024</w:t>
      </w:r>
      <w:r w:rsidRPr="002633C9">
        <w:rPr>
          <w:rFonts w:ascii="Arial" w:hAnsi="Arial" w:cs="Arial"/>
        </w:rPr>
        <w:t>. Chicago: McDonald’s Corporation.</w:t>
      </w:r>
    </w:p>
    <w:p w14:paraId="70EB26C5" w14:textId="37528FD6"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McDonald’s Corporation (2025) </w:t>
      </w:r>
      <w:r w:rsidRPr="002633C9">
        <w:rPr>
          <w:rFonts w:ascii="Arial" w:hAnsi="Arial" w:cs="Arial"/>
          <w:i/>
          <w:iCs/>
        </w:rPr>
        <w:t>Enterprise Risk Management and Third-Party Delivery Dependencies Report</w:t>
      </w:r>
      <w:r w:rsidRPr="002633C9">
        <w:rPr>
          <w:rFonts w:ascii="Arial" w:hAnsi="Arial" w:cs="Arial"/>
        </w:rPr>
        <w:t>. Chicago: McDonald’s Corporation.</w:t>
      </w:r>
    </w:p>
    <w:p w14:paraId="083B3953" w14:textId="7C8DE170"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McDonald’s UK (2021) </w:t>
      </w:r>
      <w:r w:rsidRPr="002633C9">
        <w:rPr>
          <w:rFonts w:ascii="Arial" w:hAnsi="Arial" w:cs="Arial"/>
          <w:i/>
          <w:iCs/>
        </w:rPr>
        <w:t>Plan for Change: Our Sustainability Strategy for the UK &amp; Ireland</w:t>
      </w:r>
      <w:r w:rsidRPr="002633C9">
        <w:rPr>
          <w:rFonts w:ascii="Arial" w:hAnsi="Arial" w:cs="Arial"/>
        </w:rPr>
        <w:t>. London: McDonald’s Restaurants Limited.</w:t>
      </w:r>
    </w:p>
    <w:p w14:paraId="6312CC0A" w14:textId="4AEC51BD"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McDonald’s UK (2024) </w:t>
      </w:r>
      <w:r w:rsidRPr="002633C9">
        <w:rPr>
          <w:rFonts w:ascii="Arial" w:hAnsi="Arial" w:cs="Arial"/>
          <w:i/>
          <w:iCs/>
        </w:rPr>
        <w:t>Economic Impact and Operational Results 1974–2024: Celebrating 50 Years in the UK</w:t>
      </w:r>
      <w:r w:rsidRPr="002633C9">
        <w:rPr>
          <w:rFonts w:ascii="Arial" w:hAnsi="Arial" w:cs="Arial"/>
        </w:rPr>
        <w:t>. London: McDonald’s Restaurants Limited.</w:t>
      </w:r>
    </w:p>
    <w:p w14:paraId="632A7FE3" w14:textId="1CC5D823"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Minto, B. (2009) </w:t>
      </w:r>
      <w:r w:rsidRPr="002633C9">
        <w:rPr>
          <w:rFonts w:ascii="Arial" w:hAnsi="Arial" w:cs="Arial"/>
          <w:i/>
          <w:iCs/>
        </w:rPr>
        <w:t>The Pyramid Principle: Logic in Writing and Thinking</w:t>
      </w:r>
      <w:r w:rsidRPr="002633C9">
        <w:rPr>
          <w:rFonts w:ascii="Arial" w:hAnsi="Arial" w:cs="Arial"/>
        </w:rPr>
        <w:t xml:space="preserve">. 3rd </w:t>
      </w:r>
      <w:proofErr w:type="spellStart"/>
      <w:r w:rsidRPr="002633C9">
        <w:rPr>
          <w:rFonts w:ascii="Arial" w:hAnsi="Arial" w:cs="Arial"/>
        </w:rPr>
        <w:t>edn</w:t>
      </w:r>
      <w:proofErr w:type="spellEnd"/>
      <w:r w:rsidRPr="002633C9">
        <w:rPr>
          <w:rFonts w:ascii="Arial" w:hAnsi="Arial" w:cs="Arial"/>
        </w:rPr>
        <w:t>. Harlow: Financial Times Prentice Hall.</w:t>
      </w:r>
    </w:p>
    <w:p w14:paraId="707902A6" w14:textId="366C8A64"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Mintzberg, H. (1994) </w:t>
      </w:r>
      <w:r w:rsidRPr="002633C9">
        <w:rPr>
          <w:rFonts w:ascii="Arial" w:hAnsi="Arial" w:cs="Arial"/>
          <w:i/>
          <w:iCs/>
        </w:rPr>
        <w:t>The Rise and Fall of Strategic Planning</w:t>
      </w:r>
      <w:r w:rsidRPr="002633C9">
        <w:rPr>
          <w:rFonts w:ascii="Arial" w:hAnsi="Arial" w:cs="Arial"/>
        </w:rPr>
        <w:t>. New York: Free Press.</w:t>
      </w:r>
    </w:p>
    <w:p w14:paraId="6D679CAD" w14:textId="5B9D5936"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NEDA Global (2018) </w:t>
      </w:r>
      <w:r w:rsidRPr="002633C9">
        <w:rPr>
          <w:rFonts w:ascii="Arial" w:hAnsi="Arial" w:cs="Arial"/>
          <w:i/>
          <w:iCs/>
        </w:rPr>
        <w:t>Corporate Governance Guidelines for Non-Executive Directors</w:t>
      </w:r>
      <w:r w:rsidRPr="002633C9">
        <w:rPr>
          <w:rFonts w:ascii="Arial" w:hAnsi="Arial" w:cs="Arial"/>
        </w:rPr>
        <w:t>. London: Non-Executive Directors' Association.</w:t>
      </w:r>
    </w:p>
    <w:p w14:paraId="3AF29B26" w14:textId="1FF8D243"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Niven, P. R. (2014) </w:t>
      </w:r>
      <w:r w:rsidRPr="002633C9">
        <w:rPr>
          <w:rFonts w:ascii="Arial" w:hAnsi="Arial" w:cs="Arial"/>
          <w:i/>
          <w:iCs/>
        </w:rPr>
        <w:t>Balanced Scorecard Evolution: A Dynamic Approach to Strategy Execution</w:t>
      </w:r>
      <w:r w:rsidRPr="002633C9">
        <w:rPr>
          <w:rFonts w:ascii="Arial" w:hAnsi="Arial" w:cs="Arial"/>
        </w:rPr>
        <w:t xml:space="preserve">. Hoboken: John Wiley &amp; Sons. </w:t>
      </w:r>
    </w:p>
    <w:p w14:paraId="0836D5DA" w14:textId="2440F97A"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(1979) 'How competitive forces shape strategy', </w:t>
      </w:r>
      <w:r w:rsidRPr="002633C9">
        <w:rPr>
          <w:rFonts w:ascii="Arial" w:hAnsi="Arial" w:cs="Arial"/>
          <w:i/>
          <w:iCs/>
        </w:rPr>
        <w:t>Harvard Business Review</w:t>
      </w:r>
      <w:r w:rsidRPr="002633C9">
        <w:rPr>
          <w:rFonts w:ascii="Arial" w:hAnsi="Arial" w:cs="Arial"/>
        </w:rPr>
        <w:t xml:space="preserve">, 57(2), pp. 137–145. </w:t>
      </w:r>
    </w:p>
    <w:p w14:paraId="3AB6C5E4" w14:textId="573CEA0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(1980) </w:t>
      </w:r>
      <w:r w:rsidRPr="002633C9">
        <w:rPr>
          <w:rFonts w:ascii="Arial" w:hAnsi="Arial" w:cs="Arial"/>
          <w:i/>
          <w:iCs/>
        </w:rPr>
        <w:t>Competitive Strategy: Techniques for Analyzing Industries and Competitors</w:t>
      </w:r>
      <w:r w:rsidRPr="002633C9">
        <w:rPr>
          <w:rFonts w:ascii="Arial" w:hAnsi="Arial" w:cs="Arial"/>
        </w:rPr>
        <w:t xml:space="preserve">. New York: Free Press. </w:t>
      </w:r>
    </w:p>
    <w:p w14:paraId="10D2906D" w14:textId="725047D5"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(1985) </w:t>
      </w:r>
      <w:r w:rsidRPr="002633C9">
        <w:rPr>
          <w:rFonts w:ascii="Arial" w:hAnsi="Arial" w:cs="Arial"/>
          <w:i/>
          <w:iCs/>
        </w:rPr>
        <w:t>Competitive Advantage: Creating and Sustaining Superior Performance</w:t>
      </w:r>
      <w:r w:rsidRPr="002633C9">
        <w:rPr>
          <w:rFonts w:ascii="Arial" w:hAnsi="Arial" w:cs="Arial"/>
        </w:rPr>
        <w:t>. New York: Free Press.</w:t>
      </w:r>
    </w:p>
    <w:p w14:paraId="78FB5BD8" w14:textId="565BD51E"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(2008) 'The five competitive forces that shape strategy', </w:t>
      </w:r>
      <w:r w:rsidRPr="002633C9">
        <w:rPr>
          <w:rFonts w:ascii="Arial" w:hAnsi="Arial" w:cs="Arial"/>
          <w:i/>
          <w:iCs/>
        </w:rPr>
        <w:t>Harvard Business Review</w:t>
      </w:r>
      <w:r w:rsidRPr="002633C9">
        <w:rPr>
          <w:rFonts w:ascii="Arial" w:hAnsi="Arial" w:cs="Arial"/>
        </w:rPr>
        <w:t>, 86(1), pp. 78–93.</w:t>
      </w:r>
    </w:p>
    <w:p w14:paraId="5DFF5ACA" w14:textId="4A43091E"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and Kramer, M. R. (2006) 'Strategy and society: the link between competitive advantage and corporate social responsibility', </w:t>
      </w:r>
      <w:r w:rsidRPr="002633C9">
        <w:rPr>
          <w:rFonts w:ascii="Arial" w:hAnsi="Arial" w:cs="Arial"/>
          <w:i/>
          <w:iCs/>
        </w:rPr>
        <w:t>Harvard Business Review</w:t>
      </w:r>
      <w:r w:rsidRPr="002633C9">
        <w:rPr>
          <w:rFonts w:ascii="Arial" w:hAnsi="Arial" w:cs="Arial"/>
        </w:rPr>
        <w:t>, 84(12), pp. 78–92.</w:t>
      </w:r>
    </w:p>
    <w:p w14:paraId="284AD1D3" w14:textId="3C37A007"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and Kramer, M. R. (2011) 'Creating shared value: Redefining capitalism and the role of the corporation in society', </w:t>
      </w:r>
      <w:r w:rsidRPr="002633C9">
        <w:rPr>
          <w:rFonts w:ascii="Arial" w:hAnsi="Arial" w:cs="Arial"/>
          <w:i/>
          <w:iCs/>
        </w:rPr>
        <w:t>Harvard Business Review</w:t>
      </w:r>
      <w:r w:rsidRPr="002633C9">
        <w:rPr>
          <w:rFonts w:ascii="Arial" w:hAnsi="Arial" w:cs="Arial"/>
        </w:rPr>
        <w:t>, 89(1/2), pp. 62–77.</w:t>
      </w:r>
    </w:p>
    <w:p w14:paraId="59604858" w14:textId="3436BAC0"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Porter, M. E. and van der Linde, C. (1995) 'Toward a new conception of the environment-competitiveness relationship', </w:t>
      </w:r>
      <w:r w:rsidRPr="002633C9">
        <w:rPr>
          <w:rFonts w:ascii="Arial" w:hAnsi="Arial" w:cs="Arial"/>
          <w:i/>
          <w:iCs/>
        </w:rPr>
        <w:t>Journal of Economic Perspectives</w:t>
      </w:r>
      <w:r w:rsidRPr="002633C9">
        <w:rPr>
          <w:rFonts w:ascii="Arial" w:hAnsi="Arial" w:cs="Arial"/>
        </w:rPr>
        <w:t>, 9(4), pp. 97–118.</w:t>
      </w:r>
    </w:p>
    <w:p w14:paraId="5DC436C0" w14:textId="141A4C18"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lastRenderedPageBreak/>
        <w:t xml:space="preserve">Qian, L. and Chen, H. (2019) 'Strategic management control systems and performance measurement alignment', </w:t>
      </w:r>
      <w:r w:rsidRPr="002633C9">
        <w:rPr>
          <w:rFonts w:ascii="Arial" w:hAnsi="Arial" w:cs="Arial"/>
          <w:i/>
          <w:iCs/>
        </w:rPr>
        <w:t>International Journal of Production Economics</w:t>
      </w:r>
      <w:r w:rsidRPr="002633C9">
        <w:rPr>
          <w:rFonts w:ascii="Arial" w:hAnsi="Arial" w:cs="Arial"/>
        </w:rPr>
        <w:t>, 214, pp. 182–194.</w:t>
      </w:r>
    </w:p>
    <w:p w14:paraId="4B755B56" w14:textId="2B1281A4" w:rsidR="00270D13" w:rsidRPr="002633C9" w:rsidRDefault="00270D13" w:rsidP="00270D13">
      <w:pPr>
        <w:pStyle w:val="ListParagraph"/>
        <w:numPr>
          <w:ilvl w:val="0"/>
          <w:numId w:val="39"/>
        </w:numPr>
        <w:jc w:val="both"/>
        <w:rPr>
          <w:rFonts w:ascii="Arial" w:hAnsi="Arial" w:cs="Arial"/>
        </w:rPr>
      </w:pPr>
      <w:proofErr w:type="spellStart"/>
      <w:r w:rsidRPr="002633C9">
        <w:rPr>
          <w:rFonts w:ascii="Arial" w:hAnsi="Arial" w:cs="Arial"/>
        </w:rPr>
        <w:t>QuestionPro</w:t>
      </w:r>
      <w:proofErr w:type="spellEnd"/>
      <w:r w:rsidRPr="002633C9">
        <w:rPr>
          <w:rFonts w:ascii="Arial" w:hAnsi="Arial" w:cs="Arial"/>
        </w:rPr>
        <w:t xml:space="preserve"> (2023) </w:t>
      </w:r>
      <w:r w:rsidRPr="002633C9">
        <w:rPr>
          <w:rFonts w:ascii="Arial" w:hAnsi="Arial" w:cs="Arial"/>
          <w:i/>
          <w:iCs/>
        </w:rPr>
        <w:t>Digital Consumer Insights and Behavioral Shifts in UK QSR</w:t>
      </w:r>
      <w:r w:rsidRPr="002633C9">
        <w:rPr>
          <w:rFonts w:ascii="Arial" w:hAnsi="Arial" w:cs="Arial"/>
        </w:rPr>
        <w:t xml:space="preserve">. London: </w:t>
      </w:r>
      <w:proofErr w:type="spellStart"/>
      <w:r w:rsidRPr="002633C9">
        <w:rPr>
          <w:rFonts w:ascii="Arial" w:hAnsi="Arial" w:cs="Arial"/>
        </w:rPr>
        <w:t>QuestionPro</w:t>
      </w:r>
      <w:proofErr w:type="spellEnd"/>
      <w:r w:rsidRPr="002633C9">
        <w:rPr>
          <w:rFonts w:ascii="Arial" w:hAnsi="Arial" w:cs="Arial"/>
        </w:rPr>
        <w:t xml:space="preserve"> Research.</w:t>
      </w:r>
    </w:p>
    <w:p w14:paraId="703DC82F" w14:textId="411C6F9A" w:rsidR="00270D13" w:rsidRPr="002633C9" w:rsidRDefault="00270D13" w:rsidP="00270D13">
      <w:pPr>
        <w:pStyle w:val="ListParagraph"/>
        <w:numPr>
          <w:ilvl w:val="0"/>
          <w:numId w:val="39"/>
        </w:numPr>
        <w:jc w:val="both"/>
        <w:rPr>
          <w:rFonts w:ascii="Arial" w:hAnsi="Arial" w:cs="Arial"/>
        </w:rPr>
      </w:pPr>
      <w:proofErr w:type="spellStart"/>
      <w:r w:rsidRPr="002633C9">
        <w:rPr>
          <w:rFonts w:ascii="Arial" w:hAnsi="Arial" w:cs="Arial"/>
        </w:rPr>
        <w:t>Rumelt</w:t>
      </w:r>
      <w:proofErr w:type="spellEnd"/>
      <w:r w:rsidRPr="002633C9">
        <w:rPr>
          <w:rFonts w:ascii="Arial" w:hAnsi="Arial" w:cs="Arial"/>
        </w:rPr>
        <w:t xml:space="preserve">, R. P. (1974) </w:t>
      </w:r>
      <w:r w:rsidRPr="002633C9">
        <w:rPr>
          <w:rFonts w:ascii="Arial" w:hAnsi="Arial" w:cs="Arial"/>
          <w:i/>
          <w:iCs/>
        </w:rPr>
        <w:t>Strategy, Structure, and Economic Performance</w:t>
      </w:r>
      <w:r w:rsidRPr="002633C9">
        <w:rPr>
          <w:rFonts w:ascii="Arial" w:hAnsi="Arial" w:cs="Arial"/>
        </w:rPr>
        <w:t>. Boston: Harvard University Graduate School of Business Administration.</w:t>
      </w:r>
    </w:p>
    <w:p w14:paraId="0D359A07" w14:textId="68DE6934"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Saunders, M., Lewis, P. and Thornhill, A. (2019) </w:t>
      </w:r>
      <w:r w:rsidRPr="002633C9">
        <w:rPr>
          <w:rFonts w:ascii="Arial" w:hAnsi="Arial" w:cs="Arial"/>
          <w:i/>
          <w:iCs/>
        </w:rPr>
        <w:t>Research Methods for Business Students</w:t>
      </w:r>
      <w:r w:rsidRPr="002633C9">
        <w:rPr>
          <w:rFonts w:ascii="Arial" w:hAnsi="Arial" w:cs="Arial"/>
        </w:rPr>
        <w:t xml:space="preserve">. 8th </w:t>
      </w:r>
      <w:proofErr w:type="spellStart"/>
      <w:r w:rsidRPr="002633C9">
        <w:rPr>
          <w:rFonts w:ascii="Arial" w:hAnsi="Arial" w:cs="Arial"/>
        </w:rPr>
        <w:t>edn</w:t>
      </w:r>
      <w:proofErr w:type="spellEnd"/>
      <w:r w:rsidRPr="002633C9">
        <w:rPr>
          <w:rFonts w:ascii="Arial" w:hAnsi="Arial" w:cs="Arial"/>
        </w:rPr>
        <w:t>. Harlow: Pearson Education.</w:t>
      </w:r>
    </w:p>
    <w:p w14:paraId="5C62C832" w14:textId="7D094482"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Schaltegger, S. and Wagner, M. (2006) </w:t>
      </w:r>
      <w:r w:rsidRPr="002633C9">
        <w:rPr>
          <w:rFonts w:ascii="Arial" w:hAnsi="Arial" w:cs="Arial"/>
          <w:i/>
          <w:iCs/>
        </w:rPr>
        <w:t>Managing the Business Case for Sustainability</w:t>
      </w:r>
      <w:r w:rsidRPr="002633C9">
        <w:rPr>
          <w:rFonts w:ascii="Arial" w:hAnsi="Arial" w:cs="Arial"/>
        </w:rPr>
        <w:t>. Sheffield: Greenleaf Publishing.</w:t>
      </w:r>
    </w:p>
    <w:p w14:paraId="54A71535" w14:textId="6C529D87"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Schein, E. H. (1999) </w:t>
      </w:r>
      <w:r w:rsidRPr="002633C9">
        <w:rPr>
          <w:rFonts w:ascii="Arial" w:hAnsi="Arial" w:cs="Arial"/>
          <w:i/>
          <w:iCs/>
        </w:rPr>
        <w:t>Process Consultation Revisited: Building the Helping Relationship</w:t>
      </w:r>
      <w:r w:rsidRPr="002633C9">
        <w:rPr>
          <w:rFonts w:ascii="Arial" w:hAnsi="Arial" w:cs="Arial"/>
        </w:rPr>
        <w:t>. Reading: Addison-Wesley.</w:t>
      </w:r>
    </w:p>
    <w:p w14:paraId="28E57370" w14:textId="3A53E260"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Spanos, Y. E., </w:t>
      </w:r>
      <w:proofErr w:type="spellStart"/>
      <w:r w:rsidRPr="002633C9">
        <w:rPr>
          <w:rFonts w:ascii="Arial" w:hAnsi="Arial" w:cs="Arial"/>
        </w:rPr>
        <w:t>Zaralis</w:t>
      </w:r>
      <w:proofErr w:type="spellEnd"/>
      <w:r w:rsidRPr="002633C9">
        <w:rPr>
          <w:rFonts w:ascii="Arial" w:hAnsi="Arial" w:cs="Arial"/>
        </w:rPr>
        <w:t xml:space="preserve">, G. and </w:t>
      </w:r>
      <w:proofErr w:type="spellStart"/>
      <w:r w:rsidRPr="002633C9">
        <w:rPr>
          <w:rFonts w:ascii="Arial" w:hAnsi="Arial" w:cs="Arial"/>
        </w:rPr>
        <w:t>Lioukas</w:t>
      </w:r>
      <w:proofErr w:type="spellEnd"/>
      <w:r w:rsidRPr="002633C9">
        <w:rPr>
          <w:rFonts w:ascii="Arial" w:hAnsi="Arial" w:cs="Arial"/>
        </w:rPr>
        <w:t xml:space="preserve">, S. (2004) 'Strategy and industry effects on profitability: a structural equation approach', </w:t>
      </w:r>
      <w:r w:rsidRPr="002633C9">
        <w:rPr>
          <w:rFonts w:ascii="Arial" w:hAnsi="Arial" w:cs="Arial"/>
          <w:i/>
          <w:iCs/>
        </w:rPr>
        <w:t>Strategic Management Journal</w:t>
      </w:r>
      <w:r w:rsidRPr="002633C9">
        <w:rPr>
          <w:rFonts w:ascii="Arial" w:hAnsi="Arial" w:cs="Arial"/>
        </w:rPr>
        <w:t>, 25(2), pp. 139–165.</w:t>
      </w:r>
    </w:p>
    <w:p w14:paraId="058A59B8" w14:textId="536C81FA"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Statista (2024) </w:t>
      </w:r>
      <w:r w:rsidRPr="002633C9">
        <w:rPr>
          <w:rFonts w:ascii="Arial" w:hAnsi="Arial" w:cs="Arial"/>
          <w:i/>
          <w:iCs/>
        </w:rPr>
        <w:t>UK Fast Food Market Data, Demographics and Market Share Analysis</w:t>
      </w:r>
      <w:r w:rsidRPr="002633C9">
        <w:rPr>
          <w:rFonts w:ascii="Arial" w:hAnsi="Arial" w:cs="Arial"/>
        </w:rPr>
        <w:t>. London: Statista Research.</w:t>
      </w:r>
    </w:p>
    <w:p w14:paraId="27A0AD01" w14:textId="2A60115E"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Teece, D. J., Pisano, G. and </w:t>
      </w:r>
      <w:proofErr w:type="spellStart"/>
      <w:r w:rsidRPr="002633C9">
        <w:rPr>
          <w:rFonts w:ascii="Arial" w:hAnsi="Arial" w:cs="Arial"/>
        </w:rPr>
        <w:t>Shuen</w:t>
      </w:r>
      <w:proofErr w:type="spellEnd"/>
      <w:r w:rsidRPr="002633C9">
        <w:rPr>
          <w:rFonts w:ascii="Arial" w:hAnsi="Arial" w:cs="Arial"/>
        </w:rPr>
        <w:t xml:space="preserve">, A. (1997) 'Dynamic capabilities and strategic management', </w:t>
      </w:r>
      <w:r w:rsidRPr="002633C9">
        <w:rPr>
          <w:rFonts w:ascii="Arial" w:hAnsi="Arial" w:cs="Arial"/>
          <w:i/>
          <w:iCs/>
        </w:rPr>
        <w:t>Strategic Management Journal</w:t>
      </w:r>
      <w:r w:rsidRPr="002633C9">
        <w:rPr>
          <w:rFonts w:ascii="Arial" w:hAnsi="Arial" w:cs="Arial"/>
        </w:rPr>
        <w:t>, 18(7), pp. 509–533.</w:t>
      </w:r>
    </w:p>
    <w:p w14:paraId="5A19CBF0" w14:textId="6E19173A"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UK Government (2024) </w:t>
      </w:r>
      <w:r w:rsidRPr="002633C9">
        <w:rPr>
          <w:rFonts w:ascii="Arial" w:hAnsi="Arial" w:cs="Arial"/>
          <w:i/>
          <w:iCs/>
        </w:rPr>
        <w:t>National Living Wage and Employer Cost Adjustments Report</w:t>
      </w:r>
      <w:r w:rsidRPr="002633C9">
        <w:rPr>
          <w:rFonts w:ascii="Arial" w:hAnsi="Arial" w:cs="Arial"/>
        </w:rPr>
        <w:t>. London: HM Government.</w:t>
      </w:r>
    </w:p>
    <w:p w14:paraId="2AB1A874" w14:textId="2AA6A9D7"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UKGBC (2019) </w:t>
      </w:r>
      <w:r w:rsidRPr="002633C9">
        <w:rPr>
          <w:rFonts w:ascii="Arial" w:hAnsi="Arial" w:cs="Arial"/>
          <w:i/>
          <w:iCs/>
        </w:rPr>
        <w:t>Net Zero Carbon Buildings: A Framework Definition</w:t>
      </w:r>
      <w:r w:rsidRPr="002633C9">
        <w:rPr>
          <w:rFonts w:ascii="Arial" w:hAnsi="Arial" w:cs="Arial"/>
        </w:rPr>
        <w:t>. London: UK Green Building Council.</w:t>
      </w:r>
    </w:p>
    <w:p w14:paraId="7C98440D" w14:textId="6B488DBE"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UKGBC (2023) </w:t>
      </w:r>
      <w:r w:rsidRPr="002633C9">
        <w:rPr>
          <w:rFonts w:ascii="Arial" w:hAnsi="Arial" w:cs="Arial"/>
          <w:i/>
          <w:iCs/>
        </w:rPr>
        <w:t>Sustainable Construction and Low-Carbon Building Standards</w:t>
      </w:r>
      <w:r w:rsidRPr="002633C9">
        <w:rPr>
          <w:rFonts w:ascii="Arial" w:hAnsi="Arial" w:cs="Arial"/>
        </w:rPr>
        <w:t>. London: UK Green Building Council.</w:t>
      </w:r>
    </w:p>
    <w:p w14:paraId="7877A5B9" w14:textId="6B5C193F" w:rsidR="00270D13" w:rsidRPr="002633C9" w:rsidRDefault="00270D13" w:rsidP="00270D13">
      <w:pPr>
        <w:pStyle w:val="ListParagraph"/>
        <w:numPr>
          <w:ilvl w:val="0"/>
          <w:numId w:val="39"/>
        </w:numPr>
        <w:jc w:val="both"/>
        <w:rPr>
          <w:rFonts w:ascii="Arial" w:hAnsi="Arial" w:cs="Arial"/>
        </w:rPr>
      </w:pPr>
      <w:r w:rsidRPr="002633C9">
        <w:rPr>
          <w:rFonts w:ascii="Arial" w:hAnsi="Arial" w:cs="Arial"/>
        </w:rPr>
        <w:t xml:space="preserve">Vitasek, K. and </w:t>
      </w:r>
      <w:proofErr w:type="spellStart"/>
      <w:r w:rsidRPr="002633C9">
        <w:rPr>
          <w:rFonts w:ascii="Arial" w:hAnsi="Arial" w:cs="Arial"/>
        </w:rPr>
        <w:t>Manrodt</w:t>
      </w:r>
      <w:proofErr w:type="spellEnd"/>
      <w:r w:rsidRPr="002633C9">
        <w:rPr>
          <w:rFonts w:ascii="Arial" w:hAnsi="Arial" w:cs="Arial"/>
        </w:rPr>
        <w:t xml:space="preserve">, K. (2022) </w:t>
      </w:r>
      <w:r w:rsidRPr="002633C9">
        <w:rPr>
          <w:rFonts w:ascii="Arial" w:hAnsi="Arial" w:cs="Arial"/>
          <w:i/>
          <w:iCs/>
        </w:rPr>
        <w:t>Vested Outsourcing and Strategic Supplier Relationships: McDonald’s Secret Sauce</w:t>
      </w:r>
      <w:r w:rsidRPr="002633C9">
        <w:rPr>
          <w:rFonts w:ascii="Arial" w:hAnsi="Arial" w:cs="Arial"/>
        </w:rPr>
        <w:t>. Haslam College of Business, University of Tennessee.</w:t>
      </w:r>
    </w:p>
    <w:p w14:paraId="4441050C" w14:textId="77777777" w:rsidR="00270D13" w:rsidRPr="002633C9" w:rsidRDefault="00270D13" w:rsidP="00B9392B">
      <w:pPr>
        <w:jc w:val="both"/>
        <w:rPr>
          <w:rFonts w:ascii="Arial" w:hAnsi="Arial" w:cs="Arial"/>
        </w:rPr>
      </w:pPr>
    </w:p>
    <w:sectPr w:rsidR="00270D13" w:rsidRPr="002633C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4D496" w14:textId="77777777" w:rsidR="003F0F87" w:rsidRDefault="003F0F87" w:rsidP="006F09D6">
      <w:pPr>
        <w:spacing w:after="0" w:line="240" w:lineRule="auto"/>
      </w:pPr>
      <w:r>
        <w:separator/>
      </w:r>
    </w:p>
  </w:endnote>
  <w:endnote w:type="continuationSeparator" w:id="0">
    <w:p w14:paraId="01F51ABB" w14:textId="77777777" w:rsidR="003F0F87" w:rsidRDefault="003F0F87" w:rsidP="006F0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402991"/>
      <w:docPartObj>
        <w:docPartGallery w:val="Page Numbers (Bottom of Page)"/>
        <w:docPartUnique/>
      </w:docPartObj>
    </w:sdtPr>
    <w:sdtEndPr>
      <w:rPr>
        <w:noProof/>
      </w:rPr>
    </w:sdtEndPr>
    <w:sdtContent>
      <w:p w14:paraId="21991081" w14:textId="4C58930A" w:rsidR="006F09D6" w:rsidRDefault="006F09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E67E1D" w14:textId="77777777" w:rsidR="006F09D6" w:rsidRDefault="006F0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D203B" w14:textId="77777777" w:rsidR="003F0F87" w:rsidRDefault="003F0F87" w:rsidP="006F09D6">
      <w:pPr>
        <w:spacing w:after="0" w:line="240" w:lineRule="auto"/>
      </w:pPr>
      <w:r>
        <w:separator/>
      </w:r>
    </w:p>
  </w:footnote>
  <w:footnote w:type="continuationSeparator" w:id="0">
    <w:p w14:paraId="1A3F04A4" w14:textId="77777777" w:rsidR="003F0F87" w:rsidRDefault="003F0F87" w:rsidP="006F0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34058"/>
    <w:multiLevelType w:val="hybridMultilevel"/>
    <w:tmpl w:val="F55A04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3F3440"/>
    <w:multiLevelType w:val="hybridMultilevel"/>
    <w:tmpl w:val="63B8D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B32B39"/>
    <w:multiLevelType w:val="hybridMultilevel"/>
    <w:tmpl w:val="C2B4E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F01BF2"/>
    <w:multiLevelType w:val="hybridMultilevel"/>
    <w:tmpl w:val="78B2A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285F5A"/>
    <w:multiLevelType w:val="hybridMultilevel"/>
    <w:tmpl w:val="3C48F978"/>
    <w:lvl w:ilvl="0" w:tplc="870A16F6">
      <w:start w:val="1"/>
      <w:numFmt w:val="decimal"/>
      <w:lvlText w:val="%1."/>
      <w:lvlJc w:val="left"/>
      <w:pPr>
        <w:ind w:left="720" w:hanging="360"/>
      </w:pPr>
      <w:rPr>
        <w:rFonts w:asciiTheme="minorHAnsi" w:hAnsiTheme="minorHAnsi" w:cstheme="minorBid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9D7F30"/>
    <w:multiLevelType w:val="hybridMultilevel"/>
    <w:tmpl w:val="642C5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FF493D"/>
    <w:multiLevelType w:val="hybridMultilevel"/>
    <w:tmpl w:val="B58AF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9F7A60"/>
    <w:multiLevelType w:val="hybridMultilevel"/>
    <w:tmpl w:val="A6800D6E"/>
    <w:lvl w:ilvl="0" w:tplc="5F1AF17C">
      <w:start w:val="1"/>
      <w:numFmt w:val="decimal"/>
      <w:lvlText w:val="%1."/>
      <w:lvlJc w:val="left"/>
      <w:pPr>
        <w:ind w:left="720" w:hanging="360"/>
      </w:pPr>
      <w:rPr>
        <w:rFonts w:asciiTheme="minorHAnsi" w:hAnsiTheme="minorHAnsi" w:cstheme="minorBid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D021EF"/>
    <w:multiLevelType w:val="hybridMultilevel"/>
    <w:tmpl w:val="1A2ED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7F2866"/>
    <w:multiLevelType w:val="hybridMultilevel"/>
    <w:tmpl w:val="06BA6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5413FA"/>
    <w:multiLevelType w:val="hybridMultilevel"/>
    <w:tmpl w:val="C0E0E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71B7B78"/>
    <w:multiLevelType w:val="hybridMultilevel"/>
    <w:tmpl w:val="143E0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7F7BF8"/>
    <w:multiLevelType w:val="hybridMultilevel"/>
    <w:tmpl w:val="65E09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D830F3"/>
    <w:multiLevelType w:val="hybridMultilevel"/>
    <w:tmpl w:val="DF2C2E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0241CC0"/>
    <w:multiLevelType w:val="hybridMultilevel"/>
    <w:tmpl w:val="544C4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11D5947"/>
    <w:multiLevelType w:val="hybridMultilevel"/>
    <w:tmpl w:val="94588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800A11"/>
    <w:multiLevelType w:val="hybridMultilevel"/>
    <w:tmpl w:val="BE08D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5230EF"/>
    <w:multiLevelType w:val="hybridMultilevel"/>
    <w:tmpl w:val="EDB0F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F7B2031"/>
    <w:multiLevelType w:val="hybridMultilevel"/>
    <w:tmpl w:val="950C83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FBD005B"/>
    <w:multiLevelType w:val="hybridMultilevel"/>
    <w:tmpl w:val="9FDA1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0D2036"/>
    <w:multiLevelType w:val="hybridMultilevel"/>
    <w:tmpl w:val="B9383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2D77FB8"/>
    <w:multiLevelType w:val="hybridMultilevel"/>
    <w:tmpl w:val="A00422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3845370"/>
    <w:multiLevelType w:val="hybridMultilevel"/>
    <w:tmpl w:val="801C34D6"/>
    <w:lvl w:ilvl="0" w:tplc="D7F800C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43F96F9F"/>
    <w:multiLevelType w:val="hybridMultilevel"/>
    <w:tmpl w:val="0F50A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AAA2060"/>
    <w:multiLevelType w:val="hybridMultilevel"/>
    <w:tmpl w:val="6E90F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32274BB"/>
    <w:multiLevelType w:val="hybridMultilevel"/>
    <w:tmpl w:val="266A08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4632EEF"/>
    <w:multiLevelType w:val="hybridMultilevel"/>
    <w:tmpl w:val="6C267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730D8C"/>
    <w:multiLevelType w:val="hybridMultilevel"/>
    <w:tmpl w:val="AADEA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4F6CA7"/>
    <w:multiLevelType w:val="hybridMultilevel"/>
    <w:tmpl w:val="25F0B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13E4300"/>
    <w:multiLevelType w:val="hybridMultilevel"/>
    <w:tmpl w:val="A95843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629063C"/>
    <w:multiLevelType w:val="hybridMultilevel"/>
    <w:tmpl w:val="BB0A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75F0364"/>
    <w:multiLevelType w:val="hybridMultilevel"/>
    <w:tmpl w:val="9CDAC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8FF4E1F"/>
    <w:multiLevelType w:val="hybridMultilevel"/>
    <w:tmpl w:val="F2508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AA473B3"/>
    <w:multiLevelType w:val="hybridMultilevel"/>
    <w:tmpl w:val="D0DC1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BEC0FB0"/>
    <w:multiLevelType w:val="multilevel"/>
    <w:tmpl w:val="16AE5692"/>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71D83025"/>
    <w:multiLevelType w:val="hybridMultilevel"/>
    <w:tmpl w:val="8652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42631BE"/>
    <w:multiLevelType w:val="hybridMultilevel"/>
    <w:tmpl w:val="2B06F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5911F2E"/>
    <w:multiLevelType w:val="hybridMultilevel"/>
    <w:tmpl w:val="250231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7A83E98"/>
    <w:multiLevelType w:val="hybridMultilevel"/>
    <w:tmpl w:val="40DA4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F86B33"/>
    <w:multiLevelType w:val="multilevel"/>
    <w:tmpl w:val="C8365A42"/>
    <w:lvl w:ilvl="0">
      <w:start w:val="1"/>
      <w:numFmt w:val="decimal"/>
      <w:lvlText w:val="%1"/>
      <w:lvlJc w:val="left"/>
      <w:pPr>
        <w:ind w:left="384" w:hanging="38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0" w15:restartNumberingAfterBreak="0">
    <w:nsid w:val="7CF234E5"/>
    <w:multiLevelType w:val="hybridMultilevel"/>
    <w:tmpl w:val="C4209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DE93082"/>
    <w:multiLevelType w:val="hybridMultilevel"/>
    <w:tmpl w:val="53323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E211D09"/>
    <w:multiLevelType w:val="hybridMultilevel"/>
    <w:tmpl w:val="2430A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F984909"/>
    <w:multiLevelType w:val="multilevel"/>
    <w:tmpl w:val="616A7688"/>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126580513">
    <w:abstractNumId w:val="34"/>
  </w:num>
  <w:num w:numId="2" w16cid:durableId="1944072952">
    <w:abstractNumId w:val="39"/>
  </w:num>
  <w:num w:numId="3" w16cid:durableId="1619334959">
    <w:abstractNumId w:val="43"/>
  </w:num>
  <w:num w:numId="4" w16cid:durableId="604385382">
    <w:abstractNumId w:val="22"/>
  </w:num>
  <w:num w:numId="5" w16cid:durableId="442264847">
    <w:abstractNumId w:val="7"/>
  </w:num>
  <w:num w:numId="6" w16cid:durableId="1028413497">
    <w:abstractNumId w:val="29"/>
  </w:num>
  <w:num w:numId="7" w16cid:durableId="1747917373">
    <w:abstractNumId w:val="4"/>
  </w:num>
  <w:num w:numId="8" w16cid:durableId="333849880">
    <w:abstractNumId w:val="21"/>
  </w:num>
  <w:num w:numId="9" w16cid:durableId="61609851">
    <w:abstractNumId w:val="38"/>
  </w:num>
  <w:num w:numId="10" w16cid:durableId="1864434815">
    <w:abstractNumId w:val="6"/>
  </w:num>
  <w:num w:numId="11" w16cid:durableId="368914498">
    <w:abstractNumId w:val="1"/>
  </w:num>
  <w:num w:numId="12" w16cid:durableId="747390015">
    <w:abstractNumId w:val="30"/>
  </w:num>
  <w:num w:numId="13" w16cid:durableId="1884095191">
    <w:abstractNumId w:val="12"/>
  </w:num>
  <w:num w:numId="14" w16cid:durableId="1994487414">
    <w:abstractNumId w:val="26"/>
  </w:num>
  <w:num w:numId="15" w16cid:durableId="1693218610">
    <w:abstractNumId w:val="37"/>
  </w:num>
  <w:num w:numId="16" w16cid:durableId="1215385254">
    <w:abstractNumId w:val="0"/>
  </w:num>
  <w:num w:numId="17" w16cid:durableId="1357924012">
    <w:abstractNumId w:val="32"/>
  </w:num>
  <w:num w:numId="18" w16cid:durableId="367679810">
    <w:abstractNumId w:val="13"/>
  </w:num>
  <w:num w:numId="19" w16cid:durableId="1100878157">
    <w:abstractNumId w:val="10"/>
  </w:num>
  <w:num w:numId="20" w16cid:durableId="1723209177">
    <w:abstractNumId w:val="18"/>
  </w:num>
  <w:num w:numId="21" w16cid:durableId="1496726682">
    <w:abstractNumId w:val="25"/>
  </w:num>
  <w:num w:numId="22" w16cid:durableId="268590324">
    <w:abstractNumId w:val="28"/>
  </w:num>
  <w:num w:numId="23" w16cid:durableId="543949139">
    <w:abstractNumId w:val="41"/>
  </w:num>
  <w:num w:numId="24" w16cid:durableId="1488789902">
    <w:abstractNumId w:val="36"/>
  </w:num>
  <w:num w:numId="25" w16cid:durableId="1144615784">
    <w:abstractNumId w:val="5"/>
  </w:num>
  <w:num w:numId="26" w16cid:durableId="1155074770">
    <w:abstractNumId w:val="27"/>
  </w:num>
  <w:num w:numId="27" w16cid:durableId="1726491476">
    <w:abstractNumId w:val="31"/>
  </w:num>
  <w:num w:numId="28" w16cid:durableId="849099760">
    <w:abstractNumId w:val="8"/>
  </w:num>
  <w:num w:numId="29" w16cid:durableId="1153447420">
    <w:abstractNumId w:val="14"/>
  </w:num>
  <w:num w:numId="30" w16cid:durableId="2025351714">
    <w:abstractNumId w:val="35"/>
  </w:num>
  <w:num w:numId="31" w16cid:durableId="1348868805">
    <w:abstractNumId w:val="17"/>
  </w:num>
  <w:num w:numId="32" w16cid:durableId="1928153380">
    <w:abstractNumId w:val="9"/>
  </w:num>
  <w:num w:numId="33" w16cid:durableId="472991231">
    <w:abstractNumId w:val="42"/>
  </w:num>
  <w:num w:numId="34" w16cid:durableId="2040160051">
    <w:abstractNumId w:val="40"/>
  </w:num>
  <w:num w:numId="35" w16cid:durableId="2028166297">
    <w:abstractNumId w:val="15"/>
  </w:num>
  <w:num w:numId="36" w16cid:durableId="15155377">
    <w:abstractNumId w:val="3"/>
  </w:num>
  <w:num w:numId="37" w16cid:durableId="2128038174">
    <w:abstractNumId w:val="19"/>
  </w:num>
  <w:num w:numId="38" w16cid:durableId="636570336">
    <w:abstractNumId w:val="20"/>
  </w:num>
  <w:num w:numId="39" w16cid:durableId="1622373392">
    <w:abstractNumId w:val="24"/>
  </w:num>
  <w:num w:numId="40" w16cid:durableId="311642277">
    <w:abstractNumId w:val="11"/>
  </w:num>
  <w:num w:numId="41" w16cid:durableId="2015180604">
    <w:abstractNumId w:val="23"/>
  </w:num>
  <w:num w:numId="42" w16cid:durableId="965158876">
    <w:abstractNumId w:val="33"/>
  </w:num>
  <w:num w:numId="43" w16cid:durableId="2049839402">
    <w:abstractNumId w:val="16"/>
  </w:num>
  <w:num w:numId="44" w16cid:durableId="3397014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10D"/>
    <w:rsid w:val="0000592E"/>
    <w:rsid w:val="00011694"/>
    <w:rsid w:val="00013A37"/>
    <w:rsid w:val="00024BDD"/>
    <w:rsid w:val="00034469"/>
    <w:rsid w:val="00042D37"/>
    <w:rsid w:val="000453C1"/>
    <w:rsid w:val="000552C7"/>
    <w:rsid w:val="00064B76"/>
    <w:rsid w:val="000714C1"/>
    <w:rsid w:val="0008146D"/>
    <w:rsid w:val="00093BE2"/>
    <w:rsid w:val="000B163C"/>
    <w:rsid w:val="000C0BA2"/>
    <w:rsid w:val="000C307A"/>
    <w:rsid w:val="000D4B74"/>
    <w:rsid w:val="000D61C8"/>
    <w:rsid w:val="000D777D"/>
    <w:rsid w:val="000F344F"/>
    <w:rsid w:val="00101EFF"/>
    <w:rsid w:val="00110FBA"/>
    <w:rsid w:val="00133C64"/>
    <w:rsid w:val="0013609B"/>
    <w:rsid w:val="0014075F"/>
    <w:rsid w:val="00161A07"/>
    <w:rsid w:val="00167851"/>
    <w:rsid w:val="00170952"/>
    <w:rsid w:val="001813BF"/>
    <w:rsid w:val="00184DFF"/>
    <w:rsid w:val="001A43DA"/>
    <w:rsid w:val="001B2E72"/>
    <w:rsid w:val="001B3BE0"/>
    <w:rsid w:val="001B72A8"/>
    <w:rsid w:val="001C6497"/>
    <w:rsid w:val="001E5EAB"/>
    <w:rsid w:val="001E6A0C"/>
    <w:rsid w:val="001F6BAC"/>
    <w:rsid w:val="00204804"/>
    <w:rsid w:val="00226020"/>
    <w:rsid w:val="002605FA"/>
    <w:rsid w:val="002633C9"/>
    <w:rsid w:val="00270D13"/>
    <w:rsid w:val="00274AE8"/>
    <w:rsid w:val="002834FE"/>
    <w:rsid w:val="00285422"/>
    <w:rsid w:val="00295D62"/>
    <w:rsid w:val="00296A28"/>
    <w:rsid w:val="002A1C96"/>
    <w:rsid w:val="002B6BC5"/>
    <w:rsid w:val="002C5938"/>
    <w:rsid w:val="002C7FFC"/>
    <w:rsid w:val="002E77DA"/>
    <w:rsid w:val="002F494E"/>
    <w:rsid w:val="002F5384"/>
    <w:rsid w:val="003023C0"/>
    <w:rsid w:val="00302E21"/>
    <w:rsid w:val="00315394"/>
    <w:rsid w:val="003263B1"/>
    <w:rsid w:val="003300D2"/>
    <w:rsid w:val="00333A59"/>
    <w:rsid w:val="00345C0E"/>
    <w:rsid w:val="0036382D"/>
    <w:rsid w:val="00365906"/>
    <w:rsid w:val="003671E1"/>
    <w:rsid w:val="0037628C"/>
    <w:rsid w:val="00380665"/>
    <w:rsid w:val="0038510F"/>
    <w:rsid w:val="00387B53"/>
    <w:rsid w:val="00392104"/>
    <w:rsid w:val="00395BAD"/>
    <w:rsid w:val="003A1E6B"/>
    <w:rsid w:val="003A2E93"/>
    <w:rsid w:val="003A7E9C"/>
    <w:rsid w:val="003C1722"/>
    <w:rsid w:val="003E09ED"/>
    <w:rsid w:val="003E15AA"/>
    <w:rsid w:val="003F0F87"/>
    <w:rsid w:val="003F3485"/>
    <w:rsid w:val="00417E17"/>
    <w:rsid w:val="00417F74"/>
    <w:rsid w:val="00434DAF"/>
    <w:rsid w:val="00441C5C"/>
    <w:rsid w:val="00442849"/>
    <w:rsid w:val="004468AC"/>
    <w:rsid w:val="00451215"/>
    <w:rsid w:val="004669C2"/>
    <w:rsid w:val="0046759A"/>
    <w:rsid w:val="00476969"/>
    <w:rsid w:val="004A29A8"/>
    <w:rsid w:val="004A52EB"/>
    <w:rsid w:val="004B017B"/>
    <w:rsid w:val="004B1363"/>
    <w:rsid w:val="004B32BD"/>
    <w:rsid w:val="004C200D"/>
    <w:rsid w:val="004E3342"/>
    <w:rsid w:val="004F2ED4"/>
    <w:rsid w:val="004F459C"/>
    <w:rsid w:val="005019C4"/>
    <w:rsid w:val="00503616"/>
    <w:rsid w:val="005043E8"/>
    <w:rsid w:val="005132B7"/>
    <w:rsid w:val="00515FDD"/>
    <w:rsid w:val="00516244"/>
    <w:rsid w:val="00523D25"/>
    <w:rsid w:val="005260DF"/>
    <w:rsid w:val="0053163E"/>
    <w:rsid w:val="00541422"/>
    <w:rsid w:val="0054347E"/>
    <w:rsid w:val="00544284"/>
    <w:rsid w:val="00550C6C"/>
    <w:rsid w:val="005544EB"/>
    <w:rsid w:val="00561637"/>
    <w:rsid w:val="00574E5A"/>
    <w:rsid w:val="00581B4B"/>
    <w:rsid w:val="005833A1"/>
    <w:rsid w:val="005D2396"/>
    <w:rsid w:val="005E2B49"/>
    <w:rsid w:val="005F40FC"/>
    <w:rsid w:val="005F581E"/>
    <w:rsid w:val="005F6E92"/>
    <w:rsid w:val="00604648"/>
    <w:rsid w:val="0060626A"/>
    <w:rsid w:val="00610177"/>
    <w:rsid w:val="00622B6C"/>
    <w:rsid w:val="00626957"/>
    <w:rsid w:val="00647020"/>
    <w:rsid w:val="0066108B"/>
    <w:rsid w:val="006622CA"/>
    <w:rsid w:val="00662310"/>
    <w:rsid w:val="00665172"/>
    <w:rsid w:val="00673771"/>
    <w:rsid w:val="006759C5"/>
    <w:rsid w:val="0068713C"/>
    <w:rsid w:val="0069226B"/>
    <w:rsid w:val="00694061"/>
    <w:rsid w:val="006A68F4"/>
    <w:rsid w:val="006E64A4"/>
    <w:rsid w:val="006F09D6"/>
    <w:rsid w:val="007153E2"/>
    <w:rsid w:val="007226E0"/>
    <w:rsid w:val="00724EE4"/>
    <w:rsid w:val="0072580C"/>
    <w:rsid w:val="00727B06"/>
    <w:rsid w:val="00735958"/>
    <w:rsid w:val="0074658F"/>
    <w:rsid w:val="00755851"/>
    <w:rsid w:val="00755BCE"/>
    <w:rsid w:val="0075610D"/>
    <w:rsid w:val="00774692"/>
    <w:rsid w:val="00792826"/>
    <w:rsid w:val="007A0C1B"/>
    <w:rsid w:val="007B05BB"/>
    <w:rsid w:val="007B6143"/>
    <w:rsid w:val="007D07EA"/>
    <w:rsid w:val="007E34F3"/>
    <w:rsid w:val="00801786"/>
    <w:rsid w:val="00823989"/>
    <w:rsid w:val="00823F7F"/>
    <w:rsid w:val="008310F4"/>
    <w:rsid w:val="00835900"/>
    <w:rsid w:val="00842EBD"/>
    <w:rsid w:val="00844753"/>
    <w:rsid w:val="0084638B"/>
    <w:rsid w:val="00861739"/>
    <w:rsid w:val="00875EC6"/>
    <w:rsid w:val="008769DB"/>
    <w:rsid w:val="00885D33"/>
    <w:rsid w:val="008904D3"/>
    <w:rsid w:val="008C2C89"/>
    <w:rsid w:val="008D1F66"/>
    <w:rsid w:val="008F2768"/>
    <w:rsid w:val="00915D17"/>
    <w:rsid w:val="00934F8A"/>
    <w:rsid w:val="0094373A"/>
    <w:rsid w:val="009664C2"/>
    <w:rsid w:val="00971461"/>
    <w:rsid w:val="0098099D"/>
    <w:rsid w:val="009824EF"/>
    <w:rsid w:val="00995D1C"/>
    <w:rsid w:val="009A4D03"/>
    <w:rsid w:val="009A5D4D"/>
    <w:rsid w:val="009A67FC"/>
    <w:rsid w:val="009A6F4A"/>
    <w:rsid w:val="009D063A"/>
    <w:rsid w:val="00A0086D"/>
    <w:rsid w:val="00A10B0A"/>
    <w:rsid w:val="00A154F2"/>
    <w:rsid w:val="00A448E8"/>
    <w:rsid w:val="00A6527F"/>
    <w:rsid w:val="00A731CA"/>
    <w:rsid w:val="00A825C7"/>
    <w:rsid w:val="00A84245"/>
    <w:rsid w:val="00A95A86"/>
    <w:rsid w:val="00A975BB"/>
    <w:rsid w:val="00AA012A"/>
    <w:rsid w:val="00AC55C3"/>
    <w:rsid w:val="00AF3611"/>
    <w:rsid w:val="00B02BD9"/>
    <w:rsid w:val="00B12A40"/>
    <w:rsid w:val="00B16EEE"/>
    <w:rsid w:val="00B3418F"/>
    <w:rsid w:val="00B42895"/>
    <w:rsid w:val="00B51FB4"/>
    <w:rsid w:val="00B52F8D"/>
    <w:rsid w:val="00B53A89"/>
    <w:rsid w:val="00B655AC"/>
    <w:rsid w:val="00B65C28"/>
    <w:rsid w:val="00B65CEC"/>
    <w:rsid w:val="00B9392B"/>
    <w:rsid w:val="00B94228"/>
    <w:rsid w:val="00B942D4"/>
    <w:rsid w:val="00B94404"/>
    <w:rsid w:val="00BA3DF3"/>
    <w:rsid w:val="00BA5E26"/>
    <w:rsid w:val="00BB65BC"/>
    <w:rsid w:val="00BC216F"/>
    <w:rsid w:val="00BF1AAC"/>
    <w:rsid w:val="00C1433F"/>
    <w:rsid w:val="00C3098C"/>
    <w:rsid w:val="00C30F03"/>
    <w:rsid w:val="00C439EB"/>
    <w:rsid w:val="00C520DB"/>
    <w:rsid w:val="00C6611F"/>
    <w:rsid w:val="00C81AE9"/>
    <w:rsid w:val="00C8398A"/>
    <w:rsid w:val="00C9268C"/>
    <w:rsid w:val="00C97DA4"/>
    <w:rsid w:val="00CD0A6A"/>
    <w:rsid w:val="00CD0B7A"/>
    <w:rsid w:val="00CD2A51"/>
    <w:rsid w:val="00CD31FC"/>
    <w:rsid w:val="00CF1CEF"/>
    <w:rsid w:val="00CF1F05"/>
    <w:rsid w:val="00CF4929"/>
    <w:rsid w:val="00CF6669"/>
    <w:rsid w:val="00D0271A"/>
    <w:rsid w:val="00D04A48"/>
    <w:rsid w:val="00D165AB"/>
    <w:rsid w:val="00D60274"/>
    <w:rsid w:val="00D6708A"/>
    <w:rsid w:val="00D67D40"/>
    <w:rsid w:val="00D7404D"/>
    <w:rsid w:val="00D74CE1"/>
    <w:rsid w:val="00DA43C3"/>
    <w:rsid w:val="00DA75DE"/>
    <w:rsid w:val="00DC7677"/>
    <w:rsid w:val="00DD7B5F"/>
    <w:rsid w:val="00E006C1"/>
    <w:rsid w:val="00E0461E"/>
    <w:rsid w:val="00E33B46"/>
    <w:rsid w:val="00E4169E"/>
    <w:rsid w:val="00E44D47"/>
    <w:rsid w:val="00E5504A"/>
    <w:rsid w:val="00E57493"/>
    <w:rsid w:val="00E625FD"/>
    <w:rsid w:val="00E62B7D"/>
    <w:rsid w:val="00E94A13"/>
    <w:rsid w:val="00EA65BA"/>
    <w:rsid w:val="00EC2F7B"/>
    <w:rsid w:val="00EC6780"/>
    <w:rsid w:val="00ED2FFA"/>
    <w:rsid w:val="00EE196A"/>
    <w:rsid w:val="00EF70B0"/>
    <w:rsid w:val="00F01F87"/>
    <w:rsid w:val="00F0674C"/>
    <w:rsid w:val="00F240E5"/>
    <w:rsid w:val="00F26B0D"/>
    <w:rsid w:val="00F26DFB"/>
    <w:rsid w:val="00F40428"/>
    <w:rsid w:val="00F62D8B"/>
    <w:rsid w:val="00F65FE7"/>
    <w:rsid w:val="00F730FB"/>
    <w:rsid w:val="00F96450"/>
    <w:rsid w:val="00F971E0"/>
    <w:rsid w:val="00FA420D"/>
    <w:rsid w:val="00FB29A8"/>
    <w:rsid w:val="00FD042A"/>
    <w:rsid w:val="00FD4079"/>
    <w:rsid w:val="00FD793D"/>
    <w:rsid w:val="00FE0A19"/>
    <w:rsid w:val="00FE3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A587F"/>
  <w15:chartTrackingRefBased/>
  <w15:docId w15:val="{7B30E849-B6CA-4419-9289-E6823BBE7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1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61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61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61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61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61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1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1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1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1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61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61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61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61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61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1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1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10D"/>
    <w:rPr>
      <w:rFonts w:eastAsiaTheme="majorEastAsia" w:cstheme="majorBidi"/>
      <w:color w:val="272727" w:themeColor="text1" w:themeTint="D8"/>
    </w:rPr>
  </w:style>
  <w:style w:type="paragraph" w:styleId="Title">
    <w:name w:val="Title"/>
    <w:basedOn w:val="Normal"/>
    <w:next w:val="Normal"/>
    <w:link w:val="TitleChar"/>
    <w:uiPriority w:val="10"/>
    <w:qFormat/>
    <w:rsid w:val="007561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1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1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1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10D"/>
    <w:pPr>
      <w:spacing w:before="160"/>
      <w:jc w:val="center"/>
    </w:pPr>
    <w:rPr>
      <w:i/>
      <w:iCs/>
      <w:color w:val="404040" w:themeColor="text1" w:themeTint="BF"/>
    </w:rPr>
  </w:style>
  <w:style w:type="character" w:customStyle="1" w:styleId="QuoteChar">
    <w:name w:val="Quote Char"/>
    <w:basedOn w:val="DefaultParagraphFont"/>
    <w:link w:val="Quote"/>
    <w:uiPriority w:val="29"/>
    <w:rsid w:val="0075610D"/>
    <w:rPr>
      <w:i/>
      <w:iCs/>
      <w:color w:val="404040" w:themeColor="text1" w:themeTint="BF"/>
    </w:rPr>
  </w:style>
  <w:style w:type="paragraph" w:styleId="ListParagraph">
    <w:name w:val="List Paragraph"/>
    <w:basedOn w:val="Normal"/>
    <w:uiPriority w:val="34"/>
    <w:qFormat/>
    <w:rsid w:val="0075610D"/>
    <w:pPr>
      <w:ind w:left="720"/>
      <w:contextualSpacing/>
    </w:pPr>
  </w:style>
  <w:style w:type="character" w:styleId="IntenseEmphasis">
    <w:name w:val="Intense Emphasis"/>
    <w:basedOn w:val="DefaultParagraphFont"/>
    <w:uiPriority w:val="21"/>
    <w:qFormat/>
    <w:rsid w:val="0075610D"/>
    <w:rPr>
      <w:i/>
      <w:iCs/>
      <w:color w:val="0F4761" w:themeColor="accent1" w:themeShade="BF"/>
    </w:rPr>
  </w:style>
  <w:style w:type="paragraph" w:styleId="IntenseQuote">
    <w:name w:val="Intense Quote"/>
    <w:basedOn w:val="Normal"/>
    <w:next w:val="Normal"/>
    <w:link w:val="IntenseQuoteChar"/>
    <w:uiPriority w:val="30"/>
    <w:qFormat/>
    <w:rsid w:val="007561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610D"/>
    <w:rPr>
      <w:i/>
      <w:iCs/>
      <w:color w:val="0F4761" w:themeColor="accent1" w:themeShade="BF"/>
    </w:rPr>
  </w:style>
  <w:style w:type="character" w:styleId="IntenseReference">
    <w:name w:val="Intense Reference"/>
    <w:basedOn w:val="DefaultParagraphFont"/>
    <w:uiPriority w:val="32"/>
    <w:qFormat/>
    <w:rsid w:val="0075610D"/>
    <w:rPr>
      <w:b/>
      <w:bCs/>
      <w:smallCaps/>
      <w:color w:val="0F4761" w:themeColor="accent1" w:themeShade="BF"/>
      <w:spacing w:val="5"/>
    </w:rPr>
  </w:style>
  <w:style w:type="table" w:styleId="TableGrid">
    <w:name w:val="Table Grid"/>
    <w:basedOn w:val="TableNormal"/>
    <w:uiPriority w:val="39"/>
    <w:rsid w:val="004F2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BA5E2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6F09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9D6"/>
  </w:style>
  <w:style w:type="paragraph" w:styleId="Footer">
    <w:name w:val="footer"/>
    <w:basedOn w:val="Normal"/>
    <w:link w:val="FooterChar"/>
    <w:uiPriority w:val="99"/>
    <w:unhideWhenUsed/>
    <w:rsid w:val="006F09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9D6"/>
  </w:style>
  <w:style w:type="table" w:styleId="GridTable5Dark">
    <w:name w:val="Grid Table 5 Dark"/>
    <w:basedOn w:val="TableNormal"/>
    <w:uiPriority w:val="50"/>
    <w:rsid w:val="00727B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styleId="Hyperlink">
    <w:name w:val="Hyperlink"/>
    <w:basedOn w:val="DefaultParagraphFont"/>
    <w:uiPriority w:val="99"/>
    <w:unhideWhenUsed/>
    <w:rsid w:val="00270D13"/>
    <w:rPr>
      <w:color w:val="467886" w:themeColor="hyperlink"/>
      <w:u w:val="single"/>
    </w:rPr>
  </w:style>
  <w:style w:type="character" w:styleId="UnresolvedMention">
    <w:name w:val="Unresolved Mention"/>
    <w:basedOn w:val="DefaultParagraphFont"/>
    <w:uiPriority w:val="99"/>
    <w:semiHidden/>
    <w:unhideWhenUsed/>
    <w:rsid w:val="00270D13"/>
    <w:rPr>
      <w:color w:val="605E5C"/>
      <w:shd w:val="clear" w:color="auto" w:fill="E1DFDD"/>
    </w:rPr>
  </w:style>
  <w:style w:type="paragraph" w:styleId="TOCHeading">
    <w:name w:val="TOC Heading"/>
    <w:basedOn w:val="Heading1"/>
    <w:next w:val="Normal"/>
    <w:uiPriority w:val="39"/>
    <w:unhideWhenUsed/>
    <w:qFormat/>
    <w:rsid w:val="005132B7"/>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5132B7"/>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5132B7"/>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5132B7"/>
    <w:pPr>
      <w:spacing w:after="100" w:line="259" w:lineRule="auto"/>
      <w:ind w:left="440"/>
    </w:pPr>
    <w:rPr>
      <w:rFonts w:eastAsiaTheme="minorEastAsia"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05087-1A65-4C04-9BDC-C5B85CE39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2056</TotalTime>
  <Pages>34</Pages>
  <Words>8755</Words>
  <Characters>49906</Characters>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Lotiwan</dc:creator>
  <cp:keywords/>
  <dc:description/>
  <cp:revision>32</cp:revision>
  <dcterms:created xsi:type="dcterms:W3CDTF">2026-07-01T20:45:00Z</dcterms:created>
  <dcterms:modified xsi:type="dcterms:W3CDTF">2026-08-13T14:40:00Z</dcterms:modified>
</cp:coreProperties>
</file>