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242CEF6" w:rsidRDefault="0242CEF6" w14:paraId="31BA6D40" w14:textId="1FA0AB1B">
      <w:r w:rsidR="0242CEF6">
        <w:rPr/>
        <w:t xml:space="preserve">The Celts were </w:t>
      </w:r>
      <w:r w:rsidR="70A1C8C7">
        <w:rPr/>
        <w:t xml:space="preserve">once </w:t>
      </w:r>
      <w:r w:rsidR="0242CEF6">
        <w:rPr/>
        <w:t>an Indo-European</w:t>
      </w:r>
      <w:r w:rsidR="0FCF2A43">
        <w:rPr/>
        <w:t xml:space="preserve"> </w:t>
      </w:r>
      <w:r w:rsidR="45673F23">
        <w:rPr/>
        <w:t xml:space="preserve">people </w:t>
      </w:r>
      <w:r w:rsidR="0FCF2A43">
        <w:rPr/>
        <w:t>who</w:t>
      </w:r>
      <w:r w:rsidR="39EA9B99">
        <w:rPr/>
        <w:t xml:space="preserve">, through </w:t>
      </w:r>
      <w:bookmarkStart w:name="_Int_6LMzxSFb" w:id="58573685"/>
      <w:r w:rsidR="39EA9B99">
        <w:rPr/>
        <w:t>a number of</w:t>
      </w:r>
      <w:bookmarkEnd w:id="58573685"/>
      <w:r w:rsidR="39EA9B99">
        <w:rPr/>
        <w:t xml:space="preserve"> tribes,</w:t>
      </w:r>
      <w:r w:rsidR="0FCF2A43">
        <w:rPr/>
        <w:t xml:space="preserve"> once spanned a majority of the European continent</w:t>
      </w:r>
      <w:r w:rsidR="24853192">
        <w:rPr/>
        <w:t xml:space="preserve"> from the second millennium BCE</w:t>
      </w:r>
      <w:r w:rsidR="0E4EB52D">
        <w:rPr/>
        <w:t>, in notable areas such as the British Isles, modern day France and the Balkans</w:t>
      </w:r>
      <w:r w:rsidR="2C9F91B5">
        <w:rPr/>
        <w:t>, along with many others</w:t>
      </w:r>
      <w:r w:rsidR="0E4EB52D">
        <w:rPr/>
        <w:t>.</w:t>
      </w:r>
      <w:r w:rsidRPr="4AAE51CB">
        <w:rPr>
          <w:rStyle w:val="FootnoteReference"/>
        </w:rPr>
        <w:footnoteReference w:id="7434"/>
      </w:r>
      <w:r w:rsidR="30A3B34F">
        <w:rPr/>
        <w:t xml:space="preserve"> In the modern day, the term ‘Celtic Nation’ is used</w:t>
      </w:r>
      <w:r w:rsidR="31C414B5">
        <w:rPr/>
        <w:t xml:space="preserve"> to refer to the nations of Wales, Ireland, Scotland, Cornwall, </w:t>
      </w:r>
      <w:r w:rsidR="31C414B5">
        <w:rPr/>
        <w:t>B</w:t>
      </w:r>
      <w:r w:rsidR="31C414B5">
        <w:rPr/>
        <w:t>ritanny</w:t>
      </w:r>
      <w:r w:rsidR="31C414B5">
        <w:rPr/>
        <w:t xml:space="preserve"> and the Isle of Man.</w:t>
      </w:r>
      <w:r w:rsidR="02CABC10">
        <w:rPr/>
        <w:t xml:space="preserve"> Like most cultural societal groups,</w:t>
      </w:r>
      <w:r w:rsidR="378C0A26">
        <w:rPr/>
        <w:t xml:space="preserve"> Celtic tribes had their own languages</w:t>
      </w:r>
      <w:r w:rsidR="152BECFC">
        <w:rPr/>
        <w:t xml:space="preserve">, and </w:t>
      </w:r>
      <w:r w:rsidR="0E341BC4">
        <w:rPr/>
        <w:t>a small number of these languages managed to survive even going into the 21</w:t>
      </w:r>
      <w:r w:rsidRPr="4AAE51CB" w:rsidR="0E341BC4">
        <w:rPr>
          <w:vertAlign w:val="superscript"/>
        </w:rPr>
        <w:t>st</w:t>
      </w:r>
      <w:r w:rsidR="0E341BC4">
        <w:rPr/>
        <w:t xml:space="preserve"> century.</w:t>
      </w:r>
      <w:r w:rsidR="152BECFC">
        <w:rPr/>
        <w:t xml:space="preserve"> </w:t>
      </w:r>
      <w:r w:rsidR="433DEB89">
        <w:rPr/>
        <w:t xml:space="preserve">The list of these surviving languages </w:t>
      </w:r>
      <w:r w:rsidR="15BC5342">
        <w:rPr/>
        <w:t xml:space="preserve">consists of </w:t>
      </w:r>
      <w:r w:rsidR="152BECFC">
        <w:rPr/>
        <w:t>Welsh (Cymraeg)</w:t>
      </w:r>
      <w:r w:rsidR="3CBDF33D">
        <w:rPr/>
        <w:t>, Irish (</w:t>
      </w:r>
      <w:r w:rsidR="3CBDF33D">
        <w:rPr/>
        <w:t>Gaeilge</w:t>
      </w:r>
      <w:r w:rsidR="3CBDF33D">
        <w:rPr/>
        <w:t xml:space="preserve">), Scots Gaelic (Gàidhlig), </w:t>
      </w:r>
      <w:r w:rsidR="4A53C67C">
        <w:rPr/>
        <w:t>Manx (</w:t>
      </w:r>
      <w:r w:rsidR="4A53C67C">
        <w:rPr/>
        <w:t>Gaelg</w:t>
      </w:r>
      <w:r w:rsidR="4A53C67C">
        <w:rPr/>
        <w:t>)</w:t>
      </w:r>
      <w:r w:rsidR="4B4398A1">
        <w:rPr/>
        <w:t xml:space="preserve"> and Breton (</w:t>
      </w:r>
      <w:r w:rsidR="4B4398A1">
        <w:rPr/>
        <w:t>Brezhoneg</w:t>
      </w:r>
      <w:r w:rsidR="4B4398A1">
        <w:rPr/>
        <w:t>).</w:t>
      </w:r>
      <w:r w:rsidRPr="4AAE51CB">
        <w:rPr>
          <w:rStyle w:val="FootnoteReference"/>
        </w:rPr>
        <w:footnoteReference w:id="29347"/>
      </w:r>
      <w:r w:rsidR="5027D9BB">
        <w:rPr/>
        <w:t xml:space="preserve"> </w:t>
      </w:r>
      <w:r w:rsidRPr="4AAE51CB">
        <w:rPr>
          <w:rStyle w:val="FootnoteReference"/>
        </w:rPr>
        <w:footnoteReference w:id="10366"/>
      </w:r>
      <w:r w:rsidR="5F17D3FF">
        <w:rPr/>
        <w:t xml:space="preserve"> Out of these surviving languages, Breton is the only one to still be spoken on conti</w:t>
      </w:r>
      <w:r w:rsidR="20F22C8E">
        <w:rPr/>
        <w:t xml:space="preserve">nental Europe, </w:t>
      </w:r>
      <w:r w:rsidR="20F22C8E">
        <w:rPr/>
        <w:t>whereas</w:t>
      </w:r>
      <w:r w:rsidR="20F22C8E">
        <w:rPr/>
        <w:t xml:space="preserve"> the rest are spoken on the British Isles.</w:t>
      </w:r>
      <w:r w:rsidR="11CF0064">
        <w:rPr/>
        <w:t xml:space="preserve"> Whilst these languages do survive in the present day, it is important to note that fluent speakers of these languages are the minority in each of their respective nations</w:t>
      </w:r>
      <w:r w:rsidR="38F6EB97">
        <w:rPr/>
        <w:t xml:space="preserve"> – for example, in Wales, </w:t>
      </w:r>
      <w:r w:rsidR="4106CC13">
        <w:rPr/>
        <w:t xml:space="preserve">the </w:t>
      </w:r>
      <w:r w:rsidR="001548A8">
        <w:rPr/>
        <w:t>Annual Population survey in 2021 showed that ~17% of the Welsh population could speak</w:t>
      </w:r>
      <w:r w:rsidR="0F3DEF2A">
        <w:rPr/>
        <w:t xml:space="preserve"> Welsh and the</w:t>
      </w:r>
      <w:r w:rsidR="2125C086">
        <w:rPr/>
        <w:t xml:space="preserve">n the</w:t>
      </w:r>
      <w:r w:rsidR="0F3DEF2A">
        <w:rPr/>
        <w:t xml:space="preserve"> 2025 estimate was that ~27 of the population could speak Welsh.</w:t>
      </w:r>
      <w:r w:rsidRPr="4AAE51CB">
        <w:rPr>
          <w:rStyle w:val="FootnoteReference"/>
        </w:rPr>
        <w:footnoteReference w:id="5955"/>
      </w:r>
    </w:p>
    <w:p w:rsidR="04075396" w:rsidRDefault="04075396" w14:paraId="5F1F2546" w14:textId="10397380">
      <w:r w:rsidR="04075396">
        <w:rPr/>
        <w:t xml:space="preserve">One example of a Celtic language that has gone extinct </w:t>
      </w:r>
      <w:r w:rsidR="36DD8814">
        <w:rPr/>
        <w:t xml:space="preserve">is the </w:t>
      </w:r>
      <w:r w:rsidR="36DD8814">
        <w:rPr/>
        <w:t>Ga</w:t>
      </w:r>
      <w:r w:rsidR="25535CE4">
        <w:rPr/>
        <w:t>u</w:t>
      </w:r>
      <w:r w:rsidR="36DD8814">
        <w:rPr/>
        <w:t>lish</w:t>
      </w:r>
      <w:r w:rsidR="36DD8814">
        <w:rPr/>
        <w:t xml:space="preserve"> language</w:t>
      </w:r>
      <w:r w:rsidR="0DBB074F">
        <w:rPr/>
        <w:t>.</w:t>
      </w:r>
      <w:r w:rsidR="7FDCAE54">
        <w:rPr/>
        <w:t xml:space="preserve"> In a simple sense, </w:t>
      </w:r>
      <w:r w:rsidR="7FDCAE54">
        <w:rPr/>
        <w:t xml:space="preserve">Gaulish</w:t>
      </w:r>
      <w:r w:rsidR="7FDCAE54">
        <w:rPr/>
        <w:t xml:space="preserve"> was the language spoken in the </w:t>
      </w:r>
      <w:r w:rsidR="186F9A00">
        <w:rPr/>
        <w:t xml:space="preserve">region of Gaul</w:t>
      </w:r>
      <w:r w:rsidRPr="7D0331E9">
        <w:rPr>
          <w:rStyle w:val="FootnoteReference"/>
        </w:rPr>
        <w:footnoteReference w:id="31196"/>
      </w:r>
      <w:r w:rsidR="19AD4C2A">
        <w:rPr/>
        <w:t>,</w:t>
      </w:r>
      <w:r w:rsidR="200F60DC">
        <w:rPr/>
        <w:t xml:space="preserve"> </w:t>
      </w:r>
      <w:r w:rsidR="32AF6E36">
        <w:rPr/>
        <w:t>wh</w:t>
      </w:r>
      <w:r w:rsidR="200F60DC">
        <w:rPr/>
        <w:t>ich</w:t>
      </w:r>
      <w:r w:rsidR="390797B5">
        <w:rPr/>
        <w:t xml:space="preserve"> was described by the Romans as consisting of what would now be</w:t>
      </w:r>
      <w:r w:rsidR="200F60DC">
        <w:rPr/>
        <w:t xml:space="preserve"> modern-day</w:t>
      </w:r>
      <w:r w:rsidR="0DD328FB">
        <w:rPr/>
        <w:t xml:space="preserve"> </w:t>
      </w:r>
      <w:r w:rsidR="200F60DC">
        <w:rPr/>
        <w:t>France, parts of Belgium, areas of Western Germany as we</w:t>
      </w:r>
      <w:r w:rsidR="277C1FEE">
        <w:rPr/>
        <w:t>ll as Northern Italy.</w:t>
      </w:r>
      <w:r w:rsidRPr="7D0331E9">
        <w:rPr>
          <w:rStyle w:val="FootnoteReference"/>
        </w:rPr>
        <w:footnoteReference w:id="16804"/>
      </w:r>
      <w:r w:rsidR="6BA8DB9D">
        <w:rPr/>
        <w:t xml:space="preserve"> </w:t>
      </w:r>
      <w:r w:rsidR="3C0E09C2">
        <w:rPr/>
        <w:t xml:space="preserve">However, in an alternative, broader sense, </w:t>
      </w:r>
      <w:r w:rsidR="53DFB1C6">
        <w:rPr/>
        <w:t xml:space="preserve">it can be said that </w:t>
      </w:r>
      <w:r w:rsidR="5130E97B">
        <w:rPr/>
        <w:t xml:space="preserve">the </w:t>
      </w:r>
      <w:r w:rsidR="5130E97B">
        <w:rPr/>
        <w:t>Gaulish</w:t>
      </w:r>
      <w:r w:rsidR="5130E97B">
        <w:rPr/>
        <w:t xml:space="preserve"> language </w:t>
      </w:r>
      <w:r w:rsidR="6FE1B686">
        <w:rPr/>
        <w:t>area of</w:t>
      </w:r>
      <w:r w:rsidR="53DFB1C6">
        <w:rPr/>
        <w:t xml:space="preserve"> </w:t>
      </w:r>
      <w:r w:rsidR="53DFB1C6">
        <w:rPr/>
        <w:t xml:space="preserve">Old Celtic Europe </w:t>
      </w:r>
      <w:r w:rsidR="069FA577">
        <w:rPr/>
        <w:t xml:space="preserve">consisted of all </w:t>
      </w:r>
      <w:r w:rsidR="23C0144C">
        <w:rPr/>
        <w:t xml:space="preserve">the </w:t>
      </w:r>
      <w:r w:rsidR="069FA577">
        <w:rPr/>
        <w:t xml:space="preserve">land </w:t>
      </w:r>
      <w:r w:rsidR="53DFB1C6">
        <w:rPr/>
        <w:t>that did not speak Lepontic or Celtiberian</w:t>
      </w:r>
      <w:r w:rsidR="76573B2A">
        <w:rPr/>
        <w:t>.</w:t>
      </w:r>
      <w:r w:rsidR="6B9D3937">
        <w:rPr/>
        <w:t xml:space="preserve"> </w:t>
      </w:r>
      <w:r w:rsidR="1820D125">
        <w:rPr/>
        <w:t xml:space="preserve">This</w:t>
      </w:r>
      <w:r w:rsidR="6B9D3937">
        <w:rPr/>
        <w:t xml:space="preserve"> would </w:t>
      </w:r>
      <w:r w:rsidR="48766654">
        <w:rPr/>
        <w:t xml:space="preserve">expand the </w:t>
      </w:r>
      <w:r w:rsidR="48766654">
        <w:rPr/>
        <w:t xml:space="preserve">Gaulish</w:t>
      </w:r>
      <w:r w:rsidR="48766654">
        <w:rPr/>
        <w:t xml:space="preserve"> language area to also </w:t>
      </w:r>
      <w:r w:rsidR="6B9D3937">
        <w:rPr/>
        <w:t xml:space="preserve">include areas of Europe such as </w:t>
      </w:r>
      <w:r w:rsidR="01108BE0">
        <w:rPr/>
        <w:t xml:space="preserve">Switzerland, </w:t>
      </w:r>
      <w:r w:rsidR="01108BE0">
        <w:rPr/>
        <w:t>Austria</w:t>
      </w:r>
      <w:r w:rsidR="01108BE0">
        <w:rPr/>
        <w:t xml:space="preserve"> and Bohemia</w:t>
      </w:r>
      <w:r w:rsidR="22B89900">
        <w:rPr/>
        <w:t xml:space="preserve">. This is from place and personal names in these areas being linguistically tied to </w:t>
      </w:r>
      <w:r w:rsidR="22B89900">
        <w:rPr/>
        <w:t>Gaulish</w:t>
      </w:r>
      <w:r w:rsidR="22B89900">
        <w:rPr/>
        <w:t xml:space="preserve"> with little exhibition of any differences</w:t>
      </w:r>
      <w:r w:rsidR="71F5006B">
        <w:rPr/>
        <w:t>.</w:t>
      </w:r>
      <w:r w:rsidRPr="7D0331E9">
        <w:rPr>
          <w:rStyle w:val="FootnoteReference"/>
        </w:rPr>
        <w:footnoteReference w:id="20561"/>
      </w:r>
      <w:r w:rsidR="51C314AF">
        <w:rPr/>
        <w:t xml:space="preserve"> The earliest period in which </w:t>
      </w:r>
      <w:r w:rsidR="51C314AF">
        <w:rPr/>
        <w:t xml:space="preserve">Gaulish</w:t>
      </w:r>
      <w:r w:rsidR="51C314AF">
        <w:rPr/>
        <w:t xml:space="preserve"> text can be found </w:t>
      </w:r>
      <w:r w:rsidR="389E1409">
        <w:rPr/>
        <w:t>ranges from the 3</w:t>
      </w:r>
      <w:r w:rsidRPr="7D0331E9" w:rsidR="389E1409">
        <w:rPr>
          <w:vertAlign w:val="superscript"/>
        </w:rPr>
        <w:t>rd</w:t>
      </w:r>
      <w:r w:rsidR="389E1409">
        <w:rPr/>
        <w:t xml:space="preserve"> to the 1</w:t>
      </w:r>
      <w:r w:rsidRPr="7D0331E9" w:rsidR="659E5630">
        <w:rPr>
          <w:vertAlign w:val="superscript"/>
        </w:rPr>
        <w:t>st</w:t>
      </w:r>
      <w:r w:rsidR="389E1409">
        <w:rPr/>
        <w:t xml:space="preserve"> </w:t>
      </w:r>
      <w:r w:rsidR="230EEF6A">
        <w:rPr/>
        <w:t xml:space="preserve">centuries </w:t>
      </w:r>
      <w:r w:rsidR="389E1409">
        <w:rPr/>
        <w:t>B.C.</w:t>
      </w:r>
      <w:r w:rsidR="389E1409">
        <w:rPr/>
        <w:t>E</w:t>
      </w:r>
      <w:r w:rsidR="7E0D280F">
        <w:rPr/>
        <w:t xml:space="preserve"> and the </w:t>
      </w:r>
      <w:r w:rsidR="7D39934E">
        <w:rPr/>
        <w:t xml:space="preserve">total attested period is from between a half and three quarters of a </w:t>
      </w:r>
      <w:r w:rsidR="7D39934E">
        <w:rPr/>
        <w:t>millenium</w:t>
      </w:r>
      <w:r w:rsidR="7D39934E">
        <w:rPr/>
        <w:t>.</w:t>
      </w:r>
      <w:r w:rsidRPr="64DFAE03">
        <w:rPr>
          <w:rStyle w:val="FootnoteReference"/>
        </w:rPr>
        <w:footnoteReference w:id="29331"/>
      </w:r>
      <w:r w:rsidR="74A78AC2">
        <w:rPr/>
        <w:t xml:space="preserve"> A</w:t>
      </w:r>
      <w:r w:rsidR="75903AA0">
        <w:rPr/>
        <w:t xml:space="preserve"> </w:t>
      </w:r>
      <w:r w:rsidR="75903AA0">
        <w:rPr/>
        <w:t>significant number</w:t>
      </w:r>
      <w:r w:rsidR="75903AA0">
        <w:rPr/>
        <w:t xml:space="preserve"> </w:t>
      </w:r>
      <w:r w:rsidR="2FE90B37">
        <w:rPr/>
        <w:t>of known</w:t>
      </w:r>
      <w:r w:rsidR="00F6F447">
        <w:rPr/>
        <w:t xml:space="preserve"> </w:t>
      </w:r>
      <w:r w:rsidR="00F6F447">
        <w:rPr/>
        <w:t>Gaulish</w:t>
      </w:r>
      <w:r w:rsidR="00F6F447">
        <w:rPr/>
        <w:t xml:space="preserve"> language inscriptions </w:t>
      </w:r>
      <w:r w:rsidR="530227B3">
        <w:rPr/>
        <w:t xml:space="preserve">that have been </w:t>
      </w:r>
      <w:r w:rsidR="5489F388">
        <w:rPr/>
        <w:t xml:space="preserve">found </w:t>
      </w:r>
      <w:r w:rsidR="299B217C">
        <w:rPr/>
        <w:t xml:space="preserve">across</w:t>
      </w:r>
      <w:r w:rsidR="5489F388">
        <w:rPr/>
        <w:t xml:space="preserve"> France </w:t>
      </w:r>
      <w:r w:rsidR="00F6F447">
        <w:rPr/>
        <w:t xml:space="preserve">are documented in the </w:t>
      </w:r>
      <w:r w:rsidR="00F6F447">
        <w:rPr/>
        <w:t>Recueil</w:t>
      </w:r>
      <w:r w:rsidR="00F6F447">
        <w:rPr/>
        <w:t xml:space="preserve"> des Inscriptions </w:t>
      </w:r>
      <w:r w:rsidR="00F6F447">
        <w:rPr/>
        <w:t>Gauloises</w:t>
      </w:r>
      <w:r w:rsidR="52A207DF">
        <w:rPr/>
        <w:t xml:space="preserve"> </w:t>
      </w:r>
      <w:r w:rsidR="346A5CE8">
        <w:rPr/>
        <w:t xml:space="preserve">which has been published across</w:t>
      </w:r>
      <w:r w:rsidR="52A207DF">
        <w:rPr/>
        <w:t xml:space="preserve"> four volumes</w:t>
      </w:r>
      <w:r w:rsidR="7B27A7B8">
        <w:rPr/>
        <w:t>.</w:t>
      </w:r>
    </w:p>
    <w:p w:rsidR="1D6DC5A5" w:rsidRDefault="1D6DC5A5" w14:paraId="107FEF98" w14:textId="00AEBBB2">
      <w:r w:rsidR="1D6DC5A5">
        <w:rPr/>
        <w:t xml:space="preserve">Across France, there are </w:t>
      </w:r>
      <w:bookmarkStart w:name="_Int_041UHOhs" w:id="1430924676"/>
      <w:r w:rsidR="1D6DC5A5">
        <w:rPr/>
        <w:t>a num</w:t>
      </w:r>
      <w:r w:rsidR="1D6DC5A5">
        <w:rPr/>
        <w:t>ber of</w:t>
      </w:r>
      <w:bookmarkEnd w:id="1430924676"/>
      <w:r w:rsidR="1D6DC5A5">
        <w:rPr/>
        <w:t xml:space="preserve"> </w:t>
      </w:r>
      <w:r w:rsidR="6F4F8520">
        <w:rPr/>
        <w:t xml:space="preserve">important </w:t>
      </w:r>
      <w:r w:rsidR="38CBB114">
        <w:rPr/>
        <w:t>archaeological sites</w:t>
      </w:r>
      <w:r w:rsidR="5BB41FA0">
        <w:rPr/>
        <w:t xml:space="preserve"> in which </w:t>
      </w:r>
      <w:r w:rsidR="4C4EA6B8">
        <w:rPr/>
        <w:t xml:space="preserve">remains</w:t>
      </w:r>
      <w:r w:rsidR="4C4EA6B8">
        <w:rPr/>
        <w:t xml:space="preserve"> of the </w:t>
      </w:r>
      <w:r w:rsidR="4C4EA6B8">
        <w:rPr/>
        <w:t>Gaulish</w:t>
      </w:r>
      <w:r w:rsidR="4C4EA6B8">
        <w:rPr/>
        <w:t xml:space="preserve"> language can be found</w:t>
      </w:r>
      <w:r w:rsidR="0775EA1F">
        <w:rPr/>
        <w:t xml:space="preserve">.</w:t>
      </w:r>
      <w:r w:rsidR="750EBD95">
        <w:rPr/>
        <w:t xml:space="preserve"> </w:t>
      </w:r>
      <w:r w:rsidR="3C1FC278">
        <w:rPr/>
        <w:t xml:space="preserve">For example, there is</w:t>
      </w:r>
      <w:r w:rsidR="750EBD95">
        <w:rPr/>
        <w:t xml:space="preserve"> Lutetia </w:t>
      </w:r>
      <w:r w:rsidR="703B834B">
        <w:rPr/>
        <w:t xml:space="preserve">in Paris,</w:t>
      </w:r>
      <w:r w:rsidR="2BFD309D">
        <w:rPr/>
        <w:t xml:space="preserve"> which sits</w:t>
      </w:r>
      <w:r w:rsidR="703B834B">
        <w:rPr/>
        <w:t xml:space="preserve"> </w:t>
      </w:r>
      <w:r w:rsidR="0A325B27">
        <w:rPr/>
        <w:t xml:space="preserve">on the site </w:t>
      </w:r>
      <w:r w:rsidR="703B834B">
        <w:rPr/>
        <w:t>where Notre-Dame Cathedral now stands</w:t>
      </w:r>
      <w:r w:rsidR="4C1C0368">
        <w:rPr/>
        <w:t xml:space="preserve">, </w:t>
      </w:r>
      <w:r w:rsidR="16C3064D">
        <w:rPr/>
        <w:t xml:space="preserve">where </w:t>
      </w:r>
      <w:r w:rsidR="4C1C0368">
        <w:rPr/>
        <w:t>the site of a temple to the Roman god Jupiter</w:t>
      </w:r>
      <w:r w:rsidR="32FC02C1">
        <w:rPr/>
        <w:t xml:space="preserve"> once stood</w:t>
      </w:r>
      <w:r w:rsidR="1D26CDEF">
        <w:rPr/>
        <w:t xml:space="preserve"> along with Gallic remains and an inscription in </w:t>
      </w:r>
      <w:r w:rsidR="1D26CDEF">
        <w:rPr/>
        <w:t>Gaulish</w:t>
      </w:r>
      <w:r w:rsidR="1D26CDEF">
        <w:rPr/>
        <w:t xml:space="preserve"> believed to be from the 1</w:t>
      </w:r>
      <w:r w:rsidRPr="23241460" w:rsidR="1D26CDEF">
        <w:rPr>
          <w:vertAlign w:val="superscript"/>
        </w:rPr>
        <w:t>st</w:t>
      </w:r>
      <w:r w:rsidR="1D26CDEF">
        <w:rPr/>
        <w:t xml:space="preserve"> century C.E</w:t>
      </w:r>
      <w:r w:rsidRPr="7D0331E9">
        <w:rPr>
          <w:rStyle w:val="FootnoteReference"/>
        </w:rPr>
        <w:footnoteReference w:id="31269"/>
      </w:r>
      <w:r w:rsidR="0AD718DD">
        <w:rPr/>
        <w:t xml:space="preserve"> or </w:t>
      </w:r>
      <w:r w:rsidR="11E9637C">
        <w:rPr/>
        <w:t xml:space="preserve">another example is </w:t>
      </w:r>
      <w:r w:rsidR="6E6DD15B">
        <w:rPr/>
        <w:t xml:space="preserve">near the church of </w:t>
      </w:r>
      <w:r w:rsidR="6E6DD15B">
        <w:rPr/>
        <w:t>Plumergat</w:t>
      </w:r>
      <w:r w:rsidR="6E6DD15B">
        <w:rPr/>
        <w:t xml:space="preserve"> in Brittany </w:t>
      </w:r>
      <w:r w:rsidR="15EDA3FE">
        <w:rPr/>
        <w:t xml:space="preserve">where there is an Iron Age stela bearing an inscription in </w:t>
      </w:r>
      <w:r w:rsidR="15EDA3FE">
        <w:rPr/>
        <w:t>Gaulish</w:t>
      </w:r>
      <w:r w:rsidR="15EDA3FE">
        <w:rPr/>
        <w:t xml:space="preserve"> from possibly either the 3</w:t>
      </w:r>
      <w:r w:rsidRPr="7D0331E9" w:rsidR="15EDA3FE">
        <w:rPr>
          <w:vertAlign w:val="superscript"/>
        </w:rPr>
        <w:t>rd</w:t>
      </w:r>
      <w:r w:rsidR="15EDA3FE">
        <w:rPr/>
        <w:t xml:space="preserve"> or 4</w:t>
      </w:r>
      <w:r w:rsidRPr="7D0331E9" w:rsidR="15EDA3FE">
        <w:rPr>
          <w:vertAlign w:val="superscript"/>
        </w:rPr>
        <w:t>th</w:t>
      </w:r>
      <w:r w:rsidR="15EDA3FE">
        <w:rPr/>
        <w:t xml:space="preserve"> century C.E.</w:t>
      </w:r>
      <w:r w:rsidRPr="7D0331E9">
        <w:rPr>
          <w:rStyle w:val="FootnoteReference"/>
        </w:rPr>
        <w:footnoteReference w:id="29703"/>
      </w:r>
      <w:r w:rsidR="05B881FD">
        <w:rPr/>
        <w:t xml:space="preserve"> Overall, the </w:t>
      </w:r>
      <w:r w:rsidR="05B881FD">
        <w:rPr/>
        <w:t>Recueil</w:t>
      </w:r>
      <w:r w:rsidR="05B881FD">
        <w:rPr/>
        <w:t xml:space="preserve"> </w:t>
      </w:r>
      <w:r w:rsidR="05B881FD">
        <w:rPr/>
        <w:t>Informatisé</w:t>
      </w:r>
      <w:r w:rsidR="05B881FD">
        <w:rPr/>
        <w:t xml:space="preserve"> des </w:t>
      </w:r>
      <w:r w:rsidR="3E596E6B">
        <w:rPr/>
        <w:t>I</w:t>
      </w:r>
      <w:r w:rsidR="05B881FD">
        <w:rPr/>
        <w:t xml:space="preserve">nscriptions </w:t>
      </w:r>
      <w:r w:rsidR="27C79FA5">
        <w:rPr/>
        <w:t>G</w:t>
      </w:r>
      <w:r w:rsidR="05B881FD">
        <w:rPr/>
        <w:t>auloises</w:t>
      </w:r>
      <w:r w:rsidR="3AE750F7">
        <w:rPr/>
        <w:t xml:space="preserve"> – </w:t>
      </w:r>
      <w:r w:rsidR="461CD15D">
        <w:rPr/>
        <w:t xml:space="preserve">which is </w:t>
      </w:r>
      <w:r w:rsidR="3AE750F7">
        <w:rPr/>
        <w:t xml:space="preserve">the digitised version of the original RIG collection – has </w:t>
      </w:r>
      <w:r w:rsidR="321732DE">
        <w:rPr/>
        <w:t xml:space="preserve">documented </w:t>
      </w:r>
      <w:r w:rsidR="090493E8">
        <w:rPr/>
        <w:t>roughly 400</w:t>
      </w:r>
      <w:r w:rsidR="090493E8">
        <w:rPr/>
        <w:t xml:space="preserve"> inscriptions</w:t>
      </w:r>
      <w:r w:rsidR="19FC8BE3">
        <w:rPr/>
        <w:t xml:space="preserve"> found in both </w:t>
      </w:r>
      <w:r w:rsidR="090493E8">
        <w:rPr/>
        <w:t>Gallo-G</w:t>
      </w:r>
      <w:r w:rsidR="31800572">
        <w:rPr/>
        <w:t>reek</w:t>
      </w:r>
      <w:r w:rsidR="3CBB6937">
        <w:rPr/>
        <w:t xml:space="preserve"> and in Gallo-Latin</w:t>
      </w:r>
      <w:r w:rsidR="22411C3A">
        <w:rPr/>
        <w:t>, as well as some from Northern Italy in Gallo-Etruscan.</w:t>
      </w:r>
      <w:r w:rsidRPr="64DFAE03">
        <w:rPr>
          <w:rStyle w:val="FootnoteReference"/>
        </w:rPr>
        <w:footnoteReference w:id="17244"/>
      </w:r>
    </w:p>
    <w:p w:rsidR="50B08C88" w:rsidRDefault="50B08C88" w14:paraId="039BF83E" w14:textId="10B3E2F6">
      <w:r w:rsidR="50B08C88">
        <w:rPr/>
        <w:t xml:space="preserve">There </w:t>
      </w:r>
      <w:r w:rsidR="67B0ED65">
        <w:rPr/>
        <w:t xml:space="preserve">is </w:t>
      </w:r>
      <w:r w:rsidR="50B08C88">
        <w:rPr/>
        <w:t xml:space="preserve">also </w:t>
      </w:r>
      <w:bookmarkStart w:name="_Int_KRz2Vm7g" w:id="1975674007"/>
      <w:r w:rsidR="50B08C88">
        <w:rPr/>
        <w:t>a number of</w:t>
      </w:r>
      <w:bookmarkEnd w:id="1975674007"/>
      <w:r w:rsidR="50B08C88">
        <w:rPr/>
        <w:t xml:space="preserve"> external sources from throughout the 1</w:t>
      </w:r>
      <w:r w:rsidRPr="23241460" w:rsidR="50B08C88">
        <w:rPr>
          <w:vertAlign w:val="superscript"/>
        </w:rPr>
        <w:t>st</w:t>
      </w:r>
      <w:r w:rsidR="50B08C88">
        <w:rPr/>
        <w:t xml:space="preserve"> </w:t>
      </w:r>
      <w:r w:rsidR="50B08C88">
        <w:rPr/>
        <w:t>millenium</w:t>
      </w:r>
      <w:r w:rsidR="50B08C88">
        <w:rPr/>
        <w:t xml:space="preserve"> C.E</w:t>
      </w:r>
      <w:r w:rsidR="0E87F06C">
        <w:rPr/>
        <w:t xml:space="preserve"> that attest to the existence of the </w:t>
      </w:r>
      <w:r w:rsidR="0E87F06C">
        <w:rPr/>
        <w:t>Gaulish</w:t>
      </w:r>
      <w:r w:rsidR="0E87F06C">
        <w:rPr/>
        <w:t xml:space="preserve"> language</w:t>
      </w:r>
      <w:r w:rsidR="39E20867">
        <w:rPr/>
        <w:t>.</w:t>
      </w:r>
      <w:r w:rsidR="00CD2326">
        <w:rPr/>
        <w:t xml:space="preserve"> </w:t>
      </w:r>
      <w:r w:rsidR="23892C3F">
        <w:rPr/>
        <w:t xml:space="preserve">For example, </w:t>
      </w:r>
      <w:r w:rsidR="23892C3F">
        <w:rPr/>
        <w:t>Gaulish</w:t>
      </w:r>
      <w:r w:rsidR="23892C3F">
        <w:rPr/>
        <w:t xml:space="preserve"> is mentioned</w:t>
      </w:r>
      <w:r w:rsidR="00CD2326">
        <w:rPr/>
        <w:t xml:space="preserve"> </w:t>
      </w:r>
      <w:r w:rsidR="6578F67B">
        <w:rPr/>
        <w:t>in a Roman collection of biographies called the Historia Augusta</w:t>
      </w:r>
      <w:r w:rsidR="2949BFB9">
        <w:rPr/>
        <w:t xml:space="preserve"> where t</w:t>
      </w:r>
      <w:r w:rsidR="4691FAA4">
        <w:rPr/>
        <w:t xml:space="preserve">here is mention of a druidess prophesising to a Roman emperor in </w:t>
      </w:r>
      <w:r w:rsidR="4691FAA4">
        <w:rPr/>
        <w:t>Gaulish</w:t>
      </w:r>
      <w:r w:rsidR="07C7D8EA">
        <w:rPr/>
        <w:t>. There</w:t>
      </w:r>
      <w:r w:rsidR="4691FAA4">
        <w:rPr/>
        <w:t xml:space="preserve"> </w:t>
      </w:r>
      <w:r w:rsidR="5C5665BE">
        <w:rPr/>
        <w:t xml:space="preserve">is also mention of </w:t>
      </w:r>
      <w:bookmarkStart w:name="_Int_VI2kuTFq" w:id="561384459"/>
      <w:r w:rsidR="5C5665BE">
        <w:rPr/>
        <w:t>the  language</w:t>
      </w:r>
      <w:bookmarkEnd w:id="561384459"/>
      <w:r w:rsidR="5C5665BE">
        <w:rPr/>
        <w:t xml:space="preserve"> in a </w:t>
      </w:r>
      <w:r w:rsidR="321492FF">
        <w:rPr/>
        <w:t xml:space="preserve">Roman dialogue by Sulpicius </w:t>
      </w:r>
      <w:r w:rsidR="321492FF">
        <w:rPr/>
        <w:t>Seuerus</w:t>
      </w:r>
      <w:r w:rsidR="321492FF">
        <w:rPr/>
        <w:t xml:space="preserve"> which </w:t>
      </w:r>
      <w:bookmarkStart w:name="_Int_1LsIEHaR" w:id="1337586504"/>
      <w:r w:rsidR="321492FF">
        <w:rPr/>
        <w:t>makes reference</w:t>
      </w:r>
      <w:bookmarkEnd w:id="1337586504"/>
      <w:r w:rsidR="321492FF">
        <w:rPr/>
        <w:t xml:space="preserve"> to speak</w:t>
      </w:r>
      <w:r w:rsidR="321492FF">
        <w:rPr/>
        <w:t xml:space="preserve">ing </w:t>
      </w:r>
      <w:r w:rsidR="321492FF">
        <w:rPr/>
        <w:t>Gau</w:t>
      </w:r>
      <w:r w:rsidR="321492FF">
        <w:rPr/>
        <w:t>lish</w:t>
      </w:r>
      <w:r w:rsidR="039BDD89">
        <w:rPr/>
        <w:t>,</w:t>
      </w:r>
      <w:r w:rsidRPr="23241460">
        <w:rPr>
          <w:rStyle w:val="FootnoteReference"/>
        </w:rPr>
        <w:footnoteReference w:id="24227"/>
      </w:r>
      <w:r w:rsidR="2A20F0C7">
        <w:rPr/>
        <w:t xml:space="preserve"> which also shows how the language did not disappear following the conquest of Gaul</w:t>
      </w:r>
      <w:r w:rsidR="1B1A5B28">
        <w:rPr/>
        <w:t xml:space="preserve">. However, there are issues with </w:t>
      </w:r>
      <w:r w:rsidR="1B1A5B28">
        <w:rPr/>
        <w:t>th</w:t>
      </w:r>
      <w:r w:rsidR="1B1A5B28">
        <w:rPr/>
        <w:t>ese attest</w:t>
      </w:r>
      <w:r w:rsidR="79685FE5">
        <w:rPr/>
        <w:t xml:space="preserve">ations </w:t>
      </w:r>
      <w:r w:rsidR="1B1A5B28">
        <w:rPr/>
        <w:t xml:space="preserve">to the </w:t>
      </w:r>
      <w:r w:rsidR="1B1A5B28">
        <w:rPr/>
        <w:t>Gaulish</w:t>
      </w:r>
      <w:r w:rsidR="1B1A5B28">
        <w:rPr/>
        <w:t xml:space="preserve"> language</w:t>
      </w:r>
      <w:r w:rsidR="007C72B5">
        <w:rPr/>
        <w:t>. For example, the Historia Augusta</w:t>
      </w:r>
      <w:r w:rsidR="6F4B8662">
        <w:rPr/>
        <w:t xml:space="preserve"> and its contents have </w:t>
      </w:r>
      <w:r w:rsidR="231675E6">
        <w:rPr/>
        <w:t xml:space="preserve">been controversial for historians </w:t>
      </w:r>
      <w:r w:rsidR="0290C5A3">
        <w:rPr/>
        <w:t xml:space="preserve">due to the untrustworthiness of </w:t>
      </w:r>
      <w:r w:rsidR="0290C5A3">
        <w:rPr/>
        <w:t>its</w:t>
      </w:r>
      <w:r w:rsidR="0290C5A3">
        <w:rPr/>
        <w:t xml:space="preserve"> </w:t>
      </w:r>
      <w:r w:rsidR="0290C5A3">
        <w:rPr/>
        <w:t>nature,</w:t>
      </w:r>
      <w:r w:rsidR="0290C5A3">
        <w:rPr/>
        <w:t xml:space="preserve"> and it has been said that</w:t>
      </w:r>
      <w:r w:rsidR="79DE9C96">
        <w:rPr/>
        <w:t xml:space="preserve"> </w:t>
      </w:r>
      <w:r w:rsidR="79DE9C96">
        <w:rPr/>
        <w:t>it can</w:t>
      </w:r>
      <w:r w:rsidR="79DE9C96">
        <w:rPr/>
        <w:t xml:space="preserve"> </w:t>
      </w:r>
      <w:r w:rsidR="2CA9C20B">
        <w:rPr/>
        <w:t>“only obscure or detract from any historical purpose” and that its primary function was for entertainment.</w:t>
      </w:r>
      <w:r w:rsidRPr="23241460">
        <w:rPr>
          <w:rStyle w:val="FootnoteReference"/>
        </w:rPr>
        <w:footnoteReference w:id="11876"/>
      </w:r>
      <w:r w:rsidR="306123AD">
        <w:rPr/>
        <w:t xml:space="preserve"> The dialogue by </w:t>
      </w:r>
      <w:r w:rsidR="306123AD">
        <w:rPr/>
        <w:t>Seuerus</w:t>
      </w:r>
      <w:r w:rsidR="306123AD">
        <w:rPr/>
        <w:t xml:space="preserve">, in its context, also does not make clear </w:t>
      </w:r>
      <w:bookmarkStart w:name="_Int_icukoGOK" w:id="15533039"/>
      <w:r w:rsidR="306123AD">
        <w:rPr/>
        <w:t xml:space="preserve">whether or </w:t>
      </w:r>
      <w:r w:rsidR="77430926">
        <w:rPr/>
        <w:t>not</w:t>
      </w:r>
      <w:bookmarkEnd w:id="15533039"/>
      <w:r w:rsidR="77430926">
        <w:rPr/>
        <w:t xml:space="preserve"> it refers to</w:t>
      </w:r>
      <w:r w:rsidR="67D5FED9">
        <w:rPr/>
        <w:t xml:space="preserve"> what we know as</w:t>
      </w:r>
      <w:r w:rsidR="77430926">
        <w:rPr/>
        <w:t xml:space="preserve"> the </w:t>
      </w:r>
      <w:r w:rsidR="77430926">
        <w:rPr/>
        <w:t>Gaulish</w:t>
      </w:r>
      <w:r w:rsidR="77430926">
        <w:rPr/>
        <w:t xml:space="preserve"> language</w:t>
      </w:r>
      <w:r w:rsidR="24D2E455">
        <w:rPr/>
        <w:t xml:space="preserve"> or instead a vulgar pronunciation of Latin from Gaul.</w:t>
      </w:r>
    </w:p>
    <w:p w:rsidR="5A2BC17E" w:rsidRDefault="5A2BC17E" w14:paraId="13CD26EF" w14:textId="0CDFFCE7">
      <w:r w:rsidR="5A2BC17E">
        <w:rPr/>
        <w:t xml:space="preserve">The Early periods of the </w:t>
      </w:r>
      <w:r w:rsidR="5A2BC17E">
        <w:rPr/>
        <w:t>Gaulish</w:t>
      </w:r>
      <w:r w:rsidR="5A2BC17E">
        <w:rPr/>
        <w:t xml:space="preserve"> language</w:t>
      </w:r>
      <w:r w:rsidR="485D8CBE">
        <w:rPr/>
        <w:t xml:space="preserve">, which begins at </w:t>
      </w:r>
      <w:r w:rsidR="485D8CBE">
        <w:rPr/>
        <w:t>roughly the</w:t>
      </w:r>
      <w:r w:rsidR="485D8CBE">
        <w:rPr/>
        <w:t xml:space="preserve"> 3</w:t>
      </w:r>
      <w:r w:rsidRPr="64DFAE03" w:rsidR="485D8CBE">
        <w:rPr>
          <w:vertAlign w:val="superscript"/>
        </w:rPr>
        <w:t>rd</w:t>
      </w:r>
      <w:r w:rsidR="485D8CBE">
        <w:rPr/>
        <w:t xml:space="preserve"> century B.C.E, </w:t>
      </w:r>
      <w:r w:rsidR="7D0822FE">
        <w:rPr/>
        <w:t xml:space="preserve">first </w:t>
      </w:r>
      <w:r w:rsidR="2D0D6DFE">
        <w:rPr/>
        <w:t>utilised the Greek and Etruscan scripts</w:t>
      </w:r>
      <w:r w:rsidR="6E4CDADC">
        <w:rPr/>
        <w:t>, hence the designations of Gallo-Greek and Gallo-Etruscan</w:t>
      </w:r>
      <w:r w:rsidR="6CF6CC18">
        <w:rPr/>
        <w:t>.</w:t>
      </w:r>
      <w:r w:rsidR="007E2110">
        <w:rPr/>
        <w:t xml:space="preserve"> Following th</w:t>
      </w:r>
      <w:r w:rsidR="00336823">
        <w:rPr/>
        <w:t xml:space="preserve">e </w:t>
      </w:r>
      <w:r w:rsidR="007E2110">
        <w:rPr/>
        <w:t xml:space="preserve">conquest of Gaul</w:t>
      </w:r>
      <w:r w:rsidR="3A37B840">
        <w:rPr/>
        <w:t xml:space="preserve"> by the Romans</w:t>
      </w:r>
      <w:r w:rsidR="007E2110">
        <w:rPr/>
        <w:t xml:space="preserve">, </w:t>
      </w:r>
      <w:r w:rsidR="0313B406">
        <w:rPr/>
        <w:t xml:space="preserve">the </w:t>
      </w:r>
      <w:r w:rsidR="0313B406">
        <w:rPr/>
        <w:t>Gaulish</w:t>
      </w:r>
      <w:r w:rsidR="0313B406">
        <w:rPr/>
        <w:t xml:space="preserve"> language transitioned </w:t>
      </w:r>
      <w:r w:rsidR="6C9C354B">
        <w:rPr/>
        <w:t xml:space="preserve">from the Greek script </w:t>
      </w:r>
      <w:r w:rsidR="0313B406">
        <w:rPr/>
        <w:t xml:space="preserve">into the use of the Latin script</w:t>
      </w:r>
      <w:r w:rsidR="67BAE3AA">
        <w:rPr/>
        <w:t>, although</w:t>
      </w:r>
      <w:r w:rsidR="550745EE">
        <w:rPr/>
        <w:t xml:space="preserve"> with small deviations in the presence of Greek letters </w:t>
      </w:r>
      <w:r w:rsidR="27B19231">
        <w:rPr/>
        <w:t xml:space="preserve">that were carried forth </w:t>
      </w:r>
      <w:bookmarkStart w:name="_Int_ViQg0xeS" w:id="2040028382"/>
      <w:r w:rsidR="27B19231">
        <w:rPr/>
        <w:t>in order to</w:t>
      </w:r>
      <w:bookmarkEnd w:id="2040028382"/>
      <w:r w:rsidR="27B19231">
        <w:rPr/>
        <w:t xml:space="preserve"> represent</w:t>
      </w:r>
      <w:r w:rsidR="4B88FBB3">
        <w:rPr/>
        <w:t xml:space="preserve"> unique</w:t>
      </w:r>
      <w:r w:rsidR="27B19231">
        <w:rPr/>
        <w:t xml:space="preserve"> sounds in the </w:t>
      </w:r>
      <w:r w:rsidR="4E698284">
        <w:rPr/>
        <w:t>Gaulish</w:t>
      </w:r>
      <w:r w:rsidR="4E698284">
        <w:rPr/>
        <w:t xml:space="preserve"> </w:t>
      </w:r>
      <w:r w:rsidR="27B19231">
        <w:rPr/>
        <w:t>language which Latin did not have</w:t>
      </w:r>
      <w:r w:rsidR="5156D281">
        <w:rPr/>
        <w:t xml:space="preserve"> equivalent</w:t>
      </w:r>
      <w:r w:rsidR="27B19231">
        <w:rPr/>
        <w:t xml:space="preserve"> letters to represent</w:t>
      </w:r>
      <w:r w:rsidR="3B952C66">
        <w:rPr/>
        <w:t xml:space="preserve">, such as theta (θ) and chi (χ), used to represent the </w:t>
      </w:r>
      <w:r w:rsidR="7EB3CCC6">
        <w:rPr/>
        <w:t>sounds for ‘</w:t>
      </w:r>
      <w:r w:rsidR="7EB3CCC6">
        <w:rPr/>
        <w:t>th</w:t>
      </w:r>
      <w:r w:rsidR="7EB3CCC6">
        <w:rPr/>
        <w:t>’ and ‘</w:t>
      </w:r>
      <w:r w:rsidR="7EB3CCC6">
        <w:rPr/>
        <w:t>ch</w:t>
      </w:r>
      <w:r w:rsidR="7EB3CCC6">
        <w:rPr/>
        <w:t>’ respectively</w:t>
      </w:r>
      <w:r w:rsidR="678F37F3">
        <w:rPr/>
        <w:t>,</w:t>
      </w:r>
      <w:r w:rsidRPr="64DFAE03">
        <w:rPr>
          <w:rStyle w:val="FootnoteReference"/>
        </w:rPr>
        <w:footnoteReference w:id="29811"/>
      </w:r>
      <w:r w:rsidR="0ECA4FB6">
        <w:rPr/>
        <w:t xml:space="preserve"> which created in a sense a ‘unique‘ alphabet for the </w:t>
      </w:r>
      <w:r w:rsidR="0ECA4FB6">
        <w:rPr/>
        <w:t xml:space="preserve">Gaulish</w:t>
      </w:r>
      <w:r w:rsidR="0ECA4FB6">
        <w:rPr/>
        <w:t xml:space="preserve"> language.</w:t>
      </w:r>
      <w:r w:rsidR="0D4D75E9">
        <w:rPr/>
        <w:t xml:space="preserve"> </w:t>
      </w:r>
      <w:r w:rsidR="0FC6DBAB">
        <w:rPr/>
        <w:t xml:space="preserve">The theta symbol specifically was used to </w:t>
      </w:r>
      <w:r w:rsidR="0FC6DBAB">
        <w:rPr/>
        <w:t>repr</w:t>
      </w:r>
      <w:r w:rsidR="0FC6DBAB">
        <w:rPr/>
        <w:t>esent</w:t>
      </w:r>
      <w:r w:rsidR="0FC6DBAB">
        <w:rPr/>
        <w:t xml:space="preserve"> a</w:t>
      </w:r>
      <w:r w:rsidR="6E8929BC">
        <w:rPr/>
        <w:t xml:space="preserve"> </w:t>
      </w:r>
      <w:r w:rsidR="6E8929BC">
        <w:rPr/>
        <w:t>Gaulish</w:t>
      </w:r>
      <w:r w:rsidR="0FC6DBAB">
        <w:rPr/>
        <w:t xml:space="preserve"> sound nam</w:t>
      </w:r>
      <w:r w:rsidR="0FC6DBAB">
        <w:rPr/>
        <w:t xml:space="preserve">ed ’ta</w:t>
      </w:r>
      <w:r w:rsidR="0FC6DBAB">
        <w:rPr/>
        <w:t xml:space="preserve">u </w:t>
      </w:r>
      <w:r w:rsidR="0FC6DBAB">
        <w:rPr/>
        <w:t>Gallic</w:t>
      </w:r>
      <w:r w:rsidR="0FC6DBAB">
        <w:rPr/>
        <w:t>um</w:t>
      </w:r>
      <w:r w:rsidR="0FC6DBAB">
        <w:rPr/>
        <w:t>’,</w:t>
      </w:r>
      <w:r w:rsidR="0FC6DBAB">
        <w:rPr/>
        <w:t xml:space="preserve"> of which the exact sound produced in speech is unknown.</w:t>
      </w:r>
      <w:r w:rsidRPr="64DFAE03">
        <w:rPr>
          <w:rStyle w:val="FootnoteReference"/>
        </w:rPr>
        <w:footnoteReference w:id="24664"/>
      </w:r>
    </w:p>
    <w:p w:rsidR="502841BD" w:rsidRDefault="502841BD" w14:paraId="16D8616F" w14:textId="5D3C4B15">
      <w:r w:rsidR="502841BD">
        <w:rPr/>
        <w:t xml:space="preserve">Although </w:t>
      </w:r>
      <w:r w:rsidR="3E3E1F2A">
        <w:rPr/>
        <w:t xml:space="preserve">exactly when it died cannot be said with certainty</w:t>
      </w:r>
      <w:r w:rsidR="1C9865F4">
        <w:rPr/>
        <w:t>,</w:t>
      </w:r>
      <w:r w:rsidR="502841BD">
        <w:rPr/>
        <w:t xml:space="preserve"> </w:t>
      </w:r>
      <w:r w:rsidR="05246387">
        <w:rPr/>
        <w:t>t</w:t>
      </w:r>
      <w:r w:rsidR="0F1F8BFD">
        <w:rPr/>
        <w:t xml:space="preserve">he </w:t>
      </w:r>
      <w:r w:rsidR="0F1F8BFD">
        <w:rPr/>
        <w:t>Gaulish</w:t>
      </w:r>
      <w:r w:rsidR="0F1F8BFD">
        <w:rPr/>
        <w:t xml:space="preserve"> language eventually went extinct sometime around the 6</w:t>
      </w:r>
      <w:r w:rsidRPr="23241460" w:rsidR="0F1F8BFD">
        <w:rPr>
          <w:vertAlign w:val="superscript"/>
        </w:rPr>
        <w:t>th</w:t>
      </w:r>
      <w:r w:rsidR="0F1F8BFD">
        <w:rPr/>
        <w:t xml:space="preserve"> century</w:t>
      </w:r>
      <w:r w:rsidR="2BAA18C4">
        <w:rPr/>
        <w:t xml:space="preserve">, </w:t>
      </w:r>
      <w:r w:rsidR="638EC878">
        <w:rPr/>
        <w:t xml:space="preserve">primarily </w:t>
      </w:r>
      <w:bookmarkStart w:name="_Int_CpKSWH05" w:id="2027607449"/>
      <w:r w:rsidR="638EC878">
        <w:rPr/>
        <w:t>as a consequence</w:t>
      </w:r>
      <w:bookmarkEnd w:id="2027607449"/>
      <w:r w:rsidR="638EC878">
        <w:rPr/>
        <w:t xml:space="preserve"> and result of </w:t>
      </w:r>
      <w:r w:rsidR="2BAA18C4">
        <w:rPr/>
        <w:t>the Romanisation of Gaul.</w:t>
      </w:r>
      <w:r w:rsidR="161FB97B">
        <w:rPr/>
        <w:t xml:space="preserve"> During this period, </w:t>
      </w:r>
      <w:r w:rsidR="652956A7">
        <w:rPr/>
        <w:t xml:space="preserve">Latin became the dominant language across Gaul, especially </w:t>
      </w:r>
      <w:bookmarkStart w:name="_Int_fvTCgwWP" w:id="336706876"/>
      <w:r w:rsidR="652956A7">
        <w:rPr/>
        <w:t xml:space="preserve">in regard to</w:t>
      </w:r>
      <w:bookmarkEnd w:id="336706876"/>
      <w:r w:rsidR="652956A7">
        <w:rPr/>
        <w:t xml:space="preserve"> </w:t>
      </w:r>
      <w:r w:rsidR="161FB97B">
        <w:rPr/>
        <w:t xml:space="preserve">administrative purposes and most communication</w:t>
      </w:r>
      <w:r w:rsidR="120900D4">
        <w:rPr/>
        <w:t xml:space="preserve">. However, despite this, </w:t>
      </w:r>
      <w:r w:rsidR="69B6B579">
        <w:rPr/>
        <w:t>Gaulish</w:t>
      </w:r>
      <w:r w:rsidR="69B6B579">
        <w:rPr/>
        <w:t xml:space="preserve"> did </w:t>
      </w:r>
      <w:r w:rsidR="797F3E0E">
        <w:rPr/>
        <w:t xml:space="preserve">continue to </w:t>
      </w:r>
      <w:r w:rsidR="69B6B579">
        <w:rPr/>
        <w:t xml:space="preserve">survive and live</w:t>
      </w:r>
      <w:r w:rsidR="56F32357">
        <w:rPr/>
        <w:t>d</w:t>
      </w:r>
      <w:r w:rsidR="637E435E">
        <w:rPr/>
        <w:t xml:space="preserve"> and was spoken</w:t>
      </w:r>
      <w:r w:rsidR="69B6B579">
        <w:rPr/>
        <w:t xml:space="preserve"> alongside spoken Latin</w:t>
      </w:r>
      <w:r w:rsidR="41095564">
        <w:rPr/>
        <w:t xml:space="preserve"> for </w:t>
      </w:r>
      <w:bookmarkStart w:name="_Int_818py3zK" w:id="1476675215"/>
      <w:r w:rsidR="41095564">
        <w:rPr/>
        <w:t xml:space="preserve">a period</w:t>
      </w:r>
      <w:r w:rsidR="7A10718C">
        <w:rPr/>
        <w:t xml:space="preserve"> of time</w:t>
      </w:r>
      <w:bookmarkEnd w:id="1476675215"/>
      <w:r w:rsidR="511E6E8D">
        <w:rPr/>
        <w:t xml:space="preserve">. However, </w:t>
      </w:r>
      <w:r w:rsidR="511E6E8D">
        <w:rPr/>
        <w:t>it’s</w:t>
      </w:r>
      <w:r w:rsidR="511E6E8D">
        <w:rPr/>
        <w:t xml:space="preserve"> usage eventually </w:t>
      </w:r>
      <w:r w:rsidR="274CD85B">
        <w:rPr/>
        <w:t xml:space="preserve">began to decline</w:t>
      </w:r>
      <w:r w:rsidR="511E6E8D">
        <w:rPr/>
        <w:t xml:space="preserve"> until it was only being used in quieter, rural </w:t>
      </w:r>
      <w:r w:rsidR="511E6E8D">
        <w:rPr/>
        <w:t>settings</w:t>
      </w:r>
      <w:r w:rsidR="441F0F0E">
        <w:rPr/>
        <w:t xml:space="preserve"> and the social standing of those who spoke </w:t>
      </w:r>
      <w:r w:rsidR="4D13AA2C">
        <w:rPr/>
        <w:t xml:space="preserve">was </w:t>
      </w:r>
      <w:bookmarkStart w:name="_Int_BuIhbOXA" w:id="505227364"/>
      <w:r w:rsidR="4D13AA2C">
        <w:rPr/>
        <w:t>lessened</w:t>
      </w:r>
      <w:r w:rsidR="087888BE">
        <w:rPr/>
        <w:t>,</w:t>
      </w:r>
      <w:r w:rsidRPr="23241460">
        <w:rPr>
          <w:rStyle w:val="FootnoteReference"/>
        </w:rPr>
        <w:footnoteReference w:id="27998"/>
      </w:r>
      <w:bookmarkEnd w:id="505227364"/>
      <w:r w:rsidR="4F03CE94">
        <w:rPr/>
        <w:t xml:space="preserve"> </w:t>
      </w:r>
      <w:r w:rsidRPr="23241460">
        <w:rPr>
          <w:rStyle w:val="FootnoteReference"/>
        </w:rPr>
        <w:footnoteReference w:id="21804"/>
      </w:r>
      <w:r w:rsidR="2CA571D4">
        <w:rPr/>
        <w:t xml:space="preserve"> until eventual</w:t>
      </w:r>
      <w:r w:rsidR="5AB77FB5">
        <w:rPr/>
        <w:t xml:space="preserve">ly</w:t>
      </w:r>
      <w:r w:rsidR="2CA571D4">
        <w:rPr/>
        <w:t xml:space="preserve"> it ceased to be spoken at all. Whilst spoken </w:t>
      </w:r>
      <w:r w:rsidR="2CA571D4">
        <w:rPr/>
        <w:t>Gaulish</w:t>
      </w:r>
      <w:r w:rsidR="2CA571D4">
        <w:rPr/>
        <w:t xml:space="preserve"> died off around</w:t>
      </w:r>
      <w:r w:rsidR="711F95D1">
        <w:rPr/>
        <w:t xml:space="preserve"> the 6</w:t>
      </w:r>
      <w:r w:rsidRPr="23241460" w:rsidR="711F95D1">
        <w:rPr>
          <w:vertAlign w:val="superscript"/>
        </w:rPr>
        <w:t>th</w:t>
      </w:r>
      <w:r w:rsidR="711F95D1">
        <w:rPr/>
        <w:t xml:space="preserve"> century, it</w:t>
      </w:r>
      <w:r w:rsidR="15620D19">
        <w:rPr/>
        <w:t xml:space="preserve">s</w:t>
      </w:r>
      <w:r w:rsidR="711F95D1">
        <w:rPr/>
        <w:t xml:space="preserve"> </w:t>
      </w:r>
      <w:r w:rsidR="12970677">
        <w:rPr/>
        <w:t xml:space="preserve">existence </w:t>
      </w:r>
      <w:r w:rsidR="711F95D1">
        <w:rPr/>
        <w:t xml:space="preserve">survives through the stones,</w:t>
      </w:r>
      <w:r w:rsidR="335E2B44">
        <w:rPr/>
        <w:t xml:space="preserve"> </w:t>
      </w:r>
      <w:r w:rsidR="335E2B44">
        <w:rPr/>
        <w:t>ceramics</w:t>
      </w:r>
      <w:r w:rsidR="335E2B44">
        <w:rPr/>
        <w:t xml:space="preserve"> and markers that all bear </w:t>
      </w:r>
      <w:r w:rsidR="335E2B44">
        <w:rPr/>
        <w:t>Gaulish</w:t>
      </w:r>
      <w:r w:rsidR="335E2B44">
        <w:rPr/>
        <w:t xml:space="preserve"> inscriptions that have survived to the modern day, and the continued study into the language</w:t>
      </w:r>
      <w:r w:rsidR="4656ED2D">
        <w:rPr/>
        <w:t xml:space="preserve"> only further preserves it.</w:t>
      </w:r>
    </w:p>
    <w:p w:rsidR="6035B2CA" w:rsidRDefault="6035B2CA" w14:paraId="13CCAA2B" w14:textId="3BDD6812"/>
    <w:p w:rsidR="3368D740" w:rsidP="6035B2CA" w:rsidRDefault="3368D740" w14:paraId="435006DA" w14:textId="45463A4D">
      <w:pPr>
        <w:pStyle w:val="Heading1"/>
        <w:spacing w:before="0" w:beforeAutospacing="off" w:after="360" w:afterAutospacing="off" w:line="360" w:lineRule="auto"/>
        <w:jc w:val="left"/>
      </w:pPr>
      <w:r w:rsidRPr="6035B2CA" w:rsidR="3368D740">
        <w:rPr>
          <w:rFonts w:ascii="Times New Roman" w:hAnsi="Times New Roman" w:eastAsia="Times New Roman" w:cs="Times New Roman"/>
          <w:b w:val="1"/>
          <w:bCs w:val="1"/>
          <w:noProof w:val="0"/>
          <w:sz w:val="36"/>
          <w:szCs w:val="36"/>
          <w:lang w:val="en-GB"/>
        </w:rPr>
        <w:t>Bibliography</w:t>
      </w:r>
    </w:p>
    <w:p w:rsidR="3368D740" w:rsidP="6035B2CA" w:rsidRDefault="3368D740" w14:paraId="14FAE2B3" w14:textId="07FA1158">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‘Breton in Breton - English-Breton Dictionary | Glosbe’. 2016. </w:t>
      </w:r>
      <w:r w:rsidRPr="6035B2CA" w:rsidR="3368D740">
        <w:rPr>
          <w:rFonts w:ascii="Times New Roman" w:hAnsi="Times New Roman" w:eastAsia="Times New Roman" w:cs="Times New Roman"/>
          <w:i w:val="1"/>
          <w:iCs w:val="1"/>
          <w:noProof w:val="0"/>
          <w:sz w:val="24"/>
          <w:szCs w:val="24"/>
          <w:lang w:val="en-GB"/>
        </w:rPr>
        <w:t>Glosbe.com</w:t>
      </w:r>
      <w:r w:rsidRPr="6035B2CA" w:rsidR="3368D740">
        <w:rPr>
          <w:rFonts w:ascii="Times New Roman" w:hAnsi="Times New Roman" w:eastAsia="Times New Roman" w:cs="Times New Roman"/>
          <w:noProof w:val="0"/>
          <w:sz w:val="24"/>
          <w:szCs w:val="24"/>
          <w:lang w:val="en-GB"/>
        </w:rPr>
        <w:t xml:space="preserve"> (Glosbe) &lt;https://glosbe.com/en/br/Breton&gt; [accessed 28 February 2026]</w:t>
      </w:r>
    </w:p>
    <w:p w:rsidR="3368D740" w:rsidP="6035B2CA" w:rsidRDefault="3368D740" w14:paraId="56B29F0E" w14:textId="2C1B8364">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‘Celtic Spring in Copenhagen’. 2012. </w:t>
      </w:r>
      <w:r w:rsidRPr="6035B2CA" w:rsidR="3368D740">
        <w:rPr>
          <w:rFonts w:ascii="Times New Roman" w:hAnsi="Times New Roman" w:eastAsia="Times New Roman" w:cs="Times New Roman"/>
          <w:i w:val="1"/>
          <w:iCs w:val="1"/>
          <w:noProof w:val="0"/>
          <w:sz w:val="24"/>
          <w:szCs w:val="24"/>
          <w:lang w:val="en-GB"/>
        </w:rPr>
        <w:t>Rootsofeurope.ku.dk</w:t>
      </w:r>
      <w:r w:rsidRPr="6035B2CA" w:rsidR="3368D740">
        <w:rPr>
          <w:rFonts w:ascii="Times New Roman" w:hAnsi="Times New Roman" w:eastAsia="Times New Roman" w:cs="Times New Roman"/>
          <w:noProof w:val="0"/>
          <w:sz w:val="24"/>
          <w:szCs w:val="24"/>
          <w:lang w:val="en-GB"/>
        </w:rPr>
        <w:t xml:space="preserve"> (Københavns Universitet) &lt;https://rootsofeurope.ku.dk/kalender/arkiv_2012/celtic_spring/&gt; [accessed 1 March 2026]</w:t>
      </w:r>
    </w:p>
    <w:p w:rsidR="3368D740" w:rsidP="6035B2CA" w:rsidRDefault="3368D740" w14:paraId="52CDF212" w14:textId="42B44F6E">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‘English to Manx’. 2025. </w:t>
      </w:r>
      <w:r w:rsidRPr="6035B2CA" w:rsidR="3368D740">
        <w:rPr>
          <w:rFonts w:ascii="Times New Roman" w:hAnsi="Times New Roman" w:eastAsia="Times New Roman" w:cs="Times New Roman"/>
          <w:i w:val="1"/>
          <w:iCs w:val="1"/>
          <w:noProof w:val="0"/>
          <w:sz w:val="24"/>
          <w:szCs w:val="24"/>
          <w:lang w:val="en-GB"/>
        </w:rPr>
        <w:t>Mannin.info</w:t>
      </w:r>
      <w:r w:rsidRPr="6035B2CA" w:rsidR="3368D740">
        <w:rPr>
          <w:rFonts w:ascii="Times New Roman" w:hAnsi="Times New Roman" w:eastAsia="Times New Roman" w:cs="Times New Roman"/>
          <w:noProof w:val="0"/>
          <w:sz w:val="24"/>
          <w:szCs w:val="24"/>
          <w:lang w:val="en-GB"/>
        </w:rPr>
        <w:t xml:space="preserve"> &lt;http://www.mannin.info/Mannin/fockleyr/e2m.php&gt; [accessed 28 February 2026]</w:t>
      </w:r>
    </w:p>
    <w:p w:rsidR="3368D740" w:rsidP="6035B2CA" w:rsidRDefault="3368D740" w14:paraId="7452E482" w14:textId="117F5321">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Hélix, Laurence. 2011. </w:t>
      </w:r>
      <w:r w:rsidRPr="6035B2CA" w:rsidR="3368D740">
        <w:rPr>
          <w:rFonts w:ascii="Times New Roman" w:hAnsi="Times New Roman" w:eastAsia="Times New Roman" w:cs="Times New Roman"/>
          <w:i w:val="1"/>
          <w:iCs w:val="1"/>
          <w:noProof w:val="0"/>
          <w:sz w:val="24"/>
          <w:szCs w:val="24"/>
          <w:lang w:val="en-GB"/>
        </w:rPr>
        <w:t>Histoire de La Langue Française</w:t>
      </w:r>
      <w:r w:rsidRPr="6035B2CA" w:rsidR="3368D740">
        <w:rPr>
          <w:rFonts w:ascii="Times New Roman" w:hAnsi="Times New Roman" w:eastAsia="Times New Roman" w:cs="Times New Roman"/>
          <w:noProof w:val="0"/>
          <w:sz w:val="24"/>
          <w:szCs w:val="24"/>
          <w:lang w:val="en-GB"/>
        </w:rPr>
        <w:t xml:space="preserve"> (Ellipses Marketing)</w:t>
      </w:r>
    </w:p>
    <w:p w:rsidR="3368D740" w:rsidP="6035B2CA" w:rsidRDefault="3368D740" w14:paraId="6CDF3C3E" w14:textId="43C33614">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Langenfeld, Kathryn Ann . 2017. ‘Forging a History: The Inventions and Intellectual Community of the Historia Augusta’ &lt;https://hdl.handle.net/10161/14536&gt;</w:t>
      </w:r>
    </w:p>
    <w:p w:rsidR="3368D740" w:rsidP="6035B2CA" w:rsidRDefault="3368D740" w14:paraId="22102A21" w14:textId="1450DC1E">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‘LearnGaelic - Dictionary’. 2021. </w:t>
      </w:r>
      <w:r w:rsidRPr="6035B2CA" w:rsidR="3368D740">
        <w:rPr>
          <w:rFonts w:ascii="Times New Roman" w:hAnsi="Times New Roman" w:eastAsia="Times New Roman" w:cs="Times New Roman"/>
          <w:i w:val="1"/>
          <w:iCs w:val="1"/>
          <w:noProof w:val="0"/>
          <w:sz w:val="24"/>
          <w:szCs w:val="24"/>
          <w:lang w:val="en-GB"/>
        </w:rPr>
        <w:t>Learngaelic.scot</w:t>
      </w:r>
      <w:r w:rsidRPr="6035B2CA" w:rsidR="3368D740">
        <w:rPr>
          <w:rFonts w:ascii="Times New Roman" w:hAnsi="Times New Roman" w:eastAsia="Times New Roman" w:cs="Times New Roman"/>
          <w:noProof w:val="0"/>
          <w:sz w:val="24"/>
          <w:szCs w:val="24"/>
          <w:lang w:val="en-GB"/>
        </w:rPr>
        <w:t xml:space="preserve"> &lt;https://learngaelic.scot/dictionary/index.jsp?abairt=Irish&amp;slang=both&amp;wholeword=false&gt; [accessed 27 February 2026]</w:t>
      </w:r>
    </w:p>
    <w:p w:rsidR="3368D740" w:rsidP="6035B2CA" w:rsidRDefault="3368D740" w14:paraId="057D90B7" w14:textId="29B1E4E8">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‘RIIG’. 2020. </w:t>
      </w:r>
      <w:r w:rsidRPr="6035B2CA" w:rsidR="3368D740">
        <w:rPr>
          <w:rFonts w:ascii="Times New Roman" w:hAnsi="Times New Roman" w:eastAsia="Times New Roman" w:cs="Times New Roman"/>
          <w:i w:val="1"/>
          <w:iCs w:val="1"/>
          <w:noProof w:val="0"/>
          <w:sz w:val="24"/>
          <w:szCs w:val="24"/>
          <w:lang w:val="en-GB"/>
        </w:rPr>
        <w:t>Huma-Num.fr</w:t>
      </w:r>
      <w:r w:rsidRPr="6035B2CA" w:rsidR="3368D740">
        <w:rPr>
          <w:rFonts w:ascii="Times New Roman" w:hAnsi="Times New Roman" w:eastAsia="Times New Roman" w:cs="Times New Roman"/>
          <w:noProof w:val="0"/>
          <w:sz w:val="24"/>
          <w:szCs w:val="24"/>
          <w:lang w:val="en-GB"/>
        </w:rPr>
        <w:t xml:space="preserve"> &lt;https://riig.huma-num.fr/project.html?lang=fr&gt; [accessed 1 March 2026]</w:t>
      </w:r>
    </w:p>
    <w:p w:rsidR="3368D740" w:rsidP="6035B2CA" w:rsidRDefault="3368D740" w14:paraId="0967A57E" w14:textId="5C4B8F73">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The Editors of Encyclopaedia Britannica. 2019. ‘Gaul | Ancient Region, Europe’, </w:t>
      </w:r>
      <w:r w:rsidRPr="6035B2CA" w:rsidR="3368D740">
        <w:rPr>
          <w:rFonts w:ascii="Times New Roman" w:hAnsi="Times New Roman" w:eastAsia="Times New Roman" w:cs="Times New Roman"/>
          <w:i w:val="1"/>
          <w:iCs w:val="1"/>
          <w:noProof w:val="0"/>
          <w:sz w:val="24"/>
          <w:szCs w:val="24"/>
          <w:lang w:val="en-GB"/>
        </w:rPr>
        <w:t>Encyclopædia Britannica</w:t>
      </w:r>
      <w:r w:rsidRPr="6035B2CA" w:rsidR="3368D740">
        <w:rPr>
          <w:rFonts w:ascii="Times New Roman" w:hAnsi="Times New Roman" w:eastAsia="Times New Roman" w:cs="Times New Roman"/>
          <w:noProof w:val="0"/>
          <w:sz w:val="24"/>
          <w:szCs w:val="24"/>
          <w:lang w:val="en-GB"/>
        </w:rPr>
        <w:t xml:space="preserve"> &lt;https://www.britannica.com/place/Gaul-ancient-region-Europe&gt; [accessed 28 February 2026]</w:t>
      </w:r>
    </w:p>
    <w:p w:rsidR="3368D740" w:rsidP="6035B2CA" w:rsidRDefault="3368D740" w14:paraId="4875A000" w14:textId="0BB133D4">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The Editors of Encyclopedia Britannica. 2018. ‘Celt | History, Institutions, &amp; Religion’, </w:t>
      </w:r>
      <w:r w:rsidRPr="6035B2CA" w:rsidR="3368D740">
        <w:rPr>
          <w:rFonts w:ascii="Times New Roman" w:hAnsi="Times New Roman" w:eastAsia="Times New Roman" w:cs="Times New Roman"/>
          <w:i w:val="1"/>
          <w:iCs w:val="1"/>
          <w:noProof w:val="0"/>
          <w:sz w:val="24"/>
          <w:szCs w:val="24"/>
          <w:lang w:val="en-GB"/>
        </w:rPr>
        <w:t>Encyclopædia Britannica</w:t>
      </w:r>
      <w:r w:rsidRPr="6035B2CA" w:rsidR="3368D740">
        <w:rPr>
          <w:rFonts w:ascii="Times New Roman" w:hAnsi="Times New Roman" w:eastAsia="Times New Roman" w:cs="Times New Roman"/>
          <w:noProof w:val="0"/>
          <w:sz w:val="24"/>
          <w:szCs w:val="24"/>
          <w:lang w:val="en-GB"/>
        </w:rPr>
        <w:t xml:space="preserve"> &lt;https://www.britannica.com/topic/Celt-people&gt; [accessed 26 February 2026]</w:t>
      </w:r>
    </w:p>
    <w:p w:rsidR="3368D740" w:rsidP="6035B2CA" w:rsidRDefault="3368D740" w14:paraId="71DF40AC" w14:textId="1D3FBB78">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‘Translate English to Scots Gaelic | Translate.com’. 2026. </w:t>
      </w:r>
      <w:r w:rsidRPr="6035B2CA" w:rsidR="3368D740">
        <w:rPr>
          <w:rFonts w:ascii="Times New Roman" w:hAnsi="Times New Roman" w:eastAsia="Times New Roman" w:cs="Times New Roman"/>
          <w:i w:val="1"/>
          <w:iCs w:val="1"/>
          <w:noProof w:val="0"/>
          <w:sz w:val="24"/>
          <w:szCs w:val="24"/>
          <w:lang w:val="en-GB"/>
        </w:rPr>
        <w:t>Translate.com</w:t>
      </w:r>
      <w:r w:rsidRPr="6035B2CA" w:rsidR="3368D740">
        <w:rPr>
          <w:rFonts w:ascii="Times New Roman" w:hAnsi="Times New Roman" w:eastAsia="Times New Roman" w:cs="Times New Roman"/>
          <w:noProof w:val="0"/>
          <w:sz w:val="24"/>
          <w:szCs w:val="24"/>
          <w:lang w:val="en-GB"/>
        </w:rPr>
        <w:t xml:space="preserve"> &lt;https://www.translate.com/english-scots_gaelic&gt; [accessed 27 February 2026]</w:t>
      </w:r>
    </w:p>
    <w:p w:rsidR="3368D740" w:rsidP="6035B2CA" w:rsidRDefault="3368D740" w14:paraId="00B823C5" w14:textId="2A64D09D">
      <w:pPr>
        <w:spacing w:before="0" w:beforeAutospacing="off" w:after="240" w:afterAutospacing="off" w:line="360" w:lineRule="auto"/>
        <w:ind w:left="720" w:right="0" w:hanging="720"/>
      </w:pPr>
      <w:r w:rsidRPr="6035B2CA" w:rsidR="3368D740">
        <w:rPr>
          <w:rFonts w:ascii="Times New Roman" w:hAnsi="Times New Roman" w:eastAsia="Times New Roman" w:cs="Times New Roman"/>
          <w:noProof w:val="0"/>
          <w:sz w:val="24"/>
          <w:szCs w:val="24"/>
          <w:lang w:val="en-GB"/>
        </w:rPr>
        <w:t xml:space="preserve">‘Welsh Language Data from the Annual Population Survey: October 2024 to September 2025 [HTML] | GOV.WALES’. 2026. </w:t>
      </w:r>
      <w:r w:rsidRPr="6035B2CA" w:rsidR="3368D740">
        <w:rPr>
          <w:rFonts w:ascii="Times New Roman" w:hAnsi="Times New Roman" w:eastAsia="Times New Roman" w:cs="Times New Roman"/>
          <w:i w:val="1"/>
          <w:iCs w:val="1"/>
          <w:noProof w:val="0"/>
          <w:sz w:val="24"/>
          <w:szCs w:val="24"/>
          <w:lang w:val="en-GB"/>
        </w:rPr>
        <w:t>GOV.WALES</w:t>
      </w:r>
      <w:r w:rsidRPr="6035B2CA" w:rsidR="3368D740">
        <w:rPr>
          <w:rFonts w:ascii="Times New Roman" w:hAnsi="Times New Roman" w:eastAsia="Times New Roman" w:cs="Times New Roman"/>
          <w:noProof w:val="0"/>
          <w:sz w:val="24"/>
          <w:szCs w:val="24"/>
          <w:lang w:val="en-GB"/>
        </w:rPr>
        <w:t xml:space="preserve"> &lt;https://www.gov.wales/welsh-language-data-annual-population-survey-october-2024-september-2025-html&gt; [accessed 28 February 2026]</w:t>
      </w:r>
    </w:p>
    <w:p w:rsidR="6035B2CA" w:rsidRDefault="6035B2CA" w14:paraId="0D665B7B" w14:textId="0752069E"/>
    <w:p w:rsidR="64DFAE03" w:rsidRDefault="64DFAE03" w14:paraId="288FAB05" w14:textId="7A5C01DE"/>
    <w:sectPr>
      <w:pgSz w:w="11906" w:h="16838" w:orient="portrait"/>
      <w:pgMar w:top="1440" w:right="1440" w:bottom="1440" w:left="1440" w:header="720" w:footer="720" w:gutter="0"/>
      <w:cols w:space="720"/>
      <w:docGrid w:linePitch="360"/>
      <w:headerReference w:type="default" r:id="R7df70c557a434a1c"/>
      <w:footerReference w:type="default" r:id="R89aebe53cb1046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AE51CB" w:rsidTr="4AAE51CB" w14:paraId="5D1DED79">
      <w:trPr>
        <w:trHeight w:val="300"/>
      </w:trPr>
      <w:tc>
        <w:tcPr>
          <w:tcW w:w="3005" w:type="dxa"/>
          <w:tcMar/>
        </w:tcPr>
        <w:p w:rsidR="4AAE51CB" w:rsidP="4AAE51CB" w:rsidRDefault="4AAE51CB" w14:paraId="03B14C54" w14:textId="62D18696">
          <w:pPr>
            <w:pStyle w:val="Header"/>
            <w:bidi w:val="0"/>
            <w:ind w:left="-115"/>
            <w:jc w:val="left"/>
          </w:pPr>
        </w:p>
      </w:tc>
      <w:tc>
        <w:tcPr>
          <w:tcW w:w="3005" w:type="dxa"/>
          <w:tcMar/>
        </w:tcPr>
        <w:p w:rsidR="4AAE51CB" w:rsidP="4AAE51CB" w:rsidRDefault="4AAE51CB" w14:paraId="26074D50" w14:textId="02E0E81D">
          <w:pPr>
            <w:pStyle w:val="Header"/>
            <w:bidi w:val="0"/>
            <w:jc w:val="center"/>
          </w:pPr>
        </w:p>
      </w:tc>
      <w:tc>
        <w:tcPr>
          <w:tcW w:w="3005" w:type="dxa"/>
          <w:tcMar/>
        </w:tcPr>
        <w:p w:rsidR="4AAE51CB" w:rsidP="4AAE51CB" w:rsidRDefault="4AAE51CB" w14:paraId="08102CE3" w14:textId="69F2F534">
          <w:pPr>
            <w:pStyle w:val="Header"/>
            <w:bidi w:val="0"/>
            <w:ind w:right="-115"/>
            <w:jc w:val="right"/>
          </w:pPr>
        </w:p>
      </w:tc>
    </w:tr>
  </w:tbl>
  <w:p w:rsidR="4AAE51CB" w:rsidP="4AAE51CB" w:rsidRDefault="4AAE51CB" w14:paraId="324EB6EB" w14:textId="1D6568FE">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4AAE51CB" w:rsidRDefault="4AAE51CB" w14:paraId="6415D50B" w14:textId="72B6C1A1">
      <w:pPr>
        <w:spacing w:after="0" w:line="240" w:lineRule="auto"/>
      </w:pPr>
      <w:r>
        <w:separator/>
      </w:r>
    </w:p>
  </w:footnote>
  <w:footnote w:type="continuationSeparator" w:id="0">
    <w:p w:rsidR="4AAE51CB" w:rsidRDefault="4AAE51CB" w14:paraId="7475ECB8" w14:textId="38011851">
      <w:pPr>
        <w:spacing w:after="0" w:line="240" w:lineRule="auto"/>
      </w:pPr>
      <w:r>
        <w:continuationSeparator/>
      </w:r>
    </w:p>
  </w:footnote>
  <w:footnote w:id="7434">
    <w:p w:rsidR="4AAE51CB" w:rsidP="4AAE51CB" w:rsidRDefault="4AAE51CB" w14:paraId="643A9A81" w14:textId="44E8C7A0">
      <w:pPr>
        <w:pStyle w:val="FootnoteText"/>
        <w:bidi w:val="0"/>
        <w:rPr>
          <w:color w:val="000000" w:themeColor="text1" w:themeTint="FF" w:themeShade="FF"/>
          <w:u w:val="none"/>
        </w:rPr>
      </w:pPr>
      <w:r w:rsidRPr="4AAE51CB">
        <w:rPr>
          <w:rStyle w:val="FootnoteReference"/>
        </w:rPr>
        <w:footnoteRef/>
      </w:r>
      <w:r w:rsidR="4AAE51CB">
        <w:rPr/>
        <w:t xml:space="preserve"> Celt, Encyclopaedia Britannica, </w:t>
      </w:r>
      <w:hyperlink r:id="Re873135880a64e5d">
        <w:r w:rsidRPr="4AAE51CB" w:rsidR="4AAE51CB">
          <w:rPr>
            <w:rStyle w:val="Hyperlink"/>
          </w:rPr>
          <w:t>https://www.britannica.com/topic/Celt-people</w:t>
        </w:r>
      </w:hyperlink>
    </w:p>
  </w:footnote>
  <w:footnote w:id="29347">
    <w:p w:rsidR="4AAE51CB" w:rsidP="4AAE51CB" w:rsidRDefault="4AAE51CB" w14:paraId="76457A05" w14:textId="46A8ECE6">
      <w:pPr>
        <w:pStyle w:val="FootnoteText"/>
        <w:bidi w:val="0"/>
      </w:pPr>
      <w:r w:rsidRPr="4AAE51CB">
        <w:rPr>
          <w:rStyle w:val="FootnoteReference"/>
        </w:rPr>
        <w:footnoteRef/>
      </w:r>
      <w:r w:rsidR="4AAE51CB">
        <w:rPr/>
        <w:t xml:space="preserve"> Britannica, </w:t>
      </w:r>
      <w:hyperlink r:id="Re33263758fc54154">
        <w:r w:rsidRPr="4AAE51CB" w:rsidR="4AAE51CB">
          <w:rPr>
            <w:rStyle w:val="Hyperlink"/>
          </w:rPr>
          <w:t>https://www.britannica.com/topic/Celt-people</w:t>
        </w:r>
      </w:hyperlink>
    </w:p>
  </w:footnote>
  <w:footnote w:id="10366">
    <w:p w:rsidR="4AAE51CB" w:rsidP="4AAE51CB" w:rsidRDefault="4AAE51CB" w14:paraId="5EE768C9" w14:textId="3320D2D9">
      <w:pPr>
        <w:pStyle w:val="FootnoteText"/>
        <w:bidi w:val="0"/>
      </w:pPr>
      <w:r w:rsidRPr="4AAE51CB">
        <w:rPr>
          <w:rStyle w:val="FootnoteReference"/>
        </w:rPr>
        <w:footnoteRef/>
      </w:r>
      <w:r w:rsidR="4AAE51CB">
        <w:rPr/>
        <w:t xml:space="preserve"> Sources for translations are listed under Bibliography</w:t>
      </w:r>
    </w:p>
  </w:footnote>
  <w:footnote w:id="5955">
    <w:p w:rsidR="4AAE51CB" w:rsidP="4AAE51CB" w:rsidRDefault="4AAE51CB" w14:paraId="55CC73F6" w14:textId="52BB3629">
      <w:pPr>
        <w:pStyle w:val="FootnoteText"/>
        <w:bidi w:val="0"/>
      </w:pPr>
      <w:r w:rsidRPr="4AAE51CB">
        <w:rPr>
          <w:rStyle w:val="FootnoteReference"/>
        </w:rPr>
        <w:footnoteRef/>
      </w:r>
      <w:r w:rsidR="4AAE51CB">
        <w:rPr/>
        <w:t xml:space="preserve"> The Welsh Government, </w:t>
      </w:r>
      <w:hyperlink r:id="R855dcecdacb749fd">
        <w:r w:rsidRPr="4AAE51CB" w:rsidR="4AAE51CB">
          <w:rPr>
            <w:rStyle w:val="Hyperlink"/>
          </w:rPr>
          <w:t>https://www.gov.wales/welsh-language-data-annual-population-survey-october-2024-september-2025-html</w:t>
        </w:r>
      </w:hyperlink>
    </w:p>
  </w:footnote>
  <w:footnote w:id="31196">
    <w:p w:rsidR="7D0331E9" w:rsidP="7D0331E9" w:rsidRDefault="7D0331E9" w14:paraId="0F5DDF29" w14:textId="7BB0987C">
      <w:pPr>
        <w:pStyle w:val="FootnoteText"/>
        <w:bidi w:val="0"/>
        <w:rPr>
          <w:noProof w:val="0"/>
          <w:lang w:val="en-GB"/>
        </w:rPr>
      </w:pPr>
      <w:r w:rsidRPr="7D0331E9">
        <w:rPr>
          <w:rStyle w:val="FootnoteReference"/>
        </w:rPr>
        <w:footnoteRef/>
      </w:r>
      <w:r w:rsidR="7D0331E9">
        <w:rPr/>
        <w:t xml:space="preserve"> David Stifter, “</w:t>
      </w:r>
      <w:r w:rsidRPr="7D0331E9" w:rsidR="7D0331E9">
        <w:rPr>
          <w:noProof w:val="0"/>
          <w:lang w:val="en-GB"/>
        </w:rPr>
        <w:t>Old Celtic Languages</w:t>
      </w:r>
      <w:r w:rsidRPr="7D0331E9" w:rsidR="7D0331E9">
        <w:rPr>
          <w:noProof w:val="0"/>
          <w:lang w:val="en-GB"/>
        </w:rPr>
        <w:t>”,</w:t>
      </w:r>
      <w:r w:rsidRPr="7D0331E9" w:rsidR="7D0331E9">
        <w:rPr>
          <w:noProof w:val="0"/>
          <w:lang w:val="en-GB"/>
        </w:rPr>
        <w:t xml:space="preserve"> 2012,</w:t>
      </w:r>
      <w:r w:rsidRPr="7D0331E9" w:rsidR="7D0331E9">
        <w:rPr>
          <w:noProof w:val="0"/>
          <w:lang w:val="en-GB"/>
        </w:rPr>
        <w:t xml:space="preserve"> p.107, </w:t>
      </w:r>
      <w:r w:rsidRPr="7D0331E9" w:rsidR="7D0331E9">
        <w:rPr>
          <w:noProof w:val="0"/>
          <w:lang w:val="en-GB"/>
        </w:rPr>
        <w:t xml:space="preserve"> </w:t>
      </w:r>
      <w:hyperlink r:id="R0caa611aa3b34b1a">
        <w:r w:rsidRPr="7D0331E9" w:rsidR="7D0331E9">
          <w:rPr>
            <w:rStyle w:val="Hyperlink"/>
            <w:noProof w:val="0"/>
            <w:lang w:val="en-GB"/>
          </w:rPr>
          <w:t>University of Copenhagen</w:t>
        </w:r>
      </w:hyperlink>
    </w:p>
  </w:footnote>
  <w:footnote w:id="16804">
    <w:p w:rsidR="7D0331E9" w:rsidP="7D0331E9" w:rsidRDefault="7D0331E9" w14:paraId="2BD76B01" w14:textId="4820FEB3">
      <w:pPr>
        <w:pStyle w:val="FootnoteText"/>
        <w:bidi w:val="0"/>
      </w:pPr>
      <w:r w:rsidRPr="7D0331E9">
        <w:rPr>
          <w:rStyle w:val="FootnoteReference"/>
        </w:rPr>
        <w:footnoteRef/>
      </w:r>
      <w:r w:rsidR="7D0331E9">
        <w:rPr/>
        <w:t xml:space="preserve"> Gaul, Encyclopaedia Britannica, </w:t>
      </w:r>
      <w:hyperlink r:id="Rb0d6624b31974bb2">
        <w:r w:rsidRPr="7D0331E9" w:rsidR="7D0331E9">
          <w:rPr>
            <w:rStyle w:val="Hyperlink"/>
          </w:rPr>
          <w:t>https://www.britannica.com/place/Gaul-ancient-region-Europe</w:t>
        </w:r>
      </w:hyperlink>
    </w:p>
  </w:footnote>
  <w:footnote w:id="20561">
    <w:p w:rsidR="7D0331E9" w:rsidP="7D0331E9" w:rsidRDefault="7D0331E9" w14:paraId="5BCC00A3" w14:textId="34B0E841">
      <w:pPr>
        <w:pStyle w:val="FootnoteText"/>
        <w:bidi w:val="0"/>
      </w:pPr>
      <w:r w:rsidRPr="7D0331E9">
        <w:rPr>
          <w:rStyle w:val="FootnoteReference"/>
        </w:rPr>
        <w:footnoteRef/>
      </w:r>
      <w:r w:rsidR="7D0331E9">
        <w:rPr/>
        <w:t xml:space="preserve"> Stifter, p.107</w:t>
      </w:r>
    </w:p>
  </w:footnote>
  <w:footnote w:id="31269">
    <w:p w:rsidR="7D0331E9" w:rsidP="7D0331E9" w:rsidRDefault="7D0331E9" w14:paraId="559585EB" w14:textId="1A438E07">
      <w:pPr>
        <w:pStyle w:val="FootnoteText"/>
        <w:bidi w:val="0"/>
      </w:pPr>
      <w:r w:rsidRPr="7D0331E9">
        <w:rPr>
          <w:rStyle w:val="FootnoteReference"/>
        </w:rPr>
        <w:footnoteRef/>
      </w:r>
      <w:r w:rsidR="7D0331E9">
        <w:rPr/>
        <w:t xml:space="preserve"> </w:t>
      </w:r>
      <w:r w:rsidR="7D0331E9">
        <w:rPr/>
        <w:t>Recueil</w:t>
      </w:r>
      <w:r w:rsidR="7D0331E9">
        <w:rPr/>
        <w:t xml:space="preserve"> </w:t>
      </w:r>
      <w:r w:rsidR="7D0331E9">
        <w:rPr/>
        <w:t>informatisé</w:t>
      </w:r>
      <w:r w:rsidR="7D0331E9">
        <w:rPr/>
        <w:t xml:space="preserve"> des inscriptions </w:t>
      </w:r>
      <w:r w:rsidR="7D0331E9">
        <w:rPr/>
        <w:t>gauloises</w:t>
      </w:r>
      <w:r w:rsidR="7D0331E9">
        <w:rPr/>
        <w:t xml:space="preserve">, </w:t>
      </w:r>
      <w:hyperlink r:id="Rd76aefae6f6f4f80">
        <w:r w:rsidRPr="7D0331E9" w:rsidR="7D0331E9">
          <w:rPr>
            <w:rStyle w:val="Hyperlink"/>
          </w:rPr>
          <w:t>https://riig.huma-num.fr/places/174</w:t>
        </w:r>
      </w:hyperlink>
    </w:p>
  </w:footnote>
  <w:footnote w:id="29703">
    <w:p w:rsidR="7D0331E9" w:rsidP="7D0331E9" w:rsidRDefault="7D0331E9" w14:paraId="1B76485B" w14:textId="5DB9389A">
      <w:pPr>
        <w:pStyle w:val="FootnoteText"/>
        <w:bidi w:val="0"/>
      </w:pPr>
      <w:r w:rsidRPr="7D0331E9">
        <w:rPr>
          <w:rStyle w:val="FootnoteReference"/>
        </w:rPr>
        <w:footnoteRef/>
      </w:r>
      <w:r w:rsidR="7D0331E9">
        <w:rPr/>
        <w:t xml:space="preserve"> Recueil informatisé des inscriptions gauloises, </w:t>
      </w:r>
      <w:hyperlink r:id="Rfcd29062f9764f27">
        <w:r w:rsidRPr="7D0331E9" w:rsidR="7D0331E9">
          <w:rPr>
            <w:rStyle w:val="Hyperlink"/>
          </w:rPr>
          <w:t>https://riig.huma-num.fr/places/176</w:t>
        </w:r>
      </w:hyperlink>
    </w:p>
  </w:footnote>
  <w:footnote w:id="17244">
    <w:p w:rsidR="64DFAE03" w:rsidP="64DFAE03" w:rsidRDefault="64DFAE03" w14:paraId="51FE3795" w14:textId="339AE799">
      <w:pPr>
        <w:pStyle w:val="FootnoteText"/>
        <w:bidi w:val="0"/>
      </w:pPr>
      <w:r w:rsidRPr="64DFAE03">
        <w:rPr>
          <w:rStyle w:val="FootnoteReference"/>
          <w:lang w:val="fr-FR"/>
        </w:rPr>
        <w:footnoteRef/>
      </w:r>
      <w:r w:rsidRPr="64DFAE03" w:rsidR="23241460">
        <w:rPr>
          <w:lang w:val="fr-FR"/>
        </w:rPr>
        <w:t xml:space="preserve"> </w:t>
      </w:r>
      <w:r w:rsidRPr="64DFAE03" w:rsidR="23241460">
        <w:rPr>
          <w:lang w:val="fr-FR"/>
        </w:rPr>
        <w:t>”</w:t>
      </w:r>
      <w:r w:rsidRPr="64DFAE03" w:rsidR="23241460">
        <w:rPr>
          <w:lang w:val="fr-FR"/>
        </w:rPr>
        <w:t>Presentation</w:t>
      </w:r>
      <w:r w:rsidRPr="64DFAE03" w:rsidR="23241460">
        <w:rPr>
          <w:lang w:val="fr-FR"/>
        </w:rPr>
        <w:t xml:space="preserve">”, </w:t>
      </w:r>
      <w:r w:rsidRPr="64DFAE03" w:rsidR="23241460">
        <w:rPr>
          <w:lang w:val="fr-FR"/>
        </w:rPr>
        <w:t xml:space="preserve">Recueil Informatisé des Inscriptions Gauloises, </w:t>
      </w:r>
      <w:hyperlink r:id="Rea00f04500a24bef">
        <w:r w:rsidRPr="23241460" w:rsidR="23241460">
          <w:rPr>
            <w:rStyle w:val="Hyperlink"/>
            <w:lang w:val="fr-FR"/>
          </w:rPr>
          <w:t>https://riig.huma-num.fr/project.html?lang=fr</w:t>
        </w:r>
      </w:hyperlink>
    </w:p>
  </w:footnote>
  <w:footnote w:id="29331">
    <w:p w:rsidR="64DFAE03" w:rsidP="64DFAE03" w:rsidRDefault="64DFAE03" w14:paraId="4A205314" w14:textId="2DA23A0C">
      <w:pPr>
        <w:pStyle w:val="FootnoteText"/>
        <w:bidi w:val="0"/>
      </w:pPr>
      <w:r w:rsidRPr="64DFAE03">
        <w:rPr>
          <w:rStyle w:val="FootnoteReference"/>
        </w:rPr>
        <w:footnoteRef/>
      </w:r>
      <w:r w:rsidR="64DFAE03">
        <w:rPr/>
        <w:t xml:space="preserve"> Stifter, p.108</w:t>
      </w:r>
    </w:p>
  </w:footnote>
  <w:footnote w:id="29811">
    <w:p w:rsidR="64DFAE03" w:rsidP="64DFAE03" w:rsidRDefault="64DFAE03" w14:paraId="2D41971D" w14:textId="301E1EE7">
      <w:pPr>
        <w:pStyle w:val="FootnoteText"/>
        <w:bidi w:val="0"/>
      </w:pPr>
      <w:r w:rsidRPr="64DFAE03">
        <w:rPr>
          <w:rStyle w:val="FootnoteReference"/>
        </w:rPr>
        <w:footnoteRef/>
      </w:r>
      <w:r w:rsidR="64DFAE03">
        <w:rPr/>
        <w:t xml:space="preserve"> Stifter, p.109, p.112</w:t>
      </w:r>
    </w:p>
  </w:footnote>
  <w:footnote w:id="24664">
    <w:p w:rsidR="64DFAE03" w:rsidP="64DFAE03" w:rsidRDefault="64DFAE03" w14:paraId="20A9DC47" w14:textId="24C3E89F">
      <w:pPr>
        <w:pStyle w:val="FootnoteText"/>
        <w:bidi w:val="0"/>
      </w:pPr>
      <w:r w:rsidRPr="64DFAE03">
        <w:rPr>
          <w:rStyle w:val="FootnoteReference"/>
        </w:rPr>
        <w:footnoteRef/>
      </w:r>
      <w:r w:rsidR="64DFAE03">
        <w:rPr/>
        <w:t xml:space="preserve"> Stifter. P.120</w:t>
      </w:r>
    </w:p>
  </w:footnote>
  <w:footnote w:id="24227">
    <w:p w:rsidR="23241460" w:rsidP="23241460" w:rsidRDefault="23241460" w14:paraId="280EC757" w14:textId="2FE74A0D">
      <w:pPr>
        <w:pStyle w:val="FootnoteText"/>
        <w:bidi w:val="0"/>
      </w:pPr>
      <w:r w:rsidRPr="23241460">
        <w:rPr>
          <w:rStyle w:val="FootnoteReference"/>
        </w:rPr>
        <w:footnoteRef/>
      </w:r>
      <w:r w:rsidR="23241460">
        <w:rPr/>
        <w:t xml:space="preserve"> Stifter, pp. 110-111</w:t>
      </w:r>
    </w:p>
  </w:footnote>
  <w:footnote w:id="27998">
    <w:p w:rsidR="23241460" w:rsidP="23241460" w:rsidRDefault="23241460" w14:paraId="0498CE26" w14:textId="5CEC51A4">
      <w:pPr>
        <w:pStyle w:val="FootnoteText"/>
        <w:bidi w:val="0"/>
      </w:pPr>
      <w:r w:rsidRPr="23241460">
        <w:rPr>
          <w:rStyle w:val="FootnoteReference"/>
        </w:rPr>
        <w:footnoteRef/>
      </w:r>
      <w:r w:rsidR="23241460">
        <w:rPr/>
        <w:t xml:space="preserve"> Stifter, p.109</w:t>
      </w:r>
    </w:p>
  </w:footnote>
  <w:footnote w:id="21804">
    <w:p w:rsidR="23241460" w:rsidP="23241460" w:rsidRDefault="23241460" w14:paraId="6611F8B9" w14:textId="00618080">
      <w:pPr>
        <w:pStyle w:val="FootnoteText"/>
        <w:bidi w:val="0"/>
      </w:pPr>
      <w:r w:rsidRPr="23241460">
        <w:rPr>
          <w:rStyle w:val="FootnoteReference"/>
        </w:rPr>
        <w:footnoteRef/>
      </w:r>
      <w:r w:rsidR="23241460">
        <w:rPr/>
        <w:t xml:space="preserve"> Laurence Hélix, ”Histoire de la Langue Française”, </w:t>
      </w:r>
      <w:r w:rsidR="23241460">
        <w:rPr/>
        <w:t>Ellipses Marketing, 2012</w:t>
      </w:r>
    </w:p>
  </w:footnote>
  <w:footnote w:id="11876">
    <w:p w:rsidR="23241460" w:rsidP="23241460" w:rsidRDefault="23241460" w14:paraId="24940A4D" w14:textId="61FBF761">
      <w:pPr>
        <w:pStyle w:val="FootnoteText"/>
        <w:bidi w:val="0"/>
      </w:pPr>
      <w:r w:rsidRPr="23241460">
        <w:rPr>
          <w:rStyle w:val="FootnoteReference"/>
        </w:rPr>
        <w:footnoteRef/>
      </w:r>
      <w:r w:rsidR="6035B2CA">
        <w:rPr/>
        <w:t xml:space="preserve"> Langenfeld, Kathryn Ann (2017). Forging a </w:t>
      </w:r>
      <w:r w:rsidR="6035B2CA">
        <w:rPr/>
        <w:t>History</w:t>
      </w:r>
      <w:r w:rsidR="6035B2CA">
        <w:rPr/>
        <w:t xml:space="preserve">: </w:t>
      </w:r>
      <w:r w:rsidR="6035B2CA">
        <w:rPr/>
        <w:t>the</w:t>
      </w:r>
      <w:r w:rsidR="6035B2CA">
        <w:rPr/>
        <w:t xml:space="preserve"> Inventions and Intellectual Community of the Historia Augusta. Dissertation, Duke University. </w:t>
      </w:r>
      <w:hyperlink r:id="Rd8cfb033d35e47a5">
        <w:r w:rsidRPr="6035B2CA" w:rsidR="6035B2CA">
          <w:rPr>
            <w:rStyle w:val="Hyperlink"/>
          </w:rPr>
          <w:t>https://hdl.handle.net/10161/14536</w:t>
        </w:r>
      </w:hyperlink>
      <w:r w:rsidR="6035B2CA">
        <w:rPr/>
        <w:t>.</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9015"/>
    </w:tblGrid>
    <w:tr w:rsidR="4AAE51CB" w:rsidTr="4AAE51CB" w14:paraId="585B6A82">
      <w:trPr>
        <w:trHeight w:val="300"/>
      </w:trPr>
      <w:tc>
        <w:tcPr>
          <w:tcW w:w="9015" w:type="dxa"/>
          <w:shd w:val="clear" w:color="auto" w:fill="A5C9EB" w:themeFill="text2" w:themeFillTint="40"/>
          <w:tcMar/>
        </w:tcPr>
        <w:p w:rsidR="4AAE51CB" w:rsidP="4AAE51CB" w:rsidRDefault="4AAE51CB" w14:paraId="0487027C" w14:textId="7B6F1AE0">
          <w:pPr>
            <w:pStyle w:val="Header"/>
            <w:bidi w:val="0"/>
            <w:ind w:left="-115"/>
            <w:jc w:val="left"/>
            <w:rPr>
              <w:noProof w:val="0"/>
              <w:lang w:val="en-GB"/>
            </w:rPr>
          </w:pPr>
          <w:r w:rsidRPr="4AAE51CB" w:rsidR="4AAE51CB">
            <w:rPr>
              <w:rFonts w:ascii="Segoe UI" w:hAnsi="Segoe UI" w:eastAsia="Segoe UI" w:cs="Segoe UI"/>
              <w:b w:val="0"/>
              <w:bCs w:val="0"/>
              <w:i w:val="0"/>
              <w:iCs w:val="0"/>
              <w:caps w:val="0"/>
              <w:smallCaps w:val="0"/>
              <w:noProof w:val="0"/>
              <w:color w:val="1D2125"/>
              <w:sz w:val="22"/>
              <w:szCs w:val="22"/>
              <w:lang w:val="en-GB"/>
            </w:rPr>
            <w:t>Write a brief history of one of the Celtic languages, including information about its closest relatives, where we find written evidence for the language, the writing system(s) used, the periods at which it is attested, and whether it survives (or has been successfully revived)</w:t>
          </w:r>
        </w:p>
      </w:tc>
    </w:tr>
  </w:tbl>
  <w:p w:rsidR="4AAE51CB" w:rsidP="4AAE51CB" w:rsidRDefault="4AAE51CB" w14:paraId="127EC593" w14:textId="67288BBB">
    <w:pPr>
      <w:pStyle w:val="Header"/>
      <w:bidi w:val="0"/>
    </w:pPr>
  </w:p>
</w:hdr>
</file>

<file path=word/intelligence2.xml><?xml version="1.0" encoding="utf-8"?>
<int2:intelligence xmlns:int2="http://schemas.microsoft.com/office/intelligence/2020/intelligence">
  <int2:observations>
    <int2:textHash int2:hashCode="DaeKYI/3acIxce" int2:id="f4vJz1k2">
      <int2:state int2:type="spell" int2:value="Rejected"/>
    </int2:textHash>
    <int2:textHash int2:hashCode="d+vblu89oQzCMH" int2:id="lFiRTMMJ">
      <int2:state int2:type="spell" int2:value="Rejected"/>
    </int2:textHash>
    <int2:bookmark int2:bookmarkName="_Int_818py3zK" int2:invalidationBookmarkName="" int2:hashCode="BZyi4W2pF9ZK21" int2:id="41j1TUr3">
      <int2:state int2:type="style" int2:value="Rejected"/>
    </int2:bookmark>
    <int2:bookmark int2:bookmarkName="_Int_fvTCgwWP" int2:invalidationBookmarkName="" int2:hashCode="V9CnXcV+ZGgRNM" int2:id="mby1KGkw">
      <int2:state int2:type="style" int2:value="Rejected"/>
    </int2:bookmark>
    <int2:bookmark int2:bookmarkName="_Int_fvTCgwWP" int2:invalidationBookmarkName="" int2:hashCode="E18b2GTcO5rSQ2" int2:id="JQxuCqRj">
      <int2:state int2:type="gram" int2:value="Rejected"/>
    </int2:bookmark>
    <int2:bookmark int2:bookmarkName="_Int_CpKSWH05" int2:invalidationBookmarkName="" int2:hashCode="GysL0RPM9q3xT6" int2:id="JXhPiNd3">
      <int2:state int2:type="style" int2:value="Rejected"/>
    </int2:bookmark>
    <int2:bookmark int2:bookmarkName="_Int_BuIhbOXA" int2:invalidationBookmarkName="" int2:hashCode="4AMPrQ4J+NXh3m" int2:id="4GtJUYwg">
      <int2:state int2:type="gram" int2:value="Rejected"/>
    </int2:bookmark>
    <int2:bookmark int2:bookmarkName="_Int_icukoGOK" int2:invalidationBookmarkName="" int2:hashCode="0GYf/LRGEYcRtn" int2:id="FpmdcZni">
      <int2:state int2:type="style" int2:value="Rejected"/>
    </int2:bookmark>
    <int2:bookmark int2:bookmarkName="_Int_VI2kuTFq" int2:invalidationBookmarkName="" int2:hashCode="MSWZmIlZvrMIJ0" int2:id="KvtY7rfl">
      <int2:state int2:type="gram" int2:value="Rejected"/>
    </int2:bookmark>
    <int2:bookmark int2:bookmarkName="_Int_1LsIEHaR" int2:invalidationBookmarkName="" int2:hashCode="aH8UI5Q9k+/W7t" int2:id="xrwvLCZb">
      <int2:state int2:type="style" int2:value="Rejected"/>
    </int2:bookmark>
    <int2:bookmark int2:bookmarkName="_Int_KRz2Vm7g" int2:invalidationBookmarkName="" int2:hashCode="0lXQ0GySJQ8tJA" int2:id="nb6G6FXx">
      <int2:state int2:type="style" int2:value="Rejected"/>
    </int2:bookmark>
    <int2:bookmark int2:bookmarkName="_Int_ViQg0xeS" int2:invalidationBookmarkName="" int2:hashCode="e0dMsLOcF3PXGS" int2:id="ZgAPKQrf">
      <int2:state int2:type="style" int2:value="Rejected"/>
    </int2:bookmark>
    <int2:bookmark int2:bookmarkName="_Int_041UHOhs" int2:invalidationBookmarkName="" int2:hashCode="0lXQ0GySJQ8tJA" int2:id="dqOrDO6p">
      <int2:state int2:type="style" int2:value="Rejected"/>
    </int2:bookmark>
    <int2:bookmark int2:bookmarkName="_Int_6LMzxSFb" int2:invalidationBookmarkName="" int2:hashCode="0lXQ0GySJQ8tJA" int2:id="VIicNGnG">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CAD527"/>
    <w:rsid w:val="000F62EB"/>
    <w:rsid w:val="001548A8"/>
    <w:rsid w:val="00336823"/>
    <w:rsid w:val="007C72B5"/>
    <w:rsid w:val="007E2110"/>
    <w:rsid w:val="009A2D72"/>
    <w:rsid w:val="00CD2326"/>
    <w:rsid w:val="00E99DA5"/>
    <w:rsid w:val="00F6F447"/>
    <w:rsid w:val="01108BE0"/>
    <w:rsid w:val="0242CEF6"/>
    <w:rsid w:val="0290C5A3"/>
    <w:rsid w:val="02ADF549"/>
    <w:rsid w:val="02CABC10"/>
    <w:rsid w:val="02DE0EC8"/>
    <w:rsid w:val="0311EAF1"/>
    <w:rsid w:val="0313B406"/>
    <w:rsid w:val="03367B99"/>
    <w:rsid w:val="039BDD89"/>
    <w:rsid w:val="03A14705"/>
    <w:rsid w:val="03BAB386"/>
    <w:rsid w:val="04075396"/>
    <w:rsid w:val="04583FA9"/>
    <w:rsid w:val="04E71B38"/>
    <w:rsid w:val="05246387"/>
    <w:rsid w:val="057FB3E2"/>
    <w:rsid w:val="05B881FD"/>
    <w:rsid w:val="066A70DC"/>
    <w:rsid w:val="069FA577"/>
    <w:rsid w:val="0775EA1F"/>
    <w:rsid w:val="077BD32F"/>
    <w:rsid w:val="07C7D8EA"/>
    <w:rsid w:val="07CD0293"/>
    <w:rsid w:val="07D86B63"/>
    <w:rsid w:val="0803563F"/>
    <w:rsid w:val="087888BE"/>
    <w:rsid w:val="08AF7DBF"/>
    <w:rsid w:val="08EB3E5D"/>
    <w:rsid w:val="08FFB699"/>
    <w:rsid w:val="090493E8"/>
    <w:rsid w:val="0929BECC"/>
    <w:rsid w:val="0A325B27"/>
    <w:rsid w:val="0A65FFB8"/>
    <w:rsid w:val="0AA61E34"/>
    <w:rsid w:val="0AD718DD"/>
    <w:rsid w:val="0AE0C266"/>
    <w:rsid w:val="0B36D6F4"/>
    <w:rsid w:val="0B829708"/>
    <w:rsid w:val="0B9FE746"/>
    <w:rsid w:val="0BA320C6"/>
    <w:rsid w:val="0BCABE49"/>
    <w:rsid w:val="0C838972"/>
    <w:rsid w:val="0D013D15"/>
    <w:rsid w:val="0D1B2409"/>
    <w:rsid w:val="0D4D75E9"/>
    <w:rsid w:val="0DBB074F"/>
    <w:rsid w:val="0DD328FB"/>
    <w:rsid w:val="0E0CE7B3"/>
    <w:rsid w:val="0E341BC4"/>
    <w:rsid w:val="0E4EB52D"/>
    <w:rsid w:val="0E87F06C"/>
    <w:rsid w:val="0E8E638A"/>
    <w:rsid w:val="0ECA4FB6"/>
    <w:rsid w:val="0F1F8BFD"/>
    <w:rsid w:val="0F3DEF2A"/>
    <w:rsid w:val="0F962177"/>
    <w:rsid w:val="0FC6DBAB"/>
    <w:rsid w:val="0FCF2A43"/>
    <w:rsid w:val="1079F220"/>
    <w:rsid w:val="1090AB80"/>
    <w:rsid w:val="10B28028"/>
    <w:rsid w:val="11CF0064"/>
    <w:rsid w:val="11E9637C"/>
    <w:rsid w:val="120900D4"/>
    <w:rsid w:val="1284F9AC"/>
    <w:rsid w:val="12970677"/>
    <w:rsid w:val="12984CAD"/>
    <w:rsid w:val="12CAECC3"/>
    <w:rsid w:val="135CBFCF"/>
    <w:rsid w:val="13EB46BF"/>
    <w:rsid w:val="1418FA9F"/>
    <w:rsid w:val="147FE23B"/>
    <w:rsid w:val="14D8D7BC"/>
    <w:rsid w:val="151A7664"/>
    <w:rsid w:val="152BECFC"/>
    <w:rsid w:val="15620D19"/>
    <w:rsid w:val="1562DF2E"/>
    <w:rsid w:val="15BC5342"/>
    <w:rsid w:val="15EDA3FE"/>
    <w:rsid w:val="15FAD941"/>
    <w:rsid w:val="161FB97B"/>
    <w:rsid w:val="1634445A"/>
    <w:rsid w:val="16C3064D"/>
    <w:rsid w:val="1740C4B2"/>
    <w:rsid w:val="1820D125"/>
    <w:rsid w:val="186F9A00"/>
    <w:rsid w:val="1957A5E3"/>
    <w:rsid w:val="196F3EC6"/>
    <w:rsid w:val="19AD4C2A"/>
    <w:rsid w:val="19FC8BE3"/>
    <w:rsid w:val="1A1BC7D4"/>
    <w:rsid w:val="1AEF634B"/>
    <w:rsid w:val="1B1A5B28"/>
    <w:rsid w:val="1C531B4C"/>
    <w:rsid w:val="1C6215E2"/>
    <w:rsid w:val="1C9865F4"/>
    <w:rsid w:val="1CF84D7F"/>
    <w:rsid w:val="1D26CDEF"/>
    <w:rsid w:val="1D6DC5A5"/>
    <w:rsid w:val="200F60DC"/>
    <w:rsid w:val="20AA0A43"/>
    <w:rsid w:val="20F22C8E"/>
    <w:rsid w:val="2125C086"/>
    <w:rsid w:val="21F2A13C"/>
    <w:rsid w:val="22411C3A"/>
    <w:rsid w:val="22B89900"/>
    <w:rsid w:val="230EEF6A"/>
    <w:rsid w:val="231675E6"/>
    <w:rsid w:val="23241460"/>
    <w:rsid w:val="23892C3F"/>
    <w:rsid w:val="23A80D24"/>
    <w:rsid w:val="23C0144C"/>
    <w:rsid w:val="24853192"/>
    <w:rsid w:val="24D0B413"/>
    <w:rsid w:val="24D2E455"/>
    <w:rsid w:val="25535CE4"/>
    <w:rsid w:val="264603F9"/>
    <w:rsid w:val="271B518F"/>
    <w:rsid w:val="274CD85B"/>
    <w:rsid w:val="277C1FEE"/>
    <w:rsid w:val="27A2026B"/>
    <w:rsid w:val="27B19231"/>
    <w:rsid w:val="27C79FA5"/>
    <w:rsid w:val="28D6C8C3"/>
    <w:rsid w:val="28E1984C"/>
    <w:rsid w:val="2949BFB9"/>
    <w:rsid w:val="295F9133"/>
    <w:rsid w:val="2961BAAC"/>
    <w:rsid w:val="299B217C"/>
    <w:rsid w:val="2A0CED75"/>
    <w:rsid w:val="2A20F0C7"/>
    <w:rsid w:val="2AA78059"/>
    <w:rsid w:val="2B5A79C1"/>
    <w:rsid w:val="2B8ECB36"/>
    <w:rsid w:val="2BAA18C4"/>
    <w:rsid w:val="2BFD309D"/>
    <w:rsid w:val="2C057AFD"/>
    <w:rsid w:val="2C9F91B5"/>
    <w:rsid w:val="2CA571D4"/>
    <w:rsid w:val="2CA9C20B"/>
    <w:rsid w:val="2CC6BB8A"/>
    <w:rsid w:val="2D0D6DFE"/>
    <w:rsid w:val="2D791FF4"/>
    <w:rsid w:val="2D8139F9"/>
    <w:rsid w:val="2DC78199"/>
    <w:rsid w:val="2DCC47F6"/>
    <w:rsid w:val="2DCEE445"/>
    <w:rsid w:val="2F380701"/>
    <w:rsid w:val="2F89C958"/>
    <w:rsid w:val="2FE90B37"/>
    <w:rsid w:val="306123AD"/>
    <w:rsid w:val="30749805"/>
    <w:rsid w:val="30A3B34F"/>
    <w:rsid w:val="314E5D12"/>
    <w:rsid w:val="3168F23A"/>
    <w:rsid w:val="316D0530"/>
    <w:rsid w:val="31800572"/>
    <w:rsid w:val="31C414B5"/>
    <w:rsid w:val="321492FF"/>
    <w:rsid w:val="321732DE"/>
    <w:rsid w:val="32A04F06"/>
    <w:rsid w:val="32AF6E36"/>
    <w:rsid w:val="32CE104F"/>
    <w:rsid w:val="32FC02C1"/>
    <w:rsid w:val="333EB66B"/>
    <w:rsid w:val="335E2B44"/>
    <w:rsid w:val="3368D740"/>
    <w:rsid w:val="346A5CE8"/>
    <w:rsid w:val="34857A91"/>
    <w:rsid w:val="35C4B42D"/>
    <w:rsid w:val="36DD8814"/>
    <w:rsid w:val="378C0A26"/>
    <w:rsid w:val="37D878D0"/>
    <w:rsid w:val="380B65BF"/>
    <w:rsid w:val="389E1409"/>
    <w:rsid w:val="38CBB114"/>
    <w:rsid w:val="38F6EB97"/>
    <w:rsid w:val="390797B5"/>
    <w:rsid w:val="39E20867"/>
    <w:rsid w:val="39EA9B99"/>
    <w:rsid w:val="3A37B840"/>
    <w:rsid w:val="3A7BDC0A"/>
    <w:rsid w:val="3AD44517"/>
    <w:rsid w:val="3AE750F7"/>
    <w:rsid w:val="3B65CDD6"/>
    <w:rsid w:val="3B839829"/>
    <w:rsid w:val="3B952C66"/>
    <w:rsid w:val="3BEB27AB"/>
    <w:rsid w:val="3C0E09C2"/>
    <w:rsid w:val="3C1FC278"/>
    <w:rsid w:val="3C5202DD"/>
    <w:rsid w:val="3C87469E"/>
    <w:rsid w:val="3C91A2D8"/>
    <w:rsid w:val="3CBB6937"/>
    <w:rsid w:val="3CBDF33D"/>
    <w:rsid w:val="3DAF56BD"/>
    <w:rsid w:val="3DE3D4FE"/>
    <w:rsid w:val="3E15C4CC"/>
    <w:rsid w:val="3E28D311"/>
    <w:rsid w:val="3E3E1F2A"/>
    <w:rsid w:val="3E596E6B"/>
    <w:rsid w:val="3E9070C7"/>
    <w:rsid w:val="3F1B67D5"/>
    <w:rsid w:val="40604D79"/>
    <w:rsid w:val="41068767"/>
    <w:rsid w:val="4106CC13"/>
    <w:rsid w:val="41095564"/>
    <w:rsid w:val="42C257F7"/>
    <w:rsid w:val="433DEB89"/>
    <w:rsid w:val="4385840C"/>
    <w:rsid w:val="441F0F0E"/>
    <w:rsid w:val="44C4F4FD"/>
    <w:rsid w:val="45673F23"/>
    <w:rsid w:val="461CD15D"/>
    <w:rsid w:val="4656ED2D"/>
    <w:rsid w:val="466C8225"/>
    <w:rsid w:val="4691FAA4"/>
    <w:rsid w:val="46FB0C88"/>
    <w:rsid w:val="4788D8FC"/>
    <w:rsid w:val="4859183B"/>
    <w:rsid w:val="485D8CBE"/>
    <w:rsid w:val="48766654"/>
    <w:rsid w:val="49826521"/>
    <w:rsid w:val="4993D263"/>
    <w:rsid w:val="4A2EB11C"/>
    <w:rsid w:val="4A53C67C"/>
    <w:rsid w:val="4AAE51CB"/>
    <w:rsid w:val="4AB0494A"/>
    <w:rsid w:val="4AB9AB0C"/>
    <w:rsid w:val="4B2714DC"/>
    <w:rsid w:val="4B3A2561"/>
    <w:rsid w:val="4B4398A1"/>
    <w:rsid w:val="4B63979F"/>
    <w:rsid w:val="4B88FBB3"/>
    <w:rsid w:val="4C1C0368"/>
    <w:rsid w:val="4C4EA6B8"/>
    <w:rsid w:val="4C665C0D"/>
    <w:rsid w:val="4D13AA2C"/>
    <w:rsid w:val="4D265449"/>
    <w:rsid w:val="4D83D905"/>
    <w:rsid w:val="4D8C82A6"/>
    <w:rsid w:val="4DB73F70"/>
    <w:rsid w:val="4E35E3D5"/>
    <w:rsid w:val="4E698284"/>
    <w:rsid w:val="4F03CE94"/>
    <w:rsid w:val="4FA4C10A"/>
    <w:rsid w:val="4FABA8F4"/>
    <w:rsid w:val="5027D9BB"/>
    <w:rsid w:val="502841BD"/>
    <w:rsid w:val="50AF0864"/>
    <w:rsid w:val="50AFA011"/>
    <w:rsid w:val="50B08C88"/>
    <w:rsid w:val="50E79694"/>
    <w:rsid w:val="510BE446"/>
    <w:rsid w:val="510BF19D"/>
    <w:rsid w:val="511E6E8D"/>
    <w:rsid w:val="5130E97B"/>
    <w:rsid w:val="5156D281"/>
    <w:rsid w:val="518543AC"/>
    <w:rsid w:val="51C314AF"/>
    <w:rsid w:val="51CAD527"/>
    <w:rsid w:val="52497143"/>
    <w:rsid w:val="52A207DF"/>
    <w:rsid w:val="52D121E7"/>
    <w:rsid w:val="530227B3"/>
    <w:rsid w:val="53DFB1C6"/>
    <w:rsid w:val="5442F0CA"/>
    <w:rsid w:val="5489F388"/>
    <w:rsid w:val="549E054E"/>
    <w:rsid w:val="550745EE"/>
    <w:rsid w:val="5509932D"/>
    <w:rsid w:val="557DAE0A"/>
    <w:rsid w:val="56F32357"/>
    <w:rsid w:val="5729D71A"/>
    <w:rsid w:val="5848714F"/>
    <w:rsid w:val="587EE1B7"/>
    <w:rsid w:val="589383E8"/>
    <w:rsid w:val="58E39888"/>
    <w:rsid w:val="591AB1AC"/>
    <w:rsid w:val="5A2BC17E"/>
    <w:rsid w:val="5AB77FB5"/>
    <w:rsid w:val="5AC53924"/>
    <w:rsid w:val="5B586F73"/>
    <w:rsid w:val="5BB41FA0"/>
    <w:rsid w:val="5BD9DB71"/>
    <w:rsid w:val="5C10F07E"/>
    <w:rsid w:val="5C405B57"/>
    <w:rsid w:val="5C5665BE"/>
    <w:rsid w:val="5D2F7307"/>
    <w:rsid w:val="5D35C55E"/>
    <w:rsid w:val="5D429FB4"/>
    <w:rsid w:val="5DD09C8F"/>
    <w:rsid w:val="5E01A403"/>
    <w:rsid w:val="5E7C65AB"/>
    <w:rsid w:val="5EA29FFE"/>
    <w:rsid w:val="5EAA1454"/>
    <w:rsid w:val="5EC8912B"/>
    <w:rsid w:val="5F17D3FF"/>
    <w:rsid w:val="5F191EAD"/>
    <w:rsid w:val="5FAB775B"/>
    <w:rsid w:val="5FF7A90F"/>
    <w:rsid w:val="6035B2CA"/>
    <w:rsid w:val="609702CD"/>
    <w:rsid w:val="60976236"/>
    <w:rsid w:val="610958A2"/>
    <w:rsid w:val="614B0C98"/>
    <w:rsid w:val="61E0BFE1"/>
    <w:rsid w:val="6231388C"/>
    <w:rsid w:val="624F2895"/>
    <w:rsid w:val="6276CA07"/>
    <w:rsid w:val="637E435E"/>
    <w:rsid w:val="638EC878"/>
    <w:rsid w:val="64563B4E"/>
    <w:rsid w:val="64DFAE03"/>
    <w:rsid w:val="652956A7"/>
    <w:rsid w:val="6578F67B"/>
    <w:rsid w:val="659E5630"/>
    <w:rsid w:val="65B3852C"/>
    <w:rsid w:val="65CBDA81"/>
    <w:rsid w:val="65F7D985"/>
    <w:rsid w:val="66AE0171"/>
    <w:rsid w:val="66C94992"/>
    <w:rsid w:val="678F37F3"/>
    <w:rsid w:val="67B0ED65"/>
    <w:rsid w:val="67BAE3AA"/>
    <w:rsid w:val="67D5FED9"/>
    <w:rsid w:val="67DBF1CA"/>
    <w:rsid w:val="687A09A2"/>
    <w:rsid w:val="69A2E163"/>
    <w:rsid w:val="69B6B579"/>
    <w:rsid w:val="69D3D557"/>
    <w:rsid w:val="69EBD57D"/>
    <w:rsid w:val="6B25DB4B"/>
    <w:rsid w:val="6B9A76E2"/>
    <w:rsid w:val="6B9D3937"/>
    <w:rsid w:val="6BA8DB9D"/>
    <w:rsid w:val="6C48352E"/>
    <w:rsid w:val="6C9C354B"/>
    <w:rsid w:val="6CF6CC18"/>
    <w:rsid w:val="6E4CDADC"/>
    <w:rsid w:val="6E6DD15B"/>
    <w:rsid w:val="6E8929BC"/>
    <w:rsid w:val="6E8D8A6A"/>
    <w:rsid w:val="6EB50617"/>
    <w:rsid w:val="6F4B8662"/>
    <w:rsid w:val="6F4F8520"/>
    <w:rsid w:val="6FE1B686"/>
    <w:rsid w:val="7034DE83"/>
    <w:rsid w:val="703B834B"/>
    <w:rsid w:val="703DBC91"/>
    <w:rsid w:val="7081A046"/>
    <w:rsid w:val="70A1C8C7"/>
    <w:rsid w:val="70BB8E0D"/>
    <w:rsid w:val="711F95D1"/>
    <w:rsid w:val="71A519F9"/>
    <w:rsid w:val="71B4B165"/>
    <w:rsid w:val="71F5006B"/>
    <w:rsid w:val="7210928F"/>
    <w:rsid w:val="723AB65C"/>
    <w:rsid w:val="72800DE3"/>
    <w:rsid w:val="72ACCA38"/>
    <w:rsid w:val="72AD2DE5"/>
    <w:rsid w:val="72CE22B2"/>
    <w:rsid w:val="7339C56E"/>
    <w:rsid w:val="7357CAD8"/>
    <w:rsid w:val="74A78AC2"/>
    <w:rsid w:val="74B7B37C"/>
    <w:rsid w:val="750EBD95"/>
    <w:rsid w:val="75903AA0"/>
    <w:rsid w:val="7646A72B"/>
    <w:rsid w:val="76573B2A"/>
    <w:rsid w:val="76C7EAEF"/>
    <w:rsid w:val="77430926"/>
    <w:rsid w:val="777C0BE5"/>
    <w:rsid w:val="77FB5407"/>
    <w:rsid w:val="789D6F3D"/>
    <w:rsid w:val="78EC6DDA"/>
    <w:rsid w:val="791ED6E1"/>
    <w:rsid w:val="7941591A"/>
    <w:rsid w:val="79685FE5"/>
    <w:rsid w:val="797F3E0E"/>
    <w:rsid w:val="7985F957"/>
    <w:rsid w:val="79DE9C96"/>
    <w:rsid w:val="7A10718C"/>
    <w:rsid w:val="7A172306"/>
    <w:rsid w:val="7A508596"/>
    <w:rsid w:val="7A7E1186"/>
    <w:rsid w:val="7A819681"/>
    <w:rsid w:val="7B203CF7"/>
    <w:rsid w:val="7B27A7B8"/>
    <w:rsid w:val="7B27ED06"/>
    <w:rsid w:val="7C442AF3"/>
    <w:rsid w:val="7CE66666"/>
    <w:rsid w:val="7CFC8B7D"/>
    <w:rsid w:val="7D0331E9"/>
    <w:rsid w:val="7D0822FE"/>
    <w:rsid w:val="7D39934E"/>
    <w:rsid w:val="7E0D280F"/>
    <w:rsid w:val="7EB3CCC6"/>
    <w:rsid w:val="7EB3D62B"/>
    <w:rsid w:val="7EE9ED75"/>
    <w:rsid w:val="7F5A0359"/>
    <w:rsid w:val="7F819540"/>
    <w:rsid w:val="7FDCA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AD527"/>
  <w15:chartTrackingRefBased/>
  <w15:docId w15:val="{AF3CCF62-CA64-4385-94C3-B9C3100867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AAE51CB"/>
    <w:pPr>
      <w:tabs>
        <w:tab w:val="center" w:leader="none" w:pos="4680"/>
        <w:tab w:val="right" w:leader="none" w:pos="9360"/>
      </w:tabs>
      <w:spacing w:after="0" w:line="240" w:lineRule="auto"/>
    </w:pPr>
  </w:style>
  <w:style w:type="paragraph" w:styleId="Footer">
    <w:uiPriority w:val="99"/>
    <w:name w:val="footer"/>
    <w:basedOn w:val="Normal"/>
    <w:unhideWhenUsed/>
    <w:rsid w:val="4AAE51CB"/>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4AAE51CB"/>
    <w:rPr>
      <w:sz w:val="20"/>
      <w:szCs w:val="20"/>
    </w:rPr>
    <w:pPr>
      <w:spacing w:after="0" w:line="240" w:lineRule="auto"/>
    </w:pPr>
  </w:style>
  <w:style w:type="character" w:styleId="FootnoteReference">
    <w:uiPriority w:val="99"/>
    <w:name w:val="footnote reference"/>
    <w:basedOn w:val="DefaultParagraphFont"/>
    <w:semiHidden/>
    <w:unhideWhenUsed/>
    <w:rsid w:val="4AAE51CB"/>
    <w:rPr>
      <w:vertAlign w:val="superscript"/>
    </w:rPr>
  </w:style>
  <w:style w:type="character" w:styleId="Hyperlink">
    <w:uiPriority w:val="99"/>
    <w:name w:val="Hyperlink"/>
    <w:basedOn w:val="DefaultParagraphFont"/>
    <w:unhideWhenUsed/>
    <w:rsid w:val="4AAE51C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035B2C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df70c557a434a1c" /><Relationship Type="http://schemas.openxmlformats.org/officeDocument/2006/relationships/footer" Target="/word/footer.xml" Id="R89aebe53cb1046f4" /><Relationship Type="http://schemas.openxmlformats.org/officeDocument/2006/relationships/footnotes" Target="/word/footnotes.xml" Id="R54f52d6a013a444e" /><Relationship Type="http://schemas.microsoft.com/office/2020/10/relationships/intelligence" Target="/word/intelligence2.xml" Id="Ra7c479bc7b39477d" /></Relationships>
</file>

<file path=word/_rels/footnotes.xml.rels>&#65279;<?xml version="1.0" encoding="utf-8"?><Relationships xmlns="http://schemas.openxmlformats.org/package/2006/relationships"><Relationship Type="http://schemas.openxmlformats.org/officeDocument/2006/relationships/hyperlink" Target="https://www.britannica.com/topic/Celt-people" TargetMode="External" Id="Re873135880a64e5d" /><Relationship Type="http://schemas.openxmlformats.org/officeDocument/2006/relationships/hyperlink" Target="https://www.britannica.com/topic/Celt-people" TargetMode="External" Id="Re33263758fc54154" /><Relationship Type="http://schemas.openxmlformats.org/officeDocument/2006/relationships/hyperlink" Target="https://www.gov.wales/welsh-language-data-annual-population-survey-october-2024-september-2025-html" TargetMode="External" Id="R855dcecdacb749fd" /><Relationship Type="http://schemas.openxmlformats.org/officeDocument/2006/relationships/hyperlink" Target="https://rootsofeurope.ku.dk/kalender/arkiv_2012/celtic_spring/Gallisch_1_WS_2010.pdf" TargetMode="External" Id="R0caa611aa3b34b1a" /><Relationship Type="http://schemas.openxmlformats.org/officeDocument/2006/relationships/hyperlink" Target="https://www.britannica.com/place/Gaul-ancient-region-Europe" TargetMode="External" Id="Rb0d6624b31974bb2" /><Relationship Type="http://schemas.openxmlformats.org/officeDocument/2006/relationships/hyperlink" Target="https://riig.huma-num.fr/places/174" TargetMode="External" Id="Rd76aefae6f6f4f80" /><Relationship Type="http://schemas.openxmlformats.org/officeDocument/2006/relationships/hyperlink" Target="https://riig.huma-num.fr/places/176" TargetMode="External" Id="Rfcd29062f9764f27" /><Relationship Type="http://schemas.openxmlformats.org/officeDocument/2006/relationships/hyperlink" Target="https://riig.huma-num.fr/project.html?lang=fr" TargetMode="External" Id="Rea00f04500a24bef" /><Relationship Type="http://schemas.openxmlformats.org/officeDocument/2006/relationships/hyperlink" Target="https://hdl.handle.net/10161/14536" TargetMode="External" Id="Rd8cfb033d35e47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Ewan Adshead (2501199)</dc:creator>
  <keywords/>
  <dc:description/>
  <lastModifiedBy>Ewan Adshead (2501199)</lastModifiedBy>
  <revision>6</revision>
  <dcterms:created xsi:type="dcterms:W3CDTF">2026-03-16T20:04:18.7374617Z</dcterms:created>
  <dcterms:modified xsi:type="dcterms:W3CDTF">2026-03-19T03:15:31.8685517Z</dcterms:modified>
</coreProperties>
</file>