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14A9C2" w14:textId="77777777" w:rsidR="002F1780" w:rsidRDefault="002F1780" w:rsidP="00CF67CF">
      <w:pPr>
        <w:pStyle w:val="Heading1"/>
        <w:spacing w:before="0" w:after="0" w:line="360" w:lineRule="auto"/>
      </w:pPr>
      <w:r w:rsidRPr="002F1780">
        <w:t>BIBLIOGRAPHICAL EXERCISE</w:t>
      </w:r>
    </w:p>
    <w:p w14:paraId="6549CE21" w14:textId="0597922D" w:rsidR="00A0570A" w:rsidRPr="00A0570A" w:rsidRDefault="00CF67CF" w:rsidP="00A0570A">
      <w:pPr>
        <w:jc w:val="center"/>
      </w:pPr>
      <w:r>
        <w:t xml:space="preserve">INC 10: </w:t>
      </w:r>
      <w:r w:rsidR="00A0570A" w:rsidRPr="00CF67CF">
        <w:rPr>
          <w:i/>
          <w:iCs/>
        </w:rPr>
        <w:t>MISSALE VRATISLAVIENSE</w:t>
      </w:r>
    </w:p>
    <w:p w14:paraId="6DC13AAF" w14:textId="77777777" w:rsidR="002F1780" w:rsidRDefault="002F1780" w:rsidP="002F1780">
      <w:r w:rsidRPr="007C67E9">
        <w:t>[Colophon on E6</w:t>
      </w:r>
      <w:r>
        <w:t xml:space="preserve"> in red ink</w:t>
      </w:r>
      <w:r w:rsidRPr="007C67E9">
        <w:t xml:space="preserve">] | Preſens miſſaliū opus ſecun⸗ | dū ordinationē ſiue rubricam | eccleſie wratiſlauenſis ordina | tū • </w:t>
      </w:r>
      <w:r w:rsidRPr="002F1780">
        <w:t>raſtigatū</w:t>
      </w:r>
      <w:r w:rsidRPr="007C67E9">
        <w:t xml:space="preserve"> • diligentera emē⸗ | datū • ad dei laudē et honoum | per </w:t>
      </w:r>
      <w:r w:rsidRPr="00FC0D66">
        <w:t>Petrū Ꞅ</w:t>
      </w:r>
      <w:r w:rsidRPr="007C67E9">
        <w:t>choffer te gernſꝫhē | In nobili riuitate Magūtina | huius artis impreſſoꝛie inuen | trite • elimatriceqꝫ prima felici⸗ | ter eſt cōſummatū • Anno mil⸗ | leſimo • cccc • nonage ſunonono. | [printer’s device depicting twin shields</w:t>
      </w:r>
      <w:r>
        <w:t xml:space="preserve"> in red ink</w:t>
      </w:r>
      <w:r w:rsidRPr="007C67E9">
        <w:t>]</w:t>
      </w:r>
    </w:p>
    <w:p w14:paraId="4577B2B9" w14:textId="21D1DE2E" w:rsidR="00A0570A" w:rsidRPr="007C67E9" w:rsidRDefault="00A0570A" w:rsidP="002F1780">
      <w:r>
        <w:t xml:space="preserve">The format of the </w:t>
      </w:r>
      <w:r w:rsidRPr="00297322">
        <w:rPr>
          <w:i/>
          <w:iCs/>
        </w:rPr>
        <w:t>Missale Vratislaviense</w:t>
      </w:r>
      <w:r>
        <w:t xml:space="preserve"> is </w:t>
      </w:r>
      <w:r w:rsidRPr="00A0570A">
        <w:t>8vo</w:t>
      </w:r>
      <w:r>
        <w:t xml:space="preserve">. </w:t>
      </w:r>
    </w:p>
    <w:p w14:paraId="32C91766" w14:textId="6540834B" w:rsidR="00C41523" w:rsidRDefault="002F1780" w:rsidP="002F1780">
      <w:r w:rsidRPr="007C67E9">
        <w:t>[*</w:t>
      </w:r>
      <w:r w:rsidRPr="007C67E9">
        <w:rPr>
          <w:vertAlign w:val="superscript"/>
        </w:rPr>
        <w:t>6</w:t>
      </w:r>
      <w:r w:rsidRPr="007C67E9">
        <w:t>], a – m</w:t>
      </w:r>
      <w:r w:rsidRPr="007C67E9">
        <w:rPr>
          <w:vertAlign w:val="superscript"/>
        </w:rPr>
        <w:t>8</w:t>
      </w:r>
      <w:r w:rsidRPr="007C67E9">
        <w:t>, [there is an insertion between m</w:t>
      </w:r>
      <w:r w:rsidRPr="007C67E9">
        <w:rPr>
          <w:vertAlign w:val="superscript"/>
        </w:rPr>
        <w:t>7</w:t>
      </w:r>
      <w:r w:rsidRPr="007C67E9">
        <w:t> and m</w:t>
      </w:r>
      <w:r w:rsidRPr="007C67E9">
        <w:rPr>
          <w:vertAlign w:val="superscript"/>
        </w:rPr>
        <w:t xml:space="preserve">8 </w:t>
      </w:r>
      <w:r w:rsidRPr="007C67E9">
        <w:t>of 6 leaves] n – p</w:t>
      </w:r>
      <w:r w:rsidRPr="007C67E9">
        <w:rPr>
          <w:vertAlign w:val="superscript"/>
        </w:rPr>
        <w:t>8</w:t>
      </w:r>
      <w:r w:rsidRPr="007C67E9">
        <w:t>, q</w:t>
      </w:r>
      <w:r w:rsidRPr="007C67E9">
        <w:rPr>
          <w:vertAlign w:val="superscript"/>
        </w:rPr>
        <w:t>10</w:t>
      </w:r>
      <w:r w:rsidRPr="007C67E9">
        <w:t>, r – y</w:t>
      </w:r>
      <w:r w:rsidRPr="007C67E9">
        <w:rPr>
          <w:vertAlign w:val="superscript"/>
        </w:rPr>
        <w:t>8</w:t>
      </w:r>
      <w:r w:rsidRPr="007C67E9">
        <w:t>, blank</w:t>
      </w:r>
      <w:r w:rsidRPr="007C67E9">
        <w:rPr>
          <w:vertAlign w:val="superscript"/>
        </w:rPr>
        <w:t>8</w:t>
      </w:r>
      <w:r w:rsidRPr="007C67E9">
        <w:t>, A – D</w:t>
      </w:r>
      <w:r w:rsidRPr="007C67E9">
        <w:rPr>
          <w:vertAlign w:val="superscript"/>
        </w:rPr>
        <w:t>8</w:t>
      </w:r>
      <w:r w:rsidRPr="007C67E9">
        <w:t>, E</w:t>
      </w:r>
      <w:r w:rsidRPr="007C67E9">
        <w:rPr>
          <w:vertAlign w:val="superscript"/>
        </w:rPr>
        <w:t>6</w:t>
      </w:r>
      <w:r w:rsidRPr="007C67E9">
        <w:t>.</w:t>
      </w:r>
    </w:p>
    <w:p w14:paraId="1A74AC9C" w14:textId="73C3FDEC" w:rsidR="00122B57" w:rsidRDefault="00122B57" w:rsidP="002F1780">
      <w:r>
        <w:rPr>
          <w:noProof/>
        </w:rPr>
        <mc:AlternateContent>
          <mc:Choice Requires="wps">
            <w:drawing>
              <wp:anchor distT="0" distB="0" distL="114300" distR="114300" simplePos="0" relativeHeight="251659264" behindDoc="0" locked="0" layoutInCell="1" allowOverlap="1" wp14:anchorId="769A6DE0" wp14:editId="23F7A784">
                <wp:simplePos x="0" y="0"/>
                <wp:positionH relativeFrom="column">
                  <wp:posOffset>-45157</wp:posOffset>
                </wp:positionH>
                <wp:positionV relativeFrom="paragraph">
                  <wp:posOffset>72813</wp:posOffset>
                </wp:positionV>
                <wp:extent cx="5870223" cy="0"/>
                <wp:effectExtent l="0" t="0" r="10160" b="12700"/>
                <wp:wrapNone/>
                <wp:docPr id="1447553393" name="Straight Connector 1"/>
                <wp:cNvGraphicFramePr/>
                <a:graphic xmlns:a="http://schemas.openxmlformats.org/drawingml/2006/main">
                  <a:graphicData uri="http://schemas.microsoft.com/office/word/2010/wordprocessingShape">
                    <wps:wsp>
                      <wps:cNvCnPr/>
                      <wps:spPr>
                        <a:xfrm>
                          <a:off x="0" y="0"/>
                          <a:ext cx="587022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B0813B"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55pt,5.75pt" to="458.65pt,5.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" strokecolor="#156082 [3204]" strokeweight=".5pt">
                <v:stroke joinstyle="miter"/>
              </v:line>
            </w:pict>
          </mc:Fallback>
        </mc:AlternateContent>
      </w:r>
    </w:p>
    <w:p w14:paraId="1D30DDD7" w14:textId="645A63E9" w:rsidR="006C4B21" w:rsidRDefault="0026524A" w:rsidP="004378A2">
      <w:pPr>
        <w:jc w:val="both"/>
      </w:pPr>
      <w:r>
        <w:t>Th</w:t>
      </w:r>
      <w:r w:rsidR="006D46EC">
        <w:t xml:space="preserve">is incunable is known as </w:t>
      </w:r>
      <w:r w:rsidR="006D46EC" w:rsidRPr="006D46EC">
        <w:rPr>
          <w:i/>
          <w:iCs/>
        </w:rPr>
        <w:t>Missale Vratislaviense</w:t>
      </w:r>
      <w:r w:rsidR="006D46EC">
        <w:t>. It was printed in 1499 by influential printer, Peter Schoeffer</w:t>
      </w:r>
      <w:r w:rsidR="00BF2C31">
        <w:t xml:space="preserve">, whose own career paralleled the earliest history of European printing. The </w:t>
      </w:r>
      <w:r w:rsidR="00BF2C31" w:rsidRPr="00CF67CF">
        <w:rPr>
          <w:i/>
          <w:iCs/>
        </w:rPr>
        <w:t>Missale</w:t>
      </w:r>
      <w:r w:rsidR="00BF2C31">
        <w:t xml:space="preserve"> itself is formatted to resemble copywritten manuscripts of the medieval era, with iconographic flourishes and art pieces—the sketches of which one can still see and feel imprinted on the page. </w:t>
      </w:r>
      <w:r w:rsidR="006C4B21">
        <w:t>Wood</w:t>
      </w:r>
      <w:r w:rsidR="00BF2C31">
        <w:t>cut illustrations were printed onto the first page, and the opening page of an additional insertion, the latter which depicts Jesus’ crucifixion</w:t>
      </w:r>
      <w:r w:rsidR="00CF67CF">
        <w:t xml:space="preserve">, attributed to artist Konrad </w:t>
      </w:r>
      <w:r w:rsidR="006C4B21">
        <w:t>Botho</w:t>
      </w:r>
      <w:r w:rsidR="00BF2C31">
        <w:t>. The</w:t>
      </w:r>
      <w:r w:rsidR="00CF67CF">
        <w:t xml:space="preserve"> aforementioned</w:t>
      </w:r>
      <w:r w:rsidR="00BF2C31">
        <w:t xml:space="preserve"> insertion of roughly six leaves is a curious part of the </w:t>
      </w:r>
      <w:r w:rsidR="00BF2C31" w:rsidRPr="003820C9">
        <w:rPr>
          <w:i/>
          <w:iCs/>
        </w:rPr>
        <w:t>Missale</w:t>
      </w:r>
      <w:r w:rsidR="00CF67CF">
        <w:t>. U</w:t>
      </w:r>
      <w:r w:rsidR="00BF2C31">
        <w:t xml:space="preserve">nlike the original, consistent two-column-per-page structure of the </w:t>
      </w:r>
      <w:r w:rsidR="00BF2C31" w:rsidRPr="00815AA3">
        <w:rPr>
          <w:i/>
          <w:iCs/>
        </w:rPr>
        <w:t>Missale</w:t>
      </w:r>
      <w:r w:rsidR="00BF2C31">
        <w:t>, this insertion contains only one large</w:t>
      </w:r>
      <w:r w:rsidR="00815AA3">
        <w:t xml:space="preserve"> column centred in the page</w:t>
      </w:r>
      <w:r w:rsidR="00BF2C31">
        <w:t xml:space="preserve">. Nonetheless, </w:t>
      </w:r>
      <w:r w:rsidR="00A01CB8">
        <w:t>the artistic flourishes</w:t>
      </w:r>
      <w:r w:rsidR="00BF2C31">
        <w:t xml:space="preserve"> remains </w:t>
      </w:r>
      <w:r w:rsidR="00A01CB8">
        <w:t xml:space="preserve">consistent with Schoeffer’s </w:t>
      </w:r>
      <w:r w:rsidR="00CF67CF">
        <w:t>printing and illustrative style</w:t>
      </w:r>
      <w:r w:rsidR="00BF2C31">
        <w:t xml:space="preserve">. </w:t>
      </w:r>
    </w:p>
    <w:p w14:paraId="1EC81C7A" w14:textId="0A2BDAE3" w:rsidR="00B3534B" w:rsidRDefault="00815AA3" w:rsidP="004378A2">
      <w:pPr>
        <w:jc w:val="both"/>
      </w:pPr>
      <w:r>
        <w:tab/>
        <w:t xml:space="preserve">Peter Schoeffer’s career as a printer is most notable for its scope; it was a career that “spanned the entire infancy” of moveable type printing; arguably, it would make him one of the most influential individuals in the early invention of the printed word, second only to </w:t>
      </w:r>
      <w:r>
        <w:lastRenderedPageBreak/>
        <w:t>Johannes Gutenberg himself.</w:t>
      </w:r>
      <w:r w:rsidR="003820C9">
        <w:rPr>
          <w:rStyle w:val="FootnoteReference"/>
        </w:rPr>
        <w:footnoteReference w:id="1"/>
      </w:r>
      <w:r>
        <w:t xml:space="preserve"> His origins are traced back to Gernsheim, Germany, through evidence in Schoeffer’s calligrapher’s signature “Peter of Gernsheim and Mainz”</w:t>
      </w:r>
      <w:r>
        <w:t>, where he was suspected to have been born in 1425</w:t>
      </w:r>
      <w:r>
        <w:t>.</w:t>
      </w:r>
      <w:r w:rsidR="003820C9">
        <w:rPr>
          <w:rStyle w:val="FootnoteReference"/>
        </w:rPr>
        <w:footnoteReference w:id="2"/>
      </w:r>
      <w:r>
        <w:t xml:space="preserve"> Very little information of Schoeffer’s early life has survived; it is presumed he attended the University of Erfurt in 1444, and until 1448, under the names “Peter Ginsheym” and “Petrus Opilionis” (which is Latin for “shepherd”, or “Schoeffer” in German) respectively. It can be assumed, then, that Schoeffer was a formally educated young man, </w:t>
      </w:r>
      <w:r w:rsidR="008352AE">
        <w:t>whose education was presumed to have been as a result of Johann Fust</w:t>
      </w:r>
      <w:r w:rsidR="00B3534B">
        <w:t>’s</w:t>
      </w:r>
      <w:r w:rsidR="008352AE">
        <w:t>—his employer, adoptive son (if we go by claims from Schoeffer’s own son, and Fust’s grandson, Johann Schoeffer), and only posthumously, his father-in-law—</w:t>
      </w:r>
      <w:r w:rsidR="00B3534B">
        <w:t>financial sponsoring of the boy. This would explain how Schoeffer would experience such</w:t>
      </w:r>
      <w:r w:rsidR="008352AE">
        <w:t xml:space="preserve"> a meteoric rise from obscurity</w:t>
      </w:r>
      <w:r w:rsidR="00B3534B">
        <w:t xml:space="preserve"> to his scribal career. He would be employed by Johannes Gutenberg upon the latter’s nascent invention of the moveable-type printing press. </w:t>
      </w:r>
    </w:p>
    <w:p w14:paraId="244EE759" w14:textId="15435718" w:rsidR="008352AE" w:rsidRDefault="00B3534B" w:rsidP="004378A2">
      <w:pPr>
        <w:jc w:val="both"/>
      </w:pPr>
      <w:r>
        <w:tab/>
        <w:t xml:space="preserve"> Financed by Fust, </w:t>
      </w:r>
      <w:r w:rsidR="00F3125B">
        <w:t>Gutenberg would begin printing what we now call the Gutenberg Bible, a 42-line print of the Latin Vulgate Bible</w:t>
      </w:r>
      <w:r w:rsidR="003820C9">
        <w:t>.</w:t>
      </w:r>
      <w:r w:rsidR="00CC0984">
        <w:rPr>
          <w:rStyle w:val="FootnoteReference"/>
        </w:rPr>
        <w:footnoteReference w:id="3"/>
      </w:r>
      <w:r w:rsidR="003820C9">
        <w:t xml:space="preserve"> </w:t>
      </w:r>
      <w:r w:rsidR="00F3125B">
        <w:t xml:space="preserve">Schoeffer </w:t>
      </w:r>
      <w:r w:rsidR="003820C9">
        <w:t>was employed as his assistant</w:t>
      </w:r>
      <w:r w:rsidR="00F3125B">
        <w:t xml:space="preserve"> </w:t>
      </w:r>
      <w:r w:rsidR="003820C9">
        <w:t xml:space="preserve">and </w:t>
      </w:r>
      <w:r w:rsidR="00F3125B">
        <w:t>pressman</w:t>
      </w:r>
      <w:r w:rsidR="003820C9">
        <w:t>, who designed and cast Gutenberg’s type</w:t>
      </w:r>
      <w:r w:rsidR="00F3125B">
        <w:t xml:space="preserve">. However, the professional relationship between Fust and Gutenberg would begin to crumble </w:t>
      </w:r>
      <w:r w:rsidR="00980964">
        <w:t>following</w:t>
      </w:r>
      <w:r w:rsidR="00F3125B">
        <w:t xml:space="preserve"> the production of 180 copies of the Bible</w:t>
      </w:r>
      <w:r w:rsidR="00980964">
        <w:t xml:space="preserve"> which finished between 1454 and 1456</w:t>
      </w:r>
      <w:r w:rsidR="00F3125B">
        <w:t>,</w:t>
      </w:r>
      <w:r w:rsidR="00980964">
        <w:t xml:space="preserve"> as a result of financial arbitration.</w:t>
      </w:r>
      <w:r w:rsidR="00CC0984">
        <w:rPr>
          <w:rStyle w:val="FootnoteReference"/>
        </w:rPr>
        <w:footnoteReference w:id="4"/>
      </w:r>
    </w:p>
    <w:p w14:paraId="2B0B9CF5" w14:textId="20CC94B4" w:rsidR="00980964" w:rsidRDefault="00980964" w:rsidP="00980964">
      <w:pPr>
        <w:jc w:val="both"/>
      </w:pPr>
      <w:r>
        <w:tab/>
        <w:t>There was a story, which Elizabeth L. Einstein relates in her book ‘The Printing Press as an Agent of Change’ wherein Fust, delighted with the copies, travelled to Paris, resolved to sell each of the copies of Gutenberg’s Bible:</w:t>
      </w:r>
    </w:p>
    <w:p w14:paraId="15E65994" w14:textId="0A696F2A" w:rsidR="00980964" w:rsidRPr="00980964" w:rsidRDefault="00980964" w:rsidP="00980964">
      <w:pPr>
        <w:ind w:left="1418" w:right="1088"/>
        <w:jc w:val="both"/>
        <w:rPr>
          <w:sz w:val="21"/>
          <w:szCs w:val="21"/>
        </w:rPr>
      </w:pPr>
      <w:r w:rsidRPr="00980964">
        <w:rPr>
          <w:sz w:val="21"/>
          <w:szCs w:val="21"/>
        </w:rPr>
        <w:lastRenderedPageBreak/>
        <w:t>As soon as Gutenberg and Schoeffer had finished the last sheet of their monumental Bible, the financier of the firm, John Fust, set out with a dozen copies or so to see for himself how he could best reap the harvest of his patient investments. And where did he turn first of all to convert his Bibles into money? He went to the biggest university town in Europe, to Paris, where ten thousand or more students were filling the Sorbonne and the colleges. And what did he, to his bitter discomfiture find there? A well organized and powerful guild of the book-trade, the Confrerie des Libraires, Relieurs, Enlumineurs, Ecrivains et Parcheminiers</w:t>
      </w:r>
      <w:r w:rsidRPr="00980964">
        <w:rPr>
          <w:sz w:val="21"/>
          <w:szCs w:val="21"/>
        </w:rPr>
        <w:t xml:space="preserve"> … </w:t>
      </w:r>
      <w:r w:rsidRPr="00980964">
        <w:rPr>
          <w:sz w:val="21"/>
          <w:szCs w:val="21"/>
        </w:rPr>
        <w:t>founded in 1401... Alarmed at the appearance of an outsider with such an unheard of treasure of books; when he was found to be selling one Bible after another, they soon shouted for the police, giving their expert opinion that such a store of valuable books could be in one man's possession through the help of the devil himself and Fust had to run for his life or his first business trip would have ended in a nasty bonfire</w:t>
      </w:r>
      <w:r w:rsidRPr="00980964">
        <w:rPr>
          <w:sz w:val="21"/>
          <w:szCs w:val="21"/>
        </w:rPr>
        <w:t>.</w:t>
      </w:r>
      <w:r w:rsidR="003820C9">
        <w:rPr>
          <w:rStyle w:val="FootnoteReference"/>
          <w:sz w:val="21"/>
          <w:szCs w:val="21"/>
        </w:rPr>
        <w:footnoteReference w:id="5"/>
      </w:r>
    </w:p>
    <w:p w14:paraId="489EE059" w14:textId="5702A9AC" w:rsidR="00980964" w:rsidRDefault="00980964" w:rsidP="00980964">
      <w:pPr>
        <w:jc w:val="both"/>
      </w:pPr>
      <w:r>
        <w:t>While the story was confirmed to be a confounded legend</w:t>
      </w:r>
      <w:r w:rsidR="00EF6C34">
        <w:t xml:space="preserve"> in 1910,</w:t>
      </w:r>
      <w:r>
        <w:t xml:space="preserve"> “that linked the figure of Johann Fust with […] Dr. Faustus</w:t>
      </w:r>
      <w:r w:rsidR="00EF6C34">
        <w:t>”</w:t>
      </w:r>
      <w:r w:rsidR="00CC0984">
        <w:rPr>
          <w:rStyle w:val="FootnoteReference"/>
        </w:rPr>
        <w:footnoteReference w:id="6"/>
      </w:r>
      <w:r>
        <w:t xml:space="preserve">, </w:t>
      </w:r>
      <w:r w:rsidR="00EF6C34">
        <w:t xml:space="preserve">Fust, who had given Gutenberg very large sums of money in both 1450 and again in 1452, as a partner in </w:t>
      </w:r>
      <w:r w:rsidR="00EF6C34" w:rsidRPr="00EF6C34">
        <w:t>the “work of the books...for the profit of both,</w:t>
      </w:r>
      <w:r w:rsidR="00EF6C34">
        <w:t>”</w:t>
      </w:r>
      <w:r w:rsidR="00CC0984">
        <w:rPr>
          <w:rStyle w:val="FootnoteReference"/>
        </w:rPr>
        <w:footnoteReference w:id="7"/>
      </w:r>
      <w:r w:rsidR="00EF6C34">
        <w:t xml:space="preserve"> sued Gutenberg for the entire amount he owed, plus interest. According to most scholars interpreting the</w:t>
      </w:r>
      <w:r>
        <w:t xml:space="preserve"> “Helmasperger Instrument” of 6 November 1455, </w:t>
      </w:r>
      <w:r w:rsidR="00EF6C34">
        <w:t>Gutenberg was forced to surrender his invention to Fust as collateral on the defaulted loan; Fust would also keep Schoeffer in the printing firm.</w:t>
      </w:r>
      <w:r w:rsidR="00CC0984">
        <w:rPr>
          <w:rStyle w:val="FootnoteReference"/>
        </w:rPr>
        <w:footnoteReference w:id="8"/>
      </w:r>
      <w:r w:rsidR="00EF6C34">
        <w:t xml:space="preserve"> Though in truth, recent readings of the document suggest a less dramatic interpretation of events; that the second loan by Fust in 1452 was actually an investment, and that Gutenberg would only have to pay in that regard whatever remained </w:t>
      </w:r>
      <w:r w:rsidR="00EF6C34">
        <w:lastRenderedPageBreak/>
        <w:t>unspent.</w:t>
      </w:r>
      <w:r w:rsidR="00CC0984">
        <w:rPr>
          <w:rStyle w:val="FootnoteReference"/>
        </w:rPr>
        <w:footnoteReference w:id="9"/>
      </w:r>
      <w:r w:rsidR="00EF6C34">
        <w:t xml:space="preserve"> Nonetheless, </w:t>
      </w:r>
      <w:r w:rsidR="00FA7F09">
        <w:t>the partnership between Fust and Gutenberg dissolved, and it would be Fust that Schoeffer would follow instead.</w:t>
      </w:r>
    </w:p>
    <w:p w14:paraId="75014522" w14:textId="68653507" w:rsidR="000F08B6" w:rsidRDefault="00FA7F09" w:rsidP="000F08B6">
      <w:pPr>
        <w:jc w:val="both"/>
      </w:pPr>
      <w:r>
        <w:tab/>
        <w:t>After 1455, Schoeffer became the producer of an unparalleled series of typographic masterpieces. In the Latin Psalter of 1457, Schieffer introduced an elaborate system to produce two-colour initials, which would set the highest standards for printers in the 15</w:t>
      </w:r>
      <w:r w:rsidRPr="00FA7F09">
        <w:rPr>
          <w:vertAlign w:val="superscript"/>
        </w:rPr>
        <w:t>th</w:t>
      </w:r>
      <w:r>
        <w:t xml:space="preserve"> century.</w:t>
      </w:r>
      <w:r w:rsidR="00CC0984">
        <w:rPr>
          <w:rStyle w:val="FootnoteReference"/>
        </w:rPr>
        <w:footnoteReference w:id="10"/>
      </w:r>
      <w:r>
        <w:t xml:space="preserve"> A following publication, by post-Biblical author Guillelmus Durandus, initiated the use of a smaller text type than that of the Gutenberg type, designed for continuous, private readings. Schoeffer would develop a series of different types in various sizes to be used for different “genres” of books, from liturgical to biblical, to private and, the genre which would become his signature print in his later years, juridical</w:t>
      </w:r>
      <w:r w:rsidR="005C430E">
        <w:t xml:space="preserve">. Bibliographers note that the </w:t>
      </w:r>
      <w:r w:rsidR="005C430E" w:rsidRPr="005C430E">
        <w:rPr>
          <w:i/>
          <w:iCs/>
        </w:rPr>
        <w:t xml:space="preserve">Missale Vratislaviense </w:t>
      </w:r>
      <w:r w:rsidR="005C430E">
        <w:t>uses the typeface “7:149aG.”</w:t>
      </w:r>
      <w:r w:rsidR="00CC0984">
        <w:rPr>
          <w:rStyle w:val="FootnoteReference"/>
        </w:rPr>
        <w:footnoteReference w:id="11"/>
      </w:r>
      <w:r w:rsidR="005C430E">
        <w:t xml:space="preserve"> This denotes the font’s type variant found in Schoeffer’s </w:t>
      </w:r>
      <w:r w:rsidR="000F08B6">
        <w:t xml:space="preserve">catalogue of typefaces, the measurement of the font in millimetres, a subdivision of the specific type, and the “G” at the end refers to the font as “Gothic.” </w:t>
      </w:r>
    </w:p>
    <w:p w14:paraId="51207F43" w14:textId="1FE28D2F" w:rsidR="000F08B6" w:rsidRDefault="000F08B6" w:rsidP="000F08B6">
      <w:pPr>
        <w:jc w:val="both"/>
      </w:pPr>
      <w:r>
        <w:tab/>
        <w:t>Schoeffer’s scribal background provided him with a baseline for the trajectory of his printing career; scribal work was often preoccupied with the “surface appearance” of a book, of the craft of shaping “evenly spaced uniform letters in a pleasing symmetrical design.”</w:t>
      </w:r>
      <w:r w:rsidR="00CC0984">
        <w:rPr>
          <w:rStyle w:val="FootnoteReference"/>
        </w:rPr>
        <w:footnoteReference w:id="12"/>
      </w:r>
      <w:r>
        <w:t xml:space="preserve"> Observed in the incunable here, his talents as a scribe as well as a printer is observed in his careful illustrative flourishes and decoration, and his attention to the details on each page, illuminating hand-illustrated letters with gold leaf and bold colours, and combining the red and black ink colours to create a striking dichotomy. Einstein writes that “behind every book which Peter Schoeffer printed stands a published manuscript”, wherein we can study his careful decisions on the product’s typeface, layout margins, and decorations </w:t>
      </w:r>
      <w:r w:rsidR="00145605">
        <w:t>dictated thus</w:t>
      </w:r>
      <w:r>
        <w:t xml:space="preserve"> by the </w:t>
      </w:r>
      <w:r>
        <w:lastRenderedPageBreak/>
        <w:t xml:space="preserve">manuscript copy </w:t>
      </w:r>
      <w:r w:rsidR="00145605">
        <w:t>in front of</w:t>
      </w:r>
      <w:r>
        <w:t xml:space="preserve"> him.</w:t>
      </w:r>
      <w:r w:rsidR="00145605">
        <w:rPr>
          <w:rStyle w:val="FootnoteReference"/>
        </w:rPr>
        <w:footnoteReference w:id="13"/>
      </w:r>
      <w:r>
        <w:t xml:space="preserve"> The </w:t>
      </w:r>
      <w:r w:rsidRPr="00145605">
        <w:rPr>
          <w:i/>
          <w:iCs/>
        </w:rPr>
        <w:t>Missale Vratislaviense</w:t>
      </w:r>
      <w:r>
        <w:t xml:space="preserve"> was carefully composed to appear almost identically to the work which Schoeffer would have done in his manuscripts, with Konrad Botho’s woodcut</w:t>
      </w:r>
      <w:r w:rsidR="00145605">
        <w:t xml:space="preserve">s </w:t>
      </w:r>
      <w:r>
        <w:t xml:space="preserve">to provide </w:t>
      </w:r>
      <w:r w:rsidR="003235A4">
        <w:t xml:space="preserve">a </w:t>
      </w:r>
      <w:r w:rsidR="00145605">
        <w:t>biblical</w:t>
      </w:r>
      <w:r w:rsidR="003235A4">
        <w:t xml:space="preserve">, illustrative accompaniment to Schoeffer’s careful work. </w:t>
      </w:r>
    </w:p>
    <w:p w14:paraId="6AC107CE" w14:textId="426AF82E" w:rsidR="000F08B6" w:rsidRDefault="003235A4" w:rsidP="000F08B6">
      <w:pPr>
        <w:jc w:val="both"/>
      </w:pPr>
      <w:r>
        <w:tab/>
        <w:t>Despite this, however, Schoeffer followed a very different procedure as a printer than he would have as a scribe; it required of him a new way of thinking, of manipulating the printing press to create blank spaces where he would draw the illuminated initials by hand; and it would have forced him to mark-up manuscripts for compositors and engage in more rigorous editing and collating to ensure continuity in the script he was publishing.</w:t>
      </w:r>
      <w:r w:rsidR="00145605">
        <w:rPr>
          <w:rStyle w:val="FootnoteReference"/>
        </w:rPr>
        <w:footnoteReference w:id="14"/>
      </w:r>
      <w:r>
        <w:t xml:space="preserve"> This very process can be seen in the composition and collation of the text; the careful mark-ups and signatures in the </w:t>
      </w:r>
      <w:r w:rsidRPr="003235A4">
        <w:rPr>
          <w:i/>
          <w:iCs/>
        </w:rPr>
        <w:t>Missale</w:t>
      </w:r>
      <w:r>
        <w:t xml:space="preserve"> are presented almost completely in painstaking order, with the exception of the later insertion, whose first page depicts Jesus dying on the cross. </w:t>
      </w:r>
    </w:p>
    <w:p w14:paraId="48BD5252" w14:textId="1A44F43A" w:rsidR="000F08B6" w:rsidRDefault="000F08B6" w:rsidP="000F08B6">
      <w:pPr>
        <w:jc w:val="both"/>
      </w:pPr>
      <w:r>
        <w:tab/>
      </w:r>
      <w:r w:rsidR="003235A4">
        <w:t xml:space="preserve">As his career burgeoned, </w:t>
      </w:r>
      <w:r w:rsidR="009B711E">
        <w:t>Schoeffer</w:t>
      </w:r>
      <w:r w:rsidR="003235A4">
        <w:t xml:space="preserve"> would find himself drawn to the publication of judicial scripts, of medieval canon and civil law. In fact, he is further presumed to have studied law at the University of Paris and to have been installed as a secular judge in Mainz in 1489.</w:t>
      </w:r>
      <w:r w:rsidR="00145605">
        <w:rPr>
          <w:rStyle w:val="FootnoteReference"/>
        </w:rPr>
        <w:footnoteReference w:id="15"/>
      </w:r>
      <w:r w:rsidR="00145605">
        <w:t xml:space="preserve"> </w:t>
      </w:r>
      <w:r w:rsidR="003235A4">
        <w:t xml:space="preserve">Printed in large editions, Schoeffer’s copies of the </w:t>
      </w:r>
      <w:r w:rsidR="003235A4" w:rsidRPr="003235A4">
        <w:rPr>
          <w:i/>
          <w:iCs/>
        </w:rPr>
        <w:t>Corpus juris canonici</w:t>
      </w:r>
      <w:r w:rsidR="003235A4">
        <w:t xml:space="preserve">, and the </w:t>
      </w:r>
      <w:r w:rsidR="003235A4" w:rsidRPr="003235A4">
        <w:rPr>
          <w:i/>
          <w:iCs/>
        </w:rPr>
        <w:t>Corpus juris civilis</w:t>
      </w:r>
      <w:r w:rsidR="003235A4">
        <w:t xml:space="preserve">, </w:t>
      </w:r>
      <w:r w:rsidR="009B711E">
        <w:t>compilations</w:t>
      </w:r>
      <w:r w:rsidR="003235A4">
        <w:t xml:space="preserve"> of ecclesiastic and Roman civil law respectively, would be</w:t>
      </w:r>
      <w:r w:rsidR="009B711E">
        <w:t>come essential holdings at religious institutions, universities, courtrooms, and legal offices across Europe.</w:t>
      </w:r>
      <w:r w:rsidR="00145605">
        <w:rPr>
          <w:rStyle w:val="FootnoteReference"/>
        </w:rPr>
        <w:footnoteReference w:id="16"/>
      </w:r>
      <w:r w:rsidR="009B711E">
        <w:t xml:space="preserve"> By 1480, Schoeffer’s firm was only publishing law books and scripts.</w:t>
      </w:r>
    </w:p>
    <w:p w14:paraId="31616145" w14:textId="2E83CAAA" w:rsidR="009B711E" w:rsidRDefault="009B711E" w:rsidP="000F08B6">
      <w:pPr>
        <w:jc w:val="both"/>
      </w:pPr>
      <w:r>
        <w:tab/>
        <w:t xml:space="preserve">By the publication of the </w:t>
      </w:r>
      <w:r w:rsidRPr="009B711E">
        <w:rPr>
          <w:i/>
          <w:iCs/>
        </w:rPr>
        <w:t>Missale Vratislaviense</w:t>
      </w:r>
      <w:r>
        <w:t>, Schoeffer’s career was coming to its natural conclusion. He would die four years later, succeeded by his sons</w:t>
      </w:r>
      <w:r w:rsidR="00145605">
        <w:t xml:space="preserve"> with Christina Fust:</w:t>
      </w:r>
      <w:r>
        <w:t xml:space="preserve"> </w:t>
      </w:r>
      <w:r>
        <w:lastRenderedPageBreak/>
        <w:t>Gratianus, named after 12</w:t>
      </w:r>
      <w:r w:rsidRPr="009B711E">
        <w:rPr>
          <w:vertAlign w:val="superscript"/>
        </w:rPr>
        <w:t>th</w:t>
      </w:r>
      <w:r>
        <w:t xml:space="preserve"> century canonist Gratianus, Johann who would inherit his father’s printing network after his death, and Peter the Younger.</w:t>
      </w:r>
      <w:r w:rsidR="003820C9">
        <w:rPr>
          <w:rStyle w:val="FootnoteReference"/>
        </w:rPr>
        <w:footnoteReference w:id="17"/>
      </w:r>
    </w:p>
    <w:p w14:paraId="7040F721" w14:textId="77777777" w:rsidR="008014AA" w:rsidRDefault="008014AA" w:rsidP="000F08B6">
      <w:pPr>
        <w:jc w:val="both"/>
      </w:pPr>
    </w:p>
    <w:p w14:paraId="5BF44843" w14:textId="0755A1BB" w:rsidR="00145605" w:rsidRDefault="008014AA" w:rsidP="000F08B6">
      <w:pPr>
        <w:jc w:val="both"/>
      </w:pPr>
      <w:r w:rsidRPr="008014AA">
        <w:rPr>
          <w:b/>
          <w:bCs/>
        </w:rPr>
        <w:t>WORD COUNT</w:t>
      </w:r>
      <w:r>
        <w:t>: 1493 words</w:t>
      </w:r>
    </w:p>
    <w:p w14:paraId="1D706C14" w14:textId="77777777" w:rsidR="008014AA" w:rsidRDefault="008014AA" w:rsidP="000F08B6">
      <w:pPr>
        <w:jc w:val="both"/>
      </w:pPr>
    </w:p>
    <w:p w14:paraId="20A35F2C" w14:textId="2A6EFD05" w:rsidR="00145605" w:rsidRPr="00145605" w:rsidRDefault="00145605" w:rsidP="000F08B6">
      <w:pPr>
        <w:jc w:val="both"/>
        <w:rPr>
          <w:b/>
          <w:bCs/>
          <w:sz w:val="28"/>
          <w:szCs w:val="28"/>
        </w:rPr>
      </w:pPr>
      <w:r w:rsidRPr="00145605">
        <w:rPr>
          <w:b/>
          <w:bCs/>
          <w:sz w:val="28"/>
          <w:szCs w:val="28"/>
        </w:rPr>
        <w:t>BIBLIOGRAPHY</w:t>
      </w:r>
    </w:p>
    <w:p w14:paraId="743C6C6E" w14:textId="37B3903C" w:rsidR="00145605" w:rsidRDefault="00145605" w:rsidP="00145605">
      <w:r w:rsidRPr="00145605">
        <w:t xml:space="preserve">Einstein, E. L. </w:t>
      </w:r>
      <w:r w:rsidRPr="00145605">
        <w:rPr>
          <w:i/>
          <w:iCs/>
        </w:rPr>
        <w:t>The printing press as an agent of change</w:t>
      </w:r>
      <w:r w:rsidRPr="00145605">
        <w:t>. Vol I and II. (Cambridge University Press, 1982</w:t>
      </w:r>
    </w:p>
    <w:p w14:paraId="5F5B5ED6" w14:textId="1B11C4D7" w:rsidR="00145605" w:rsidRDefault="00145605" w:rsidP="00145605">
      <w:r w:rsidRPr="00145605">
        <w:t xml:space="preserve">Glaister, G.A. </w:t>
      </w:r>
      <w:r w:rsidRPr="00145605">
        <w:rPr>
          <w:i/>
          <w:iCs/>
        </w:rPr>
        <w:t>Encyclopedia of the book</w:t>
      </w:r>
      <w:r w:rsidRPr="00145605">
        <w:t>. 2nd edition.</w:t>
      </w:r>
      <w:r>
        <w:t xml:space="preserve"> (</w:t>
      </w:r>
      <w:r>
        <w:rPr>
          <w:rStyle w:val="a-list-item"/>
        </w:rPr>
        <w:t>The British Library Publishing Division</w:t>
      </w:r>
      <w:r>
        <w:rPr>
          <w:rStyle w:val="a-list-item"/>
        </w:rPr>
        <w:t xml:space="preserve">, 1996) </w:t>
      </w:r>
    </w:p>
    <w:p w14:paraId="62AC8FDF" w14:textId="4F522211" w:rsidR="00145605" w:rsidRDefault="00145605" w:rsidP="00145605">
      <w:r w:rsidRPr="00145605">
        <w:t xml:space="preserve">Heyl, Ferdinand. “Route: Mainz.” </w:t>
      </w:r>
      <w:r w:rsidRPr="00145605">
        <w:rPr>
          <w:i/>
          <w:iCs/>
        </w:rPr>
        <w:t>West-Deutschland</w:t>
      </w:r>
      <w:r w:rsidRPr="00145605">
        <w:t>. (Bibliographisches Institut, 1868)</w:t>
      </w:r>
    </w:p>
    <w:p w14:paraId="74C351F2" w14:textId="253396C2" w:rsidR="00145605" w:rsidRDefault="00145605" w:rsidP="00145605">
      <w:r w:rsidRPr="00145605">
        <w:t xml:space="preserve">Pettegree, A. </w:t>
      </w:r>
      <w:r w:rsidRPr="00145605">
        <w:rPr>
          <w:i/>
          <w:iCs/>
        </w:rPr>
        <w:t>The book in the Renaissance</w:t>
      </w:r>
      <w:r w:rsidRPr="00145605">
        <w:t>.</w:t>
      </w:r>
      <w:r>
        <w:t xml:space="preserve"> (New Haven: Yale University Press, 2010)</w:t>
      </w:r>
    </w:p>
    <w:p w14:paraId="6950D7AA" w14:textId="41179434" w:rsidR="00145605" w:rsidRDefault="00145605" w:rsidP="00145605">
      <w:r w:rsidRPr="00145605">
        <w:t>White, E. M</w:t>
      </w:r>
      <w:r w:rsidRPr="00145605">
        <w:rPr>
          <w:i/>
          <w:iCs/>
        </w:rPr>
        <w:t>. Peter Schoeffer: Printer of Mainz</w:t>
      </w:r>
      <w:r w:rsidRPr="00145605">
        <w:t>. (Bridwell Library: Texas, 2003)</w:t>
      </w:r>
    </w:p>
    <w:p w14:paraId="6F7D39FC" w14:textId="77777777" w:rsidR="00145605" w:rsidRPr="00145605" w:rsidRDefault="00145605" w:rsidP="00145605"/>
    <w:sectPr w:rsidR="00145605" w:rsidRPr="001456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7EF628" w14:textId="77777777" w:rsidR="00D04667" w:rsidRDefault="00D04667" w:rsidP="00C73FD8">
      <w:pPr>
        <w:spacing w:after="0" w:line="240" w:lineRule="auto"/>
      </w:pPr>
      <w:r>
        <w:separator/>
      </w:r>
    </w:p>
  </w:endnote>
  <w:endnote w:type="continuationSeparator" w:id="0">
    <w:p w14:paraId="4876B88B" w14:textId="77777777" w:rsidR="00D04667" w:rsidRDefault="00D04667" w:rsidP="00C73F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350C57" w14:textId="77777777" w:rsidR="00D04667" w:rsidRDefault="00D04667" w:rsidP="00C73FD8">
      <w:pPr>
        <w:spacing w:after="0" w:line="240" w:lineRule="auto"/>
      </w:pPr>
      <w:r>
        <w:separator/>
      </w:r>
    </w:p>
  </w:footnote>
  <w:footnote w:type="continuationSeparator" w:id="0">
    <w:p w14:paraId="09CE4034" w14:textId="77777777" w:rsidR="00D04667" w:rsidRDefault="00D04667" w:rsidP="00C73FD8">
      <w:pPr>
        <w:spacing w:after="0" w:line="240" w:lineRule="auto"/>
      </w:pPr>
      <w:r>
        <w:continuationSeparator/>
      </w:r>
    </w:p>
  </w:footnote>
  <w:footnote w:id="1">
    <w:p w14:paraId="30FDE373" w14:textId="09328281" w:rsidR="003820C9" w:rsidRDefault="003820C9">
      <w:pPr>
        <w:pStyle w:val="FootnoteText"/>
      </w:pPr>
      <w:r>
        <w:rPr>
          <w:rStyle w:val="FootnoteReference"/>
        </w:rPr>
        <w:footnoteRef/>
      </w:r>
      <w:r>
        <w:t xml:space="preserve"> White, E. M. </w:t>
      </w:r>
      <w:r w:rsidRPr="003820C9">
        <w:rPr>
          <w:i/>
          <w:iCs/>
        </w:rPr>
        <w:t>Peter Schoeffer: Printer of Mainz</w:t>
      </w:r>
      <w:r>
        <w:t>. (Bridwell Library: Texas, 2003) Accessed via the Internet Archives: &lt;</w:t>
      </w:r>
      <w:r w:rsidRPr="003820C9">
        <w:t xml:space="preserve"> </w:t>
      </w:r>
      <w:hyperlink r:id="rId1" w:history="1">
        <w:r w:rsidRPr="00CF5EA9">
          <w:rPr>
            <w:rStyle w:val="Hyperlink"/>
          </w:rPr>
          <w:t>https://archive.org/details/peterschoefferpr0000unse/mode/2up</w:t>
        </w:r>
      </w:hyperlink>
      <w:r>
        <w:t>&gt; Accessed: Feb 9, 2026. p. xi</w:t>
      </w:r>
    </w:p>
  </w:footnote>
  <w:footnote w:id="2">
    <w:p w14:paraId="4F78F94D" w14:textId="0CDE0B9F" w:rsidR="003820C9" w:rsidRDefault="003820C9">
      <w:pPr>
        <w:pStyle w:val="FootnoteText"/>
      </w:pPr>
      <w:r>
        <w:rPr>
          <w:rStyle w:val="FootnoteReference"/>
        </w:rPr>
        <w:footnoteRef/>
      </w:r>
      <w:r>
        <w:t xml:space="preserve"> White, p. xi</w:t>
      </w:r>
    </w:p>
  </w:footnote>
  <w:footnote w:id="3">
    <w:p w14:paraId="0844E3F9" w14:textId="2485CA45" w:rsidR="00CC0984" w:rsidRDefault="00CC0984">
      <w:pPr>
        <w:pStyle w:val="FootnoteText"/>
      </w:pPr>
      <w:r>
        <w:rPr>
          <w:rStyle w:val="FootnoteReference"/>
        </w:rPr>
        <w:footnoteRef/>
      </w:r>
      <w:r>
        <w:t xml:space="preserve"> </w:t>
      </w:r>
      <w:r w:rsidRPr="00CC0984">
        <w:t>Heyl, Ferdinand</w:t>
      </w:r>
      <w:r>
        <w:t xml:space="preserve">. “Route: Mainz.” </w:t>
      </w:r>
      <w:r w:rsidRPr="00CC0984">
        <w:rPr>
          <w:i/>
          <w:iCs/>
        </w:rPr>
        <w:t>West-Deutschland</w:t>
      </w:r>
      <w:r w:rsidRPr="00CC0984">
        <w:t xml:space="preserve">. </w:t>
      </w:r>
      <w:r>
        <w:t>(</w:t>
      </w:r>
      <w:r w:rsidRPr="00CC0984">
        <w:t>Bibliograph</w:t>
      </w:r>
      <w:r>
        <w:t>isches Institut, 1868). This was untranslated. p. 200</w:t>
      </w:r>
    </w:p>
  </w:footnote>
  <w:footnote w:id="4">
    <w:p w14:paraId="5370F31B" w14:textId="2B5B9FF8" w:rsidR="00CC0984" w:rsidRDefault="00CC0984">
      <w:pPr>
        <w:pStyle w:val="FootnoteText"/>
      </w:pPr>
      <w:r>
        <w:rPr>
          <w:rStyle w:val="FootnoteReference"/>
        </w:rPr>
        <w:footnoteRef/>
      </w:r>
      <w:r>
        <w:t xml:space="preserve"> White, p. xi-xii</w:t>
      </w:r>
    </w:p>
  </w:footnote>
  <w:footnote w:id="5">
    <w:p w14:paraId="09DA43A7" w14:textId="74C4E980" w:rsidR="003820C9" w:rsidRDefault="003820C9">
      <w:pPr>
        <w:pStyle w:val="FootnoteText"/>
      </w:pPr>
      <w:r>
        <w:rPr>
          <w:rStyle w:val="FootnoteReference"/>
        </w:rPr>
        <w:footnoteRef/>
      </w:r>
      <w:r>
        <w:t xml:space="preserve"> </w:t>
      </w:r>
      <w:r w:rsidR="00CC0984">
        <w:t xml:space="preserve">Einstein, E. L. </w:t>
      </w:r>
      <w:r w:rsidR="00CC0984" w:rsidRPr="00CC0984">
        <w:rPr>
          <w:i/>
          <w:iCs/>
        </w:rPr>
        <w:t>The printing press as an agent of change</w:t>
      </w:r>
      <w:r w:rsidR="00CC0984" w:rsidRPr="00CC0984">
        <w:t xml:space="preserve">. </w:t>
      </w:r>
      <w:r w:rsidR="00CC0984">
        <w:t>Vol I and II. (Cambridge University Press, 1982) p. 49</w:t>
      </w:r>
    </w:p>
  </w:footnote>
  <w:footnote w:id="6">
    <w:p w14:paraId="7F1B0656" w14:textId="52CAFDA1" w:rsidR="00CC0984" w:rsidRDefault="00CC0984">
      <w:pPr>
        <w:pStyle w:val="FootnoteText"/>
      </w:pPr>
      <w:r>
        <w:rPr>
          <w:rStyle w:val="FootnoteReference"/>
        </w:rPr>
        <w:footnoteRef/>
      </w:r>
      <w:r>
        <w:t xml:space="preserve"> Einstein, p. 50</w:t>
      </w:r>
    </w:p>
  </w:footnote>
  <w:footnote w:id="7">
    <w:p w14:paraId="5B9559F6" w14:textId="06ACEE84" w:rsidR="00CC0984" w:rsidRDefault="00CC0984">
      <w:pPr>
        <w:pStyle w:val="FootnoteText"/>
      </w:pPr>
      <w:r>
        <w:rPr>
          <w:rStyle w:val="FootnoteReference"/>
        </w:rPr>
        <w:footnoteRef/>
      </w:r>
      <w:r>
        <w:t xml:space="preserve"> White, p. xii </w:t>
      </w:r>
    </w:p>
  </w:footnote>
  <w:footnote w:id="8">
    <w:p w14:paraId="48A117BC" w14:textId="4539F54C" w:rsidR="00CC0984" w:rsidRDefault="00CC0984">
      <w:pPr>
        <w:pStyle w:val="FootnoteText"/>
      </w:pPr>
      <w:r>
        <w:rPr>
          <w:rStyle w:val="FootnoteReference"/>
        </w:rPr>
        <w:footnoteRef/>
      </w:r>
      <w:r>
        <w:t xml:space="preserve"> White, p. xii</w:t>
      </w:r>
    </w:p>
  </w:footnote>
  <w:footnote w:id="9">
    <w:p w14:paraId="1C3403FA" w14:textId="2CE3268E" w:rsidR="00CC0984" w:rsidRDefault="00CC0984">
      <w:pPr>
        <w:pStyle w:val="FootnoteText"/>
      </w:pPr>
      <w:r>
        <w:rPr>
          <w:rStyle w:val="FootnoteReference"/>
        </w:rPr>
        <w:footnoteRef/>
      </w:r>
      <w:r>
        <w:t xml:space="preserve"> White, p. xii</w:t>
      </w:r>
    </w:p>
  </w:footnote>
  <w:footnote w:id="10">
    <w:p w14:paraId="1539ACB3" w14:textId="72CA4758" w:rsidR="00CC0984" w:rsidRDefault="00CC0984">
      <w:pPr>
        <w:pStyle w:val="FootnoteText"/>
      </w:pPr>
      <w:r>
        <w:rPr>
          <w:rStyle w:val="FootnoteReference"/>
        </w:rPr>
        <w:footnoteRef/>
      </w:r>
      <w:r>
        <w:t xml:space="preserve"> White, p. xii</w:t>
      </w:r>
    </w:p>
  </w:footnote>
  <w:footnote w:id="11">
    <w:p w14:paraId="0DB02D88" w14:textId="0CDBD8A9" w:rsidR="00CC0984" w:rsidRDefault="00CC0984">
      <w:pPr>
        <w:pStyle w:val="FootnoteText"/>
      </w:pPr>
      <w:r>
        <w:rPr>
          <w:rStyle w:val="FootnoteReference"/>
        </w:rPr>
        <w:footnoteRef/>
      </w:r>
      <w:r>
        <w:t xml:space="preserve"> White, p. xii</w:t>
      </w:r>
    </w:p>
  </w:footnote>
  <w:footnote w:id="12">
    <w:p w14:paraId="7ED2385A" w14:textId="37D1131D" w:rsidR="00CC0984" w:rsidRDefault="00CC0984">
      <w:pPr>
        <w:pStyle w:val="FootnoteText"/>
      </w:pPr>
      <w:r>
        <w:rPr>
          <w:rStyle w:val="FootnoteReference"/>
        </w:rPr>
        <w:footnoteRef/>
      </w:r>
      <w:r>
        <w:t xml:space="preserve"> Einstein, p. </w:t>
      </w:r>
      <w:r w:rsidR="00145605">
        <w:t>52</w:t>
      </w:r>
    </w:p>
  </w:footnote>
  <w:footnote w:id="13">
    <w:p w14:paraId="1F90D038" w14:textId="52809C5A" w:rsidR="00145605" w:rsidRDefault="00145605">
      <w:pPr>
        <w:pStyle w:val="FootnoteText"/>
      </w:pPr>
      <w:r>
        <w:rPr>
          <w:rStyle w:val="FootnoteReference"/>
        </w:rPr>
        <w:footnoteRef/>
      </w:r>
      <w:r>
        <w:t xml:space="preserve"> Einstein, p. 51</w:t>
      </w:r>
    </w:p>
  </w:footnote>
  <w:footnote w:id="14">
    <w:p w14:paraId="1CBFC518" w14:textId="5DA2EF33" w:rsidR="00145605" w:rsidRDefault="00145605">
      <w:pPr>
        <w:pStyle w:val="FootnoteText"/>
      </w:pPr>
      <w:r>
        <w:rPr>
          <w:rStyle w:val="FootnoteReference"/>
        </w:rPr>
        <w:footnoteRef/>
      </w:r>
      <w:r>
        <w:t xml:space="preserve"> Einstein, p. 51</w:t>
      </w:r>
    </w:p>
  </w:footnote>
  <w:footnote w:id="15">
    <w:p w14:paraId="47B8AAF6" w14:textId="066CFFDB" w:rsidR="00145605" w:rsidRDefault="00145605">
      <w:pPr>
        <w:pStyle w:val="FootnoteText"/>
      </w:pPr>
      <w:r>
        <w:rPr>
          <w:rStyle w:val="FootnoteReference"/>
        </w:rPr>
        <w:footnoteRef/>
      </w:r>
      <w:r>
        <w:t xml:space="preserve"> White, p. xiii</w:t>
      </w:r>
    </w:p>
  </w:footnote>
  <w:footnote w:id="16">
    <w:p w14:paraId="625A02ED" w14:textId="4AE36BEE" w:rsidR="00145605" w:rsidRDefault="00145605">
      <w:pPr>
        <w:pStyle w:val="FootnoteText"/>
      </w:pPr>
      <w:r>
        <w:rPr>
          <w:rStyle w:val="FootnoteReference"/>
        </w:rPr>
        <w:footnoteRef/>
      </w:r>
      <w:r>
        <w:t xml:space="preserve"> White, p. xiii</w:t>
      </w:r>
    </w:p>
  </w:footnote>
  <w:footnote w:id="17">
    <w:p w14:paraId="6A190545" w14:textId="21124F48" w:rsidR="003820C9" w:rsidRDefault="003820C9">
      <w:pPr>
        <w:pStyle w:val="FootnoteText"/>
      </w:pPr>
      <w:r>
        <w:rPr>
          <w:rStyle w:val="FootnoteReference"/>
        </w:rPr>
        <w:footnoteRef/>
      </w:r>
      <w:r>
        <w:t xml:space="preserve"> </w:t>
      </w:r>
      <w:r w:rsidR="00145605">
        <w:t>White, p. xiii</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780"/>
    <w:rsid w:val="000F08B6"/>
    <w:rsid w:val="00122B57"/>
    <w:rsid w:val="00127744"/>
    <w:rsid w:val="00145605"/>
    <w:rsid w:val="0018392F"/>
    <w:rsid w:val="00223042"/>
    <w:rsid w:val="00232906"/>
    <w:rsid w:val="0026524A"/>
    <w:rsid w:val="00297322"/>
    <w:rsid w:val="002F1780"/>
    <w:rsid w:val="003235A4"/>
    <w:rsid w:val="003820C9"/>
    <w:rsid w:val="004378A2"/>
    <w:rsid w:val="004C06A4"/>
    <w:rsid w:val="00540D2F"/>
    <w:rsid w:val="00580935"/>
    <w:rsid w:val="005C430E"/>
    <w:rsid w:val="005D1B49"/>
    <w:rsid w:val="00655B70"/>
    <w:rsid w:val="006C4B21"/>
    <w:rsid w:val="006D46EC"/>
    <w:rsid w:val="007C6B03"/>
    <w:rsid w:val="008014AA"/>
    <w:rsid w:val="00815AA3"/>
    <w:rsid w:val="008352AE"/>
    <w:rsid w:val="008546CE"/>
    <w:rsid w:val="008A007F"/>
    <w:rsid w:val="008B444A"/>
    <w:rsid w:val="009074C4"/>
    <w:rsid w:val="00927B6A"/>
    <w:rsid w:val="009402FD"/>
    <w:rsid w:val="009675F3"/>
    <w:rsid w:val="00980964"/>
    <w:rsid w:val="009B711E"/>
    <w:rsid w:val="009F30BA"/>
    <w:rsid w:val="00A01CB8"/>
    <w:rsid w:val="00A0570A"/>
    <w:rsid w:val="00A82735"/>
    <w:rsid w:val="00AC785A"/>
    <w:rsid w:val="00B3534B"/>
    <w:rsid w:val="00BD4467"/>
    <w:rsid w:val="00BF2C31"/>
    <w:rsid w:val="00C41523"/>
    <w:rsid w:val="00C73FD8"/>
    <w:rsid w:val="00CC0984"/>
    <w:rsid w:val="00CF67CF"/>
    <w:rsid w:val="00D04667"/>
    <w:rsid w:val="00EB6B22"/>
    <w:rsid w:val="00EF6C34"/>
    <w:rsid w:val="00F3125B"/>
    <w:rsid w:val="00FA7F09"/>
    <w:rsid w:val="00FC0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E604D0"/>
  <w15:chartTrackingRefBased/>
  <w15:docId w15:val="{B5DDA072-28A9-304C-B023-3AB46C828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780"/>
    <w:rPr>
      <w:rFonts w:ascii="Times New Roman" w:hAnsi="Times New Roman" w:cs="Times New Roman"/>
    </w:rPr>
  </w:style>
  <w:style w:type="paragraph" w:styleId="Heading1">
    <w:name w:val="heading 1"/>
    <w:basedOn w:val="Normal"/>
    <w:next w:val="Normal"/>
    <w:link w:val="Heading1Char"/>
    <w:uiPriority w:val="9"/>
    <w:qFormat/>
    <w:rsid w:val="002F1780"/>
    <w:pPr>
      <w:keepNext/>
      <w:keepLines/>
      <w:spacing w:before="360" w:after="80"/>
      <w:jc w:val="center"/>
      <w:outlineLvl w:val="0"/>
    </w:pPr>
    <w:rPr>
      <w:rFonts w:eastAsiaTheme="majorEastAsia"/>
      <w:b/>
      <w:bCs/>
      <w:color w:val="000000" w:themeColor="text1"/>
      <w:sz w:val="32"/>
      <w:szCs w:val="32"/>
    </w:rPr>
  </w:style>
  <w:style w:type="paragraph" w:styleId="Heading2">
    <w:name w:val="heading 2"/>
    <w:basedOn w:val="Normal"/>
    <w:next w:val="Normal"/>
    <w:link w:val="Heading2Char"/>
    <w:uiPriority w:val="9"/>
    <w:semiHidden/>
    <w:unhideWhenUsed/>
    <w:qFormat/>
    <w:rsid w:val="002F17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17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17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17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7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7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7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7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7B6A"/>
    <w:pPr>
      <w:spacing w:after="0" w:line="240" w:lineRule="auto"/>
      <w:contextualSpacing/>
      <w:jc w:val="center"/>
    </w:pPr>
    <w:rPr>
      <w:rFonts w:eastAsiaTheme="majorEastAsia"/>
      <w:spacing w:val="-10"/>
      <w:kern w:val="28"/>
      <w:sz w:val="96"/>
      <w:szCs w:val="96"/>
    </w:rPr>
  </w:style>
  <w:style w:type="character" w:customStyle="1" w:styleId="TitleChar">
    <w:name w:val="Title Char"/>
    <w:basedOn w:val="DefaultParagraphFont"/>
    <w:link w:val="Title"/>
    <w:uiPriority w:val="10"/>
    <w:rsid w:val="00927B6A"/>
    <w:rPr>
      <w:rFonts w:ascii="Times New Roman" w:eastAsiaTheme="majorEastAsia" w:hAnsi="Times New Roman" w:cs="Times New Roman"/>
      <w:spacing w:val="-10"/>
      <w:kern w:val="28"/>
      <w:sz w:val="96"/>
      <w:szCs w:val="96"/>
    </w:rPr>
  </w:style>
  <w:style w:type="character" w:customStyle="1" w:styleId="Heading1Char">
    <w:name w:val="Heading 1 Char"/>
    <w:basedOn w:val="DefaultParagraphFont"/>
    <w:link w:val="Heading1"/>
    <w:uiPriority w:val="9"/>
    <w:rsid w:val="002F1780"/>
    <w:rPr>
      <w:rFonts w:ascii="Times New Roman" w:eastAsiaTheme="majorEastAsia" w:hAnsi="Times New Roman" w:cs="Times New Roman"/>
      <w:b/>
      <w:bCs/>
      <w:color w:val="000000" w:themeColor="text1"/>
      <w:sz w:val="32"/>
      <w:szCs w:val="32"/>
    </w:rPr>
  </w:style>
  <w:style w:type="character" w:customStyle="1" w:styleId="Heading2Char">
    <w:name w:val="Heading 2 Char"/>
    <w:basedOn w:val="DefaultParagraphFont"/>
    <w:link w:val="Heading2"/>
    <w:uiPriority w:val="9"/>
    <w:semiHidden/>
    <w:rsid w:val="002F17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17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17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7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7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7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7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780"/>
    <w:rPr>
      <w:rFonts w:eastAsiaTheme="majorEastAsia" w:cstheme="majorBidi"/>
      <w:color w:val="272727" w:themeColor="text1" w:themeTint="D8"/>
    </w:rPr>
  </w:style>
  <w:style w:type="paragraph" w:styleId="Subtitle">
    <w:name w:val="Subtitle"/>
    <w:basedOn w:val="Normal"/>
    <w:next w:val="Normal"/>
    <w:link w:val="SubtitleChar"/>
    <w:uiPriority w:val="11"/>
    <w:qFormat/>
    <w:rsid w:val="002F17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7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780"/>
    <w:pPr>
      <w:spacing w:before="160"/>
      <w:jc w:val="center"/>
    </w:pPr>
    <w:rPr>
      <w:i/>
      <w:iCs/>
      <w:color w:val="404040" w:themeColor="text1" w:themeTint="BF"/>
    </w:rPr>
  </w:style>
  <w:style w:type="character" w:customStyle="1" w:styleId="QuoteChar">
    <w:name w:val="Quote Char"/>
    <w:basedOn w:val="DefaultParagraphFont"/>
    <w:link w:val="Quote"/>
    <w:uiPriority w:val="29"/>
    <w:rsid w:val="002F1780"/>
    <w:rPr>
      <w:i/>
      <w:iCs/>
      <w:color w:val="404040" w:themeColor="text1" w:themeTint="BF"/>
    </w:rPr>
  </w:style>
  <w:style w:type="paragraph" w:styleId="ListParagraph">
    <w:name w:val="List Paragraph"/>
    <w:basedOn w:val="Normal"/>
    <w:uiPriority w:val="34"/>
    <w:qFormat/>
    <w:rsid w:val="002F1780"/>
    <w:pPr>
      <w:ind w:left="720"/>
      <w:contextualSpacing/>
    </w:pPr>
  </w:style>
  <w:style w:type="character" w:styleId="IntenseEmphasis">
    <w:name w:val="Intense Emphasis"/>
    <w:basedOn w:val="DefaultParagraphFont"/>
    <w:uiPriority w:val="21"/>
    <w:qFormat/>
    <w:rsid w:val="002F1780"/>
    <w:rPr>
      <w:i/>
      <w:iCs/>
      <w:color w:val="0F4761" w:themeColor="accent1" w:themeShade="BF"/>
    </w:rPr>
  </w:style>
  <w:style w:type="paragraph" w:styleId="IntenseQuote">
    <w:name w:val="Intense Quote"/>
    <w:basedOn w:val="Normal"/>
    <w:next w:val="Normal"/>
    <w:link w:val="IntenseQuoteChar"/>
    <w:uiPriority w:val="30"/>
    <w:qFormat/>
    <w:rsid w:val="002F17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1780"/>
    <w:rPr>
      <w:i/>
      <w:iCs/>
      <w:color w:val="0F4761" w:themeColor="accent1" w:themeShade="BF"/>
    </w:rPr>
  </w:style>
  <w:style w:type="character" w:styleId="IntenseReference">
    <w:name w:val="Intense Reference"/>
    <w:basedOn w:val="DefaultParagraphFont"/>
    <w:uiPriority w:val="32"/>
    <w:qFormat/>
    <w:rsid w:val="002F1780"/>
    <w:rPr>
      <w:b/>
      <w:bCs/>
      <w:smallCaps/>
      <w:color w:val="0F4761" w:themeColor="accent1" w:themeShade="BF"/>
      <w:spacing w:val="5"/>
    </w:rPr>
  </w:style>
  <w:style w:type="paragraph" w:styleId="NormalWeb">
    <w:name w:val="Normal (Web)"/>
    <w:basedOn w:val="Normal"/>
    <w:uiPriority w:val="99"/>
    <w:semiHidden/>
    <w:unhideWhenUsed/>
    <w:rsid w:val="004C06A4"/>
    <w:pPr>
      <w:spacing w:before="100" w:beforeAutospacing="1" w:after="100" w:afterAutospacing="1" w:line="240" w:lineRule="auto"/>
    </w:pPr>
    <w:rPr>
      <w:rFonts w:eastAsia="Times New Roman"/>
      <w:kern w:val="0"/>
      <w:lang w:eastAsia="en-GB"/>
      <w14:ligatures w14:val="none"/>
    </w:rPr>
  </w:style>
  <w:style w:type="character" w:styleId="Emphasis">
    <w:name w:val="Emphasis"/>
    <w:basedOn w:val="DefaultParagraphFont"/>
    <w:uiPriority w:val="20"/>
    <w:qFormat/>
    <w:rsid w:val="004C06A4"/>
    <w:rPr>
      <w:i/>
      <w:iCs/>
    </w:rPr>
  </w:style>
  <w:style w:type="paragraph" w:styleId="Header">
    <w:name w:val="header"/>
    <w:basedOn w:val="Normal"/>
    <w:link w:val="HeaderChar"/>
    <w:uiPriority w:val="99"/>
    <w:unhideWhenUsed/>
    <w:rsid w:val="00C73F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FD8"/>
    <w:rPr>
      <w:rFonts w:ascii="Times New Roman" w:hAnsi="Times New Roman" w:cs="Times New Roman"/>
    </w:rPr>
  </w:style>
  <w:style w:type="paragraph" w:styleId="Footer">
    <w:name w:val="footer"/>
    <w:basedOn w:val="Normal"/>
    <w:link w:val="FooterChar"/>
    <w:uiPriority w:val="99"/>
    <w:unhideWhenUsed/>
    <w:rsid w:val="00C73F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FD8"/>
    <w:rPr>
      <w:rFonts w:ascii="Times New Roman" w:hAnsi="Times New Roman" w:cs="Times New Roman"/>
    </w:rPr>
  </w:style>
  <w:style w:type="character" w:customStyle="1" w:styleId="t286pc">
    <w:name w:val="t286pc"/>
    <w:basedOn w:val="DefaultParagraphFont"/>
    <w:rsid w:val="000F08B6"/>
  </w:style>
  <w:style w:type="character" w:styleId="Strong">
    <w:name w:val="Strong"/>
    <w:basedOn w:val="DefaultParagraphFont"/>
    <w:uiPriority w:val="22"/>
    <w:qFormat/>
    <w:rsid w:val="000F08B6"/>
    <w:rPr>
      <w:b/>
      <w:bCs/>
    </w:rPr>
  </w:style>
  <w:style w:type="paragraph" w:styleId="FootnoteText">
    <w:name w:val="footnote text"/>
    <w:basedOn w:val="Normal"/>
    <w:link w:val="FootnoteTextChar"/>
    <w:uiPriority w:val="99"/>
    <w:semiHidden/>
    <w:unhideWhenUsed/>
    <w:rsid w:val="003820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20C9"/>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3820C9"/>
    <w:rPr>
      <w:vertAlign w:val="superscript"/>
    </w:rPr>
  </w:style>
  <w:style w:type="character" w:styleId="Hyperlink">
    <w:name w:val="Hyperlink"/>
    <w:basedOn w:val="DefaultParagraphFont"/>
    <w:uiPriority w:val="99"/>
    <w:unhideWhenUsed/>
    <w:rsid w:val="003820C9"/>
    <w:rPr>
      <w:color w:val="467886" w:themeColor="hyperlink"/>
      <w:u w:val="single"/>
    </w:rPr>
  </w:style>
  <w:style w:type="character" w:styleId="UnresolvedMention">
    <w:name w:val="Unresolved Mention"/>
    <w:basedOn w:val="DefaultParagraphFont"/>
    <w:uiPriority w:val="99"/>
    <w:semiHidden/>
    <w:unhideWhenUsed/>
    <w:rsid w:val="003820C9"/>
    <w:rPr>
      <w:color w:val="605E5C"/>
      <w:shd w:val="clear" w:color="auto" w:fill="E1DFDD"/>
    </w:rPr>
  </w:style>
  <w:style w:type="character" w:customStyle="1" w:styleId="a-list-item">
    <w:name w:val="a-list-item"/>
    <w:basedOn w:val="DefaultParagraphFont"/>
    <w:rsid w:val="001456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s://archive.org/details/peterschoefferpr0000unse/mode/2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233</TotalTime>
  <Pages>6</Pages>
  <Words>1581</Words>
  <Characters>8322</Characters>
  <Application>Microsoft Office Word</Application>
  <DocSecurity>0</DocSecurity>
  <Lines>118</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Rich</dc:creator>
  <cp:keywords/>
  <dc:description/>
  <cp:lastModifiedBy>Eden Rich</cp:lastModifiedBy>
  <cp:revision>16</cp:revision>
  <dcterms:created xsi:type="dcterms:W3CDTF">2026-02-05T12:31:00Z</dcterms:created>
  <dcterms:modified xsi:type="dcterms:W3CDTF">2026-02-18T14:51:00Z</dcterms:modified>
</cp:coreProperties>
</file>