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6F5" w:rsidRDefault="000806F5" w:rsidP="000806F5">
      <w:pPr>
        <w:pStyle w:val="Title"/>
      </w:pPr>
      <w:r>
        <w:t>Principles of OME:</w:t>
      </w:r>
    </w:p>
    <w:p w:rsidR="000806F5" w:rsidRDefault="000806F5" w:rsidP="000806F5">
      <w:pPr>
        <w:pStyle w:val="Title"/>
      </w:pPr>
      <w:r>
        <w:t>Considerations of Explosive Trains in Artillery Rounds During Service Life and Use</w:t>
      </w:r>
    </w:p>
    <w:p w:rsidR="000806F5" w:rsidRDefault="000806F5" w:rsidP="000806F5">
      <w:pPr>
        <w:pStyle w:val="Subtitle"/>
      </w:pPr>
      <w:r>
        <w:t>By Luke Reidy</w:t>
      </w:r>
      <w:r w:rsidR="00615130">
        <w:t xml:space="preserve"> (~2,500 words not including quot</w:t>
      </w:r>
      <w:bookmarkStart w:id="0" w:name="_GoBack"/>
      <w:bookmarkEnd w:id="0"/>
      <w:r w:rsidR="00615130">
        <w:t>es, references and contents)</w:t>
      </w:r>
    </w:p>
    <w:sdt>
      <w:sdtPr>
        <w:rPr>
          <w:rFonts w:asciiTheme="minorHAnsi" w:eastAsiaTheme="minorHAnsi" w:hAnsiTheme="minorHAnsi" w:cstheme="minorBidi"/>
          <w:color w:val="auto"/>
          <w:sz w:val="22"/>
          <w:szCs w:val="22"/>
          <w:lang w:val="en-GB"/>
        </w:rPr>
        <w:id w:val="1278685649"/>
        <w:docPartObj>
          <w:docPartGallery w:val="Table of Contents"/>
          <w:docPartUnique/>
        </w:docPartObj>
      </w:sdtPr>
      <w:sdtEndPr>
        <w:rPr>
          <w:b/>
          <w:bCs/>
          <w:noProof/>
        </w:rPr>
      </w:sdtEndPr>
      <w:sdtContent>
        <w:p w:rsidR="000806F5" w:rsidRDefault="000806F5">
          <w:pPr>
            <w:pStyle w:val="TOCHeading"/>
          </w:pPr>
          <w:r>
            <w:t>Contents</w:t>
          </w:r>
        </w:p>
        <w:p w:rsidR="00615130" w:rsidRDefault="000806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497907" w:history="1">
            <w:r w:rsidR="00615130" w:rsidRPr="00185D2B">
              <w:rPr>
                <w:rStyle w:val="Hyperlink"/>
                <w:noProof/>
              </w:rPr>
              <w:t>Introduction</w:t>
            </w:r>
            <w:r w:rsidR="00615130">
              <w:rPr>
                <w:noProof/>
                <w:webHidden/>
              </w:rPr>
              <w:tab/>
            </w:r>
            <w:r w:rsidR="00615130">
              <w:rPr>
                <w:noProof/>
                <w:webHidden/>
              </w:rPr>
              <w:fldChar w:fldCharType="begin"/>
            </w:r>
            <w:r w:rsidR="00615130">
              <w:rPr>
                <w:noProof/>
                <w:webHidden/>
              </w:rPr>
              <w:instrText xml:space="preserve"> PAGEREF _Toc140497907 \h </w:instrText>
            </w:r>
            <w:r w:rsidR="00615130">
              <w:rPr>
                <w:noProof/>
                <w:webHidden/>
              </w:rPr>
            </w:r>
            <w:r w:rsidR="00615130">
              <w:rPr>
                <w:noProof/>
                <w:webHidden/>
              </w:rPr>
              <w:fldChar w:fldCharType="separate"/>
            </w:r>
            <w:r w:rsidR="00615130">
              <w:rPr>
                <w:noProof/>
                <w:webHidden/>
              </w:rPr>
              <w:t>2</w:t>
            </w:r>
            <w:r w:rsidR="00615130">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08" w:history="1">
            <w:r w:rsidRPr="00185D2B">
              <w:rPr>
                <w:rStyle w:val="Hyperlink"/>
                <w:noProof/>
              </w:rPr>
              <w:t>Basic Components of an Explosive Train</w:t>
            </w:r>
            <w:r>
              <w:rPr>
                <w:noProof/>
                <w:webHidden/>
              </w:rPr>
              <w:tab/>
            </w:r>
            <w:r>
              <w:rPr>
                <w:noProof/>
                <w:webHidden/>
              </w:rPr>
              <w:fldChar w:fldCharType="begin"/>
            </w:r>
            <w:r>
              <w:rPr>
                <w:noProof/>
                <w:webHidden/>
              </w:rPr>
              <w:instrText xml:space="preserve"> PAGEREF _Toc140497908 \h </w:instrText>
            </w:r>
            <w:r>
              <w:rPr>
                <w:noProof/>
                <w:webHidden/>
              </w:rPr>
            </w:r>
            <w:r>
              <w:rPr>
                <w:noProof/>
                <w:webHidden/>
              </w:rPr>
              <w:fldChar w:fldCharType="separate"/>
            </w:r>
            <w:r>
              <w:rPr>
                <w:noProof/>
                <w:webHidden/>
              </w:rPr>
              <w:t>2</w:t>
            </w:r>
            <w:r>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09" w:history="1">
            <w:r w:rsidRPr="00185D2B">
              <w:rPr>
                <w:rStyle w:val="Hyperlink"/>
                <w:noProof/>
              </w:rPr>
              <w:t>Storing a Shell, and the Negative Effects of Bad Storage</w:t>
            </w:r>
            <w:r>
              <w:rPr>
                <w:noProof/>
                <w:webHidden/>
              </w:rPr>
              <w:tab/>
            </w:r>
            <w:r>
              <w:rPr>
                <w:noProof/>
                <w:webHidden/>
              </w:rPr>
              <w:fldChar w:fldCharType="begin"/>
            </w:r>
            <w:r>
              <w:rPr>
                <w:noProof/>
                <w:webHidden/>
              </w:rPr>
              <w:instrText xml:space="preserve"> PAGEREF _Toc140497909 \h </w:instrText>
            </w:r>
            <w:r>
              <w:rPr>
                <w:noProof/>
                <w:webHidden/>
              </w:rPr>
            </w:r>
            <w:r>
              <w:rPr>
                <w:noProof/>
                <w:webHidden/>
              </w:rPr>
              <w:fldChar w:fldCharType="separate"/>
            </w:r>
            <w:r>
              <w:rPr>
                <w:noProof/>
                <w:webHidden/>
              </w:rPr>
              <w:t>3</w:t>
            </w:r>
            <w:r>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10" w:history="1">
            <w:r w:rsidRPr="00185D2B">
              <w:rPr>
                <w:rStyle w:val="Hyperlink"/>
                <w:noProof/>
              </w:rPr>
              <w:t>Safe Transportation of a Shell</w:t>
            </w:r>
            <w:r>
              <w:rPr>
                <w:noProof/>
                <w:webHidden/>
              </w:rPr>
              <w:tab/>
            </w:r>
            <w:r>
              <w:rPr>
                <w:noProof/>
                <w:webHidden/>
              </w:rPr>
              <w:fldChar w:fldCharType="begin"/>
            </w:r>
            <w:r>
              <w:rPr>
                <w:noProof/>
                <w:webHidden/>
              </w:rPr>
              <w:instrText xml:space="preserve"> PAGEREF _Toc140497910 \h </w:instrText>
            </w:r>
            <w:r>
              <w:rPr>
                <w:noProof/>
                <w:webHidden/>
              </w:rPr>
            </w:r>
            <w:r>
              <w:rPr>
                <w:noProof/>
                <w:webHidden/>
              </w:rPr>
              <w:fldChar w:fldCharType="separate"/>
            </w:r>
            <w:r>
              <w:rPr>
                <w:noProof/>
                <w:webHidden/>
              </w:rPr>
              <w:t>5</w:t>
            </w:r>
            <w:r>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11" w:history="1">
            <w:r w:rsidRPr="00185D2B">
              <w:rPr>
                <w:rStyle w:val="Hyperlink"/>
                <w:noProof/>
              </w:rPr>
              <w:t>Using a Shell as Intended</w:t>
            </w:r>
            <w:r>
              <w:rPr>
                <w:noProof/>
                <w:webHidden/>
              </w:rPr>
              <w:tab/>
            </w:r>
            <w:r>
              <w:rPr>
                <w:noProof/>
                <w:webHidden/>
              </w:rPr>
              <w:fldChar w:fldCharType="begin"/>
            </w:r>
            <w:r>
              <w:rPr>
                <w:noProof/>
                <w:webHidden/>
              </w:rPr>
              <w:instrText xml:space="preserve"> PAGEREF _Toc140497911 \h </w:instrText>
            </w:r>
            <w:r>
              <w:rPr>
                <w:noProof/>
                <w:webHidden/>
              </w:rPr>
            </w:r>
            <w:r>
              <w:rPr>
                <w:noProof/>
                <w:webHidden/>
              </w:rPr>
              <w:fldChar w:fldCharType="separate"/>
            </w:r>
            <w:r>
              <w:rPr>
                <w:noProof/>
                <w:webHidden/>
              </w:rPr>
              <w:t>5</w:t>
            </w:r>
            <w:r>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12" w:history="1">
            <w:r w:rsidRPr="00185D2B">
              <w:rPr>
                <w:rStyle w:val="Hyperlink"/>
                <w:noProof/>
              </w:rPr>
              <w:t>Alternatives to TNT</w:t>
            </w:r>
            <w:r>
              <w:rPr>
                <w:noProof/>
                <w:webHidden/>
              </w:rPr>
              <w:tab/>
            </w:r>
            <w:r>
              <w:rPr>
                <w:noProof/>
                <w:webHidden/>
              </w:rPr>
              <w:fldChar w:fldCharType="begin"/>
            </w:r>
            <w:r>
              <w:rPr>
                <w:noProof/>
                <w:webHidden/>
              </w:rPr>
              <w:instrText xml:space="preserve"> PAGEREF _Toc140497912 \h </w:instrText>
            </w:r>
            <w:r>
              <w:rPr>
                <w:noProof/>
                <w:webHidden/>
              </w:rPr>
            </w:r>
            <w:r>
              <w:rPr>
                <w:noProof/>
                <w:webHidden/>
              </w:rPr>
              <w:fldChar w:fldCharType="separate"/>
            </w:r>
            <w:r>
              <w:rPr>
                <w:noProof/>
                <w:webHidden/>
              </w:rPr>
              <w:t>7</w:t>
            </w:r>
            <w:r>
              <w:rPr>
                <w:noProof/>
                <w:webHidden/>
              </w:rPr>
              <w:fldChar w:fldCharType="end"/>
            </w:r>
          </w:hyperlink>
        </w:p>
        <w:p w:rsidR="00615130" w:rsidRDefault="00615130">
          <w:pPr>
            <w:pStyle w:val="TOC2"/>
            <w:tabs>
              <w:tab w:val="right" w:leader="dot" w:pos="9016"/>
            </w:tabs>
            <w:rPr>
              <w:rFonts w:eastAsiaTheme="minorEastAsia"/>
              <w:noProof/>
              <w:lang w:eastAsia="en-GB"/>
            </w:rPr>
          </w:pPr>
          <w:hyperlink w:anchor="_Toc140497913" w:history="1">
            <w:r w:rsidRPr="00185D2B">
              <w:rPr>
                <w:rStyle w:val="Hyperlink"/>
                <w:noProof/>
              </w:rPr>
              <w:t>IMX-101</w:t>
            </w:r>
            <w:r>
              <w:rPr>
                <w:noProof/>
                <w:webHidden/>
              </w:rPr>
              <w:tab/>
            </w:r>
            <w:r>
              <w:rPr>
                <w:noProof/>
                <w:webHidden/>
              </w:rPr>
              <w:fldChar w:fldCharType="begin"/>
            </w:r>
            <w:r>
              <w:rPr>
                <w:noProof/>
                <w:webHidden/>
              </w:rPr>
              <w:instrText xml:space="preserve"> PAGEREF _Toc140497913 \h </w:instrText>
            </w:r>
            <w:r>
              <w:rPr>
                <w:noProof/>
                <w:webHidden/>
              </w:rPr>
            </w:r>
            <w:r>
              <w:rPr>
                <w:noProof/>
                <w:webHidden/>
              </w:rPr>
              <w:fldChar w:fldCharType="separate"/>
            </w:r>
            <w:r>
              <w:rPr>
                <w:noProof/>
                <w:webHidden/>
              </w:rPr>
              <w:t>7</w:t>
            </w:r>
            <w:r>
              <w:rPr>
                <w:noProof/>
                <w:webHidden/>
              </w:rPr>
              <w:fldChar w:fldCharType="end"/>
            </w:r>
          </w:hyperlink>
        </w:p>
        <w:p w:rsidR="00615130" w:rsidRDefault="00615130">
          <w:pPr>
            <w:pStyle w:val="TOC2"/>
            <w:tabs>
              <w:tab w:val="right" w:leader="dot" w:pos="9016"/>
            </w:tabs>
            <w:rPr>
              <w:rFonts w:eastAsiaTheme="minorEastAsia"/>
              <w:noProof/>
              <w:lang w:eastAsia="en-GB"/>
            </w:rPr>
          </w:pPr>
          <w:hyperlink w:anchor="_Toc140497914" w:history="1">
            <w:r w:rsidRPr="00185D2B">
              <w:rPr>
                <w:rStyle w:val="Hyperlink"/>
                <w:noProof/>
              </w:rPr>
              <w:t>Composition H6</w:t>
            </w:r>
            <w:r>
              <w:rPr>
                <w:noProof/>
                <w:webHidden/>
              </w:rPr>
              <w:tab/>
            </w:r>
            <w:r>
              <w:rPr>
                <w:noProof/>
                <w:webHidden/>
              </w:rPr>
              <w:fldChar w:fldCharType="begin"/>
            </w:r>
            <w:r>
              <w:rPr>
                <w:noProof/>
                <w:webHidden/>
              </w:rPr>
              <w:instrText xml:space="preserve"> PAGEREF _Toc140497914 \h </w:instrText>
            </w:r>
            <w:r>
              <w:rPr>
                <w:noProof/>
                <w:webHidden/>
              </w:rPr>
            </w:r>
            <w:r>
              <w:rPr>
                <w:noProof/>
                <w:webHidden/>
              </w:rPr>
              <w:fldChar w:fldCharType="separate"/>
            </w:r>
            <w:r>
              <w:rPr>
                <w:noProof/>
                <w:webHidden/>
              </w:rPr>
              <w:t>7</w:t>
            </w:r>
            <w:r>
              <w:rPr>
                <w:noProof/>
                <w:webHidden/>
              </w:rPr>
              <w:fldChar w:fldCharType="end"/>
            </w:r>
          </w:hyperlink>
        </w:p>
        <w:p w:rsidR="00615130" w:rsidRDefault="00615130">
          <w:pPr>
            <w:pStyle w:val="TOC2"/>
            <w:tabs>
              <w:tab w:val="right" w:leader="dot" w:pos="9016"/>
            </w:tabs>
            <w:rPr>
              <w:rFonts w:eastAsiaTheme="minorEastAsia"/>
              <w:noProof/>
              <w:lang w:eastAsia="en-GB"/>
            </w:rPr>
          </w:pPr>
          <w:hyperlink w:anchor="_Toc140497915" w:history="1">
            <w:r w:rsidRPr="00185D2B">
              <w:rPr>
                <w:rStyle w:val="Hyperlink"/>
                <w:noProof/>
              </w:rPr>
              <w:t>BOM</w:t>
            </w:r>
            <w:r>
              <w:rPr>
                <w:noProof/>
                <w:webHidden/>
              </w:rPr>
              <w:tab/>
            </w:r>
            <w:r>
              <w:rPr>
                <w:noProof/>
                <w:webHidden/>
              </w:rPr>
              <w:fldChar w:fldCharType="begin"/>
            </w:r>
            <w:r>
              <w:rPr>
                <w:noProof/>
                <w:webHidden/>
              </w:rPr>
              <w:instrText xml:space="preserve"> PAGEREF _Toc140497915 \h </w:instrText>
            </w:r>
            <w:r>
              <w:rPr>
                <w:noProof/>
                <w:webHidden/>
              </w:rPr>
            </w:r>
            <w:r>
              <w:rPr>
                <w:noProof/>
                <w:webHidden/>
              </w:rPr>
              <w:fldChar w:fldCharType="separate"/>
            </w:r>
            <w:r>
              <w:rPr>
                <w:noProof/>
                <w:webHidden/>
              </w:rPr>
              <w:t>7</w:t>
            </w:r>
            <w:r>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16" w:history="1">
            <w:r w:rsidRPr="00185D2B">
              <w:rPr>
                <w:rStyle w:val="Hyperlink"/>
                <w:noProof/>
              </w:rPr>
              <w:t>Conclusion</w:t>
            </w:r>
            <w:r>
              <w:rPr>
                <w:noProof/>
                <w:webHidden/>
              </w:rPr>
              <w:tab/>
            </w:r>
            <w:r>
              <w:rPr>
                <w:noProof/>
                <w:webHidden/>
              </w:rPr>
              <w:fldChar w:fldCharType="begin"/>
            </w:r>
            <w:r>
              <w:rPr>
                <w:noProof/>
                <w:webHidden/>
              </w:rPr>
              <w:instrText xml:space="preserve"> PAGEREF _Toc140497916 \h </w:instrText>
            </w:r>
            <w:r>
              <w:rPr>
                <w:noProof/>
                <w:webHidden/>
              </w:rPr>
            </w:r>
            <w:r>
              <w:rPr>
                <w:noProof/>
                <w:webHidden/>
              </w:rPr>
              <w:fldChar w:fldCharType="separate"/>
            </w:r>
            <w:r>
              <w:rPr>
                <w:noProof/>
                <w:webHidden/>
              </w:rPr>
              <w:t>7</w:t>
            </w:r>
            <w:r>
              <w:rPr>
                <w:noProof/>
                <w:webHidden/>
              </w:rPr>
              <w:fldChar w:fldCharType="end"/>
            </w:r>
          </w:hyperlink>
        </w:p>
        <w:p w:rsidR="00615130" w:rsidRDefault="00615130">
          <w:pPr>
            <w:pStyle w:val="TOC1"/>
            <w:tabs>
              <w:tab w:val="right" w:leader="dot" w:pos="9016"/>
            </w:tabs>
            <w:rPr>
              <w:rFonts w:eastAsiaTheme="minorEastAsia"/>
              <w:noProof/>
              <w:lang w:eastAsia="en-GB"/>
            </w:rPr>
          </w:pPr>
          <w:hyperlink w:anchor="_Toc140497917" w:history="1">
            <w:r w:rsidRPr="00185D2B">
              <w:rPr>
                <w:rStyle w:val="Hyperlink"/>
                <w:noProof/>
              </w:rPr>
              <w:t>References</w:t>
            </w:r>
            <w:r>
              <w:rPr>
                <w:noProof/>
                <w:webHidden/>
              </w:rPr>
              <w:tab/>
            </w:r>
            <w:r>
              <w:rPr>
                <w:noProof/>
                <w:webHidden/>
              </w:rPr>
              <w:fldChar w:fldCharType="begin"/>
            </w:r>
            <w:r>
              <w:rPr>
                <w:noProof/>
                <w:webHidden/>
              </w:rPr>
              <w:instrText xml:space="preserve"> PAGEREF _Toc140497917 \h </w:instrText>
            </w:r>
            <w:r>
              <w:rPr>
                <w:noProof/>
                <w:webHidden/>
              </w:rPr>
            </w:r>
            <w:r>
              <w:rPr>
                <w:noProof/>
                <w:webHidden/>
              </w:rPr>
              <w:fldChar w:fldCharType="separate"/>
            </w:r>
            <w:r>
              <w:rPr>
                <w:noProof/>
                <w:webHidden/>
              </w:rPr>
              <w:t>8</w:t>
            </w:r>
            <w:r>
              <w:rPr>
                <w:noProof/>
                <w:webHidden/>
              </w:rPr>
              <w:fldChar w:fldCharType="end"/>
            </w:r>
          </w:hyperlink>
        </w:p>
        <w:p w:rsidR="000806F5" w:rsidRDefault="000806F5">
          <w:r>
            <w:rPr>
              <w:b/>
              <w:bCs/>
              <w:noProof/>
            </w:rPr>
            <w:fldChar w:fldCharType="end"/>
          </w:r>
        </w:p>
      </w:sdtContent>
    </w:sdt>
    <w:p w:rsidR="000806F5" w:rsidRDefault="000806F5" w:rsidP="000806F5">
      <w:pPr>
        <w:pStyle w:val="Heading1"/>
      </w:pPr>
    </w:p>
    <w:p w:rsidR="000C5CC5" w:rsidRDefault="000C5CC5">
      <w:pPr>
        <w:rPr>
          <w:rFonts w:asciiTheme="majorHAnsi" w:eastAsiaTheme="majorEastAsia" w:hAnsiTheme="majorHAnsi" w:cstheme="majorBidi"/>
          <w:color w:val="2E74B5" w:themeColor="accent1" w:themeShade="BF"/>
          <w:sz w:val="32"/>
          <w:szCs w:val="32"/>
        </w:rPr>
      </w:pPr>
      <w:r>
        <w:br w:type="page"/>
      </w:r>
    </w:p>
    <w:p w:rsidR="000806F5" w:rsidRDefault="000806F5" w:rsidP="000806F5">
      <w:pPr>
        <w:pStyle w:val="Heading1"/>
      </w:pPr>
      <w:bookmarkStart w:id="1" w:name="_Toc140497907"/>
      <w:r>
        <w:lastRenderedPageBreak/>
        <w:t>Introduction</w:t>
      </w:r>
      <w:bookmarkEnd w:id="1"/>
    </w:p>
    <w:p w:rsidR="00657AD0" w:rsidRDefault="000806F5" w:rsidP="000806F5">
      <w:r>
        <w:t>Artillery shells that are used in modern warfare are have a long and varied history. The design of such projectiles has changed to fit the technologies of the time, and many design features have emerged and proven themselves over time to be a primary aspect of keeping an artillery shell ready for its intended use. Many of these features and adjustments were made because people were severely injured or died as a result of t</w:t>
      </w:r>
      <w:r w:rsidR="00657AD0">
        <w:t>he failure of such technology, and a</w:t>
      </w:r>
      <w:r>
        <w:t>s a result, it is an essential topic to remain aware of</w:t>
      </w:r>
      <w:r w:rsidR="00657AD0">
        <w:t>,</w:t>
      </w:r>
      <w:r>
        <w:t xml:space="preserve"> throughout </w:t>
      </w:r>
      <w:r w:rsidR="00657AD0">
        <w:t>a career in OME.</w:t>
      </w:r>
    </w:p>
    <w:p w:rsidR="000806F5" w:rsidRDefault="000806F5" w:rsidP="000806F5">
      <w:r>
        <w:t>This paper seeks to explore the various design features that are present in modern artillery shells, to explain their purpose, and to explore how all these features have come together to result in, what is today, the safest and most effective artillery rounds humanity can reasonably muster.</w:t>
      </w:r>
      <w:r w:rsidR="00657AD0">
        <w:t xml:space="preserve"> </w:t>
      </w:r>
      <w:r w:rsidR="00DE2370">
        <w:t xml:space="preserve">Specifically </w:t>
      </w:r>
      <w:r w:rsidR="00657AD0">
        <w:t>this paper</w:t>
      </w:r>
      <w:r w:rsidR="00DE2370">
        <w:t xml:space="preserve"> </w:t>
      </w:r>
      <w:r w:rsidR="00657AD0">
        <w:t>will explore the nature of TNT when used as the high explosive component of an artillery shell, and how it compares to other potential explosive materials.</w:t>
      </w:r>
    </w:p>
    <w:p w:rsidR="000806F5" w:rsidRDefault="00657AD0" w:rsidP="000806F5">
      <w:pPr>
        <w:pStyle w:val="Heading1"/>
      </w:pPr>
      <w:bookmarkStart w:id="2" w:name="_Toc140497908"/>
      <w:r>
        <w:t>Basic Components of an</w:t>
      </w:r>
      <w:r w:rsidR="000806F5">
        <w:t xml:space="preserve"> Explosive Train</w:t>
      </w:r>
      <w:bookmarkEnd w:id="2"/>
    </w:p>
    <w:p w:rsidR="000806F5" w:rsidRDefault="00657AD0" w:rsidP="000806F5">
      <w:r>
        <w:t>It</w:t>
      </w:r>
      <w:r w:rsidR="000806F5">
        <w:t xml:space="preserve"> is essential to understand the process </w:t>
      </w:r>
      <w:r>
        <w:t>that</w:t>
      </w:r>
      <w:r w:rsidR="000806F5">
        <w:t xml:space="preserve"> an artillery shell goes through to explode. This will help in understanding how various factors can affect the shell’s operation.</w:t>
      </w:r>
    </w:p>
    <w:p w:rsidR="009C238D" w:rsidRDefault="009C238D" w:rsidP="000806F5">
      <w:pPr>
        <w:rPr>
          <w:color w:val="FF0000"/>
        </w:rPr>
      </w:pPr>
      <w:r>
        <w:t>The main principle that allows a shell to act as intended is the explosive train. This allows</w:t>
      </w:r>
      <w:r w:rsidR="000E7F0F">
        <w:t xml:space="preserve"> a</w:t>
      </w:r>
      <w:r w:rsidR="00CA2618">
        <w:t xml:space="preserve"> non-explosive,</w:t>
      </w:r>
      <w:r w:rsidR="009374B7">
        <w:t xml:space="preserve"> </w:t>
      </w:r>
      <w:r w:rsidR="009374B7" w:rsidRPr="002B2052">
        <w:rPr>
          <w:i/>
        </w:rPr>
        <w:t>“small external</w:t>
      </w:r>
      <w:r w:rsidRPr="002B2052">
        <w:rPr>
          <w:i/>
        </w:rPr>
        <w:t xml:space="preserve"> stimulus</w:t>
      </w:r>
      <w:r w:rsidR="009374B7" w:rsidRPr="002B2052">
        <w:rPr>
          <w:i/>
        </w:rPr>
        <w:t xml:space="preserve"> called the simple initiating impulse (SII)”</w:t>
      </w:r>
      <w:sdt>
        <w:sdtPr>
          <w:id w:val="-457955410"/>
          <w:citation/>
        </w:sdtPr>
        <w:sdtContent>
          <w:r w:rsidR="009374B7">
            <w:fldChar w:fldCharType="begin"/>
          </w:r>
          <w:r w:rsidR="001211AC">
            <w:instrText xml:space="preserve">CITATION Mat23 \l 2057 </w:instrText>
          </w:r>
          <w:r w:rsidR="009374B7">
            <w:fldChar w:fldCharType="separate"/>
          </w:r>
          <w:r w:rsidR="000C5CC5">
            <w:rPr>
              <w:noProof/>
            </w:rPr>
            <w:t xml:space="preserve"> </w:t>
          </w:r>
          <w:r w:rsidR="000C5CC5" w:rsidRPr="000C5CC5">
            <w:rPr>
              <w:noProof/>
            </w:rPr>
            <w:t>[1]</w:t>
          </w:r>
          <w:r w:rsidR="009374B7">
            <w:fldChar w:fldCharType="end"/>
          </w:r>
        </w:sdtContent>
      </w:sdt>
      <w:r>
        <w:t xml:space="preserve"> to be applied to the sensitive primary explosive ‘</w:t>
      </w:r>
      <w:r w:rsidRPr="009C238D">
        <w:t>initiator</w:t>
      </w:r>
      <w:r>
        <w:t>’ in the shell, in a predicted and controlled manner, which</w:t>
      </w:r>
      <w:r w:rsidR="000E7F0F">
        <w:t xml:space="preserve"> initiates, releasing enough energy to trigger </w:t>
      </w:r>
      <w:r>
        <w:t>a l</w:t>
      </w:r>
      <w:r w:rsidR="000E7F0F">
        <w:t xml:space="preserve">arger amount of less sensitive </w:t>
      </w:r>
      <w:r>
        <w:t>secondary explosive ‘booster’, increasing the amount of energy transferring, which</w:t>
      </w:r>
      <w:r w:rsidR="000E7F0F">
        <w:t>, in configurations which include a third step,</w:t>
      </w:r>
      <w:r>
        <w:t xml:space="preserve"> is directed to a tertiary ‘main charge’ explosive, providing us with the main e</w:t>
      </w:r>
      <w:r w:rsidR="00CA2618">
        <w:t>xplosive energy from our shell.</w:t>
      </w:r>
    </w:p>
    <w:p w:rsidR="009374B7" w:rsidRDefault="009374B7" w:rsidP="000806F5">
      <w:r>
        <w:rPr>
          <w:noProof/>
          <w:lang w:eastAsia="en-GB"/>
        </w:rPr>
        <w:drawing>
          <wp:inline distT="0" distB="0" distL="0" distR="0" wp14:anchorId="2491A1B0" wp14:editId="5B53C946">
            <wp:extent cx="5543550" cy="395974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7822"/>
                    <a:stretch/>
                  </pic:blipFill>
                  <pic:spPr bwMode="auto">
                    <a:xfrm>
                      <a:off x="0" y="0"/>
                      <a:ext cx="5543550" cy="3959749"/>
                    </a:xfrm>
                    <a:prstGeom prst="rect">
                      <a:avLst/>
                    </a:prstGeom>
                    <a:ln>
                      <a:noFill/>
                    </a:ln>
                    <a:extLst>
                      <a:ext uri="{53640926-AAD7-44D8-BBD7-CCE9431645EC}">
                        <a14:shadowObscured xmlns:a14="http://schemas.microsoft.com/office/drawing/2010/main"/>
                      </a:ext>
                    </a:extLst>
                  </pic:spPr>
                </pic:pic>
              </a:graphicData>
            </a:graphic>
          </wp:inline>
        </w:drawing>
      </w:r>
    </w:p>
    <w:p w:rsidR="00CA2618" w:rsidRDefault="00CA2618" w:rsidP="00CA2618">
      <w:pPr>
        <w:pStyle w:val="Caption"/>
      </w:pPr>
      <w:r>
        <w:t xml:space="preserve">Figure </w:t>
      </w:r>
      <w:fldSimple w:instr=" SEQ Figure \* ARABIC ">
        <w:r>
          <w:rPr>
            <w:noProof/>
          </w:rPr>
          <w:t>1</w:t>
        </w:r>
      </w:fldSimple>
      <w:r>
        <w:t xml:space="preserve"> – “Schematic representation of the two most common types of explosive trains. </w:t>
      </w:r>
      <w:sdt>
        <w:sdtPr>
          <w:id w:val="-352194033"/>
          <w:citation/>
        </w:sdtPr>
        <w:sdtContent>
          <w:r>
            <w:fldChar w:fldCharType="begin"/>
          </w:r>
          <w:r w:rsidR="001211AC">
            <w:instrText xml:space="preserve">CITATION Mat23 \l 2057 </w:instrText>
          </w:r>
          <w:r>
            <w:fldChar w:fldCharType="separate"/>
          </w:r>
          <w:r w:rsidR="000C5CC5" w:rsidRPr="000C5CC5">
            <w:rPr>
              <w:noProof/>
            </w:rPr>
            <w:t>[1]</w:t>
          </w:r>
          <w:r>
            <w:fldChar w:fldCharType="end"/>
          </w:r>
        </w:sdtContent>
      </w:sdt>
      <w:r>
        <w:t>”</w:t>
      </w:r>
    </w:p>
    <w:p w:rsidR="0070096D" w:rsidRDefault="000E7F0F" w:rsidP="000806F5">
      <w:r>
        <w:t xml:space="preserve">An example configuration of this would be </w:t>
      </w:r>
      <w:r w:rsidR="00D3067C">
        <w:t xml:space="preserve">in the </w:t>
      </w:r>
      <w:r w:rsidR="00CA2618">
        <w:t>‘</w:t>
      </w:r>
      <w:r w:rsidR="00D3067C">
        <w:t>L15</w:t>
      </w:r>
      <w:r>
        <w:t xml:space="preserve"> artillery shell</w:t>
      </w:r>
      <w:r w:rsidR="00CA2618">
        <w:t>’</w:t>
      </w:r>
      <w:r w:rsidR="00D3067C">
        <w:t xml:space="preserve">. The nose of the shell contains a ‘fuze’, which contains primary explosive, such as </w:t>
      </w:r>
      <w:r w:rsidR="00CA2618">
        <w:t>‘</w:t>
      </w:r>
      <w:r w:rsidR="00D3067C">
        <w:t>Lead Azide</w:t>
      </w:r>
      <w:r w:rsidR="00CA2618">
        <w:t>’</w:t>
      </w:r>
      <w:r w:rsidR="0030490F">
        <w:t xml:space="preserve"> (LA)</w:t>
      </w:r>
      <w:r w:rsidR="00D3067C">
        <w:t xml:space="preserve"> or </w:t>
      </w:r>
      <w:r w:rsidR="00CA2618">
        <w:t>‘</w:t>
      </w:r>
      <w:r w:rsidR="00D3067C">
        <w:t>Lead Styphnate</w:t>
      </w:r>
      <w:r w:rsidR="00CA2618">
        <w:t>’</w:t>
      </w:r>
      <w:r w:rsidR="0030490F">
        <w:t xml:space="preserve"> (LS)</w:t>
      </w:r>
      <w:r w:rsidR="00D3067C">
        <w:t>.</w:t>
      </w:r>
      <w:r w:rsidR="00DE2370">
        <w:t xml:space="preserve"> This would detonate either upon impact with the target, or when programmed via the fuze.</w:t>
      </w:r>
      <w:r w:rsidR="00D3067C">
        <w:t xml:space="preserve"> </w:t>
      </w:r>
      <w:r w:rsidR="00DE2370">
        <w:t xml:space="preserve">Behind the fuze, there is a booster, which contains a less sensitive primary or secondary explosive, such as certain mixes of </w:t>
      </w:r>
      <w:r w:rsidR="00CA2618">
        <w:t>‘</w:t>
      </w:r>
      <w:r w:rsidR="00DE2370">
        <w:t>RDX</w:t>
      </w:r>
      <w:r w:rsidR="00CA2618">
        <w:t>’</w:t>
      </w:r>
      <w:r w:rsidR="00DE2370">
        <w:t xml:space="preserve"> and wax. When the booster detonates, this initiates the main charge which is a compound explosive mix, of TNT and RDX.</w:t>
      </w:r>
      <w:r w:rsidR="0070096D">
        <w:t xml:space="preserve"> In addition, </w:t>
      </w:r>
      <w:r w:rsidR="0070096D" w:rsidRPr="002B2052">
        <w:rPr>
          <w:i/>
        </w:rPr>
        <w:t>“the shell body is of thin-walled type with high fragmentation and blast effect.”</w:t>
      </w:r>
      <w:sdt>
        <w:sdtPr>
          <w:id w:val="-1407442102"/>
          <w:citation/>
        </w:sdtPr>
        <w:sdtEndPr/>
        <w:sdtContent>
          <w:r w:rsidR="0070096D">
            <w:fldChar w:fldCharType="begin"/>
          </w:r>
          <w:r w:rsidR="001211AC">
            <w:instrText xml:space="preserve">CITATION BAE23 \l 2057 </w:instrText>
          </w:r>
          <w:r w:rsidR="0070096D">
            <w:fldChar w:fldCharType="separate"/>
          </w:r>
          <w:r w:rsidR="000C5CC5">
            <w:rPr>
              <w:noProof/>
            </w:rPr>
            <w:t xml:space="preserve"> </w:t>
          </w:r>
          <w:r w:rsidR="000C5CC5" w:rsidRPr="000C5CC5">
            <w:rPr>
              <w:noProof/>
            </w:rPr>
            <w:t>[2]</w:t>
          </w:r>
          <w:r w:rsidR="0070096D">
            <w:fldChar w:fldCharType="end"/>
          </w:r>
        </w:sdtContent>
      </w:sdt>
      <w:r w:rsidR="0070096D">
        <w:t xml:space="preserve"> Shell walls are designed to balance the ideal blast power, via a thin walled shell which absorbs less of the energy, or a thicker walled shell, which encourages greater amounts of fragmentation.</w:t>
      </w:r>
    </w:p>
    <w:p w:rsidR="009C238D" w:rsidRDefault="009C238D" w:rsidP="000806F5">
      <w:r>
        <w:t>There are many reasons why explosives used in shells are arranged in such a manner. Firstly, with the safety of the operator being of prime importance, a munition should be as low in</w:t>
      </w:r>
      <w:r w:rsidR="00CA2618">
        <w:t xml:space="preserve"> general</w:t>
      </w:r>
      <w:r>
        <w:t xml:space="preserve"> sensitivity as reasonably possible. As primary explosives are very sensitive, using a large quantity of them in a munition creates a large risk that the massive energy within the barrel of a cannon will initiate the explosive prematurely, causing damage and injury to</w:t>
      </w:r>
      <w:r w:rsidR="00CA2618">
        <w:t xml:space="preserve"> everything around.</w:t>
      </w:r>
    </w:p>
    <w:p w:rsidR="009C238D" w:rsidRDefault="009C238D" w:rsidP="000806F5">
      <w:r>
        <w:t>So, with primary e</w:t>
      </w:r>
      <w:r w:rsidR="00DE2370">
        <w:t xml:space="preserve">xplosives being this sensitive, ideally </w:t>
      </w:r>
      <w:r>
        <w:t>the majority of our explosive</w:t>
      </w:r>
      <w:r w:rsidR="00CA2618">
        <w:t>s output force</w:t>
      </w:r>
      <w:r>
        <w:t xml:space="preserve"> </w:t>
      </w:r>
      <w:r w:rsidR="00DE2370">
        <w:t>should</w:t>
      </w:r>
      <w:r>
        <w:t xml:space="preserve"> be </w:t>
      </w:r>
      <w:r w:rsidR="00CA2618">
        <w:t>generated</w:t>
      </w:r>
      <w:r>
        <w:t xml:space="preserve"> with secondary, and tertiary explosives, which are less likely to be</w:t>
      </w:r>
      <w:r w:rsidR="00CA2618">
        <w:t xml:space="preserve"> accidentally</w:t>
      </w:r>
      <w:r>
        <w:t xml:space="preserve"> initiated due to environmental </w:t>
      </w:r>
      <w:r w:rsidR="00CA2618">
        <w:t>inputs</w:t>
      </w:r>
      <w:r>
        <w:t xml:space="preserve">. The issue with secondary and tertiary explosive materials is that they require much more activation energy than primary explosives, and so can be difficult to initiate using regular </w:t>
      </w:r>
      <w:r w:rsidR="00CA2618">
        <w:t>and reasonable amounts of non-explosive force</w:t>
      </w:r>
      <w:r>
        <w:t>. As a result, a munition will use a small amount of primary explosive to generate the requisite energy to initiate the secondary explosive, which provides us with the blast effect.</w:t>
      </w:r>
    </w:p>
    <w:p w:rsidR="009C238D" w:rsidRDefault="009C238D" w:rsidP="000806F5">
      <w:pPr>
        <w:rPr>
          <w:color w:val="FF0000"/>
        </w:rPr>
      </w:pPr>
      <w:r>
        <w:t>A secondary but important benefit that this allows is the ability to implement delays and stand-off</w:t>
      </w:r>
      <w:r w:rsidR="000A1E96">
        <w:t xml:space="preserve">’s within the explosive train. </w:t>
      </w:r>
      <w:r w:rsidR="00DE2370">
        <w:t>A manufacturer</w:t>
      </w:r>
      <w:r w:rsidR="000A1E96">
        <w:t xml:space="preserve"> can manipulate the materials used to force a part of the train to take longer, or to react quicker. Many elements of the shell’s design will affects its performance and rate of detonation, including how compacted the space is, and where the shell is weak</w:t>
      </w:r>
      <w:r w:rsidR="006E26A4">
        <w:t>est, or strongest structurally.</w:t>
      </w:r>
    </w:p>
    <w:p w:rsidR="00D3067C" w:rsidRDefault="000A1E96" w:rsidP="00DE2370">
      <w:r>
        <w:t>The explosive train is also relevant to the introduction of propellant type explosives into our shell design. The main blasting element of a shell needs to be protected whilst the shell is undergoing the massive pressures of being propelled out of the barrel. Enough speed and energy is required to get the intended distance and velocity for the shell, but structural integrity needs to be of a good enough standard, and thick enough, to protect the primary explosive particularly from initiation.</w:t>
      </w:r>
    </w:p>
    <w:p w:rsidR="000806F5" w:rsidRDefault="000806F5" w:rsidP="000806F5">
      <w:pPr>
        <w:pStyle w:val="Heading1"/>
      </w:pPr>
      <w:bookmarkStart w:id="3" w:name="_Toc140497909"/>
      <w:r>
        <w:t>Storing a Shell, and the Negative Effects of Bad Storage</w:t>
      </w:r>
      <w:bookmarkEnd w:id="3"/>
    </w:p>
    <w:p w:rsidR="00D3067C" w:rsidRDefault="000A1E96" w:rsidP="000A1E96">
      <w:r>
        <w:t>As mentioned in the previous section, a shell is designed to be ideally as non-sensitive as possible. However, this status may change once the shell leaves the factory. Insufficient</w:t>
      </w:r>
      <w:r w:rsidR="00D3067C">
        <w:t>ly prepared</w:t>
      </w:r>
      <w:r>
        <w:t xml:space="preserve"> storage conditions can have an array of negative effects on the usability and safety of any munition</w:t>
      </w:r>
      <w:r w:rsidR="00D3067C">
        <w:t xml:space="preserve"> or explosive</w:t>
      </w:r>
      <w:r>
        <w:t>, including and perhaps especially in regards to</w:t>
      </w:r>
      <w:r w:rsidR="00D3067C">
        <w:t xml:space="preserve"> large calibre artillery shells.</w:t>
      </w:r>
    </w:p>
    <w:p w:rsidR="00D3067C" w:rsidRDefault="00D3067C" w:rsidP="000A1E96">
      <w:r>
        <w:t>Among the primary aims of safe storage are to:</w:t>
      </w:r>
    </w:p>
    <w:p w:rsidR="00D3067C" w:rsidRDefault="00D3067C" w:rsidP="00D3067C">
      <w:pPr>
        <w:pStyle w:val="ListParagraph"/>
        <w:numPr>
          <w:ilvl w:val="0"/>
          <w:numId w:val="1"/>
        </w:numPr>
      </w:pPr>
      <w:r>
        <w:t>Prevent the degradation of the shells, rendering them useless or unsafe when used.</w:t>
      </w:r>
    </w:p>
    <w:p w:rsidR="00D3067C" w:rsidRDefault="00D3067C" w:rsidP="00D3067C">
      <w:pPr>
        <w:pStyle w:val="ListParagraph"/>
        <w:numPr>
          <w:ilvl w:val="0"/>
          <w:numId w:val="1"/>
        </w:numPr>
      </w:pPr>
      <w:r>
        <w:t>Prevent the accidental initiation of stored explosives.</w:t>
      </w:r>
    </w:p>
    <w:p w:rsidR="0070096D" w:rsidRDefault="00D3067C" w:rsidP="0070096D">
      <w:pPr>
        <w:pStyle w:val="ListParagraph"/>
        <w:numPr>
          <w:ilvl w:val="0"/>
          <w:numId w:val="1"/>
        </w:numPr>
      </w:pPr>
      <w:r>
        <w:t>Prevent damage to human health and the environment, from any toxic or hazardous explosive chemicals.</w:t>
      </w:r>
    </w:p>
    <w:p w:rsidR="0070096D" w:rsidRDefault="0070096D" w:rsidP="00DE2370">
      <w:r>
        <w:t>TNT, and TNT based compound mixtures provides a challenge when it comes to storage, for a number of reasons.</w:t>
      </w:r>
      <w:r w:rsidR="000458EA">
        <w:t xml:space="preserve"> Below, these reasons are explored, alongside the mitigations put in place.</w:t>
      </w:r>
    </w:p>
    <w:p w:rsidR="000F06BC" w:rsidRDefault="005A2751" w:rsidP="00DE2370">
      <w:r>
        <w:t xml:space="preserve">Firstly, there is a hazard to health - </w:t>
      </w:r>
      <w:r w:rsidR="0070096D">
        <w:t>TNT has toxic properties, causing skin irritation, or more severe cond</w:t>
      </w:r>
      <w:r w:rsidR="000458EA">
        <w:t>itions after long term exposure.</w:t>
      </w:r>
      <w:r>
        <w:t xml:space="preserve"> Proper handling should involve the use of gloves, with air filtering to prevent build-up of chemicals in a closed space. Some of these toxic properties may become more likely to affect a handler if the TNT is in high or variable heat conditions, as T</w:t>
      </w:r>
      <w:r w:rsidRPr="005A2751">
        <w:t>NT is prone to ‘Sweating’.</w:t>
      </w:r>
    </w:p>
    <w:p w:rsidR="005A2751" w:rsidRDefault="0070096D" w:rsidP="00DE2370">
      <w:r>
        <w:t>This can lead to a build-up of pools of impurities, and voids, within the shell construction</w:t>
      </w:r>
      <w:r w:rsidR="005A2751">
        <w:t>, including within the screw thread for a fuze cap</w:t>
      </w:r>
      <w:r>
        <w:t xml:space="preserve">, which increases the </w:t>
      </w:r>
      <w:r w:rsidR="000458EA">
        <w:t>chance of accidental</w:t>
      </w:r>
      <w:r w:rsidR="005A2751">
        <w:t xml:space="preserve"> initiation or fuze malfunction, when, for example, the fuze cap is unscrewed, generating friction energy which initiates the leaked chemical. As a result, it is essential that temperature and humidity controls are in place to pr</w:t>
      </w:r>
      <w:r w:rsidR="001211AC">
        <w:t>event these issues from arising.</w:t>
      </w:r>
    </w:p>
    <w:p w:rsidR="000F06BC" w:rsidRDefault="000F06BC" w:rsidP="00DE2370">
      <w:r>
        <w:t>TNT has a melting point of 78-81 degrees Celcius, and within the confines of metal shells, in warehouses in high heat climates, this relatively low melting point, which is an advantage for easier melting and casting, means that TNT may go through multiple cycles of melting and solidifying, generating voids and encouraging convection currents. Even when mixed into a compound, the TNT’s lower melting point can have a negative effect on the overall compound – “[when mixed with RDX, the TNT may melt, and the RDX remain suspended in the liquid TNT. Eventually, this dissolves, increasing the energy of the mix until a thermal runaway occurs.]”</w:t>
      </w:r>
      <w:sdt>
        <w:sdtPr>
          <w:id w:val="-1316030743"/>
          <w:citation/>
        </w:sdtPr>
        <w:sdtContent>
          <w:r>
            <w:fldChar w:fldCharType="begin"/>
          </w:r>
          <w:r>
            <w:instrText xml:space="preserve"> CITATION Hob12 \l 2057 </w:instrText>
          </w:r>
          <w:r>
            <w:fldChar w:fldCharType="separate"/>
          </w:r>
          <w:r w:rsidR="000C5CC5">
            <w:rPr>
              <w:noProof/>
            </w:rPr>
            <w:t xml:space="preserve"> </w:t>
          </w:r>
          <w:r w:rsidR="000C5CC5" w:rsidRPr="000C5CC5">
            <w:rPr>
              <w:noProof/>
            </w:rPr>
            <w:t>[3]</w:t>
          </w:r>
          <w:r>
            <w:fldChar w:fldCharType="end"/>
          </w:r>
        </w:sdtContent>
      </w:sdt>
    </w:p>
    <w:p w:rsidR="000F06BC" w:rsidRDefault="005A2751" w:rsidP="00DE2370">
      <w:r>
        <w:t xml:space="preserve">Additionally, special care must be taken to ensure the shell casing construction is well build and maintained – a shell made brittle due to heat expansion over long periods will not have the required structural </w:t>
      </w:r>
      <w:r w:rsidR="005A714E">
        <w:t>integrity</w:t>
      </w:r>
      <w:r>
        <w:t xml:space="preserve"> to resist the forces of acceleration within a barrel, therefore increasing the chance of</w:t>
      </w:r>
      <w:r w:rsidR="006E26A4">
        <w:t xml:space="preserve"> accidental or early init</w:t>
      </w:r>
      <w:r w:rsidR="005A714E">
        <w:t>iation, making the need for temperature monitoring and</w:t>
      </w:r>
      <w:r w:rsidR="006E26A4">
        <w:t xml:space="preserve"> control even more substantial.</w:t>
      </w:r>
    </w:p>
    <w:p w:rsidR="005C5CF6" w:rsidRDefault="005C5CF6" w:rsidP="00DE2370">
      <w:r>
        <w:t xml:space="preserve">In many realistic applications, TNT is often mixed into a compound explosive, to change its properties. One well known example is ‘Composition B’, which is roughly a 60/40 mix of RDX and TNT, </w:t>
      </w:r>
      <w:r w:rsidR="002B2052">
        <w:t xml:space="preserve">often </w:t>
      </w:r>
      <w:r>
        <w:t>with about 1% Parrafin wax.</w:t>
      </w:r>
      <w:sdt>
        <w:sdtPr>
          <w:id w:val="1066066765"/>
          <w:citation/>
        </w:sdtPr>
        <w:sdtContent>
          <w:r w:rsidR="002B2052">
            <w:fldChar w:fldCharType="begin"/>
          </w:r>
          <w:r w:rsidR="002B2052">
            <w:instrText xml:space="preserve"> CITATION Hob12 \l 2057 </w:instrText>
          </w:r>
          <w:r w:rsidR="002B2052">
            <w:fldChar w:fldCharType="separate"/>
          </w:r>
          <w:r w:rsidR="000C5CC5">
            <w:rPr>
              <w:noProof/>
            </w:rPr>
            <w:t xml:space="preserve"> </w:t>
          </w:r>
          <w:r w:rsidR="000C5CC5" w:rsidRPr="000C5CC5">
            <w:rPr>
              <w:noProof/>
            </w:rPr>
            <w:t>[3]</w:t>
          </w:r>
          <w:r w:rsidR="002B2052">
            <w:fldChar w:fldCharType="end"/>
          </w:r>
        </w:sdtContent>
      </w:sdt>
      <w:r w:rsidR="002B2052">
        <w:t xml:space="preserve"> </w:t>
      </w:r>
      <w:r>
        <w:t>The RDX, which has a higher detonation velocity than TNT, but is also typically more sensitive, allows for the increase in the explosive power of the shell, as well as helping to push the oxygen balance further towards neutral, resulting in a more efficient explosion.</w:t>
      </w:r>
    </w:p>
    <w:p w:rsidR="005A714E" w:rsidRDefault="005C5CF6" w:rsidP="005C5CF6">
      <w:r>
        <w:t>More importantly for storage reasons however, is the addition of a desensitiser in the form of the wax. This wax allows for the ‘galvanisation’ of the RDX, lowering the total surface area of the RDX material, and therefore reducing the sensitivity of the explosive. The addition of an agent or substance to an explosive, in order to increase its stability, is referred to as ‘Phlegmatisation’.</w:t>
      </w:r>
      <w:r w:rsidR="005A714E">
        <w:t xml:space="preserve"> </w:t>
      </w:r>
    </w:p>
    <w:p w:rsidR="005A714E" w:rsidRDefault="005A714E" w:rsidP="00DE2370">
      <w:r>
        <w:t>In summary, there are a number of shell design features and storage design features which are essential to protect the TNT during long term storage, including:</w:t>
      </w:r>
    </w:p>
    <w:p w:rsidR="005A714E" w:rsidRDefault="005A714E" w:rsidP="005A714E">
      <w:pPr>
        <w:pStyle w:val="ListParagraph"/>
        <w:numPr>
          <w:ilvl w:val="0"/>
          <w:numId w:val="1"/>
        </w:numPr>
      </w:pPr>
      <w:r>
        <w:t>The careful casting of the TNT mix to ensure no voids appear after solidification</w:t>
      </w:r>
      <w:r w:rsidR="005C5CF6">
        <w:t>.</w:t>
      </w:r>
    </w:p>
    <w:p w:rsidR="005C5CF6" w:rsidRDefault="005C5CF6" w:rsidP="005A714E">
      <w:pPr>
        <w:pStyle w:val="ListParagraph"/>
        <w:numPr>
          <w:ilvl w:val="0"/>
          <w:numId w:val="1"/>
        </w:numPr>
      </w:pPr>
      <w:r>
        <w:t>Proper use of Phlegmatisation to lower the sensitivity and increase the stability of the chemicals.</w:t>
      </w:r>
    </w:p>
    <w:p w:rsidR="005C5CF6" w:rsidRDefault="005C5CF6" w:rsidP="005A714E">
      <w:pPr>
        <w:pStyle w:val="ListParagraph"/>
        <w:numPr>
          <w:ilvl w:val="0"/>
          <w:numId w:val="1"/>
        </w:numPr>
      </w:pPr>
      <w:r>
        <w:t>A casing which is thick enough and insulated enough to protect the chemicals inside from external changes in pressure, temperature or humidity.</w:t>
      </w:r>
    </w:p>
    <w:p w:rsidR="005C5CF6" w:rsidRDefault="005C5CF6" w:rsidP="005A714E">
      <w:pPr>
        <w:pStyle w:val="ListParagraph"/>
        <w:numPr>
          <w:ilvl w:val="0"/>
          <w:numId w:val="1"/>
        </w:numPr>
      </w:pPr>
      <w:r>
        <w:t>A monitoring system that allows for the management of storage temperature, pressure or humidity.</w:t>
      </w:r>
    </w:p>
    <w:p w:rsidR="005C5CF6" w:rsidRDefault="005C5CF6" w:rsidP="005C5CF6">
      <w:pPr>
        <w:pStyle w:val="ListParagraph"/>
        <w:numPr>
          <w:ilvl w:val="0"/>
          <w:numId w:val="1"/>
        </w:numPr>
      </w:pPr>
      <w:r>
        <w:t>Appropriate PPE to protect those handling the explosive.</w:t>
      </w:r>
    </w:p>
    <w:p w:rsidR="00F84DD2" w:rsidRDefault="00F84DD2" w:rsidP="00F84DD2">
      <w:r>
        <w:t>Despite all the protections one could put into place in a storage facility, if the explosive chemical itself does not have stable properties across reasonable climates and heats, then it will be insufficient and potentially dangerous when used – the explosive chemical stability must be the priority of the manufacturer.</w:t>
      </w:r>
    </w:p>
    <w:p w:rsidR="000806F5" w:rsidRDefault="000806F5" w:rsidP="000806F5">
      <w:pPr>
        <w:pStyle w:val="Heading1"/>
      </w:pPr>
      <w:bookmarkStart w:id="4" w:name="_Toc140497910"/>
      <w:r>
        <w:t>Safe Transportation of a Shell</w:t>
      </w:r>
      <w:bookmarkEnd w:id="4"/>
    </w:p>
    <w:p w:rsidR="00F84DD2" w:rsidRDefault="005C5CF6" w:rsidP="005A714E">
      <w:r>
        <w:t>Safe transportation principles for munitions aims to achieve the same goals as the safe storage principles, but with the added limitations and risks of tra</w:t>
      </w:r>
      <w:r w:rsidR="00F84DD2">
        <w:t>nsit, which must be considered. The shells must not degrade massively between the factory and the munitions storage, and as well between the munitions storage and the field. Therefore the manufacturer must consider what safe principles should apply:</w:t>
      </w:r>
    </w:p>
    <w:p w:rsidR="00F84DD2" w:rsidRDefault="00F84DD2" w:rsidP="00F84DD2">
      <w:pPr>
        <w:pStyle w:val="ListParagraph"/>
        <w:numPr>
          <w:ilvl w:val="0"/>
          <w:numId w:val="1"/>
        </w:numPr>
      </w:pPr>
      <w:r>
        <w:t>when in civilian transport in familiar climates,</w:t>
      </w:r>
    </w:p>
    <w:p w:rsidR="00F84DD2" w:rsidRDefault="00F84DD2" w:rsidP="00F84DD2">
      <w:pPr>
        <w:pStyle w:val="ListParagraph"/>
        <w:numPr>
          <w:ilvl w:val="0"/>
          <w:numId w:val="1"/>
        </w:numPr>
      </w:pPr>
      <w:r>
        <w:t>in military transport in a wide range of climates,</w:t>
      </w:r>
    </w:p>
    <w:p w:rsidR="005A714E" w:rsidRDefault="00F84DD2" w:rsidP="00F84DD2">
      <w:pPr>
        <w:pStyle w:val="ListParagraph"/>
        <w:numPr>
          <w:ilvl w:val="0"/>
          <w:numId w:val="1"/>
        </w:numPr>
      </w:pPr>
      <w:r>
        <w:t>and within military transport whilst under enemy fire.</w:t>
      </w:r>
    </w:p>
    <w:p w:rsidR="00F84DD2" w:rsidRDefault="00F84DD2" w:rsidP="00F84DD2">
      <w:r>
        <w:t>To meet these requirements, the first focus should be on the transporting vehicle. When using public roads to transport explosives, considerations must be made for potential risks including fires, road-traffic-accidents, criminal activity, presence of fuel engines alongside fuel tanks and turbulent road conditions.</w:t>
      </w:r>
    </w:p>
    <w:p w:rsidR="002B2052" w:rsidRDefault="00F84DD2" w:rsidP="002B2052">
      <w:r>
        <w:t xml:space="preserve">Historically, the transport requirements of munitions and explosives have defined the way we attempt to create them, and resulted in the invention of Dynamite by Alfred Nobel. Before this invention, Nitro Glycerin was used commercially as an explosive, but </w:t>
      </w:r>
      <w:r w:rsidRPr="002B2052">
        <w:rPr>
          <w:i/>
        </w:rPr>
        <w:t>“</w:t>
      </w:r>
      <w:r w:rsidRPr="002B2052">
        <w:rPr>
          <w:i/>
        </w:rPr>
        <w:t>there was much danger of it</w:t>
      </w:r>
      <w:r w:rsidRPr="002B2052">
        <w:rPr>
          <w:i/>
        </w:rPr>
        <w:t xml:space="preserve"> </w:t>
      </w:r>
      <w:r w:rsidRPr="002B2052">
        <w:rPr>
          <w:i/>
        </w:rPr>
        <w:t>detonating in bulk during transportation. The latte</w:t>
      </w:r>
      <w:r w:rsidRPr="002B2052">
        <w:rPr>
          <w:i/>
        </w:rPr>
        <w:t xml:space="preserve">r fact was demonstrated by the blowing up of the </w:t>
      </w:r>
      <w:r w:rsidRPr="002B2052">
        <w:rPr>
          <w:i/>
        </w:rPr>
        <w:t>steamship 'European' with the loss of 74 lives in 1866.</w:t>
      </w:r>
      <w:r w:rsidRPr="002B2052">
        <w:rPr>
          <w:i/>
        </w:rPr>
        <w:t xml:space="preserve">” </w:t>
      </w:r>
      <w:sdt>
        <w:sdtPr>
          <w:id w:val="19679616"/>
          <w:citation/>
        </w:sdtPr>
        <w:sdtContent>
          <w:r>
            <w:fldChar w:fldCharType="begin"/>
          </w:r>
          <w:r>
            <w:instrText xml:space="preserve"> CITATION Min20 \l 2057 </w:instrText>
          </w:r>
          <w:r>
            <w:fldChar w:fldCharType="separate"/>
          </w:r>
          <w:r w:rsidR="000C5CC5" w:rsidRPr="000C5CC5">
            <w:rPr>
              <w:noProof/>
            </w:rPr>
            <w:t>[4]</w:t>
          </w:r>
          <w:r>
            <w:fldChar w:fldCharType="end"/>
          </w:r>
        </w:sdtContent>
      </w:sdt>
      <w:r w:rsidR="002B2052">
        <w:t xml:space="preserve"> This, among other lethal accidents, resulted in Nobel mixing the Nitro Glycerin with ‘Kieselguhr’ resulting in Dynamite, which was much more stable in transport thanks to the mixing of the Phlegmatisation agent.</w:t>
      </w:r>
    </w:p>
    <w:p w:rsidR="00F84DD2" w:rsidRPr="005A714E" w:rsidRDefault="002B2052" w:rsidP="002B2052">
      <w:r>
        <w:t xml:space="preserve">In summary, it is clear that, like with the storage of the energetics, the </w:t>
      </w:r>
      <w:r w:rsidR="009D6665">
        <w:t xml:space="preserve">civilian and military </w:t>
      </w:r>
      <w:r>
        <w:t xml:space="preserve">transport of the energetics heavily depends on the sensitivity of the explosive in question, and this factor is the primary focus for making transport as safe as possible. In addition to this, precautions must be taken in the form of using vehicles with smoother suspension to reduce shock and turbulence, </w:t>
      </w:r>
      <w:r w:rsidR="009D6665">
        <w:t>vehicles that use safer, less flammable fuels, as well as using appropriate markings to inform the public of the hazardous nature of the materials on boar.</w:t>
      </w:r>
    </w:p>
    <w:p w:rsidR="009D6665" w:rsidRDefault="000806F5" w:rsidP="009D6665">
      <w:pPr>
        <w:pStyle w:val="Heading1"/>
      </w:pPr>
      <w:bookmarkStart w:id="5" w:name="_Toc140497911"/>
      <w:r>
        <w:t>Using a Shell as Intended</w:t>
      </w:r>
      <w:bookmarkEnd w:id="5"/>
    </w:p>
    <w:p w:rsidR="009D6665" w:rsidRDefault="009D6665" w:rsidP="009D6665">
      <w:r>
        <w:t>Finally, the true test of the robustness of the storage and transport methodologies is to fire the shell itself. There are a range of features that allow for the safe use of this shell within both mobile and static firing platforms, including:</w:t>
      </w:r>
    </w:p>
    <w:p w:rsidR="009D6665" w:rsidRDefault="009D6665" w:rsidP="009D6665">
      <w:pPr>
        <w:pStyle w:val="ListParagraph"/>
        <w:numPr>
          <w:ilvl w:val="0"/>
          <w:numId w:val="1"/>
        </w:numPr>
      </w:pPr>
      <w:r>
        <w:t>Thicker casing for the shell towards the rear, where the highest energies will be imparted upon the shell externally. This casing tends to taper towards the nose, resulting in a pattern of breakage when the main charge is detonated. The thicker rear end of the case provides ‘obturation’</w:t>
      </w:r>
      <w:r w:rsidR="00AD0A16">
        <w:t>, where the outward expanding metal of the case</w:t>
      </w:r>
      <w:r>
        <w:t xml:space="preserve"> seals the breech of the gun and prevents gases from escaping.</w:t>
      </w:r>
    </w:p>
    <w:p w:rsidR="009D6665" w:rsidRDefault="009D6665" w:rsidP="009D6665">
      <w:pPr>
        <w:pStyle w:val="ListParagraph"/>
        <w:numPr>
          <w:ilvl w:val="0"/>
          <w:numId w:val="1"/>
        </w:numPr>
      </w:pPr>
      <w:r>
        <w:t>The use of a particular fuze/primer, to control the specific initiation method</w:t>
      </w:r>
      <w:r w:rsidR="00AD0A16">
        <w:t>, and manipulate timing, delays and stand-off properties. Examples of fuzes include Percussion fuzes, Delay fuze and proximity fuzes. The use of a fuze mechanism, especially alongside the other safety features, massively reduces the chance of accidental initiation, by tightly controlling the method through which initiation is achieved. For example, a percussion cap may require a specific number of Newtons of force in order to activate the primer – if this is beyond what a human could accidentally apply, then this massively protects the operators.</w:t>
      </w:r>
    </w:p>
    <w:p w:rsidR="0030490F" w:rsidRDefault="00AD0A16" w:rsidP="0030490F">
      <w:pPr>
        <w:pStyle w:val="ListParagraph"/>
        <w:numPr>
          <w:ilvl w:val="0"/>
          <w:numId w:val="1"/>
        </w:numPr>
      </w:pPr>
      <w:r>
        <w:t>Selection of appropriate explosive materials for each component of the explosive train</w:t>
      </w:r>
      <w:r w:rsidR="0030490F">
        <w:t>:</w:t>
      </w:r>
    </w:p>
    <w:p w:rsidR="00AD0A16" w:rsidRDefault="0030490F" w:rsidP="0030490F">
      <w:pPr>
        <w:pStyle w:val="ListParagraph"/>
        <w:numPr>
          <w:ilvl w:val="1"/>
          <w:numId w:val="1"/>
        </w:numPr>
      </w:pPr>
      <w:r>
        <w:t>A</w:t>
      </w:r>
      <w:r w:rsidR="00AD0A16">
        <w:t xml:space="preserve"> prim</w:t>
      </w:r>
      <w:r>
        <w:t xml:space="preserve">ary explosive that can efficiently produce the required initiation energy. Lead Styphnate, or perhaps a mix of LS and LA, is a typical and useful primer/initiator used in detonators and artillery shells. The LS is </w:t>
      </w:r>
      <w:r w:rsidR="003C7B02">
        <w:t>situationally stable over time</w:t>
      </w:r>
      <w:r>
        <w:t>, as “a</w:t>
      </w:r>
      <w:r>
        <w:t>ccording to Wallbaum, LS does not change during 2 months of storage at</w:t>
      </w:r>
      <w:r>
        <w:t xml:space="preserve"> 65–70 degrees celcius.”</w:t>
      </w:r>
      <w:sdt>
        <w:sdtPr>
          <w:id w:val="2001539347"/>
          <w:citation/>
        </w:sdtPr>
        <w:sdtContent>
          <w:r w:rsidR="003C7B02">
            <w:fldChar w:fldCharType="begin"/>
          </w:r>
          <w:r w:rsidR="003C7B02">
            <w:instrText xml:space="preserve"> CITATION Mat231 \l 2057 </w:instrText>
          </w:r>
          <w:r w:rsidR="003C7B02">
            <w:fldChar w:fldCharType="separate"/>
          </w:r>
          <w:r w:rsidR="000C5CC5">
            <w:rPr>
              <w:noProof/>
            </w:rPr>
            <w:t xml:space="preserve"> </w:t>
          </w:r>
          <w:r w:rsidR="000C5CC5" w:rsidRPr="000C5CC5">
            <w:rPr>
              <w:noProof/>
            </w:rPr>
            <w:t>[5]</w:t>
          </w:r>
          <w:r w:rsidR="003C7B02">
            <w:fldChar w:fldCharType="end"/>
          </w:r>
        </w:sdtContent>
      </w:sdt>
      <w:r>
        <w:t xml:space="preserve"> LS also has comparatively low reactivity with other metals, water, and CO2, and can be used as a ‘protective layer’ for the LA due to these properties.</w:t>
      </w:r>
      <w:r w:rsidR="003C7B02">
        <w:t xml:space="preserve"> Additionally, the addition of a “Benzene solution bee wax”</w:t>
      </w:r>
      <w:sdt>
        <w:sdtPr>
          <w:id w:val="1059679431"/>
          <w:citation/>
        </w:sdtPr>
        <w:sdtContent>
          <w:r w:rsidR="003C7B02">
            <w:fldChar w:fldCharType="begin"/>
          </w:r>
          <w:r w:rsidR="003C7B02">
            <w:instrText xml:space="preserve"> CITATION Mat231 \l 2057 </w:instrText>
          </w:r>
          <w:r w:rsidR="003C7B02">
            <w:fldChar w:fldCharType="separate"/>
          </w:r>
          <w:r w:rsidR="000C5CC5">
            <w:rPr>
              <w:noProof/>
            </w:rPr>
            <w:t xml:space="preserve"> </w:t>
          </w:r>
          <w:r w:rsidR="000C5CC5" w:rsidRPr="000C5CC5">
            <w:rPr>
              <w:noProof/>
            </w:rPr>
            <w:t>[5]</w:t>
          </w:r>
          <w:r w:rsidR="003C7B02">
            <w:fldChar w:fldCharType="end"/>
          </w:r>
        </w:sdtContent>
      </w:sdt>
      <w:r w:rsidR="003C7B02">
        <w:t xml:space="preserve"> allows the LS to acquire the “form of uniform granules, less sensitive to mechanical stimuli and electrostatic discharge, however, still keeping the same desired sensitivity to flame.” </w:t>
      </w:r>
      <w:sdt>
        <w:sdtPr>
          <w:id w:val="829253355"/>
          <w:citation/>
        </w:sdtPr>
        <w:sdtContent>
          <w:r w:rsidR="003C7B02">
            <w:fldChar w:fldCharType="begin"/>
          </w:r>
          <w:r w:rsidR="003C7B02">
            <w:instrText xml:space="preserve"> CITATION Mat231 \l 2057 </w:instrText>
          </w:r>
          <w:r w:rsidR="003C7B02">
            <w:fldChar w:fldCharType="separate"/>
          </w:r>
          <w:r w:rsidR="000C5CC5" w:rsidRPr="000C5CC5">
            <w:rPr>
              <w:noProof/>
            </w:rPr>
            <w:t>[5]</w:t>
          </w:r>
          <w:r w:rsidR="003C7B02">
            <w:fldChar w:fldCharType="end"/>
          </w:r>
        </w:sdtContent>
      </w:sdt>
    </w:p>
    <w:p w:rsidR="003C7B02" w:rsidRDefault="003C7B02" w:rsidP="0030490F">
      <w:pPr>
        <w:pStyle w:val="ListParagraph"/>
        <w:numPr>
          <w:ilvl w:val="1"/>
          <w:numId w:val="1"/>
        </w:numPr>
      </w:pPr>
      <w:r>
        <w:t>A secondary explosive that provides the intended performance effect of the shell, but is insensitive and stable. The use of TNT and TNT compounds has been historically typical, but as our technology and requirements have advanced, so has our need for different types of secondary explosive. TNT alone used as a main charge would result in a large amount of elemental carbon as a waste product, due to the highly negative oxygen balance of -73.9%</w:t>
      </w:r>
      <w:sdt>
        <w:sdtPr>
          <w:id w:val="972567369"/>
          <w:citation/>
        </w:sdtPr>
        <w:sdtContent>
          <w:r w:rsidR="000F06BC">
            <w:fldChar w:fldCharType="begin"/>
          </w:r>
          <w:r w:rsidR="000F06BC">
            <w:instrText xml:space="preserve"> CITATION MOD20 \l 2057 </w:instrText>
          </w:r>
          <w:r w:rsidR="000F06BC">
            <w:fldChar w:fldCharType="separate"/>
          </w:r>
          <w:r w:rsidR="000C5CC5">
            <w:rPr>
              <w:noProof/>
            </w:rPr>
            <w:t xml:space="preserve"> </w:t>
          </w:r>
          <w:r w:rsidR="000C5CC5" w:rsidRPr="000C5CC5">
            <w:rPr>
              <w:noProof/>
            </w:rPr>
            <w:t>[6]</w:t>
          </w:r>
          <w:r w:rsidR="000F06BC">
            <w:fldChar w:fldCharType="end"/>
          </w:r>
        </w:sdtContent>
      </w:sdt>
      <w:r>
        <w:t xml:space="preserve">, reducing the efficiency of the explosive compared to its mass. Larger masses of explosives will require larger energies from the propellant to achieve sufficient velocity, which increases the risk of misfire, as well as decreasing the life-time of the barrel. So, it is in the interests of safety and economy to have an efficient secondary explosive for the main charge. Mixing TNT with RDX and Paraffin wax will increase the oxygen balance, as RDX has an oxygen balance of </w:t>
      </w:r>
      <w:r w:rsidR="000F06BC">
        <w:t>-21.61%.</w:t>
      </w:r>
      <w:sdt>
        <w:sdtPr>
          <w:id w:val="1117485051"/>
          <w:citation/>
        </w:sdtPr>
        <w:sdtContent>
          <w:r w:rsidR="000F06BC">
            <w:fldChar w:fldCharType="begin"/>
          </w:r>
          <w:r w:rsidR="000F06BC">
            <w:instrText xml:space="preserve"> CITATION MOD20 \l 2057 </w:instrText>
          </w:r>
          <w:r w:rsidR="000F06BC">
            <w:fldChar w:fldCharType="separate"/>
          </w:r>
          <w:r w:rsidR="000C5CC5">
            <w:rPr>
              <w:noProof/>
            </w:rPr>
            <w:t xml:space="preserve"> </w:t>
          </w:r>
          <w:r w:rsidR="000C5CC5" w:rsidRPr="000C5CC5">
            <w:rPr>
              <w:noProof/>
            </w:rPr>
            <w:t>[6]</w:t>
          </w:r>
          <w:r w:rsidR="000F06BC">
            <w:fldChar w:fldCharType="end"/>
          </w:r>
        </w:sdtContent>
      </w:sdt>
      <w:r w:rsidR="000F06BC">
        <w:t xml:space="preserve"> This will reduce the amount of by-products, and result in a more efficient explosive per unit weight. Also, the addition of the wax enhances the stability and reduces the shock sensitivity of the mix, further making the shell safer.</w:t>
      </w:r>
    </w:p>
    <w:p w:rsidR="003D22A4" w:rsidRDefault="003D22A4">
      <w:pPr>
        <w:rPr>
          <w:rFonts w:asciiTheme="majorHAnsi" w:eastAsiaTheme="majorEastAsia" w:hAnsiTheme="majorHAnsi" w:cstheme="majorBidi"/>
          <w:color w:val="2E74B5" w:themeColor="accent1" w:themeShade="BF"/>
          <w:sz w:val="32"/>
          <w:szCs w:val="32"/>
        </w:rPr>
      </w:pPr>
      <w:r>
        <w:br w:type="page"/>
      </w:r>
    </w:p>
    <w:p w:rsidR="000F06BC" w:rsidRDefault="000F06BC" w:rsidP="000F06BC">
      <w:pPr>
        <w:pStyle w:val="Heading1"/>
      </w:pPr>
      <w:bookmarkStart w:id="6" w:name="_Toc140497912"/>
      <w:r>
        <w:t>Alternatives to TNT</w:t>
      </w:r>
      <w:bookmarkEnd w:id="6"/>
    </w:p>
    <w:p w:rsidR="00CD048A" w:rsidRDefault="000F06BC" w:rsidP="00CD048A">
      <w:r>
        <w:t>As explored in this report, TNT is a widely used, and widely mixed, compound, though in the modern day, every effort is being made to find new, preferable alternatives. Energetics that are easier to manufacture, energetics that are more environmentally friendly, energetics which are cheaper, and energetics which are safer modern operating climates.</w:t>
      </w:r>
    </w:p>
    <w:p w:rsidR="00CD048A" w:rsidRDefault="00CD048A" w:rsidP="00CD048A">
      <w:pPr>
        <w:pStyle w:val="Heading2"/>
      </w:pPr>
      <w:bookmarkStart w:id="7" w:name="_Toc140497913"/>
      <w:r>
        <w:t>IMX-101</w:t>
      </w:r>
      <w:bookmarkEnd w:id="7"/>
    </w:p>
    <w:p w:rsidR="00CD048A" w:rsidRDefault="00CD048A" w:rsidP="00CD048A">
      <w:pPr>
        <w:rPr>
          <w:i/>
        </w:rPr>
      </w:pPr>
      <w:r>
        <w:t xml:space="preserve">IMX-101 is an explosive compound being purpose built to replace TNT in US army explosives. Designed to be a much more insensitive material than TNT, and more resistant to accidental initiation due to fires, </w:t>
      </w:r>
      <w:r w:rsidRPr="00CD048A">
        <w:rPr>
          <w:i/>
        </w:rPr>
        <w:t>“the new generation of insensitive munitions is designed to sustain chemical stability when subjected to mechanical shocks, fire, and impact by shrapnel, while performing as intended, when needed.”</w:t>
      </w:r>
      <w:sdt>
        <w:sdtPr>
          <w:rPr>
            <w:i/>
          </w:rPr>
          <w:id w:val="1049652626"/>
          <w:citation/>
        </w:sdtPr>
        <w:sdtContent>
          <w:r>
            <w:rPr>
              <w:i/>
            </w:rPr>
            <w:fldChar w:fldCharType="begin"/>
          </w:r>
          <w:r>
            <w:rPr>
              <w:i/>
            </w:rPr>
            <w:instrText xml:space="preserve"> CITATION Sta10 \l 2057 </w:instrText>
          </w:r>
          <w:r>
            <w:rPr>
              <w:i/>
            </w:rPr>
            <w:fldChar w:fldCharType="separate"/>
          </w:r>
          <w:r w:rsidR="000C5CC5">
            <w:rPr>
              <w:i/>
              <w:noProof/>
            </w:rPr>
            <w:t xml:space="preserve"> </w:t>
          </w:r>
          <w:r w:rsidR="000C5CC5" w:rsidRPr="000C5CC5">
            <w:rPr>
              <w:noProof/>
            </w:rPr>
            <w:t>[7]</w:t>
          </w:r>
          <w:r>
            <w:rPr>
              <w:i/>
            </w:rPr>
            <w:fldChar w:fldCharType="end"/>
          </w:r>
        </w:sdtContent>
      </w:sdt>
    </w:p>
    <w:p w:rsidR="00A70B51" w:rsidRDefault="00CD048A" w:rsidP="00CD048A">
      <w:r>
        <w:t>IMX-101 compounds are, like TNT, melt-castable meaning they are fairly simple to manufacture, without thermally degrading the mix itself. The mix consists of ‘DNAN’ (43.5%), ‘NQ’ (36.8%) and ‘NTO’ (19.7%). Using the ‘</w:t>
      </w:r>
      <w:r w:rsidRPr="00CD048A">
        <w:t>Kistiakowsky-Wilson Rules</w:t>
      </w:r>
      <w:r>
        <w:t>’</w:t>
      </w:r>
      <w:r w:rsidR="00A70B51">
        <w:t xml:space="preserve"> for Oxygen balance, it reveals an overall negative oxygen balance, as there is no oxygen remaining:</w:t>
      </w:r>
    </w:p>
    <w:p w:rsidR="00CD048A" w:rsidRPr="00CD048A" w:rsidRDefault="00A70B51" w:rsidP="00A70B51">
      <w:pPr>
        <w:pStyle w:val="Quote"/>
      </w:pPr>
      <w:r>
        <w:t>C7H6N2</w:t>
      </w:r>
      <w:r w:rsidRPr="00A70B51">
        <w:t>O5 +</w:t>
      </w:r>
      <w:r>
        <w:t xml:space="preserve"> C2H2N4O3 + CH4N4O2 -&gt; 7CO H</w:t>
      </w:r>
      <w:r w:rsidRPr="00A70B51">
        <w:rPr>
          <w:vertAlign w:val="subscript"/>
        </w:rPr>
        <w:t>4</w:t>
      </w:r>
      <w:r>
        <w:rPr>
          <w:vertAlign w:val="subscript"/>
        </w:rPr>
        <w:t xml:space="preserve"> </w:t>
      </w:r>
      <w:r>
        <w:t>H</w:t>
      </w:r>
      <w:r w:rsidRPr="00A70B51">
        <w:rPr>
          <w:vertAlign w:val="subscript"/>
        </w:rPr>
        <w:t>2</w:t>
      </w:r>
      <w:r>
        <w:t>O N</w:t>
      </w:r>
      <w:r w:rsidRPr="00A70B51">
        <w:rPr>
          <w:vertAlign w:val="subscript"/>
        </w:rPr>
        <w:t>2</w:t>
      </w:r>
      <w:r>
        <w:t xml:space="preserve"> + 2CO H</w:t>
      </w:r>
      <w:r w:rsidRPr="00A70B51">
        <w:rPr>
          <w:vertAlign w:val="subscript"/>
        </w:rPr>
        <w:t>2</w:t>
      </w:r>
      <w:r>
        <w:t xml:space="preserve"> 2N</w:t>
      </w:r>
      <w:r w:rsidRPr="00A70B51">
        <w:rPr>
          <w:vertAlign w:val="subscript"/>
        </w:rPr>
        <w:t>2</w:t>
      </w:r>
      <w:r>
        <w:t xml:space="preserve"> + CH</w:t>
      </w:r>
      <w:r w:rsidRPr="00A70B51">
        <w:rPr>
          <w:vertAlign w:val="subscript"/>
        </w:rPr>
        <w:t>4</w:t>
      </w:r>
      <w:r>
        <w:t xml:space="preserve"> </w:t>
      </w:r>
      <w:r w:rsidRPr="00A70B51">
        <w:t>2N</w:t>
      </w:r>
      <w:r w:rsidRPr="00A70B51">
        <w:rPr>
          <w:vertAlign w:val="subscript"/>
        </w:rPr>
        <w:t>2</w:t>
      </w:r>
    </w:p>
    <w:p w:rsidR="00CD048A" w:rsidRDefault="00CD048A" w:rsidP="00CD048A">
      <w:pPr>
        <w:pStyle w:val="Heading2"/>
      </w:pPr>
      <w:bookmarkStart w:id="8" w:name="_Toc140497914"/>
      <w:r>
        <w:t>Composition H6</w:t>
      </w:r>
      <w:bookmarkEnd w:id="8"/>
    </w:p>
    <w:p w:rsidR="0070096D" w:rsidRDefault="00A70B51" w:rsidP="000806F5">
      <w:r>
        <w:t>This composition is similar to Comp B in that it is primarily a TNT/RDX mix, but this also includes around 21% of powdered Aluminium, as well as the occasional use of Parraffin wax. It is castable, more stable whilst in storage, and more suitable for use in underwater scenarios. Additionally, it is around 1.35 times more powerful than TNT. All of these aspects are an improvement over TNT or Comp B mixtures, and represents the trend towards incentivize munitions.</w:t>
      </w:r>
    </w:p>
    <w:p w:rsidR="001A4247" w:rsidRDefault="001A4247" w:rsidP="00A70B51">
      <w:pPr>
        <w:pStyle w:val="Heading2"/>
      </w:pPr>
      <w:bookmarkStart w:id="9" w:name="_Toc140497915"/>
      <w:r>
        <w:t>BOM</w:t>
      </w:r>
      <w:bookmarkEnd w:id="9"/>
    </w:p>
    <w:p w:rsidR="00A70B51" w:rsidRDefault="00A70B51" w:rsidP="00A70B51">
      <w:pPr>
        <w:rPr>
          <w:i/>
        </w:rPr>
      </w:pPr>
      <w:r>
        <w:t>This novel material is a “liquid phase carrier for melt cast explosives that is expected to replace TNT”</w:t>
      </w:r>
      <w:sdt>
        <w:sdtPr>
          <w:id w:val="-2074803089"/>
          <w:citation/>
        </w:sdtPr>
        <w:sdtContent>
          <w:r>
            <w:fldChar w:fldCharType="begin"/>
          </w:r>
          <w:r>
            <w:instrText xml:space="preserve"> CITATION Xio20 \l 2057 </w:instrText>
          </w:r>
          <w:r>
            <w:fldChar w:fldCharType="separate"/>
          </w:r>
          <w:r w:rsidR="000C5CC5">
            <w:rPr>
              <w:noProof/>
            </w:rPr>
            <w:t xml:space="preserve"> </w:t>
          </w:r>
          <w:r w:rsidR="000C5CC5" w:rsidRPr="000C5CC5">
            <w:rPr>
              <w:noProof/>
            </w:rPr>
            <w:t>[8]</w:t>
          </w:r>
          <w:r>
            <w:fldChar w:fldCharType="end"/>
          </w:r>
        </w:sdtContent>
      </w:sdt>
      <w:r>
        <w:t xml:space="preserve">, being explored as a suitable alternative to TNT. In the paper being referenced, experiments were carried out which </w:t>
      </w:r>
      <w:r w:rsidR="000C5CC5" w:rsidRPr="000C5CC5">
        <w:rPr>
          <w:i/>
        </w:rPr>
        <w:t>“[proved]</w:t>
      </w:r>
      <w:r w:rsidRPr="000C5CC5">
        <w:rPr>
          <w:i/>
        </w:rPr>
        <w:t xml:space="preserve"> that BOM is basically non-volatile under heating and melting processes. The apparent activation energy of BOM calcula</w:t>
      </w:r>
      <w:r w:rsidR="000C5CC5" w:rsidRPr="000C5CC5">
        <w:rPr>
          <w:i/>
        </w:rPr>
        <w:t>ted by the Kissinger method was…</w:t>
      </w:r>
      <w:r w:rsidRPr="000C5CC5">
        <w:rPr>
          <w:i/>
        </w:rPr>
        <w:t xml:space="preserve"> higher than that of DNTF at atmospheric pressure</w:t>
      </w:r>
      <w:r w:rsidR="000C5CC5" w:rsidRPr="000C5CC5">
        <w:rPr>
          <w:i/>
        </w:rPr>
        <w:t>,</w:t>
      </w:r>
      <w:r w:rsidRPr="000C5CC5">
        <w:rPr>
          <w:i/>
        </w:rPr>
        <w:t xml:space="preserve"> and TNT at 2 MPa, indicating good thermal stability at low temperatures.</w:t>
      </w:r>
      <w:r w:rsidR="000C5CC5" w:rsidRPr="000C5CC5">
        <w:rPr>
          <w:i/>
        </w:rPr>
        <w:t>”</w:t>
      </w:r>
      <w:sdt>
        <w:sdtPr>
          <w:rPr>
            <w:i/>
          </w:rPr>
          <w:id w:val="-1158613347"/>
          <w:citation/>
        </w:sdtPr>
        <w:sdtContent>
          <w:r w:rsidR="000C5CC5">
            <w:rPr>
              <w:i/>
            </w:rPr>
            <w:fldChar w:fldCharType="begin"/>
          </w:r>
          <w:r w:rsidR="000C5CC5">
            <w:rPr>
              <w:i/>
            </w:rPr>
            <w:instrText xml:space="preserve"> CITATION Xio20 \l 2057 </w:instrText>
          </w:r>
          <w:r w:rsidR="000C5CC5">
            <w:rPr>
              <w:i/>
            </w:rPr>
            <w:fldChar w:fldCharType="separate"/>
          </w:r>
          <w:r w:rsidR="000C5CC5">
            <w:rPr>
              <w:i/>
              <w:noProof/>
            </w:rPr>
            <w:t xml:space="preserve"> </w:t>
          </w:r>
          <w:r w:rsidR="000C5CC5" w:rsidRPr="000C5CC5">
            <w:rPr>
              <w:noProof/>
            </w:rPr>
            <w:t>[8]</w:t>
          </w:r>
          <w:r w:rsidR="000C5CC5">
            <w:rPr>
              <w:i/>
            </w:rPr>
            <w:fldChar w:fldCharType="end"/>
          </w:r>
        </w:sdtContent>
      </w:sdt>
    </w:p>
    <w:p w:rsidR="000C5CC5" w:rsidRDefault="000C5CC5" w:rsidP="00A70B51">
      <w:r>
        <w:t>The mix has a similar melting point to TNT at around 75.5 degrees Celcius, which provides the same benefits as TNT, but the increased stability makes it less susceptible to the issues that affect TNT in storage. Also, BOM has a better “detonation performance… than TNT/HMX”</w:t>
      </w:r>
      <w:sdt>
        <w:sdtPr>
          <w:id w:val="-690062267"/>
          <w:citation/>
        </w:sdtPr>
        <w:sdtContent>
          <w:r>
            <w:fldChar w:fldCharType="begin"/>
          </w:r>
          <w:r>
            <w:instrText xml:space="preserve"> CITATION Xio20 \l 2057 </w:instrText>
          </w:r>
          <w:r>
            <w:fldChar w:fldCharType="separate"/>
          </w:r>
          <w:r>
            <w:rPr>
              <w:noProof/>
            </w:rPr>
            <w:t xml:space="preserve"> </w:t>
          </w:r>
          <w:r w:rsidRPr="000C5CC5">
            <w:rPr>
              <w:noProof/>
            </w:rPr>
            <w:t>[8]</w:t>
          </w:r>
          <w:r>
            <w:fldChar w:fldCharType="end"/>
          </w:r>
        </w:sdtContent>
      </w:sdt>
      <w:r>
        <w:t>.</w:t>
      </w:r>
    </w:p>
    <w:p w:rsidR="00B45570" w:rsidRDefault="00B45570" w:rsidP="00B45570">
      <w:pPr>
        <w:pStyle w:val="Heading1"/>
      </w:pPr>
      <w:bookmarkStart w:id="10" w:name="_Toc140497916"/>
      <w:r>
        <w:t>Conclusion</w:t>
      </w:r>
      <w:bookmarkEnd w:id="10"/>
    </w:p>
    <w:p w:rsidR="00B45570" w:rsidRPr="00B45570" w:rsidRDefault="00B45570" w:rsidP="00B45570">
      <w:r>
        <w:t>The safe operation, storage, transport and usage of energetics has dominated the direction of progress for the industry since the inception of Dynamite and Mercury Fulminate. TNT has been a useful material for meeting the requirements of the 20</w:t>
      </w:r>
      <w:r w:rsidRPr="00B45570">
        <w:rPr>
          <w:vertAlign w:val="superscript"/>
        </w:rPr>
        <w:t>th</w:t>
      </w:r>
      <w:r>
        <w:t xml:space="preserve"> century, but as we make headway into the 21</w:t>
      </w:r>
      <w:r w:rsidRPr="00B45570">
        <w:rPr>
          <w:vertAlign w:val="superscript"/>
        </w:rPr>
        <w:t>st</w:t>
      </w:r>
      <w:r>
        <w:t>, we can observe the need for greener, economical, and safer alternatives.</w:t>
      </w:r>
    </w:p>
    <w:sdt>
      <w:sdtPr>
        <w:rPr>
          <w:rFonts w:asciiTheme="minorHAnsi" w:eastAsiaTheme="minorHAnsi" w:hAnsiTheme="minorHAnsi" w:cstheme="minorBidi"/>
          <w:color w:val="auto"/>
          <w:sz w:val="22"/>
          <w:szCs w:val="22"/>
        </w:rPr>
        <w:id w:val="103929984"/>
        <w:docPartObj>
          <w:docPartGallery w:val="Bibliographies"/>
          <w:docPartUnique/>
        </w:docPartObj>
      </w:sdtPr>
      <w:sdtEndPr/>
      <w:sdtContent>
        <w:p w:rsidR="000C5CC5" w:rsidRDefault="000C5CC5">
          <w:pPr>
            <w:pStyle w:val="Heading1"/>
            <w:rPr>
              <w:rFonts w:asciiTheme="minorHAnsi" w:eastAsiaTheme="minorHAnsi" w:hAnsiTheme="minorHAnsi" w:cstheme="minorBidi"/>
              <w:color w:val="auto"/>
              <w:sz w:val="22"/>
              <w:szCs w:val="22"/>
            </w:rPr>
          </w:pPr>
        </w:p>
        <w:p w:rsidR="000C5CC5" w:rsidRDefault="000C5CC5">
          <w:r>
            <w:br w:type="page"/>
          </w:r>
        </w:p>
        <w:p w:rsidR="000E7F0F" w:rsidRDefault="000E7F0F">
          <w:pPr>
            <w:pStyle w:val="Heading1"/>
          </w:pPr>
          <w:bookmarkStart w:id="11" w:name="_Toc140497917"/>
          <w:r>
            <w:t>References</w:t>
          </w:r>
          <w:bookmarkEnd w:id="11"/>
        </w:p>
        <w:sdt>
          <w:sdtPr>
            <w:id w:val="-573587230"/>
            <w:bibliography/>
          </w:sdtPr>
          <w:sdtEndPr/>
          <w:sdtContent>
            <w:p w:rsidR="000C5CC5" w:rsidRDefault="000E7F0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7"/>
                <w:gridCol w:w="8759"/>
              </w:tblGrid>
              <w:tr w:rsidR="000C5CC5">
                <w:trPr>
                  <w:divId w:val="752973443"/>
                  <w:tblCellSpacing w:w="15" w:type="dxa"/>
                </w:trPr>
                <w:tc>
                  <w:tcPr>
                    <w:tcW w:w="50" w:type="pct"/>
                    <w:hideMark/>
                  </w:tcPr>
                  <w:p w:rsidR="000C5CC5" w:rsidRDefault="000C5CC5">
                    <w:pPr>
                      <w:pStyle w:val="Bibliography"/>
                      <w:rPr>
                        <w:noProof/>
                        <w:sz w:val="24"/>
                        <w:szCs w:val="24"/>
                      </w:rPr>
                    </w:pPr>
                    <w:r>
                      <w:rPr>
                        <w:noProof/>
                      </w:rPr>
                      <w:t xml:space="preserve">[1] </w:t>
                    </w:r>
                  </w:p>
                </w:tc>
                <w:tc>
                  <w:tcPr>
                    <w:tcW w:w="0" w:type="auto"/>
                    <w:hideMark/>
                  </w:tcPr>
                  <w:p w:rsidR="000C5CC5" w:rsidRDefault="000C5CC5">
                    <w:pPr>
                      <w:pStyle w:val="Bibliography"/>
                      <w:rPr>
                        <w:noProof/>
                      </w:rPr>
                    </w:pPr>
                    <w:r>
                      <w:rPr>
                        <w:noProof/>
                      </w:rPr>
                      <w:t xml:space="preserve">R. Matyas and J. Pachman, Primary Explosives, Pardubice, Czech Republic: Springer, 2023. </w:t>
                    </w:r>
                  </w:p>
                </w:tc>
              </w:tr>
              <w:tr w:rsidR="000C5CC5">
                <w:trPr>
                  <w:divId w:val="752973443"/>
                  <w:tblCellSpacing w:w="15" w:type="dxa"/>
                </w:trPr>
                <w:tc>
                  <w:tcPr>
                    <w:tcW w:w="50" w:type="pct"/>
                    <w:hideMark/>
                  </w:tcPr>
                  <w:p w:rsidR="000C5CC5" w:rsidRDefault="000C5CC5">
                    <w:pPr>
                      <w:pStyle w:val="Bibliography"/>
                      <w:rPr>
                        <w:noProof/>
                      </w:rPr>
                    </w:pPr>
                    <w:r>
                      <w:rPr>
                        <w:noProof/>
                      </w:rPr>
                      <w:t xml:space="preserve">[2] </w:t>
                    </w:r>
                  </w:p>
                </w:tc>
                <w:tc>
                  <w:tcPr>
                    <w:tcW w:w="0" w:type="auto"/>
                    <w:hideMark/>
                  </w:tcPr>
                  <w:p w:rsidR="000C5CC5" w:rsidRDefault="000C5CC5">
                    <w:pPr>
                      <w:pStyle w:val="Bibliography"/>
                      <w:rPr>
                        <w:noProof/>
                      </w:rPr>
                    </w:pPr>
                    <w:r>
                      <w:rPr>
                        <w:noProof/>
                      </w:rPr>
                      <w:t>“BAE Systems - Product - Shell 155mm L15,” BAE Systems, [Online]. Available: https://www.baesystems.com/en-uk/product/shell-155mm-how-he-l15. [Accessed 17 07 2023].</w:t>
                    </w:r>
                  </w:p>
                </w:tc>
              </w:tr>
              <w:tr w:rsidR="000C5CC5">
                <w:trPr>
                  <w:divId w:val="752973443"/>
                  <w:tblCellSpacing w:w="15" w:type="dxa"/>
                </w:trPr>
                <w:tc>
                  <w:tcPr>
                    <w:tcW w:w="50" w:type="pct"/>
                    <w:hideMark/>
                  </w:tcPr>
                  <w:p w:rsidR="000C5CC5" w:rsidRDefault="000C5CC5">
                    <w:pPr>
                      <w:pStyle w:val="Bibliography"/>
                      <w:rPr>
                        <w:noProof/>
                      </w:rPr>
                    </w:pPr>
                    <w:r>
                      <w:rPr>
                        <w:noProof/>
                      </w:rPr>
                      <w:t xml:space="preserve">[3] </w:t>
                    </w:r>
                  </w:p>
                </w:tc>
                <w:tc>
                  <w:tcPr>
                    <w:tcW w:w="0" w:type="auto"/>
                    <w:hideMark/>
                  </w:tcPr>
                  <w:p w:rsidR="000C5CC5" w:rsidRDefault="000C5CC5">
                    <w:pPr>
                      <w:pStyle w:val="Bibliography"/>
                      <w:rPr>
                        <w:noProof/>
                      </w:rPr>
                    </w:pPr>
                    <w:r>
                      <w:rPr>
                        <w:noProof/>
                      </w:rPr>
                      <w:t xml:space="preserve">M. L. Hobbs, M. J. Kaneshige and M. U. Anderson, “Abstract,” in </w:t>
                    </w:r>
                    <w:r>
                      <w:rPr>
                        <w:i/>
                        <w:iCs/>
                        <w:noProof/>
                      </w:rPr>
                      <w:t>COOKOFF OF A MELT-CASTABLE EXPLOSIVE (COMP-B)</w:t>
                    </w:r>
                    <w:r>
                      <w:rPr>
                        <w:noProof/>
                      </w:rPr>
                      <w:t>, Albuquerque, NM, Sandia National Laboratories, 2012, p. Pg. 1.</w:t>
                    </w:r>
                  </w:p>
                </w:tc>
              </w:tr>
              <w:tr w:rsidR="000C5CC5">
                <w:trPr>
                  <w:divId w:val="752973443"/>
                  <w:tblCellSpacing w:w="15" w:type="dxa"/>
                </w:trPr>
                <w:tc>
                  <w:tcPr>
                    <w:tcW w:w="50" w:type="pct"/>
                    <w:hideMark/>
                  </w:tcPr>
                  <w:p w:rsidR="000C5CC5" w:rsidRDefault="000C5CC5">
                    <w:pPr>
                      <w:pStyle w:val="Bibliography"/>
                      <w:rPr>
                        <w:noProof/>
                      </w:rPr>
                    </w:pPr>
                    <w:r>
                      <w:rPr>
                        <w:noProof/>
                      </w:rPr>
                      <w:t xml:space="preserve">[4] </w:t>
                    </w:r>
                  </w:p>
                </w:tc>
                <w:tc>
                  <w:tcPr>
                    <w:tcW w:w="0" w:type="auto"/>
                    <w:hideMark/>
                  </w:tcPr>
                  <w:p w:rsidR="000C5CC5" w:rsidRDefault="000C5CC5">
                    <w:pPr>
                      <w:pStyle w:val="Bibliography"/>
                      <w:rPr>
                        <w:noProof/>
                      </w:rPr>
                    </w:pPr>
                    <w:r>
                      <w:rPr>
                        <w:noProof/>
                      </w:rPr>
                      <w:t xml:space="preserve">M. o. Defence, “Service Textbook of Explosives,” in </w:t>
                    </w:r>
                    <w:r>
                      <w:rPr>
                        <w:i/>
                        <w:iCs/>
                        <w:noProof/>
                      </w:rPr>
                      <w:t>Service Textbook of Explosives</w:t>
                    </w:r>
                    <w:r>
                      <w:rPr>
                        <w:noProof/>
                      </w:rPr>
                      <w:t>, DE&amp;S, 2020, pp. Ch. 2, Pg. 17.</w:t>
                    </w:r>
                  </w:p>
                </w:tc>
              </w:tr>
              <w:tr w:rsidR="000C5CC5">
                <w:trPr>
                  <w:divId w:val="752973443"/>
                  <w:tblCellSpacing w:w="15" w:type="dxa"/>
                </w:trPr>
                <w:tc>
                  <w:tcPr>
                    <w:tcW w:w="50" w:type="pct"/>
                    <w:hideMark/>
                  </w:tcPr>
                  <w:p w:rsidR="000C5CC5" w:rsidRDefault="000C5CC5">
                    <w:pPr>
                      <w:pStyle w:val="Bibliography"/>
                      <w:rPr>
                        <w:noProof/>
                      </w:rPr>
                    </w:pPr>
                    <w:r>
                      <w:rPr>
                        <w:noProof/>
                      </w:rPr>
                      <w:t xml:space="preserve">[5] </w:t>
                    </w:r>
                  </w:p>
                </w:tc>
                <w:tc>
                  <w:tcPr>
                    <w:tcW w:w="0" w:type="auto"/>
                    <w:hideMark/>
                  </w:tcPr>
                  <w:p w:rsidR="000C5CC5" w:rsidRDefault="000C5CC5">
                    <w:pPr>
                      <w:pStyle w:val="Bibliography"/>
                      <w:rPr>
                        <w:noProof/>
                      </w:rPr>
                    </w:pPr>
                    <w:r>
                      <w:rPr>
                        <w:noProof/>
                      </w:rPr>
                      <w:t xml:space="preserve">R. Matyas and J. Pachman, “Primary Explosives,” in </w:t>
                    </w:r>
                    <w:r>
                      <w:rPr>
                        <w:i/>
                        <w:iCs/>
                        <w:noProof/>
                      </w:rPr>
                      <w:t>Primary Explosives</w:t>
                    </w:r>
                    <w:r>
                      <w:rPr>
                        <w:noProof/>
                      </w:rPr>
                      <w:t>, 2023, p. Pg. 139.</w:t>
                    </w:r>
                  </w:p>
                </w:tc>
              </w:tr>
              <w:tr w:rsidR="000C5CC5">
                <w:trPr>
                  <w:divId w:val="752973443"/>
                  <w:tblCellSpacing w:w="15" w:type="dxa"/>
                </w:trPr>
                <w:tc>
                  <w:tcPr>
                    <w:tcW w:w="50" w:type="pct"/>
                    <w:hideMark/>
                  </w:tcPr>
                  <w:p w:rsidR="000C5CC5" w:rsidRDefault="000C5CC5">
                    <w:pPr>
                      <w:pStyle w:val="Bibliography"/>
                      <w:rPr>
                        <w:noProof/>
                      </w:rPr>
                    </w:pPr>
                    <w:r>
                      <w:rPr>
                        <w:noProof/>
                      </w:rPr>
                      <w:t xml:space="preserve">[6] </w:t>
                    </w:r>
                  </w:p>
                </w:tc>
                <w:tc>
                  <w:tcPr>
                    <w:tcW w:w="0" w:type="auto"/>
                    <w:hideMark/>
                  </w:tcPr>
                  <w:p w:rsidR="000C5CC5" w:rsidRDefault="000C5CC5">
                    <w:pPr>
                      <w:pStyle w:val="Bibliography"/>
                      <w:rPr>
                        <w:noProof/>
                      </w:rPr>
                    </w:pPr>
                    <w:r>
                      <w:rPr>
                        <w:noProof/>
                      </w:rPr>
                      <w:t xml:space="preserve">MOD, “Service Textbook of Explosives,” in </w:t>
                    </w:r>
                    <w:r>
                      <w:rPr>
                        <w:i/>
                        <w:iCs/>
                        <w:noProof/>
                      </w:rPr>
                      <w:t>Service Textbook of Explosives</w:t>
                    </w:r>
                    <w:r>
                      <w:rPr>
                        <w:noProof/>
                      </w:rPr>
                      <w:t>, DE&amp;S, 2020, pp. Ch. 4, Pg. 8.</w:t>
                    </w:r>
                  </w:p>
                </w:tc>
              </w:tr>
              <w:tr w:rsidR="000C5CC5">
                <w:trPr>
                  <w:divId w:val="752973443"/>
                  <w:tblCellSpacing w:w="15" w:type="dxa"/>
                </w:trPr>
                <w:tc>
                  <w:tcPr>
                    <w:tcW w:w="50" w:type="pct"/>
                    <w:hideMark/>
                  </w:tcPr>
                  <w:p w:rsidR="000C5CC5" w:rsidRDefault="000C5CC5">
                    <w:pPr>
                      <w:pStyle w:val="Bibliography"/>
                      <w:rPr>
                        <w:noProof/>
                      </w:rPr>
                    </w:pPr>
                    <w:r>
                      <w:rPr>
                        <w:noProof/>
                      </w:rPr>
                      <w:t xml:space="preserve">[7] </w:t>
                    </w:r>
                  </w:p>
                </w:tc>
                <w:tc>
                  <w:tcPr>
                    <w:tcW w:w="0" w:type="auto"/>
                    <w:hideMark/>
                  </w:tcPr>
                  <w:p w:rsidR="000C5CC5" w:rsidRDefault="000C5CC5">
                    <w:pPr>
                      <w:pStyle w:val="Bibliography"/>
                      <w:rPr>
                        <w:noProof/>
                      </w:rPr>
                    </w:pPr>
                    <w:r>
                      <w:rPr>
                        <w:noProof/>
                      </w:rPr>
                      <w:t>S. Writers, “Space War,” Space War, 3 August 2010. [Online]. Available: https://www.spacewar.com/reports/BAE_IMX_101_Explosive_Approved_To_Replace_TNT_In_US_Army_Artillery_999.html. [Accessed 16 07 2023].</w:t>
                    </w:r>
                  </w:p>
                </w:tc>
              </w:tr>
              <w:tr w:rsidR="000C5CC5">
                <w:trPr>
                  <w:divId w:val="752973443"/>
                  <w:tblCellSpacing w:w="15" w:type="dxa"/>
                </w:trPr>
                <w:tc>
                  <w:tcPr>
                    <w:tcW w:w="50" w:type="pct"/>
                    <w:hideMark/>
                  </w:tcPr>
                  <w:p w:rsidR="000C5CC5" w:rsidRDefault="000C5CC5">
                    <w:pPr>
                      <w:pStyle w:val="Bibliography"/>
                      <w:rPr>
                        <w:noProof/>
                      </w:rPr>
                    </w:pPr>
                    <w:r>
                      <w:rPr>
                        <w:noProof/>
                      </w:rPr>
                      <w:t xml:space="preserve">[8] </w:t>
                    </w:r>
                  </w:p>
                </w:tc>
                <w:tc>
                  <w:tcPr>
                    <w:tcW w:w="0" w:type="auto"/>
                    <w:hideMark/>
                  </w:tcPr>
                  <w:p w:rsidR="000C5CC5" w:rsidRDefault="000C5CC5">
                    <w:pPr>
                      <w:pStyle w:val="Bibliography"/>
                      <w:rPr>
                        <w:noProof/>
                      </w:rPr>
                    </w:pPr>
                    <w:r>
                      <w:rPr>
                        <w:noProof/>
                      </w:rPr>
                      <w:t xml:space="preserve">X. Yang, J. Zhou, X. Xing, Y. Huang, Z. Yan, Q. Xue, X. Wang and B. Wang, “A promising TNT alternative 3,3′-bi(1,2,4-oxadiazole)-5,5′-diylbis(methylene)dinitrate (BOM): thermal behaviors and eutectic characteristics,” </w:t>
                    </w:r>
                    <w:r>
                      <w:rPr>
                        <w:i/>
                        <w:iCs/>
                        <w:noProof/>
                      </w:rPr>
                      <w:t xml:space="preserve">RSC Advances, </w:t>
                    </w:r>
                    <w:r>
                      <w:rPr>
                        <w:noProof/>
                      </w:rPr>
                      <w:t xml:space="preserve">no. 44, p. 1, 2020. </w:t>
                    </w:r>
                  </w:p>
                </w:tc>
              </w:tr>
              <w:tr w:rsidR="000C5CC5">
                <w:trPr>
                  <w:divId w:val="752973443"/>
                  <w:tblCellSpacing w:w="15" w:type="dxa"/>
                </w:trPr>
                <w:tc>
                  <w:tcPr>
                    <w:tcW w:w="50" w:type="pct"/>
                    <w:hideMark/>
                  </w:tcPr>
                  <w:p w:rsidR="000C5CC5" w:rsidRDefault="000C5CC5">
                    <w:pPr>
                      <w:pStyle w:val="Bibliography"/>
                      <w:rPr>
                        <w:noProof/>
                      </w:rPr>
                    </w:pPr>
                    <w:r>
                      <w:rPr>
                        <w:noProof/>
                      </w:rPr>
                      <w:t xml:space="preserve">[9] </w:t>
                    </w:r>
                  </w:p>
                </w:tc>
                <w:tc>
                  <w:tcPr>
                    <w:tcW w:w="0" w:type="auto"/>
                    <w:hideMark/>
                  </w:tcPr>
                  <w:p w:rsidR="000C5CC5" w:rsidRDefault="000C5CC5">
                    <w:pPr>
                      <w:pStyle w:val="Bibliography"/>
                      <w:rPr>
                        <w:noProof/>
                      </w:rPr>
                    </w:pPr>
                    <w:r>
                      <w:rPr>
                        <w:noProof/>
                      </w:rPr>
                      <w:t xml:space="preserve">M. o. Defence, “Service Textbook of Explosives,” in </w:t>
                    </w:r>
                    <w:r>
                      <w:rPr>
                        <w:i/>
                        <w:iCs/>
                        <w:noProof/>
                      </w:rPr>
                      <w:t>Service Textbook of Explosives</w:t>
                    </w:r>
                    <w:r>
                      <w:rPr>
                        <w:noProof/>
                      </w:rPr>
                      <w:t>, DE&amp;S, 2020, pp. Ch. 4, Pg. 10.</w:t>
                    </w:r>
                  </w:p>
                </w:tc>
              </w:tr>
            </w:tbl>
            <w:p w:rsidR="000C5CC5" w:rsidRDefault="000C5CC5">
              <w:pPr>
                <w:divId w:val="752973443"/>
                <w:rPr>
                  <w:rFonts w:eastAsia="Times New Roman"/>
                  <w:noProof/>
                </w:rPr>
              </w:pPr>
            </w:p>
            <w:p w:rsidR="000E7F0F" w:rsidRDefault="000E7F0F">
              <w:r>
                <w:rPr>
                  <w:b/>
                  <w:bCs/>
                  <w:noProof/>
                </w:rPr>
                <w:fldChar w:fldCharType="end"/>
              </w:r>
            </w:p>
          </w:sdtContent>
        </w:sdt>
      </w:sdtContent>
    </w:sdt>
    <w:p w:rsidR="000806F5" w:rsidRPr="000806F5" w:rsidRDefault="000806F5" w:rsidP="000806F5"/>
    <w:sectPr w:rsidR="000806F5" w:rsidRPr="000806F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C2C" w:rsidRDefault="00804C2C" w:rsidP="00A70B51">
      <w:pPr>
        <w:spacing w:after="0" w:line="240" w:lineRule="auto"/>
      </w:pPr>
      <w:r>
        <w:separator/>
      </w:r>
    </w:p>
  </w:endnote>
  <w:endnote w:type="continuationSeparator" w:id="0">
    <w:p w:rsidR="00804C2C" w:rsidRDefault="00804C2C" w:rsidP="00A70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4119019"/>
      <w:docPartObj>
        <w:docPartGallery w:val="Page Numbers (Bottom of Page)"/>
        <w:docPartUnique/>
      </w:docPartObj>
    </w:sdtPr>
    <w:sdtEndPr>
      <w:rPr>
        <w:noProof/>
      </w:rPr>
    </w:sdtEndPr>
    <w:sdtContent>
      <w:p w:rsidR="000C5CC5" w:rsidRDefault="000C5CC5">
        <w:pPr>
          <w:pStyle w:val="Footer"/>
          <w:jc w:val="center"/>
        </w:pPr>
        <w:r>
          <w:fldChar w:fldCharType="begin"/>
        </w:r>
        <w:r>
          <w:instrText xml:space="preserve"> PAGE   \* MERGEFORMAT </w:instrText>
        </w:r>
        <w:r>
          <w:fldChar w:fldCharType="separate"/>
        </w:r>
        <w:r w:rsidR="00804C2C">
          <w:rPr>
            <w:noProof/>
          </w:rPr>
          <w:t>1</w:t>
        </w:r>
        <w:r>
          <w:rPr>
            <w:noProof/>
          </w:rPr>
          <w:fldChar w:fldCharType="end"/>
        </w:r>
      </w:p>
    </w:sdtContent>
  </w:sdt>
  <w:p w:rsidR="000C5CC5" w:rsidRDefault="000C5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C2C" w:rsidRDefault="00804C2C" w:rsidP="00A70B51">
      <w:pPr>
        <w:spacing w:after="0" w:line="240" w:lineRule="auto"/>
      </w:pPr>
      <w:r>
        <w:separator/>
      </w:r>
    </w:p>
  </w:footnote>
  <w:footnote w:type="continuationSeparator" w:id="0">
    <w:p w:rsidR="00804C2C" w:rsidRDefault="00804C2C" w:rsidP="00A70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CC5" w:rsidRDefault="000C5CC5" w:rsidP="000C5CC5">
    <w:pPr>
      <w:pStyle w:val="Header"/>
      <w:jc w:val="center"/>
    </w:pPr>
    <w:r>
      <w:t>Luke Reidy – Principles of OME Assignment – 16/07/2023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712A24"/>
    <w:multiLevelType w:val="hybridMultilevel"/>
    <w:tmpl w:val="F050E820"/>
    <w:lvl w:ilvl="0" w:tplc="A60457E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574"/>
    <w:rsid w:val="000458EA"/>
    <w:rsid w:val="000806F5"/>
    <w:rsid w:val="000A1E96"/>
    <w:rsid w:val="000C5CC5"/>
    <w:rsid w:val="000E7F0F"/>
    <w:rsid w:val="000F06BC"/>
    <w:rsid w:val="001211AC"/>
    <w:rsid w:val="001A4247"/>
    <w:rsid w:val="002B2052"/>
    <w:rsid w:val="0030490F"/>
    <w:rsid w:val="003C7B02"/>
    <w:rsid w:val="003D22A4"/>
    <w:rsid w:val="00542B7D"/>
    <w:rsid w:val="005A2751"/>
    <w:rsid w:val="005A714E"/>
    <w:rsid w:val="005C5CF6"/>
    <w:rsid w:val="00615130"/>
    <w:rsid w:val="00657AD0"/>
    <w:rsid w:val="006E26A4"/>
    <w:rsid w:val="0070096D"/>
    <w:rsid w:val="00707D01"/>
    <w:rsid w:val="00804C2C"/>
    <w:rsid w:val="009374B7"/>
    <w:rsid w:val="009C238D"/>
    <w:rsid w:val="009D6665"/>
    <w:rsid w:val="00A70B51"/>
    <w:rsid w:val="00AD0A16"/>
    <w:rsid w:val="00B45570"/>
    <w:rsid w:val="00B8430E"/>
    <w:rsid w:val="00CA2618"/>
    <w:rsid w:val="00CD048A"/>
    <w:rsid w:val="00D3067C"/>
    <w:rsid w:val="00DE2370"/>
    <w:rsid w:val="00E40574"/>
    <w:rsid w:val="00F84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65DCF"/>
  <w15:chartTrackingRefBased/>
  <w15:docId w15:val="{6B4E1ABE-3204-4C96-9315-0661D7ECC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7D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23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tlHeader1">
    <w:name w:val="Dstl Header 1"/>
    <w:basedOn w:val="Heading1"/>
    <w:link w:val="DstlHeader1Char"/>
    <w:qFormat/>
    <w:rsid w:val="00707D01"/>
    <w:rPr>
      <w:rFonts w:ascii="Arial" w:hAnsi="Arial" w:cs="Arial"/>
      <w:b/>
      <w:color w:val="CD2456"/>
      <w:sz w:val="28"/>
    </w:rPr>
  </w:style>
  <w:style w:type="character" w:customStyle="1" w:styleId="DstlHeader1Char">
    <w:name w:val="Dstl Header 1 Char"/>
    <w:basedOn w:val="Heading1Char"/>
    <w:link w:val="DstlHeader1"/>
    <w:rsid w:val="00707D01"/>
    <w:rPr>
      <w:rFonts w:ascii="Arial" w:eastAsiaTheme="majorEastAsia" w:hAnsi="Arial" w:cs="Arial"/>
      <w:b/>
      <w:color w:val="CD2456"/>
      <w:sz w:val="28"/>
      <w:szCs w:val="32"/>
    </w:rPr>
  </w:style>
  <w:style w:type="character" w:customStyle="1" w:styleId="Heading1Char">
    <w:name w:val="Heading 1 Char"/>
    <w:basedOn w:val="DefaultParagraphFont"/>
    <w:link w:val="Heading1"/>
    <w:uiPriority w:val="9"/>
    <w:rsid w:val="00707D01"/>
    <w:rPr>
      <w:rFonts w:asciiTheme="majorHAnsi" w:eastAsiaTheme="majorEastAsia" w:hAnsiTheme="majorHAnsi" w:cstheme="majorBidi"/>
      <w:color w:val="2E74B5" w:themeColor="accent1" w:themeShade="BF"/>
      <w:sz w:val="32"/>
      <w:szCs w:val="32"/>
    </w:rPr>
  </w:style>
  <w:style w:type="paragraph" w:customStyle="1" w:styleId="DstlTitle">
    <w:name w:val="Dstl Title"/>
    <w:basedOn w:val="Title"/>
    <w:link w:val="DstlTitleChar"/>
    <w:qFormat/>
    <w:rsid w:val="00707D01"/>
    <w:pPr>
      <w:tabs>
        <w:tab w:val="left" w:pos="285"/>
        <w:tab w:val="center" w:pos="4513"/>
      </w:tabs>
    </w:pPr>
    <w:rPr>
      <w:rFonts w:ascii="Arial" w:hAnsi="Arial" w:cs="Arial"/>
      <w:b/>
      <w:noProof/>
      <w:color w:val="14022E"/>
      <w:lang w:eastAsia="en-GB"/>
    </w:rPr>
  </w:style>
  <w:style w:type="character" w:customStyle="1" w:styleId="DstlTitleChar">
    <w:name w:val="Dstl Title Char"/>
    <w:basedOn w:val="TitleChar"/>
    <w:link w:val="DstlTitle"/>
    <w:rsid w:val="00707D01"/>
    <w:rPr>
      <w:rFonts w:ascii="Arial" w:eastAsiaTheme="majorEastAsia" w:hAnsi="Arial" w:cs="Arial"/>
      <w:b/>
      <w:noProof/>
      <w:color w:val="14022E"/>
      <w:spacing w:val="-10"/>
      <w:kern w:val="28"/>
      <w:sz w:val="56"/>
      <w:szCs w:val="56"/>
      <w:lang w:eastAsia="en-GB"/>
    </w:rPr>
  </w:style>
  <w:style w:type="paragraph" w:styleId="Title">
    <w:name w:val="Title"/>
    <w:basedOn w:val="Normal"/>
    <w:next w:val="Normal"/>
    <w:link w:val="TitleChar"/>
    <w:uiPriority w:val="10"/>
    <w:qFormat/>
    <w:rsid w:val="00707D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D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6F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806F5"/>
    <w:rPr>
      <w:rFonts w:eastAsiaTheme="minorEastAsia"/>
      <w:color w:val="5A5A5A" w:themeColor="text1" w:themeTint="A5"/>
      <w:spacing w:val="15"/>
    </w:rPr>
  </w:style>
  <w:style w:type="paragraph" w:styleId="NoSpacing">
    <w:name w:val="No Spacing"/>
    <w:uiPriority w:val="1"/>
    <w:qFormat/>
    <w:rsid w:val="000806F5"/>
    <w:pPr>
      <w:spacing w:after="0" w:line="240" w:lineRule="auto"/>
    </w:pPr>
  </w:style>
  <w:style w:type="paragraph" w:styleId="TOCHeading">
    <w:name w:val="TOC Heading"/>
    <w:basedOn w:val="Heading1"/>
    <w:next w:val="Normal"/>
    <w:uiPriority w:val="39"/>
    <w:unhideWhenUsed/>
    <w:qFormat/>
    <w:rsid w:val="000806F5"/>
    <w:pPr>
      <w:outlineLvl w:val="9"/>
    </w:pPr>
    <w:rPr>
      <w:lang w:val="en-US"/>
    </w:rPr>
  </w:style>
  <w:style w:type="paragraph" w:styleId="TOC1">
    <w:name w:val="toc 1"/>
    <w:basedOn w:val="Normal"/>
    <w:next w:val="Normal"/>
    <w:autoRedefine/>
    <w:uiPriority w:val="39"/>
    <w:unhideWhenUsed/>
    <w:rsid w:val="000806F5"/>
    <w:pPr>
      <w:spacing w:after="100"/>
    </w:pPr>
  </w:style>
  <w:style w:type="character" w:styleId="Hyperlink">
    <w:name w:val="Hyperlink"/>
    <w:basedOn w:val="DefaultParagraphFont"/>
    <w:uiPriority w:val="99"/>
    <w:unhideWhenUsed/>
    <w:rsid w:val="000806F5"/>
    <w:rPr>
      <w:color w:val="0563C1" w:themeColor="hyperlink"/>
      <w:u w:val="single"/>
    </w:rPr>
  </w:style>
  <w:style w:type="paragraph" w:styleId="ListParagraph">
    <w:name w:val="List Paragraph"/>
    <w:basedOn w:val="Normal"/>
    <w:uiPriority w:val="34"/>
    <w:qFormat/>
    <w:rsid w:val="00D3067C"/>
    <w:pPr>
      <w:ind w:left="720"/>
      <w:contextualSpacing/>
    </w:pPr>
  </w:style>
  <w:style w:type="character" w:customStyle="1" w:styleId="Heading2Char">
    <w:name w:val="Heading 2 Char"/>
    <w:basedOn w:val="DefaultParagraphFont"/>
    <w:link w:val="Heading2"/>
    <w:uiPriority w:val="9"/>
    <w:rsid w:val="00DE237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374B7"/>
    <w:pPr>
      <w:spacing w:after="100"/>
      <w:ind w:left="220"/>
    </w:pPr>
  </w:style>
  <w:style w:type="paragraph" w:styleId="Bibliography">
    <w:name w:val="Bibliography"/>
    <w:basedOn w:val="Normal"/>
    <w:next w:val="Normal"/>
    <w:uiPriority w:val="37"/>
    <w:unhideWhenUsed/>
    <w:rsid w:val="00CA2618"/>
  </w:style>
  <w:style w:type="paragraph" w:styleId="Caption">
    <w:name w:val="caption"/>
    <w:basedOn w:val="Normal"/>
    <w:next w:val="Normal"/>
    <w:uiPriority w:val="35"/>
    <w:unhideWhenUsed/>
    <w:qFormat/>
    <w:rsid w:val="00CA2618"/>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CD048A"/>
    <w:rPr>
      <w:color w:val="954F72" w:themeColor="followedHyperlink"/>
      <w:u w:val="single"/>
    </w:rPr>
  </w:style>
  <w:style w:type="paragraph" w:styleId="Quote">
    <w:name w:val="Quote"/>
    <w:basedOn w:val="Normal"/>
    <w:next w:val="Normal"/>
    <w:link w:val="QuoteChar"/>
    <w:uiPriority w:val="29"/>
    <w:qFormat/>
    <w:rsid w:val="00A70B5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70B51"/>
    <w:rPr>
      <w:i/>
      <w:iCs/>
      <w:color w:val="404040" w:themeColor="text1" w:themeTint="BF"/>
    </w:rPr>
  </w:style>
  <w:style w:type="paragraph" w:styleId="FootnoteText">
    <w:name w:val="footnote text"/>
    <w:basedOn w:val="Normal"/>
    <w:link w:val="FootnoteTextChar"/>
    <w:uiPriority w:val="99"/>
    <w:semiHidden/>
    <w:unhideWhenUsed/>
    <w:rsid w:val="00A70B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0B51"/>
    <w:rPr>
      <w:sz w:val="20"/>
      <w:szCs w:val="20"/>
    </w:rPr>
  </w:style>
  <w:style w:type="character" w:styleId="FootnoteReference">
    <w:name w:val="footnote reference"/>
    <w:basedOn w:val="DefaultParagraphFont"/>
    <w:uiPriority w:val="99"/>
    <w:semiHidden/>
    <w:unhideWhenUsed/>
    <w:rsid w:val="00A70B51"/>
    <w:rPr>
      <w:vertAlign w:val="superscript"/>
    </w:rPr>
  </w:style>
  <w:style w:type="paragraph" w:styleId="Header">
    <w:name w:val="header"/>
    <w:basedOn w:val="Normal"/>
    <w:link w:val="HeaderChar"/>
    <w:uiPriority w:val="99"/>
    <w:unhideWhenUsed/>
    <w:rsid w:val="000C5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CC5"/>
  </w:style>
  <w:style w:type="paragraph" w:styleId="Footer">
    <w:name w:val="footer"/>
    <w:basedOn w:val="Normal"/>
    <w:link w:val="FooterChar"/>
    <w:uiPriority w:val="99"/>
    <w:unhideWhenUsed/>
    <w:rsid w:val="000C5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1434">
      <w:bodyDiv w:val="1"/>
      <w:marLeft w:val="0"/>
      <w:marRight w:val="0"/>
      <w:marTop w:val="0"/>
      <w:marBottom w:val="0"/>
      <w:divBdr>
        <w:top w:val="none" w:sz="0" w:space="0" w:color="auto"/>
        <w:left w:val="none" w:sz="0" w:space="0" w:color="auto"/>
        <w:bottom w:val="none" w:sz="0" w:space="0" w:color="auto"/>
        <w:right w:val="none" w:sz="0" w:space="0" w:color="auto"/>
      </w:divBdr>
    </w:div>
    <w:div w:id="66611719">
      <w:bodyDiv w:val="1"/>
      <w:marLeft w:val="0"/>
      <w:marRight w:val="0"/>
      <w:marTop w:val="0"/>
      <w:marBottom w:val="0"/>
      <w:divBdr>
        <w:top w:val="none" w:sz="0" w:space="0" w:color="auto"/>
        <w:left w:val="none" w:sz="0" w:space="0" w:color="auto"/>
        <w:bottom w:val="none" w:sz="0" w:space="0" w:color="auto"/>
        <w:right w:val="none" w:sz="0" w:space="0" w:color="auto"/>
      </w:divBdr>
    </w:div>
    <w:div w:id="69474921">
      <w:bodyDiv w:val="1"/>
      <w:marLeft w:val="0"/>
      <w:marRight w:val="0"/>
      <w:marTop w:val="0"/>
      <w:marBottom w:val="0"/>
      <w:divBdr>
        <w:top w:val="none" w:sz="0" w:space="0" w:color="auto"/>
        <w:left w:val="none" w:sz="0" w:space="0" w:color="auto"/>
        <w:bottom w:val="none" w:sz="0" w:space="0" w:color="auto"/>
        <w:right w:val="none" w:sz="0" w:space="0" w:color="auto"/>
      </w:divBdr>
    </w:div>
    <w:div w:id="87703106">
      <w:bodyDiv w:val="1"/>
      <w:marLeft w:val="0"/>
      <w:marRight w:val="0"/>
      <w:marTop w:val="0"/>
      <w:marBottom w:val="0"/>
      <w:divBdr>
        <w:top w:val="none" w:sz="0" w:space="0" w:color="auto"/>
        <w:left w:val="none" w:sz="0" w:space="0" w:color="auto"/>
        <w:bottom w:val="none" w:sz="0" w:space="0" w:color="auto"/>
        <w:right w:val="none" w:sz="0" w:space="0" w:color="auto"/>
      </w:divBdr>
    </w:div>
    <w:div w:id="106972570">
      <w:bodyDiv w:val="1"/>
      <w:marLeft w:val="0"/>
      <w:marRight w:val="0"/>
      <w:marTop w:val="0"/>
      <w:marBottom w:val="0"/>
      <w:divBdr>
        <w:top w:val="none" w:sz="0" w:space="0" w:color="auto"/>
        <w:left w:val="none" w:sz="0" w:space="0" w:color="auto"/>
        <w:bottom w:val="none" w:sz="0" w:space="0" w:color="auto"/>
        <w:right w:val="none" w:sz="0" w:space="0" w:color="auto"/>
      </w:divBdr>
    </w:div>
    <w:div w:id="147209008">
      <w:bodyDiv w:val="1"/>
      <w:marLeft w:val="0"/>
      <w:marRight w:val="0"/>
      <w:marTop w:val="0"/>
      <w:marBottom w:val="0"/>
      <w:divBdr>
        <w:top w:val="none" w:sz="0" w:space="0" w:color="auto"/>
        <w:left w:val="none" w:sz="0" w:space="0" w:color="auto"/>
        <w:bottom w:val="none" w:sz="0" w:space="0" w:color="auto"/>
        <w:right w:val="none" w:sz="0" w:space="0" w:color="auto"/>
      </w:divBdr>
    </w:div>
    <w:div w:id="177669887">
      <w:bodyDiv w:val="1"/>
      <w:marLeft w:val="0"/>
      <w:marRight w:val="0"/>
      <w:marTop w:val="0"/>
      <w:marBottom w:val="0"/>
      <w:divBdr>
        <w:top w:val="none" w:sz="0" w:space="0" w:color="auto"/>
        <w:left w:val="none" w:sz="0" w:space="0" w:color="auto"/>
        <w:bottom w:val="none" w:sz="0" w:space="0" w:color="auto"/>
        <w:right w:val="none" w:sz="0" w:space="0" w:color="auto"/>
      </w:divBdr>
    </w:div>
    <w:div w:id="251014193">
      <w:bodyDiv w:val="1"/>
      <w:marLeft w:val="0"/>
      <w:marRight w:val="0"/>
      <w:marTop w:val="0"/>
      <w:marBottom w:val="0"/>
      <w:divBdr>
        <w:top w:val="none" w:sz="0" w:space="0" w:color="auto"/>
        <w:left w:val="none" w:sz="0" w:space="0" w:color="auto"/>
        <w:bottom w:val="none" w:sz="0" w:space="0" w:color="auto"/>
        <w:right w:val="none" w:sz="0" w:space="0" w:color="auto"/>
      </w:divBdr>
    </w:div>
    <w:div w:id="275216276">
      <w:bodyDiv w:val="1"/>
      <w:marLeft w:val="0"/>
      <w:marRight w:val="0"/>
      <w:marTop w:val="0"/>
      <w:marBottom w:val="0"/>
      <w:divBdr>
        <w:top w:val="none" w:sz="0" w:space="0" w:color="auto"/>
        <w:left w:val="none" w:sz="0" w:space="0" w:color="auto"/>
        <w:bottom w:val="none" w:sz="0" w:space="0" w:color="auto"/>
        <w:right w:val="none" w:sz="0" w:space="0" w:color="auto"/>
      </w:divBdr>
    </w:div>
    <w:div w:id="297271380">
      <w:bodyDiv w:val="1"/>
      <w:marLeft w:val="0"/>
      <w:marRight w:val="0"/>
      <w:marTop w:val="0"/>
      <w:marBottom w:val="0"/>
      <w:divBdr>
        <w:top w:val="none" w:sz="0" w:space="0" w:color="auto"/>
        <w:left w:val="none" w:sz="0" w:space="0" w:color="auto"/>
        <w:bottom w:val="none" w:sz="0" w:space="0" w:color="auto"/>
        <w:right w:val="none" w:sz="0" w:space="0" w:color="auto"/>
      </w:divBdr>
    </w:div>
    <w:div w:id="343559045">
      <w:bodyDiv w:val="1"/>
      <w:marLeft w:val="0"/>
      <w:marRight w:val="0"/>
      <w:marTop w:val="0"/>
      <w:marBottom w:val="0"/>
      <w:divBdr>
        <w:top w:val="none" w:sz="0" w:space="0" w:color="auto"/>
        <w:left w:val="none" w:sz="0" w:space="0" w:color="auto"/>
        <w:bottom w:val="none" w:sz="0" w:space="0" w:color="auto"/>
        <w:right w:val="none" w:sz="0" w:space="0" w:color="auto"/>
      </w:divBdr>
    </w:div>
    <w:div w:id="355496956">
      <w:bodyDiv w:val="1"/>
      <w:marLeft w:val="0"/>
      <w:marRight w:val="0"/>
      <w:marTop w:val="0"/>
      <w:marBottom w:val="0"/>
      <w:divBdr>
        <w:top w:val="none" w:sz="0" w:space="0" w:color="auto"/>
        <w:left w:val="none" w:sz="0" w:space="0" w:color="auto"/>
        <w:bottom w:val="none" w:sz="0" w:space="0" w:color="auto"/>
        <w:right w:val="none" w:sz="0" w:space="0" w:color="auto"/>
      </w:divBdr>
    </w:div>
    <w:div w:id="374737037">
      <w:bodyDiv w:val="1"/>
      <w:marLeft w:val="0"/>
      <w:marRight w:val="0"/>
      <w:marTop w:val="0"/>
      <w:marBottom w:val="0"/>
      <w:divBdr>
        <w:top w:val="none" w:sz="0" w:space="0" w:color="auto"/>
        <w:left w:val="none" w:sz="0" w:space="0" w:color="auto"/>
        <w:bottom w:val="none" w:sz="0" w:space="0" w:color="auto"/>
        <w:right w:val="none" w:sz="0" w:space="0" w:color="auto"/>
      </w:divBdr>
    </w:div>
    <w:div w:id="388917711">
      <w:bodyDiv w:val="1"/>
      <w:marLeft w:val="0"/>
      <w:marRight w:val="0"/>
      <w:marTop w:val="0"/>
      <w:marBottom w:val="0"/>
      <w:divBdr>
        <w:top w:val="none" w:sz="0" w:space="0" w:color="auto"/>
        <w:left w:val="none" w:sz="0" w:space="0" w:color="auto"/>
        <w:bottom w:val="none" w:sz="0" w:space="0" w:color="auto"/>
        <w:right w:val="none" w:sz="0" w:space="0" w:color="auto"/>
      </w:divBdr>
    </w:div>
    <w:div w:id="447313076">
      <w:bodyDiv w:val="1"/>
      <w:marLeft w:val="0"/>
      <w:marRight w:val="0"/>
      <w:marTop w:val="0"/>
      <w:marBottom w:val="0"/>
      <w:divBdr>
        <w:top w:val="none" w:sz="0" w:space="0" w:color="auto"/>
        <w:left w:val="none" w:sz="0" w:space="0" w:color="auto"/>
        <w:bottom w:val="none" w:sz="0" w:space="0" w:color="auto"/>
        <w:right w:val="none" w:sz="0" w:space="0" w:color="auto"/>
      </w:divBdr>
    </w:div>
    <w:div w:id="460807498">
      <w:bodyDiv w:val="1"/>
      <w:marLeft w:val="0"/>
      <w:marRight w:val="0"/>
      <w:marTop w:val="0"/>
      <w:marBottom w:val="0"/>
      <w:divBdr>
        <w:top w:val="none" w:sz="0" w:space="0" w:color="auto"/>
        <w:left w:val="none" w:sz="0" w:space="0" w:color="auto"/>
        <w:bottom w:val="none" w:sz="0" w:space="0" w:color="auto"/>
        <w:right w:val="none" w:sz="0" w:space="0" w:color="auto"/>
      </w:divBdr>
    </w:div>
    <w:div w:id="486216037">
      <w:bodyDiv w:val="1"/>
      <w:marLeft w:val="0"/>
      <w:marRight w:val="0"/>
      <w:marTop w:val="0"/>
      <w:marBottom w:val="0"/>
      <w:divBdr>
        <w:top w:val="none" w:sz="0" w:space="0" w:color="auto"/>
        <w:left w:val="none" w:sz="0" w:space="0" w:color="auto"/>
        <w:bottom w:val="none" w:sz="0" w:space="0" w:color="auto"/>
        <w:right w:val="none" w:sz="0" w:space="0" w:color="auto"/>
      </w:divBdr>
    </w:div>
    <w:div w:id="519779804">
      <w:bodyDiv w:val="1"/>
      <w:marLeft w:val="0"/>
      <w:marRight w:val="0"/>
      <w:marTop w:val="0"/>
      <w:marBottom w:val="0"/>
      <w:divBdr>
        <w:top w:val="none" w:sz="0" w:space="0" w:color="auto"/>
        <w:left w:val="none" w:sz="0" w:space="0" w:color="auto"/>
        <w:bottom w:val="none" w:sz="0" w:space="0" w:color="auto"/>
        <w:right w:val="none" w:sz="0" w:space="0" w:color="auto"/>
      </w:divBdr>
    </w:div>
    <w:div w:id="522859712">
      <w:bodyDiv w:val="1"/>
      <w:marLeft w:val="0"/>
      <w:marRight w:val="0"/>
      <w:marTop w:val="0"/>
      <w:marBottom w:val="0"/>
      <w:divBdr>
        <w:top w:val="none" w:sz="0" w:space="0" w:color="auto"/>
        <w:left w:val="none" w:sz="0" w:space="0" w:color="auto"/>
        <w:bottom w:val="none" w:sz="0" w:space="0" w:color="auto"/>
        <w:right w:val="none" w:sz="0" w:space="0" w:color="auto"/>
      </w:divBdr>
    </w:div>
    <w:div w:id="558326939">
      <w:bodyDiv w:val="1"/>
      <w:marLeft w:val="0"/>
      <w:marRight w:val="0"/>
      <w:marTop w:val="0"/>
      <w:marBottom w:val="0"/>
      <w:divBdr>
        <w:top w:val="none" w:sz="0" w:space="0" w:color="auto"/>
        <w:left w:val="none" w:sz="0" w:space="0" w:color="auto"/>
        <w:bottom w:val="none" w:sz="0" w:space="0" w:color="auto"/>
        <w:right w:val="none" w:sz="0" w:space="0" w:color="auto"/>
      </w:divBdr>
    </w:div>
    <w:div w:id="561332767">
      <w:bodyDiv w:val="1"/>
      <w:marLeft w:val="0"/>
      <w:marRight w:val="0"/>
      <w:marTop w:val="0"/>
      <w:marBottom w:val="0"/>
      <w:divBdr>
        <w:top w:val="none" w:sz="0" w:space="0" w:color="auto"/>
        <w:left w:val="none" w:sz="0" w:space="0" w:color="auto"/>
        <w:bottom w:val="none" w:sz="0" w:space="0" w:color="auto"/>
        <w:right w:val="none" w:sz="0" w:space="0" w:color="auto"/>
      </w:divBdr>
    </w:div>
    <w:div w:id="654339990">
      <w:bodyDiv w:val="1"/>
      <w:marLeft w:val="0"/>
      <w:marRight w:val="0"/>
      <w:marTop w:val="0"/>
      <w:marBottom w:val="0"/>
      <w:divBdr>
        <w:top w:val="none" w:sz="0" w:space="0" w:color="auto"/>
        <w:left w:val="none" w:sz="0" w:space="0" w:color="auto"/>
        <w:bottom w:val="none" w:sz="0" w:space="0" w:color="auto"/>
        <w:right w:val="none" w:sz="0" w:space="0" w:color="auto"/>
      </w:divBdr>
    </w:div>
    <w:div w:id="665086128">
      <w:bodyDiv w:val="1"/>
      <w:marLeft w:val="0"/>
      <w:marRight w:val="0"/>
      <w:marTop w:val="0"/>
      <w:marBottom w:val="0"/>
      <w:divBdr>
        <w:top w:val="none" w:sz="0" w:space="0" w:color="auto"/>
        <w:left w:val="none" w:sz="0" w:space="0" w:color="auto"/>
        <w:bottom w:val="none" w:sz="0" w:space="0" w:color="auto"/>
        <w:right w:val="none" w:sz="0" w:space="0" w:color="auto"/>
      </w:divBdr>
    </w:div>
    <w:div w:id="677922690">
      <w:bodyDiv w:val="1"/>
      <w:marLeft w:val="0"/>
      <w:marRight w:val="0"/>
      <w:marTop w:val="0"/>
      <w:marBottom w:val="0"/>
      <w:divBdr>
        <w:top w:val="none" w:sz="0" w:space="0" w:color="auto"/>
        <w:left w:val="none" w:sz="0" w:space="0" w:color="auto"/>
        <w:bottom w:val="none" w:sz="0" w:space="0" w:color="auto"/>
        <w:right w:val="none" w:sz="0" w:space="0" w:color="auto"/>
      </w:divBdr>
    </w:div>
    <w:div w:id="678431730">
      <w:bodyDiv w:val="1"/>
      <w:marLeft w:val="0"/>
      <w:marRight w:val="0"/>
      <w:marTop w:val="0"/>
      <w:marBottom w:val="0"/>
      <w:divBdr>
        <w:top w:val="none" w:sz="0" w:space="0" w:color="auto"/>
        <w:left w:val="none" w:sz="0" w:space="0" w:color="auto"/>
        <w:bottom w:val="none" w:sz="0" w:space="0" w:color="auto"/>
        <w:right w:val="none" w:sz="0" w:space="0" w:color="auto"/>
      </w:divBdr>
    </w:div>
    <w:div w:id="685981482">
      <w:bodyDiv w:val="1"/>
      <w:marLeft w:val="0"/>
      <w:marRight w:val="0"/>
      <w:marTop w:val="0"/>
      <w:marBottom w:val="0"/>
      <w:divBdr>
        <w:top w:val="none" w:sz="0" w:space="0" w:color="auto"/>
        <w:left w:val="none" w:sz="0" w:space="0" w:color="auto"/>
        <w:bottom w:val="none" w:sz="0" w:space="0" w:color="auto"/>
        <w:right w:val="none" w:sz="0" w:space="0" w:color="auto"/>
      </w:divBdr>
    </w:div>
    <w:div w:id="708187027">
      <w:bodyDiv w:val="1"/>
      <w:marLeft w:val="0"/>
      <w:marRight w:val="0"/>
      <w:marTop w:val="0"/>
      <w:marBottom w:val="0"/>
      <w:divBdr>
        <w:top w:val="none" w:sz="0" w:space="0" w:color="auto"/>
        <w:left w:val="none" w:sz="0" w:space="0" w:color="auto"/>
        <w:bottom w:val="none" w:sz="0" w:space="0" w:color="auto"/>
        <w:right w:val="none" w:sz="0" w:space="0" w:color="auto"/>
      </w:divBdr>
    </w:div>
    <w:div w:id="713962937">
      <w:bodyDiv w:val="1"/>
      <w:marLeft w:val="0"/>
      <w:marRight w:val="0"/>
      <w:marTop w:val="0"/>
      <w:marBottom w:val="0"/>
      <w:divBdr>
        <w:top w:val="none" w:sz="0" w:space="0" w:color="auto"/>
        <w:left w:val="none" w:sz="0" w:space="0" w:color="auto"/>
        <w:bottom w:val="none" w:sz="0" w:space="0" w:color="auto"/>
        <w:right w:val="none" w:sz="0" w:space="0" w:color="auto"/>
      </w:divBdr>
    </w:div>
    <w:div w:id="720982926">
      <w:bodyDiv w:val="1"/>
      <w:marLeft w:val="0"/>
      <w:marRight w:val="0"/>
      <w:marTop w:val="0"/>
      <w:marBottom w:val="0"/>
      <w:divBdr>
        <w:top w:val="none" w:sz="0" w:space="0" w:color="auto"/>
        <w:left w:val="none" w:sz="0" w:space="0" w:color="auto"/>
        <w:bottom w:val="none" w:sz="0" w:space="0" w:color="auto"/>
        <w:right w:val="none" w:sz="0" w:space="0" w:color="auto"/>
      </w:divBdr>
    </w:div>
    <w:div w:id="752973443">
      <w:bodyDiv w:val="1"/>
      <w:marLeft w:val="0"/>
      <w:marRight w:val="0"/>
      <w:marTop w:val="0"/>
      <w:marBottom w:val="0"/>
      <w:divBdr>
        <w:top w:val="none" w:sz="0" w:space="0" w:color="auto"/>
        <w:left w:val="none" w:sz="0" w:space="0" w:color="auto"/>
        <w:bottom w:val="none" w:sz="0" w:space="0" w:color="auto"/>
        <w:right w:val="none" w:sz="0" w:space="0" w:color="auto"/>
      </w:divBdr>
    </w:div>
    <w:div w:id="755445421">
      <w:bodyDiv w:val="1"/>
      <w:marLeft w:val="0"/>
      <w:marRight w:val="0"/>
      <w:marTop w:val="0"/>
      <w:marBottom w:val="0"/>
      <w:divBdr>
        <w:top w:val="none" w:sz="0" w:space="0" w:color="auto"/>
        <w:left w:val="none" w:sz="0" w:space="0" w:color="auto"/>
        <w:bottom w:val="none" w:sz="0" w:space="0" w:color="auto"/>
        <w:right w:val="none" w:sz="0" w:space="0" w:color="auto"/>
      </w:divBdr>
    </w:div>
    <w:div w:id="760224729">
      <w:bodyDiv w:val="1"/>
      <w:marLeft w:val="0"/>
      <w:marRight w:val="0"/>
      <w:marTop w:val="0"/>
      <w:marBottom w:val="0"/>
      <w:divBdr>
        <w:top w:val="none" w:sz="0" w:space="0" w:color="auto"/>
        <w:left w:val="none" w:sz="0" w:space="0" w:color="auto"/>
        <w:bottom w:val="none" w:sz="0" w:space="0" w:color="auto"/>
        <w:right w:val="none" w:sz="0" w:space="0" w:color="auto"/>
      </w:divBdr>
    </w:div>
    <w:div w:id="767651453">
      <w:bodyDiv w:val="1"/>
      <w:marLeft w:val="0"/>
      <w:marRight w:val="0"/>
      <w:marTop w:val="0"/>
      <w:marBottom w:val="0"/>
      <w:divBdr>
        <w:top w:val="none" w:sz="0" w:space="0" w:color="auto"/>
        <w:left w:val="none" w:sz="0" w:space="0" w:color="auto"/>
        <w:bottom w:val="none" w:sz="0" w:space="0" w:color="auto"/>
        <w:right w:val="none" w:sz="0" w:space="0" w:color="auto"/>
      </w:divBdr>
    </w:div>
    <w:div w:id="795560167">
      <w:bodyDiv w:val="1"/>
      <w:marLeft w:val="0"/>
      <w:marRight w:val="0"/>
      <w:marTop w:val="0"/>
      <w:marBottom w:val="0"/>
      <w:divBdr>
        <w:top w:val="none" w:sz="0" w:space="0" w:color="auto"/>
        <w:left w:val="none" w:sz="0" w:space="0" w:color="auto"/>
        <w:bottom w:val="none" w:sz="0" w:space="0" w:color="auto"/>
        <w:right w:val="none" w:sz="0" w:space="0" w:color="auto"/>
      </w:divBdr>
    </w:div>
    <w:div w:id="809706586">
      <w:bodyDiv w:val="1"/>
      <w:marLeft w:val="0"/>
      <w:marRight w:val="0"/>
      <w:marTop w:val="0"/>
      <w:marBottom w:val="0"/>
      <w:divBdr>
        <w:top w:val="none" w:sz="0" w:space="0" w:color="auto"/>
        <w:left w:val="none" w:sz="0" w:space="0" w:color="auto"/>
        <w:bottom w:val="none" w:sz="0" w:space="0" w:color="auto"/>
        <w:right w:val="none" w:sz="0" w:space="0" w:color="auto"/>
      </w:divBdr>
    </w:div>
    <w:div w:id="954482432">
      <w:bodyDiv w:val="1"/>
      <w:marLeft w:val="0"/>
      <w:marRight w:val="0"/>
      <w:marTop w:val="0"/>
      <w:marBottom w:val="0"/>
      <w:divBdr>
        <w:top w:val="none" w:sz="0" w:space="0" w:color="auto"/>
        <w:left w:val="none" w:sz="0" w:space="0" w:color="auto"/>
        <w:bottom w:val="none" w:sz="0" w:space="0" w:color="auto"/>
        <w:right w:val="none" w:sz="0" w:space="0" w:color="auto"/>
      </w:divBdr>
    </w:div>
    <w:div w:id="962463050">
      <w:bodyDiv w:val="1"/>
      <w:marLeft w:val="0"/>
      <w:marRight w:val="0"/>
      <w:marTop w:val="0"/>
      <w:marBottom w:val="0"/>
      <w:divBdr>
        <w:top w:val="none" w:sz="0" w:space="0" w:color="auto"/>
        <w:left w:val="none" w:sz="0" w:space="0" w:color="auto"/>
        <w:bottom w:val="none" w:sz="0" w:space="0" w:color="auto"/>
        <w:right w:val="none" w:sz="0" w:space="0" w:color="auto"/>
      </w:divBdr>
    </w:div>
    <w:div w:id="964191164">
      <w:bodyDiv w:val="1"/>
      <w:marLeft w:val="0"/>
      <w:marRight w:val="0"/>
      <w:marTop w:val="0"/>
      <w:marBottom w:val="0"/>
      <w:divBdr>
        <w:top w:val="none" w:sz="0" w:space="0" w:color="auto"/>
        <w:left w:val="none" w:sz="0" w:space="0" w:color="auto"/>
        <w:bottom w:val="none" w:sz="0" w:space="0" w:color="auto"/>
        <w:right w:val="none" w:sz="0" w:space="0" w:color="auto"/>
      </w:divBdr>
    </w:div>
    <w:div w:id="1053429016">
      <w:bodyDiv w:val="1"/>
      <w:marLeft w:val="0"/>
      <w:marRight w:val="0"/>
      <w:marTop w:val="0"/>
      <w:marBottom w:val="0"/>
      <w:divBdr>
        <w:top w:val="none" w:sz="0" w:space="0" w:color="auto"/>
        <w:left w:val="none" w:sz="0" w:space="0" w:color="auto"/>
        <w:bottom w:val="none" w:sz="0" w:space="0" w:color="auto"/>
        <w:right w:val="none" w:sz="0" w:space="0" w:color="auto"/>
      </w:divBdr>
    </w:div>
    <w:div w:id="1176654844">
      <w:bodyDiv w:val="1"/>
      <w:marLeft w:val="0"/>
      <w:marRight w:val="0"/>
      <w:marTop w:val="0"/>
      <w:marBottom w:val="0"/>
      <w:divBdr>
        <w:top w:val="none" w:sz="0" w:space="0" w:color="auto"/>
        <w:left w:val="none" w:sz="0" w:space="0" w:color="auto"/>
        <w:bottom w:val="none" w:sz="0" w:space="0" w:color="auto"/>
        <w:right w:val="none" w:sz="0" w:space="0" w:color="auto"/>
      </w:divBdr>
    </w:div>
    <w:div w:id="1229655994">
      <w:bodyDiv w:val="1"/>
      <w:marLeft w:val="0"/>
      <w:marRight w:val="0"/>
      <w:marTop w:val="0"/>
      <w:marBottom w:val="0"/>
      <w:divBdr>
        <w:top w:val="none" w:sz="0" w:space="0" w:color="auto"/>
        <w:left w:val="none" w:sz="0" w:space="0" w:color="auto"/>
        <w:bottom w:val="none" w:sz="0" w:space="0" w:color="auto"/>
        <w:right w:val="none" w:sz="0" w:space="0" w:color="auto"/>
      </w:divBdr>
    </w:div>
    <w:div w:id="1246383603">
      <w:bodyDiv w:val="1"/>
      <w:marLeft w:val="0"/>
      <w:marRight w:val="0"/>
      <w:marTop w:val="0"/>
      <w:marBottom w:val="0"/>
      <w:divBdr>
        <w:top w:val="none" w:sz="0" w:space="0" w:color="auto"/>
        <w:left w:val="none" w:sz="0" w:space="0" w:color="auto"/>
        <w:bottom w:val="none" w:sz="0" w:space="0" w:color="auto"/>
        <w:right w:val="none" w:sz="0" w:space="0" w:color="auto"/>
      </w:divBdr>
    </w:div>
    <w:div w:id="1261793168">
      <w:bodyDiv w:val="1"/>
      <w:marLeft w:val="0"/>
      <w:marRight w:val="0"/>
      <w:marTop w:val="0"/>
      <w:marBottom w:val="0"/>
      <w:divBdr>
        <w:top w:val="none" w:sz="0" w:space="0" w:color="auto"/>
        <w:left w:val="none" w:sz="0" w:space="0" w:color="auto"/>
        <w:bottom w:val="none" w:sz="0" w:space="0" w:color="auto"/>
        <w:right w:val="none" w:sz="0" w:space="0" w:color="auto"/>
      </w:divBdr>
    </w:div>
    <w:div w:id="1288701843">
      <w:bodyDiv w:val="1"/>
      <w:marLeft w:val="0"/>
      <w:marRight w:val="0"/>
      <w:marTop w:val="0"/>
      <w:marBottom w:val="0"/>
      <w:divBdr>
        <w:top w:val="none" w:sz="0" w:space="0" w:color="auto"/>
        <w:left w:val="none" w:sz="0" w:space="0" w:color="auto"/>
        <w:bottom w:val="none" w:sz="0" w:space="0" w:color="auto"/>
        <w:right w:val="none" w:sz="0" w:space="0" w:color="auto"/>
      </w:divBdr>
    </w:div>
    <w:div w:id="1297297321">
      <w:bodyDiv w:val="1"/>
      <w:marLeft w:val="0"/>
      <w:marRight w:val="0"/>
      <w:marTop w:val="0"/>
      <w:marBottom w:val="0"/>
      <w:divBdr>
        <w:top w:val="none" w:sz="0" w:space="0" w:color="auto"/>
        <w:left w:val="none" w:sz="0" w:space="0" w:color="auto"/>
        <w:bottom w:val="none" w:sz="0" w:space="0" w:color="auto"/>
        <w:right w:val="none" w:sz="0" w:space="0" w:color="auto"/>
      </w:divBdr>
    </w:div>
    <w:div w:id="1301112913">
      <w:bodyDiv w:val="1"/>
      <w:marLeft w:val="0"/>
      <w:marRight w:val="0"/>
      <w:marTop w:val="0"/>
      <w:marBottom w:val="0"/>
      <w:divBdr>
        <w:top w:val="none" w:sz="0" w:space="0" w:color="auto"/>
        <w:left w:val="none" w:sz="0" w:space="0" w:color="auto"/>
        <w:bottom w:val="none" w:sz="0" w:space="0" w:color="auto"/>
        <w:right w:val="none" w:sz="0" w:space="0" w:color="auto"/>
      </w:divBdr>
    </w:div>
    <w:div w:id="1330525546">
      <w:bodyDiv w:val="1"/>
      <w:marLeft w:val="0"/>
      <w:marRight w:val="0"/>
      <w:marTop w:val="0"/>
      <w:marBottom w:val="0"/>
      <w:divBdr>
        <w:top w:val="none" w:sz="0" w:space="0" w:color="auto"/>
        <w:left w:val="none" w:sz="0" w:space="0" w:color="auto"/>
        <w:bottom w:val="none" w:sz="0" w:space="0" w:color="auto"/>
        <w:right w:val="none" w:sz="0" w:space="0" w:color="auto"/>
      </w:divBdr>
    </w:div>
    <w:div w:id="1354842697">
      <w:bodyDiv w:val="1"/>
      <w:marLeft w:val="0"/>
      <w:marRight w:val="0"/>
      <w:marTop w:val="0"/>
      <w:marBottom w:val="0"/>
      <w:divBdr>
        <w:top w:val="none" w:sz="0" w:space="0" w:color="auto"/>
        <w:left w:val="none" w:sz="0" w:space="0" w:color="auto"/>
        <w:bottom w:val="none" w:sz="0" w:space="0" w:color="auto"/>
        <w:right w:val="none" w:sz="0" w:space="0" w:color="auto"/>
      </w:divBdr>
    </w:div>
    <w:div w:id="1356271030">
      <w:bodyDiv w:val="1"/>
      <w:marLeft w:val="0"/>
      <w:marRight w:val="0"/>
      <w:marTop w:val="0"/>
      <w:marBottom w:val="0"/>
      <w:divBdr>
        <w:top w:val="none" w:sz="0" w:space="0" w:color="auto"/>
        <w:left w:val="none" w:sz="0" w:space="0" w:color="auto"/>
        <w:bottom w:val="none" w:sz="0" w:space="0" w:color="auto"/>
        <w:right w:val="none" w:sz="0" w:space="0" w:color="auto"/>
      </w:divBdr>
    </w:div>
    <w:div w:id="1390106568">
      <w:bodyDiv w:val="1"/>
      <w:marLeft w:val="0"/>
      <w:marRight w:val="0"/>
      <w:marTop w:val="0"/>
      <w:marBottom w:val="0"/>
      <w:divBdr>
        <w:top w:val="none" w:sz="0" w:space="0" w:color="auto"/>
        <w:left w:val="none" w:sz="0" w:space="0" w:color="auto"/>
        <w:bottom w:val="none" w:sz="0" w:space="0" w:color="auto"/>
        <w:right w:val="none" w:sz="0" w:space="0" w:color="auto"/>
      </w:divBdr>
    </w:div>
    <w:div w:id="1398699668">
      <w:bodyDiv w:val="1"/>
      <w:marLeft w:val="0"/>
      <w:marRight w:val="0"/>
      <w:marTop w:val="0"/>
      <w:marBottom w:val="0"/>
      <w:divBdr>
        <w:top w:val="none" w:sz="0" w:space="0" w:color="auto"/>
        <w:left w:val="none" w:sz="0" w:space="0" w:color="auto"/>
        <w:bottom w:val="none" w:sz="0" w:space="0" w:color="auto"/>
        <w:right w:val="none" w:sz="0" w:space="0" w:color="auto"/>
      </w:divBdr>
    </w:div>
    <w:div w:id="1406494750">
      <w:bodyDiv w:val="1"/>
      <w:marLeft w:val="0"/>
      <w:marRight w:val="0"/>
      <w:marTop w:val="0"/>
      <w:marBottom w:val="0"/>
      <w:divBdr>
        <w:top w:val="none" w:sz="0" w:space="0" w:color="auto"/>
        <w:left w:val="none" w:sz="0" w:space="0" w:color="auto"/>
        <w:bottom w:val="none" w:sz="0" w:space="0" w:color="auto"/>
        <w:right w:val="none" w:sz="0" w:space="0" w:color="auto"/>
      </w:divBdr>
    </w:div>
    <w:div w:id="1418676548">
      <w:bodyDiv w:val="1"/>
      <w:marLeft w:val="0"/>
      <w:marRight w:val="0"/>
      <w:marTop w:val="0"/>
      <w:marBottom w:val="0"/>
      <w:divBdr>
        <w:top w:val="none" w:sz="0" w:space="0" w:color="auto"/>
        <w:left w:val="none" w:sz="0" w:space="0" w:color="auto"/>
        <w:bottom w:val="none" w:sz="0" w:space="0" w:color="auto"/>
        <w:right w:val="none" w:sz="0" w:space="0" w:color="auto"/>
      </w:divBdr>
    </w:div>
    <w:div w:id="1451780175">
      <w:bodyDiv w:val="1"/>
      <w:marLeft w:val="0"/>
      <w:marRight w:val="0"/>
      <w:marTop w:val="0"/>
      <w:marBottom w:val="0"/>
      <w:divBdr>
        <w:top w:val="none" w:sz="0" w:space="0" w:color="auto"/>
        <w:left w:val="none" w:sz="0" w:space="0" w:color="auto"/>
        <w:bottom w:val="none" w:sz="0" w:space="0" w:color="auto"/>
        <w:right w:val="none" w:sz="0" w:space="0" w:color="auto"/>
      </w:divBdr>
    </w:div>
    <w:div w:id="1459763252">
      <w:bodyDiv w:val="1"/>
      <w:marLeft w:val="0"/>
      <w:marRight w:val="0"/>
      <w:marTop w:val="0"/>
      <w:marBottom w:val="0"/>
      <w:divBdr>
        <w:top w:val="none" w:sz="0" w:space="0" w:color="auto"/>
        <w:left w:val="none" w:sz="0" w:space="0" w:color="auto"/>
        <w:bottom w:val="none" w:sz="0" w:space="0" w:color="auto"/>
        <w:right w:val="none" w:sz="0" w:space="0" w:color="auto"/>
      </w:divBdr>
    </w:div>
    <w:div w:id="1464155863">
      <w:bodyDiv w:val="1"/>
      <w:marLeft w:val="0"/>
      <w:marRight w:val="0"/>
      <w:marTop w:val="0"/>
      <w:marBottom w:val="0"/>
      <w:divBdr>
        <w:top w:val="none" w:sz="0" w:space="0" w:color="auto"/>
        <w:left w:val="none" w:sz="0" w:space="0" w:color="auto"/>
        <w:bottom w:val="none" w:sz="0" w:space="0" w:color="auto"/>
        <w:right w:val="none" w:sz="0" w:space="0" w:color="auto"/>
      </w:divBdr>
    </w:div>
    <w:div w:id="1480807561">
      <w:bodyDiv w:val="1"/>
      <w:marLeft w:val="0"/>
      <w:marRight w:val="0"/>
      <w:marTop w:val="0"/>
      <w:marBottom w:val="0"/>
      <w:divBdr>
        <w:top w:val="none" w:sz="0" w:space="0" w:color="auto"/>
        <w:left w:val="none" w:sz="0" w:space="0" w:color="auto"/>
        <w:bottom w:val="none" w:sz="0" w:space="0" w:color="auto"/>
        <w:right w:val="none" w:sz="0" w:space="0" w:color="auto"/>
      </w:divBdr>
    </w:div>
    <w:div w:id="1493525700">
      <w:bodyDiv w:val="1"/>
      <w:marLeft w:val="0"/>
      <w:marRight w:val="0"/>
      <w:marTop w:val="0"/>
      <w:marBottom w:val="0"/>
      <w:divBdr>
        <w:top w:val="none" w:sz="0" w:space="0" w:color="auto"/>
        <w:left w:val="none" w:sz="0" w:space="0" w:color="auto"/>
        <w:bottom w:val="none" w:sz="0" w:space="0" w:color="auto"/>
        <w:right w:val="none" w:sz="0" w:space="0" w:color="auto"/>
      </w:divBdr>
    </w:div>
    <w:div w:id="1519387925">
      <w:bodyDiv w:val="1"/>
      <w:marLeft w:val="0"/>
      <w:marRight w:val="0"/>
      <w:marTop w:val="0"/>
      <w:marBottom w:val="0"/>
      <w:divBdr>
        <w:top w:val="none" w:sz="0" w:space="0" w:color="auto"/>
        <w:left w:val="none" w:sz="0" w:space="0" w:color="auto"/>
        <w:bottom w:val="none" w:sz="0" w:space="0" w:color="auto"/>
        <w:right w:val="none" w:sz="0" w:space="0" w:color="auto"/>
      </w:divBdr>
    </w:div>
    <w:div w:id="1520313456">
      <w:bodyDiv w:val="1"/>
      <w:marLeft w:val="0"/>
      <w:marRight w:val="0"/>
      <w:marTop w:val="0"/>
      <w:marBottom w:val="0"/>
      <w:divBdr>
        <w:top w:val="none" w:sz="0" w:space="0" w:color="auto"/>
        <w:left w:val="none" w:sz="0" w:space="0" w:color="auto"/>
        <w:bottom w:val="none" w:sz="0" w:space="0" w:color="auto"/>
        <w:right w:val="none" w:sz="0" w:space="0" w:color="auto"/>
      </w:divBdr>
    </w:div>
    <w:div w:id="1523546244">
      <w:bodyDiv w:val="1"/>
      <w:marLeft w:val="0"/>
      <w:marRight w:val="0"/>
      <w:marTop w:val="0"/>
      <w:marBottom w:val="0"/>
      <w:divBdr>
        <w:top w:val="none" w:sz="0" w:space="0" w:color="auto"/>
        <w:left w:val="none" w:sz="0" w:space="0" w:color="auto"/>
        <w:bottom w:val="none" w:sz="0" w:space="0" w:color="auto"/>
        <w:right w:val="none" w:sz="0" w:space="0" w:color="auto"/>
      </w:divBdr>
    </w:div>
    <w:div w:id="1544248147">
      <w:bodyDiv w:val="1"/>
      <w:marLeft w:val="0"/>
      <w:marRight w:val="0"/>
      <w:marTop w:val="0"/>
      <w:marBottom w:val="0"/>
      <w:divBdr>
        <w:top w:val="none" w:sz="0" w:space="0" w:color="auto"/>
        <w:left w:val="none" w:sz="0" w:space="0" w:color="auto"/>
        <w:bottom w:val="none" w:sz="0" w:space="0" w:color="auto"/>
        <w:right w:val="none" w:sz="0" w:space="0" w:color="auto"/>
      </w:divBdr>
    </w:div>
    <w:div w:id="1563296574">
      <w:bodyDiv w:val="1"/>
      <w:marLeft w:val="0"/>
      <w:marRight w:val="0"/>
      <w:marTop w:val="0"/>
      <w:marBottom w:val="0"/>
      <w:divBdr>
        <w:top w:val="none" w:sz="0" w:space="0" w:color="auto"/>
        <w:left w:val="none" w:sz="0" w:space="0" w:color="auto"/>
        <w:bottom w:val="none" w:sz="0" w:space="0" w:color="auto"/>
        <w:right w:val="none" w:sz="0" w:space="0" w:color="auto"/>
      </w:divBdr>
    </w:div>
    <w:div w:id="1563784475">
      <w:bodyDiv w:val="1"/>
      <w:marLeft w:val="0"/>
      <w:marRight w:val="0"/>
      <w:marTop w:val="0"/>
      <w:marBottom w:val="0"/>
      <w:divBdr>
        <w:top w:val="none" w:sz="0" w:space="0" w:color="auto"/>
        <w:left w:val="none" w:sz="0" w:space="0" w:color="auto"/>
        <w:bottom w:val="none" w:sz="0" w:space="0" w:color="auto"/>
        <w:right w:val="none" w:sz="0" w:space="0" w:color="auto"/>
      </w:divBdr>
    </w:div>
    <w:div w:id="1584756084">
      <w:bodyDiv w:val="1"/>
      <w:marLeft w:val="0"/>
      <w:marRight w:val="0"/>
      <w:marTop w:val="0"/>
      <w:marBottom w:val="0"/>
      <w:divBdr>
        <w:top w:val="none" w:sz="0" w:space="0" w:color="auto"/>
        <w:left w:val="none" w:sz="0" w:space="0" w:color="auto"/>
        <w:bottom w:val="none" w:sz="0" w:space="0" w:color="auto"/>
        <w:right w:val="none" w:sz="0" w:space="0" w:color="auto"/>
      </w:divBdr>
    </w:div>
    <w:div w:id="1644001027">
      <w:bodyDiv w:val="1"/>
      <w:marLeft w:val="0"/>
      <w:marRight w:val="0"/>
      <w:marTop w:val="0"/>
      <w:marBottom w:val="0"/>
      <w:divBdr>
        <w:top w:val="none" w:sz="0" w:space="0" w:color="auto"/>
        <w:left w:val="none" w:sz="0" w:space="0" w:color="auto"/>
        <w:bottom w:val="none" w:sz="0" w:space="0" w:color="auto"/>
        <w:right w:val="none" w:sz="0" w:space="0" w:color="auto"/>
      </w:divBdr>
    </w:div>
    <w:div w:id="1698312048">
      <w:bodyDiv w:val="1"/>
      <w:marLeft w:val="0"/>
      <w:marRight w:val="0"/>
      <w:marTop w:val="0"/>
      <w:marBottom w:val="0"/>
      <w:divBdr>
        <w:top w:val="none" w:sz="0" w:space="0" w:color="auto"/>
        <w:left w:val="none" w:sz="0" w:space="0" w:color="auto"/>
        <w:bottom w:val="none" w:sz="0" w:space="0" w:color="auto"/>
        <w:right w:val="none" w:sz="0" w:space="0" w:color="auto"/>
      </w:divBdr>
    </w:div>
    <w:div w:id="1722510811">
      <w:bodyDiv w:val="1"/>
      <w:marLeft w:val="0"/>
      <w:marRight w:val="0"/>
      <w:marTop w:val="0"/>
      <w:marBottom w:val="0"/>
      <w:divBdr>
        <w:top w:val="none" w:sz="0" w:space="0" w:color="auto"/>
        <w:left w:val="none" w:sz="0" w:space="0" w:color="auto"/>
        <w:bottom w:val="none" w:sz="0" w:space="0" w:color="auto"/>
        <w:right w:val="none" w:sz="0" w:space="0" w:color="auto"/>
      </w:divBdr>
    </w:div>
    <w:div w:id="1781336795">
      <w:bodyDiv w:val="1"/>
      <w:marLeft w:val="0"/>
      <w:marRight w:val="0"/>
      <w:marTop w:val="0"/>
      <w:marBottom w:val="0"/>
      <w:divBdr>
        <w:top w:val="none" w:sz="0" w:space="0" w:color="auto"/>
        <w:left w:val="none" w:sz="0" w:space="0" w:color="auto"/>
        <w:bottom w:val="none" w:sz="0" w:space="0" w:color="auto"/>
        <w:right w:val="none" w:sz="0" w:space="0" w:color="auto"/>
      </w:divBdr>
    </w:div>
    <w:div w:id="1846170485">
      <w:bodyDiv w:val="1"/>
      <w:marLeft w:val="0"/>
      <w:marRight w:val="0"/>
      <w:marTop w:val="0"/>
      <w:marBottom w:val="0"/>
      <w:divBdr>
        <w:top w:val="none" w:sz="0" w:space="0" w:color="auto"/>
        <w:left w:val="none" w:sz="0" w:space="0" w:color="auto"/>
        <w:bottom w:val="none" w:sz="0" w:space="0" w:color="auto"/>
        <w:right w:val="none" w:sz="0" w:space="0" w:color="auto"/>
      </w:divBdr>
    </w:div>
    <w:div w:id="1883445971">
      <w:bodyDiv w:val="1"/>
      <w:marLeft w:val="0"/>
      <w:marRight w:val="0"/>
      <w:marTop w:val="0"/>
      <w:marBottom w:val="0"/>
      <w:divBdr>
        <w:top w:val="none" w:sz="0" w:space="0" w:color="auto"/>
        <w:left w:val="none" w:sz="0" w:space="0" w:color="auto"/>
        <w:bottom w:val="none" w:sz="0" w:space="0" w:color="auto"/>
        <w:right w:val="none" w:sz="0" w:space="0" w:color="auto"/>
      </w:divBdr>
    </w:div>
    <w:div w:id="1883513866">
      <w:bodyDiv w:val="1"/>
      <w:marLeft w:val="0"/>
      <w:marRight w:val="0"/>
      <w:marTop w:val="0"/>
      <w:marBottom w:val="0"/>
      <w:divBdr>
        <w:top w:val="none" w:sz="0" w:space="0" w:color="auto"/>
        <w:left w:val="none" w:sz="0" w:space="0" w:color="auto"/>
        <w:bottom w:val="none" w:sz="0" w:space="0" w:color="auto"/>
        <w:right w:val="none" w:sz="0" w:space="0" w:color="auto"/>
      </w:divBdr>
    </w:div>
    <w:div w:id="1898541243">
      <w:bodyDiv w:val="1"/>
      <w:marLeft w:val="0"/>
      <w:marRight w:val="0"/>
      <w:marTop w:val="0"/>
      <w:marBottom w:val="0"/>
      <w:divBdr>
        <w:top w:val="none" w:sz="0" w:space="0" w:color="auto"/>
        <w:left w:val="none" w:sz="0" w:space="0" w:color="auto"/>
        <w:bottom w:val="none" w:sz="0" w:space="0" w:color="auto"/>
        <w:right w:val="none" w:sz="0" w:space="0" w:color="auto"/>
      </w:divBdr>
    </w:div>
    <w:div w:id="1910070863">
      <w:bodyDiv w:val="1"/>
      <w:marLeft w:val="0"/>
      <w:marRight w:val="0"/>
      <w:marTop w:val="0"/>
      <w:marBottom w:val="0"/>
      <w:divBdr>
        <w:top w:val="none" w:sz="0" w:space="0" w:color="auto"/>
        <w:left w:val="none" w:sz="0" w:space="0" w:color="auto"/>
        <w:bottom w:val="none" w:sz="0" w:space="0" w:color="auto"/>
        <w:right w:val="none" w:sz="0" w:space="0" w:color="auto"/>
      </w:divBdr>
    </w:div>
    <w:div w:id="1913662102">
      <w:bodyDiv w:val="1"/>
      <w:marLeft w:val="0"/>
      <w:marRight w:val="0"/>
      <w:marTop w:val="0"/>
      <w:marBottom w:val="0"/>
      <w:divBdr>
        <w:top w:val="none" w:sz="0" w:space="0" w:color="auto"/>
        <w:left w:val="none" w:sz="0" w:space="0" w:color="auto"/>
        <w:bottom w:val="none" w:sz="0" w:space="0" w:color="auto"/>
        <w:right w:val="none" w:sz="0" w:space="0" w:color="auto"/>
      </w:divBdr>
    </w:div>
    <w:div w:id="1934124680">
      <w:bodyDiv w:val="1"/>
      <w:marLeft w:val="0"/>
      <w:marRight w:val="0"/>
      <w:marTop w:val="0"/>
      <w:marBottom w:val="0"/>
      <w:divBdr>
        <w:top w:val="none" w:sz="0" w:space="0" w:color="auto"/>
        <w:left w:val="none" w:sz="0" w:space="0" w:color="auto"/>
        <w:bottom w:val="none" w:sz="0" w:space="0" w:color="auto"/>
        <w:right w:val="none" w:sz="0" w:space="0" w:color="auto"/>
      </w:divBdr>
    </w:div>
    <w:div w:id="1945961653">
      <w:bodyDiv w:val="1"/>
      <w:marLeft w:val="0"/>
      <w:marRight w:val="0"/>
      <w:marTop w:val="0"/>
      <w:marBottom w:val="0"/>
      <w:divBdr>
        <w:top w:val="none" w:sz="0" w:space="0" w:color="auto"/>
        <w:left w:val="none" w:sz="0" w:space="0" w:color="auto"/>
        <w:bottom w:val="none" w:sz="0" w:space="0" w:color="auto"/>
        <w:right w:val="none" w:sz="0" w:space="0" w:color="auto"/>
      </w:divBdr>
    </w:div>
    <w:div w:id="1990472402">
      <w:bodyDiv w:val="1"/>
      <w:marLeft w:val="0"/>
      <w:marRight w:val="0"/>
      <w:marTop w:val="0"/>
      <w:marBottom w:val="0"/>
      <w:divBdr>
        <w:top w:val="none" w:sz="0" w:space="0" w:color="auto"/>
        <w:left w:val="none" w:sz="0" w:space="0" w:color="auto"/>
        <w:bottom w:val="none" w:sz="0" w:space="0" w:color="auto"/>
        <w:right w:val="none" w:sz="0" w:space="0" w:color="auto"/>
      </w:divBdr>
    </w:div>
    <w:div w:id="2009208592">
      <w:bodyDiv w:val="1"/>
      <w:marLeft w:val="0"/>
      <w:marRight w:val="0"/>
      <w:marTop w:val="0"/>
      <w:marBottom w:val="0"/>
      <w:divBdr>
        <w:top w:val="none" w:sz="0" w:space="0" w:color="auto"/>
        <w:left w:val="none" w:sz="0" w:space="0" w:color="auto"/>
        <w:bottom w:val="none" w:sz="0" w:space="0" w:color="auto"/>
        <w:right w:val="none" w:sz="0" w:space="0" w:color="auto"/>
      </w:divBdr>
    </w:div>
    <w:div w:id="2017806614">
      <w:bodyDiv w:val="1"/>
      <w:marLeft w:val="0"/>
      <w:marRight w:val="0"/>
      <w:marTop w:val="0"/>
      <w:marBottom w:val="0"/>
      <w:divBdr>
        <w:top w:val="none" w:sz="0" w:space="0" w:color="auto"/>
        <w:left w:val="none" w:sz="0" w:space="0" w:color="auto"/>
        <w:bottom w:val="none" w:sz="0" w:space="0" w:color="auto"/>
        <w:right w:val="none" w:sz="0" w:space="0" w:color="auto"/>
      </w:divBdr>
    </w:div>
    <w:div w:id="2044820009">
      <w:bodyDiv w:val="1"/>
      <w:marLeft w:val="0"/>
      <w:marRight w:val="0"/>
      <w:marTop w:val="0"/>
      <w:marBottom w:val="0"/>
      <w:divBdr>
        <w:top w:val="none" w:sz="0" w:space="0" w:color="auto"/>
        <w:left w:val="none" w:sz="0" w:space="0" w:color="auto"/>
        <w:bottom w:val="none" w:sz="0" w:space="0" w:color="auto"/>
        <w:right w:val="none" w:sz="0" w:space="0" w:color="auto"/>
      </w:divBdr>
    </w:div>
    <w:div w:id="2067684507">
      <w:bodyDiv w:val="1"/>
      <w:marLeft w:val="0"/>
      <w:marRight w:val="0"/>
      <w:marTop w:val="0"/>
      <w:marBottom w:val="0"/>
      <w:divBdr>
        <w:top w:val="none" w:sz="0" w:space="0" w:color="auto"/>
        <w:left w:val="none" w:sz="0" w:space="0" w:color="auto"/>
        <w:bottom w:val="none" w:sz="0" w:space="0" w:color="auto"/>
        <w:right w:val="none" w:sz="0" w:space="0" w:color="auto"/>
      </w:divBdr>
    </w:div>
    <w:div w:id="209061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Mat23</b:Tag>
    <b:SourceType>Book</b:SourceType>
    <b:Guid>{CEDC2473-4BE7-4090-BC01-D9EC92B643D7}</b:Guid>
    <b:Title>Primary Explosives</b:Title>
    <b:Year>2023</b:Year>
    <b:Author>
      <b:Author>
        <b:NameList>
          <b:Person>
            <b:Last>Matyas</b:Last>
            <b:First>Robert</b:First>
          </b:Person>
          <b:Person>
            <b:Last>Pachman</b:Last>
            <b:First>Jiri</b:First>
          </b:Person>
        </b:NameList>
      </b:Author>
    </b:Author>
    <b:BookTitle>Primary Explosives</b:BookTitle>
    <b:City>Pardubice, Czech Republic</b:City>
    <b:Publisher>Springer</b:Publisher>
    <b:RefOrder>1</b:RefOrder>
  </b:Source>
  <b:Source>
    <b:Tag>BAE23</b:Tag>
    <b:SourceType>InternetSite</b:SourceType>
    <b:Guid>{A2187447-96AB-47C0-BF48-F8B03BA4A32F}</b:Guid>
    <b:Title>BAE Systems - Product - Shell 155mm L15</b:Title>
    <b:ProductionCompany>BAE Systems</b:ProductionCompany>
    <b:YearAccessed>2023</b:YearAccessed>
    <b:MonthAccessed>07</b:MonthAccessed>
    <b:DayAccessed>17</b:DayAccessed>
    <b:URL>https://www.baesystems.com/en-uk/product/shell-155mm-how-he-l15</b:URL>
    <b:RefOrder>2</b:RefOrder>
  </b:Source>
  <b:Source>
    <b:Tag>Min20</b:Tag>
    <b:SourceType>BookSection</b:SourceType>
    <b:Guid>{67CF9636-D83A-45DF-8972-D0E5950EDD7E}</b:Guid>
    <b:Author>
      <b:Author>
        <b:NameList>
          <b:Person>
            <b:Last>Defence</b:Last>
            <b:First>Ministry</b:First>
            <b:Middle>of</b:Middle>
          </b:Person>
        </b:NameList>
      </b:Author>
    </b:Author>
    <b:Title>Service Textbook of Explosives</b:Title>
    <b:Year>2020</b:Year>
    <b:Publisher>DE&amp;S</b:Publisher>
    <b:BookTitle>Service Textbook of Explosives</b:BookTitle>
    <b:Pages>Ch. 2, Pg. 17</b:Pages>
    <b:RefOrder>4</b:RefOrder>
  </b:Source>
  <b:Source>
    <b:Tag>Min201</b:Tag>
    <b:SourceType>BookSection</b:SourceType>
    <b:Guid>{EBD736F4-9CCB-41CD-AC12-A07C13B4AA56}</b:Guid>
    <b:Author>
      <b:Author>
        <b:NameList>
          <b:Person>
            <b:Last>Defence</b:Last>
            <b:First>Ministry</b:First>
            <b:Middle>of</b:Middle>
          </b:Person>
        </b:NameList>
      </b:Author>
    </b:Author>
    <b:Title>Service Textbook of Explosives</b:Title>
    <b:BookTitle>Service Textbook of Explosives</b:BookTitle>
    <b:Year>2020</b:Year>
    <b:Pages>Ch. 4, Pg. 10</b:Pages>
    <b:Publisher>DE&amp;S</b:Publisher>
    <b:RefOrder>9</b:RefOrder>
  </b:Source>
  <b:Source>
    <b:Tag>Hob12</b:Tag>
    <b:SourceType>BookSection</b:SourceType>
    <b:Guid>{42CE0973-EA20-4C93-9A49-AF726F5A7DF9}</b:Guid>
    <b:Title>Abstract</b:Title>
    <b:BookTitle>COOKOFF OF A MELT-CASTABLE EXPLOSIVE (COMP-B)</b:BookTitle>
    <b:Year>2012</b:Year>
    <b:Pages>Pg. 1</b:Pages>
    <b:City>Albuquerque, NM</b:City>
    <b:Publisher>Sandia National Laboratories</b:Publisher>
    <b:Author>
      <b:Author>
        <b:NameList>
          <b:Person>
            <b:Last>Hobbs</b:Last>
            <b:Middle>L</b:Middle>
            <b:First>M</b:First>
          </b:Person>
          <b:Person>
            <b:Last>Kaneshige</b:Last>
            <b:Middle>J</b:Middle>
            <b:First>M</b:First>
          </b:Person>
          <b:Person>
            <b:Last>Anderson</b:Last>
            <b:Middle>U</b:Middle>
            <b:First>M</b:First>
          </b:Person>
        </b:NameList>
      </b:Author>
    </b:Author>
    <b:RefOrder>3</b:RefOrder>
  </b:Source>
  <b:Source>
    <b:Tag>Mat231</b:Tag>
    <b:SourceType>BookSection</b:SourceType>
    <b:Guid>{167DCA32-3A42-4C6F-B4BC-69522355B1D9}</b:Guid>
    <b:Title>Primary Explosives</b:Title>
    <b:BookTitle>Primary Explosives</b:BookTitle>
    <b:Year>2023</b:Year>
    <b:Pages>Pg. 139</b:Pages>
    <b:Author>
      <b:Author>
        <b:NameList>
          <b:Person>
            <b:Last>Matyas</b:Last>
            <b:First>Robert</b:First>
          </b:Person>
          <b:Person>
            <b:Last>Pachman</b:Last>
            <b:First>Jiri</b:First>
          </b:Person>
        </b:NameList>
      </b:Author>
    </b:Author>
    <b:RefOrder>5</b:RefOrder>
  </b:Source>
  <b:Source>
    <b:Tag>MOD20</b:Tag>
    <b:SourceType>BookSection</b:SourceType>
    <b:Guid>{CC73193E-9FF2-4097-B271-66E169DC0535}</b:Guid>
    <b:Author>
      <b:Author>
        <b:NameList>
          <b:Person>
            <b:Last>MOD</b:Last>
          </b:Person>
        </b:NameList>
      </b:Author>
    </b:Author>
    <b:Title>Service Textbook of Explosives</b:Title>
    <b:BookTitle>Service Textbook of Explosives</b:BookTitle>
    <b:Year>2020</b:Year>
    <b:Pages>Ch. 4, Pg. 8</b:Pages>
    <b:Publisher>DE&amp;S</b:Publisher>
    <b:RefOrder>6</b:RefOrder>
  </b:Source>
  <b:Source>
    <b:Tag>Sta10</b:Tag>
    <b:SourceType>InternetSite</b:SourceType>
    <b:Guid>{6E739B44-1F8D-4439-B42E-073C9ED552FD}</b:Guid>
    <b:Title>Space War</b:Title>
    <b:Year>2010</b:Year>
    <b:Author>
      <b:Author>
        <b:NameList>
          <b:Person>
            <b:Last>Writers</b:Last>
            <b:First>Staff</b:First>
          </b:Person>
        </b:NameList>
      </b:Author>
    </b:Author>
    <b:ProductionCompany>Space War</b:ProductionCompany>
    <b:Month>August</b:Month>
    <b:Day>3</b:Day>
    <b:YearAccessed>2023</b:YearAccessed>
    <b:MonthAccessed>07</b:MonthAccessed>
    <b:DayAccessed>16</b:DayAccessed>
    <b:URL>https://www.spacewar.com/reports/BAE_IMX_101_Explosive_Approved_To_Replace_TNT_In_US_Army_Artillery_999.html</b:URL>
    <b:RefOrder>7</b:RefOrder>
  </b:Source>
  <b:Source>
    <b:Tag>Xio20</b:Tag>
    <b:SourceType>JournalArticle</b:SourceType>
    <b:Guid>{38BDC14A-F95D-45CF-ADBF-B170C9F57ADD}</b:Guid>
    <b:Title>A promising TNT alternative 3,3′-bi(1,2,4-oxadiazole)-5,5′-diylbis(methylene)dinitrate (BOM): thermal behaviors and eutectic characteristics</b:Title>
    <b:Year>2020</b:Year>
    <b:Author>
      <b:Author>
        <b:NameList>
          <b:Person>
            <b:Last>Yang</b:Last>
            <b:First>Xiong</b:First>
          </b:Person>
          <b:Person>
            <b:Last>Zhou</b:Last>
            <b:First>Jing</b:First>
          </b:Person>
          <b:Person>
            <b:Last>Xing</b:Last>
            <b:First>Xiaoling</b:First>
          </b:Person>
          <b:Person>
            <b:Last>Huang</b:Last>
            <b:First>Yafeng</b:First>
          </b:Person>
          <b:Person>
            <b:Last>Yan</b:Last>
            <b:First>Zhengfeng</b:First>
          </b:Person>
          <b:Person>
            <b:Last>Xue</b:Last>
            <b:First>Qi</b:First>
          </b:Person>
          <b:Person>
            <b:Last>Wang</b:Last>
            <b:First>Xiaofeng</b:First>
          </b:Person>
          <b:Person>
            <b:Last>Wang</b:Last>
            <b:First>Bozhou</b:First>
          </b:Person>
        </b:NameList>
      </b:Author>
    </b:Author>
    <b:JournalName>RSC Advances</b:JournalName>
    <b:Pages>1</b:Pages>
    <b:Issue>44</b:Issue>
    <b:RefOrder>8</b:RefOrder>
  </b:Source>
</b:Sources>
</file>

<file path=customXml/itemProps1.xml><?xml version="1.0" encoding="utf-8"?>
<ds:datastoreItem xmlns:ds="http://schemas.openxmlformats.org/officeDocument/2006/customXml" ds:itemID="{FB48B7A7-76FC-4E3B-92A2-097C6BBFE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8</Pages>
  <Words>3120</Words>
  <Characters>17788</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vt:lpstr/>
      <vt:lpstr/>
      <vt:lpstr>Introduction</vt:lpstr>
      <vt:lpstr>Basic Components of an Explosive Train</vt:lpstr>
      <vt:lpstr>Storing a Shell, and the Negative Effects of Bad Storage</vt:lpstr>
      <vt:lpstr>Safe Transportation of a Shell</vt:lpstr>
      <vt:lpstr>Using a Shell as Intended</vt:lpstr>
      <vt:lpstr>Alternatives to TNT</vt:lpstr>
      <vt:lpstr>    IMX-101</vt:lpstr>
      <vt:lpstr>    Composition H6</vt:lpstr>
      <vt:lpstr>    BOM (3,3′-Bi(1,2,4-oxadiazole)-5,5′-diylbis(methylene)dinitrate)</vt:lpstr>
      <vt:lpstr>&lt;References</vt:lpstr>
    </vt:vector>
  </TitlesOfParts>
  <Company>Authorised Company</Company>
  <LinksUpToDate>false</LinksUpToDate>
  <CharactersWithSpaces>20867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Reidy Luke</dc:creator>
  <cp:keywords/>
  <dc:description/>
  <cp:lastModifiedBy>Reidy Luke</cp:lastModifiedBy>
  <cp:revision>9</cp:revision>
  <dcterms:created xsi:type="dcterms:W3CDTF">2023-07-16T19:21:00Z</dcterms:created>
  <dcterms:modified xsi:type="dcterms:W3CDTF">2023-07-17T13:52:00Z</dcterms:modified>
</cp:coreProperties>
</file>