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75700" w14:textId="77777777" w:rsidR="009B7C6B" w:rsidRDefault="009B7C6B" w:rsidP="00FF5F45">
      <w:pPr>
        <w:spacing w:line="256" w:lineRule="auto"/>
        <w:jc w:val="both"/>
        <w:rPr>
          <w:rFonts w:ascii="Arial" w:hAnsi="Arial" w:cs="Arial"/>
          <w:b/>
          <w:bCs/>
          <w:sz w:val="24"/>
          <w:szCs w:val="24"/>
        </w:rPr>
      </w:pPr>
    </w:p>
    <w:p w14:paraId="6FB2F6D4" w14:textId="77777777" w:rsidR="009B7C6B" w:rsidRDefault="009B7C6B" w:rsidP="00FF5F45">
      <w:pPr>
        <w:spacing w:line="256" w:lineRule="auto"/>
        <w:jc w:val="both"/>
        <w:rPr>
          <w:rFonts w:ascii="Arial" w:hAnsi="Arial" w:cs="Arial"/>
          <w:b/>
          <w:bCs/>
          <w:sz w:val="24"/>
          <w:szCs w:val="24"/>
        </w:rPr>
      </w:pPr>
    </w:p>
    <w:p w14:paraId="79E38DAD" w14:textId="77777777" w:rsidR="009B7C6B" w:rsidRDefault="009B7C6B" w:rsidP="00FF5F45">
      <w:pPr>
        <w:spacing w:line="256" w:lineRule="auto"/>
        <w:jc w:val="both"/>
        <w:rPr>
          <w:rFonts w:ascii="Arial" w:hAnsi="Arial" w:cs="Arial"/>
          <w:b/>
          <w:bCs/>
          <w:sz w:val="24"/>
          <w:szCs w:val="24"/>
        </w:rPr>
      </w:pPr>
    </w:p>
    <w:p w14:paraId="268522A4" w14:textId="77777777" w:rsidR="009B7C6B" w:rsidRDefault="009B7C6B" w:rsidP="00FF5F45">
      <w:pPr>
        <w:spacing w:line="256" w:lineRule="auto"/>
        <w:jc w:val="both"/>
        <w:rPr>
          <w:rFonts w:ascii="Arial" w:hAnsi="Arial" w:cs="Arial"/>
          <w:b/>
          <w:bCs/>
          <w:sz w:val="24"/>
          <w:szCs w:val="24"/>
        </w:rPr>
      </w:pPr>
    </w:p>
    <w:p w14:paraId="67917E93" w14:textId="77777777" w:rsidR="009B7C6B" w:rsidRDefault="009B7C6B" w:rsidP="00FF5F45">
      <w:pPr>
        <w:spacing w:line="256" w:lineRule="auto"/>
        <w:jc w:val="both"/>
        <w:rPr>
          <w:rFonts w:ascii="Arial" w:hAnsi="Arial" w:cs="Arial"/>
          <w:b/>
          <w:bCs/>
          <w:sz w:val="24"/>
          <w:szCs w:val="24"/>
        </w:rPr>
      </w:pPr>
    </w:p>
    <w:p w14:paraId="637D8F45" w14:textId="77777777" w:rsidR="009B7C6B" w:rsidRDefault="009B7C6B" w:rsidP="00FF5F45">
      <w:pPr>
        <w:spacing w:line="256" w:lineRule="auto"/>
        <w:jc w:val="both"/>
        <w:rPr>
          <w:rFonts w:ascii="Arial" w:hAnsi="Arial" w:cs="Arial"/>
          <w:b/>
          <w:bCs/>
          <w:sz w:val="24"/>
          <w:szCs w:val="24"/>
        </w:rPr>
      </w:pPr>
    </w:p>
    <w:p w14:paraId="658DE552" w14:textId="77777777" w:rsidR="009B7C6B" w:rsidRDefault="009B7C6B" w:rsidP="00FF5F45">
      <w:pPr>
        <w:spacing w:line="256" w:lineRule="auto"/>
        <w:jc w:val="both"/>
        <w:rPr>
          <w:rFonts w:ascii="Arial" w:hAnsi="Arial" w:cs="Arial"/>
          <w:b/>
          <w:bCs/>
          <w:sz w:val="24"/>
          <w:szCs w:val="24"/>
        </w:rPr>
      </w:pPr>
    </w:p>
    <w:p w14:paraId="0BAFAB19" w14:textId="77777777" w:rsidR="009B7C6B" w:rsidRDefault="009B7C6B" w:rsidP="00FF5F45">
      <w:pPr>
        <w:spacing w:line="256" w:lineRule="auto"/>
        <w:jc w:val="both"/>
        <w:rPr>
          <w:rFonts w:ascii="Arial" w:hAnsi="Arial" w:cs="Arial"/>
          <w:b/>
          <w:bCs/>
          <w:sz w:val="24"/>
          <w:szCs w:val="24"/>
        </w:rPr>
      </w:pPr>
    </w:p>
    <w:p w14:paraId="5572FE44" w14:textId="77777777" w:rsidR="009B7C6B" w:rsidRDefault="009B7C6B" w:rsidP="00FF5F45">
      <w:pPr>
        <w:spacing w:line="256" w:lineRule="auto"/>
        <w:jc w:val="both"/>
        <w:rPr>
          <w:rFonts w:ascii="Arial" w:hAnsi="Arial" w:cs="Arial"/>
          <w:b/>
          <w:bCs/>
          <w:sz w:val="24"/>
          <w:szCs w:val="24"/>
        </w:rPr>
      </w:pPr>
    </w:p>
    <w:p w14:paraId="5D2D71C5" w14:textId="77777777" w:rsidR="009B7C6B" w:rsidRDefault="009B7C6B" w:rsidP="00FF5F45">
      <w:pPr>
        <w:spacing w:line="256" w:lineRule="auto"/>
        <w:jc w:val="both"/>
        <w:rPr>
          <w:rFonts w:ascii="Arial" w:hAnsi="Arial" w:cs="Arial"/>
          <w:b/>
          <w:bCs/>
          <w:sz w:val="24"/>
          <w:szCs w:val="24"/>
        </w:rPr>
      </w:pPr>
    </w:p>
    <w:p w14:paraId="49A40D35" w14:textId="77777777" w:rsidR="009B7C6B" w:rsidRDefault="009B7C6B" w:rsidP="00FF5F45">
      <w:pPr>
        <w:spacing w:line="256" w:lineRule="auto"/>
        <w:jc w:val="both"/>
        <w:rPr>
          <w:rFonts w:ascii="Arial" w:hAnsi="Arial" w:cs="Arial"/>
          <w:b/>
          <w:bCs/>
          <w:sz w:val="24"/>
          <w:szCs w:val="24"/>
        </w:rPr>
      </w:pPr>
    </w:p>
    <w:p w14:paraId="2D187C82" w14:textId="77777777" w:rsidR="009B7C6B" w:rsidRPr="009B7C6B" w:rsidRDefault="009B7C6B" w:rsidP="009B7C6B">
      <w:pPr>
        <w:spacing w:line="256" w:lineRule="auto"/>
        <w:jc w:val="center"/>
        <w:rPr>
          <w:rFonts w:ascii="Arial" w:hAnsi="Arial" w:cs="Arial"/>
          <w:sz w:val="24"/>
          <w:szCs w:val="24"/>
        </w:rPr>
      </w:pPr>
    </w:p>
    <w:p w14:paraId="458625A2" w14:textId="092C0BF2" w:rsidR="00FF5F45" w:rsidRPr="001E3941" w:rsidRDefault="00FF5F45" w:rsidP="009B7C6B">
      <w:pPr>
        <w:spacing w:line="256" w:lineRule="auto"/>
        <w:jc w:val="center"/>
        <w:rPr>
          <w:rFonts w:ascii="Arial" w:hAnsi="Arial" w:cs="Arial"/>
          <w:b/>
          <w:bCs/>
          <w:sz w:val="24"/>
          <w:szCs w:val="24"/>
        </w:rPr>
      </w:pPr>
      <w:r w:rsidRPr="001E3941">
        <w:rPr>
          <w:rFonts w:ascii="Arial" w:hAnsi="Arial" w:cs="Arial"/>
          <w:b/>
          <w:bCs/>
          <w:sz w:val="24"/>
          <w:szCs w:val="24"/>
        </w:rPr>
        <w:t>Discuss the main arguments for and against the use of restorative justice and restorative justice practices.</w:t>
      </w:r>
    </w:p>
    <w:p w14:paraId="4161E671" w14:textId="63D24774" w:rsidR="009B7C6B" w:rsidRDefault="009B7C6B" w:rsidP="00FF5F45">
      <w:pPr>
        <w:spacing w:line="256" w:lineRule="auto"/>
        <w:jc w:val="both"/>
        <w:rPr>
          <w:rFonts w:ascii="Arial" w:hAnsi="Arial" w:cs="Arial"/>
          <w:b/>
          <w:bCs/>
          <w:sz w:val="24"/>
          <w:szCs w:val="24"/>
        </w:rPr>
      </w:pPr>
    </w:p>
    <w:p w14:paraId="150C1525" w14:textId="2D461216" w:rsidR="009B7C6B" w:rsidRPr="001E3941" w:rsidRDefault="009B7C6B" w:rsidP="009B7C6B">
      <w:pPr>
        <w:spacing w:line="256" w:lineRule="auto"/>
        <w:jc w:val="center"/>
        <w:rPr>
          <w:rFonts w:ascii="Arial" w:hAnsi="Arial" w:cs="Arial"/>
          <w:sz w:val="24"/>
          <w:szCs w:val="24"/>
        </w:rPr>
      </w:pPr>
      <w:r w:rsidRPr="001E3941">
        <w:rPr>
          <w:rFonts w:ascii="Arial" w:hAnsi="Arial" w:cs="Arial"/>
          <w:sz w:val="24"/>
          <w:szCs w:val="24"/>
        </w:rPr>
        <w:t xml:space="preserve">Student ID: 1905889 | </w:t>
      </w:r>
      <w:r w:rsidR="001E3941" w:rsidRPr="001E3941">
        <w:rPr>
          <w:rFonts w:ascii="Arial" w:hAnsi="Arial" w:cs="Arial"/>
          <w:sz w:val="24"/>
          <w:szCs w:val="24"/>
        </w:rPr>
        <w:t xml:space="preserve">Word Count: </w:t>
      </w:r>
      <w:r w:rsidR="003E34D3">
        <w:rPr>
          <w:rFonts w:ascii="Arial" w:hAnsi="Arial" w:cs="Arial"/>
          <w:sz w:val="24"/>
          <w:szCs w:val="24"/>
        </w:rPr>
        <w:t>2,715</w:t>
      </w:r>
    </w:p>
    <w:p w14:paraId="43AE8449" w14:textId="1915ACD4" w:rsidR="009B7C6B" w:rsidRDefault="009B7C6B" w:rsidP="00FF5F45">
      <w:pPr>
        <w:spacing w:line="256" w:lineRule="auto"/>
        <w:jc w:val="both"/>
        <w:rPr>
          <w:rFonts w:ascii="Arial" w:hAnsi="Arial" w:cs="Arial"/>
          <w:b/>
          <w:bCs/>
          <w:sz w:val="24"/>
          <w:szCs w:val="24"/>
        </w:rPr>
      </w:pPr>
    </w:p>
    <w:p w14:paraId="6F93FF5A" w14:textId="1BB824B2" w:rsidR="009B7C6B" w:rsidRDefault="009B7C6B" w:rsidP="00FF5F45">
      <w:pPr>
        <w:spacing w:line="256" w:lineRule="auto"/>
        <w:jc w:val="both"/>
        <w:rPr>
          <w:rFonts w:ascii="Arial" w:hAnsi="Arial" w:cs="Arial"/>
          <w:b/>
          <w:bCs/>
          <w:sz w:val="24"/>
          <w:szCs w:val="24"/>
        </w:rPr>
      </w:pPr>
    </w:p>
    <w:p w14:paraId="02648407" w14:textId="63E4D3B4" w:rsidR="009B7C6B" w:rsidRDefault="009B7C6B" w:rsidP="00FF5F45">
      <w:pPr>
        <w:spacing w:line="256" w:lineRule="auto"/>
        <w:jc w:val="both"/>
        <w:rPr>
          <w:rFonts w:ascii="Arial" w:hAnsi="Arial" w:cs="Arial"/>
          <w:b/>
          <w:bCs/>
          <w:sz w:val="24"/>
          <w:szCs w:val="24"/>
        </w:rPr>
      </w:pPr>
    </w:p>
    <w:p w14:paraId="0D9E01F7" w14:textId="01BE224C" w:rsidR="009B7C6B" w:rsidRDefault="009B7C6B" w:rsidP="00FF5F45">
      <w:pPr>
        <w:spacing w:line="256" w:lineRule="auto"/>
        <w:jc w:val="both"/>
        <w:rPr>
          <w:rFonts w:ascii="Arial" w:hAnsi="Arial" w:cs="Arial"/>
          <w:b/>
          <w:bCs/>
          <w:sz w:val="24"/>
          <w:szCs w:val="24"/>
        </w:rPr>
      </w:pPr>
    </w:p>
    <w:p w14:paraId="76366E9C" w14:textId="213E4EF0" w:rsidR="009B7C6B" w:rsidRDefault="009B7C6B" w:rsidP="00FF5F45">
      <w:pPr>
        <w:spacing w:line="256" w:lineRule="auto"/>
        <w:jc w:val="both"/>
        <w:rPr>
          <w:rFonts w:ascii="Arial" w:hAnsi="Arial" w:cs="Arial"/>
          <w:b/>
          <w:bCs/>
          <w:sz w:val="24"/>
          <w:szCs w:val="24"/>
        </w:rPr>
      </w:pPr>
    </w:p>
    <w:p w14:paraId="52BCE03D" w14:textId="32F37202" w:rsidR="009B7C6B" w:rsidRDefault="009B7C6B" w:rsidP="00FF5F45">
      <w:pPr>
        <w:spacing w:line="256" w:lineRule="auto"/>
        <w:jc w:val="both"/>
        <w:rPr>
          <w:rFonts w:ascii="Arial" w:hAnsi="Arial" w:cs="Arial"/>
          <w:b/>
          <w:bCs/>
          <w:sz w:val="24"/>
          <w:szCs w:val="24"/>
        </w:rPr>
      </w:pPr>
    </w:p>
    <w:p w14:paraId="40697524" w14:textId="28BFCBAF" w:rsidR="009B7C6B" w:rsidRDefault="009B7C6B" w:rsidP="00FF5F45">
      <w:pPr>
        <w:spacing w:line="256" w:lineRule="auto"/>
        <w:jc w:val="both"/>
        <w:rPr>
          <w:rFonts w:ascii="Arial" w:hAnsi="Arial" w:cs="Arial"/>
          <w:b/>
          <w:bCs/>
          <w:sz w:val="24"/>
          <w:szCs w:val="24"/>
        </w:rPr>
      </w:pPr>
    </w:p>
    <w:p w14:paraId="60F5B7BD" w14:textId="4D96AC38" w:rsidR="009B7C6B" w:rsidRDefault="009B7C6B" w:rsidP="00FF5F45">
      <w:pPr>
        <w:spacing w:line="256" w:lineRule="auto"/>
        <w:jc w:val="both"/>
        <w:rPr>
          <w:rFonts w:ascii="Arial" w:hAnsi="Arial" w:cs="Arial"/>
          <w:b/>
          <w:bCs/>
          <w:sz w:val="24"/>
          <w:szCs w:val="24"/>
        </w:rPr>
      </w:pPr>
    </w:p>
    <w:p w14:paraId="2859C307" w14:textId="169B9F7D" w:rsidR="009B7C6B" w:rsidRDefault="009B7C6B" w:rsidP="00FF5F45">
      <w:pPr>
        <w:spacing w:line="256" w:lineRule="auto"/>
        <w:jc w:val="both"/>
        <w:rPr>
          <w:rFonts w:ascii="Arial" w:hAnsi="Arial" w:cs="Arial"/>
          <w:b/>
          <w:bCs/>
          <w:sz w:val="24"/>
          <w:szCs w:val="24"/>
        </w:rPr>
      </w:pPr>
    </w:p>
    <w:p w14:paraId="6B423DDF" w14:textId="674C8E71" w:rsidR="009B7C6B" w:rsidRDefault="009B7C6B" w:rsidP="00FF5F45">
      <w:pPr>
        <w:spacing w:line="256" w:lineRule="auto"/>
        <w:jc w:val="both"/>
        <w:rPr>
          <w:rFonts w:ascii="Arial" w:hAnsi="Arial" w:cs="Arial"/>
          <w:b/>
          <w:bCs/>
          <w:sz w:val="24"/>
          <w:szCs w:val="24"/>
        </w:rPr>
      </w:pPr>
    </w:p>
    <w:p w14:paraId="7F017DC2" w14:textId="77426D37" w:rsidR="009B7C6B" w:rsidRDefault="009B7C6B" w:rsidP="00FF5F45">
      <w:pPr>
        <w:spacing w:line="256" w:lineRule="auto"/>
        <w:jc w:val="both"/>
        <w:rPr>
          <w:rFonts w:ascii="Arial" w:hAnsi="Arial" w:cs="Arial"/>
          <w:b/>
          <w:bCs/>
          <w:sz w:val="24"/>
          <w:szCs w:val="24"/>
        </w:rPr>
      </w:pPr>
    </w:p>
    <w:p w14:paraId="4A64CCFE" w14:textId="18190969" w:rsidR="009B7C6B" w:rsidRDefault="009B7C6B" w:rsidP="00FF5F45">
      <w:pPr>
        <w:spacing w:line="256" w:lineRule="auto"/>
        <w:jc w:val="both"/>
        <w:rPr>
          <w:rFonts w:ascii="Arial" w:hAnsi="Arial" w:cs="Arial"/>
          <w:b/>
          <w:bCs/>
          <w:sz w:val="24"/>
          <w:szCs w:val="24"/>
        </w:rPr>
      </w:pPr>
    </w:p>
    <w:p w14:paraId="138AD285" w14:textId="56FA456D" w:rsidR="009B7C6B" w:rsidRDefault="00CF2823" w:rsidP="00CF2823">
      <w:pPr>
        <w:spacing w:line="256" w:lineRule="auto"/>
        <w:jc w:val="center"/>
        <w:rPr>
          <w:rFonts w:ascii="Arial" w:hAnsi="Arial" w:cs="Arial"/>
          <w:b/>
          <w:bCs/>
          <w:sz w:val="24"/>
          <w:szCs w:val="24"/>
        </w:rPr>
      </w:pPr>
      <w:r>
        <w:rPr>
          <w:noProof/>
        </w:rPr>
        <w:drawing>
          <wp:inline distT="0" distB="0" distL="0" distR="0" wp14:anchorId="5A464109" wp14:editId="4CC49578">
            <wp:extent cx="2484540" cy="825695"/>
            <wp:effectExtent l="0" t="0" r="0" b="0"/>
            <wp:docPr id="1" name="Picture 1"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ergency Notices | UWTS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48395" cy="846916"/>
                    </a:xfrm>
                    <a:prstGeom prst="rect">
                      <a:avLst/>
                    </a:prstGeom>
                    <a:noFill/>
                    <a:ln>
                      <a:noFill/>
                    </a:ln>
                  </pic:spPr>
                </pic:pic>
              </a:graphicData>
            </a:graphic>
          </wp:inline>
        </w:drawing>
      </w:r>
    </w:p>
    <w:p w14:paraId="1D2AE38E" w14:textId="06A9254A" w:rsidR="00E956BB" w:rsidRPr="00FF5F45" w:rsidRDefault="00E956BB">
      <w:pPr>
        <w:rPr>
          <w:rFonts w:ascii="Arial" w:hAnsi="Arial" w:cs="Arial"/>
          <w:sz w:val="24"/>
          <w:szCs w:val="24"/>
        </w:rPr>
      </w:pPr>
    </w:p>
    <w:p w14:paraId="16824C97" w14:textId="77777777" w:rsidR="000C7B69" w:rsidRPr="000C7B69" w:rsidRDefault="000C7B69" w:rsidP="000C7B69">
      <w:pPr>
        <w:spacing w:line="480" w:lineRule="auto"/>
        <w:jc w:val="both"/>
        <w:rPr>
          <w:rFonts w:ascii="Arial" w:hAnsi="Arial" w:cs="Arial"/>
          <w:sz w:val="24"/>
          <w:szCs w:val="24"/>
        </w:rPr>
      </w:pPr>
      <w:r w:rsidRPr="000C7B69">
        <w:rPr>
          <w:rFonts w:ascii="Arial" w:hAnsi="Arial" w:cs="Arial"/>
          <w:sz w:val="24"/>
          <w:szCs w:val="24"/>
        </w:rPr>
        <w:t>The Restorative Justice Consortium (2006) provides that restorative justice is designed with the purpose of resolving conflict and repairing harm by encouraging offenders to accept responsibility. The Centre for Justice and Reconciliation (2005) explains that there is a significant difference between restorative justice and contemporary criminal justice due to the way that criminal acts are perceived. Rather than an offence being defined as an omission of the law, restorative justice acknowledges the impact on victims, communities, and even offenders themselves (Shapland et al., 2007). Furthermore, rather than measuring the degree of punishment, restorative justice measures how much harm is repaired or prevented (The Centre for Justice and Reconciliation, 2005). A unique benefit to restorative justice practices is that they are not restricted to custodial settings but are also deliverable to offenders who have received a non-custodial sentence. Despite the overwhelming support for restorative justice, criticism is present due to the vulnerabilities of such practices. Gaudreault (2005) has published that there is supporting data that shows restorative justice practices allow offenders, who do not have a true intention to change, to evade accountability and remorse by abusing the system and using restorative justice as an easy alternative to traditional measures such as incarceration, which are typically perceived as harsher alternatives. Additionally, Morris, Maxwell, and Robertson (1993) explain that victims can be forced into mediation meetings or other restorative practices at a time when the victim is not prepared to do so, and consequently, victims are forced into a process where their psychological state has been unaccounted for and yet they are reassured that they will find closure by participating in the practices.</w:t>
      </w:r>
    </w:p>
    <w:p w14:paraId="2EFFA60F" w14:textId="77777777" w:rsidR="00B14743" w:rsidRPr="00B14743" w:rsidRDefault="00B14743" w:rsidP="00B14743">
      <w:pPr>
        <w:spacing w:line="480" w:lineRule="auto"/>
        <w:jc w:val="both"/>
        <w:rPr>
          <w:rFonts w:ascii="Arial" w:hAnsi="Arial" w:cs="Arial"/>
          <w:sz w:val="24"/>
          <w:szCs w:val="24"/>
        </w:rPr>
      </w:pPr>
      <w:r w:rsidRPr="00B14743">
        <w:rPr>
          <w:rFonts w:ascii="Arial" w:hAnsi="Arial" w:cs="Arial"/>
          <w:sz w:val="24"/>
          <w:szCs w:val="24"/>
        </w:rPr>
        <w:lastRenderedPageBreak/>
        <w:t>According to figures published by Clark (2021), the average price of a prison placement in England and Wales in 2019–20 was £44,640 per annum. Although it is unknown how much it costs to administer restorative justice for each offender on average, Shapland et al. (2008) estimate that restorative justice can save the criminal justice system at least £185 million over the course of two years and up to £9 for every £1 spent. In contrast, the Ministry of Justice has previously clarified that although there are significant benefits, the assertion that restorative justice saves £9 for every £1 spent should not be given undue weight (House of Commons Justice Committee, 2016). This is owing to the fact that it resulted from a successful site in the Home Office experiment, only applies to victim-offender conferences, and ignores the fact that different sorts of offences have varying costs and levels of effectiveness - despite these issues, there is ample proof that restorative justice can deliver value for money by decreasing reoffending rates while also offering victims measurable advantages (House of Commons Justice Committee, 2016).</w:t>
      </w:r>
    </w:p>
    <w:p w14:paraId="3937190D" w14:textId="14E909DF" w:rsidR="00A34F1E" w:rsidRDefault="00D37C2F" w:rsidP="006B3F9F">
      <w:pPr>
        <w:spacing w:line="480" w:lineRule="auto"/>
        <w:jc w:val="both"/>
        <w:rPr>
          <w:rFonts w:ascii="Arial" w:hAnsi="Arial" w:cs="Arial"/>
          <w:sz w:val="24"/>
          <w:szCs w:val="24"/>
        </w:rPr>
      </w:pPr>
      <w:r w:rsidRPr="00D37C2F">
        <w:rPr>
          <w:rFonts w:ascii="Arial" w:hAnsi="Arial" w:cs="Arial"/>
          <w:sz w:val="24"/>
          <w:szCs w:val="24"/>
        </w:rPr>
        <w:t xml:space="preserve">A fundamental differential factor between traditional criminal justice and restorative justice is the flexibility that restorative justice offers, which largely explains the cost effectiveness. Unlike prison, restorative justice utilises practices which are predominantly delivered in the community, and therefore, costs are already significantly reduced due to the flexible approach (Shapland et al., 2008). Restorative justice focuses on victim-offender mediation, which can occur through direct dialogue between the offender and victim or through indirect communication involving third parties (Crown Prosecution Service, 2019). It can also involve restitution or reparation where this is agreed between offenders and their victims. Ward and Fox (2014) identify that some advocates of restorative justice believe that it is possible to lower crime rates by influencing psychological perspectives and understanding in criminals, such </w:t>
      </w:r>
      <w:r w:rsidRPr="00D37C2F">
        <w:rPr>
          <w:rFonts w:ascii="Arial" w:hAnsi="Arial" w:cs="Arial"/>
          <w:sz w:val="24"/>
          <w:szCs w:val="24"/>
        </w:rPr>
        <w:lastRenderedPageBreak/>
        <w:t>as the acquisition of empathy through the process of confronting and listening to their victims. Restorative justice, according to Ward and Langlands (2009), is essentially an ethical concept that aims to redress the harm brought on by crime in a way that is inclusive and community responsive.</w:t>
      </w:r>
    </w:p>
    <w:p w14:paraId="3EA34BE4" w14:textId="77777777" w:rsidR="00F475EC" w:rsidRPr="00F475EC" w:rsidRDefault="00F475EC" w:rsidP="00F475EC">
      <w:pPr>
        <w:spacing w:line="480" w:lineRule="auto"/>
        <w:jc w:val="both"/>
        <w:rPr>
          <w:rFonts w:ascii="Arial" w:hAnsi="Arial" w:cs="Arial"/>
          <w:sz w:val="24"/>
          <w:szCs w:val="24"/>
        </w:rPr>
      </w:pPr>
      <w:r w:rsidRPr="00F475EC">
        <w:rPr>
          <w:rFonts w:ascii="Arial" w:hAnsi="Arial" w:cs="Arial"/>
          <w:sz w:val="24"/>
          <w:szCs w:val="24"/>
        </w:rPr>
        <w:t>There are several justifications for including the community in restorative justice. The first is the importance of lay involvement in the legal system, historically and symbolically, where the revered aspect of common law is the participation of the public in the administration and determination of justice (Crawford and Newburn, 2002). This involvement has always been viewed as being in favour of juries and lay magistrates, but, also applies to lay involvement in restorative justice, where direct participation by the parties can help bring the conflict back to the community (Crawford, 2004). Gasil et al. (2010) concur that involving communities strengthens the legitimacy of actions because it fosters more trust in the judicial system and gives offenders and victims a chance to forge relations of social solidarity and a commitment to common ideals. (Tyler, 2006). While the managerialism and corporatism that characterise traditional criminal justice processes are present, restorative justice allows for an emphasis on emotion, empowerment through the expression of empathy for victims, or labelling theory shaming of offenders (Crawford and Newburn, 2002).</w:t>
      </w:r>
    </w:p>
    <w:p w14:paraId="64DE76CB" w14:textId="77777777" w:rsidR="009A0E70" w:rsidRPr="009A0E70" w:rsidRDefault="009A0E70" w:rsidP="009A0E70">
      <w:pPr>
        <w:spacing w:line="480" w:lineRule="auto"/>
        <w:jc w:val="both"/>
        <w:rPr>
          <w:rFonts w:ascii="Arial" w:hAnsi="Arial" w:cs="Arial"/>
          <w:sz w:val="24"/>
          <w:szCs w:val="24"/>
        </w:rPr>
      </w:pPr>
      <w:r w:rsidRPr="009A0E70">
        <w:rPr>
          <w:rFonts w:ascii="Arial" w:hAnsi="Arial" w:cs="Arial"/>
          <w:sz w:val="24"/>
          <w:szCs w:val="24"/>
        </w:rPr>
        <w:t xml:space="preserve">Concerns arise relating to the identification and recruitment of community participants as there is identifiable potential for a lack of diversity and representativeness, the potential for unbridled authority and vigilantism, and "quasi-professional" lay people acting in the role of community members are all obstacles to effective community involvement, which as already provided, is a fundamental part of the restorative justice process (Rossner and Bruce, 2016). As part of a research study, it was observed that vulnerabilities arise when community members who have previously participated in </w:t>
      </w:r>
      <w:r w:rsidRPr="009A0E70">
        <w:rPr>
          <w:rFonts w:ascii="Arial" w:hAnsi="Arial" w:cs="Arial"/>
          <w:sz w:val="24"/>
          <w:szCs w:val="24"/>
        </w:rPr>
        <w:lastRenderedPageBreak/>
        <w:t>restorative justice conferences naturally dismiss the need to be briefed on how the process functions (Young, 2001). Despite thorough preparation, community participants are not variables that can be controlled and there have been instances where the community member aggressively challenges the victim and refuses to accept the offender’s account, which leads to profound hostility between all parties and a breakdown in the process (Rossner and Bruce, 2016).</w:t>
      </w:r>
    </w:p>
    <w:p w14:paraId="18C1DE1E" w14:textId="77777777" w:rsidR="004C554A" w:rsidRPr="004C554A" w:rsidRDefault="004C554A" w:rsidP="004C554A">
      <w:pPr>
        <w:spacing w:line="480" w:lineRule="auto"/>
        <w:jc w:val="both"/>
        <w:rPr>
          <w:rFonts w:ascii="Arial" w:hAnsi="Arial" w:cs="Arial"/>
          <w:sz w:val="24"/>
          <w:szCs w:val="24"/>
        </w:rPr>
      </w:pPr>
      <w:r w:rsidRPr="004C554A">
        <w:rPr>
          <w:rFonts w:ascii="Arial" w:hAnsi="Arial" w:cs="Arial"/>
          <w:sz w:val="24"/>
          <w:szCs w:val="24"/>
        </w:rPr>
        <w:t>In 2010, nearly one in five victims reported being unsatisfied with their interactions with the criminal court system, but just 3% of victims reported feeling the same way about their experiences with restorative justice (Witness and Victim Experience Survey, 2010). According to studies, more than half of victims believed restorative justice had lessened the impact of the offence, and nearly two in five indicated they felt more secure as a result of participating (Keeling, 2019).  As published by Van Camp and Wemmers (2013), preparing for a face-to-face meeting was crucial because it made it possible to address victims' emotional needs, which goes beyond interactional justice and serves as a source of care, support, and empowerment for victims. Furthermore, it has been understood that victims have remarked that the preparation stage allows for clear expectations to be formulated so that victims are clear on what the objective of the process is and also gives them an opportunity to regulate their emotions while receiving support from the mediator, unrelated to communication with the offender (Van Camp and Wemmers, 2013). Traditionally, the criminal justice system has been heavily criticised for prolonging distress and inadequately supporting victims. For context, it is estimated that around 71% of domestic abuse victims were left to navigate the complex criminal justice system with little or no dedicated support and, therefore, were unable to focus on progressing with their recovery (Domestic Abuse Commissioner, 2021).</w:t>
      </w:r>
    </w:p>
    <w:p w14:paraId="3C7205F0" w14:textId="77777777" w:rsidR="00BF5C5B" w:rsidRPr="00BF5C5B" w:rsidRDefault="00BF5C5B" w:rsidP="00BF5C5B">
      <w:pPr>
        <w:spacing w:line="480" w:lineRule="auto"/>
        <w:jc w:val="both"/>
        <w:rPr>
          <w:rFonts w:ascii="Arial" w:hAnsi="Arial" w:cs="Arial"/>
          <w:sz w:val="24"/>
          <w:szCs w:val="24"/>
        </w:rPr>
      </w:pPr>
      <w:r w:rsidRPr="00BF5C5B">
        <w:rPr>
          <w:rFonts w:ascii="Arial" w:hAnsi="Arial" w:cs="Arial"/>
          <w:sz w:val="24"/>
          <w:szCs w:val="24"/>
        </w:rPr>
        <w:lastRenderedPageBreak/>
        <w:t>Despite the apparent benefits to victims through restorative justice, there are instances where victims are left feeling disappointed due to the perception that restorative justice provides an ‘easy’ option for offenders to evade punishment. In 2019, a YouGov poll gathered data which showed that 72% (participants outside of London) and 60% (participants in London) voted that punishments for offenders were not harsh enough (Ibbetson, 2019). Recently, a racially aggravated assault occurred in North Wales, an incident which a police officer of 13 years referred to as the vilest abuse witnessed in their career (Wyn and Herd, 2022). The perpetrator was sentenced to a 20-week suspended sentence and a £500 fine, which has left the victim feeling humiliated by racism and criticising the legal system for not enforcing punishment on those who have been caught red-handed (Wyn and Herd, 2022). This incident acts as a prime example of where restorative justice and non-custodial sentences leave victims feeling further victimised by inadequate repercussions for offending behaviour.</w:t>
      </w:r>
    </w:p>
    <w:p w14:paraId="5734B8E1" w14:textId="77777777" w:rsidR="005B0BFC" w:rsidRPr="005B0BFC" w:rsidRDefault="005B0BFC" w:rsidP="005B0BFC">
      <w:pPr>
        <w:spacing w:line="480" w:lineRule="auto"/>
        <w:jc w:val="both"/>
        <w:rPr>
          <w:rFonts w:ascii="Arial" w:hAnsi="Arial" w:cs="Arial"/>
          <w:sz w:val="24"/>
          <w:szCs w:val="24"/>
        </w:rPr>
      </w:pPr>
      <w:r w:rsidRPr="005B0BFC">
        <w:rPr>
          <w:rFonts w:ascii="Arial" w:hAnsi="Arial" w:cs="Arial"/>
          <w:sz w:val="24"/>
          <w:szCs w:val="24"/>
        </w:rPr>
        <w:t>The basic principle of restorative justice is based on resolution and repair. As a result, concerns arise about whether restorative practice can effectively discourage recidivism. Reoffending rates of those who have been released from prison have been proven to be 39% (Taylor, 2022), whereas statistics gathered between 2001 and 2008, provide that offenders who participated in restorative justice were linked to a lower general average reoffending rate of 14% (Restorative Justice Council, 2016). Though the reoffending rates are lower, so are the referral rates, therefore, allowing for a disproportionate comparison despite the data being collected over several years. Keeling (2019) notes that inadequate referral rates, which are also a sign of low understanding of restorative interventions within the criminal justice system, hinder the provision of restorative justice services.</w:t>
      </w:r>
    </w:p>
    <w:p w14:paraId="41B956AF" w14:textId="77777777" w:rsidR="0022488C" w:rsidRPr="0022488C" w:rsidRDefault="0022488C" w:rsidP="0022488C">
      <w:pPr>
        <w:spacing w:line="480" w:lineRule="auto"/>
        <w:jc w:val="both"/>
        <w:rPr>
          <w:rFonts w:ascii="Arial" w:hAnsi="Arial" w:cs="Arial"/>
          <w:sz w:val="24"/>
          <w:szCs w:val="24"/>
        </w:rPr>
      </w:pPr>
      <w:r w:rsidRPr="0022488C">
        <w:rPr>
          <w:rFonts w:ascii="Arial" w:hAnsi="Arial" w:cs="Arial"/>
          <w:sz w:val="24"/>
          <w:szCs w:val="24"/>
        </w:rPr>
        <w:lastRenderedPageBreak/>
        <w:t>Wood (2015) highlights that restorative justice programmes are largely associated with crimes that uncommonly lead to incarceration, and therefore, it is suggested that it is an alternative to traditional criminal justice measurements all together rather than an element interlinked with said traditional measures. While some researchers agree that there is limited data available, particularly when it comes to various types of programmes, many scholars are much more optimistic about the role of restorative justice as an alternative. For instance, Van Ness and Strong (2013) point out that little is known about the efficacy of using conference circles with indigenous people. Although Alarid (2016) acknowledges that conferencing is extremely beneficial for young offenders, this kind of restorative justice practice has no noticeable effect on adult recidivism.</w:t>
      </w:r>
    </w:p>
    <w:p w14:paraId="2AC42BBE" w14:textId="77777777" w:rsidR="00C01BB8" w:rsidRPr="00C01BB8" w:rsidRDefault="00C01BB8" w:rsidP="00C01BB8">
      <w:pPr>
        <w:spacing w:line="480" w:lineRule="auto"/>
        <w:jc w:val="both"/>
        <w:rPr>
          <w:rFonts w:ascii="Arial" w:hAnsi="Arial" w:cs="Arial"/>
          <w:sz w:val="24"/>
          <w:szCs w:val="24"/>
        </w:rPr>
      </w:pPr>
      <w:r w:rsidRPr="00C01BB8">
        <w:rPr>
          <w:rFonts w:ascii="Arial" w:hAnsi="Arial" w:cs="Arial"/>
          <w:sz w:val="24"/>
          <w:szCs w:val="24"/>
        </w:rPr>
        <w:t>Additionally, as per Radzik (2007), restorative justice places a great deal of emphasis on the offender's capacity to engage in constructive restorative justice practices due to the need for sincerity and honesty throughout the voluntary process. Thus, in the event where the offender is not sincere and views the process as an attempt to evade punishment, then the entire practice and system is undermined. Similarly, if the victim is seeking retribution and they abuse the system and use it as an opportunity to shame the offender rather than to attain resolution, then that leaves a high probability of negative psychological and emotional consequences for both the victim and offender (Radzik, 2007).</w:t>
      </w:r>
    </w:p>
    <w:p w14:paraId="182F05F9" w14:textId="77777777" w:rsidR="00F17230" w:rsidRPr="00F17230" w:rsidRDefault="00F17230" w:rsidP="00F17230">
      <w:pPr>
        <w:spacing w:line="480" w:lineRule="auto"/>
        <w:jc w:val="both"/>
        <w:rPr>
          <w:rFonts w:ascii="Arial" w:hAnsi="Arial" w:cs="Arial"/>
          <w:sz w:val="24"/>
          <w:szCs w:val="24"/>
        </w:rPr>
      </w:pPr>
      <w:r w:rsidRPr="00F17230">
        <w:rPr>
          <w:rFonts w:ascii="Arial" w:hAnsi="Arial" w:cs="Arial"/>
          <w:sz w:val="24"/>
          <w:szCs w:val="24"/>
        </w:rPr>
        <w:t xml:space="preserve">There are various crimes where restorative justice is deemed unapplicable. For instance, county-lines or other crimes of substance misuse involving youths. Traditional substance-related programmes, according to proponents of restorative justice, force youth offenders to be passive users of services rather than active participants in the justice system (Schwebel and Zaslaw, 2002). Therefore, in a </w:t>
      </w:r>
      <w:r w:rsidRPr="00F17230">
        <w:rPr>
          <w:rFonts w:ascii="Arial" w:hAnsi="Arial" w:cs="Arial"/>
          <w:sz w:val="24"/>
          <w:szCs w:val="24"/>
        </w:rPr>
        <w:lastRenderedPageBreak/>
        <w:t>restorative justice context, resolution is often not sincere as many of the participants involved do not recognise their substance misuse as a need that requires addressing, meaning that they are simply proceeding with a system where they feel they will not face punishment (Schwebel and Zaslaw, 2002). Whereas, in institutional settings, prisoners who have been identified or are known to use illicit substances receive various different resources, support services and treatment plans as part of the national prison drug strategy aims while facing punishment for their offending behaviour (UK Drug Policy Commission, 2008).</w:t>
      </w:r>
    </w:p>
    <w:p w14:paraId="14D924D0" w14:textId="77777777" w:rsidR="00461BCF" w:rsidRPr="00461BCF" w:rsidRDefault="00461BCF" w:rsidP="00461BCF">
      <w:pPr>
        <w:spacing w:line="480" w:lineRule="auto"/>
        <w:jc w:val="both"/>
        <w:rPr>
          <w:rFonts w:ascii="Arial" w:hAnsi="Arial" w:cs="Arial"/>
          <w:sz w:val="24"/>
          <w:szCs w:val="24"/>
        </w:rPr>
      </w:pPr>
      <w:r w:rsidRPr="00461BCF">
        <w:rPr>
          <w:rFonts w:ascii="Arial" w:hAnsi="Arial" w:cs="Arial"/>
          <w:sz w:val="24"/>
          <w:szCs w:val="24"/>
        </w:rPr>
        <w:t>However, resistance to restorative justice being discredited because of abuse by insincere offenders often surfaces because of arguments such as Brooks (2015) and Shapland et al. (2008), who explain that as part of the preparation process, offenders must accept their wrong-doing and comprehensive conversations are held encircling accountability and responsibility to confirm sincerity. Only once sincerity and onus are confirmed, will mediation and other direct-communication restorative practices be considered.</w:t>
      </w:r>
    </w:p>
    <w:p w14:paraId="072B67F6" w14:textId="77777777" w:rsidR="000A0B73" w:rsidRPr="000A0B73" w:rsidRDefault="000A0B73" w:rsidP="000A0B73">
      <w:pPr>
        <w:spacing w:line="480" w:lineRule="auto"/>
        <w:jc w:val="both"/>
        <w:rPr>
          <w:rFonts w:ascii="Arial" w:hAnsi="Arial" w:cs="Arial"/>
          <w:sz w:val="24"/>
          <w:szCs w:val="24"/>
        </w:rPr>
      </w:pPr>
      <w:r w:rsidRPr="000A0B73">
        <w:rPr>
          <w:rFonts w:ascii="Arial" w:hAnsi="Arial" w:cs="Arial"/>
          <w:sz w:val="24"/>
          <w:szCs w:val="24"/>
        </w:rPr>
        <w:t xml:space="preserve">It is argued that a key advantage of prison and traditional criminal justice procedures is that, by sending guilty parties to prison, society shows its disdain for certain antisocial behaviours and removes people who engage in these behaviours from the community (Gendreau, Goggin and Cullen, 1999). However, many offenders are eventually released from prison and, therefore, deterring convicts from participating in additional criminal behaviour is another fundamental objective of prison. Lee and McCray (2009) contest this ideology by providing that there is substantial supporting evidence in the form of case studies, statistical analysis, and reviews that custodial sentences do not effectively deter reoffending but do serve as a form of punishment to clearly outline the social perspectives of crime, which does prevent many from </w:t>
      </w:r>
      <w:r w:rsidRPr="000A0B73">
        <w:rPr>
          <w:rFonts w:ascii="Arial" w:hAnsi="Arial" w:cs="Arial"/>
          <w:sz w:val="24"/>
          <w:szCs w:val="24"/>
        </w:rPr>
        <w:lastRenderedPageBreak/>
        <w:t>breaking these normalities. Although if prisons are able to deliver effective programmes similar to those which are supported by the UK Drug Policy Commission (2008) and provide a form of punishment, questions arise as to why restorative justice is necessary.</w:t>
      </w:r>
    </w:p>
    <w:p w14:paraId="189E6FF4" w14:textId="77777777" w:rsidR="00E3365D" w:rsidRPr="00E3365D" w:rsidRDefault="00E3365D" w:rsidP="00E3365D">
      <w:pPr>
        <w:spacing w:line="480" w:lineRule="auto"/>
        <w:jc w:val="both"/>
        <w:rPr>
          <w:rFonts w:ascii="Arial" w:hAnsi="Arial" w:cs="Arial"/>
          <w:sz w:val="24"/>
          <w:szCs w:val="24"/>
        </w:rPr>
      </w:pPr>
      <w:r w:rsidRPr="00E3365D">
        <w:rPr>
          <w:rFonts w:ascii="Arial" w:hAnsi="Arial" w:cs="Arial"/>
          <w:sz w:val="24"/>
          <w:szCs w:val="24"/>
        </w:rPr>
        <w:t>The clear issue appears to be that prisons are failing to rehabilitate offenders, and that is why restorative justice has become increasingly popular. Moore (2016) provides that by reviewing prison-leaver reoffending rates and the uncontrollable custodial substance misuse, suicide, and gang challenges, all while the penal system is being severely underfunded - it is evident that prisons in England and Wales, without major reform, are not designed to successfully rehabilitate offenders. Instead, community-based rehabilitation schemes are more effective and better preferred. In 2019, the Dyfed-Powys Diversionary Scheme was launched with the objective of working with low-level offenders to address the underlying root cause of their offending behaviour as well as using restorative practice techniques for victim-offender resolution (Dyfed-Powys Police and Crime Commissioner, 2019). Commissioned by Dyfed-Powys Police and delivered by Pobl, the Scheme consists of Restorative Justice Forum trained Floating Support Workers, working closely with low-level offenders who have been eligible for an out-of-court disposal to identify societal causations for their offending behaviour which need addressing to prevent reoffending before engaging in restorative practice mediation processes (Dyfed-Powys Police and Crime Commissioner, 2019).</w:t>
      </w:r>
    </w:p>
    <w:p w14:paraId="734FD5AD" w14:textId="4575C5D2" w:rsidR="009436B2" w:rsidRDefault="003A70A8" w:rsidP="009E6432">
      <w:pPr>
        <w:spacing w:line="480" w:lineRule="auto"/>
        <w:jc w:val="both"/>
        <w:rPr>
          <w:rFonts w:ascii="Arial" w:hAnsi="Arial" w:cs="Arial"/>
          <w:sz w:val="24"/>
          <w:szCs w:val="24"/>
        </w:rPr>
      </w:pPr>
      <w:r w:rsidRPr="003A70A8">
        <w:rPr>
          <w:rFonts w:ascii="Arial" w:hAnsi="Arial" w:cs="Arial"/>
          <w:sz w:val="24"/>
          <w:szCs w:val="24"/>
        </w:rPr>
        <w:t xml:space="preserve">By implementing schemes such as the Dyfed-Powys Diversionary Scheme, there are contracts made with offenders which focus on addressing support needs that are more adaptable in nature as opposed to rigid prison programmes, thus allowing for greater and more person-centered on the particular needs of offenders (Brooks, 2015). </w:t>
      </w:r>
      <w:r w:rsidRPr="003A70A8">
        <w:rPr>
          <w:rFonts w:ascii="Arial" w:hAnsi="Arial" w:cs="Arial"/>
          <w:sz w:val="24"/>
          <w:szCs w:val="24"/>
        </w:rPr>
        <w:lastRenderedPageBreak/>
        <w:t>Common outcomes include requiring offenders to seek treatment to overcome their substance abuse or anger management issues, providing training to improve employment and general life skills; agreeing to some form of victim restitution, and frequently including a component of community service. It has been discovered that this improved targeting of offender needs results in up to a 25% reduction in reoffending compared to alternatives (Shapland et al., 2008).</w:t>
      </w:r>
      <w:r w:rsidR="00B6047D">
        <w:rPr>
          <w:rFonts w:ascii="Arial" w:hAnsi="Arial" w:cs="Arial"/>
          <w:sz w:val="24"/>
          <w:szCs w:val="24"/>
        </w:rPr>
        <w:t xml:space="preserve"> </w:t>
      </w:r>
    </w:p>
    <w:p w14:paraId="214AC7B2" w14:textId="7A52310B" w:rsidR="00A07652" w:rsidRDefault="00E06D85" w:rsidP="000F2F87">
      <w:pPr>
        <w:spacing w:line="480" w:lineRule="auto"/>
        <w:jc w:val="both"/>
        <w:rPr>
          <w:rFonts w:ascii="Arial" w:hAnsi="Arial" w:cs="Arial"/>
          <w:sz w:val="24"/>
          <w:szCs w:val="24"/>
        </w:rPr>
      </w:pPr>
      <w:r w:rsidRPr="00E06D85">
        <w:rPr>
          <w:rFonts w:ascii="Arial" w:hAnsi="Arial" w:cs="Arial"/>
          <w:sz w:val="24"/>
          <w:szCs w:val="24"/>
        </w:rPr>
        <w:t xml:space="preserve">Despite having the highest </w:t>
      </w:r>
      <w:r w:rsidRPr="00E8213C">
        <w:rPr>
          <w:rFonts w:ascii="Arial" w:hAnsi="Arial" w:cs="Arial"/>
          <w:sz w:val="24"/>
          <w:szCs w:val="24"/>
        </w:rPr>
        <w:t>per capita prison population in Western Europe, the United Kingdom has fully welcomed testing out modern programmes targeted at keeping low-level offenders out of prison (Bandyopadhyay, 2020).</w:t>
      </w:r>
      <w:r w:rsidR="00F156F5" w:rsidRPr="00E8213C">
        <w:rPr>
          <w:rFonts w:ascii="Arial" w:hAnsi="Arial" w:cs="Arial"/>
          <w:sz w:val="24"/>
          <w:szCs w:val="24"/>
        </w:rPr>
        <w:t xml:space="preserve"> </w:t>
      </w:r>
      <w:r w:rsidR="000E4DC2" w:rsidRPr="00E8213C">
        <w:rPr>
          <w:rFonts w:ascii="Arial" w:hAnsi="Arial" w:cs="Arial"/>
          <w:sz w:val="24"/>
          <w:szCs w:val="24"/>
        </w:rPr>
        <w:t xml:space="preserve">In 2016, the Ministry of Justice </w:t>
      </w:r>
      <w:r w:rsidR="00B74B84" w:rsidRPr="00E8213C">
        <w:rPr>
          <w:rFonts w:ascii="Arial" w:hAnsi="Arial" w:cs="Arial"/>
          <w:sz w:val="24"/>
          <w:szCs w:val="24"/>
        </w:rPr>
        <w:t>reiterated that there is full support for high quali</w:t>
      </w:r>
      <w:r w:rsidR="00B54207" w:rsidRPr="00E8213C">
        <w:rPr>
          <w:rFonts w:ascii="Arial" w:hAnsi="Arial" w:cs="Arial"/>
          <w:sz w:val="24"/>
          <w:szCs w:val="24"/>
        </w:rPr>
        <w:t xml:space="preserve">ty restorative justice options to be available </w:t>
      </w:r>
      <w:r w:rsidR="009064F3" w:rsidRPr="00E8213C">
        <w:rPr>
          <w:rFonts w:ascii="Arial" w:hAnsi="Arial" w:cs="Arial"/>
          <w:sz w:val="24"/>
          <w:szCs w:val="24"/>
        </w:rPr>
        <w:t>to</w:t>
      </w:r>
      <w:r w:rsidR="00B54207" w:rsidRPr="00E8213C">
        <w:rPr>
          <w:rFonts w:ascii="Arial" w:hAnsi="Arial" w:cs="Arial"/>
          <w:sz w:val="24"/>
          <w:szCs w:val="24"/>
        </w:rPr>
        <w:t xml:space="preserve"> all victims regardless of the location of the victim, the age of the offender, or the offence committed against them, victims should have access to high-quality restorative justice at every level of the criminal justice system</w:t>
      </w:r>
      <w:r w:rsidR="00E83EF5" w:rsidRPr="00E8213C">
        <w:rPr>
          <w:rFonts w:ascii="Arial" w:hAnsi="Arial" w:cs="Arial"/>
          <w:sz w:val="24"/>
          <w:szCs w:val="24"/>
        </w:rPr>
        <w:t xml:space="preserve"> (House of Commons Justice Committee, 2016).</w:t>
      </w:r>
      <w:r w:rsidR="005805C2" w:rsidRPr="00E8213C">
        <w:rPr>
          <w:rFonts w:ascii="Arial" w:hAnsi="Arial" w:cs="Arial"/>
          <w:sz w:val="24"/>
          <w:szCs w:val="24"/>
        </w:rPr>
        <w:t xml:space="preserve"> However, the report does acknowledge that it is too soon</w:t>
      </w:r>
      <w:r w:rsidR="005805C2">
        <w:rPr>
          <w:rFonts w:ascii="Arial" w:hAnsi="Arial" w:cs="Arial"/>
          <w:sz w:val="24"/>
          <w:szCs w:val="24"/>
        </w:rPr>
        <w:t xml:space="preserve"> to </w:t>
      </w:r>
      <w:r w:rsidR="005C4528" w:rsidRPr="005C4528">
        <w:rPr>
          <w:rFonts w:ascii="Arial" w:hAnsi="Arial" w:cs="Arial"/>
          <w:sz w:val="24"/>
          <w:szCs w:val="24"/>
        </w:rPr>
        <w:t xml:space="preserve">introduce a legal right to use restorative justice services, but this is a noble goal that needs to be aggressively pursued because restorative justice is thought to belong in the Victim's </w:t>
      </w:r>
      <w:r w:rsidR="00FC5462">
        <w:rPr>
          <w:rFonts w:ascii="Arial" w:hAnsi="Arial" w:cs="Arial"/>
          <w:sz w:val="24"/>
          <w:szCs w:val="24"/>
        </w:rPr>
        <w:t>Code</w:t>
      </w:r>
      <w:r w:rsidR="00A07652">
        <w:rPr>
          <w:rFonts w:ascii="Arial" w:hAnsi="Arial" w:cs="Arial"/>
          <w:sz w:val="24"/>
          <w:szCs w:val="24"/>
        </w:rPr>
        <w:t xml:space="preserve"> (House of Commons Justice Committee, 2016).</w:t>
      </w:r>
    </w:p>
    <w:p w14:paraId="26820CF0" w14:textId="77777777" w:rsidR="00F76FD0" w:rsidRPr="00F76FD0" w:rsidRDefault="00F76FD0" w:rsidP="00F76FD0">
      <w:pPr>
        <w:spacing w:line="480" w:lineRule="auto"/>
        <w:jc w:val="both"/>
        <w:rPr>
          <w:rFonts w:ascii="Arial" w:hAnsi="Arial" w:cs="Arial"/>
          <w:sz w:val="24"/>
          <w:szCs w:val="24"/>
        </w:rPr>
      </w:pPr>
      <w:r w:rsidRPr="00F76FD0">
        <w:rPr>
          <w:rFonts w:ascii="Arial" w:hAnsi="Arial" w:cs="Arial"/>
          <w:sz w:val="24"/>
          <w:szCs w:val="24"/>
        </w:rPr>
        <w:t xml:space="preserve">Based on the supporting factors presented, it is evident that there is a clear and defined role for restorative justice and restorative practices within the English legal system. However, as presented by Radzik (2007), Rossner and Bruce (2016), and the reservations by the House of Commons Justice Committee (2016), there remain clear vulnerabilities that can undermine the application of restorative justice practices. Nevertheless, based on the supporting evidence so far developed, the effectiveness of restorative justice for victim rehabilitation as well as preventing offender recidivism is noteworthy and signifies that there is a greater potential for successful outcomes </w:t>
      </w:r>
      <w:r w:rsidRPr="00F76FD0">
        <w:rPr>
          <w:rFonts w:ascii="Arial" w:hAnsi="Arial" w:cs="Arial"/>
          <w:sz w:val="24"/>
          <w:szCs w:val="24"/>
        </w:rPr>
        <w:lastRenderedPageBreak/>
        <w:t>than compared to instances where offenders are incarcerated, and victims are left to recover with little closure or support. It appears that further application of restorative practice is necessary and greater data collection must be undertaken over a longer-term basis to review reoffending rates in order to understand where the limitations are. Regardless, it is apparent that there is most definitely a place for this approach to be more widely utilised within the criminal justice system in the United Kingdom.</w:t>
      </w:r>
    </w:p>
    <w:p w14:paraId="28F76A42" w14:textId="36B43A59" w:rsidR="00493198" w:rsidRDefault="00493198">
      <w:pPr>
        <w:rPr>
          <w:rFonts w:ascii="Arial" w:hAnsi="Arial" w:cs="Arial"/>
          <w:sz w:val="24"/>
          <w:szCs w:val="24"/>
        </w:rPr>
      </w:pPr>
    </w:p>
    <w:p w14:paraId="3B2F300A" w14:textId="1C52C2F5" w:rsidR="00493198" w:rsidRDefault="00493198">
      <w:pPr>
        <w:rPr>
          <w:rFonts w:ascii="Arial" w:hAnsi="Arial" w:cs="Arial"/>
          <w:sz w:val="24"/>
          <w:szCs w:val="24"/>
        </w:rPr>
      </w:pPr>
    </w:p>
    <w:p w14:paraId="2E0DE3E2" w14:textId="65EC1563" w:rsidR="00493198" w:rsidRDefault="00493198">
      <w:pPr>
        <w:rPr>
          <w:rFonts w:ascii="Arial" w:hAnsi="Arial" w:cs="Arial"/>
          <w:sz w:val="24"/>
          <w:szCs w:val="24"/>
        </w:rPr>
      </w:pPr>
    </w:p>
    <w:p w14:paraId="2CFD7153" w14:textId="11F14862" w:rsidR="00493198" w:rsidRDefault="00493198">
      <w:pPr>
        <w:rPr>
          <w:rFonts w:ascii="Arial" w:hAnsi="Arial" w:cs="Arial"/>
          <w:sz w:val="24"/>
          <w:szCs w:val="24"/>
        </w:rPr>
      </w:pPr>
    </w:p>
    <w:p w14:paraId="70729929" w14:textId="776AB79F" w:rsidR="00493198" w:rsidRDefault="00493198">
      <w:pPr>
        <w:rPr>
          <w:rFonts w:ascii="Arial" w:hAnsi="Arial" w:cs="Arial"/>
          <w:sz w:val="24"/>
          <w:szCs w:val="24"/>
        </w:rPr>
      </w:pPr>
    </w:p>
    <w:p w14:paraId="5413472C" w14:textId="029E38EE" w:rsidR="00493198" w:rsidRDefault="00493198">
      <w:pPr>
        <w:rPr>
          <w:rFonts w:ascii="Arial" w:hAnsi="Arial" w:cs="Arial"/>
          <w:sz w:val="24"/>
          <w:szCs w:val="24"/>
        </w:rPr>
      </w:pPr>
    </w:p>
    <w:p w14:paraId="0AFAC30D" w14:textId="5119933B" w:rsidR="00493198" w:rsidRDefault="00493198">
      <w:pPr>
        <w:rPr>
          <w:rFonts w:ascii="Arial" w:hAnsi="Arial" w:cs="Arial"/>
          <w:sz w:val="24"/>
          <w:szCs w:val="24"/>
        </w:rPr>
      </w:pPr>
    </w:p>
    <w:p w14:paraId="5C9F0CF8" w14:textId="11C8652F" w:rsidR="00FF5F45" w:rsidRDefault="00FF5F45">
      <w:pPr>
        <w:rPr>
          <w:rFonts w:ascii="Arial" w:hAnsi="Arial" w:cs="Arial"/>
          <w:sz w:val="24"/>
          <w:szCs w:val="24"/>
        </w:rPr>
      </w:pPr>
    </w:p>
    <w:p w14:paraId="4FDE79F7" w14:textId="24F9D3EC" w:rsidR="00606358" w:rsidRDefault="00606358">
      <w:pPr>
        <w:rPr>
          <w:rFonts w:ascii="Arial" w:hAnsi="Arial" w:cs="Arial"/>
          <w:sz w:val="24"/>
          <w:szCs w:val="24"/>
        </w:rPr>
      </w:pPr>
    </w:p>
    <w:p w14:paraId="1F43BA63" w14:textId="04521D8B" w:rsidR="00606358" w:rsidRDefault="00606358">
      <w:pPr>
        <w:rPr>
          <w:rFonts w:ascii="Arial" w:hAnsi="Arial" w:cs="Arial"/>
          <w:sz w:val="24"/>
          <w:szCs w:val="24"/>
        </w:rPr>
      </w:pPr>
    </w:p>
    <w:p w14:paraId="5D440C1A" w14:textId="16911A8A" w:rsidR="00606358" w:rsidRDefault="00606358">
      <w:pPr>
        <w:rPr>
          <w:rFonts w:ascii="Arial" w:hAnsi="Arial" w:cs="Arial"/>
          <w:sz w:val="24"/>
          <w:szCs w:val="24"/>
        </w:rPr>
      </w:pPr>
    </w:p>
    <w:p w14:paraId="57B3D27C" w14:textId="289EBB49" w:rsidR="00606358" w:rsidRDefault="00606358">
      <w:pPr>
        <w:rPr>
          <w:rFonts w:ascii="Arial" w:hAnsi="Arial" w:cs="Arial"/>
          <w:sz w:val="24"/>
          <w:szCs w:val="24"/>
        </w:rPr>
      </w:pPr>
    </w:p>
    <w:p w14:paraId="6C83A9FF" w14:textId="121D8A9C" w:rsidR="00606358" w:rsidRDefault="00606358">
      <w:pPr>
        <w:rPr>
          <w:rFonts w:ascii="Arial" w:hAnsi="Arial" w:cs="Arial"/>
          <w:sz w:val="24"/>
          <w:szCs w:val="24"/>
        </w:rPr>
      </w:pPr>
    </w:p>
    <w:p w14:paraId="125B369A" w14:textId="2FB03053" w:rsidR="00606358" w:rsidRDefault="00606358">
      <w:pPr>
        <w:rPr>
          <w:rFonts w:ascii="Arial" w:hAnsi="Arial" w:cs="Arial"/>
          <w:sz w:val="24"/>
          <w:szCs w:val="24"/>
        </w:rPr>
      </w:pPr>
    </w:p>
    <w:p w14:paraId="153AB127" w14:textId="07AAE636" w:rsidR="004322D9" w:rsidRDefault="004322D9">
      <w:pPr>
        <w:rPr>
          <w:rFonts w:ascii="Arial" w:hAnsi="Arial" w:cs="Arial"/>
          <w:sz w:val="24"/>
          <w:szCs w:val="24"/>
        </w:rPr>
      </w:pPr>
    </w:p>
    <w:p w14:paraId="424E4C35" w14:textId="50CE55A2" w:rsidR="004322D9" w:rsidRDefault="004322D9">
      <w:pPr>
        <w:rPr>
          <w:rFonts w:ascii="Arial" w:hAnsi="Arial" w:cs="Arial"/>
          <w:sz w:val="24"/>
          <w:szCs w:val="24"/>
        </w:rPr>
      </w:pPr>
    </w:p>
    <w:p w14:paraId="16B81387" w14:textId="2ED1D632" w:rsidR="004322D9" w:rsidRDefault="004322D9">
      <w:pPr>
        <w:rPr>
          <w:rFonts w:ascii="Arial" w:hAnsi="Arial" w:cs="Arial"/>
          <w:sz w:val="24"/>
          <w:szCs w:val="24"/>
        </w:rPr>
      </w:pPr>
    </w:p>
    <w:p w14:paraId="4312FFD3" w14:textId="4AED1C51" w:rsidR="004322D9" w:rsidRDefault="004322D9">
      <w:pPr>
        <w:rPr>
          <w:rFonts w:ascii="Arial" w:hAnsi="Arial" w:cs="Arial"/>
          <w:sz w:val="24"/>
          <w:szCs w:val="24"/>
        </w:rPr>
      </w:pPr>
    </w:p>
    <w:p w14:paraId="05642107" w14:textId="6D53B599" w:rsidR="004322D9" w:rsidRDefault="004322D9">
      <w:pPr>
        <w:rPr>
          <w:rFonts w:ascii="Arial" w:hAnsi="Arial" w:cs="Arial"/>
          <w:sz w:val="24"/>
          <w:szCs w:val="24"/>
        </w:rPr>
      </w:pPr>
    </w:p>
    <w:p w14:paraId="3F6AA74B" w14:textId="79A0B3B2" w:rsidR="004322D9" w:rsidRDefault="004322D9">
      <w:pPr>
        <w:rPr>
          <w:rFonts w:ascii="Arial" w:hAnsi="Arial" w:cs="Arial"/>
          <w:sz w:val="24"/>
          <w:szCs w:val="24"/>
        </w:rPr>
      </w:pPr>
    </w:p>
    <w:p w14:paraId="251AB07F" w14:textId="690FFBE9" w:rsidR="004322D9" w:rsidRDefault="004322D9">
      <w:pPr>
        <w:rPr>
          <w:rFonts w:ascii="Arial" w:hAnsi="Arial" w:cs="Arial"/>
          <w:sz w:val="24"/>
          <w:szCs w:val="24"/>
        </w:rPr>
      </w:pPr>
    </w:p>
    <w:p w14:paraId="253FF954" w14:textId="224CE3A2" w:rsidR="00F854DD" w:rsidRDefault="00F854DD">
      <w:pPr>
        <w:rPr>
          <w:rFonts w:ascii="Arial" w:hAnsi="Arial" w:cs="Arial"/>
          <w:sz w:val="24"/>
          <w:szCs w:val="24"/>
        </w:rPr>
      </w:pPr>
    </w:p>
    <w:p w14:paraId="7AC588B4" w14:textId="77777777" w:rsidR="00F854DD" w:rsidRDefault="00F854DD">
      <w:pPr>
        <w:rPr>
          <w:rFonts w:ascii="Arial" w:hAnsi="Arial" w:cs="Arial"/>
          <w:sz w:val="24"/>
          <w:szCs w:val="24"/>
        </w:rPr>
      </w:pPr>
    </w:p>
    <w:p w14:paraId="1CD0F1AB" w14:textId="77777777" w:rsidR="00373680" w:rsidRPr="00CD603F" w:rsidRDefault="00373680">
      <w:pPr>
        <w:rPr>
          <w:rFonts w:ascii="Arial" w:hAnsi="Arial" w:cs="Arial"/>
          <w:sz w:val="24"/>
          <w:szCs w:val="24"/>
        </w:rPr>
      </w:pPr>
    </w:p>
    <w:p w14:paraId="3C7BF991" w14:textId="16D6F57D" w:rsidR="0051503B" w:rsidRPr="0051503B" w:rsidRDefault="00B40640" w:rsidP="0051503B">
      <w:pPr>
        <w:rPr>
          <w:rFonts w:ascii="Arial" w:hAnsi="Arial" w:cs="Arial"/>
          <w:b/>
          <w:bCs/>
          <w:sz w:val="24"/>
          <w:szCs w:val="24"/>
        </w:rPr>
      </w:pPr>
      <w:r w:rsidRPr="00373680">
        <w:rPr>
          <w:rFonts w:ascii="Arial" w:hAnsi="Arial" w:cs="Arial"/>
          <w:b/>
          <w:bCs/>
          <w:sz w:val="24"/>
          <w:szCs w:val="24"/>
        </w:rPr>
        <w:t>Reference List</w:t>
      </w:r>
    </w:p>
    <w:p w14:paraId="7B21FCA0" w14:textId="77777777" w:rsidR="0051503B" w:rsidRPr="008B4584" w:rsidRDefault="0051503B" w:rsidP="008B4584">
      <w:pPr>
        <w:pStyle w:val="ListParagraph"/>
        <w:rPr>
          <w:rFonts w:ascii="Arial" w:hAnsi="Arial" w:cs="Arial"/>
          <w:sz w:val="24"/>
          <w:szCs w:val="24"/>
        </w:rPr>
      </w:pPr>
    </w:p>
    <w:p w14:paraId="0F162C4D" w14:textId="3BA98F84" w:rsidR="0051503B" w:rsidRPr="00E8213C" w:rsidRDefault="0051503B" w:rsidP="00E8213C">
      <w:pPr>
        <w:rPr>
          <w:rFonts w:ascii="Arial" w:hAnsi="Arial" w:cs="Arial"/>
          <w:sz w:val="24"/>
          <w:szCs w:val="24"/>
        </w:rPr>
      </w:pPr>
      <w:r w:rsidRPr="0051503B">
        <w:rPr>
          <w:rFonts w:ascii="Arial" w:hAnsi="Arial" w:cs="Arial"/>
          <w:sz w:val="24"/>
          <w:szCs w:val="24"/>
        </w:rPr>
        <w:t>Alarid, L. F. (2016). </w:t>
      </w:r>
      <w:r w:rsidRPr="0051503B">
        <w:rPr>
          <w:rFonts w:ascii="Arial" w:hAnsi="Arial" w:cs="Arial"/>
          <w:i/>
          <w:iCs/>
          <w:sz w:val="24"/>
          <w:szCs w:val="24"/>
        </w:rPr>
        <w:t>Community based corrections</w:t>
      </w:r>
      <w:r w:rsidRPr="0051503B">
        <w:rPr>
          <w:rFonts w:ascii="Arial" w:hAnsi="Arial" w:cs="Arial"/>
          <w:sz w:val="24"/>
          <w:szCs w:val="24"/>
        </w:rPr>
        <w:t>. Boston, MA: Cengage Learning.</w:t>
      </w:r>
    </w:p>
    <w:p w14:paraId="170FA041" w14:textId="4D5C177D" w:rsidR="0051503B" w:rsidRDefault="0051503B" w:rsidP="0051503B">
      <w:pPr>
        <w:rPr>
          <w:rFonts w:ascii="Arial" w:hAnsi="Arial" w:cs="Arial"/>
          <w:sz w:val="24"/>
          <w:szCs w:val="24"/>
        </w:rPr>
      </w:pPr>
      <w:r w:rsidRPr="0051503B">
        <w:rPr>
          <w:rFonts w:ascii="Arial" w:hAnsi="Arial" w:cs="Arial"/>
          <w:sz w:val="24"/>
          <w:szCs w:val="24"/>
        </w:rPr>
        <w:t xml:space="preserve">Brooks, T. (2015) ‘Punitive Restoration: Rehabilitating Restorative Justice’, </w:t>
      </w:r>
      <w:r w:rsidRPr="0051503B">
        <w:rPr>
          <w:rFonts w:ascii="Arial" w:hAnsi="Arial" w:cs="Arial"/>
          <w:i/>
          <w:iCs/>
          <w:sz w:val="24"/>
          <w:szCs w:val="24"/>
        </w:rPr>
        <w:t xml:space="preserve">Raisons Politiques, </w:t>
      </w:r>
      <w:r w:rsidRPr="0051503B">
        <w:rPr>
          <w:rFonts w:ascii="Arial" w:hAnsi="Arial" w:cs="Arial"/>
          <w:sz w:val="24"/>
          <w:szCs w:val="24"/>
        </w:rPr>
        <w:t xml:space="preserve">59(3), pp. 73-89. Available at: </w:t>
      </w:r>
      <w:hyperlink r:id="rId10" w:anchor="xd_co_f=NTUwMmQxZDItNzdiNi00N2ZjLThiN2ItNDczZWFmYjQ1NDY3~" w:history="1">
        <w:r w:rsidRPr="0051503B">
          <w:rPr>
            <w:rStyle w:val="Hyperlink"/>
            <w:rFonts w:ascii="Arial" w:hAnsi="Arial" w:cs="Arial"/>
            <w:sz w:val="24"/>
            <w:szCs w:val="24"/>
          </w:rPr>
          <w:t>https://www.cairn-int.info/journal-raisons-politiques-2015-3-page-73.htm#xd_co_f=NTUwMmQxZDItNzdiNi00N2ZjLThiN2ItNDczZWFmYjQ1NDY3~</w:t>
        </w:r>
      </w:hyperlink>
      <w:r w:rsidRPr="0051503B">
        <w:rPr>
          <w:rFonts w:ascii="Arial" w:hAnsi="Arial" w:cs="Arial"/>
          <w:sz w:val="24"/>
          <w:szCs w:val="24"/>
        </w:rPr>
        <w:t xml:space="preserve"> (Accessed: 23 October 2022). </w:t>
      </w:r>
    </w:p>
    <w:p w14:paraId="60FDF3FE" w14:textId="39698BEA" w:rsidR="00594CE4" w:rsidRPr="0051503B" w:rsidRDefault="00594CE4" w:rsidP="0051503B">
      <w:pPr>
        <w:rPr>
          <w:rFonts w:ascii="Arial" w:hAnsi="Arial" w:cs="Arial"/>
          <w:sz w:val="24"/>
          <w:szCs w:val="24"/>
        </w:rPr>
      </w:pPr>
      <w:r>
        <w:rPr>
          <w:rFonts w:ascii="Arial" w:hAnsi="Arial" w:cs="Arial"/>
          <w:sz w:val="24"/>
          <w:szCs w:val="24"/>
        </w:rPr>
        <w:t xml:space="preserve">Bandyopadhyay, S. (2020) Why rehabilitation </w:t>
      </w:r>
      <w:r w:rsidR="006637F2">
        <w:rPr>
          <w:rFonts w:ascii="Arial" w:hAnsi="Arial" w:cs="Arial"/>
          <w:sz w:val="24"/>
          <w:szCs w:val="24"/>
        </w:rPr>
        <w:t xml:space="preserve">– not harsher prison sentences – makes economic sense. Available at: </w:t>
      </w:r>
      <w:hyperlink r:id="rId11" w:history="1">
        <w:r w:rsidR="006637F2" w:rsidRPr="00671609">
          <w:rPr>
            <w:rStyle w:val="Hyperlink"/>
            <w:rFonts w:ascii="Arial" w:hAnsi="Arial" w:cs="Arial"/>
            <w:sz w:val="24"/>
            <w:szCs w:val="24"/>
          </w:rPr>
          <w:t>https://theconversation.com/why-rehabilitation-not-harsher-prison-sentences-makes-economic-sense-132213</w:t>
        </w:r>
      </w:hyperlink>
      <w:r w:rsidR="006637F2">
        <w:rPr>
          <w:rFonts w:ascii="Arial" w:hAnsi="Arial" w:cs="Arial"/>
          <w:sz w:val="24"/>
          <w:szCs w:val="24"/>
        </w:rPr>
        <w:t xml:space="preserve"> </w:t>
      </w:r>
      <w:r w:rsidR="00E8213C">
        <w:rPr>
          <w:rFonts w:ascii="Arial" w:hAnsi="Arial" w:cs="Arial"/>
          <w:sz w:val="24"/>
          <w:szCs w:val="24"/>
        </w:rPr>
        <w:t>(Accessed: 23 October 2022).</w:t>
      </w:r>
    </w:p>
    <w:p w14:paraId="19A59C96" w14:textId="7BE4082C"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Centre for Justice and Reconciliation (2005) </w:t>
      </w:r>
      <w:r w:rsidRPr="0051503B">
        <w:rPr>
          <w:rFonts w:ascii="Arial" w:hAnsi="Arial" w:cs="Arial"/>
          <w:i/>
          <w:iCs/>
          <w:color w:val="000000"/>
          <w:sz w:val="24"/>
          <w:szCs w:val="24"/>
        </w:rPr>
        <w:t xml:space="preserve">What is Restorative Justice? </w:t>
      </w:r>
      <w:r w:rsidRPr="0051503B">
        <w:rPr>
          <w:rFonts w:ascii="Arial" w:hAnsi="Arial" w:cs="Arial"/>
          <w:color w:val="000000"/>
          <w:sz w:val="24"/>
          <w:szCs w:val="24"/>
        </w:rPr>
        <w:t xml:space="preserve">Available at: </w:t>
      </w:r>
      <w:hyperlink r:id="rId12" w:history="1">
        <w:r w:rsidRPr="0051503B">
          <w:rPr>
            <w:rStyle w:val="Hyperlink"/>
            <w:rFonts w:ascii="Arial" w:hAnsi="Arial" w:cs="Arial"/>
            <w:sz w:val="24"/>
            <w:szCs w:val="24"/>
          </w:rPr>
          <w:t>https://www.d.umn.edu/~jmaahs/Correctional%20Assessment/rj%20brief.pdf</w:t>
        </w:r>
      </w:hyperlink>
      <w:r w:rsidRPr="0051503B">
        <w:rPr>
          <w:rFonts w:ascii="Arial" w:hAnsi="Arial" w:cs="Arial"/>
          <w:color w:val="000000"/>
          <w:sz w:val="24"/>
          <w:szCs w:val="24"/>
        </w:rPr>
        <w:t xml:space="preserve"> (Accessed: 22 October 2022). </w:t>
      </w:r>
    </w:p>
    <w:p w14:paraId="13EE4FC8"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Clark, D. (2021) </w:t>
      </w:r>
      <w:r w:rsidRPr="0051503B">
        <w:rPr>
          <w:rFonts w:ascii="Arial" w:hAnsi="Arial" w:cs="Arial"/>
          <w:i/>
          <w:iCs/>
          <w:color w:val="000000"/>
          <w:sz w:val="24"/>
          <w:szCs w:val="24"/>
        </w:rPr>
        <w:t xml:space="preserve">Expenditure Per Prison Place in England and Wales 2015-2020. </w:t>
      </w:r>
      <w:r w:rsidRPr="0051503B">
        <w:rPr>
          <w:rFonts w:ascii="Arial" w:hAnsi="Arial" w:cs="Arial"/>
          <w:color w:val="000000"/>
          <w:sz w:val="24"/>
          <w:szCs w:val="24"/>
        </w:rPr>
        <w:t xml:space="preserve">Available at: </w:t>
      </w:r>
      <w:hyperlink r:id="rId13" w:history="1">
        <w:r w:rsidRPr="0051503B">
          <w:rPr>
            <w:rStyle w:val="Hyperlink"/>
            <w:rFonts w:ascii="Arial" w:hAnsi="Arial" w:cs="Arial"/>
            <w:sz w:val="24"/>
            <w:szCs w:val="24"/>
          </w:rPr>
          <w:t>https://www.statista.com/statistics/1202172/cost-per-prisoner-england-and-wales/</w:t>
        </w:r>
      </w:hyperlink>
      <w:r w:rsidRPr="0051503B">
        <w:rPr>
          <w:rFonts w:ascii="Arial" w:hAnsi="Arial" w:cs="Arial"/>
          <w:color w:val="000000"/>
          <w:sz w:val="24"/>
          <w:szCs w:val="24"/>
        </w:rPr>
        <w:t xml:space="preserve"> (Accessed: 22 October 2022). </w:t>
      </w:r>
    </w:p>
    <w:p w14:paraId="387760B5" w14:textId="77777777" w:rsidR="0051503B" w:rsidRPr="0051503B" w:rsidRDefault="0051503B" w:rsidP="0051503B">
      <w:pPr>
        <w:rPr>
          <w:rFonts w:ascii="Arial" w:hAnsi="Arial" w:cs="Arial"/>
          <w:sz w:val="24"/>
          <w:szCs w:val="24"/>
        </w:rPr>
      </w:pPr>
      <w:r w:rsidRPr="0051503B">
        <w:rPr>
          <w:rFonts w:ascii="Arial" w:hAnsi="Arial" w:cs="Arial"/>
          <w:sz w:val="24"/>
          <w:szCs w:val="24"/>
        </w:rPr>
        <w:t>Crawford, A. (2004) ‘Involving Lay People in Criminal Justice</w:t>
      </w:r>
      <w:r w:rsidRPr="0051503B">
        <w:rPr>
          <w:rFonts w:ascii="Arial" w:hAnsi="Arial" w:cs="Arial"/>
          <w:i/>
          <w:iCs/>
          <w:sz w:val="24"/>
          <w:szCs w:val="24"/>
        </w:rPr>
        <w:t xml:space="preserve">’, Criminology and Public Policy, </w:t>
      </w:r>
      <w:r w:rsidRPr="0051503B">
        <w:rPr>
          <w:rFonts w:ascii="Arial" w:hAnsi="Arial" w:cs="Arial"/>
          <w:sz w:val="24"/>
          <w:szCs w:val="24"/>
        </w:rPr>
        <w:t xml:space="preserve">3(4), pp. 693-702. Available at: </w:t>
      </w:r>
      <w:hyperlink r:id="rId14" w:history="1">
        <w:r w:rsidRPr="0051503B">
          <w:rPr>
            <w:rStyle w:val="Hyperlink"/>
            <w:rFonts w:ascii="Arial" w:hAnsi="Arial" w:cs="Arial"/>
            <w:sz w:val="24"/>
            <w:szCs w:val="24"/>
          </w:rPr>
          <w:t>https://onlinelibrary.wiley.com/doi/abs/10.1111/j.1745-9133.2004.tb00073.x</w:t>
        </w:r>
      </w:hyperlink>
      <w:r w:rsidRPr="0051503B">
        <w:rPr>
          <w:rFonts w:ascii="Arial" w:hAnsi="Arial" w:cs="Arial"/>
          <w:sz w:val="24"/>
          <w:szCs w:val="24"/>
        </w:rPr>
        <w:t xml:space="preserve"> (Accessed: 23 October 2022). </w:t>
      </w:r>
    </w:p>
    <w:p w14:paraId="56C5CA4E"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Crawford, A., &amp; Newburn, T. (2002). ‘Recent developments in restorative justice for young people in England and Wales: Community participation and representation’, </w:t>
      </w:r>
      <w:r w:rsidRPr="0051503B">
        <w:rPr>
          <w:rFonts w:ascii="Arial" w:hAnsi="Arial" w:cs="Arial"/>
          <w:i/>
          <w:iCs/>
          <w:sz w:val="24"/>
          <w:szCs w:val="24"/>
        </w:rPr>
        <w:t>The British Journal of Criminology,</w:t>
      </w:r>
      <w:r w:rsidRPr="0051503B">
        <w:rPr>
          <w:rFonts w:ascii="Arial" w:hAnsi="Arial" w:cs="Arial"/>
          <w:sz w:val="24"/>
          <w:szCs w:val="24"/>
        </w:rPr>
        <w:t xml:space="preserve"> pp. 476–495. Available at: </w:t>
      </w:r>
      <w:hyperlink r:id="rId15" w:history="1">
        <w:r w:rsidRPr="0051503B">
          <w:rPr>
            <w:rStyle w:val="Hyperlink"/>
            <w:rFonts w:ascii="Arial" w:hAnsi="Arial" w:cs="Arial"/>
            <w:sz w:val="24"/>
            <w:szCs w:val="24"/>
          </w:rPr>
          <w:t>http://eprints.lse.ac.uk/17966/</w:t>
        </w:r>
      </w:hyperlink>
      <w:r w:rsidRPr="0051503B">
        <w:rPr>
          <w:rFonts w:ascii="Arial" w:hAnsi="Arial" w:cs="Arial"/>
          <w:sz w:val="24"/>
          <w:szCs w:val="24"/>
        </w:rPr>
        <w:t xml:space="preserve"> (Accessed: 23 October 2022).</w:t>
      </w:r>
    </w:p>
    <w:p w14:paraId="7CEF0845"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Crown Prosecution Service (2019) </w:t>
      </w:r>
      <w:r w:rsidRPr="0051503B">
        <w:rPr>
          <w:rFonts w:ascii="Arial" w:hAnsi="Arial" w:cs="Arial"/>
          <w:i/>
          <w:iCs/>
          <w:sz w:val="24"/>
          <w:szCs w:val="24"/>
        </w:rPr>
        <w:t xml:space="preserve">Restorative Justice. </w:t>
      </w:r>
      <w:r w:rsidRPr="0051503B">
        <w:rPr>
          <w:rFonts w:ascii="Arial" w:hAnsi="Arial" w:cs="Arial"/>
          <w:sz w:val="24"/>
          <w:szCs w:val="24"/>
        </w:rPr>
        <w:t xml:space="preserve">Available at: </w:t>
      </w:r>
      <w:hyperlink r:id="rId16" w:anchor=":~:text=General%20Principles,-Restorative%20justice%20(RJ&amp;text=RJ%20can%20take%20the%20form,between%20offenders%20and%20their%20victims" w:history="1">
        <w:r w:rsidRPr="0051503B">
          <w:rPr>
            <w:rStyle w:val="Hyperlink"/>
            <w:rFonts w:ascii="Arial" w:hAnsi="Arial" w:cs="Arial"/>
            <w:sz w:val="24"/>
            <w:szCs w:val="24"/>
          </w:rPr>
          <w:t>https://www.cps.gov.uk/legal-guidance/restorative-justice#:~:text=General%20Principles,-Restorative%20justice%20(RJ&amp;text=RJ%20can%20take%20the%20form,between%20offenders%20and%20their%20victims</w:t>
        </w:r>
      </w:hyperlink>
      <w:r w:rsidRPr="0051503B">
        <w:rPr>
          <w:rFonts w:ascii="Arial" w:hAnsi="Arial" w:cs="Arial"/>
          <w:sz w:val="24"/>
          <w:szCs w:val="24"/>
        </w:rPr>
        <w:t xml:space="preserve">. (Accessed: 22 October 2022). </w:t>
      </w:r>
    </w:p>
    <w:p w14:paraId="791D3B85"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Domestic Abuse Commissioner (2021) </w:t>
      </w:r>
      <w:r w:rsidRPr="0051503B">
        <w:rPr>
          <w:rFonts w:ascii="Arial" w:hAnsi="Arial" w:cs="Arial"/>
          <w:i/>
          <w:iCs/>
          <w:sz w:val="24"/>
          <w:szCs w:val="24"/>
        </w:rPr>
        <w:t xml:space="preserve">Understanding Court Support for Victims of Domestic Abuse. </w:t>
      </w:r>
      <w:r w:rsidRPr="0051503B">
        <w:rPr>
          <w:rFonts w:ascii="Arial" w:hAnsi="Arial" w:cs="Arial"/>
          <w:sz w:val="24"/>
          <w:szCs w:val="24"/>
        </w:rPr>
        <w:t xml:space="preserve">Available at: </w:t>
      </w:r>
      <w:hyperlink r:id="rId17" w:history="1">
        <w:r w:rsidRPr="0051503B">
          <w:rPr>
            <w:rStyle w:val="Hyperlink"/>
            <w:rFonts w:ascii="Arial" w:hAnsi="Arial" w:cs="Arial"/>
            <w:sz w:val="24"/>
            <w:szCs w:val="24"/>
          </w:rPr>
          <w:t>https://domesticabusecommissioner.uk/wp-content/uploads/2021/06/Court-Support-Mapping-Report-DAC-Office-and-SafeLives.pdf</w:t>
        </w:r>
      </w:hyperlink>
      <w:r w:rsidRPr="0051503B">
        <w:rPr>
          <w:rFonts w:ascii="Arial" w:hAnsi="Arial" w:cs="Arial"/>
          <w:sz w:val="24"/>
          <w:szCs w:val="24"/>
        </w:rPr>
        <w:t xml:space="preserve"> (Accessed: 23 October 2022).</w:t>
      </w:r>
    </w:p>
    <w:p w14:paraId="71815247"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Dyfed-Powys Police and Crime Commissioner (2019) </w:t>
      </w:r>
      <w:r w:rsidRPr="0051503B">
        <w:rPr>
          <w:rFonts w:ascii="Arial" w:hAnsi="Arial" w:cs="Arial"/>
          <w:i/>
          <w:iCs/>
          <w:sz w:val="24"/>
          <w:szCs w:val="24"/>
        </w:rPr>
        <w:t xml:space="preserve">Diversionary Scheme Launched in Dyfed-Powys. </w:t>
      </w:r>
      <w:r w:rsidRPr="0051503B">
        <w:rPr>
          <w:rFonts w:ascii="Arial" w:hAnsi="Arial" w:cs="Arial"/>
          <w:sz w:val="24"/>
          <w:szCs w:val="24"/>
        </w:rPr>
        <w:t xml:space="preserve">Available at: </w:t>
      </w:r>
      <w:hyperlink r:id="rId18" w:history="1">
        <w:r w:rsidRPr="0051503B">
          <w:rPr>
            <w:rStyle w:val="Hyperlink"/>
            <w:rFonts w:ascii="Arial" w:hAnsi="Arial" w:cs="Arial"/>
            <w:sz w:val="24"/>
            <w:szCs w:val="24"/>
          </w:rPr>
          <w:t>https://www.dyfedpowys-pcc.org.uk/en/news/press-releases/diversionary-scheme-launched-in-dyfed-powys/</w:t>
        </w:r>
      </w:hyperlink>
      <w:r w:rsidRPr="0051503B">
        <w:rPr>
          <w:rFonts w:ascii="Arial" w:hAnsi="Arial" w:cs="Arial"/>
          <w:sz w:val="24"/>
          <w:szCs w:val="24"/>
        </w:rPr>
        <w:t xml:space="preserve"> (Accessed: 23 October 2022).</w:t>
      </w:r>
    </w:p>
    <w:p w14:paraId="093E5C77"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lastRenderedPageBreak/>
        <w:t xml:space="preserve">Gaudreault, A. (2005) </w:t>
      </w:r>
      <w:r w:rsidRPr="0051503B">
        <w:rPr>
          <w:rFonts w:ascii="Arial" w:hAnsi="Arial" w:cs="Arial"/>
          <w:i/>
          <w:iCs/>
          <w:color w:val="000000"/>
          <w:sz w:val="24"/>
          <w:szCs w:val="24"/>
        </w:rPr>
        <w:t xml:space="preserve">The Limits of Restorative Justice. </w:t>
      </w:r>
      <w:r w:rsidRPr="0051503B">
        <w:rPr>
          <w:rFonts w:ascii="Arial" w:hAnsi="Arial" w:cs="Arial"/>
          <w:color w:val="000000"/>
          <w:sz w:val="24"/>
          <w:szCs w:val="24"/>
        </w:rPr>
        <w:t xml:space="preserve">Available at: </w:t>
      </w:r>
      <w:hyperlink r:id="rId19" w:anchor=":~:text=Some%20of%20the%20criticisms%20of,not%20undergone%20a%20comprehensive%20analysis" w:history="1">
        <w:r w:rsidRPr="0051503B">
          <w:rPr>
            <w:rStyle w:val="Hyperlink"/>
            <w:rFonts w:ascii="Arial" w:hAnsi="Arial" w:cs="Arial"/>
            <w:sz w:val="24"/>
            <w:szCs w:val="24"/>
          </w:rPr>
          <w:t>https://www.victimsweek.gc.ca/symp-colloque/past-passe/2009/presentation/arlg_1.html#:~:text=Some%20of%20the%20criticisms%20of,not%20undergone%20a%20comprehensive%20analysis</w:t>
        </w:r>
      </w:hyperlink>
      <w:r w:rsidRPr="0051503B">
        <w:rPr>
          <w:rFonts w:ascii="Arial" w:hAnsi="Arial" w:cs="Arial"/>
          <w:color w:val="000000"/>
          <w:sz w:val="24"/>
          <w:szCs w:val="24"/>
        </w:rPr>
        <w:t xml:space="preserve">. (Accessed: 22 October 2022). </w:t>
      </w:r>
    </w:p>
    <w:p w14:paraId="386DFFA6"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Gendreau, P. Goggin, C., &amp; Cullen, F. T. (1999). </w:t>
      </w:r>
      <w:r w:rsidRPr="0051503B">
        <w:rPr>
          <w:rFonts w:ascii="Arial" w:hAnsi="Arial" w:cs="Arial"/>
          <w:i/>
          <w:iCs/>
          <w:sz w:val="24"/>
          <w:szCs w:val="24"/>
        </w:rPr>
        <w:t>The Effects of Prison Sentences on Recidivism</w:t>
      </w:r>
      <w:r w:rsidRPr="0051503B">
        <w:rPr>
          <w:rFonts w:ascii="Arial" w:hAnsi="Arial" w:cs="Arial"/>
          <w:sz w:val="24"/>
          <w:szCs w:val="24"/>
        </w:rPr>
        <w:t>. Ottawa: Solicitor General Canada. (Accessed: 22 October 2022).</w:t>
      </w:r>
    </w:p>
    <w:p w14:paraId="6EF5428B"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House of Commons Justice Committee (2016) </w:t>
      </w:r>
      <w:r w:rsidRPr="0051503B">
        <w:rPr>
          <w:rFonts w:ascii="Arial" w:hAnsi="Arial" w:cs="Arial"/>
          <w:i/>
          <w:iCs/>
          <w:sz w:val="24"/>
          <w:szCs w:val="24"/>
        </w:rPr>
        <w:t xml:space="preserve">Restorative Justice (HC 164). </w:t>
      </w:r>
      <w:r w:rsidRPr="0051503B">
        <w:rPr>
          <w:rFonts w:ascii="Arial" w:hAnsi="Arial" w:cs="Arial"/>
          <w:sz w:val="24"/>
          <w:szCs w:val="24"/>
        </w:rPr>
        <w:t xml:space="preserve">Available at: </w:t>
      </w:r>
      <w:hyperlink r:id="rId20" w:history="1">
        <w:r w:rsidRPr="0051503B">
          <w:rPr>
            <w:rStyle w:val="Hyperlink"/>
            <w:rFonts w:ascii="Arial" w:hAnsi="Arial" w:cs="Arial"/>
            <w:sz w:val="24"/>
            <w:szCs w:val="24"/>
          </w:rPr>
          <w:t>https://publications.parliament.uk/pa/cm201617/cmselect/cmjust/164/164.pdf</w:t>
        </w:r>
      </w:hyperlink>
      <w:r w:rsidRPr="0051503B">
        <w:rPr>
          <w:rFonts w:ascii="Arial" w:hAnsi="Arial" w:cs="Arial"/>
          <w:sz w:val="24"/>
          <w:szCs w:val="24"/>
        </w:rPr>
        <w:t xml:space="preserve"> (Accessed: 23 October 2022).</w:t>
      </w:r>
    </w:p>
    <w:p w14:paraId="5206B406"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Ibbetson, C. (2019) </w:t>
      </w:r>
      <w:r w:rsidRPr="0051503B">
        <w:rPr>
          <w:rFonts w:ascii="Arial" w:hAnsi="Arial" w:cs="Arial"/>
          <w:i/>
          <w:iCs/>
          <w:sz w:val="24"/>
          <w:szCs w:val="24"/>
        </w:rPr>
        <w:t xml:space="preserve">Should There be Harsher Punishments for Criminals? </w:t>
      </w:r>
      <w:r w:rsidRPr="0051503B">
        <w:rPr>
          <w:rFonts w:ascii="Arial" w:hAnsi="Arial" w:cs="Arial"/>
          <w:sz w:val="24"/>
          <w:szCs w:val="24"/>
        </w:rPr>
        <w:t xml:space="preserve">Available at: </w:t>
      </w:r>
      <w:hyperlink r:id="rId21" w:history="1">
        <w:r w:rsidRPr="0051503B">
          <w:rPr>
            <w:rStyle w:val="Hyperlink"/>
            <w:rFonts w:ascii="Arial" w:hAnsi="Arial" w:cs="Arial"/>
            <w:sz w:val="24"/>
            <w:szCs w:val="24"/>
          </w:rPr>
          <w:t>https://yougov.co.uk/topics/politics/articles-reports/2019/10/01/brits-want-harsher-punishments-criminals</w:t>
        </w:r>
      </w:hyperlink>
      <w:r w:rsidRPr="0051503B">
        <w:rPr>
          <w:rFonts w:ascii="Arial" w:hAnsi="Arial" w:cs="Arial"/>
          <w:sz w:val="24"/>
          <w:szCs w:val="24"/>
        </w:rPr>
        <w:t xml:space="preserve"> (Accessed: 23 October 2022). </w:t>
      </w:r>
    </w:p>
    <w:p w14:paraId="663528D0"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Lee, D., and McCray, J. (2009) </w:t>
      </w:r>
      <w:r w:rsidRPr="0051503B">
        <w:rPr>
          <w:rFonts w:ascii="Arial" w:hAnsi="Arial" w:cs="Arial"/>
          <w:i/>
          <w:iCs/>
          <w:sz w:val="24"/>
          <w:szCs w:val="24"/>
        </w:rPr>
        <w:t xml:space="preserve">The Deterrence Effect of Prison: Dynamic Theory and Evidence. </w:t>
      </w:r>
      <w:r w:rsidRPr="0051503B">
        <w:rPr>
          <w:rFonts w:ascii="Arial" w:hAnsi="Arial" w:cs="Arial"/>
          <w:sz w:val="24"/>
          <w:szCs w:val="24"/>
        </w:rPr>
        <w:t xml:space="preserve">Available at: </w:t>
      </w:r>
      <w:hyperlink r:id="rId22" w:history="1">
        <w:r w:rsidRPr="0051503B">
          <w:rPr>
            <w:rStyle w:val="Hyperlink"/>
            <w:rFonts w:ascii="Arial" w:hAnsi="Arial" w:cs="Arial"/>
            <w:sz w:val="24"/>
            <w:szCs w:val="24"/>
          </w:rPr>
          <w:t>https://gceps.princeton.edu/wp-content/uploads/2017/01/189lee.pdf</w:t>
        </w:r>
      </w:hyperlink>
      <w:r w:rsidRPr="0051503B">
        <w:rPr>
          <w:rFonts w:ascii="Arial" w:hAnsi="Arial" w:cs="Arial"/>
          <w:sz w:val="24"/>
          <w:szCs w:val="24"/>
        </w:rPr>
        <w:t xml:space="preserve"> (Accessed: 22 October 2022). </w:t>
      </w:r>
    </w:p>
    <w:p w14:paraId="206B9D37"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Ministry of Justice (2021) </w:t>
      </w:r>
      <w:r w:rsidRPr="0051503B">
        <w:rPr>
          <w:rFonts w:ascii="Arial" w:hAnsi="Arial" w:cs="Arial"/>
          <w:i/>
          <w:iCs/>
          <w:color w:val="000000"/>
          <w:sz w:val="24"/>
          <w:szCs w:val="24"/>
        </w:rPr>
        <w:t xml:space="preserve">Prisons Strategy </w:t>
      </w:r>
      <w:r w:rsidRPr="0051503B">
        <w:rPr>
          <w:rFonts w:ascii="Arial" w:hAnsi="Arial" w:cs="Arial"/>
          <w:color w:val="000000"/>
          <w:sz w:val="24"/>
          <w:szCs w:val="24"/>
        </w:rPr>
        <w:t xml:space="preserve">(CP581). Available at: </w:t>
      </w:r>
      <w:hyperlink r:id="rId23" w:history="1">
        <w:r w:rsidRPr="0051503B">
          <w:rPr>
            <w:rStyle w:val="Hyperlink"/>
            <w:rFonts w:ascii="Arial" w:hAnsi="Arial" w:cs="Arial"/>
            <w:sz w:val="24"/>
            <w:szCs w:val="24"/>
          </w:rPr>
          <w:t>https://assets.publishing.service.gov.uk/government/uploads/system/uploads/attachment_data/file/1038765/prisons-strategy-white-paper.pdf</w:t>
        </w:r>
      </w:hyperlink>
      <w:r w:rsidRPr="0051503B">
        <w:rPr>
          <w:rFonts w:ascii="Arial" w:hAnsi="Arial" w:cs="Arial"/>
          <w:color w:val="000000"/>
          <w:sz w:val="24"/>
          <w:szCs w:val="24"/>
        </w:rPr>
        <w:t xml:space="preserve"> (Accessed: 22 October 2022). </w:t>
      </w:r>
    </w:p>
    <w:p w14:paraId="5B7AFECD"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Moore, J., M., (2016) </w:t>
      </w:r>
      <w:r w:rsidRPr="0051503B">
        <w:rPr>
          <w:rFonts w:ascii="Arial" w:hAnsi="Arial" w:cs="Arial"/>
          <w:i/>
          <w:iCs/>
          <w:sz w:val="24"/>
          <w:szCs w:val="24"/>
        </w:rPr>
        <w:t xml:space="preserve">Prisons Cannot Be Places of Rehabilitation. </w:t>
      </w:r>
      <w:r w:rsidRPr="0051503B">
        <w:rPr>
          <w:rFonts w:ascii="Arial" w:hAnsi="Arial" w:cs="Arial"/>
          <w:sz w:val="24"/>
          <w:szCs w:val="24"/>
        </w:rPr>
        <w:t xml:space="preserve">Available at: </w:t>
      </w:r>
      <w:hyperlink r:id="rId24" w:history="1">
        <w:r w:rsidRPr="0051503B">
          <w:rPr>
            <w:rStyle w:val="Hyperlink"/>
            <w:rFonts w:ascii="Arial" w:hAnsi="Arial" w:cs="Arial"/>
            <w:sz w:val="24"/>
            <w:szCs w:val="24"/>
          </w:rPr>
          <w:t>https://www.crimeandjustice.org.uk/resources/prisons-cannot-be-places-rehabilitation</w:t>
        </w:r>
      </w:hyperlink>
      <w:r w:rsidRPr="0051503B">
        <w:rPr>
          <w:rFonts w:ascii="Arial" w:hAnsi="Arial" w:cs="Arial"/>
          <w:sz w:val="24"/>
          <w:szCs w:val="24"/>
        </w:rPr>
        <w:t xml:space="preserve"> (Accessed: 23 October 2022). </w:t>
      </w:r>
    </w:p>
    <w:p w14:paraId="188DE4AD"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Morris, A., Maxwell, G. M., and Roberston, J. P. (1993) ‘Giving Victims a Voice: ‘A New Zealand Experiment’, </w:t>
      </w:r>
      <w:r w:rsidRPr="0051503B">
        <w:rPr>
          <w:rFonts w:ascii="Arial" w:hAnsi="Arial" w:cs="Arial"/>
          <w:i/>
          <w:iCs/>
          <w:color w:val="000000"/>
          <w:sz w:val="24"/>
          <w:szCs w:val="24"/>
        </w:rPr>
        <w:t xml:space="preserve">Howard Journal of Criminal Justice, </w:t>
      </w:r>
      <w:r w:rsidRPr="0051503B">
        <w:rPr>
          <w:rFonts w:ascii="Arial" w:hAnsi="Arial" w:cs="Arial"/>
          <w:color w:val="000000"/>
          <w:sz w:val="24"/>
          <w:szCs w:val="24"/>
        </w:rPr>
        <w:t xml:space="preserve">32(4), pp. 304-321. Available at: </w:t>
      </w:r>
      <w:hyperlink r:id="rId25" w:history="1">
        <w:r w:rsidRPr="0051503B">
          <w:rPr>
            <w:rStyle w:val="Hyperlink"/>
            <w:rFonts w:ascii="Arial" w:hAnsi="Arial" w:cs="Arial"/>
            <w:sz w:val="24"/>
            <w:szCs w:val="24"/>
          </w:rPr>
          <w:t>https://www.ojp.gov/ncjrs/virtual-library/abstracts/giving-victims-voice-new-zealand-experiment</w:t>
        </w:r>
      </w:hyperlink>
      <w:r w:rsidRPr="0051503B">
        <w:rPr>
          <w:rFonts w:ascii="Arial" w:hAnsi="Arial" w:cs="Arial"/>
          <w:color w:val="000000"/>
          <w:sz w:val="24"/>
          <w:szCs w:val="24"/>
        </w:rPr>
        <w:t xml:space="preserve"> (Accessed: 22 October 2022).</w:t>
      </w:r>
    </w:p>
    <w:p w14:paraId="168A9166"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Radzik, L. (2007) ‘Offenders, the Making of Amends and the State’, </w:t>
      </w:r>
      <w:r w:rsidRPr="0051503B">
        <w:rPr>
          <w:rFonts w:ascii="Arial" w:hAnsi="Arial" w:cs="Arial"/>
          <w:i/>
          <w:iCs/>
          <w:sz w:val="24"/>
          <w:szCs w:val="24"/>
        </w:rPr>
        <w:t xml:space="preserve">Handbook of Restorative Justice, </w:t>
      </w:r>
      <w:r w:rsidRPr="0051503B">
        <w:rPr>
          <w:rFonts w:ascii="Arial" w:hAnsi="Arial" w:cs="Arial"/>
          <w:sz w:val="24"/>
          <w:szCs w:val="24"/>
        </w:rPr>
        <w:t xml:space="preserve">pp. 192-207. Available at: </w:t>
      </w:r>
      <w:hyperlink r:id="rId26" w:history="1">
        <w:r w:rsidRPr="0051503B">
          <w:rPr>
            <w:rStyle w:val="Hyperlink"/>
            <w:rFonts w:ascii="Arial" w:hAnsi="Arial" w:cs="Arial"/>
            <w:sz w:val="24"/>
            <w:szCs w:val="24"/>
          </w:rPr>
          <w:t>https://philpapers.org/rec/RADOTM</w:t>
        </w:r>
      </w:hyperlink>
      <w:r w:rsidRPr="0051503B">
        <w:rPr>
          <w:rFonts w:ascii="Arial" w:hAnsi="Arial" w:cs="Arial"/>
          <w:sz w:val="24"/>
          <w:szCs w:val="24"/>
        </w:rPr>
        <w:t xml:space="preserve"> (Accessed: 22 October 2022).</w:t>
      </w:r>
    </w:p>
    <w:p w14:paraId="5CF8B3A5"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Restorative Justice Consortium (2006) </w:t>
      </w:r>
      <w:r w:rsidRPr="0051503B">
        <w:rPr>
          <w:rFonts w:ascii="Arial" w:hAnsi="Arial" w:cs="Arial"/>
          <w:i/>
          <w:iCs/>
          <w:color w:val="000000"/>
          <w:sz w:val="24"/>
          <w:szCs w:val="24"/>
        </w:rPr>
        <w:t>The Positive Effect of Restorative Justice on Re-offending</w:t>
      </w:r>
      <w:r w:rsidRPr="0051503B">
        <w:rPr>
          <w:rFonts w:ascii="Arial" w:hAnsi="Arial" w:cs="Arial"/>
          <w:color w:val="000000"/>
          <w:sz w:val="24"/>
          <w:szCs w:val="24"/>
        </w:rPr>
        <w:t>. London: Restorative Justice Consortium.</w:t>
      </w:r>
    </w:p>
    <w:p w14:paraId="4C10A69E"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Restorative Justice Council (2016) </w:t>
      </w:r>
      <w:r w:rsidRPr="0051503B">
        <w:rPr>
          <w:rFonts w:ascii="Arial" w:hAnsi="Arial" w:cs="Arial"/>
          <w:i/>
          <w:iCs/>
          <w:sz w:val="24"/>
          <w:szCs w:val="24"/>
        </w:rPr>
        <w:t xml:space="preserve">MoJ Evaluation of Restorative Justice. </w:t>
      </w:r>
      <w:r w:rsidRPr="0051503B">
        <w:rPr>
          <w:rFonts w:ascii="Arial" w:hAnsi="Arial" w:cs="Arial"/>
          <w:sz w:val="24"/>
          <w:szCs w:val="24"/>
        </w:rPr>
        <w:t xml:space="preserve">Available at: </w:t>
      </w:r>
      <w:hyperlink r:id="rId27" w:history="1">
        <w:r w:rsidRPr="0051503B">
          <w:rPr>
            <w:rStyle w:val="Hyperlink"/>
            <w:rFonts w:ascii="Arial" w:hAnsi="Arial" w:cs="Arial"/>
            <w:sz w:val="24"/>
            <w:szCs w:val="24"/>
          </w:rPr>
          <w:t>https://restorativejustice.org.uk/resources/moj-evaluation-restorative-justice</w:t>
        </w:r>
      </w:hyperlink>
      <w:r w:rsidRPr="0051503B">
        <w:rPr>
          <w:rFonts w:ascii="Arial" w:hAnsi="Arial" w:cs="Arial"/>
          <w:sz w:val="24"/>
          <w:szCs w:val="24"/>
        </w:rPr>
        <w:t xml:space="preserve"> (Accessed: 22 October 2022). </w:t>
      </w:r>
    </w:p>
    <w:p w14:paraId="35D4E7E5"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Rosner, M. and Bruce, J. (2016) </w:t>
      </w:r>
      <w:r w:rsidRPr="0051503B">
        <w:rPr>
          <w:rFonts w:ascii="Arial" w:hAnsi="Arial" w:cs="Arial"/>
          <w:i/>
          <w:iCs/>
          <w:sz w:val="24"/>
          <w:szCs w:val="24"/>
        </w:rPr>
        <w:t>Community Participation in Restorative Justice: Rituals, Reintegration and (Quasi) Professionalization.</w:t>
      </w:r>
      <w:r w:rsidRPr="0051503B">
        <w:rPr>
          <w:rFonts w:ascii="Arial" w:hAnsi="Arial" w:cs="Arial"/>
          <w:sz w:val="24"/>
          <w:szCs w:val="24"/>
        </w:rPr>
        <w:t xml:space="preserve"> Available at: </w:t>
      </w:r>
      <w:hyperlink r:id="rId28" w:history="1">
        <w:r w:rsidRPr="0051503B">
          <w:rPr>
            <w:rStyle w:val="Hyperlink"/>
            <w:rFonts w:ascii="Arial" w:hAnsi="Arial" w:cs="Arial"/>
            <w:sz w:val="24"/>
            <w:szCs w:val="24"/>
          </w:rPr>
          <w:t>http://eprints.lse.ac.uk/65067/1/Rossner_Community_Participation_in_Restorative_justice.pdf</w:t>
        </w:r>
      </w:hyperlink>
      <w:r w:rsidRPr="0051503B">
        <w:rPr>
          <w:rFonts w:ascii="Arial" w:hAnsi="Arial" w:cs="Arial"/>
          <w:sz w:val="24"/>
          <w:szCs w:val="24"/>
        </w:rPr>
        <w:t xml:space="preserve"> (Accessed: 23 October 2022).</w:t>
      </w:r>
      <w:r w:rsidRPr="0051503B">
        <w:rPr>
          <w:rFonts w:ascii="Arial" w:hAnsi="Arial" w:cs="Arial"/>
          <w:i/>
          <w:iCs/>
          <w:sz w:val="24"/>
          <w:szCs w:val="24"/>
        </w:rPr>
        <w:t xml:space="preserve"> </w:t>
      </w:r>
    </w:p>
    <w:p w14:paraId="43D116A1" w14:textId="77777777" w:rsidR="0051503B" w:rsidRPr="0051503B" w:rsidRDefault="0051503B" w:rsidP="0051503B">
      <w:pPr>
        <w:rPr>
          <w:rFonts w:ascii="Arial" w:hAnsi="Arial" w:cs="Arial"/>
          <w:sz w:val="24"/>
          <w:szCs w:val="24"/>
        </w:rPr>
      </w:pPr>
      <w:r w:rsidRPr="0051503B">
        <w:rPr>
          <w:rFonts w:ascii="Arial" w:hAnsi="Arial" w:cs="Arial"/>
          <w:sz w:val="24"/>
          <w:szCs w:val="24"/>
        </w:rPr>
        <w:lastRenderedPageBreak/>
        <w:t xml:space="preserve">Schwebel, R., and Zaslaw, J. (2002) ‘Substance Abuse Treatment and Restorative Justice Practice’, </w:t>
      </w:r>
      <w:r w:rsidRPr="0051503B">
        <w:rPr>
          <w:rFonts w:ascii="Arial" w:hAnsi="Arial" w:cs="Arial"/>
          <w:i/>
          <w:iCs/>
          <w:sz w:val="24"/>
          <w:szCs w:val="24"/>
        </w:rPr>
        <w:t>Perspectives</w:t>
      </w:r>
      <w:r w:rsidRPr="0051503B">
        <w:rPr>
          <w:rFonts w:ascii="Arial" w:hAnsi="Arial" w:cs="Arial"/>
          <w:sz w:val="24"/>
          <w:szCs w:val="24"/>
        </w:rPr>
        <w:t xml:space="preserve">, 26(3), pp. 20-24. Available at: </w:t>
      </w:r>
      <w:hyperlink r:id="rId29" w:history="1">
        <w:r w:rsidRPr="0051503B">
          <w:rPr>
            <w:rStyle w:val="Hyperlink"/>
            <w:rFonts w:ascii="Arial" w:hAnsi="Arial" w:cs="Arial"/>
            <w:sz w:val="24"/>
            <w:szCs w:val="24"/>
          </w:rPr>
          <w:t>https://www.ojp.gov/ncjrs/virtual-library/abstracts/substance-abuse-treatment-and-restorative-justice-practice</w:t>
        </w:r>
      </w:hyperlink>
      <w:r w:rsidRPr="0051503B">
        <w:rPr>
          <w:rFonts w:ascii="Arial" w:hAnsi="Arial" w:cs="Arial"/>
          <w:sz w:val="24"/>
          <w:szCs w:val="24"/>
        </w:rPr>
        <w:t xml:space="preserve"> (Accessed: 22 October 2022).</w:t>
      </w:r>
    </w:p>
    <w:p w14:paraId="475E018B"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Shapland, J., Atkinson, A., Atkinson, H., Chapman, B., Dignan, J., Howes, M., Johnstone, J., Robison, G., and Sorsby, A. (2007) </w:t>
      </w:r>
      <w:r w:rsidRPr="0051503B">
        <w:rPr>
          <w:rFonts w:ascii="Arial" w:hAnsi="Arial" w:cs="Arial"/>
          <w:i/>
          <w:iCs/>
          <w:color w:val="000000"/>
          <w:sz w:val="24"/>
          <w:szCs w:val="24"/>
        </w:rPr>
        <w:t xml:space="preserve">Restorative Justice: The Views of Victims and Offenders. </w:t>
      </w:r>
      <w:r w:rsidRPr="0051503B">
        <w:rPr>
          <w:rFonts w:ascii="Arial" w:hAnsi="Arial" w:cs="Arial"/>
          <w:color w:val="000000"/>
          <w:sz w:val="24"/>
          <w:szCs w:val="24"/>
        </w:rPr>
        <w:t xml:space="preserve">Available at: </w:t>
      </w:r>
      <w:hyperlink r:id="rId30" w:history="1">
        <w:r w:rsidRPr="0051503B">
          <w:rPr>
            <w:rStyle w:val="Hyperlink"/>
            <w:rFonts w:ascii="Arial" w:hAnsi="Arial" w:cs="Arial"/>
            <w:sz w:val="24"/>
            <w:szCs w:val="24"/>
          </w:rPr>
          <w:t>https://restorativejustice.org.uk/sites/default/files/resources/files/Ministry%20of%20Justice%20evaluation%20-%20Restorative%20justice%20the%20views%20of%20victims%20and%20offenders.pdf</w:t>
        </w:r>
      </w:hyperlink>
      <w:r w:rsidRPr="0051503B">
        <w:rPr>
          <w:rFonts w:ascii="Arial" w:hAnsi="Arial" w:cs="Arial"/>
          <w:color w:val="000000"/>
          <w:sz w:val="24"/>
          <w:szCs w:val="24"/>
        </w:rPr>
        <w:t xml:space="preserve"> (Accessed: 22 October 2022). </w:t>
      </w:r>
    </w:p>
    <w:p w14:paraId="7C6E1047" w14:textId="77777777" w:rsidR="0051503B" w:rsidRPr="0051503B" w:rsidRDefault="0051503B" w:rsidP="0051503B">
      <w:pPr>
        <w:rPr>
          <w:rFonts w:ascii="Arial" w:hAnsi="Arial" w:cs="Arial"/>
          <w:sz w:val="24"/>
          <w:szCs w:val="24"/>
        </w:rPr>
      </w:pPr>
      <w:r w:rsidRPr="0051503B">
        <w:rPr>
          <w:rFonts w:ascii="Arial" w:hAnsi="Arial" w:cs="Arial"/>
          <w:color w:val="000000"/>
          <w:sz w:val="24"/>
          <w:szCs w:val="24"/>
        </w:rPr>
        <w:t xml:space="preserve">Shapland, J., Atkinson, A., Atkinson, H., Chapman, B., Dignan, J., Howes, M., Johnstone, J., Robison, G., and Sorsby, A. (2008) </w:t>
      </w:r>
      <w:r w:rsidRPr="0051503B">
        <w:rPr>
          <w:rFonts w:ascii="Arial" w:hAnsi="Arial" w:cs="Arial"/>
          <w:i/>
          <w:iCs/>
          <w:color w:val="000000"/>
          <w:sz w:val="24"/>
          <w:szCs w:val="24"/>
        </w:rPr>
        <w:t xml:space="preserve">Does Restorative Justice Affect Reconviction? </w:t>
      </w:r>
      <w:r w:rsidRPr="0051503B">
        <w:rPr>
          <w:rFonts w:ascii="Arial" w:hAnsi="Arial" w:cs="Arial"/>
          <w:color w:val="000000"/>
          <w:sz w:val="24"/>
          <w:szCs w:val="24"/>
        </w:rPr>
        <w:t xml:space="preserve">Available at: </w:t>
      </w:r>
      <w:hyperlink r:id="rId31" w:history="1">
        <w:r w:rsidRPr="0051503B">
          <w:rPr>
            <w:rStyle w:val="Hyperlink"/>
            <w:rFonts w:ascii="Arial" w:hAnsi="Arial" w:cs="Arial"/>
            <w:sz w:val="24"/>
            <w:szCs w:val="24"/>
          </w:rPr>
          <w:t>https://restorativejustice.org.uk/sites/default/files/resources/files/Does%20restorative%20justice%20affect%20reconviction.pdf</w:t>
        </w:r>
      </w:hyperlink>
      <w:r w:rsidRPr="0051503B">
        <w:rPr>
          <w:rFonts w:ascii="Arial" w:hAnsi="Arial" w:cs="Arial"/>
          <w:color w:val="000000"/>
          <w:sz w:val="24"/>
          <w:szCs w:val="24"/>
        </w:rPr>
        <w:t xml:space="preserve"> (Accessed: 22 October 2022). </w:t>
      </w:r>
    </w:p>
    <w:p w14:paraId="25736B61"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Taylor, R. (2022) </w:t>
      </w:r>
      <w:r w:rsidRPr="0051503B">
        <w:rPr>
          <w:rFonts w:ascii="Arial" w:hAnsi="Arial" w:cs="Arial"/>
          <w:i/>
          <w:iCs/>
          <w:sz w:val="24"/>
          <w:szCs w:val="24"/>
        </w:rPr>
        <w:t xml:space="preserve">Crime and Rehabilitation: An Overview. </w:t>
      </w:r>
      <w:r w:rsidRPr="0051503B">
        <w:rPr>
          <w:rFonts w:ascii="Arial" w:hAnsi="Arial" w:cs="Arial"/>
          <w:sz w:val="24"/>
          <w:szCs w:val="24"/>
        </w:rPr>
        <w:t xml:space="preserve">Available at: </w:t>
      </w:r>
      <w:hyperlink r:id="rId32" w:anchor=":~:text=adults%20released%20from%20prison%20had%20a%20proven%20reoffending%20rate%20of%2039%25" w:history="1">
        <w:r w:rsidRPr="0051503B">
          <w:rPr>
            <w:rStyle w:val="Hyperlink"/>
            <w:rFonts w:ascii="Arial" w:hAnsi="Arial" w:cs="Arial"/>
            <w:sz w:val="24"/>
            <w:szCs w:val="24"/>
          </w:rPr>
          <w:t>https://lordslibrary.parliament.uk/crime-and-rehabilitation-an-overview/#:~:text=adults%20released%20from%20prison%20had%20a%20proven%20reoffending%20rate%20of%2039%25</w:t>
        </w:r>
      </w:hyperlink>
      <w:r w:rsidRPr="0051503B">
        <w:rPr>
          <w:rFonts w:ascii="Arial" w:hAnsi="Arial" w:cs="Arial"/>
          <w:sz w:val="24"/>
          <w:szCs w:val="24"/>
        </w:rPr>
        <w:t xml:space="preserve"> (Accessed: 22 October 2022). </w:t>
      </w:r>
    </w:p>
    <w:p w14:paraId="57EB3E2E"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Tyler, T. (2006) ‘Restorative Justice and Procedural Justice: Dealing with Rule Breaking’, </w:t>
      </w:r>
      <w:r w:rsidRPr="0051503B">
        <w:rPr>
          <w:rFonts w:ascii="Arial" w:hAnsi="Arial" w:cs="Arial"/>
          <w:i/>
          <w:iCs/>
          <w:sz w:val="24"/>
          <w:szCs w:val="24"/>
        </w:rPr>
        <w:t xml:space="preserve">Journal of Social Issues, </w:t>
      </w:r>
      <w:r w:rsidRPr="0051503B">
        <w:rPr>
          <w:rFonts w:ascii="Arial" w:hAnsi="Arial" w:cs="Arial"/>
          <w:sz w:val="24"/>
          <w:szCs w:val="24"/>
        </w:rPr>
        <w:t xml:space="preserve">62(2), pp. 307-326. Available at: </w:t>
      </w:r>
      <w:hyperlink r:id="rId33" w:history="1">
        <w:r w:rsidRPr="0051503B">
          <w:rPr>
            <w:rStyle w:val="Hyperlink"/>
            <w:rFonts w:ascii="Arial" w:hAnsi="Arial" w:cs="Arial"/>
            <w:sz w:val="24"/>
            <w:szCs w:val="24"/>
          </w:rPr>
          <w:t>https://spssi.onlinelibrary.wiley.com/doi/abs/10.1111/j.1540-4560.2006.00452.x</w:t>
        </w:r>
      </w:hyperlink>
      <w:r w:rsidRPr="0051503B">
        <w:rPr>
          <w:rFonts w:ascii="Arial" w:hAnsi="Arial" w:cs="Arial"/>
          <w:sz w:val="24"/>
          <w:szCs w:val="24"/>
        </w:rPr>
        <w:t xml:space="preserve"> (Accessed: 23 October 2022).</w:t>
      </w:r>
    </w:p>
    <w:p w14:paraId="76BD51A9"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UK Drug Policy Commission (2008) </w:t>
      </w:r>
      <w:r w:rsidRPr="0051503B">
        <w:rPr>
          <w:rFonts w:ascii="Arial" w:hAnsi="Arial" w:cs="Arial"/>
          <w:i/>
          <w:iCs/>
          <w:sz w:val="24"/>
          <w:szCs w:val="24"/>
        </w:rPr>
        <w:t xml:space="preserve">Reducing Drug Use, Reducing Reoffending. </w:t>
      </w:r>
      <w:r w:rsidRPr="0051503B">
        <w:rPr>
          <w:rFonts w:ascii="Arial" w:hAnsi="Arial" w:cs="Arial"/>
          <w:sz w:val="24"/>
          <w:szCs w:val="24"/>
        </w:rPr>
        <w:t xml:space="preserve">Available at: </w:t>
      </w:r>
      <w:hyperlink r:id="rId34" w:history="1">
        <w:r w:rsidRPr="0051503B">
          <w:rPr>
            <w:rStyle w:val="Hyperlink"/>
            <w:rFonts w:ascii="Arial" w:hAnsi="Arial" w:cs="Arial"/>
            <w:sz w:val="24"/>
            <w:szCs w:val="24"/>
          </w:rPr>
          <w:t>https://www.ukdpc.org.uk/wp-content/uploads/Policy%20report%20-%920Reducing%20drug%20use,%20reducing%20reoffending%20(summary).pdf</w:t>
        </w:r>
      </w:hyperlink>
      <w:r w:rsidRPr="0051503B">
        <w:rPr>
          <w:rFonts w:ascii="Arial" w:hAnsi="Arial" w:cs="Arial"/>
          <w:sz w:val="24"/>
          <w:szCs w:val="24"/>
        </w:rPr>
        <w:t xml:space="preserve"> (Accessed: 22 October 2022).</w:t>
      </w:r>
    </w:p>
    <w:p w14:paraId="57F2B043"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Van Camp, T. and Wemmers, J.A. (2013) ‘Victim Satisfaction With Restorative Justice: More than Simply Procedural Justice’, 19(2), pp. 117-143. Available at: </w:t>
      </w:r>
      <w:hyperlink r:id="rId35" w:history="1">
        <w:r w:rsidRPr="0051503B">
          <w:rPr>
            <w:rStyle w:val="Hyperlink"/>
            <w:rFonts w:ascii="Arial" w:hAnsi="Arial" w:cs="Arial"/>
            <w:sz w:val="24"/>
            <w:szCs w:val="24"/>
          </w:rPr>
          <w:t>https://journals.sagepub.com/doi/epub/10.1177/0269758012472764</w:t>
        </w:r>
      </w:hyperlink>
      <w:r w:rsidRPr="0051503B">
        <w:rPr>
          <w:rFonts w:ascii="Arial" w:hAnsi="Arial" w:cs="Arial"/>
          <w:sz w:val="24"/>
          <w:szCs w:val="24"/>
        </w:rPr>
        <w:t xml:space="preserve"> (Accessed: 23 October 2022).</w:t>
      </w:r>
    </w:p>
    <w:p w14:paraId="1460DB86" w14:textId="77777777" w:rsidR="0051503B" w:rsidRPr="0051503B" w:rsidRDefault="0051503B" w:rsidP="0051503B">
      <w:pPr>
        <w:rPr>
          <w:rFonts w:ascii="Arial" w:hAnsi="Arial" w:cs="Arial"/>
          <w:sz w:val="24"/>
          <w:szCs w:val="24"/>
        </w:rPr>
      </w:pPr>
      <w:r w:rsidRPr="0051503B">
        <w:rPr>
          <w:rFonts w:ascii="Arial" w:hAnsi="Arial" w:cs="Arial"/>
          <w:sz w:val="24"/>
          <w:szCs w:val="24"/>
        </w:rPr>
        <w:t>Van Ness, D. W., &amp; Strong, K. H. (2013). </w:t>
      </w:r>
      <w:r w:rsidRPr="0051503B">
        <w:rPr>
          <w:rFonts w:ascii="Arial" w:hAnsi="Arial" w:cs="Arial"/>
          <w:i/>
          <w:iCs/>
          <w:sz w:val="24"/>
          <w:szCs w:val="24"/>
        </w:rPr>
        <w:t>Restoring justice: An introduction to restorative justice</w:t>
      </w:r>
      <w:r w:rsidRPr="0051503B">
        <w:rPr>
          <w:rFonts w:ascii="Arial" w:hAnsi="Arial" w:cs="Arial"/>
          <w:sz w:val="24"/>
          <w:szCs w:val="24"/>
        </w:rPr>
        <w:t>. New York, NY: Routledge.</w:t>
      </w:r>
    </w:p>
    <w:p w14:paraId="62D26DB5"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Ward, T. &amp; Langlands, R. (2009) ‘Repairing the rupture: restorative justice and offender rehabilitation’, </w:t>
      </w:r>
      <w:r w:rsidRPr="0051503B">
        <w:rPr>
          <w:rFonts w:ascii="Arial" w:hAnsi="Arial" w:cs="Arial"/>
          <w:i/>
          <w:iCs/>
          <w:sz w:val="24"/>
          <w:szCs w:val="24"/>
        </w:rPr>
        <w:t>Aggression and Violent Behavior</w:t>
      </w:r>
      <w:r w:rsidRPr="0051503B">
        <w:rPr>
          <w:rFonts w:ascii="Arial" w:hAnsi="Arial" w:cs="Arial"/>
          <w:sz w:val="24"/>
          <w:szCs w:val="24"/>
        </w:rPr>
        <w:t>, 14, pp. 205–214.</w:t>
      </w:r>
    </w:p>
    <w:p w14:paraId="3DC7A447"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Ward, T. and Fox, K. J. (2014) </w:t>
      </w:r>
      <w:r w:rsidRPr="0051503B">
        <w:rPr>
          <w:rFonts w:ascii="Arial" w:hAnsi="Arial" w:cs="Arial"/>
          <w:i/>
          <w:iCs/>
          <w:sz w:val="24"/>
          <w:szCs w:val="24"/>
        </w:rPr>
        <w:t xml:space="preserve">Restorative Justice, Offender Rehabilitation and Desistance. </w:t>
      </w:r>
      <w:r w:rsidRPr="0051503B">
        <w:rPr>
          <w:rFonts w:ascii="Arial" w:hAnsi="Arial" w:cs="Arial"/>
          <w:sz w:val="24"/>
          <w:szCs w:val="24"/>
        </w:rPr>
        <w:t xml:space="preserve">Available at: </w:t>
      </w:r>
      <w:hyperlink r:id="rId36" w:history="1">
        <w:r w:rsidRPr="0051503B">
          <w:rPr>
            <w:rStyle w:val="Hyperlink"/>
            <w:rFonts w:ascii="Arial" w:hAnsi="Arial" w:cs="Arial"/>
            <w:sz w:val="24"/>
            <w:szCs w:val="24"/>
          </w:rPr>
          <w:t>http://www.antoniocasella.eu/restorative/Ward_Fox_Garber_2014.pdf</w:t>
        </w:r>
      </w:hyperlink>
      <w:r w:rsidRPr="0051503B">
        <w:rPr>
          <w:rFonts w:ascii="Arial" w:hAnsi="Arial" w:cs="Arial"/>
          <w:sz w:val="24"/>
          <w:szCs w:val="24"/>
        </w:rPr>
        <w:t xml:space="preserve"> (Accessed: 22 October 2022). </w:t>
      </w:r>
    </w:p>
    <w:p w14:paraId="2EF6045F" w14:textId="77777777" w:rsidR="0051503B" w:rsidRPr="0051503B" w:rsidRDefault="0051503B" w:rsidP="0051503B">
      <w:pPr>
        <w:rPr>
          <w:rFonts w:ascii="Arial" w:hAnsi="Arial" w:cs="Arial"/>
          <w:sz w:val="24"/>
          <w:szCs w:val="24"/>
        </w:rPr>
      </w:pPr>
      <w:r w:rsidRPr="0051503B">
        <w:rPr>
          <w:rFonts w:ascii="Arial" w:hAnsi="Arial" w:cs="Arial"/>
          <w:sz w:val="24"/>
          <w:szCs w:val="24"/>
        </w:rPr>
        <w:lastRenderedPageBreak/>
        <w:t xml:space="preserve">Wood, W. (2015) ‘Why Restorative Justice Will Not Reduce Incarceration’, </w:t>
      </w:r>
      <w:r w:rsidRPr="0051503B">
        <w:rPr>
          <w:rFonts w:ascii="Arial" w:hAnsi="Arial" w:cs="Arial"/>
          <w:i/>
          <w:iCs/>
          <w:sz w:val="24"/>
          <w:szCs w:val="24"/>
        </w:rPr>
        <w:t xml:space="preserve">The British Journal of Criminology, </w:t>
      </w:r>
      <w:r w:rsidRPr="0051503B">
        <w:rPr>
          <w:rFonts w:ascii="Arial" w:hAnsi="Arial" w:cs="Arial"/>
          <w:sz w:val="24"/>
          <w:szCs w:val="24"/>
        </w:rPr>
        <w:t xml:space="preserve">55(5), pp. 883-900. Available at: </w:t>
      </w:r>
      <w:hyperlink r:id="rId37" w:history="1">
        <w:r w:rsidRPr="0051503B">
          <w:rPr>
            <w:rStyle w:val="Hyperlink"/>
            <w:rFonts w:ascii="Arial" w:hAnsi="Arial" w:cs="Arial"/>
            <w:sz w:val="24"/>
            <w:szCs w:val="24"/>
          </w:rPr>
          <w:t>https://academic.oup.com/bjc/article-abstract/55/5/883/478399</w:t>
        </w:r>
      </w:hyperlink>
      <w:r w:rsidRPr="0051503B">
        <w:rPr>
          <w:rFonts w:ascii="Arial" w:hAnsi="Arial" w:cs="Arial"/>
          <w:sz w:val="24"/>
          <w:szCs w:val="24"/>
        </w:rPr>
        <w:t xml:space="preserve"> (Accessed: 22 October 2022). </w:t>
      </w:r>
    </w:p>
    <w:p w14:paraId="2F127C6A"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Wyn, E. and Herd, G. (2022) </w:t>
      </w:r>
      <w:r w:rsidRPr="0051503B">
        <w:rPr>
          <w:rFonts w:ascii="Arial" w:hAnsi="Arial" w:cs="Arial"/>
          <w:i/>
          <w:iCs/>
          <w:sz w:val="24"/>
          <w:szCs w:val="24"/>
        </w:rPr>
        <w:t>Race Hate Crimes: Victim of Nightclub Attacks Calls for Harsher Punishments.</w:t>
      </w:r>
      <w:r w:rsidRPr="0051503B">
        <w:rPr>
          <w:rFonts w:ascii="Arial" w:hAnsi="Arial" w:cs="Arial"/>
          <w:sz w:val="24"/>
          <w:szCs w:val="24"/>
        </w:rPr>
        <w:t xml:space="preserve"> Available at: </w:t>
      </w:r>
      <w:hyperlink r:id="rId38" w:history="1">
        <w:r w:rsidRPr="0051503B">
          <w:rPr>
            <w:rStyle w:val="Hyperlink"/>
            <w:rFonts w:ascii="Arial" w:hAnsi="Arial" w:cs="Arial"/>
            <w:sz w:val="24"/>
            <w:szCs w:val="24"/>
          </w:rPr>
          <w:t>https://www.bbc.co.uk/news/uk-wales-63290149</w:t>
        </w:r>
      </w:hyperlink>
      <w:r>
        <w:t xml:space="preserve"> </w:t>
      </w:r>
      <w:r w:rsidRPr="0051503B">
        <w:rPr>
          <w:rFonts w:ascii="Arial" w:hAnsi="Arial" w:cs="Arial"/>
          <w:sz w:val="24"/>
          <w:szCs w:val="24"/>
        </w:rPr>
        <w:t>(Accessed: 23 October 2022).</w:t>
      </w:r>
    </w:p>
    <w:p w14:paraId="733BC86B" w14:textId="77777777" w:rsidR="0051503B" w:rsidRPr="0051503B" w:rsidRDefault="0051503B" w:rsidP="0051503B">
      <w:pPr>
        <w:rPr>
          <w:rFonts w:ascii="Arial" w:hAnsi="Arial" w:cs="Arial"/>
          <w:sz w:val="24"/>
          <w:szCs w:val="24"/>
        </w:rPr>
      </w:pPr>
      <w:r w:rsidRPr="0051503B">
        <w:rPr>
          <w:rFonts w:ascii="Arial" w:hAnsi="Arial" w:cs="Arial"/>
          <w:sz w:val="24"/>
          <w:szCs w:val="24"/>
        </w:rPr>
        <w:t xml:space="preserve">Young, R.P. (2001) ‘Just Cops doing ‘Shameful’ Business: Police-led Restorative Justice and the Lessons of Research’, </w:t>
      </w:r>
      <w:r w:rsidRPr="0051503B">
        <w:rPr>
          <w:rFonts w:ascii="Arial" w:hAnsi="Arial" w:cs="Arial"/>
          <w:i/>
          <w:iCs/>
          <w:sz w:val="24"/>
          <w:szCs w:val="24"/>
        </w:rPr>
        <w:t>Restorative Justice for Juveniles</w:t>
      </w:r>
      <w:r w:rsidRPr="0051503B">
        <w:rPr>
          <w:rFonts w:ascii="Arial" w:hAnsi="Arial" w:cs="Arial"/>
          <w:sz w:val="24"/>
          <w:szCs w:val="24"/>
        </w:rPr>
        <w:t xml:space="preserve">, pp. 195-226. Available at: </w:t>
      </w:r>
      <w:hyperlink r:id="rId39" w:history="1">
        <w:r w:rsidRPr="0051503B">
          <w:rPr>
            <w:rStyle w:val="Hyperlink"/>
            <w:rFonts w:ascii="Arial" w:hAnsi="Arial" w:cs="Arial"/>
            <w:sz w:val="24"/>
            <w:szCs w:val="24"/>
          </w:rPr>
          <w:t>https://research-information.bris.ac.uk/en/publications/just-cops-doing-shameful-business-police-led-restorative-justice-</w:t>
        </w:r>
      </w:hyperlink>
      <w:r w:rsidRPr="0051503B">
        <w:rPr>
          <w:rFonts w:ascii="Arial" w:hAnsi="Arial" w:cs="Arial"/>
          <w:sz w:val="24"/>
          <w:szCs w:val="24"/>
        </w:rPr>
        <w:t xml:space="preserve"> (Accessed: 23 October 2022).</w:t>
      </w:r>
    </w:p>
    <w:sectPr w:rsidR="0051503B" w:rsidRPr="005150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25910"/>
    <w:multiLevelType w:val="hybridMultilevel"/>
    <w:tmpl w:val="CBC03030"/>
    <w:lvl w:ilvl="0" w:tplc="471A10C6">
      <w:start w:val="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E84CB6"/>
    <w:multiLevelType w:val="hybridMultilevel"/>
    <w:tmpl w:val="126C35C6"/>
    <w:lvl w:ilvl="0" w:tplc="E2E873F6">
      <w:start w:val="3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997874"/>
    <w:multiLevelType w:val="hybridMultilevel"/>
    <w:tmpl w:val="522E0612"/>
    <w:lvl w:ilvl="0" w:tplc="F8FEE57E">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AB223A"/>
    <w:multiLevelType w:val="hybridMultilevel"/>
    <w:tmpl w:val="6C94C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2D318E"/>
    <w:multiLevelType w:val="hybridMultilevel"/>
    <w:tmpl w:val="AFDC3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B46CAC"/>
    <w:multiLevelType w:val="hybridMultilevel"/>
    <w:tmpl w:val="7AC2C7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6134843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570319">
    <w:abstractNumId w:val="5"/>
  </w:num>
  <w:num w:numId="3" w16cid:durableId="847406182">
    <w:abstractNumId w:val="3"/>
  </w:num>
  <w:num w:numId="4" w16cid:durableId="576474038">
    <w:abstractNumId w:val="2"/>
  </w:num>
  <w:num w:numId="5" w16cid:durableId="926380275">
    <w:abstractNumId w:val="4"/>
  </w:num>
  <w:num w:numId="6" w16cid:durableId="40635638">
    <w:abstractNumId w:val="1"/>
  </w:num>
  <w:num w:numId="7" w16cid:durableId="1841921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F45"/>
    <w:rsid w:val="000010D3"/>
    <w:rsid w:val="00021F9E"/>
    <w:rsid w:val="000232A8"/>
    <w:rsid w:val="00030BE6"/>
    <w:rsid w:val="000376B0"/>
    <w:rsid w:val="00057953"/>
    <w:rsid w:val="00060457"/>
    <w:rsid w:val="00076A8C"/>
    <w:rsid w:val="00081171"/>
    <w:rsid w:val="00083A10"/>
    <w:rsid w:val="00084A0B"/>
    <w:rsid w:val="000A0B73"/>
    <w:rsid w:val="000C28A2"/>
    <w:rsid w:val="000C7A49"/>
    <w:rsid w:val="000C7B69"/>
    <w:rsid w:val="000D17F0"/>
    <w:rsid w:val="000D3C11"/>
    <w:rsid w:val="000D4BE5"/>
    <w:rsid w:val="000E0941"/>
    <w:rsid w:val="000E1997"/>
    <w:rsid w:val="000E4DC2"/>
    <w:rsid w:val="000F1E3D"/>
    <w:rsid w:val="000F2F87"/>
    <w:rsid w:val="0010094F"/>
    <w:rsid w:val="00111804"/>
    <w:rsid w:val="00113642"/>
    <w:rsid w:val="00114145"/>
    <w:rsid w:val="00122531"/>
    <w:rsid w:val="001229FC"/>
    <w:rsid w:val="00124F19"/>
    <w:rsid w:val="00151D9F"/>
    <w:rsid w:val="001661E8"/>
    <w:rsid w:val="00171FDE"/>
    <w:rsid w:val="00185B3C"/>
    <w:rsid w:val="001908F6"/>
    <w:rsid w:val="00193068"/>
    <w:rsid w:val="001943F2"/>
    <w:rsid w:val="001A7D5D"/>
    <w:rsid w:val="001E3941"/>
    <w:rsid w:val="001E605C"/>
    <w:rsid w:val="001F764C"/>
    <w:rsid w:val="00201E57"/>
    <w:rsid w:val="00204518"/>
    <w:rsid w:val="00207C71"/>
    <w:rsid w:val="0022488C"/>
    <w:rsid w:val="00227301"/>
    <w:rsid w:val="0024326A"/>
    <w:rsid w:val="00251959"/>
    <w:rsid w:val="00255243"/>
    <w:rsid w:val="00256406"/>
    <w:rsid w:val="002706AC"/>
    <w:rsid w:val="00276C86"/>
    <w:rsid w:val="00287A07"/>
    <w:rsid w:val="00292B59"/>
    <w:rsid w:val="00293055"/>
    <w:rsid w:val="002A4BDD"/>
    <w:rsid w:val="002A5860"/>
    <w:rsid w:val="002A6DCE"/>
    <w:rsid w:val="002B2F90"/>
    <w:rsid w:val="002C5A7D"/>
    <w:rsid w:val="002C6809"/>
    <w:rsid w:val="002D0615"/>
    <w:rsid w:val="002D56A5"/>
    <w:rsid w:val="002D7F40"/>
    <w:rsid w:val="002F0459"/>
    <w:rsid w:val="002F58F6"/>
    <w:rsid w:val="00305E07"/>
    <w:rsid w:val="003123F6"/>
    <w:rsid w:val="00317FD3"/>
    <w:rsid w:val="00333F47"/>
    <w:rsid w:val="00350AB9"/>
    <w:rsid w:val="0035450C"/>
    <w:rsid w:val="00372CDF"/>
    <w:rsid w:val="00373680"/>
    <w:rsid w:val="00381DC6"/>
    <w:rsid w:val="00391E7F"/>
    <w:rsid w:val="0039370A"/>
    <w:rsid w:val="003A6F3C"/>
    <w:rsid w:val="003A70A8"/>
    <w:rsid w:val="003B15FB"/>
    <w:rsid w:val="003B43AA"/>
    <w:rsid w:val="003B48D2"/>
    <w:rsid w:val="003C4659"/>
    <w:rsid w:val="003D579D"/>
    <w:rsid w:val="003D5B43"/>
    <w:rsid w:val="003D5C30"/>
    <w:rsid w:val="003E052C"/>
    <w:rsid w:val="003E34D3"/>
    <w:rsid w:val="003F1B41"/>
    <w:rsid w:val="004007BA"/>
    <w:rsid w:val="0041391E"/>
    <w:rsid w:val="00413AD4"/>
    <w:rsid w:val="00416FCF"/>
    <w:rsid w:val="004208B5"/>
    <w:rsid w:val="004224C8"/>
    <w:rsid w:val="00427CE2"/>
    <w:rsid w:val="004322D9"/>
    <w:rsid w:val="00452353"/>
    <w:rsid w:val="00452C3A"/>
    <w:rsid w:val="00461BCF"/>
    <w:rsid w:val="0046549F"/>
    <w:rsid w:val="004738EC"/>
    <w:rsid w:val="00483B4B"/>
    <w:rsid w:val="00493198"/>
    <w:rsid w:val="004A52D0"/>
    <w:rsid w:val="004B1A68"/>
    <w:rsid w:val="004C37AE"/>
    <w:rsid w:val="004C4A6E"/>
    <w:rsid w:val="004C554A"/>
    <w:rsid w:val="004C6DC1"/>
    <w:rsid w:val="004D2337"/>
    <w:rsid w:val="004D4D81"/>
    <w:rsid w:val="004D73DA"/>
    <w:rsid w:val="004E2CBF"/>
    <w:rsid w:val="004F2A01"/>
    <w:rsid w:val="00500FB9"/>
    <w:rsid w:val="0050141F"/>
    <w:rsid w:val="00507EFC"/>
    <w:rsid w:val="0051503B"/>
    <w:rsid w:val="0051743E"/>
    <w:rsid w:val="00522F8F"/>
    <w:rsid w:val="00526810"/>
    <w:rsid w:val="00526CAA"/>
    <w:rsid w:val="00527C3D"/>
    <w:rsid w:val="005362BE"/>
    <w:rsid w:val="005471D2"/>
    <w:rsid w:val="00555421"/>
    <w:rsid w:val="00563127"/>
    <w:rsid w:val="00563D6C"/>
    <w:rsid w:val="005649C0"/>
    <w:rsid w:val="00573AD6"/>
    <w:rsid w:val="005805C2"/>
    <w:rsid w:val="00591C85"/>
    <w:rsid w:val="00594CE4"/>
    <w:rsid w:val="00595554"/>
    <w:rsid w:val="005A3B2E"/>
    <w:rsid w:val="005B0BFC"/>
    <w:rsid w:val="005B68FD"/>
    <w:rsid w:val="005C2691"/>
    <w:rsid w:val="005C4528"/>
    <w:rsid w:val="005C5C29"/>
    <w:rsid w:val="005E5D1D"/>
    <w:rsid w:val="005F3031"/>
    <w:rsid w:val="005F3CF5"/>
    <w:rsid w:val="005F7D96"/>
    <w:rsid w:val="00606358"/>
    <w:rsid w:val="0061509E"/>
    <w:rsid w:val="0062611A"/>
    <w:rsid w:val="006304F8"/>
    <w:rsid w:val="00633A8A"/>
    <w:rsid w:val="00637B36"/>
    <w:rsid w:val="00637CE7"/>
    <w:rsid w:val="0064454F"/>
    <w:rsid w:val="0065551D"/>
    <w:rsid w:val="00657708"/>
    <w:rsid w:val="006637F2"/>
    <w:rsid w:val="0066397B"/>
    <w:rsid w:val="00665192"/>
    <w:rsid w:val="00666E00"/>
    <w:rsid w:val="00692DA3"/>
    <w:rsid w:val="00693803"/>
    <w:rsid w:val="00695B67"/>
    <w:rsid w:val="006B3F9F"/>
    <w:rsid w:val="006C4E3D"/>
    <w:rsid w:val="006D197B"/>
    <w:rsid w:val="006D4BD4"/>
    <w:rsid w:val="006D5C08"/>
    <w:rsid w:val="00701B0B"/>
    <w:rsid w:val="00701E69"/>
    <w:rsid w:val="00720A5E"/>
    <w:rsid w:val="00724847"/>
    <w:rsid w:val="00754D01"/>
    <w:rsid w:val="00772B08"/>
    <w:rsid w:val="00784D33"/>
    <w:rsid w:val="0078577E"/>
    <w:rsid w:val="0078618C"/>
    <w:rsid w:val="007A4CFD"/>
    <w:rsid w:val="007A7263"/>
    <w:rsid w:val="007B23B5"/>
    <w:rsid w:val="007C3CC7"/>
    <w:rsid w:val="007C561A"/>
    <w:rsid w:val="007D6B90"/>
    <w:rsid w:val="007D7C5E"/>
    <w:rsid w:val="007F77DD"/>
    <w:rsid w:val="00803314"/>
    <w:rsid w:val="00806B8C"/>
    <w:rsid w:val="008175F3"/>
    <w:rsid w:val="00830797"/>
    <w:rsid w:val="0083534D"/>
    <w:rsid w:val="00840338"/>
    <w:rsid w:val="00842AD9"/>
    <w:rsid w:val="00844C22"/>
    <w:rsid w:val="00846F61"/>
    <w:rsid w:val="008505AF"/>
    <w:rsid w:val="00856E0A"/>
    <w:rsid w:val="00864501"/>
    <w:rsid w:val="00864B37"/>
    <w:rsid w:val="008659CD"/>
    <w:rsid w:val="0086790A"/>
    <w:rsid w:val="0087113D"/>
    <w:rsid w:val="0087313E"/>
    <w:rsid w:val="00887905"/>
    <w:rsid w:val="008977B9"/>
    <w:rsid w:val="008B15E5"/>
    <w:rsid w:val="008B4584"/>
    <w:rsid w:val="008D1DA1"/>
    <w:rsid w:val="008D2C5C"/>
    <w:rsid w:val="008D75A7"/>
    <w:rsid w:val="008E4269"/>
    <w:rsid w:val="008E64E8"/>
    <w:rsid w:val="008F5D50"/>
    <w:rsid w:val="00903A10"/>
    <w:rsid w:val="009064F3"/>
    <w:rsid w:val="00911C65"/>
    <w:rsid w:val="00917567"/>
    <w:rsid w:val="0092067F"/>
    <w:rsid w:val="009232FD"/>
    <w:rsid w:val="00933332"/>
    <w:rsid w:val="009436B2"/>
    <w:rsid w:val="00946FA1"/>
    <w:rsid w:val="00950C27"/>
    <w:rsid w:val="00954ACE"/>
    <w:rsid w:val="00955C01"/>
    <w:rsid w:val="009601C1"/>
    <w:rsid w:val="009646DB"/>
    <w:rsid w:val="009741B9"/>
    <w:rsid w:val="00974838"/>
    <w:rsid w:val="00986C7F"/>
    <w:rsid w:val="009A0E70"/>
    <w:rsid w:val="009A6C5C"/>
    <w:rsid w:val="009B7C6B"/>
    <w:rsid w:val="009E00D7"/>
    <w:rsid w:val="009E0B3D"/>
    <w:rsid w:val="009E4C4F"/>
    <w:rsid w:val="009E6149"/>
    <w:rsid w:val="009E6432"/>
    <w:rsid w:val="009F5AD8"/>
    <w:rsid w:val="00A06B43"/>
    <w:rsid w:val="00A07652"/>
    <w:rsid w:val="00A143D6"/>
    <w:rsid w:val="00A17391"/>
    <w:rsid w:val="00A174AA"/>
    <w:rsid w:val="00A2184C"/>
    <w:rsid w:val="00A34F1E"/>
    <w:rsid w:val="00A47076"/>
    <w:rsid w:val="00A60647"/>
    <w:rsid w:val="00A71B4F"/>
    <w:rsid w:val="00A7712C"/>
    <w:rsid w:val="00A904FA"/>
    <w:rsid w:val="00A92799"/>
    <w:rsid w:val="00A9437B"/>
    <w:rsid w:val="00A95F56"/>
    <w:rsid w:val="00A975F2"/>
    <w:rsid w:val="00AA58D7"/>
    <w:rsid w:val="00AB1B2D"/>
    <w:rsid w:val="00AC1D6F"/>
    <w:rsid w:val="00AC260E"/>
    <w:rsid w:val="00AD0311"/>
    <w:rsid w:val="00AD5937"/>
    <w:rsid w:val="00AE7D1D"/>
    <w:rsid w:val="00AF6F54"/>
    <w:rsid w:val="00B138C9"/>
    <w:rsid w:val="00B14743"/>
    <w:rsid w:val="00B17877"/>
    <w:rsid w:val="00B25553"/>
    <w:rsid w:val="00B3506B"/>
    <w:rsid w:val="00B40640"/>
    <w:rsid w:val="00B54207"/>
    <w:rsid w:val="00B6047D"/>
    <w:rsid w:val="00B612E3"/>
    <w:rsid w:val="00B72C8F"/>
    <w:rsid w:val="00B74633"/>
    <w:rsid w:val="00B74B84"/>
    <w:rsid w:val="00B760D2"/>
    <w:rsid w:val="00B81393"/>
    <w:rsid w:val="00B85117"/>
    <w:rsid w:val="00B950D6"/>
    <w:rsid w:val="00B97899"/>
    <w:rsid w:val="00BA17E6"/>
    <w:rsid w:val="00BA7982"/>
    <w:rsid w:val="00BC3CA8"/>
    <w:rsid w:val="00BD7947"/>
    <w:rsid w:val="00BF5C5B"/>
    <w:rsid w:val="00C01BB8"/>
    <w:rsid w:val="00C03080"/>
    <w:rsid w:val="00C07E70"/>
    <w:rsid w:val="00C17D18"/>
    <w:rsid w:val="00C20E5A"/>
    <w:rsid w:val="00C2484A"/>
    <w:rsid w:val="00C24F36"/>
    <w:rsid w:val="00C256C7"/>
    <w:rsid w:val="00C45C21"/>
    <w:rsid w:val="00C50C9D"/>
    <w:rsid w:val="00C54216"/>
    <w:rsid w:val="00C61461"/>
    <w:rsid w:val="00C61B3A"/>
    <w:rsid w:val="00C61C00"/>
    <w:rsid w:val="00C72A23"/>
    <w:rsid w:val="00C76E93"/>
    <w:rsid w:val="00C84518"/>
    <w:rsid w:val="00C9187F"/>
    <w:rsid w:val="00C92C69"/>
    <w:rsid w:val="00C942CA"/>
    <w:rsid w:val="00CA4A01"/>
    <w:rsid w:val="00CA7A8F"/>
    <w:rsid w:val="00CB0088"/>
    <w:rsid w:val="00CB2A0B"/>
    <w:rsid w:val="00CC3239"/>
    <w:rsid w:val="00CD4FFC"/>
    <w:rsid w:val="00CD603F"/>
    <w:rsid w:val="00CE32A2"/>
    <w:rsid w:val="00CE7B89"/>
    <w:rsid w:val="00CF2823"/>
    <w:rsid w:val="00CF4BF0"/>
    <w:rsid w:val="00D07AC7"/>
    <w:rsid w:val="00D30C17"/>
    <w:rsid w:val="00D37C2F"/>
    <w:rsid w:val="00D454DD"/>
    <w:rsid w:val="00D73259"/>
    <w:rsid w:val="00D83AD3"/>
    <w:rsid w:val="00D94531"/>
    <w:rsid w:val="00D977EE"/>
    <w:rsid w:val="00DA3C8B"/>
    <w:rsid w:val="00DA419B"/>
    <w:rsid w:val="00DC1240"/>
    <w:rsid w:val="00DD57FC"/>
    <w:rsid w:val="00DE1089"/>
    <w:rsid w:val="00DE42B8"/>
    <w:rsid w:val="00DE56EF"/>
    <w:rsid w:val="00DE6BD8"/>
    <w:rsid w:val="00E06A5E"/>
    <w:rsid w:val="00E06D85"/>
    <w:rsid w:val="00E21318"/>
    <w:rsid w:val="00E3365D"/>
    <w:rsid w:val="00E33C37"/>
    <w:rsid w:val="00E33D89"/>
    <w:rsid w:val="00E44952"/>
    <w:rsid w:val="00E52CFF"/>
    <w:rsid w:val="00E566BF"/>
    <w:rsid w:val="00E61621"/>
    <w:rsid w:val="00E61825"/>
    <w:rsid w:val="00E65649"/>
    <w:rsid w:val="00E747CB"/>
    <w:rsid w:val="00E75DA7"/>
    <w:rsid w:val="00E8213C"/>
    <w:rsid w:val="00E83EF5"/>
    <w:rsid w:val="00E928F5"/>
    <w:rsid w:val="00E94D88"/>
    <w:rsid w:val="00E956BB"/>
    <w:rsid w:val="00E97364"/>
    <w:rsid w:val="00EB7023"/>
    <w:rsid w:val="00EC0B7A"/>
    <w:rsid w:val="00EC7B80"/>
    <w:rsid w:val="00ED1EB7"/>
    <w:rsid w:val="00ED224F"/>
    <w:rsid w:val="00ED4C74"/>
    <w:rsid w:val="00EE63E5"/>
    <w:rsid w:val="00EF75E4"/>
    <w:rsid w:val="00F0303E"/>
    <w:rsid w:val="00F05076"/>
    <w:rsid w:val="00F155B4"/>
    <w:rsid w:val="00F156F5"/>
    <w:rsid w:val="00F17230"/>
    <w:rsid w:val="00F20471"/>
    <w:rsid w:val="00F42124"/>
    <w:rsid w:val="00F475EC"/>
    <w:rsid w:val="00F500A2"/>
    <w:rsid w:val="00F563B7"/>
    <w:rsid w:val="00F57709"/>
    <w:rsid w:val="00F61DA3"/>
    <w:rsid w:val="00F64996"/>
    <w:rsid w:val="00F76FD0"/>
    <w:rsid w:val="00F8188D"/>
    <w:rsid w:val="00F854DD"/>
    <w:rsid w:val="00F93FB3"/>
    <w:rsid w:val="00FA6DD7"/>
    <w:rsid w:val="00FB0E0F"/>
    <w:rsid w:val="00FB6D33"/>
    <w:rsid w:val="00FC5462"/>
    <w:rsid w:val="00FD388D"/>
    <w:rsid w:val="00FE0F11"/>
    <w:rsid w:val="00FE216F"/>
    <w:rsid w:val="00FE3C56"/>
    <w:rsid w:val="00FE4CED"/>
    <w:rsid w:val="00FF5F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BF371"/>
  <w15:chartTrackingRefBased/>
  <w15:docId w15:val="{3905C321-8374-4D8A-9EB9-A8449A853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F45"/>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D603F"/>
    <w:rPr>
      <w:color w:val="0563C1" w:themeColor="hyperlink"/>
      <w:u w:val="single"/>
    </w:rPr>
  </w:style>
  <w:style w:type="character" w:styleId="UnresolvedMention">
    <w:name w:val="Unresolved Mention"/>
    <w:basedOn w:val="DefaultParagraphFont"/>
    <w:uiPriority w:val="99"/>
    <w:semiHidden/>
    <w:unhideWhenUsed/>
    <w:rsid w:val="00CD603F"/>
    <w:rPr>
      <w:color w:val="605E5C"/>
      <w:shd w:val="clear" w:color="auto" w:fill="E1DFDD"/>
    </w:rPr>
  </w:style>
  <w:style w:type="character" w:styleId="FollowedHyperlink">
    <w:name w:val="FollowedHyperlink"/>
    <w:basedOn w:val="DefaultParagraphFont"/>
    <w:uiPriority w:val="99"/>
    <w:semiHidden/>
    <w:unhideWhenUsed/>
    <w:rsid w:val="00F577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76012">
      <w:bodyDiv w:val="1"/>
      <w:marLeft w:val="0"/>
      <w:marRight w:val="0"/>
      <w:marTop w:val="0"/>
      <w:marBottom w:val="0"/>
      <w:divBdr>
        <w:top w:val="none" w:sz="0" w:space="0" w:color="auto"/>
        <w:left w:val="none" w:sz="0" w:space="0" w:color="auto"/>
        <w:bottom w:val="none" w:sz="0" w:space="0" w:color="auto"/>
        <w:right w:val="none" w:sz="0" w:space="0" w:color="auto"/>
      </w:divBdr>
    </w:div>
    <w:div w:id="88043214">
      <w:bodyDiv w:val="1"/>
      <w:marLeft w:val="0"/>
      <w:marRight w:val="0"/>
      <w:marTop w:val="0"/>
      <w:marBottom w:val="0"/>
      <w:divBdr>
        <w:top w:val="none" w:sz="0" w:space="0" w:color="auto"/>
        <w:left w:val="none" w:sz="0" w:space="0" w:color="auto"/>
        <w:bottom w:val="none" w:sz="0" w:space="0" w:color="auto"/>
        <w:right w:val="none" w:sz="0" w:space="0" w:color="auto"/>
      </w:divBdr>
    </w:div>
    <w:div w:id="312415203">
      <w:bodyDiv w:val="1"/>
      <w:marLeft w:val="0"/>
      <w:marRight w:val="0"/>
      <w:marTop w:val="0"/>
      <w:marBottom w:val="0"/>
      <w:divBdr>
        <w:top w:val="none" w:sz="0" w:space="0" w:color="auto"/>
        <w:left w:val="none" w:sz="0" w:space="0" w:color="auto"/>
        <w:bottom w:val="none" w:sz="0" w:space="0" w:color="auto"/>
        <w:right w:val="none" w:sz="0" w:space="0" w:color="auto"/>
      </w:divBdr>
    </w:div>
    <w:div w:id="319121512">
      <w:bodyDiv w:val="1"/>
      <w:marLeft w:val="0"/>
      <w:marRight w:val="0"/>
      <w:marTop w:val="0"/>
      <w:marBottom w:val="0"/>
      <w:divBdr>
        <w:top w:val="none" w:sz="0" w:space="0" w:color="auto"/>
        <w:left w:val="none" w:sz="0" w:space="0" w:color="auto"/>
        <w:bottom w:val="none" w:sz="0" w:space="0" w:color="auto"/>
        <w:right w:val="none" w:sz="0" w:space="0" w:color="auto"/>
      </w:divBdr>
    </w:div>
    <w:div w:id="414281117">
      <w:bodyDiv w:val="1"/>
      <w:marLeft w:val="0"/>
      <w:marRight w:val="0"/>
      <w:marTop w:val="0"/>
      <w:marBottom w:val="0"/>
      <w:divBdr>
        <w:top w:val="none" w:sz="0" w:space="0" w:color="auto"/>
        <w:left w:val="none" w:sz="0" w:space="0" w:color="auto"/>
        <w:bottom w:val="none" w:sz="0" w:space="0" w:color="auto"/>
        <w:right w:val="none" w:sz="0" w:space="0" w:color="auto"/>
      </w:divBdr>
    </w:div>
    <w:div w:id="454061708">
      <w:bodyDiv w:val="1"/>
      <w:marLeft w:val="0"/>
      <w:marRight w:val="0"/>
      <w:marTop w:val="0"/>
      <w:marBottom w:val="0"/>
      <w:divBdr>
        <w:top w:val="none" w:sz="0" w:space="0" w:color="auto"/>
        <w:left w:val="none" w:sz="0" w:space="0" w:color="auto"/>
        <w:bottom w:val="none" w:sz="0" w:space="0" w:color="auto"/>
        <w:right w:val="none" w:sz="0" w:space="0" w:color="auto"/>
      </w:divBdr>
    </w:div>
    <w:div w:id="492912767">
      <w:bodyDiv w:val="1"/>
      <w:marLeft w:val="0"/>
      <w:marRight w:val="0"/>
      <w:marTop w:val="0"/>
      <w:marBottom w:val="0"/>
      <w:divBdr>
        <w:top w:val="none" w:sz="0" w:space="0" w:color="auto"/>
        <w:left w:val="none" w:sz="0" w:space="0" w:color="auto"/>
        <w:bottom w:val="none" w:sz="0" w:space="0" w:color="auto"/>
        <w:right w:val="none" w:sz="0" w:space="0" w:color="auto"/>
      </w:divBdr>
    </w:div>
    <w:div w:id="508714479">
      <w:bodyDiv w:val="1"/>
      <w:marLeft w:val="0"/>
      <w:marRight w:val="0"/>
      <w:marTop w:val="0"/>
      <w:marBottom w:val="0"/>
      <w:divBdr>
        <w:top w:val="none" w:sz="0" w:space="0" w:color="auto"/>
        <w:left w:val="none" w:sz="0" w:space="0" w:color="auto"/>
        <w:bottom w:val="none" w:sz="0" w:space="0" w:color="auto"/>
        <w:right w:val="none" w:sz="0" w:space="0" w:color="auto"/>
      </w:divBdr>
    </w:div>
    <w:div w:id="517088970">
      <w:bodyDiv w:val="1"/>
      <w:marLeft w:val="0"/>
      <w:marRight w:val="0"/>
      <w:marTop w:val="0"/>
      <w:marBottom w:val="0"/>
      <w:divBdr>
        <w:top w:val="none" w:sz="0" w:space="0" w:color="auto"/>
        <w:left w:val="none" w:sz="0" w:space="0" w:color="auto"/>
        <w:bottom w:val="none" w:sz="0" w:space="0" w:color="auto"/>
        <w:right w:val="none" w:sz="0" w:space="0" w:color="auto"/>
      </w:divBdr>
    </w:div>
    <w:div w:id="685331538">
      <w:bodyDiv w:val="1"/>
      <w:marLeft w:val="0"/>
      <w:marRight w:val="0"/>
      <w:marTop w:val="0"/>
      <w:marBottom w:val="0"/>
      <w:divBdr>
        <w:top w:val="none" w:sz="0" w:space="0" w:color="auto"/>
        <w:left w:val="none" w:sz="0" w:space="0" w:color="auto"/>
        <w:bottom w:val="none" w:sz="0" w:space="0" w:color="auto"/>
        <w:right w:val="none" w:sz="0" w:space="0" w:color="auto"/>
      </w:divBdr>
    </w:div>
    <w:div w:id="702511786">
      <w:bodyDiv w:val="1"/>
      <w:marLeft w:val="0"/>
      <w:marRight w:val="0"/>
      <w:marTop w:val="0"/>
      <w:marBottom w:val="0"/>
      <w:divBdr>
        <w:top w:val="none" w:sz="0" w:space="0" w:color="auto"/>
        <w:left w:val="none" w:sz="0" w:space="0" w:color="auto"/>
        <w:bottom w:val="none" w:sz="0" w:space="0" w:color="auto"/>
        <w:right w:val="none" w:sz="0" w:space="0" w:color="auto"/>
      </w:divBdr>
    </w:div>
    <w:div w:id="862130154">
      <w:bodyDiv w:val="1"/>
      <w:marLeft w:val="0"/>
      <w:marRight w:val="0"/>
      <w:marTop w:val="0"/>
      <w:marBottom w:val="0"/>
      <w:divBdr>
        <w:top w:val="none" w:sz="0" w:space="0" w:color="auto"/>
        <w:left w:val="none" w:sz="0" w:space="0" w:color="auto"/>
        <w:bottom w:val="none" w:sz="0" w:space="0" w:color="auto"/>
        <w:right w:val="none" w:sz="0" w:space="0" w:color="auto"/>
      </w:divBdr>
    </w:div>
    <w:div w:id="873886130">
      <w:bodyDiv w:val="1"/>
      <w:marLeft w:val="0"/>
      <w:marRight w:val="0"/>
      <w:marTop w:val="0"/>
      <w:marBottom w:val="0"/>
      <w:divBdr>
        <w:top w:val="none" w:sz="0" w:space="0" w:color="auto"/>
        <w:left w:val="none" w:sz="0" w:space="0" w:color="auto"/>
        <w:bottom w:val="none" w:sz="0" w:space="0" w:color="auto"/>
        <w:right w:val="none" w:sz="0" w:space="0" w:color="auto"/>
      </w:divBdr>
    </w:div>
    <w:div w:id="921065616">
      <w:bodyDiv w:val="1"/>
      <w:marLeft w:val="0"/>
      <w:marRight w:val="0"/>
      <w:marTop w:val="0"/>
      <w:marBottom w:val="0"/>
      <w:divBdr>
        <w:top w:val="none" w:sz="0" w:space="0" w:color="auto"/>
        <w:left w:val="none" w:sz="0" w:space="0" w:color="auto"/>
        <w:bottom w:val="none" w:sz="0" w:space="0" w:color="auto"/>
        <w:right w:val="none" w:sz="0" w:space="0" w:color="auto"/>
      </w:divBdr>
    </w:div>
    <w:div w:id="1206410056">
      <w:bodyDiv w:val="1"/>
      <w:marLeft w:val="0"/>
      <w:marRight w:val="0"/>
      <w:marTop w:val="0"/>
      <w:marBottom w:val="0"/>
      <w:divBdr>
        <w:top w:val="none" w:sz="0" w:space="0" w:color="auto"/>
        <w:left w:val="none" w:sz="0" w:space="0" w:color="auto"/>
        <w:bottom w:val="none" w:sz="0" w:space="0" w:color="auto"/>
        <w:right w:val="none" w:sz="0" w:space="0" w:color="auto"/>
      </w:divBdr>
    </w:div>
    <w:div w:id="1316492988">
      <w:bodyDiv w:val="1"/>
      <w:marLeft w:val="0"/>
      <w:marRight w:val="0"/>
      <w:marTop w:val="0"/>
      <w:marBottom w:val="0"/>
      <w:divBdr>
        <w:top w:val="none" w:sz="0" w:space="0" w:color="auto"/>
        <w:left w:val="none" w:sz="0" w:space="0" w:color="auto"/>
        <w:bottom w:val="none" w:sz="0" w:space="0" w:color="auto"/>
        <w:right w:val="none" w:sz="0" w:space="0" w:color="auto"/>
      </w:divBdr>
    </w:div>
    <w:div w:id="1344094099">
      <w:bodyDiv w:val="1"/>
      <w:marLeft w:val="0"/>
      <w:marRight w:val="0"/>
      <w:marTop w:val="0"/>
      <w:marBottom w:val="0"/>
      <w:divBdr>
        <w:top w:val="none" w:sz="0" w:space="0" w:color="auto"/>
        <w:left w:val="none" w:sz="0" w:space="0" w:color="auto"/>
        <w:bottom w:val="none" w:sz="0" w:space="0" w:color="auto"/>
        <w:right w:val="none" w:sz="0" w:space="0" w:color="auto"/>
      </w:divBdr>
    </w:div>
    <w:div w:id="1385252479">
      <w:bodyDiv w:val="1"/>
      <w:marLeft w:val="0"/>
      <w:marRight w:val="0"/>
      <w:marTop w:val="0"/>
      <w:marBottom w:val="0"/>
      <w:divBdr>
        <w:top w:val="none" w:sz="0" w:space="0" w:color="auto"/>
        <w:left w:val="none" w:sz="0" w:space="0" w:color="auto"/>
        <w:bottom w:val="none" w:sz="0" w:space="0" w:color="auto"/>
        <w:right w:val="none" w:sz="0" w:space="0" w:color="auto"/>
      </w:divBdr>
    </w:div>
    <w:div w:id="1459253327">
      <w:bodyDiv w:val="1"/>
      <w:marLeft w:val="0"/>
      <w:marRight w:val="0"/>
      <w:marTop w:val="0"/>
      <w:marBottom w:val="0"/>
      <w:divBdr>
        <w:top w:val="none" w:sz="0" w:space="0" w:color="auto"/>
        <w:left w:val="none" w:sz="0" w:space="0" w:color="auto"/>
        <w:bottom w:val="none" w:sz="0" w:space="0" w:color="auto"/>
        <w:right w:val="none" w:sz="0" w:space="0" w:color="auto"/>
      </w:divBdr>
    </w:div>
    <w:div w:id="1528442723">
      <w:bodyDiv w:val="1"/>
      <w:marLeft w:val="0"/>
      <w:marRight w:val="0"/>
      <w:marTop w:val="0"/>
      <w:marBottom w:val="0"/>
      <w:divBdr>
        <w:top w:val="none" w:sz="0" w:space="0" w:color="auto"/>
        <w:left w:val="none" w:sz="0" w:space="0" w:color="auto"/>
        <w:bottom w:val="none" w:sz="0" w:space="0" w:color="auto"/>
        <w:right w:val="none" w:sz="0" w:space="0" w:color="auto"/>
      </w:divBdr>
    </w:div>
    <w:div w:id="1581865836">
      <w:bodyDiv w:val="1"/>
      <w:marLeft w:val="0"/>
      <w:marRight w:val="0"/>
      <w:marTop w:val="0"/>
      <w:marBottom w:val="0"/>
      <w:divBdr>
        <w:top w:val="none" w:sz="0" w:space="0" w:color="auto"/>
        <w:left w:val="none" w:sz="0" w:space="0" w:color="auto"/>
        <w:bottom w:val="none" w:sz="0" w:space="0" w:color="auto"/>
        <w:right w:val="none" w:sz="0" w:space="0" w:color="auto"/>
      </w:divBdr>
    </w:div>
    <w:div w:id="1820029701">
      <w:bodyDiv w:val="1"/>
      <w:marLeft w:val="0"/>
      <w:marRight w:val="0"/>
      <w:marTop w:val="0"/>
      <w:marBottom w:val="0"/>
      <w:divBdr>
        <w:top w:val="none" w:sz="0" w:space="0" w:color="auto"/>
        <w:left w:val="none" w:sz="0" w:space="0" w:color="auto"/>
        <w:bottom w:val="none" w:sz="0" w:space="0" w:color="auto"/>
        <w:right w:val="none" w:sz="0" w:space="0" w:color="auto"/>
      </w:divBdr>
    </w:div>
    <w:div w:id="1828010917">
      <w:bodyDiv w:val="1"/>
      <w:marLeft w:val="0"/>
      <w:marRight w:val="0"/>
      <w:marTop w:val="0"/>
      <w:marBottom w:val="0"/>
      <w:divBdr>
        <w:top w:val="none" w:sz="0" w:space="0" w:color="auto"/>
        <w:left w:val="none" w:sz="0" w:space="0" w:color="auto"/>
        <w:bottom w:val="none" w:sz="0" w:space="0" w:color="auto"/>
        <w:right w:val="none" w:sz="0" w:space="0" w:color="auto"/>
      </w:divBdr>
    </w:div>
    <w:div w:id="1910729785">
      <w:bodyDiv w:val="1"/>
      <w:marLeft w:val="0"/>
      <w:marRight w:val="0"/>
      <w:marTop w:val="0"/>
      <w:marBottom w:val="0"/>
      <w:divBdr>
        <w:top w:val="none" w:sz="0" w:space="0" w:color="auto"/>
        <w:left w:val="none" w:sz="0" w:space="0" w:color="auto"/>
        <w:bottom w:val="none" w:sz="0" w:space="0" w:color="auto"/>
        <w:right w:val="none" w:sz="0" w:space="0" w:color="auto"/>
      </w:divBdr>
    </w:div>
    <w:div w:id="1954743600">
      <w:bodyDiv w:val="1"/>
      <w:marLeft w:val="0"/>
      <w:marRight w:val="0"/>
      <w:marTop w:val="0"/>
      <w:marBottom w:val="0"/>
      <w:divBdr>
        <w:top w:val="none" w:sz="0" w:space="0" w:color="auto"/>
        <w:left w:val="none" w:sz="0" w:space="0" w:color="auto"/>
        <w:bottom w:val="none" w:sz="0" w:space="0" w:color="auto"/>
        <w:right w:val="none" w:sz="0" w:space="0" w:color="auto"/>
      </w:divBdr>
    </w:div>
    <w:div w:id="207296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ista.com/statistics/1202172/cost-per-prisoner-england-and-wales/" TargetMode="External"/><Relationship Id="rId18" Type="http://schemas.openxmlformats.org/officeDocument/2006/relationships/hyperlink" Target="https://www.dyfedpowys-pcc.org.uk/en/news/press-releases/diversionary-scheme-launched-in-dyfed-powys/" TargetMode="External"/><Relationship Id="rId26" Type="http://schemas.openxmlformats.org/officeDocument/2006/relationships/hyperlink" Target="https://philpapers.org/rec/RADOTM" TargetMode="External"/><Relationship Id="rId39" Type="http://schemas.openxmlformats.org/officeDocument/2006/relationships/hyperlink" Target="https://research-information.bris.ac.uk/en/publications/just-cops-doing-shameful-business-police-led-restorative-justice-" TargetMode="External"/><Relationship Id="rId21" Type="http://schemas.openxmlformats.org/officeDocument/2006/relationships/hyperlink" Target="https://yougov.co.uk/topics/politics/articles-reports/2019/10/01/brits-want-harsher-punishments-criminals" TargetMode="External"/><Relationship Id="rId34" Type="http://schemas.openxmlformats.org/officeDocument/2006/relationships/hyperlink" Target="https://www.ukdpc.org.uk/wp-content/uploads/Policy%20report%20-%920Reducing%20drug%20use,%20reducing%20reoffending%20(summary).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ps.gov.uk/legal-guidance/restorative-justice" TargetMode="External"/><Relationship Id="rId20" Type="http://schemas.openxmlformats.org/officeDocument/2006/relationships/hyperlink" Target="https://publications.parliament.uk/pa/cm201617/cmselect/cmjust/164/164.pdf" TargetMode="External"/><Relationship Id="rId29" Type="http://schemas.openxmlformats.org/officeDocument/2006/relationships/hyperlink" Target="https://www.ojp.gov/ncjrs/virtual-library/abstracts/substance-abuse-treatment-and-restorative-justice-practi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econversation.com/why-rehabilitation-not-harsher-prison-sentences-makes-economic-sense-132213" TargetMode="External"/><Relationship Id="rId24" Type="http://schemas.openxmlformats.org/officeDocument/2006/relationships/hyperlink" Target="https://www.crimeandjustice.org.uk/resources/prisons-cannot-be-places-rehabilitation" TargetMode="External"/><Relationship Id="rId32" Type="http://schemas.openxmlformats.org/officeDocument/2006/relationships/hyperlink" Target="https://lordslibrary.parliament.uk/crime-and-rehabilitation-an-overview/" TargetMode="External"/><Relationship Id="rId37" Type="http://schemas.openxmlformats.org/officeDocument/2006/relationships/hyperlink" Target="https://academic.oup.com/bjc/article-abstract/55/5/883/478399"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prints.lse.ac.uk/17966/" TargetMode="External"/><Relationship Id="rId23" Type="http://schemas.openxmlformats.org/officeDocument/2006/relationships/hyperlink" Target="https://assets.publishing.service.gov.uk/government/uploads/system/uploads/attachment_data/file/1038765/prisons-strategy-white-paper.pdf" TargetMode="External"/><Relationship Id="rId28" Type="http://schemas.openxmlformats.org/officeDocument/2006/relationships/hyperlink" Target="http://eprints.lse.ac.uk/65067/1/Rossner_Community_Participation_in_Restorative_justice.pdf" TargetMode="External"/><Relationship Id="rId36" Type="http://schemas.openxmlformats.org/officeDocument/2006/relationships/hyperlink" Target="http://www.antoniocasella.eu/restorative/Ward_Fox_Garber_2014.pdf" TargetMode="External"/><Relationship Id="rId10" Type="http://schemas.openxmlformats.org/officeDocument/2006/relationships/hyperlink" Target="https://www.cairn-int.info/journal-raisons-politiques-2015-3-page-73.htm" TargetMode="External"/><Relationship Id="rId19" Type="http://schemas.openxmlformats.org/officeDocument/2006/relationships/hyperlink" Target="https://www.victimsweek.gc.ca/symp-colloque/past-passe/2009/presentation/arlg_1.html" TargetMode="External"/><Relationship Id="rId31" Type="http://schemas.openxmlformats.org/officeDocument/2006/relationships/hyperlink" Target="https://restorativejustice.org.uk/sites/default/files/resources/files/Does%20restorative%20justice%20affect%20reconviction.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onlinelibrary.wiley.com/doi/abs/10.1111/j.1745-9133.2004.tb00073.x" TargetMode="External"/><Relationship Id="rId22" Type="http://schemas.openxmlformats.org/officeDocument/2006/relationships/hyperlink" Target="https://gceps.princeton.edu/wp-content/uploads/2017/01/189lee.pdf" TargetMode="External"/><Relationship Id="rId27" Type="http://schemas.openxmlformats.org/officeDocument/2006/relationships/hyperlink" Target="https://restorativejustice.org.uk/resources/moj-evaluation-restorative-justice" TargetMode="External"/><Relationship Id="rId30" Type="http://schemas.openxmlformats.org/officeDocument/2006/relationships/hyperlink" Target="https://restorativejustice.org.uk/sites/default/files/resources/files/Ministry%20of%20Justice%20evaluation%20-%20Restorative%20justice%20the%20views%20of%20victims%20and%20offenders.pdf" TargetMode="External"/><Relationship Id="rId35" Type="http://schemas.openxmlformats.org/officeDocument/2006/relationships/hyperlink" Target="https://journals.sagepub.com/doi/epub/10.1177/0269758012472764"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umn.edu/~jmaahs/Correctional%20Assessment/rj%20brief.pdf" TargetMode="External"/><Relationship Id="rId17" Type="http://schemas.openxmlformats.org/officeDocument/2006/relationships/hyperlink" Target="https://domesticabusecommissioner.uk/wp-content/uploads/2021/06/Court-Support-Mapping-Report-DAC-Office-and-SafeLives.pdf" TargetMode="External"/><Relationship Id="rId25" Type="http://schemas.openxmlformats.org/officeDocument/2006/relationships/hyperlink" Target="https://www.ojp.gov/ncjrs/virtual-library/abstracts/giving-victims-voice-new-zealand-experiment" TargetMode="External"/><Relationship Id="rId33" Type="http://schemas.openxmlformats.org/officeDocument/2006/relationships/hyperlink" Target="https://spssi.onlinelibrary.wiley.com/doi/abs/10.1111/j.1540-4560.2006.00452.x" TargetMode="External"/><Relationship Id="rId38" Type="http://schemas.openxmlformats.org/officeDocument/2006/relationships/hyperlink" Target="https://www.bbc.co.uk/news/uk-wales-632901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71c42fdf08045484286ac5826bf8168c">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06868afcb47697008e2a2777f70256d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9A725E-9181-4A10-B03A-CAD9F1FDBAF6}">
  <ds:schemaRefs>
    <ds:schemaRef ds:uri="http://schemas.microsoft.com/sharepoint/v3/contenttype/forms"/>
  </ds:schemaRefs>
</ds:datastoreItem>
</file>

<file path=customXml/itemProps2.xml><?xml version="1.0" encoding="utf-8"?>
<ds:datastoreItem xmlns:ds="http://schemas.openxmlformats.org/officeDocument/2006/customXml" ds:itemID="{AE3EC986-C36C-4D35-81BC-CDB46493F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6C81C9-3006-477F-A6B7-581264B05DA6}">
  <ds:schemaRefs>
    <ds:schemaRef ds:uri="http://schemas.openxmlformats.org/officeDocument/2006/bibliography"/>
  </ds:schemaRefs>
</ds:datastoreItem>
</file>

<file path=customXml/itemProps4.xml><?xml version="1.0" encoding="utf-8"?>
<ds:datastoreItem xmlns:ds="http://schemas.openxmlformats.org/officeDocument/2006/customXml" ds:itemID="{63AB2E38-521A-4F4B-BB4C-BF774DB49A40}">
  <ds:schemaRefs>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921765a0-fcf6-47d1-8ac4-5d670786d758"/>
    <ds:schemaRef ds:uri="46b8f10f-f56e-4e87-af4a-2384ac14456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4534</Words>
  <Characters>25848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Warwick Proctor (1905889)</dc:creator>
  <cp:keywords/>
  <dc:description/>
  <cp:lastModifiedBy>Warwick Proctor</cp:lastModifiedBy>
  <cp:revision>2</cp:revision>
  <dcterms:created xsi:type="dcterms:W3CDTF">2022-10-23T19:50:00Z</dcterms:created>
  <dcterms:modified xsi:type="dcterms:W3CDTF">2022-10-23T19:50:00Z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