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91610A" w14:textId="77777777" w:rsidR="00D44E60" w:rsidRDefault="005171D5">
      <w:r>
        <w:t>Does the literary tradition on the start of the Roman imperial period support the view that Octavian/Augustus’ power was dependant on Marcus Agrippa?</w:t>
      </w:r>
    </w:p>
    <w:p w14:paraId="654C34CE" w14:textId="2628E6E8" w:rsidR="008951C1" w:rsidRDefault="008951C1" w:rsidP="00422AF9">
      <w:pPr>
        <w:pStyle w:val="ListParagraph"/>
        <w:numPr>
          <w:ilvl w:val="0"/>
          <w:numId w:val="1"/>
        </w:numPr>
      </w:pPr>
      <w:r>
        <w:t>Introduction</w:t>
      </w:r>
    </w:p>
    <w:p w14:paraId="0A2F1DBD" w14:textId="16450BEE" w:rsidR="00422AF9" w:rsidRDefault="00422AF9" w:rsidP="00422AF9">
      <w:pPr>
        <w:pStyle w:val="ListParagraph"/>
        <w:numPr>
          <w:ilvl w:val="0"/>
          <w:numId w:val="2"/>
        </w:numPr>
      </w:pPr>
      <w:r>
        <w:t xml:space="preserve">What were the main </w:t>
      </w:r>
      <w:r w:rsidR="00F84797">
        <w:t>contributions</w:t>
      </w:r>
      <w:r w:rsidR="005C3BBF">
        <w:t xml:space="preserve"> that</w:t>
      </w:r>
      <w:r>
        <w:t xml:space="preserve"> Marcus Agrippa had on the reign of Augustus? </w:t>
      </w:r>
    </w:p>
    <w:p w14:paraId="3EC3E123" w14:textId="71E75D3C" w:rsidR="00422AF9" w:rsidRDefault="00422AF9" w:rsidP="00422AF9">
      <w:pPr>
        <w:pStyle w:val="ListParagraph"/>
        <w:numPr>
          <w:ilvl w:val="0"/>
          <w:numId w:val="3"/>
        </w:numPr>
      </w:pPr>
      <w:r>
        <w:t>Accomplished military commander</w:t>
      </w:r>
    </w:p>
    <w:p w14:paraId="53F0B457" w14:textId="1B61947D" w:rsidR="005C3BBF" w:rsidRDefault="005C3BBF" w:rsidP="00422AF9">
      <w:pPr>
        <w:pStyle w:val="ListParagraph"/>
        <w:numPr>
          <w:ilvl w:val="0"/>
          <w:numId w:val="3"/>
        </w:numPr>
      </w:pPr>
      <w:r>
        <w:t>Successful Roman politician</w:t>
      </w:r>
    </w:p>
    <w:p w14:paraId="098A46AC" w14:textId="2E78C979" w:rsidR="005C3BBF" w:rsidRDefault="005C3BBF" w:rsidP="00422AF9">
      <w:pPr>
        <w:pStyle w:val="ListParagraph"/>
        <w:numPr>
          <w:ilvl w:val="0"/>
          <w:numId w:val="3"/>
        </w:numPr>
      </w:pPr>
      <w:r>
        <w:t>Public works that benefitted the empire</w:t>
      </w:r>
    </w:p>
    <w:p w14:paraId="6AD5E080" w14:textId="5D2FA7AA" w:rsidR="00882CCB" w:rsidRDefault="00882CCB" w:rsidP="003F15F1">
      <w:pPr>
        <w:pStyle w:val="ListParagraph"/>
        <w:numPr>
          <w:ilvl w:val="0"/>
          <w:numId w:val="2"/>
        </w:numPr>
      </w:pPr>
      <w:r>
        <w:t>Other factors that contributed to Augustus’ power</w:t>
      </w:r>
    </w:p>
    <w:p w14:paraId="083FFCF4" w14:textId="753D68D7" w:rsidR="00882CCB" w:rsidRDefault="00882CCB" w:rsidP="00882CCB">
      <w:pPr>
        <w:pStyle w:val="ListParagraph"/>
        <w:numPr>
          <w:ilvl w:val="0"/>
          <w:numId w:val="4"/>
        </w:numPr>
      </w:pPr>
      <w:r>
        <w:t>Weak senate following proscriptions</w:t>
      </w:r>
    </w:p>
    <w:p w14:paraId="4FEBE782" w14:textId="594615F1" w:rsidR="00882CCB" w:rsidRDefault="00882CCB" w:rsidP="00882CCB">
      <w:pPr>
        <w:pStyle w:val="ListParagraph"/>
        <w:numPr>
          <w:ilvl w:val="0"/>
          <w:numId w:val="4"/>
        </w:numPr>
      </w:pPr>
      <w:r>
        <w:t>Legions loyal to Augustus</w:t>
      </w:r>
    </w:p>
    <w:p w14:paraId="70C4B562" w14:textId="65D07291" w:rsidR="00882CCB" w:rsidRDefault="00882CCB" w:rsidP="00882CCB">
      <w:pPr>
        <w:pStyle w:val="ListParagraph"/>
        <w:numPr>
          <w:ilvl w:val="0"/>
          <w:numId w:val="4"/>
        </w:numPr>
      </w:pPr>
      <w:r>
        <w:t>Second triumvirate</w:t>
      </w:r>
    </w:p>
    <w:p w14:paraId="6DD66709" w14:textId="7E4B73B1" w:rsidR="00B2376D" w:rsidRDefault="00882CCB" w:rsidP="00882CCB">
      <w:pPr>
        <w:pStyle w:val="ListParagraph"/>
        <w:numPr>
          <w:ilvl w:val="0"/>
          <w:numId w:val="4"/>
        </w:numPr>
      </w:pPr>
      <w:r>
        <w:t xml:space="preserve">Careful manoeuvring after </w:t>
      </w:r>
      <w:r w:rsidR="00B2376D">
        <w:t xml:space="preserve">years of </w:t>
      </w:r>
      <w:r>
        <w:t xml:space="preserve">civil war and accepting the term </w:t>
      </w:r>
      <w:r>
        <w:rPr>
          <w:i/>
        </w:rPr>
        <w:t>princeps</w:t>
      </w:r>
    </w:p>
    <w:p w14:paraId="08C814FF" w14:textId="6173F8CA" w:rsidR="00882CCB" w:rsidRDefault="00B2376D" w:rsidP="00B2376D">
      <w:pPr>
        <w:pStyle w:val="ListParagraph"/>
        <w:numPr>
          <w:ilvl w:val="0"/>
          <w:numId w:val="2"/>
        </w:numPr>
      </w:pPr>
      <w:r>
        <w:t>Sources and Methodology</w:t>
      </w:r>
    </w:p>
    <w:p w14:paraId="391C489B" w14:textId="6DB45D77" w:rsidR="00B2376D" w:rsidRDefault="00B2376D" w:rsidP="00B2376D">
      <w:pPr>
        <w:pStyle w:val="ListParagraph"/>
        <w:numPr>
          <w:ilvl w:val="0"/>
          <w:numId w:val="5"/>
        </w:numPr>
      </w:pPr>
      <w:r>
        <w:t>Suetonius</w:t>
      </w:r>
    </w:p>
    <w:p w14:paraId="3B72A04F" w14:textId="6744CC53" w:rsidR="00B2376D" w:rsidRDefault="00B2376D" w:rsidP="00B2376D">
      <w:pPr>
        <w:pStyle w:val="ListParagraph"/>
        <w:numPr>
          <w:ilvl w:val="0"/>
          <w:numId w:val="5"/>
        </w:numPr>
      </w:pPr>
      <w:r>
        <w:t>Cassius Dio</w:t>
      </w:r>
    </w:p>
    <w:p w14:paraId="555F87DC" w14:textId="3A0390EB" w:rsidR="00B2376D" w:rsidRDefault="00B2376D" w:rsidP="00B2376D">
      <w:pPr>
        <w:pStyle w:val="ListParagraph"/>
        <w:numPr>
          <w:ilvl w:val="0"/>
          <w:numId w:val="5"/>
        </w:numPr>
      </w:pPr>
      <w:r>
        <w:t>Tacitus</w:t>
      </w:r>
    </w:p>
    <w:p w14:paraId="35DB5479" w14:textId="42BA5D8C" w:rsidR="003F15F1" w:rsidRDefault="003F15F1" w:rsidP="00B2376D">
      <w:pPr>
        <w:pStyle w:val="ListParagraph"/>
        <w:numPr>
          <w:ilvl w:val="0"/>
          <w:numId w:val="5"/>
        </w:numPr>
      </w:pPr>
      <w:r>
        <w:t xml:space="preserve">Architecture </w:t>
      </w:r>
    </w:p>
    <w:p w14:paraId="02A3977C" w14:textId="175285D4" w:rsidR="003F15F1" w:rsidRDefault="003F15F1" w:rsidP="00B2376D">
      <w:pPr>
        <w:pStyle w:val="ListParagraph"/>
        <w:numPr>
          <w:ilvl w:val="0"/>
          <w:numId w:val="5"/>
        </w:numPr>
      </w:pPr>
      <w:r>
        <w:t>Numismatics</w:t>
      </w:r>
    </w:p>
    <w:p w14:paraId="49490963" w14:textId="77777777" w:rsidR="007371BD" w:rsidRDefault="007371BD" w:rsidP="007371BD">
      <w:pPr>
        <w:pStyle w:val="ListParagraph"/>
        <w:ind w:left="1440"/>
      </w:pPr>
    </w:p>
    <w:p w14:paraId="53E4D9FA" w14:textId="7C3AD42A" w:rsidR="003F15F1" w:rsidRDefault="00700059" w:rsidP="007371BD">
      <w:pPr>
        <w:pStyle w:val="ListParagraph"/>
        <w:numPr>
          <w:ilvl w:val="0"/>
          <w:numId w:val="2"/>
        </w:numPr>
      </w:pPr>
      <w:r>
        <w:t>Marcus Agrippa had remained a relatively quiet figure in scholarship until the works of Daniel and Reinhold in 1933, even despite his unequivocal impact on the Roman empire. These particular works are among very few that give us a detailed insight into the life and accomplishments of Agrippa on an analytical basis.</w:t>
      </w:r>
      <w:r w:rsidR="007371BD">
        <w:t xml:space="preserve"> Modern scholars are highly dependent on the literary accounts</w:t>
      </w:r>
      <w:r w:rsidR="00860613">
        <w:t xml:space="preserve"> and architecture</w:t>
      </w:r>
      <w:r w:rsidR="007371BD">
        <w:t xml:space="preserve"> that mention</w:t>
      </w:r>
      <w:r w:rsidR="002A2DE8">
        <w:t xml:space="preserve"> and feature</w:t>
      </w:r>
      <w:r w:rsidR="007371BD">
        <w:t xml:space="preserve"> Agrippa as a basis for their work, and therefore this dissertation </w:t>
      </w:r>
      <w:r w:rsidR="002A2DE8">
        <w:t xml:space="preserve">will follow a similar methodology to the previous work looking at the historiography of Marcus Agrippa. However, the primary sources rarely pay Agrippa the merit that his actions were justly owed in favour of a dominant Augustus. Previous to Reinhold’s work, the work on Agrippa would seem to be unimportant due to the various methods </w:t>
      </w:r>
      <w:r w:rsidR="00B74177">
        <w:t>of research</w:t>
      </w:r>
      <w:r w:rsidR="002A2DE8">
        <w:t xml:space="preserve"> available at the time and some based upon secondary pieces of work an</w:t>
      </w:r>
      <w:r w:rsidR="00B74177">
        <w:t>d</w:t>
      </w:r>
      <w:r w:rsidR="002A2DE8">
        <w:t xml:space="preserve"> not a re-evaluation of the primary sources</w:t>
      </w:r>
      <w:r w:rsidR="00B74177">
        <w:rPr>
          <w:rStyle w:val="FootnoteReference"/>
        </w:rPr>
        <w:footnoteReference w:id="1"/>
      </w:r>
      <w:r w:rsidR="002A2DE8">
        <w:t>.</w:t>
      </w:r>
      <w:r w:rsidR="00B74177">
        <w:t xml:space="preserve"> Furthermore, an evaluation of all literary, monumental and numismatic </w:t>
      </w:r>
      <w:r w:rsidR="00B155C8">
        <w:t>sources is needed to fully analyse the impact Agrippa had on Augustus and his Principate.</w:t>
      </w:r>
    </w:p>
    <w:p w14:paraId="77EA5B98" w14:textId="6F3A02C8" w:rsidR="00B155C8" w:rsidRDefault="00B155C8" w:rsidP="00B155C8"/>
    <w:p w14:paraId="4442B540" w14:textId="5DDDF541" w:rsidR="00B155C8" w:rsidRDefault="00B155C8" w:rsidP="00B155C8">
      <w:pPr>
        <w:pStyle w:val="ListParagraph"/>
        <w:numPr>
          <w:ilvl w:val="0"/>
          <w:numId w:val="1"/>
        </w:numPr>
      </w:pPr>
      <w:r>
        <w:t>Section 1: The military commander</w:t>
      </w:r>
      <w:r w:rsidR="006F691F">
        <w:t>:</w:t>
      </w:r>
    </w:p>
    <w:p w14:paraId="4CA6225F" w14:textId="7BB98A27" w:rsidR="00B155C8" w:rsidRDefault="005B4178" w:rsidP="00E24F17">
      <w:pPr>
        <w:pStyle w:val="ListParagraph"/>
        <w:ind w:left="1440"/>
      </w:pPr>
      <w:r>
        <w:t xml:space="preserve">Marcus Agrippa is commonly described within scholarship as one of Augustus’ most successful military commanders, which is a more than fair assessment but most attention is paid to Actium, with due cause, but not much else. </w:t>
      </w:r>
      <w:r w:rsidR="002031E2">
        <w:t xml:space="preserve">Previous to this Agrippa was victorious at </w:t>
      </w:r>
      <w:r w:rsidR="008A43D1">
        <w:t>Sipontum, in southern Italy against Anthony.</w:t>
      </w:r>
      <w:r w:rsidR="008A43D1">
        <w:rPr>
          <w:rStyle w:val="FootnoteReference"/>
        </w:rPr>
        <w:footnoteReference w:id="2"/>
      </w:r>
      <w:r w:rsidR="003B394D">
        <w:t xml:space="preserve"> Agrippa </w:t>
      </w:r>
      <w:r w:rsidR="00D0643F">
        <w:t xml:space="preserve">succeeded Q. Salvidienus Rufus as Octavian’s leading general at the Peace of Brundisium, this was arguably the turning point for Agrippa as a military commander. There is a gap in the sources and scholarship on Agrippa’s military </w:t>
      </w:r>
      <w:r w:rsidR="00D0643F">
        <w:lastRenderedPageBreak/>
        <w:t>activity in Transalpine Gaul whilst governor apart from a recorded victory over the Aquitani in 38 BC.</w:t>
      </w:r>
      <w:r w:rsidR="00D0643F">
        <w:rPr>
          <w:rStyle w:val="FootnoteReference"/>
        </w:rPr>
        <w:footnoteReference w:id="3"/>
      </w:r>
      <w:r w:rsidR="00D0643F">
        <w:t xml:space="preserve"> </w:t>
      </w:r>
      <w:r w:rsidR="0091089F">
        <w:t>Eck (2003) also writes of Agrippa’s involvement at Philippi in 42 BC citing that Octavian had handed sole control of his legions over to Agrippa instead.</w:t>
      </w:r>
      <w:r w:rsidR="0091089F">
        <w:rPr>
          <w:rStyle w:val="FootnoteReference"/>
        </w:rPr>
        <w:footnoteReference w:id="4"/>
      </w:r>
      <w:r w:rsidR="0091089F">
        <w:t xml:space="preserve"> Whilst looking at Suetonius as a primary source for the effect of Agrippa’s military actions on Augustus’ Principate it is obvious much has been omitted, as he is mentioned in two relevant passages: his naval victory off Sicily, and his dominance at Actium.</w:t>
      </w:r>
      <w:r w:rsidR="0091089F">
        <w:rPr>
          <w:rStyle w:val="FootnoteReference"/>
        </w:rPr>
        <w:footnoteReference w:id="5"/>
      </w:r>
      <w:r w:rsidR="00597A9D">
        <w:t xml:space="preserve"> After Actium came almost a century of peace from civil war within the Roman empire, the main military engagements came from the Germanic tribes within and around their border. However, this would mainly be after the death of Marcus Agrippa so is only worth noting in passing.</w:t>
      </w:r>
      <w:r w:rsidR="00C81307">
        <w:t xml:space="preserve"> </w:t>
      </w:r>
      <w:r w:rsidR="002B0581">
        <w:t>Some mentions of Agrippa at the Perusine war and campaigns in Spain under Caesar in 46-45 BC against the sons of Pompey.</w:t>
      </w:r>
      <w:r w:rsidR="002B0581">
        <w:rPr>
          <w:rStyle w:val="FootnoteReference"/>
        </w:rPr>
        <w:footnoteReference w:id="6"/>
      </w:r>
    </w:p>
    <w:p w14:paraId="0B706436" w14:textId="7E65468C" w:rsidR="00597A9D" w:rsidRDefault="00597A9D" w:rsidP="00597A9D">
      <w:pPr>
        <w:pStyle w:val="ListParagraph"/>
        <w:ind w:left="1440"/>
      </w:pPr>
    </w:p>
    <w:p w14:paraId="0E505C07" w14:textId="3BE73310" w:rsidR="00597A9D" w:rsidRDefault="00597A9D" w:rsidP="00597A9D">
      <w:pPr>
        <w:pStyle w:val="ListParagraph"/>
        <w:ind w:left="1440"/>
      </w:pPr>
    </w:p>
    <w:p w14:paraId="2F9EC155" w14:textId="52032637" w:rsidR="00597A9D" w:rsidRDefault="00597A9D" w:rsidP="00597A9D">
      <w:pPr>
        <w:pStyle w:val="ListParagraph"/>
        <w:numPr>
          <w:ilvl w:val="0"/>
          <w:numId w:val="1"/>
        </w:numPr>
      </w:pPr>
      <w:r>
        <w:t>Section 2: The politician</w:t>
      </w:r>
      <w:r w:rsidR="006F691F">
        <w:t>:</w:t>
      </w:r>
    </w:p>
    <w:p w14:paraId="1D409CE3" w14:textId="0D2BA63A" w:rsidR="00597A9D" w:rsidRDefault="00187734" w:rsidP="00597A9D">
      <w:pPr>
        <w:pStyle w:val="ListParagraph"/>
        <w:numPr>
          <w:ilvl w:val="0"/>
          <w:numId w:val="2"/>
        </w:numPr>
      </w:pPr>
      <w:r>
        <w:t>Suetonius</w:t>
      </w:r>
    </w:p>
    <w:p w14:paraId="52FB1D92" w14:textId="2428793D" w:rsidR="0047122C" w:rsidRDefault="0047122C" w:rsidP="0047122C">
      <w:r>
        <w:t>62: A variety of magnificent buildings were restored by Marcus Agrippa</w:t>
      </w:r>
      <w:r w:rsidR="003132E5">
        <w:t>.</w:t>
      </w:r>
      <w:r w:rsidR="003132E5">
        <w:rPr>
          <w:rStyle w:val="FootnoteReference"/>
        </w:rPr>
        <w:footnoteReference w:id="7"/>
      </w:r>
    </w:p>
    <w:p w14:paraId="06AA44B5" w14:textId="3FBFDE18" w:rsidR="0047122C" w:rsidRDefault="0047122C" w:rsidP="0047122C">
      <w:r>
        <w:t>66: Augustus and Agrippa reviewed a list of nominated men who would sit on the senate – politician</w:t>
      </w:r>
      <w:r w:rsidR="003132E5">
        <w:t>.</w:t>
      </w:r>
      <w:r w:rsidR="003132E5">
        <w:rPr>
          <w:rStyle w:val="FootnoteReference"/>
        </w:rPr>
        <w:footnoteReference w:id="8"/>
      </w:r>
    </w:p>
    <w:p w14:paraId="7E6BDAC4" w14:textId="3EB81CC1" w:rsidR="0047122C" w:rsidRDefault="0047122C" w:rsidP="0047122C">
      <w:r>
        <w:t>84: Agrippa had felt that Augustus was not behaving as warmly towards him as usual, and that Marcellus was being preferred to him; he resigned all his offices and went off to Mytilene – successor, politician – so as to not over shadow Marcellus by his great reputation, or be mistaken for a rival.</w:t>
      </w:r>
      <w:r w:rsidR="003132E5">
        <w:rPr>
          <w:rStyle w:val="FootnoteReference"/>
        </w:rPr>
        <w:footnoteReference w:id="9"/>
      </w:r>
    </w:p>
    <w:p w14:paraId="0BF0FB3F" w14:textId="19FA965F" w:rsidR="00187734" w:rsidRDefault="00187734" w:rsidP="00187734">
      <w:pPr>
        <w:pStyle w:val="ListParagraph"/>
        <w:numPr>
          <w:ilvl w:val="0"/>
          <w:numId w:val="2"/>
        </w:numPr>
      </w:pPr>
      <w:r>
        <w:t>Cassius Dio</w:t>
      </w:r>
    </w:p>
    <w:p w14:paraId="2C9C2CB5" w14:textId="204952A4" w:rsidR="0047122C" w:rsidRDefault="00D43F22" w:rsidP="0047122C">
      <w:r>
        <w:t>Agrippa was consul with Lucius Gallus in 37</w:t>
      </w:r>
      <w:r w:rsidR="00F8145E">
        <w:t xml:space="preserve"> </w:t>
      </w:r>
      <w:r>
        <w:t>BC</w:t>
      </w:r>
      <w:r w:rsidR="00C559B0">
        <w:t>.</w:t>
      </w:r>
      <w:r>
        <w:rPr>
          <w:rStyle w:val="FootnoteReference"/>
        </w:rPr>
        <w:footnoteReference w:id="10"/>
      </w:r>
    </w:p>
    <w:p w14:paraId="46911673" w14:textId="5932CC17" w:rsidR="00187734" w:rsidRDefault="00C559B0" w:rsidP="0047122C">
      <w:r>
        <w:t>Agrippa restored the Aqua Marcia which had previously carried water to many parts of Rome from his own money.</w:t>
      </w:r>
      <w:r>
        <w:rPr>
          <w:rStyle w:val="FootnoteReference"/>
        </w:rPr>
        <w:footnoteReference w:id="11"/>
      </w:r>
    </w:p>
    <w:p w14:paraId="0CCC613B" w14:textId="48240B22" w:rsidR="00C559B0" w:rsidRDefault="00C559B0" w:rsidP="0047122C">
      <w:r>
        <w:t>Agrippa was made Aedile in 36 BC</w:t>
      </w:r>
      <w:r w:rsidR="00F8145E">
        <w:t xml:space="preserve"> and again used to his private wealth to repair all the public buildings, streets, cleaned the sewers and built the dolphins and egg-shaped objects in the Circus.</w:t>
      </w:r>
      <w:r w:rsidR="00247F92">
        <w:t xml:space="preserve"> </w:t>
      </w:r>
      <w:r w:rsidR="002E44DE">
        <w:t xml:space="preserve">Built the basilica of Neptune, Laconian </w:t>
      </w:r>
      <w:r w:rsidR="00AE3D41">
        <w:t>sudatorium and completed the Pantheon of his own expense.</w:t>
      </w:r>
      <w:r w:rsidR="00AE3D41">
        <w:rPr>
          <w:rStyle w:val="FootnoteReference"/>
        </w:rPr>
        <w:footnoteReference w:id="12"/>
      </w:r>
    </w:p>
    <w:p w14:paraId="6C1D39BF" w14:textId="36FCEE8C" w:rsidR="00010FA3" w:rsidRDefault="00010FA3" w:rsidP="0047122C">
      <w:r>
        <w:lastRenderedPageBreak/>
        <w:t>Agrippa became Censor with Octavian and helped to purge the senate of people who were unjustified in being there</w:t>
      </w:r>
      <w:r w:rsidR="002E44DE">
        <w:rPr>
          <w:rStyle w:val="FootnoteReference"/>
        </w:rPr>
        <w:footnoteReference w:id="13"/>
      </w:r>
    </w:p>
    <w:p w14:paraId="6891112F" w14:textId="1CBADF39" w:rsidR="002E44DE" w:rsidRPr="0075678C" w:rsidRDefault="002E44DE" w:rsidP="0047122C">
      <w:r>
        <w:t>In the years 28 and 27 BC Agrippa held the consulship for second and third time with Augustus</w:t>
      </w:r>
      <w:r w:rsidR="006F691F">
        <w:t>, and unofficially until 23 BC</w:t>
      </w:r>
      <w:r>
        <w:t>.</w:t>
      </w:r>
      <w:r>
        <w:rPr>
          <w:rStyle w:val="FootnoteReference"/>
        </w:rPr>
        <w:footnoteReference w:id="14"/>
      </w:r>
      <w:r w:rsidR="006F691F">
        <w:t xml:space="preserve"> In the following year Augustus had given Agrippa </w:t>
      </w:r>
      <w:r w:rsidR="006F691F">
        <w:rPr>
          <w:i/>
        </w:rPr>
        <w:t>proconsulare imperium</w:t>
      </w:r>
      <w:r w:rsidR="006F691F">
        <w:t xml:space="preserve"> for five years over all of the imperial provinces.</w:t>
      </w:r>
      <w:r w:rsidR="006F691F">
        <w:rPr>
          <w:rStyle w:val="FootnoteReference"/>
        </w:rPr>
        <w:footnoteReference w:id="15"/>
      </w:r>
      <w:r w:rsidR="006F691F">
        <w:t xml:space="preserve"> The senate voted to prolong Agrippa’s </w:t>
      </w:r>
      <w:r w:rsidR="006F691F">
        <w:rPr>
          <w:i/>
        </w:rPr>
        <w:t>proconsulare imperium</w:t>
      </w:r>
      <w:r w:rsidR="006F691F">
        <w:t xml:space="preserve"> for another five years and granted him the </w:t>
      </w:r>
      <w:r w:rsidR="006F691F">
        <w:rPr>
          <w:i/>
        </w:rPr>
        <w:t xml:space="preserve">tribunicia potestas </w:t>
      </w:r>
      <w:r w:rsidR="006F691F">
        <w:t>also for five years in 18 BC, this essentially created a co-regency</w:t>
      </w:r>
      <w:r w:rsidR="0075678C">
        <w:t xml:space="preserve">, however, there was still only one </w:t>
      </w:r>
      <w:r w:rsidR="0075678C">
        <w:rPr>
          <w:i/>
        </w:rPr>
        <w:t>princeps</w:t>
      </w:r>
      <w:r w:rsidR="0075678C">
        <w:t>, coinage that was minted hereafter by the senate always featured Augustus and Agrippa together.</w:t>
      </w:r>
      <w:r w:rsidR="006F691F">
        <w:rPr>
          <w:rStyle w:val="FootnoteReference"/>
        </w:rPr>
        <w:footnoteReference w:id="16"/>
      </w:r>
      <w:r w:rsidR="006F691F">
        <w:rPr>
          <w:i/>
        </w:rPr>
        <w:t xml:space="preserve"> </w:t>
      </w:r>
    </w:p>
    <w:p w14:paraId="22112990" w14:textId="77777777" w:rsidR="006F691F" w:rsidRDefault="006F691F" w:rsidP="0047122C"/>
    <w:p w14:paraId="7ABE6D5E" w14:textId="77777777" w:rsidR="006F691F" w:rsidRDefault="006F691F" w:rsidP="0047122C"/>
    <w:p w14:paraId="5B8330FC" w14:textId="77777777" w:rsidR="0047122C" w:rsidRDefault="0047122C" w:rsidP="005171D5">
      <w:pPr>
        <w:ind w:left="720"/>
      </w:pPr>
    </w:p>
    <w:p w14:paraId="20126F65" w14:textId="7D0F8115" w:rsidR="005171D5" w:rsidRDefault="006F691F" w:rsidP="006F691F">
      <w:pPr>
        <w:pStyle w:val="ListParagraph"/>
        <w:numPr>
          <w:ilvl w:val="0"/>
          <w:numId w:val="6"/>
        </w:numPr>
      </w:pPr>
      <w:r>
        <w:t xml:space="preserve">Section 3: </w:t>
      </w:r>
      <w:r w:rsidR="005171D5">
        <w:t>Potential successor:</w:t>
      </w:r>
    </w:p>
    <w:p w14:paraId="56D804A1" w14:textId="7D022982" w:rsidR="006F691F" w:rsidRPr="0001594C" w:rsidRDefault="00474A2C" w:rsidP="006F691F">
      <w:pPr>
        <w:ind w:left="1080"/>
      </w:pPr>
      <w:r>
        <w:t xml:space="preserve">An early indication for Augustus’ choice of successor was the handing over of his signet ring to Agrippa whilst seriously ill, in front of the leading men of Rome. </w:t>
      </w:r>
      <w:r w:rsidR="006F691F">
        <w:t>Agrippa married Augustus’ only child, Julia, in 21 BC and had a child, Gaius, in the following year which helped to solidify Agrippa’s place within the imperial household and family, as he was not only Augustus’ son-in-law but also the father of his only male descendant, renewing the potential of a dynasty.</w:t>
      </w:r>
      <w:r w:rsidR="0075678C">
        <w:t xml:space="preserve"> </w:t>
      </w:r>
      <w:r w:rsidR="0001594C">
        <w:t xml:space="preserve">Despite Augustus’ adoption of Gaius and Lucius soon after if they had survived him it is certain that Agrippa would have taken control of the empire with his </w:t>
      </w:r>
      <w:r w:rsidR="0001594C">
        <w:rPr>
          <w:i/>
        </w:rPr>
        <w:t xml:space="preserve">proconsulare imperium </w:t>
      </w:r>
      <w:r w:rsidR="0001594C">
        <w:t xml:space="preserve">and </w:t>
      </w:r>
      <w:r w:rsidR="0001594C">
        <w:rPr>
          <w:i/>
        </w:rPr>
        <w:t>tribunicia potestas</w:t>
      </w:r>
      <w:r w:rsidR="0001594C">
        <w:t>.</w:t>
      </w:r>
    </w:p>
    <w:p w14:paraId="4AD9845C" w14:textId="15B79EFB" w:rsidR="0047122C" w:rsidRDefault="0047122C" w:rsidP="005171D5"/>
    <w:p w14:paraId="405AC9B1" w14:textId="588E0EBC" w:rsidR="0047122C" w:rsidRDefault="0047122C" w:rsidP="0047122C">
      <w:pPr>
        <w:ind w:left="720"/>
      </w:pPr>
      <w:r>
        <w:t>Misc</w:t>
      </w:r>
      <w:r w:rsidR="0001594C">
        <w:t>ellaneous</w:t>
      </w:r>
      <w:r>
        <w:t>:</w:t>
      </w:r>
    </w:p>
    <w:p w14:paraId="50949DA3" w14:textId="4C23A8D4" w:rsidR="0047122C" w:rsidRDefault="0047122C" w:rsidP="0047122C">
      <w:r>
        <w:t xml:space="preserve">Augustus and Agrippa visited the house of Theogenes the astrologer, </w:t>
      </w:r>
      <w:r w:rsidR="0001594C">
        <w:t>where</w:t>
      </w:r>
      <w:r>
        <w:t xml:space="preserve"> they both wished to consult him about their future careers. Agrippa went first and was prophesised such almost incredibly good fortune</w:t>
      </w:r>
      <w:r w:rsidR="0001594C">
        <w:t>, whether this is fact or mere fabrication by our primary sources so to solidify a thought of prophecy or pre-determined destiny</w:t>
      </w:r>
      <w:r>
        <w:t>.</w:t>
      </w:r>
      <w:r w:rsidR="0001594C">
        <w:rPr>
          <w:rStyle w:val="FootnoteReference"/>
        </w:rPr>
        <w:footnoteReference w:id="17"/>
      </w:r>
    </w:p>
    <w:p w14:paraId="70704928" w14:textId="59ACD00B" w:rsidR="0047122C" w:rsidRDefault="0047122C" w:rsidP="0047122C">
      <w:r>
        <w:t xml:space="preserve">Gaius loathed being described as </w:t>
      </w:r>
      <w:r w:rsidR="0001594C">
        <w:t>Agrippa’s</w:t>
      </w:r>
      <w:r>
        <w:t xml:space="preserve"> grandson, and would fly into a rage if anyone mentioned him, in speech or song, as an ancestor of the Caesars. Gaius also cancelled the annual commemorations to Agrippa’s victories at Actium and off Sicily, declaring that they had proved the disastrous ruin of the Roman people.</w:t>
      </w:r>
      <w:r w:rsidR="0001594C">
        <w:rPr>
          <w:rStyle w:val="FootnoteReference"/>
        </w:rPr>
        <w:footnoteReference w:id="18"/>
      </w:r>
    </w:p>
    <w:p w14:paraId="056DBA1C" w14:textId="77777777" w:rsidR="0047122C" w:rsidRDefault="0047122C" w:rsidP="0047122C"/>
    <w:p w14:paraId="7D271B13" w14:textId="72FFE035" w:rsidR="00E24F17" w:rsidRDefault="00E24F17" w:rsidP="00E24F17">
      <w:pPr>
        <w:pStyle w:val="ListParagraph"/>
        <w:numPr>
          <w:ilvl w:val="0"/>
          <w:numId w:val="6"/>
        </w:numPr>
      </w:pPr>
      <w:r>
        <w:t>Conclusion:</w:t>
      </w:r>
    </w:p>
    <w:p w14:paraId="5D494850" w14:textId="504657D2" w:rsidR="00E24F17" w:rsidRDefault="00E24F17" w:rsidP="00E24F17">
      <w:pPr>
        <w:pStyle w:val="ListParagraph"/>
        <w:ind w:left="1440"/>
      </w:pPr>
      <w:r>
        <w:t xml:space="preserve">Review the analysis of the several sources both modern and ancient and compare how each describes Agrippa in relation to Augustus, his power and the Principate. </w:t>
      </w:r>
      <w:r>
        <w:lastRenderedPageBreak/>
        <w:t>Finally, conclude on whether the literary tradition chooses to favour Augustus’ power as a sole accomplishment and only mentions those around him in passing.</w:t>
      </w:r>
    </w:p>
    <w:p w14:paraId="6B7C8BCA" w14:textId="77777777" w:rsidR="00E24F17" w:rsidRDefault="00E24F17">
      <w:pPr>
        <w:rPr>
          <w:b/>
          <w:u w:val="single"/>
        </w:rPr>
      </w:pPr>
    </w:p>
    <w:p w14:paraId="6FF4FD85" w14:textId="77777777" w:rsidR="00E24F17" w:rsidRDefault="00E24F17">
      <w:pPr>
        <w:rPr>
          <w:b/>
          <w:u w:val="single"/>
        </w:rPr>
      </w:pPr>
    </w:p>
    <w:p w14:paraId="5EF424A6" w14:textId="77777777" w:rsidR="00E24F17" w:rsidRDefault="00E24F17">
      <w:pPr>
        <w:rPr>
          <w:b/>
          <w:u w:val="single"/>
        </w:rPr>
      </w:pPr>
    </w:p>
    <w:p w14:paraId="3E729BE4" w14:textId="77777777" w:rsidR="00E24F17" w:rsidRDefault="00E24F17">
      <w:pPr>
        <w:rPr>
          <w:b/>
          <w:u w:val="single"/>
        </w:rPr>
      </w:pPr>
    </w:p>
    <w:p w14:paraId="3FECF0E8" w14:textId="77777777" w:rsidR="00E24F17" w:rsidRDefault="00E24F17">
      <w:pPr>
        <w:rPr>
          <w:b/>
          <w:u w:val="single"/>
        </w:rPr>
      </w:pPr>
    </w:p>
    <w:p w14:paraId="37CB924F" w14:textId="77777777" w:rsidR="00E24F17" w:rsidRDefault="00E24F17">
      <w:pPr>
        <w:rPr>
          <w:b/>
          <w:u w:val="single"/>
        </w:rPr>
      </w:pPr>
    </w:p>
    <w:p w14:paraId="250CCF7B" w14:textId="77777777" w:rsidR="00E24F17" w:rsidRDefault="00E24F17">
      <w:pPr>
        <w:rPr>
          <w:b/>
          <w:u w:val="single"/>
        </w:rPr>
      </w:pPr>
    </w:p>
    <w:p w14:paraId="11A053F3" w14:textId="77777777" w:rsidR="00E24F17" w:rsidRDefault="00E24F17">
      <w:pPr>
        <w:rPr>
          <w:b/>
          <w:u w:val="single"/>
        </w:rPr>
      </w:pPr>
    </w:p>
    <w:p w14:paraId="676072D1" w14:textId="77777777" w:rsidR="00E24F17" w:rsidRDefault="00E24F17">
      <w:pPr>
        <w:rPr>
          <w:b/>
          <w:u w:val="single"/>
        </w:rPr>
      </w:pPr>
    </w:p>
    <w:p w14:paraId="7A5AD9BF" w14:textId="77777777" w:rsidR="00E24F17" w:rsidRDefault="00E24F17">
      <w:pPr>
        <w:rPr>
          <w:b/>
          <w:u w:val="single"/>
        </w:rPr>
      </w:pPr>
    </w:p>
    <w:p w14:paraId="2DC24081" w14:textId="77777777" w:rsidR="00E24F17" w:rsidRDefault="00E24F17">
      <w:pPr>
        <w:rPr>
          <w:b/>
          <w:u w:val="single"/>
        </w:rPr>
      </w:pPr>
    </w:p>
    <w:p w14:paraId="534B62BE" w14:textId="77777777" w:rsidR="00E24F17" w:rsidRDefault="00E24F17">
      <w:pPr>
        <w:rPr>
          <w:b/>
          <w:u w:val="single"/>
        </w:rPr>
      </w:pPr>
    </w:p>
    <w:p w14:paraId="491CF27B" w14:textId="77777777" w:rsidR="00E24F17" w:rsidRDefault="00E24F17">
      <w:pPr>
        <w:rPr>
          <w:b/>
          <w:u w:val="single"/>
        </w:rPr>
      </w:pPr>
    </w:p>
    <w:p w14:paraId="6D923BDC" w14:textId="77777777" w:rsidR="00E24F17" w:rsidRDefault="00E24F17">
      <w:pPr>
        <w:rPr>
          <w:b/>
          <w:u w:val="single"/>
        </w:rPr>
      </w:pPr>
    </w:p>
    <w:p w14:paraId="4D5EE61E" w14:textId="77777777" w:rsidR="00E24F17" w:rsidRDefault="00E24F17">
      <w:pPr>
        <w:rPr>
          <w:b/>
          <w:u w:val="single"/>
        </w:rPr>
      </w:pPr>
    </w:p>
    <w:p w14:paraId="6C219A7A" w14:textId="77777777" w:rsidR="00E24F17" w:rsidRDefault="00E24F17">
      <w:pPr>
        <w:rPr>
          <w:b/>
          <w:u w:val="single"/>
        </w:rPr>
      </w:pPr>
    </w:p>
    <w:p w14:paraId="33DAA8AB" w14:textId="77777777" w:rsidR="00E24F17" w:rsidRDefault="00E24F17">
      <w:pPr>
        <w:rPr>
          <w:b/>
          <w:u w:val="single"/>
        </w:rPr>
      </w:pPr>
    </w:p>
    <w:p w14:paraId="2992BAA8" w14:textId="77777777" w:rsidR="00E24F17" w:rsidRDefault="00E24F17">
      <w:pPr>
        <w:rPr>
          <w:b/>
          <w:u w:val="single"/>
        </w:rPr>
      </w:pPr>
    </w:p>
    <w:p w14:paraId="55638E7E" w14:textId="77777777" w:rsidR="00E24F17" w:rsidRDefault="00E24F17">
      <w:pPr>
        <w:rPr>
          <w:b/>
          <w:u w:val="single"/>
        </w:rPr>
      </w:pPr>
    </w:p>
    <w:p w14:paraId="28794531" w14:textId="77777777" w:rsidR="00E24F17" w:rsidRDefault="00E24F17">
      <w:pPr>
        <w:rPr>
          <w:b/>
          <w:u w:val="single"/>
        </w:rPr>
      </w:pPr>
    </w:p>
    <w:p w14:paraId="385FBC7A" w14:textId="77777777" w:rsidR="00E24F17" w:rsidRDefault="00E24F17">
      <w:pPr>
        <w:rPr>
          <w:b/>
          <w:u w:val="single"/>
        </w:rPr>
      </w:pPr>
    </w:p>
    <w:p w14:paraId="4AEBDAFA" w14:textId="77777777" w:rsidR="00E24F17" w:rsidRDefault="00E24F17">
      <w:pPr>
        <w:rPr>
          <w:b/>
          <w:u w:val="single"/>
        </w:rPr>
      </w:pPr>
    </w:p>
    <w:p w14:paraId="0F9B05FB" w14:textId="77777777" w:rsidR="00E24F17" w:rsidRDefault="00E24F17">
      <w:pPr>
        <w:rPr>
          <w:b/>
          <w:u w:val="single"/>
        </w:rPr>
      </w:pPr>
    </w:p>
    <w:p w14:paraId="638F983C" w14:textId="77777777" w:rsidR="00E24F17" w:rsidRDefault="00E24F17">
      <w:pPr>
        <w:rPr>
          <w:b/>
          <w:u w:val="single"/>
        </w:rPr>
      </w:pPr>
    </w:p>
    <w:p w14:paraId="4BB1BB50" w14:textId="77777777" w:rsidR="00E24F17" w:rsidRDefault="00E24F17">
      <w:pPr>
        <w:rPr>
          <w:b/>
          <w:u w:val="single"/>
        </w:rPr>
      </w:pPr>
    </w:p>
    <w:p w14:paraId="4B9A175A" w14:textId="77777777" w:rsidR="00E24F17" w:rsidRDefault="00E24F17">
      <w:pPr>
        <w:rPr>
          <w:b/>
          <w:u w:val="single"/>
        </w:rPr>
      </w:pPr>
    </w:p>
    <w:p w14:paraId="23D82D2B" w14:textId="77777777" w:rsidR="00E24F17" w:rsidRDefault="00E24F17">
      <w:pPr>
        <w:rPr>
          <w:b/>
          <w:u w:val="single"/>
        </w:rPr>
      </w:pPr>
    </w:p>
    <w:p w14:paraId="1CCA307A" w14:textId="77777777" w:rsidR="00E24F17" w:rsidRDefault="00E24F17">
      <w:pPr>
        <w:rPr>
          <w:b/>
          <w:u w:val="single"/>
        </w:rPr>
      </w:pPr>
    </w:p>
    <w:p w14:paraId="3FF7F61C" w14:textId="77777777" w:rsidR="00E24F17" w:rsidRDefault="00E24F17">
      <w:pPr>
        <w:rPr>
          <w:b/>
          <w:u w:val="single"/>
        </w:rPr>
      </w:pPr>
    </w:p>
    <w:p w14:paraId="09EEEEE9" w14:textId="13B27324" w:rsidR="005171D5" w:rsidRPr="005A0D76" w:rsidRDefault="00474A2C">
      <w:pPr>
        <w:rPr>
          <w:b/>
          <w:u w:val="single"/>
        </w:rPr>
      </w:pPr>
      <w:r w:rsidRPr="005A0D76">
        <w:rPr>
          <w:b/>
          <w:u w:val="single"/>
        </w:rPr>
        <w:lastRenderedPageBreak/>
        <w:t>Bibliography:</w:t>
      </w:r>
    </w:p>
    <w:p w14:paraId="58509A3B" w14:textId="2739B4BC" w:rsidR="00474A2C" w:rsidRDefault="00474A2C"/>
    <w:p w14:paraId="6BD747F7" w14:textId="62C47D64" w:rsidR="00474A2C" w:rsidRPr="005A0D76" w:rsidRDefault="00474A2C">
      <w:pPr>
        <w:rPr>
          <w:b/>
          <w:u w:val="single"/>
        </w:rPr>
      </w:pPr>
      <w:r w:rsidRPr="005A0D76">
        <w:rPr>
          <w:b/>
          <w:u w:val="single"/>
        </w:rPr>
        <w:t>Primary sources:</w:t>
      </w:r>
    </w:p>
    <w:p w14:paraId="14B0700E" w14:textId="7FCA730E" w:rsidR="00474A2C" w:rsidRDefault="00474A2C" w:rsidP="00474A2C">
      <w:pPr>
        <w:pStyle w:val="NormalWeb"/>
        <w:spacing w:line="360" w:lineRule="auto"/>
      </w:pPr>
      <w:r>
        <w:t xml:space="preserve">Appian. </w:t>
      </w:r>
      <w:r>
        <w:rPr>
          <w:i/>
        </w:rPr>
        <w:t>The Civil Wars</w:t>
      </w:r>
      <w:r>
        <w:t>. H. White (trans.). 1912. Cambridge: Harvard University Press.</w:t>
      </w:r>
    </w:p>
    <w:p w14:paraId="1DB77902" w14:textId="7D29F2E7" w:rsidR="00E24F17" w:rsidRPr="00E24F17" w:rsidRDefault="00E24F17" w:rsidP="00E24F17">
      <w:pPr>
        <w:rPr>
          <w:rFonts w:ascii="Times New Roman" w:hAnsi="Times New Roman" w:cs="Times New Roman"/>
          <w:sz w:val="24"/>
        </w:rPr>
      </w:pPr>
      <w:r w:rsidRPr="00E24F17">
        <w:rPr>
          <w:rFonts w:ascii="Times New Roman" w:hAnsi="Times New Roman" w:cs="Times New Roman"/>
          <w:sz w:val="24"/>
        </w:rPr>
        <w:t xml:space="preserve">Augustus. </w:t>
      </w:r>
      <w:r w:rsidRPr="00E24F17">
        <w:rPr>
          <w:rFonts w:ascii="Times New Roman" w:hAnsi="Times New Roman" w:cs="Times New Roman"/>
          <w:i/>
          <w:sz w:val="24"/>
        </w:rPr>
        <w:t xml:space="preserve">Res Gestae Divi Augusti. </w:t>
      </w:r>
      <w:r w:rsidRPr="00E24F17">
        <w:rPr>
          <w:rFonts w:ascii="Times New Roman" w:hAnsi="Times New Roman" w:cs="Times New Roman"/>
          <w:sz w:val="24"/>
        </w:rPr>
        <w:t>A. Cooley (trans). 2009. New York: Cambridge University Press.</w:t>
      </w:r>
    </w:p>
    <w:p w14:paraId="6B9F14D4" w14:textId="1259DD4B" w:rsidR="00474A2C" w:rsidRDefault="00474A2C" w:rsidP="00474A2C">
      <w:pPr>
        <w:pStyle w:val="NormalWeb"/>
        <w:spacing w:line="360" w:lineRule="auto"/>
      </w:pPr>
      <w:r w:rsidRPr="00D1467C">
        <w:t xml:space="preserve">Cassius Dio. </w:t>
      </w:r>
      <w:r w:rsidRPr="00D1467C">
        <w:rPr>
          <w:i/>
        </w:rPr>
        <w:t xml:space="preserve">Roman history. </w:t>
      </w:r>
      <w:r w:rsidRPr="00D1467C">
        <w:t>E. Cary (trans.). 1914. Cambridge: Harvard University Press.</w:t>
      </w:r>
      <w:bookmarkStart w:id="0" w:name="_GoBack"/>
      <w:bookmarkEnd w:id="0"/>
    </w:p>
    <w:p w14:paraId="1C8B3082" w14:textId="79D70817" w:rsidR="005A0D76" w:rsidRPr="005A0D76" w:rsidRDefault="005A0D76" w:rsidP="00474A2C">
      <w:pPr>
        <w:pStyle w:val="NormalWeb"/>
        <w:spacing w:line="360" w:lineRule="auto"/>
      </w:pPr>
      <w:r>
        <w:t xml:space="preserve">Horace. </w:t>
      </w:r>
      <w:r>
        <w:rPr>
          <w:i/>
        </w:rPr>
        <w:t>Satires. Epistles. The Art of Poetry</w:t>
      </w:r>
      <w:r>
        <w:t xml:space="preserve">. H. Fairclough. 1926. Loeb Classical Library 194. Cambridge: Harvard University Press. </w:t>
      </w:r>
    </w:p>
    <w:p w14:paraId="1F4C96B5" w14:textId="77777777" w:rsidR="00474A2C" w:rsidRPr="00D1467C" w:rsidRDefault="00474A2C" w:rsidP="00474A2C">
      <w:pPr>
        <w:pStyle w:val="NormalWeb"/>
        <w:spacing w:line="360" w:lineRule="auto"/>
      </w:pPr>
      <w:r w:rsidRPr="00D1467C">
        <w:t xml:space="preserve">Pliny the Elder. </w:t>
      </w:r>
      <w:r w:rsidRPr="00D1467C">
        <w:rPr>
          <w:i/>
        </w:rPr>
        <w:t>Natural history</w:t>
      </w:r>
      <w:r w:rsidRPr="00D1467C">
        <w:t>. J. Healey (trans.). 1991. London: Penguin Classics.</w:t>
      </w:r>
    </w:p>
    <w:p w14:paraId="583E6CCD" w14:textId="77777777" w:rsidR="00474A2C" w:rsidRDefault="00474A2C" w:rsidP="00474A2C">
      <w:pPr>
        <w:pStyle w:val="NormalWeb"/>
        <w:spacing w:line="360" w:lineRule="auto"/>
      </w:pPr>
      <w:r w:rsidRPr="00D1467C">
        <w:t xml:space="preserve">Plutarch. </w:t>
      </w:r>
      <w:r w:rsidRPr="00D1467C">
        <w:rPr>
          <w:i/>
        </w:rPr>
        <w:t xml:space="preserve">Rome in crisis. </w:t>
      </w:r>
      <w:r w:rsidRPr="00D1467C">
        <w:t>I. Scott-Kilvert (trans.). 2010. London: Penguin Classics.</w:t>
      </w:r>
    </w:p>
    <w:p w14:paraId="342F3472" w14:textId="77777777" w:rsidR="00474A2C" w:rsidRPr="00D1467C" w:rsidRDefault="00474A2C" w:rsidP="00474A2C">
      <w:pPr>
        <w:spacing w:line="360" w:lineRule="auto"/>
        <w:rPr>
          <w:rFonts w:ascii="Times New Roman" w:hAnsi="Times New Roman" w:cs="Times New Roman"/>
          <w:sz w:val="24"/>
          <w:szCs w:val="24"/>
        </w:rPr>
      </w:pPr>
      <w:r w:rsidRPr="00D1467C">
        <w:rPr>
          <w:rFonts w:ascii="Times New Roman" w:hAnsi="Times New Roman" w:cs="Times New Roman"/>
          <w:sz w:val="24"/>
          <w:szCs w:val="24"/>
        </w:rPr>
        <w:t xml:space="preserve">Suetonius. </w:t>
      </w:r>
      <w:r w:rsidRPr="00D1467C">
        <w:rPr>
          <w:rFonts w:ascii="Times New Roman" w:hAnsi="Times New Roman" w:cs="Times New Roman"/>
          <w:i/>
          <w:sz w:val="24"/>
          <w:szCs w:val="24"/>
        </w:rPr>
        <w:t>The Twelve Caesars</w:t>
      </w:r>
      <w:r w:rsidRPr="00D1467C">
        <w:rPr>
          <w:rFonts w:ascii="Times New Roman" w:hAnsi="Times New Roman" w:cs="Times New Roman"/>
          <w:sz w:val="24"/>
          <w:szCs w:val="24"/>
        </w:rPr>
        <w:t xml:space="preserve">. R. Graves (trans.). 2007. London: Penguin Classics.  </w:t>
      </w:r>
    </w:p>
    <w:p w14:paraId="11FBD488" w14:textId="77777777" w:rsidR="00474A2C" w:rsidRPr="00D1467C" w:rsidRDefault="00474A2C" w:rsidP="00474A2C">
      <w:pPr>
        <w:pStyle w:val="NormalWeb"/>
        <w:spacing w:line="360" w:lineRule="auto"/>
      </w:pPr>
      <w:r w:rsidRPr="00D1467C">
        <w:t xml:space="preserve">Tacitus. </w:t>
      </w:r>
      <w:r w:rsidRPr="00D1467C">
        <w:rPr>
          <w:i/>
        </w:rPr>
        <w:t>The Annals of Imperial Rome</w:t>
      </w:r>
      <w:r w:rsidRPr="00D1467C">
        <w:t xml:space="preserve">. M. Grant (trans.). 1996. London: Penguins Classics. </w:t>
      </w:r>
    </w:p>
    <w:p w14:paraId="270B5B44" w14:textId="77777777" w:rsidR="00474A2C" w:rsidRDefault="00474A2C"/>
    <w:p w14:paraId="54144AB7" w14:textId="56A53D2D" w:rsidR="00474A2C" w:rsidRPr="005A0D76" w:rsidRDefault="00474A2C">
      <w:pPr>
        <w:rPr>
          <w:b/>
          <w:u w:val="single"/>
        </w:rPr>
      </w:pPr>
      <w:r w:rsidRPr="005A0D76">
        <w:rPr>
          <w:b/>
          <w:u w:val="single"/>
        </w:rPr>
        <w:t>Modern sources:</w:t>
      </w:r>
    </w:p>
    <w:p w14:paraId="005A6A61" w14:textId="32C00942" w:rsidR="00AF45B9" w:rsidRPr="00DB3A81" w:rsidRDefault="00AF45B9" w:rsidP="00E24F17">
      <w:pPr>
        <w:rPr>
          <w:rFonts w:ascii="Times New Roman" w:hAnsi="Times New Roman" w:cs="Times New Roman"/>
          <w:sz w:val="24"/>
        </w:rPr>
      </w:pPr>
      <w:r>
        <w:rPr>
          <w:rFonts w:ascii="Times New Roman" w:hAnsi="Times New Roman" w:cs="Times New Roman"/>
          <w:sz w:val="24"/>
        </w:rPr>
        <w:t xml:space="preserve">Boatwright, M.T. 2014. </w:t>
      </w:r>
      <w:r w:rsidR="00DB3A81">
        <w:rPr>
          <w:rFonts w:ascii="Times New Roman" w:hAnsi="Times New Roman" w:cs="Times New Roman"/>
          <w:sz w:val="24"/>
        </w:rPr>
        <w:t xml:space="preserve">‘Agrippa’s Building Inscriptions’, </w:t>
      </w:r>
      <w:r w:rsidR="00DB3A81">
        <w:rPr>
          <w:rFonts w:ascii="Times New Roman" w:hAnsi="Times New Roman" w:cs="Times New Roman"/>
          <w:i/>
          <w:sz w:val="24"/>
        </w:rPr>
        <w:t>Zeitschrift fur Papyrologie und Epigraphik</w:t>
      </w:r>
      <w:r w:rsidR="00DB3A81">
        <w:rPr>
          <w:rFonts w:ascii="Times New Roman" w:hAnsi="Times New Roman" w:cs="Times New Roman"/>
          <w:sz w:val="24"/>
        </w:rPr>
        <w:t>, 189: 255-264.</w:t>
      </w:r>
    </w:p>
    <w:p w14:paraId="532C788B" w14:textId="599D3DD8" w:rsidR="00B67B1F" w:rsidRPr="00B67B1F" w:rsidRDefault="00B67B1F" w:rsidP="00E24F17">
      <w:pPr>
        <w:rPr>
          <w:rFonts w:ascii="Times New Roman" w:hAnsi="Times New Roman" w:cs="Times New Roman"/>
          <w:sz w:val="24"/>
        </w:rPr>
      </w:pPr>
      <w:r>
        <w:rPr>
          <w:rFonts w:ascii="Times New Roman" w:hAnsi="Times New Roman" w:cs="Times New Roman"/>
          <w:sz w:val="24"/>
        </w:rPr>
        <w:t xml:space="preserve">Boren, H.C. 1987. </w:t>
      </w:r>
      <w:r>
        <w:rPr>
          <w:rFonts w:ascii="Times New Roman" w:hAnsi="Times New Roman" w:cs="Times New Roman"/>
          <w:i/>
          <w:sz w:val="24"/>
        </w:rPr>
        <w:t>Gnomon</w:t>
      </w:r>
      <w:r>
        <w:rPr>
          <w:rFonts w:ascii="Times New Roman" w:hAnsi="Times New Roman" w:cs="Times New Roman"/>
          <w:sz w:val="24"/>
        </w:rPr>
        <w:t>, 56.5: 468.</w:t>
      </w:r>
    </w:p>
    <w:p w14:paraId="27FA4855" w14:textId="388D6539" w:rsidR="00DB3A81" w:rsidRPr="00DB3A81" w:rsidRDefault="00DB3A81" w:rsidP="00E24F17">
      <w:pPr>
        <w:rPr>
          <w:rFonts w:ascii="Times New Roman" w:hAnsi="Times New Roman" w:cs="Times New Roman"/>
          <w:sz w:val="24"/>
        </w:rPr>
      </w:pPr>
      <w:r>
        <w:rPr>
          <w:rFonts w:ascii="Times New Roman" w:hAnsi="Times New Roman" w:cs="Times New Roman"/>
          <w:sz w:val="24"/>
        </w:rPr>
        <w:t xml:space="preserve">Cairns, F. 1995. ‘M. Agrippa in Horace ‘Odes’ 1.6’, </w:t>
      </w:r>
      <w:r>
        <w:rPr>
          <w:rFonts w:ascii="Times New Roman" w:hAnsi="Times New Roman" w:cs="Times New Roman"/>
          <w:i/>
          <w:sz w:val="24"/>
        </w:rPr>
        <w:t>Hermes</w:t>
      </w:r>
      <w:r>
        <w:rPr>
          <w:rFonts w:ascii="Times New Roman" w:hAnsi="Times New Roman" w:cs="Times New Roman"/>
          <w:sz w:val="24"/>
        </w:rPr>
        <w:t>, 123.2: 211-17.</w:t>
      </w:r>
    </w:p>
    <w:p w14:paraId="16BA0F0E" w14:textId="0C2FFC9A" w:rsidR="00E24F17" w:rsidRDefault="00E24F17" w:rsidP="00E24F17">
      <w:pPr>
        <w:rPr>
          <w:rFonts w:ascii="Times New Roman" w:hAnsi="Times New Roman" w:cs="Times New Roman"/>
          <w:sz w:val="24"/>
        </w:rPr>
      </w:pPr>
      <w:r w:rsidRPr="00E24F17">
        <w:rPr>
          <w:rFonts w:ascii="Times New Roman" w:hAnsi="Times New Roman" w:cs="Times New Roman"/>
          <w:sz w:val="24"/>
        </w:rPr>
        <w:t xml:space="preserve">Cornwell, H. 2017. </w:t>
      </w:r>
      <w:r w:rsidRPr="00E24F17">
        <w:rPr>
          <w:rFonts w:ascii="Times New Roman" w:hAnsi="Times New Roman" w:cs="Times New Roman"/>
          <w:i/>
          <w:sz w:val="24"/>
        </w:rPr>
        <w:t xml:space="preserve">Pax and the Politics of Peace: Republic to Principate. </w:t>
      </w:r>
      <w:r w:rsidRPr="00E24F17">
        <w:rPr>
          <w:rFonts w:ascii="Times New Roman" w:hAnsi="Times New Roman" w:cs="Times New Roman"/>
          <w:sz w:val="24"/>
        </w:rPr>
        <w:t>Oxford: Oxford University Press.</w:t>
      </w:r>
    </w:p>
    <w:p w14:paraId="0D67C26A" w14:textId="63C3AFB6" w:rsidR="00B67B1F" w:rsidRPr="00AF45B9" w:rsidRDefault="00B67B1F" w:rsidP="00E24F17">
      <w:pPr>
        <w:rPr>
          <w:rFonts w:ascii="Times New Roman" w:hAnsi="Times New Roman" w:cs="Times New Roman"/>
          <w:sz w:val="24"/>
        </w:rPr>
      </w:pPr>
      <w:r>
        <w:rPr>
          <w:rFonts w:ascii="Times New Roman" w:hAnsi="Times New Roman" w:cs="Times New Roman"/>
          <w:sz w:val="24"/>
        </w:rPr>
        <w:t>Curchin</w:t>
      </w:r>
      <w:r w:rsidR="00AF45B9">
        <w:rPr>
          <w:rFonts w:ascii="Times New Roman" w:hAnsi="Times New Roman" w:cs="Times New Roman"/>
          <w:sz w:val="24"/>
        </w:rPr>
        <w:t xml:space="preserve">, L.A. 1986. ‘Marcus Agrippa’s Gout’, </w:t>
      </w:r>
      <w:r w:rsidR="00AF45B9">
        <w:rPr>
          <w:rFonts w:ascii="Times New Roman" w:hAnsi="Times New Roman" w:cs="Times New Roman"/>
          <w:i/>
          <w:sz w:val="24"/>
        </w:rPr>
        <w:t>The American Journal of Philology</w:t>
      </w:r>
      <w:r w:rsidR="00AF45B9">
        <w:rPr>
          <w:rFonts w:ascii="Times New Roman" w:hAnsi="Times New Roman" w:cs="Times New Roman"/>
          <w:sz w:val="24"/>
        </w:rPr>
        <w:t>, 107.3: 406.</w:t>
      </w:r>
    </w:p>
    <w:p w14:paraId="18E0BE2E" w14:textId="241F0B86" w:rsidR="00A366B6" w:rsidRPr="00B67B1F" w:rsidRDefault="00A366B6" w:rsidP="00E24F17">
      <w:pPr>
        <w:rPr>
          <w:rFonts w:ascii="Times New Roman" w:hAnsi="Times New Roman" w:cs="Times New Roman"/>
          <w:sz w:val="24"/>
        </w:rPr>
      </w:pPr>
      <w:r>
        <w:rPr>
          <w:rFonts w:ascii="Times New Roman" w:hAnsi="Times New Roman" w:cs="Times New Roman"/>
          <w:sz w:val="24"/>
        </w:rPr>
        <w:t>Daniel, R. 1933.</w:t>
      </w:r>
      <w:r w:rsidR="00B67B1F">
        <w:rPr>
          <w:rFonts w:ascii="Times New Roman" w:hAnsi="Times New Roman" w:cs="Times New Roman"/>
          <w:sz w:val="24"/>
        </w:rPr>
        <w:t xml:space="preserve"> </w:t>
      </w:r>
      <w:r w:rsidR="00B67B1F">
        <w:rPr>
          <w:rFonts w:ascii="Times New Roman" w:hAnsi="Times New Roman" w:cs="Times New Roman"/>
          <w:i/>
          <w:sz w:val="24"/>
        </w:rPr>
        <w:t>M. Vispanius Agrippa. Eine Monographie</w:t>
      </w:r>
      <w:r w:rsidR="00B67B1F">
        <w:rPr>
          <w:rFonts w:ascii="Times New Roman" w:hAnsi="Times New Roman" w:cs="Times New Roman"/>
          <w:sz w:val="24"/>
        </w:rPr>
        <w:t>. M &amp; H Marcus.</w:t>
      </w:r>
    </w:p>
    <w:p w14:paraId="4B2AB331" w14:textId="42995A0E" w:rsidR="00AF45B9" w:rsidRPr="00AF45B9" w:rsidRDefault="00AF45B9" w:rsidP="00E24F17">
      <w:pPr>
        <w:rPr>
          <w:rFonts w:ascii="Times New Roman" w:hAnsi="Times New Roman" w:cs="Times New Roman"/>
          <w:sz w:val="24"/>
        </w:rPr>
      </w:pPr>
      <w:r>
        <w:rPr>
          <w:rFonts w:ascii="Times New Roman" w:hAnsi="Times New Roman" w:cs="Times New Roman"/>
          <w:sz w:val="24"/>
        </w:rPr>
        <w:t xml:space="preserve">Hohlfelder, R.L. 2000. ‘Beyond Coincidence? Marcus Agrippa and King Herod’s Harbor’, </w:t>
      </w:r>
      <w:r>
        <w:rPr>
          <w:rFonts w:ascii="Times New Roman" w:hAnsi="Times New Roman" w:cs="Times New Roman"/>
          <w:i/>
          <w:sz w:val="24"/>
        </w:rPr>
        <w:t>Journal of Near Eastern Studies</w:t>
      </w:r>
      <w:r>
        <w:rPr>
          <w:rFonts w:ascii="Times New Roman" w:hAnsi="Times New Roman" w:cs="Times New Roman"/>
          <w:sz w:val="24"/>
        </w:rPr>
        <w:t>, 59.4: 241-253.</w:t>
      </w:r>
    </w:p>
    <w:p w14:paraId="2D90889F" w14:textId="23710AFC" w:rsidR="00A366B6" w:rsidRDefault="00A366B6" w:rsidP="00E24F17">
      <w:pPr>
        <w:rPr>
          <w:rFonts w:ascii="Times New Roman" w:hAnsi="Times New Roman" w:cs="Times New Roman"/>
          <w:sz w:val="24"/>
        </w:rPr>
      </w:pPr>
      <w:r>
        <w:rPr>
          <w:rFonts w:ascii="Times New Roman" w:hAnsi="Times New Roman" w:cs="Times New Roman"/>
          <w:sz w:val="24"/>
        </w:rPr>
        <w:t xml:space="preserve">Johnson, R.P. 1938. </w:t>
      </w:r>
      <w:r>
        <w:rPr>
          <w:rFonts w:ascii="Times New Roman" w:hAnsi="Times New Roman" w:cs="Times New Roman"/>
          <w:i/>
          <w:sz w:val="24"/>
        </w:rPr>
        <w:t>The Classical Weekly</w:t>
      </w:r>
      <w:r>
        <w:rPr>
          <w:rFonts w:ascii="Times New Roman" w:hAnsi="Times New Roman" w:cs="Times New Roman"/>
          <w:sz w:val="24"/>
        </w:rPr>
        <w:t>, 31.19: 188.</w:t>
      </w:r>
    </w:p>
    <w:p w14:paraId="42BF1FC4" w14:textId="021DDEF5" w:rsidR="00DB3A81" w:rsidRPr="00DB3A81" w:rsidRDefault="00DB3A81" w:rsidP="00E24F17">
      <w:pPr>
        <w:rPr>
          <w:rFonts w:ascii="Times New Roman" w:hAnsi="Times New Roman" w:cs="Times New Roman"/>
          <w:sz w:val="24"/>
        </w:rPr>
      </w:pPr>
      <w:r>
        <w:rPr>
          <w:rFonts w:ascii="Times New Roman" w:hAnsi="Times New Roman" w:cs="Times New Roman"/>
          <w:sz w:val="24"/>
        </w:rPr>
        <w:t>Magie, D Jr. 1908. ‘The Mission of Agrippa to the Orient in 23 B.C.</w:t>
      </w:r>
      <w:proofErr w:type="gramStart"/>
      <w:r>
        <w:rPr>
          <w:rFonts w:ascii="Times New Roman" w:hAnsi="Times New Roman" w:cs="Times New Roman"/>
          <w:sz w:val="24"/>
        </w:rPr>
        <w:t xml:space="preserve">’, </w:t>
      </w:r>
      <w:r>
        <w:rPr>
          <w:rFonts w:ascii="Times New Roman" w:hAnsi="Times New Roman" w:cs="Times New Roman"/>
          <w:i/>
          <w:sz w:val="24"/>
        </w:rPr>
        <w:t xml:space="preserve"> Classical</w:t>
      </w:r>
      <w:proofErr w:type="gramEnd"/>
      <w:r>
        <w:rPr>
          <w:rFonts w:ascii="Times New Roman" w:hAnsi="Times New Roman" w:cs="Times New Roman"/>
          <w:i/>
          <w:sz w:val="24"/>
        </w:rPr>
        <w:t xml:space="preserve"> Philology, </w:t>
      </w:r>
      <w:r>
        <w:rPr>
          <w:rFonts w:ascii="Times New Roman" w:hAnsi="Times New Roman" w:cs="Times New Roman"/>
          <w:sz w:val="24"/>
        </w:rPr>
        <w:t>3.2: 145-152.</w:t>
      </w:r>
    </w:p>
    <w:p w14:paraId="628CA66E" w14:textId="44F4D051" w:rsidR="00A366B6" w:rsidRDefault="00A366B6" w:rsidP="00E24F17">
      <w:pPr>
        <w:rPr>
          <w:rFonts w:ascii="Times New Roman" w:hAnsi="Times New Roman" w:cs="Times New Roman"/>
          <w:sz w:val="24"/>
        </w:rPr>
      </w:pPr>
      <w:r>
        <w:rPr>
          <w:rFonts w:ascii="Times New Roman" w:hAnsi="Times New Roman" w:cs="Times New Roman"/>
          <w:sz w:val="24"/>
        </w:rPr>
        <w:lastRenderedPageBreak/>
        <w:t xml:space="preserve">Reinhold, M. 1933. </w:t>
      </w:r>
      <w:r>
        <w:rPr>
          <w:rFonts w:ascii="Times New Roman" w:hAnsi="Times New Roman" w:cs="Times New Roman"/>
          <w:i/>
          <w:sz w:val="24"/>
        </w:rPr>
        <w:t>Marcus Agrippa: A Biography</w:t>
      </w:r>
      <w:r>
        <w:rPr>
          <w:rFonts w:ascii="Times New Roman" w:hAnsi="Times New Roman" w:cs="Times New Roman"/>
          <w:sz w:val="24"/>
        </w:rPr>
        <w:t>. New York: The W.F. Humphrey Press.</w:t>
      </w:r>
    </w:p>
    <w:p w14:paraId="7EE893EE" w14:textId="561408AA" w:rsidR="00AF45B9" w:rsidRPr="00AF45B9" w:rsidRDefault="00AF45B9" w:rsidP="00E24F17">
      <w:pPr>
        <w:rPr>
          <w:rFonts w:ascii="Times New Roman" w:hAnsi="Times New Roman" w:cs="Times New Roman"/>
          <w:sz w:val="24"/>
        </w:rPr>
      </w:pPr>
      <w:r>
        <w:rPr>
          <w:rFonts w:ascii="Times New Roman" w:hAnsi="Times New Roman" w:cs="Times New Roman"/>
          <w:sz w:val="24"/>
        </w:rPr>
        <w:t xml:space="preserve">Reinhold, M. 1972. ‘Marcus Agrippa’s son-in-law P. Quinctilius Varus’, </w:t>
      </w:r>
      <w:r>
        <w:rPr>
          <w:rFonts w:ascii="Times New Roman" w:hAnsi="Times New Roman" w:cs="Times New Roman"/>
          <w:i/>
          <w:sz w:val="24"/>
        </w:rPr>
        <w:t>Classical Philology</w:t>
      </w:r>
      <w:r>
        <w:rPr>
          <w:rFonts w:ascii="Times New Roman" w:hAnsi="Times New Roman" w:cs="Times New Roman"/>
          <w:sz w:val="24"/>
        </w:rPr>
        <w:t>, 67.2: 119-121.</w:t>
      </w:r>
    </w:p>
    <w:p w14:paraId="493B6A75" w14:textId="0D6B258F" w:rsidR="00E24F17" w:rsidRPr="00A366B6" w:rsidRDefault="00A366B6" w:rsidP="00E24F17">
      <w:pPr>
        <w:rPr>
          <w:rFonts w:ascii="Times New Roman" w:hAnsi="Times New Roman" w:cs="Times New Roman"/>
          <w:sz w:val="24"/>
        </w:rPr>
      </w:pPr>
      <w:r>
        <w:rPr>
          <w:rFonts w:ascii="Times New Roman" w:hAnsi="Times New Roman" w:cs="Times New Roman"/>
          <w:sz w:val="24"/>
        </w:rPr>
        <w:t xml:space="preserve">Wright, F.A. 1937. </w:t>
      </w:r>
      <w:r>
        <w:rPr>
          <w:rFonts w:ascii="Times New Roman" w:hAnsi="Times New Roman" w:cs="Times New Roman"/>
          <w:i/>
          <w:sz w:val="24"/>
        </w:rPr>
        <w:t>Marcus Agrippa: Organizer of Victory</w:t>
      </w:r>
      <w:r>
        <w:rPr>
          <w:rFonts w:ascii="Times New Roman" w:hAnsi="Times New Roman" w:cs="Times New Roman"/>
          <w:sz w:val="24"/>
        </w:rPr>
        <w:t>. London: G. Routeledge &amp; Sons.</w:t>
      </w:r>
    </w:p>
    <w:p w14:paraId="317A1B5A" w14:textId="6F462C3B" w:rsidR="00E24F17" w:rsidRPr="00E24F17" w:rsidRDefault="00E24F17" w:rsidP="00E24F17">
      <w:pPr>
        <w:rPr>
          <w:rFonts w:ascii="Times New Roman" w:hAnsi="Times New Roman" w:cs="Times New Roman"/>
          <w:sz w:val="24"/>
        </w:rPr>
      </w:pPr>
      <w:r w:rsidRPr="00E24F17">
        <w:rPr>
          <w:rFonts w:ascii="Times New Roman" w:hAnsi="Times New Roman" w:cs="Times New Roman"/>
          <w:sz w:val="24"/>
        </w:rPr>
        <w:t xml:space="preserve">Zanker, P. 1990. </w:t>
      </w:r>
      <w:r w:rsidRPr="00E24F17">
        <w:rPr>
          <w:rFonts w:ascii="Times New Roman" w:hAnsi="Times New Roman" w:cs="Times New Roman"/>
          <w:i/>
          <w:sz w:val="24"/>
        </w:rPr>
        <w:t xml:space="preserve">The power of images in the age of Augustus. </w:t>
      </w:r>
      <w:r w:rsidRPr="00E24F17">
        <w:rPr>
          <w:rFonts w:ascii="Times New Roman" w:hAnsi="Times New Roman" w:cs="Times New Roman"/>
          <w:sz w:val="24"/>
        </w:rPr>
        <w:t>A</w:t>
      </w:r>
      <w:r w:rsidR="00A366B6">
        <w:rPr>
          <w:rFonts w:ascii="Times New Roman" w:hAnsi="Times New Roman" w:cs="Times New Roman"/>
          <w:sz w:val="24"/>
        </w:rPr>
        <w:t>.</w:t>
      </w:r>
      <w:r w:rsidRPr="00E24F17">
        <w:rPr>
          <w:rFonts w:ascii="Times New Roman" w:hAnsi="Times New Roman" w:cs="Times New Roman"/>
          <w:sz w:val="24"/>
        </w:rPr>
        <w:t xml:space="preserve"> </w:t>
      </w:r>
      <w:proofErr w:type="spellStart"/>
      <w:r w:rsidRPr="00E24F17">
        <w:rPr>
          <w:rFonts w:ascii="Times New Roman" w:hAnsi="Times New Roman" w:cs="Times New Roman"/>
          <w:sz w:val="24"/>
        </w:rPr>
        <w:t>Sharpio</w:t>
      </w:r>
      <w:proofErr w:type="spellEnd"/>
      <w:r w:rsidRPr="00E24F17">
        <w:rPr>
          <w:rFonts w:ascii="Times New Roman" w:hAnsi="Times New Roman" w:cs="Times New Roman"/>
          <w:sz w:val="24"/>
        </w:rPr>
        <w:t xml:space="preserve"> (trans.). Michigan: The University of Michigan Press.</w:t>
      </w:r>
    </w:p>
    <w:p w14:paraId="2E502787" w14:textId="77777777" w:rsidR="005171D5" w:rsidRDefault="005171D5"/>
    <w:sectPr w:rsidR="005171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375016" w14:textId="77777777" w:rsidR="00B74177" w:rsidRDefault="00B74177" w:rsidP="00B74177">
      <w:pPr>
        <w:spacing w:after="0" w:line="240" w:lineRule="auto"/>
      </w:pPr>
      <w:r>
        <w:separator/>
      </w:r>
    </w:p>
  </w:endnote>
  <w:endnote w:type="continuationSeparator" w:id="0">
    <w:p w14:paraId="00FB185C" w14:textId="77777777" w:rsidR="00B74177" w:rsidRDefault="00B74177" w:rsidP="00B74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2EC6B" w14:textId="77777777" w:rsidR="00B74177" w:rsidRDefault="00B74177" w:rsidP="00B74177">
      <w:pPr>
        <w:spacing w:after="0" w:line="240" w:lineRule="auto"/>
      </w:pPr>
      <w:r>
        <w:separator/>
      </w:r>
    </w:p>
  </w:footnote>
  <w:footnote w:type="continuationSeparator" w:id="0">
    <w:p w14:paraId="0A10619F" w14:textId="77777777" w:rsidR="00B74177" w:rsidRDefault="00B74177" w:rsidP="00B74177">
      <w:pPr>
        <w:spacing w:after="0" w:line="240" w:lineRule="auto"/>
      </w:pPr>
      <w:r>
        <w:continuationSeparator/>
      </w:r>
    </w:p>
  </w:footnote>
  <w:footnote w:id="1">
    <w:p w14:paraId="00AF222C" w14:textId="298FFD94" w:rsidR="00B74177" w:rsidRDefault="00B74177">
      <w:pPr>
        <w:pStyle w:val="FootnoteText"/>
      </w:pPr>
      <w:r>
        <w:rPr>
          <w:rStyle w:val="FootnoteReference"/>
        </w:rPr>
        <w:footnoteRef/>
      </w:r>
      <w:r>
        <w:t xml:space="preserve"> Reinhold, M. 1933: 8.</w:t>
      </w:r>
    </w:p>
  </w:footnote>
  <w:footnote w:id="2">
    <w:p w14:paraId="6A34EE6B" w14:textId="30BA01DC" w:rsidR="008A43D1" w:rsidRDefault="008A43D1">
      <w:pPr>
        <w:pStyle w:val="FootnoteText"/>
      </w:pPr>
      <w:r>
        <w:rPr>
          <w:rStyle w:val="FootnoteReference"/>
        </w:rPr>
        <w:footnoteRef/>
      </w:r>
      <w:r>
        <w:t xml:space="preserve"> Cass. Dio. 48.28.1; </w:t>
      </w:r>
      <w:r w:rsidR="003B394D">
        <w:t>Appian. 5.58.1.</w:t>
      </w:r>
    </w:p>
  </w:footnote>
  <w:footnote w:id="3">
    <w:p w14:paraId="2744F391" w14:textId="39AC9B67" w:rsidR="00D0643F" w:rsidRDefault="00D0643F">
      <w:pPr>
        <w:pStyle w:val="FootnoteText"/>
      </w:pPr>
      <w:r>
        <w:rPr>
          <w:rStyle w:val="FootnoteReference"/>
        </w:rPr>
        <w:footnoteRef/>
      </w:r>
      <w:r>
        <w:t xml:space="preserve"> Appian. 5.92.1.; </w:t>
      </w:r>
    </w:p>
  </w:footnote>
  <w:footnote w:id="4">
    <w:p w14:paraId="280B8008" w14:textId="3A28B844" w:rsidR="0091089F" w:rsidRDefault="0091089F">
      <w:pPr>
        <w:pStyle w:val="FootnoteText"/>
      </w:pPr>
      <w:r>
        <w:rPr>
          <w:rStyle w:val="FootnoteReference"/>
        </w:rPr>
        <w:footnoteRef/>
      </w:r>
      <w:r>
        <w:t xml:space="preserve"> Eck, W. 2003: 17-8.</w:t>
      </w:r>
    </w:p>
  </w:footnote>
  <w:footnote w:id="5">
    <w:p w14:paraId="59CC0173" w14:textId="182D504E" w:rsidR="0091089F" w:rsidRPr="0091089F" w:rsidRDefault="0091089F">
      <w:pPr>
        <w:pStyle w:val="FootnoteText"/>
      </w:pPr>
      <w:r>
        <w:rPr>
          <w:rStyle w:val="FootnoteReference"/>
        </w:rPr>
        <w:footnoteRef/>
      </w:r>
      <w:r>
        <w:t xml:space="preserve"> Suet. </w:t>
      </w:r>
      <w:r>
        <w:rPr>
          <w:i/>
        </w:rPr>
        <w:t>Aug</w:t>
      </w:r>
      <w:r>
        <w:t>. 52,58.</w:t>
      </w:r>
    </w:p>
  </w:footnote>
  <w:footnote w:id="6">
    <w:p w14:paraId="17F606D0" w14:textId="50BC081D" w:rsidR="002B0581" w:rsidRDefault="002B0581">
      <w:pPr>
        <w:pStyle w:val="FootnoteText"/>
      </w:pPr>
      <w:r>
        <w:rPr>
          <w:rStyle w:val="FootnoteReference"/>
        </w:rPr>
        <w:footnoteRef/>
      </w:r>
      <w:r>
        <w:t xml:space="preserve"> Reinhold, M. 1933: 13-17.</w:t>
      </w:r>
    </w:p>
  </w:footnote>
  <w:footnote w:id="7">
    <w:p w14:paraId="35DC4CBA" w14:textId="0AEC7E41" w:rsidR="003132E5" w:rsidRPr="003132E5" w:rsidRDefault="003132E5">
      <w:pPr>
        <w:pStyle w:val="FootnoteText"/>
      </w:pPr>
      <w:r>
        <w:rPr>
          <w:rStyle w:val="FootnoteReference"/>
        </w:rPr>
        <w:footnoteRef/>
      </w:r>
      <w:r>
        <w:t xml:space="preserve"> Suet. </w:t>
      </w:r>
      <w:r>
        <w:rPr>
          <w:i/>
        </w:rPr>
        <w:t>Aug.</w:t>
      </w:r>
      <w:r>
        <w:t xml:space="preserve"> 62.</w:t>
      </w:r>
    </w:p>
  </w:footnote>
  <w:footnote w:id="8">
    <w:p w14:paraId="7500070B" w14:textId="60D69BEB" w:rsidR="003132E5" w:rsidRPr="003132E5" w:rsidRDefault="003132E5">
      <w:pPr>
        <w:pStyle w:val="FootnoteText"/>
      </w:pPr>
      <w:r>
        <w:rPr>
          <w:rStyle w:val="FootnoteReference"/>
        </w:rPr>
        <w:footnoteRef/>
      </w:r>
      <w:r>
        <w:t xml:space="preserve"> Suet. </w:t>
      </w:r>
      <w:r>
        <w:rPr>
          <w:i/>
        </w:rPr>
        <w:t>Aug</w:t>
      </w:r>
      <w:r>
        <w:t>. 66.</w:t>
      </w:r>
    </w:p>
  </w:footnote>
  <w:footnote w:id="9">
    <w:p w14:paraId="3833F061" w14:textId="5DDB34EC" w:rsidR="003132E5" w:rsidRPr="003132E5" w:rsidRDefault="003132E5">
      <w:pPr>
        <w:pStyle w:val="FootnoteText"/>
      </w:pPr>
      <w:r>
        <w:rPr>
          <w:rStyle w:val="FootnoteReference"/>
        </w:rPr>
        <w:footnoteRef/>
      </w:r>
      <w:r>
        <w:t xml:space="preserve"> Suet. </w:t>
      </w:r>
      <w:r>
        <w:rPr>
          <w:i/>
        </w:rPr>
        <w:t>Aug.</w:t>
      </w:r>
      <w:r>
        <w:t xml:space="preserve"> </w:t>
      </w:r>
      <w:r w:rsidR="00C81307">
        <w:t>84.</w:t>
      </w:r>
    </w:p>
  </w:footnote>
  <w:footnote w:id="10">
    <w:p w14:paraId="28F68B76" w14:textId="57E47F09" w:rsidR="00D43F22" w:rsidRDefault="00D43F22">
      <w:pPr>
        <w:pStyle w:val="FootnoteText"/>
      </w:pPr>
      <w:r>
        <w:rPr>
          <w:rStyle w:val="FootnoteReference"/>
        </w:rPr>
        <w:footnoteRef/>
      </w:r>
      <w:r>
        <w:t xml:space="preserve"> Cass. Dio. 48.49.2.</w:t>
      </w:r>
    </w:p>
  </w:footnote>
  <w:footnote w:id="11">
    <w:p w14:paraId="0A3D9152" w14:textId="19512630" w:rsidR="00C559B0" w:rsidRDefault="00C559B0">
      <w:pPr>
        <w:pStyle w:val="FootnoteText"/>
      </w:pPr>
      <w:r>
        <w:rPr>
          <w:rStyle w:val="FootnoteReference"/>
        </w:rPr>
        <w:footnoteRef/>
      </w:r>
      <w:r>
        <w:t xml:space="preserve"> Cass. Dio. 49.42.2.</w:t>
      </w:r>
    </w:p>
  </w:footnote>
  <w:footnote w:id="12">
    <w:p w14:paraId="29CC002E" w14:textId="596444D2" w:rsidR="00AE3D41" w:rsidRDefault="00AE3D41">
      <w:pPr>
        <w:pStyle w:val="FootnoteText"/>
      </w:pPr>
      <w:r>
        <w:rPr>
          <w:rStyle w:val="FootnoteReference"/>
        </w:rPr>
        <w:footnoteRef/>
      </w:r>
      <w:r>
        <w:t xml:space="preserve"> Cass. Dio. 53.27.1.</w:t>
      </w:r>
    </w:p>
  </w:footnote>
  <w:footnote w:id="13">
    <w:p w14:paraId="20584FA5" w14:textId="30F86BF4" w:rsidR="002E44DE" w:rsidRDefault="002E44DE">
      <w:pPr>
        <w:pStyle w:val="FootnoteText"/>
      </w:pPr>
      <w:r>
        <w:rPr>
          <w:rStyle w:val="FootnoteReference"/>
        </w:rPr>
        <w:footnoteRef/>
      </w:r>
      <w:r>
        <w:t xml:space="preserve"> Cass. Dio. 52.42.1.</w:t>
      </w:r>
    </w:p>
  </w:footnote>
  <w:footnote w:id="14">
    <w:p w14:paraId="54D126F8" w14:textId="6A64C596" w:rsidR="002E44DE" w:rsidRDefault="002E44DE">
      <w:pPr>
        <w:pStyle w:val="FootnoteText"/>
      </w:pPr>
      <w:r>
        <w:rPr>
          <w:rStyle w:val="FootnoteReference"/>
        </w:rPr>
        <w:footnoteRef/>
      </w:r>
      <w:r>
        <w:t xml:space="preserve"> Cass. Dio. 53.</w:t>
      </w:r>
    </w:p>
  </w:footnote>
  <w:footnote w:id="15">
    <w:p w14:paraId="41DC1FD2" w14:textId="47149E73" w:rsidR="006F691F" w:rsidRDefault="006F691F">
      <w:pPr>
        <w:pStyle w:val="FootnoteText"/>
      </w:pPr>
      <w:r>
        <w:rPr>
          <w:rStyle w:val="FootnoteReference"/>
        </w:rPr>
        <w:footnoteRef/>
      </w:r>
      <w:r>
        <w:t xml:space="preserve"> Reinhold, M. 1933: 98.</w:t>
      </w:r>
    </w:p>
  </w:footnote>
  <w:footnote w:id="16">
    <w:p w14:paraId="3863C483" w14:textId="509A741F" w:rsidR="006F691F" w:rsidRDefault="006F691F">
      <w:pPr>
        <w:pStyle w:val="FootnoteText"/>
      </w:pPr>
      <w:r>
        <w:rPr>
          <w:rStyle w:val="FootnoteReference"/>
        </w:rPr>
        <w:footnoteRef/>
      </w:r>
      <w:r>
        <w:t xml:space="preserve"> Cass. Dio. 54.12.4-5.</w:t>
      </w:r>
    </w:p>
  </w:footnote>
  <w:footnote w:id="17">
    <w:p w14:paraId="697CFF3B" w14:textId="257184B0" w:rsidR="0001594C" w:rsidRPr="0001594C" w:rsidRDefault="0001594C">
      <w:pPr>
        <w:pStyle w:val="FootnoteText"/>
      </w:pPr>
      <w:r>
        <w:rPr>
          <w:rStyle w:val="FootnoteReference"/>
        </w:rPr>
        <w:footnoteRef/>
      </w:r>
      <w:r>
        <w:t xml:space="preserve"> Suet. </w:t>
      </w:r>
      <w:r>
        <w:rPr>
          <w:i/>
        </w:rPr>
        <w:t>Aug</w:t>
      </w:r>
      <w:r>
        <w:t>. 101-2.</w:t>
      </w:r>
    </w:p>
  </w:footnote>
  <w:footnote w:id="18">
    <w:p w14:paraId="0B8500C1" w14:textId="718A821B" w:rsidR="0001594C" w:rsidRPr="0001594C" w:rsidRDefault="0001594C">
      <w:pPr>
        <w:pStyle w:val="FootnoteText"/>
      </w:pPr>
      <w:r>
        <w:rPr>
          <w:rStyle w:val="FootnoteReference"/>
        </w:rPr>
        <w:footnoteRef/>
      </w:r>
      <w:r>
        <w:t xml:space="preserve"> Suet. </w:t>
      </w:r>
      <w:r>
        <w:rPr>
          <w:i/>
        </w:rPr>
        <w:t>Gaius</w:t>
      </w:r>
      <w:r>
        <w:t>. 162.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117F2"/>
    <w:multiLevelType w:val="hybridMultilevel"/>
    <w:tmpl w:val="C8B0930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E812C2"/>
    <w:multiLevelType w:val="hybridMultilevel"/>
    <w:tmpl w:val="A4D03B00"/>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151115E"/>
    <w:multiLevelType w:val="hybridMultilevel"/>
    <w:tmpl w:val="D870E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B6E24"/>
    <w:multiLevelType w:val="hybridMultilevel"/>
    <w:tmpl w:val="5C34CABA"/>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6DE071F9"/>
    <w:multiLevelType w:val="hybridMultilevel"/>
    <w:tmpl w:val="60284D2E"/>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76957104"/>
    <w:multiLevelType w:val="hybridMultilevel"/>
    <w:tmpl w:val="6366C1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1D5"/>
    <w:rsid w:val="00001618"/>
    <w:rsid w:val="00010FA3"/>
    <w:rsid w:val="0001594C"/>
    <w:rsid w:val="00043240"/>
    <w:rsid w:val="000A121E"/>
    <w:rsid w:val="001319A3"/>
    <w:rsid w:val="00187734"/>
    <w:rsid w:val="002031E2"/>
    <w:rsid w:val="00247F92"/>
    <w:rsid w:val="002A2DE8"/>
    <w:rsid w:val="002B0581"/>
    <w:rsid w:val="002E44DE"/>
    <w:rsid w:val="003132E5"/>
    <w:rsid w:val="0038494A"/>
    <w:rsid w:val="003A38D1"/>
    <w:rsid w:val="003B394D"/>
    <w:rsid w:val="003F15F1"/>
    <w:rsid w:val="00422AF9"/>
    <w:rsid w:val="0047122C"/>
    <w:rsid w:val="00474A2C"/>
    <w:rsid w:val="005171D5"/>
    <w:rsid w:val="00597A9D"/>
    <w:rsid w:val="005A0D76"/>
    <w:rsid w:val="005B4178"/>
    <w:rsid w:val="005C3BBF"/>
    <w:rsid w:val="006F691F"/>
    <w:rsid w:val="00700059"/>
    <w:rsid w:val="007371BD"/>
    <w:rsid w:val="0075678C"/>
    <w:rsid w:val="007D3D07"/>
    <w:rsid w:val="00860613"/>
    <w:rsid w:val="00882CCB"/>
    <w:rsid w:val="008951C1"/>
    <w:rsid w:val="008A43D1"/>
    <w:rsid w:val="0091089F"/>
    <w:rsid w:val="00A366B6"/>
    <w:rsid w:val="00AE3D41"/>
    <w:rsid w:val="00AF45B9"/>
    <w:rsid w:val="00B155C8"/>
    <w:rsid w:val="00B2376D"/>
    <w:rsid w:val="00B67B1F"/>
    <w:rsid w:val="00B74177"/>
    <w:rsid w:val="00BD3E2E"/>
    <w:rsid w:val="00C52C76"/>
    <w:rsid w:val="00C559B0"/>
    <w:rsid w:val="00C81307"/>
    <w:rsid w:val="00D0643F"/>
    <w:rsid w:val="00D43F22"/>
    <w:rsid w:val="00D44E60"/>
    <w:rsid w:val="00D679AF"/>
    <w:rsid w:val="00DB3A81"/>
    <w:rsid w:val="00DF6B60"/>
    <w:rsid w:val="00E24F17"/>
    <w:rsid w:val="00E938D2"/>
    <w:rsid w:val="00F8145E"/>
    <w:rsid w:val="00F84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9A22"/>
  <w15:chartTrackingRefBased/>
  <w15:docId w15:val="{6AD174C4-DA2D-4A22-900C-A164EFCDA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AF9"/>
    <w:pPr>
      <w:ind w:left="720"/>
      <w:contextualSpacing/>
    </w:pPr>
  </w:style>
  <w:style w:type="paragraph" w:styleId="FootnoteText">
    <w:name w:val="footnote text"/>
    <w:basedOn w:val="Normal"/>
    <w:link w:val="FootnoteTextChar"/>
    <w:uiPriority w:val="99"/>
    <w:semiHidden/>
    <w:unhideWhenUsed/>
    <w:rsid w:val="00B741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4177"/>
    <w:rPr>
      <w:sz w:val="20"/>
      <w:szCs w:val="20"/>
    </w:rPr>
  </w:style>
  <w:style w:type="character" w:styleId="FootnoteReference">
    <w:name w:val="footnote reference"/>
    <w:basedOn w:val="DefaultParagraphFont"/>
    <w:uiPriority w:val="99"/>
    <w:semiHidden/>
    <w:unhideWhenUsed/>
    <w:rsid w:val="00B74177"/>
    <w:rPr>
      <w:vertAlign w:val="superscript"/>
    </w:rPr>
  </w:style>
  <w:style w:type="paragraph" w:styleId="NormalWeb">
    <w:name w:val="Normal (Web)"/>
    <w:basedOn w:val="Normal"/>
    <w:uiPriority w:val="99"/>
    <w:semiHidden/>
    <w:unhideWhenUsed/>
    <w:rsid w:val="00474A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593496">
      <w:bodyDiv w:val="1"/>
      <w:marLeft w:val="0"/>
      <w:marRight w:val="0"/>
      <w:marTop w:val="0"/>
      <w:marBottom w:val="0"/>
      <w:divBdr>
        <w:top w:val="none" w:sz="0" w:space="0" w:color="auto"/>
        <w:left w:val="none" w:sz="0" w:space="0" w:color="auto"/>
        <w:bottom w:val="none" w:sz="0" w:space="0" w:color="auto"/>
        <w:right w:val="none" w:sz="0" w:space="0" w:color="auto"/>
      </w:divBdr>
    </w:div>
    <w:div w:id="589125941">
      <w:bodyDiv w:val="1"/>
      <w:marLeft w:val="0"/>
      <w:marRight w:val="0"/>
      <w:marTop w:val="0"/>
      <w:marBottom w:val="0"/>
      <w:divBdr>
        <w:top w:val="none" w:sz="0" w:space="0" w:color="auto"/>
        <w:left w:val="none" w:sz="0" w:space="0" w:color="auto"/>
        <w:bottom w:val="none" w:sz="0" w:space="0" w:color="auto"/>
        <w:right w:val="none" w:sz="0" w:space="0" w:color="auto"/>
      </w:divBdr>
    </w:div>
    <w:div w:id="2074040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6" ma:contentTypeDescription="Create a new document." ma:contentTypeScope="" ma:versionID="8dfb093fb6ac4197c5d26e1bba1aade1">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efefebc59c1109a61083f6625eb89fdc"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9A46B-0834-40B0-A7D2-541C76299859}">
  <ds:schemaRefs>
    <ds:schemaRef ds:uri="http://schemas.microsoft.com/office/2006/documentManagement/types"/>
    <ds:schemaRef ds:uri="http://purl.org/dc/terms/"/>
    <ds:schemaRef ds:uri="21682d76-7fed-41ad-9dab-ad3c63b4cd86"/>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7ac54d59-15ae-468f-8833-3c6b8f4d3013"/>
    <ds:schemaRef ds:uri="http://www.w3.org/XML/1998/namespace"/>
  </ds:schemaRefs>
</ds:datastoreItem>
</file>

<file path=customXml/itemProps2.xml><?xml version="1.0" encoding="utf-8"?>
<ds:datastoreItem xmlns:ds="http://schemas.openxmlformats.org/officeDocument/2006/customXml" ds:itemID="{504795D7-BCDF-428C-9BC2-BAAFBB4D42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A70977-1641-48D0-A5CA-E03E231344C6}">
  <ds:schemaRefs>
    <ds:schemaRef ds:uri="http://schemas.microsoft.com/sharepoint/v3/contenttype/forms"/>
  </ds:schemaRefs>
</ds:datastoreItem>
</file>

<file path=customXml/itemProps4.xml><?xml version="1.0" encoding="utf-8"?>
<ds:datastoreItem xmlns:ds="http://schemas.openxmlformats.org/officeDocument/2006/customXml" ds:itemID="{1C58EF5C-ADC3-428E-B5D1-03E63A567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6</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16</cp:revision>
  <dcterms:created xsi:type="dcterms:W3CDTF">2019-10-01T12:51:00Z</dcterms:created>
  <dcterms:modified xsi:type="dcterms:W3CDTF">2019-10-18T13:36:00Z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