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CF798A" w14:textId="77777777" w:rsidR="00FF3942" w:rsidRDefault="00216AB7">
      <w:pPr>
        <w:jc w:val="center"/>
        <w:rPr>
          <w:b/>
          <w:bCs/>
        </w:rPr>
      </w:pPr>
      <w:r>
        <w:rPr>
          <w:b/>
          <w:bCs/>
        </w:rPr>
        <w:t>Hannah Jayne Graham : 1910345</w:t>
      </w:r>
    </w:p>
    <w:p w14:paraId="05CF798B" w14:textId="77777777" w:rsidR="00FF3942" w:rsidRDefault="00216AB7">
      <w:pPr>
        <w:jc w:val="center"/>
        <w:rPr>
          <w:b/>
          <w:bCs/>
        </w:rPr>
      </w:pPr>
      <w:r>
        <w:rPr>
          <w:b/>
          <w:bCs/>
        </w:rPr>
        <w:t>Level 7</w:t>
      </w:r>
    </w:p>
    <w:p w14:paraId="05CF798C" w14:textId="77777777" w:rsidR="00FF3942" w:rsidRDefault="00216AB7">
      <w:pPr>
        <w:jc w:val="center"/>
        <w:rPr>
          <w:b/>
          <w:bCs/>
        </w:rPr>
      </w:pPr>
      <w:r>
        <w:rPr>
          <w:b/>
          <w:bCs/>
        </w:rPr>
        <w:t>MODULE TITLE: Leading, Managing and Developing People</w:t>
      </w:r>
    </w:p>
    <w:p w14:paraId="05CF798D" w14:textId="77777777" w:rsidR="00FF3942" w:rsidRDefault="00216AB7">
      <w:pPr>
        <w:jc w:val="center"/>
        <w:rPr>
          <w:b/>
          <w:bCs/>
        </w:rPr>
      </w:pPr>
      <w:r>
        <w:rPr>
          <w:b/>
          <w:bCs/>
        </w:rPr>
        <w:t>MODULE CODE: BMHR7008</w:t>
      </w:r>
    </w:p>
    <w:p w14:paraId="05CF798E" w14:textId="77777777" w:rsidR="00FF3942" w:rsidRDefault="00216AB7">
      <w:pPr>
        <w:jc w:val="center"/>
        <w:rPr>
          <w:b/>
          <w:bCs/>
        </w:rPr>
      </w:pPr>
      <w:r>
        <w:rPr>
          <w:b/>
          <w:bCs/>
        </w:rPr>
        <w:t>Word Count (Answers minus the question above) : 4385</w:t>
      </w:r>
    </w:p>
    <w:p w14:paraId="05CF798F" w14:textId="77777777" w:rsidR="00FF3942" w:rsidRDefault="00FF3942">
      <w:pPr>
        <w:jc w:val="center"/>
      </w:pPr>
    </w:p>
    <w:p w14:paraId="05CF7990" w14:textId="77777777" w:rsidR="00FF3942" w:rsidRDefault="00216AB7">
      <w:pPr>
        <w:jc w:val="both"/>
        <w:rPr>
          <w:b/>
          <w:bCs/>
          <w:u w:val="single"/>
        </w:rPr>
      </w:pPr>
      <w:r>
        <w:rPr>
          <w:b/>
          <w:bCs/>
          <w:u w:val="single"/>
        </w:rPr>
        <w:t xml:space="preserve">Section 1 </w:t>
      </w:r>
    </w:p>
    <w:p w14:paraId="05CF7991" w14:textId="77777777" w:rsidR="00FF3942" w:rsidRDefault="00216AB7">
      <w:pPr>
        <w:pStyle w:val="ListParagraph"/>
        <w:numPr>
          <w:ilvl w:val="1"/>
          <w:numId w:val="1"/>
        </w:numPr>
        <w:jc w:val="both"/>
        <w:rPr>
          <w:b/>
          <w:bCs/>
        </w:rPr>
      </w:pPr>
      <w:r>
        <w:rPr>
          <w:b/>
          <w:bCs/>
        </w:rPr>
        <w:t xml:space="preserve">In light of the above, critically evaluate the </w:t>
      </w:r>
      <w:r>
        <w:rPr>
          <w:b/>
          <w:bCs/>
        </w:rPr>
        <w:t xml:space="preserve">statement ‘culture eats strategy for breakfast’. </w:t>
      </w:r>
    </w:p>
    <w:p w14:paraId="05CF7992" w14:textId="77777777" w:rsidR="00FF3942" w:rsidRDefault="00216AB7">
      <w:pPr>
        <w:spacing w:line="360" w:lineRule="auto"/>
        <w:jc w:val="both"/>
      </w:pPr>
      <w:r>
        <w:t>Fundamentally, a strategy is a business and organisations declaration of where they want to be in the future and how they plan to get there and culture is defined as a unique and development of the collabor</w:t>
      </w:r>
      <w:r>
        <w:t xml:space="preserve">ation of values and actions undertaken by the employees; where organisations disconnect their strategy from the culture amassed within the workforce there is ultimately a set up for failure  (Armstrong, 2016; Fifer, 2018; Lorence, 2018).   </w:t>
      </w:r>
    </w:p>
    <w:p w14:paraId="05CF7993" w14:textId="77777777" w:rsidR="00FF3942" w:rsidRDefault="00216AB7">
      <w:pPr>
        <w:spacing w:line="360" w:lineRule="auto"/>
        <w:jc w:val="both"/>
      </w:pPr>
      <w:r>
        <w:t>An organisation</w:t>
      </w:r>
      <w:r>
        <w:t xml:space="preserve"> should underpin its culture with a strategy as upon beginning the business or as an employee starting their employment with a company there need to be strategical aims. Gartman, Woods and Morey (2018) state that there are components to identifying a cultu</w:t>
      </w:r>
      <w:r>
        <w:t>re; company history, ethical standards, values, mission and vision statements; whereas employees that are happy in the organisations and customer’s satisfied with products or services and outcomes from a company’s culture which in turn can lead to increase</w:t>
      </w:r>
      <w:r>
        <w:t xml:space="preserve">d organisational success. As mentioned in the case study above, MacLeod’s four enablers towards an engaged employee base have a strategic narrative as point number one and this is a further point to showing that a strategy is the starting point. </w:t>
      </w:r>
    </w:p>
    <w:p w14:paraId="05CF7994" w14:textId="77777777" w:rsidR="00FF3942" w:rsidRDefault="00216AB7">
      <w:pPr>
        <w:spacing w:line="360" w:lineRule="auto"/>
        <w:jc w:val="both"/>
      </w:pPr>
      <w:r>
        <w:t>Deloitte’</w:t>
      </w:r>
      <w:r>
        <w:t>s (2019) latest Global Human Capital Trends article showed that the employee experience is a trend that requires improvement; therefore, the meaning that people have in the working, thus their culture. A display of best practice towards this is HSBC (2020)</w:t>
      </w:r>
      <w:r>
        <w:t xml:space="preserve"> depict on their website that they recognise the importance of their strategy which ultimately is to serve their customers but also back this up by stating their workforce determines their responsibility, risk attitudes and overall their culture. To suppor</w:t>
      </w:r>
      <w:r>
        <w:t>t the best practice of embracement of the term, Bock (2015) argues, very clearly, that this statement of ‘culture eats strategy for breakfast was in his words – “spot-on”; he talks about the values of the company and its employees were constantly put befor</w:t>
      </w:r>
      <w:r>
        <w:t>e their strategy when making decisions and it has consistently paid off and he also recognises that culture is not static where development is required as an ongoing process which is much of the need to ensure both strategy and culture are constant and ali</w:t>
      </w:r>
      <w:r>
        <w:t xml:space="preserve">gned but Bock states that the strategy has been shaped by the culture within Google. </w:t>
      </w:r>
    </w:p>
    <w:p w14:paraId="05CF7995" w14:textId="77777777" w:rsidR="00FF3942" w:rsidRDefault="00216AB7">
      <w:pPr>
        <w:spacing w:line="360" w:lineRule="auto"/>
        <w:jc w:val="both"/>
      </w:pPr>
      <w:r>
        <w:t xml:space="preserve">As far as ‘best practice’ goes with the more culturally based organisations there is still plenty of room for criticism. An article available on Forbes online describing </w:t>
      </w:r>
      <w:r>
        <w:t xml:space="preserve">how the culture within company Netflix </w:t>
      </w:r>
      <w:r>
        <w:lastRenderedPageBreak/>
        <w:t>created a wave of anxiety for many employees this author has spoken with; this is where the company has put the success and drivers of the behaviours into the hands of the employees and also provided a guide which sho</w:t>
      </w:r>
      <w:r>
        <w:t>ws the employees how to best embrace and achieve within the culture intended. The guide describes how employees are the best succeeding when they are transparent and non-political which is argued to be stripping a person of their values and to leave all op</w:t>
      </w:r>
      <w:r>
        <w:t xml:space="preserve">inion at the door; further to this, the document states that you only speak feedback to a colleagues face and not behind their back which is also argued to create too much of an opinionated workforce which can create conflict (Putter, 2018). </w:t>
      </w:r>
    </w:p>
    <w:p w14:paraId="05CF7996" w14:textId="77777777" w:rsidR="00FF3942" w:rsidRDefault="00216AB7">
      <w:pPr>
        <w:spacing w:line="360" w:lineRule="auto"/>
        <w:jc w:val="both"/>
      </w:pPr>
      <w:r>
        <w:t>Bate (1994) t</w:t>
      </w:r>
      <w:r>
        <w:t>wenty-six years ago stated how both strategy and culture have a place in organisations and most certainly next to one and another, although this could be seen as an outdated source it shows that this statement is as relevant today as it was then. As the wo</w:t>
      </w:r>
      <w:r>
        <w:t>rld views culture as ever-changing and developing it is only right to say that the same goes for organisations strategies; both evolve. The world, let alone countries and communities, rarely have the same culture it would have fifty years ago, therefore, o</w:t>
      </w:r>
      <w:r>
        <w:t xml:space="preserve">rganisations should look for both to evolve and remember they are closely related and not leave either aspect behind. </w:t>
      </w:r>
    </w:p>
    <w:p w14:paraId="05CF7997" w14:textId="77777777" w:rsidR="00FF3942" w:rsidRDefault="00FF3942">
      <w:pPr>
        <w:jc w:val="both"/>
      </w:pPr>
    </w:p>
    <w:p w14:paraId="05CF7998" w14:textId="77777777" w:rsidR="00FF3942" w:rsidRDefault="00216AB7">
      <w:pPr>
        <w:pStyle w:val="ListParagraph"/>
        <w:numPr>
          <w:ilvl w:val="1"/>
          <w:numId w:val="1"/>
        </w:numPr>
        <w:jc w:val="both"/>
      </w:pPr>
      <w:r>
        <w:rPr>
          <w:b/>
          <w:bCs/>
          <w:szCs w:val="24"/>
        </w:rPr>
        <w:t xml:space="preserve">Critically evaluate the statement “there has been a shift in mindset from ‘push’ to ‘pull’, explain what this means for </w:t>
      </w:r>
      <w:r>
        <w:rPr>
          <w:b/>
          <w:bCs/>
          <w:szCs w:val="24"/>
        </w:rPr>
        <w:t>businesses/organisations now and what this could mean for businesses/organisations in the future.</w:t>
      </w:r>
    </w:p>
    <w:p w14:paraId="05CF7999" w14:textId="77777777" w:rsidR="00FF3942" w:rsidRDefault="00216AB7">
      <w:pPr>
        <w:spacing w:line="360" w:lineRule="auto"/>
        <w:jc w:val="both"/>
      </w:pPr>
      <w:r>
        <w:t>The shift in mindset from ‘push’ to ‘pull’ is that of the employees which now want and expect more in this modern world (Whitmore, 2017) and holds a sign with</w:t>
      </w:r>
      <w:r>
        <w:t xml:space="preserve"> the millennial generation. As millennial’s are predicted to make up 35% of the workforce, with them comes an attitude that they will own their  career, desire for thriving work-life balance and have discredited the notion of ‘job for life’ as they feel th</w:t>
      </w:r>
      <w:r>
        <w:t>at several jobs in several organisations during their lifetime will provide them with more life experience, knowledge and attributes than one, therefore, creating a natural ‘pull’ towards them as  this part of the workforce is kept engaged for retention pu</w:t>
      </w:r>
      <w:r>
        <w:t xml:space="preserve">rposes (Mercer, 2019; The Health Insurance Group, 2019). </w:t>
      </w:r>
    </w:p>
    <w:p w14:paraId="05CF799A" w14:textId="77777777" w:rsidR="00FF3942" w:rsidRDefault="00216AB7">
      <w:pPr>
        <w:spacing w:line="360" w:lineRule="auto"/>
        <w:jc w:val="both"/>
      </w:pPr>
      <w:r>
        <w:t>The gig economy is one of either way, as one of the top HR trends of Deloitte’s 2019 report this culture, previously thought of freelance, is in the middle. Whereas the organisations dependent on th</w:t>
      </w:r>
      <w:r>
        <w:t>is labour market have the push of work availability, salary amount and are providing a lack of benefits. The pull is slowly creeping on these organisations for being highly criticised for not allowing their workforce a say; a ‘pull’ so to speak and the gra</w:t>
      </w:r>
      <w:r>
        <w:t xml:space="preserve">ft required from this labour market is set to increase, not decrease, therefore, more needs to be done for these employee’s, that thrive from energy, not engagement, to have a voice (BBC News, 2019; Deloitte, 2019 and Timms, 2019). </w:t>
      </w:r>
    </w:p>
    <w:p w14:paraId="05CF799B" w14:textId="77777777" w:rsidR="00FF3942" w:rsidRDefault="00216AB7">
      <w:pPr>
        <w:spacing w:line="360" w:lineRule="auto"/>
        <w:jc w:val="both"/>
      </w:pPr>
      <w:r>
        <w:lastRenderedPageBreak/>
        <w:t>The future world of man</w:t>
      </w:r>
      <w:r>
        <w:t>agement strategies can look to incorporate an element of ‘pull’ from the workforce with a combination of ‘push’; whilst adhering to traditional management styles organisations can feel comfortable with whilst adding an element of change and responding to r</w:t>
      </w:r>
      <w:r>
        <w:t>eal-time demand of the work-life balance of the organisation. Whereas management and executives could create the strategy and advise the workforce of the general objectives they desire and allow management teams such as HR and team management to work on th</w:t>
      </w:r>
      <w:r>
        <w:t>e culture to listen and respond to the authentic and transparent information from the front line workforce to achieve the best outcomes. The ideal situation for all organisations is that management remains open-minded to new ideas and feedback from the ‘pu</w:t>
      </w:r>
      <w:r>
        <w:t xml:space="preserve">ll’ side of the chain to retain happy employees and in turn customer satisfaction and turnover (Cusumano, 2010; Thomas, 2019). </w:t>
      </w:r>
    </w:p>
    <w:p w14:paraId="05CF799C" w14:textId="77777777" w:rsidR="00FF3942" w:rsidRDefault="00FF3942">
      <w:pPr>
        <w:pStyle w:val="ListParagraph"/>
        <w:ind w:left="360"/>
        <w:jc w:val="both"/>
        <w:rPr>
          <w:b/>
          <w:bCs/>
        </w:rPr>
      </w:pPr>
    </w:p>
    <w:p w14:paraId="05CF799D" w14:textId="77777777" w:rsidR="00FF3942" w:rsidRDefault="00216AB7">
      <w:pPr>
        <w:pStyle w:val="ListParagraph"/>
        <w:numPr>
          <w:ilvl w:val="1"/>
          <w:numId w:val="1"/>
        </w:numPr>
        <w:jc w:val="both"/>
      </w:pPr>
      <w:r>
        <w:rPr>
          <w:b/>
          <w:bCs/>
          <w:szCs w:val="24"/>
        </w:rPr>
        <w:t>Identify four key areas of HRM that impact substantially on business/organisation culture.  Explain your rationale for choosing</w:t>
      </w:r>
      <w:r>
        <w:rPr>
          <w:b/>
          <w:bCs/>
          <w:szCs w:val="24"/>
        </w:rPr>
        <w:t xml:space="preserve"> those areas and put forward suggestions as to why these areas of HRM often fail to have the desired impact on business/organisation culture.</w:t>
      </w:r>
    </w:p>
    <w:p w14:paraId="05CF799E" w14:textId="77777777" w:rsidR="00FF3942" w:rsidRDefault="00216AB7">
      <w:pPr>
        <w:spacing w:line="360" w:lineRule="auto"/>
        <w:jc w:val="both"/>
      </w:pPr>
      <w:r>
        <w:t>A key area of HRM will be that of performance and opportunities for development within the workplace. Organisation</w:t>
      </w:r>
      <w:r>
        <w:t>s that embrace performance as a way of life are often high performing and positive cultures; concerning this, HSBC overall show best practice as performance and demonstration examples are to be written into the monthly and yearly performance reviews for co</w:t>
      </w:r>
      <w:r>
        <w:t>nsistency by all employees (Armstrong, 2016; Barsade and O’Neill, 2016). Organisations can fail in these areas when too much emphasis is based on performance and there often its impact can be scrutinised to be biased, untrustworthy and described as a tick-</w:t>
      </w:r>
      <w:r>
        <w:t>box-exercise therefore there needs to be a balance where it is required but not assumed with an element of flexibility to the employee to set their own goals and even place a performance development plan, furthermore, it needs to be learnt to be measured i</w:t>
      </w:r>
      <w:r>
        <w:t xml:space="preserve">n its effect on the organisation (McCord, 2015; McKinsey, 2018). </w:t>
      </w:r>
    </w:p>
    <w:p w14:paraId="05CF799F" w14:textId="77777777" w:rsidR="00FF3942" w:rsidRDefault="00216AB7">
      <w:pPr>
        <w:spacing w:line="360" w:lineRule="auto"/>
        <w:jc w:val="both"/>
      </w:pPr>
      <w:r>
        <w:t>Another key area of HRM is recruitment as Bock (2015) stated that the aim of effective recruitment is that to have employee’s that you do not wish to fire for any type of reason and although</w:t>
      </w:r>
      <w:r>
        <w:t xml:space="preserve"> some executives will claim that the best practice is to hire the finest candidates then train and upskill them to the best they can be professionally this never runs in practice due to resources. Arguments along the lines of hiring the candidate best fit </w:t>
      </w:r>
      <w:r>
        <w:t>to the culture more than the job are ones that need to be considered very cautiously by HR teams. As much as it is important a person is happy within the workplace and fits in with the fellow workforce there must be an aspect of the capability to allow the</w:t>
      </w:r>
      <w:r>
        <w:t>m to provide maximum contribution to allow the circle back to the organisation’s overall aim to thrive and achieve main strategic goals (Bashford, 2018). Where HR teams can fail is where recruitment may be conducted too quickly to maximise operation but no</w:t>
      </w:r>
      <w:r>
        <w:t xml:space="preserve">t to a standard that allows the goal of all parties for the right outcome and having the right and trained people within the relevant teams can allow for a seamless recruitment process. </w:t>
      </w:r>
    </w:p>
    <w:p w14:paraId="05CF79A0" w14:textId="77777777" w:rsidR="00FF3942" w:rsidRDefault="00216AB7">
      <w:pPr>
        <w:spacing w:line="360" w:lineRule="auto"/>
        <w:jc w:val="both"/>
      </w:pPr>
      <w:r>
        <w:lastRenderedPageBreak/>
        <w:t>Leading by example or walking the talk are other key aspects to the s</w:t>
      </w:r>
      <w:r>
        <w:t>uccess of the culture desired within an organisation. Baring the values of the organisation at the heart of the operation and advocates for the culture they want to see in their organisation’s from the top down – is the message to HR and leadership teams f</w:t>
      </w:r>
      <w:r>
        <w:t>or success in the management of the culture. Employee’s seeing the management preaching the values and laying down the foundations of the culture they want is where the workforce trust. Trust is an element of the working life that as De Vita (2018) gives i</w:t>
      </w:r>
      <w:r>
        <w:t>nsight to, Rachel Botsman, an author who bases her work around a trust-era and how leadership should thrive to gain the trust of the workplace as it diminishes and let go of controlling themselves with self-perception of what is expected; this is where som</w:t>
      </w:r>
      <w:r>
        <w:t xml:space="preserve">e management fails to uphold a constructive work culture for their employees. </w:t>
      </w:r>
    </w:p>
    <w:p w14:paraId="05CF79A1" w14:textId="77777777" w:rsidR="00FF3942" w:rsidRDefault="00216AB7">
      <w:pPr>
        <w:spacing w:line="360" w:lineRule="auto"/>
        <w:jc w:val="both"/>
      </w:pPr>
      <w:r>
        <w:t>A fourth key area of impact upon a sustainable culture is that of reward; and not always to have the main focus on extrinsic rewards but also intrinsic rewards such as responsib</w:t>
      </w:r>
      <w:r>
        <w:t>ility, experiences, and recognition to provide direction and meaning for the workforce. Many great organisations will utilise a range of rewards that are fair and meaningful to recognise staff and as part of an employee package but where an organisation ma</w:t>
      </w:r>
      <w:r>
        <w:t>y fail is where they do not provide the bare minimum of benefits and see the supply of employment and the basic salary as reward enough; this will create a negative and monotonous culture (Armstrong, 2016; Keller and Meaney, 2017). Where an organisation ca</w:t>
      </w:r>
      <w:r>
        <w:t xml:space="preserve">n thrive to create the desired culture and reward strategy simultaneously is to ensure that as the business grows that the reward does with it to put the growth back into the heart of the business – with the people. Further to this, ensuring that there is </w:t>
      </w:r>
      <w:r>
        <w:t xml:space="preserve">a fair and transparent policy in place can place the trust of the workforce in the policy; for example, do not provide salary inequalities that will cause conflict when discussions are made (Bushardt, Glascoff and Doty, 2011). </w:t>
      </w:r>
    </w:p>
    <w:p w14:paraId="05CF79A2" w14:textId="77777777" w:rsidR="00FF3942" w:rsidRDefault="00FF3942">
      <w:pPr>
        <w:jc w:val="both"/>
        <w:rPr>
          <w:b/>
          <w:bCs/>
        </w:rPr>
      </w:pPr>
    </w:p>
    <w:p w14:paraId="05CF79A3" w14:textId="77777777" w:rsidR="00FF3942" w:rsidRDefault="00FF3942">
      <w:pPr>
        <w:pStyle w:val="ListParagraph"/>
        <w:numPr>
          <w:ilvl w:val="1"/>
          <w:numId w:val="1"/>
        </w:numPr>
        <w:jc w:val="both"/>
        <w:rPr>
          <w:b/>
          <w:bCs/>
        </w:rPr>
      </w:pPr>
    </w:p>
    <w:p w14:paraId="05CF79A4" w14:textId="77777777" w:rsidR="00FF3942" w:rsidRDefault="00216AB7">
      <w:pPr>
        <w:jc w:val="both"/>
      </w:pPr>
      <w:r>
        <w:rPr>
          <w:b/>
          <w:bCs/>
        </w:rPr>
        <w:t xml:space="preserve">b) </w:t>
      </w:r>
      <w:r>
        <w:rPr>
          <w:b/>
          <w:bCs/>
          <w:szCs w:val="24"/>
        </w:rPr>
        <w:t>Drawing on relevant lit</w:t>
      </w:r>
      <w:r>
        <w:rPr>
          <w:b/>
          <w:bCs/>
          <w:szCs w:val="24"/>
        </w:rPr>
        <w:t>erature describe what should be the priorities of HR in driving positive workplace culture for the future.</w:t>
      </w:r>
    </w:p>
    <w:p w14:paraId="05CF79A5" w14:textId="77777777" w:rsidR="00FF3942" w:rsidRDefault="00216AB7">
      <w:pPr>
        <w:spacing w:line="360" w:lineRule="auto"/>
        <w:jc w:val="both"/>
      </w:pPr>
      <w:r>
        <w:t>Negative working culture is unimaginable; although it can happen through aspects such as heavy pressure for the success of strategic goals together w</w:t>
      </w:r>
      <w:r>
        <w:t>ith poor management, it is never a goal set by an organisation. However, where positive culture creates an engaged, motivated, and happy workforce within turn will lead to the success of the strategic goals it is a given goal an organisation will thrive fo</w:t>
      </w:r>
      <w:r>
        <w:t xml:space="preserve">r. </w:t>
      </w:r>
    </w:p>
    <w:p w14:paraId="05CF79A6" w14:textId="77777777" w:rsidR="00FF3942" w:rsidRDefault="00216AB7">
      <w:pPr>
        <w:spacing w:line="360" w:lineRule="auto"/>
        <w:jc w:val="both"/>
      </w:pPr>
      <w:r>
        <w:t>‘Leading by example’ should be the top priority of HR and management teams; therefore for the organisation to succeed it should imagine and discover the type of culture it wants and start at the top with the leaders and management; as we have already e</w:t>
      </w:r>
      <w:r>
        <w:t xml:space="preserve">valuated the mindset of ‘push’ down the </w:t>
      </w:r>
      <w:r>
        <w:lastRenderedPageBreak/>
        <w:t xml:space="preserve">hierarchy in the question above (1.2), it can contrastingly work to a positive example to influence the culture desired. </w:t>
      </w:r>
    </w:p>
    <w:p w14:paraId="05CF79A7" w14:textId="77777777" w:rsidR="00FF3942" w:rsidRDefault="00216AB7">
      <w:pPr>
        <w:spacing w:line="360" w:lineRule="auto"/>
        <w:jc w:val="both"/>
      </w:pPr>
      <w:r>
        <w:t>Whether the current culture in an organisation may be positive or negative, HR or management t</w:t>
      </w:r>
      <w:r>
        <w:t>eams can hold engagement meetings or provide surveys for employees to gain an understanding of the current culture within the workplace and to further understand the workforce in general is a priority to creating or building upon a positive culture. When m</w:t>
      </w:r>
      <w:r>
        <w:t>anagement does not pay attention to the emotions within a workforce, they can be missing a vital part of retention in an unprofessional manner which can harm the organisation in terms of turnover (Barsade and O’Neill, 2016). Furthermore, to demonstrate the</w:t>
      </w:r>
      <w:r>
        <w:t xml:space="preserve"> highest understanding of leading by example, management should ensure they are listening to the employee’s and acting upon the feedback provided from the meetings and surveys held; in turn, this should create a workforce trend and allowing information to </w:t>
      </w:r>
      <w:r>
        <w:t xml:space="preserve">‘pull’ upwards. However much this goes against some traditional styles of management it will add positivity to the culture as the organisation are creating an environment where staff can talk about issues with the workplace and get these issues ‘off their </w:t>
      </w:r>
      <w:r>
        <w:t>chest’. This will also add to their well-being in general as a natural method for decreasing stressors and this is another priority of the positive culture workforce (Simms, 2014).</w:t>
      </w:r>
    </w:p>
    <w:p w14:paraId="05CF79A8" w14:textId="77777777" w:rsidR="00FF3942" w:rsidRDefault="00216AB7">
      <w:pPr>
        <w:spacing w:line="360" w:lineRule="auto"/>
        <w:jc w:val="both"/>
      </w:pPr>
      <w:r>
        <w:t>Following on from the aspect of utilising the stress decreasing tool as sim</w:t>
      </w:r>
      <w:r>
        <w:t>ple as talking or airing issues, an example of ‘what-not-to-do’ has been demonstrated by luggage company, Away. As they faced the backlash of an investigation to negative work culture and environment it was recognised as a miserable place to work. With emp</w:t>
      </w:r>
      <w:r>
        <w:t>loyee’s creating a private social media channel to air grievances faced in the workplace it led the branding of ‘Toxic’ for this work due to the content posted and therefore, using this example it is evident that as best practice shows a positive culture i</w:t>
      </w:r>
      <w:r>
        <w:t>n the workplace needs an element of psychological safety where employees can talk to management, be heard and not scrutinised for speaking up (Arroyo, 2020). Further to this, HSBC UK has demonstrated an understanding of this best practice as described in t</w:t>
      </w:r>
      <w:r>
        <w:t>he “Their Approach” section of their website within Culture and People they stated they encourage colleagues views to be listened to and to speak up and follow their values of being open, dependable and connected (HSBC, 2020).</w:t>
      </w:r>
    </w:p>
    <w:p w14:paraId="05CF79A9" w14:textId="77777777" w:rsidR="00FF3942" w:rsidRDefault="00216AB7">
      <w:pPr>
        <w:spacing w:line="360" w:lineRule="auto"/>
        <w:jc w:val="both"/>
      </w:pPr>
      <w:r>
        <w:t>Although WorkForce Planning (</w:t>
      </w:r>
      <w:r>
        <w:t>WFP) is more of an analytical and administration task it has benefits to the workplace culture when applied correctly. As the process of analysing the workforce, WFP can assist HR teams to know the current skills of their teams and in turn, identify any ga</w:t>
      </w:r>
      <w:r>
        <w:t>ps in talent and when these gaps are filled by either external recruitment or internal movement/promotion it has a knock-on effect to the organisation to becoming more productive and therefore allowing teams to work smarter and not harder (CIPD, 2019b). Al</w:t>
      </w:r>
      <w:r>
        <w:t>so, there can be a need to introduce new work-life balance initiatives from WFP as there may be discrepancies with a balance in the workforce.</w:t>
      </w:r>
    </w:p>
    <w:p w14:paraId="05CF79AA" w14:textId="77777777" w:rsidR="00FF3942" w:rsidRDefault="00FF3942">
      <w:pPr>
        <w:spacing w:line="360" w:lineRule="auto"/>
        <w:jc w:val="both"/>
      </w:pPr>
    </w:p>
    <w:p w14:paraId="05CF79AB" w14:textId="77777777" w:rsidR="00FF3942" w:rsidRDefault="00FF3942">
      <w:pPr>
        <w:spacing w:line="360" w:lineRule="auto"/>
        <w:jc w:val="both"/>
      </w:pPr>
    </w:p>
    <w:p w14:paraId="05CF79AC" w14:textId="77777777" w:rsidR="00FF3942" w:rsidRDefault="00216AB7">
      <w:pPr>
        <w:jc w:val="both"/>
        <w:rPr>
          <w:b/>
          <w:bCs/>
          <w:u w:val="single"/>
        </w:rPr>
      </w:pPr>
      <w:r>
        <w:rPr>
          <w:b/>
          <w:bCs/>
          <w:u w:val="single"/>
        </w:rPr>
        <w:t xml:space="preserve">Section 2 </w:t>
      </w:r>
    </w:p>
    <w:p w14:paraId="05CF79AD" w14:textId="77777777" w:rsidR="00FF3942" w:rsidRDefault="00216AB7">
      <w:pPr>
        <w:jc w:val="both"/>
        <w:rPr>
          <w:b/>
          <w:bCs/>
        </w:rPr>
      </w:pPr>
      <w:r>
        <w:rPr>
          <w:b/>
          <w:bCs/>
        </w:rPr>
        <w:t xml:space="preserve">2.1 </w:t>
      </w:r>
    </w:p>
    <w:p w14:paraId="05CF79AE" w14:textId="77777777" w:rsidR="00FF3942" w:rsidRDefault="00216AB7">
      <w:pPr>
        <w:spacing w:after="200" w:line="276" w:lineRule="auto"/>
      </w:pPr>
      <w:r>
        <w:rPr>
          <w:b/>
          <w:bCs/>
        </w:rPr>
        <w:t>b. L</w:t>
      </w:r>
      <w:r>
        <w:rPr>
          <w:b/>
          <w:bCs/>
          <w:szCs w:val="24"/>
        </w:rPr>
        <w:t>ucy Adams criticises the HR profession in her book ‘</w:t>
      </w:r>
      <w:r>
        <w:rPr>
          <w:b/>
          <w:bCs/>
          <w:i/>
          <w:szCs w:val="24"/>
        </w:rPr>
        <w:t>HR Disrupted, It’s time for something d</w:t>
      </w:r>
      <w:r>
        <w:rPr>
          <w:b/>
          <w:bCs/>
          <w:i/>
          <w:szCs w:val="24"/>
        </w:rPr>
        <w:t>ifferent</w:t>
      </w:r>
      <w:r>
        <w:rPr>
          <w:b/>
          <w:bCs/>
          <w:szCs w:val="24"/>
        </w:rPr>
        <w:t xml:space="preserve">’ (Adams, 2017).  Drawing on relevant literature discuss whether the HR profession has gained credibility in the last five years, or whether it is losing ground as an executive member around the boardroom table.  Put forward suggestions for </w:t>
      </w:r>
      <w:r>
        <w:rPr>
          <w:b/>
          <w:bCs/>
          <w:szCs w:val="24"/>
        </w:rPr>
        <w:t>improvement taking into consideration different sectors and sized organisations.</w:t>
      </w:r>
    </w:p>
    <w:p w14:paraId="05CF79AF" w14:textId="77777777" w:rsidR="00FF3942" w:rsidRDefault="00216AB7">
      <w:pPr>
        <w:spacing w:after="200" w:line="360" w:lineRule="auto"/>
        <w:rPr>
          <w:szCs w:val="24"/>
        </w:rPr>
      </w:pPr>
      <w:r>
        <w:rPr>
          <w:szCs w:val="24"/>
        </w:rPr>
        <w:t>Supporting the relevant literature of Adams (2017), Fletcher and Spehrer-Patrick (2016) argue that although a relationship between HR and executives need to be upheld and main</w:t>
      </w:r>
      <w:r>
        <w:rPr>
          <w:szCs w:val="24"/>
        </w:rPr>
        <w:t>tained there is an ongoing need for development, due to globalisation and technology. However, HR teams are argued to not be doing enough for the upkeep of learning and development with these topics. HSBC Contact Centre division, one of which is based in L</w:t>
      </w:r>
      <w:r>
        <w:rPr>
          <w:szCs w:val="24"/>
        </w:rPr>
        <w:t>lamsamlet with approximately 750 employees, Swansea has an online HR presence called HR Direct; main administrative tasks are sent to a centralised shared-services team in Birmingham however with the demise of HR teams based in the contact centre itself, t</w:t>
      </w:r>
      <w:r>
        <w:rPr>
          <w:szCs w:val="24"/>
        </w:rPr>
        <w:t>he human element of the HR team has been left to the management. Management within this division also has the responsibility of recruitment for their teams and with little or no training it can lead to the high cost of poor-quality recruitment and increase</w:t>
      </w:r>
      <w:r>
        <w:rPr>
          <w:szCs w:val="24"/>
        </w:rPr>
        <w:t xml:space="preserve">d risk of litigation (Cappelli, 2015). Although fifteen years ago HR was described at the caring, courageous, competent and curious employees it is not argued that the HR model as a whole is outdating itself when it is not keeping up with the developments </w:t>
      </w:r>
      <w:r>
        <w:rPr>
          <w:szCs w:val="24"/>
        </w:rPr>
        <w:t xml:space="preserve">in the workplace and poses the question if HR was designed now would it be to retain, redevelop and engage employees as opposed to replacing the ones who are counter-productive to an organisation’s success (Meisinger, 2005 and Stan and Goodwin, 2020). </w:t>
      </w:r>
    </w:p>
    <w:p w14:paraId="05CF79B0" w14:textId="77777777" w:rsidR="00FF3942" w:rsidRDefault="00216AB7">
      <w:pPr>
        <w:spacing w:after="200" w:line="360" w:lineRule="auto"/>
        <w:rPr>
          <w:szCs w:val="24"/>
        </w:rPr>
      </w:pPr>
      <w:r>
        <w:rPr>
          <w:szCs w:val="24"/>
        </w:rPr>
        <w:t xml:space="preserve">A </w:t>
      </w:r>
      <w:r>
        <w:rPr>
          <w:szCs w:val="24"/>
        </w:rPr>
        <w:t>suggestion for organisations of all sizes, profits and both private and public sectors would be to firstly, redevelop their leaders with an emphasis on attributes such as increased empathy and become more of a positive enabler to better prepare them to red</w:t>
      </w:r>
      <w:r>
        <w:rPr>
          <w:szCs w:val="24"/>
        </w:rPr>
        <w:t>evelop the workforce. Williams (2020) describes a part of HR teams as the ‘reactors’ and this is the reactive part of assurance that the workforce is following policies and compliance, however, this responsibility, with the right training, can be argued to</w:t>
      </w:r>
      <w:r>
        <w:rPr>
          <w:szCs w:val="24"/>
        </w:rPr>
        <w:t xml:space="preserve"> be passed on to general workforce team managers. The notion nowadays that promoting within, reskilling and developing the current workforce are break-through trends and with the right leadership, there should be no failure for an organisation to save mone</w:t>
      </w:r>
      <w:r>
        <w:rPr>
          <w:szCs w:val="24"/>
        </w:rPr>
        <w:t>y, increase the reputation and uplift the current workforce to adhere to all generational needs and requirements (Gratton et al, 2019).  Although, as described above, HSBC has moved to HR Direct, the mandatory learnings that all staff must complete for com</w:t>
      </w:r>
      <w:r>
        <w:rPr>
          <w:szCs w:val="24"/>
        </w:rPr>
        <w:t xml:space="preserve">pliance are also available online and with this digital transformation, there is still a requirement for HR operations to work with relevant departments to </w:t>
      </w:r>
      <w:r>
        <w:rPr>
          <w:szCs w:val="24"/>
        </w:rPr>
        <w:lastRenderedPageBreak/>
        <w:t>create the e-learning and provide quality input to how to deliver such pieces of training, even if i</w:t>
      </w:r>
      <w:r>
        <w:rPr>
          <w:szCs w:val="24"/>
        </w:rPr>
        <w:t xml:space="preserve">n a digital format thus making traditional human-based classroom training redundant (Jones, 2018). </w:t>
      </w:r>
    </w:p>
    <w:p w14:paraId="05CF79B1" w14:textId="77777777" w:rsidR="00FF3942" w:rsidRDefault="00216AB7">
      <w:pPr>
        <w:spacing w:after="200" w:line="360" w:lineRule="auto"/>
        <w:rPr>
          <w:szCs w:val="24"/>
        </w:rPr>
      </w:pPr>
      <w:r>
        <w:rPr>
          <w:szCs w:val="24"/>
        </w:rPr>
        <w:t xml:space="preserve">For HR to keep with the modern world it needs to develop tactfully to be able to place its organisation strategic and planning operations to digital skills </w:t>
      </w:r>
      <w:r>
        <w:rPr>
          <w:szCs w:val="24"/>
        </w:rPr>
        <w:t>as well as the learning, education and development of employees, therefore, HR needs to have a digital system in place to monitor the analytics of the workforce utilising surveys that provide quantitative data of anything from the workforce’s talent gaps t</w:t>
      </w:r>
      <w:r>
        <w:rPr>
          <w:szCs w:val="24"/>
        </w:rPr>
        <w:t xml:space="preserve">o their engagement and happiness (Rees and French, 2016; Williams, 2020). </w:t>
      </w:r>
    </w:p>
    <w:p w14:paraId="05CF79B2" w14:textId="77777777" w:rsidR="00FF3942" w:rsidRDefault="00FF3942">
      <w:pPr>
        <w:jc w:val="both"/>
        <w:rPr>
          <w:b/>
          <w:bCs/>
        </w:rPr>
      </w:pPr>
    </w:p>
    <w:p w14:paraId="05CF79B3" w14:textId="77777777" w:rsidR="00FF3942" w:rsidRDefault="00216AB7">
      <w:pPr>
        <w:jc w:val="both"/>
        <w:rPr>
          <w:b/>
          <w:bCs/>
        </w:rPr>
      </w:pPr>
      <w:r>
        <w:rPr>
          <w:b/>
          <w:bCs/>
        </w:rPr>
        <w:t xml:space="preserve">2.2 </w:t>
      </w:r>
    </w:p>
    <w:p w14:paraId="05CF79B4" w14:textId="77777777" w:rsidR="00FF3942" w:rsidRDefault="00216AB7">
      <w:pPr>
        <w:spacing w:after="200" w:line="276" w:lineRule="auto"/>
        <w:rPr>
          <w:b/>
          <w:bCs/>
          <w:szCs w:val="24"/>
        </w:rPr>
      </w:pPr>
      <w:r>
        <w:rPr>
          <w:b/>
          <w:bCs/>
          <w:szCs w:val="24"/>
        </w:rPr>
        <w:t>a. Milton (Friedman, 1970) believed making as much money as possible is a company’s only legitimate goal.  One of Google’s core values, being ‘you can make money without doing</w:t>
      </w:r>
      <w:r>
        <w:rPr>
          <w:b/>
          <w:bCs/>
          <w:szCs w:val="24"/>
        </w:rPr>
        <w:t xml:space="preserve"> evil’ (Bock, 2016) takes a broader perspective.  Drawing on relevant literature discuss the ethical pitfalls of a purely capitalist approach in the current business climate.  Put forward examples of progressive organisations who are setting the standard f</w:t>
      </w:r>
      <w:r>
        <w:rPr>
          <w:b/>
          <w:bCs/>
          <w:szCs w:val="24"/>
        </w:rPr>
        <w:t>or ethical best practice.</w:t>
      </w:r>
    </w:p>
    <w:p w14:paraId="05CF79B5" w14:textId="77777777" w:rsidR="00FF3942" w:rsidRDefault="00216AB7">
      <w:pPr>
        <w:spacing w:after="200" w:line="360" w:lineRule="auto"/>
        <w:rPr>
          <w:szCs w:val="24"/>
        </w:rPr>
      </w:pPr>
      <w:r>
        <w:rPr>
          <w:szCs w:val="24"/>
        </w:rPr>
        <w:t>Leadership should be knowledgeable to know when and where to spend money when it comes to ethics because to have a company with a high achieving operational base will, in turn, provide a better culture. Most of the time it will no</w:t>
      </w:r>
      <w:r>
        <w:rPr>
          <w:szCs w:val="24"/>
        </w:rPr>
        <w:t xml:space="preserve">t be the people of the workplace that are toxic but rather the culture of the workplace these capitalist approach organisations create by not spending money on and noticing their people rather than just gloating about their profits (Gino, 2018). </w:t>
      </w:r>
    </w:p>
    <w:p w14:paraId="05CF79B6" w14:textId="77777777" w:rsidR="00FF3942" w:rsidRDefault="00216AB7">
      <w:pPr>
        <w:spacing w:after="200" w:line="360" w:lineRule="auto"/>
        <w:rPr>
          <w:szCs w:val="24"/>
        </w:rPr>
      </w:pPr>
      <w:r>
        <w:rPr>
          <w:szCs w:val="24"/>
        </w:rPr>
        <w:t>Practisin</w:t>
      </w:r>
      <w:r>
        <w:rPr>
          <w:szCs w:val="24"/>
        </w:rPr>
        <w:t xml:space="preserve">g what the organisation preach in terms of ethical practice is optimal with regards to values such as no tolerance of bullying and compliance to the law; when management and organisations are found not adhering to these policies it can harm the reputation </w:t>
      </w:r>
      <w:r>
        <w:rPr>
          <w:szCs w:val="24"/>
        </w:rPr>
        <w:t xml:space="preserve">of the business, not just to the public eye but also create a decrease in the workforce morale internally (CIPD, 2020). </w:t>
      </w:r>
    </w:p>
    <w:p w14:paraId="05CF79B7" w14:textId="77777777" w:rsidR="00FF3942" w:rsidRDefault="00216AB7">
      <w:pPr>
        <w:spacing w:after="200" w:line="360" w:lineRule="auto"/>
        <w:rPr>
          <w:szCs w:val="24"/>
        </w:rPr>
      </w:pPr>
      <w:r>
        <w:rPr>
          <w:szCs w:val="24"/>
        </w:rPr>
        <w:t>An ethical culture should be a key element to all organisations internationally, although not always the case. To ensure full ethical s</w:t>
      </w:r>
      <w:r>
        <w:rPr>
          <w:szCs w:val="24"/>
        </w:rPr>
        <w:t>tance to influence the culture, leadership should be leading by example; ensuring they are transparent of communication with all employees, ensure training is embedded to avoid bias and promote fairness, ensure expectations and targets are achievable and n</w:t>
      </w:r>
      <w:r>
        <w:rPr>
          <w:szCs w:val="24"/>
        </w:rPr>
        <w:t>ot pushing the barriers of challenging (Hill, 2020). The type of progressive organisation should be nurturing a culture that displays a coherent difference between compliance and ethics and adhering to both simultaneously; also, there should be a shared re</w:t>
      </w:r>
      <w:r>
        <w:rPr>
          <w:szCs w:val="24"/>
        </w:rPr>
        <w:t xml:space="preserve">sponsibility throughout the business. Ethics should be the behaviours an organisation displays through daily conduct compared to the compliance of policy and procedures set out for adherence with no excuses. Gatenby (2020) stated that organisations should </w:t>
      </w:r>
      <w:r>
        <w:rPr>
          <w:szCs w:val="24"/>
        </w:rPr>
        <w:t xml:space="preserve">be looking to follow in the footsteps of organisations such as General Motors to redefine strategy to care for all of the stakeholders and not just the primary shareholders as a step towards sustainable capitalism. </w:t>
      </w:r>
    </w:p>
    <w:p w14:paraId="05CF79B8" w14:textId="77777777" w:rsidR="00FF3942" w:rsidRDefault="00216AB7">
      <w:pPr>
        <w:spacing w:after="200" w:line="360" w:lineRule="auto"/>
        <w:rPr>
          <w:szCs w:val="24"/>
        </w:rPr>
      </w:pPr>
      <w:r>
        <w:rPr>
          <w:szCs w:val="24"/>
        </w:rPr>
        <w:lastRenderedPageBreak/>
        <w:t>The best situation and progressive compa</w:t>
      </w:r>
      <w:r>
        <w:rPr>
          <w:szCs w:val="24"/>
        </w:rPr>
        <w:t>ny would be one with no reputational risk through no bullying in the workplace to no bias and full compliance with policies, procedures and laws; however, from a different perspective of a progressive ethical company is that of Lush body products. Lush has</w:t>
      </w:r>
      <w:r>
        <w:rPr>
          <w:szCs w:val="24"/>
        </w:rPr>
        <w:t xml:space="preserve"> a distinctive smell which is noticeable the minute you step foot on the local high street and as they refuse to test on animals this has become a pioneer of ethics. Staff want to work for them as they hold the same values and want to conduct the operation</w:t>
      </w:r>
      <w:r>
        <w:rPr>
          <w:szCs w:val="24"/>
        </w:rPr>
        <w:t xml:space="preserve"> and this shines through in their sale and customer service techniques; the staff there are happy to sell you the product, not for a commission type of role but for a proud stance on the company they represent. This is the type of ethics that speaks volume</w:t>
      </w:r>
      <w:r>
        <w:rPr>
          <w:szCs w:val="24"/>
        </w:rPr>
        <w:t xml:space="preserve">s in profitability from creating a culture the staff want to be behind as they all believe in the same thing – the product the company is built upon (Hunt, 2019). </w:t>
      </w:r>
    </w:p>
    <w:p w14:paraId="05CF79B9" w14:textId="77777777" w:rsidR="00FF3942" w:rsidRDefault="00FF3942">
      <w:pPr>
        <w:spacing w:after="200" w:line="276" w:lineRule="auto"/>
        <w:rPr>
          <w:szCs w:val="24"/>
        </w:rPr>
      </w:pPr>
    </w:p>
    <w:p w14:paraId="05CF79BA" w14:textId="77777777" w:rsidR="00FF3942" w:rsidRDefault="00216AB7">
      <w:pPr>
        <w:jc w:val="both"/>
        <w:rPr>
          <w:b/>
          <w:bCs/>
        </w:rPr>
      </w:pPr>
      <w:r>
        <w:rPr>
          <w:b/>
          <w:bCs/>
        </w:rPr>
        <w:t>2.3</w:t>
      </w:r>
    </w:p>
    <w:p w14:paraId="05CF79BB" w14:textId="77777777" w:rsidR="00FF3942" w:rsidRDefault="00216AB7">
      <w:pPr>
        <w:spacing w:after="200" w:line="276" w:lineRule="auto"/>
        <w:rPr>
          <w:b/>
          <w:bCs/>
          <w:szCs w:val="24"/>
        </w:rPr>
      </w:pPr>
      <w:r>
        <w:rPr>
          <w:b/>
          <w:bCs/>
          <w:szCs w:val="24"/>
        </w:rPr>
        <w:t>a. Drawing on relevant literature discuss the contrast of traditional command and contr</w:t>
      </w:r>
      <w:r>
        <w:rPr>
          <w:b/>
          <w:bCs/>
          <w:szCs w:val="24"/>
        </w:rPr>
        <w:t xml:space="preserve">ol leadership models such as ‘position power’ (French and Raven, 1968) and contemporary distributed leadership theories as purported by Bolden (2011).  Provide examples of such leadership theories utilised in practice and put forward your viewpoint on the </w:t>
      </w:r>
      <w:r>
        <w:rPr>
          <w:b/>
          <w:bCs/>
          <w:szCs w:val="24"/>
        </w:rPr>
        <w:t>merits of the same.</w:t>
      </w:r>
    </w:p>
    <w:p w14:paraId="05CF79BC" w14:textId="77777777" w:rsidR="00FF3942" w:rsidRDefault="00216AB7">
      <w:pPr>
        <w:spacing w:after="200" w:line="360" w:lineRule="auto"/>
        <w:rPr>
          <w:szCs w:val="24"/>
        </w:rPr>
      </w:pPr>
      <w:r>
        <w:rPr>
          <w:szCs w:val="24"/>
        </w:rPr>
        <w:t xml:space="preserve">All organisations are different in terms of Bolden’s theory of distributed leadership; some CEO’s like to maintain a stance of power and informative approach to distributing the strategic approach, however, more organisations prefer to </w:t>
      </w:r>
      <w:r>
        <w:rPr>
          <w:szCs w:val="24"/>
        </w:rPr>
        <w:t>have all aspects of the business involved in the leadership and thus Bolden’s model is more applicable as there will be more influence, interaction and discussions of the organisations’ operations and change within. However, on a contrast, distributed lead</w:t>
      </w:r>
      <w:r>
        <w:rPr>
          <w:szCs w:val="24"/>
        </w:rPr>
        <w:t xml:space="preserve">ership can leave too much emphasis on management perceived level of importance and in turn slow down decision making as there can be blurred lines to the final decision maker and potentially too many options of choice. </w:t>
      </w:r>
    </w:p>
    <w:p w14:paraId="05CF79BD" w14:textId="77777777" w:rsidR="00FF3942" w:rsidRDefault="00216AB7">
      <w:pPr>
        <w:spacing w:after="200" w:line="360" w:lineRule="auto"/>
        <w:rPr>
          <w:szCs w:val="24"/>
        </w:rPr>
      </w:pPr>
      <w:r>
        <w:rPr>
          <w:szCs w:val="24"/>
        </w:rPr>
        <w:t>Leadership is an influence of the so</w:t>
      </w:r>
      <w:r>
        <w:rPr>
          <w:szCs w:val="24"/>
        </w:rPr>
        <w:t>cial aspect within a workplace and the principles of leadership transpire to the seek the participation, voluntarily, to all work towards the organisation’s strategic objectives. Although leadership styles can have an impact on the path to the strategic go</w:t>
      </w:r>
      <w:r>
        <w:rPr>
          <w:szCs w:val="24"/>
        </w:rPr>
        <w:t>als for the workplace but also can vary from person to person and between extroverts and introverts different employees will thrive with a personalised approach to the type of management that suits them, however, for most modern-day organisations this is u</w:t>
      </w:r>
      <w:r>
        <w:rPr>
          <w:szCs w:val="24"/>
        </w:rPr>
        <w:t xml:space="preserve">nobtainable to adhere to all personality styles. From transformational to transactional to authoritative leadership styles all will provide their own merits to an organisation at different times (Nanjundeswaraswamy and Swamy, (2014). </w:t>
      </w:r>
    </w:p>
    <w:p w14:paraId="05CF79BE" w14:textId="77777777" w:rsidR="00FF3942" w:rsidRDefault="00216AB7">
      <w:pPr>
        <w:spacing w:after="200" w:line="360" w:lineRule="auto"/>
        <w:rPr>
          <w:szCs w:val="24"/>
        </w:rPr>
      </w:pPr>
      <w:r>
        <w:rPr>
          <w:szCs w:val="24"/>
        </w:rPr>
        <w:t>There is also the arg</w:t>
      </w:r>
      <w:r>
        <w:rPr>
          <w:szCs w:val="24"/>
        </w:rPr>
        <w:t>ument for more skills in terms of an e-leadership; due to the nature of more companies using remote access and aspects such as Zoom, and Microsoft Teams people are more alone in their workplaces. One such aspect should be the increased development of writt</w:t>
      </w:r>
      <w:r>
        <w:rPr>
          <w:szCs w:val="24"/>
        </w:rPr>
        <w:t xml:space="preserve">en and </w:t>
      </w:r>
      <w:r>
        <w:rPr>
          <w:szCs w:val="24"/>
        </w:rPr>
        <w:lastRenderedPageBreak/>
        <w:t>spoken communication skills due to the lack of body language to be perceived and ensure leadership are communicating effectively (Rees and French, 2016). With the world developing every day at such a speed organisation’s should always look to either</w:t>
      </w:r>
      <w:r>
        <w:rPr>
          <w:szCs w:val="24"/>
        </w:rPr>
        <w:t xml:space="preserve"> hire someone with a transformational leadership style; this person would be adaptive to change in the workplace and have a positive impact on the influence of development and change on the workforce. </w:t>
      </w:r>
    </w:p>
    <w:p w14:paraId="05CF79BF" w14:textId="77777777" w:rsidR="00FF3942" w:rsidRDefault="00216AB7">
      <w:pPr>
        <w:spacing w:after="200" w:line="360" w:lineRule="auto"/>
        <w:rPr>
          <w:szCs w:val="24"/>
        </w:rPr>
      </w:pPr>
      <w:r>
        <w:rPr>
          <w:szCs w:val="24"/>
        </w:rPr>
        <w:t>Where performance and goals are an organisation’s stra</w:t>
      </w:r>
      <w:r>
        <w:rPr>
          <w:szCs w:val="24"/>
        </w:rPr>
        <w:t xml:space="preserve">tegic approach there would be merit towards the transactional types of leadership; to understand the exchange between the product and the service and deliver that whilst ensure the team are on the correct path would provide satisfaction. </w:t>
      </w:r>
    </w:p>
    <w:p w14:paraId="05CF79C0" w14:textId="77777777" w:rsidR="00FF3942" w:rsidRDefault="00216AB7">
      <w:pPr>
        <w:spacing w:after="200" w:line="360" w:lineRule="auto"/>
        <w:rPr>
          <w:szCs w:val="24"/>
        </w:rPr>
      </w:pPr>
      <w:r>
        <w:rPr>
          <w:szCs w:val="24"/>
        </w:rPr>
        <w:t>De Vita recalls t</w:t>
      </w:r>
      <w:r>
        <w:rPr>
          <w:szCs w:val="24"/>
        </w:rPr>
        <w:t xml:space="preserve">he words of Satya Nadella’s innovation that leadership into the future requires empathy; an approach that will automatically change a normal organisation culture into an invested one; and instead of management not listening enough, communicating back well </w:t>
      </w:r>
      <w:r>
        <w:rPr>
          <w:szCs w:val="24"/>
        </w:rPr>
        <w:t>and acting like they know everything better than their employee’s – they should actively support and encourage learning and share what they learn (De Vita, 2018; Minnaar and De Morree, 2019). The leadership of the future need not forget the old cliché that</w:t>
      </w:r>
      <w:r>
        <w:rPr>
          <w:szCs w:val="24"/>
        </w:rPr>
        <w:t xml:space="preserve"> when you smile; the world smiles with you and to carry this culture through their work into the influence and environment for their employees; remember to manage themselves as managers and not just employees to ensure their state of mind is happy in their</w:t>
      </w:r>
      <w:r>
        <w:rPr>
          <w:szCs w:val="24"/>
        </w:rPr>
        <w:t xml:space="preserve"> place of work and this, in turn, carries the culture like waves of electricity through the workplace (Goleman, Boyatzis and McKee, 2001). </w:t>
      </w:r>
    </w:p>
    <w:p w14:paraId="05CF79C1" w14:textId="77777777" w:rsidR="00FF3942" w:rsidRDefault="00FF3942">
      <w:pPr>
        <w:jc w:val="both"/>
        <w:rPr>
          <w:b/>
          <w:bCs/>
        </w:rPr>
      </w:pPr>
    </w:p>
    <w:p w14:paraId="05CF79C2" w14:textId="77777777" w:rsidR="00FF3942" w:rsidRDefault="00216AB7">
      <w:pPr>
        <w:jc w:val="both"/>
        <w:rPr>
          <w:b/>
          <w:bCs/>
        </w:rPr>
      </w:pPr>
      <w:r>
        <w:rPr>
          <w:b/>
          <w:bCs/>
        </w:rPr>
        <w:t xml:space="preserve">2.4 </w:t>
      </w:r>
    </w:p>
    <w:p w14:paraId="05CF79C3" w14:textId="77777777" w:rsidR="00FF3942" w:rsidRDefault="00216AB7">
      <w:pPr>
        <w:spacing w:after="200" w:line="276" w:lineRule="auto"/>
      </w:pPr>
      <w:r>
        <w:rPr>
          <w:b/>
          <w:bCs/>
          <w:szCs w:val="24"/>
        </w:rPr>
        <w:t xml:space="preserve">b. An article in the </w:t>
      </w:r>
      <w:r>
        <w:rPr>
          <w:b/>
          <w:bCs/>
          <w:i/>
          <w:szCs w:val="24"/>
        </w:rPr>
        <w:t>Independent</w:t>
      </w:r>
      <w:r>
        <w:rPr>
          <w:b/>
          <w:bCs/>
          <w:szCs w:val="24"/>
        </w:rPr>
        <w:t xml:space="preserve"> tabloid (2018) stated that four in ten people in Britain now run at least one</w:t>
      </w:r>
      <w:r>
        <w:rPr>
          <w:b/>
          <w:bCs/>
          <w:szCs w:val="24"/>
        </w:rPr>
        <w:t xml:space="preserve"> business alongside their primary job.  According to research conducted at Henley Business School, the number of Brits launching additional careers – dubbed ‘side hustles’ - is set to increase to half the population by 2030.  In what other ways have the wo</w:t>
      </w:r>
      <w:r>
        <w:rPr>
          <w:b/>
          <w:bCs/>
          <w:szCs w:val="24"/>
        </w:rPr>
        <w:t>rkforce morphed in to a more flexible and dynamic workforce nationally? Draw on relevant research to support your views on current and future drivers for flexible working.</w:t>
      </w:r>
    </w:p>
    <w:p w14:paraId="05CF79C4" w14:textId="77777777" w:rsidR="00FF3942" w:rsidRDefault="00216AB7">
      <w:pPr>
        <w:spacing w:after="200" w:line="360" w:lineRule="auto"/>
        <w:rPr>
          <w:szCs w:val="24"/>
        </w:rPr>
      </w:pPr>
      <w:r>
        <w:rPr>
          <w:szCs w:val="24"/>
        </w:rPr>
        <w:t>The most current, significant, and changing driver for flexible working is the pande</w:t>
      </w:r>
      <w:r>
        <w:rPr>
          <w:szCs w:val="24"/>
        </w:rPr>
        <w:t>mic of Covid-19. During the end of March and beginning of April organisations all through the UK had to completely change their way of working. HSBC’s contact centre division which consists of 3000 employees and approximately 750 in the Swansea Contact Cen</w:t>
      </w:r>
      <w:r>
        <w:rPr>
          <w:szCs w:val="24"/>
        </w:rPr>
        <w:t>tre had 96% of the contact centre working from home with all the necessary equipment by the end of the first week of April. Working from home was an aspect of flexible working that for one department, the International Banking Centre (IBC) was never consid</w:t>
      </w:r>
      <w:r>
        <w:rPr>
          <w:szCs w:val="24"/>
        </w:rPr>
        <w:t>ered due to the complexity of the customer enquiries dealt with via the inbound telephone line. Flexible working has also been a massive consideration for management due to childcare and with best practice developments of best practice management have urge</w:t>
      </w:r>
      <w:r>
        <w:rPr>
          <w:szCs w:val="24"/>
        </w:rPr>
        <w:t xml:space="preserve">d staff not to </w:t>
      </w:r>
      <w:r>
        <w:rPr>
          <w:szCs w:val="24"/>
        </w:rPr>
        <w:lastRenderedPageBreak/>
        <w:t>leave their children alone and allowed hours to be flexible or decreased due to these effects. However, team management can be questioned on their conduct during this time they had to adapt to life completely working from home also. Compared</w:t>
      </w:r>
      <w:r>
        <w:rPr>
          <w:szCs w:val="24"/>
        </w:rPr>
        <w:t xml:space="preserve"> to a competitor bank Barclays, who have already declared the working from home aspect to become even more of a norm when life returns to normal. The shift to this new flexible working norm has been questioned after a survey showed 45% of workers want more</w:t>
      </w:r>
      <w:r>
        <w:rPr>
          <w:szCs w:val="24"/>
        </w:rPr>
        <w:t xml:space="preserve"> flexibility after this pandemic and its lockdown restrictions are released (Faragher, 2020 and Baska, 2020). On the contrast, the CIPD’s UK Working Lives report showed that it is more common with employees that were working from home back in 2019 that the</w:t>
      </w:r>
      <w:r>
        <w:rPr>
          <w:szCs w:val="24"/>
        </w:rPr>
        <w:t xml:space="preserve"> boundaries between work and home life are blurred and therefore, should be an aspect to be monitored and measured by the HR teams (CIPD, 2019a)</w:t>
      </w:r>
    </w:p>
    <w:p w14:paraId="05CF79C5" w14:textId="77777777" w:rsidR="00FF3942" w:rsidRDefault="00216AB7">
      <w:pPr>
        <w:spacing w:after="200" w:line="360" w:lineRule="auto"/>
        <w:rPr>
          <w:szCs w:val="24"/>
        </w:rPr>
      </w:pPr>
      <w:r>
        <w:rPr>
          <w:szCs w:val="24"/>
        </w:rPr>
        <w:t>The Employment Rights Act 1996 was updated on 30 June 2014 to confirm that an employee has the right to request</w:t>
      </w:r>
      <w:r>
        <w:rPr>
          <w:szCs w:val="24"/>
        </w:rPr>
        <w:t xml:space="preserve"> for flexible working once every 12 months if they wish to do without reason and the ACAS Code of Conduct sets out guidelines for organisations to consider the request and the employee’s right to challenge this if it is declined (ACAS, 2014). Although, whe</w:t>
      </w:r>
      <w:r>
        <w:rPr>
          <w:szCs w:val="24"/>
        </w:rPr>
        <w:t>re organisations work with a fixed amount of people required to be on a job as a time e.g. construction or call centre environment there would be reasonable grounds to decline depending on the headcount, however, leadership should always ensure they have t</w:t>
      </w:r>
      <w:r>
        <w:rPr>
          <w:szCs w:val="24"/>
        </w:rPr>
        <w:t>heir grounds of decline proved with the relevant organisation as these requests can be challenged by hearing. HR teams should ensure leadership are not just saying no because they can and to talk them through precautions, if relevant. Leadership should alw</w:t>
      </w:r>
      <w:r>
        <w:rPr>
          <w:szCs w:val="24"/>
        </w:rPr>
        <w:t>ays accommodate flexible working where possible as studies have found that it does have a direct impact on employee’s motivation and engagement and creates an all-round impact towards the culture and therefore better thriving to achieving the strategic obj</w:t>
      </w:r>
      <w:r>
        <w:rPr>
          <w:szCs w:val="24"/>
        </w:rPr>
        <w:t xml:space="preserve">ectives of the organisation (Setiyani et al, 2019). </w:t>
      </w:r>
    </w:p>
    <w:p w14:paraId="05CF79C6" w14:textId="77777777" w:rsidR="00FF3942" w:rsidRDefault="00FF3942">
      <w:pPr>
        <w:spacing w:after="200" w:line="276" w:lineRule="auto"/>
        <w:rPr>
          <w:szCs w:val="24"/>
        </w:rPr>
      </w:pPr>
    </w:p>
    <w:p w14:paraId="05CF79C7" w14:textId="77777777" w:rsidR="00FF3942" w:rsidRDefault="00FF3942">
      <w:pPr>
        <w:spacing w:after="200" w:line="276" w:lineRule="auto"/>
        <w:rPr>
          <w:szCs w:val="24"/>
        </w:rPr>
      </w:pPr>
    </w:p>
    <w:p w14:paraId="05CF79C8" w14:textId="77777777" w:rsidR="00FF3942" w:rsidRDefault="00FF3942">
      <w:pPr>
        <w:spacing w:after="200" w:line="276" w:lineRule="auto"/>
        <w:rPr>
          <w:szCs w:val="24"/>
        </w:rPr>
      </w:pPr>
    </w:p>
    <w:p w14:paraId="05CF79C9" w14:textId="77777777" w:rsidR="00FF3942" w:rsidRDefault="00FF3942">
      <w:pPr>
        <w:jc w:val="both"/>
        <w:rPr>
          <w:b/>
          <w:bCs/>
        </w:rPr>
      </w:pPr>
    </w:p>
    <w:p w14:paraId="05CF79CA" w14:textId="77777777" w:rsidR="00FF3942" w:rsidRDefault="00FF3942">
      <w:pPr>
        <w:pageBreakBefore/>
        <w:suppressAutoHyphens w:val="0"/>
      </w:pPr>
    </w:p>
    <w:p w14:paraId="05CF79CB" w14:textId="77777777" w:rsidR="00FF3942" w:rsidRDefault="00216AB7">
      <w:pPr>
        <w:rPr>
          <w:b/>
          <w:bCs/>
        </w:rPr>
      </w:pPr>
      <w:r>
        <w:rPr>
          <w:b/>
          <w:bCs/>
        </w:rPr>
        <w:t>References</w:t>
      </w:r>
    </w:p>
    <w:p w14:paraId="05CF79CC" w14:textId="77777777" w:rsidR="00FF3942" w:rsidRDefault="00216AB7">
      <w:pPr>
        <w:pStyle w:val="ListParagraph"/>
        <w:numPr>
          <w:ilvl w:val="0"/>
          <w:numId w:val="2"/>
        </w:numPr>
        <w:spacing w:after="200"/>
      </w:pPr>
      <w:r>
        <w:rPr>
          <w:szCs w:val="24"/>
        </w:rPr>
        <w:t xml:space="preserve">ACAS. (2014) </w:t>
      </w:r>
      <w:r>
        <w:rPr>
          <w:i/>
          <w:iCs/>
          <w:szCs w:val="24"/>
        </w:rPr>
        <w:t>Code of Practice on handling in a reasonable manner requests to work flexibly.</w:t>
      </w:r>
      <w:r>
        <w:rPr>
          <w:szCs w:val="24"/>
        </w:rPr>
        <w:t xml:space="preserve"> Available at: </w:t>
      </w:r>
      <w:hyperlink r:id="rId7" w:history="1">
        <w:r>
          <w:rPr>
            <w:rStyle w:val="Hyperlink"/>
            <w:color w:val="auto"/>
          </w:rPr>
          <w:t>https://www.acas.org.uk/acas-code-of-practice-on-flexible-working-requests/html#introduction</w:t>
        </w:r>
      </w:hyperlink>
      <w:r>
        <w:t xml:space="preserve"> (Accessed: 20 May 2020). </w:t>
      </w:r>
    </w:p>
    <w:p w14:paraId="05CF79CD" w14:textId="77777777" w:rsidR="00FF3942" w:rsidRDefault="00216AB7">
      <w:pPr>
        <w:pStyle w:val="ListParagraph"/>
        <w:numPr>
          <w:ilvl w:val="0"/>
          <w:numId w:val="2"/>
        </w:numPr>
      </w:pPr>
      <w:r>
        <w:rPr>
          <w:rFonts w:cs="Calibri"/>
        </w:rPr>
        <w:t xml:space="preserve">Adams L. (2017). </w:t>
      </w:r>
      <w:r>
        <w:rPr>
          <w:rFonts w:cs="Calibri"/>
          <w:i/>
        </w:rPr>
        <w:t>HR disrupted</w:t>
      </w:r>
      <w:r>
        <w:rPr>
          <w:rFonts w:cs="Calibri"/>
          <w:i/>
        </w:rPr>
        <w:t>! It’s time for something different</w:t>
      </w:r>
      <w:r>
        <w:rPr>
          <w:rFonts w:cs="Calibri"/>
        </w:rPr>
        <w:t>. Great Britain: Practical Inspiration Publishing.</w:t>
      </w:r>
    </w:p>
    <w:p w14:paraId="05CF79CE" w14:textId="77777777" w:rsidR="00FF3942" w:rsidRDefault="00216AB7">
      <w:pPr>
        <w:pStyle w:val="ListParagraph"/>
        <w:numPr>
          <w:ilvl w:val="0"/>
          <w:numId w:val="2"/>
        </w:numPr>
        <w:spacing w:after="200"/>
        <w:jc w:val="both"/>
      </w:pPr>
      <w:r>
        <w:rPr>
          <w:rFonts w:cs="Calibri"/>
          <w:lang w:val="en-US"/>
        </w:rPr>
        <w:t xml:space="preserve">Armstrong, M. (2016) </w:t>
      </w:r>
      <w:r>
        <w:rPr>
          <w:rFonts w:cs="Calibri"/>
          <w:i/>
          <w:iCs/>
          <w:lang w:val="en-US"/>
        </w:rPr>
        <w:t xml:space="preserve">Armstrong’s Handbook of Strategic Human Resource Management. </w:t>
      </w:r>
      <w:r>
        <w:rPr>
          <w:rFonts w:cs="Calibri"/>
          <w:lang w:val="en-US"/>
        </w:rPr>
        <w:t>London: Kogan Page</w:t>
      </w:r>
    </w:p>
    <w:p w14:paraId="05CF79CF" w14:textId="77777777" w:rsidR="00FF3942" w:rsidRDefault="00216AB7">
      <w:pPr>
        <w:pStyle w:val="ListParagraph"/>
        <w:numPr>
          <w:ilvl w:val="0"/>
          <w:numId w:val="2"/>
        </w:numPr>
        <w:jc w:val="both"/>
      </w:pPr>
      <w:r>
        <w:rPr>
          <w:rFonts w:cs="Calibri"/>
        </w:rPr>
        <w:t xml:space="preserve">Arroyo, J.L. (2020) ‘Here’s how to keep a positive work </w:t>
      </w:r>
      <w:r>
        <w:rPr>
          <w:rFonts w:cs="Calibri"/>
        </w:rPr>
        <w:t xml:space="preserve">culture’, </w:t>
      </w:r>
      <w:r>
        <w:rPr>
          <w:rFonts w:cs="Calibri"/>
          <w:i/>
          <w:iCs/>
        </w:rPr>
        <w:t>Central Penn Business Journal,</w:t>
      </w:r>
      <w:r>
        <w:rPr>
          <w:rFonts w:cs="Calibri"/>
        </w:rPr>
        <w:t xml:space="preserve"> 36(10), pp. 10.</w:t>
      </w:r>
    </w:p>
    <w:p w14:paraId="05CF79D0" w14:textId="77777777" w:rsidR="00FF3942" w:rsidRDefault="00216AB7">
      <w:pPr>
        <w:pStyle w:val="ListParagraph"/>
        <w:numPr>
          <w:ilvl w:val="0"/>
          <w:numId w:val="2"/>
        </w:numPr>
        <w:jc w:val="both"/>
      </w:pPr>
      <w:r>
        <w:rPr>
          <w:rFonts w:cs="Calibri"/>
        </w:rPr>
        <w:t xml:space="preserve">Barsade, S. and O’Neill, O.A. (2016) </w:t>
      </w:r>
      <w:r>
        <w:rPr>
          <w:rFonts w:cs="Calibri"/>
          <w:i/>
          <w:iCs/>
        </w:rPr>
        <w:t>Manage Your Emotional Culture.</w:t>
      </w:r>
      <w:r>
        <w:rPr>
          <w:rFonts w:cs="Calibri"/>
        </w:rPr>
        <w:t xml:space="preserve"> Available at: </w:t>
      </w:r>
      <w:hyperlink r:id="rId8" w:history="1">
        <w:r>
          <w:rPr>
            <w:rStyle w:val="Hyperlink"/>
            <w:rFonts w:cs="Calibri"/>
            <w:color w:val="auto"/>
          </w:rPr>
          <w:t>https://hbr.org/2016/01/manage-your-emotional-</w:t>
        </w:r>
        <w:r>
          <w:rPr>
            <w:rStyle w:val="Hyperlink"/>
            <w:rFonts w:cs="Calibri"/>
            <w:color w:val="auto"/>
          </w:rPr>
          <w:t>culture</w:t>
        </w:r>
      </w:hyperlink>
      <w:r>
        <w:rPr>
          <w:rFonts w:cs="Calibri"/>
        </w:rPr>
        <w:t xml:space="preserve"> (Accessed: 20 May 2020). </w:t>
      </w:r>
    </w:p>
    <w:p w14:paraId="05CF79D1" w14:textId="77777777" w:rsidR="00FF3942" w:rsidRDefault="00216AB7">
      <w:pPr>
        <w:pStyle w:val="ListParagraph"/>
        <w:numPr>
          <w:ilvl w:val="0"/>
          <w:numId w:val="2"/>
        </w:numPr>
        <w:jc w:val="both"/>
      </w:pPr>
      <w:r>
        <w:rPr>
          <w:rFonts w:cs="Calibri"/>
        </w:rPr>
        <w:t xml:space="preserve">Bashford, S. </w:t>
      </w:r>
      <w:r>
        <w:rPr>
          <w:rFonts w:cs="Calibri"/>
          <w:i/>
          <w:iCs/>
        </w:rPr>
        <w:t xml:space="preserve">The dangers of recruiting for cultural fit. </w:t>
      </w:r>
      <w:r>
        <w:rPr>
          <w:rFonts w:cs="Calibri"/>
        </w:rPr>
        <w:t xml:space="preserve">Available at: </w:t>
      </w:r>
      <w:hyperlink r:id="rId9" w:history="1">
        <w:r>
          <w:rPr>
            <w:rStyle w:val="Hyperlink"/>
            <w:rFonts w:cs="Calibri"/>
            <w:color w:val="auto"/>
          </w:rPr>
          <w:t>https://www.hrmagazine.co.uk/article-details/t</w:t>
        </w:r>
        <w:r>
          <w:rPr>
            <w:rStyle w:val="Hyperlink"/>
            <w:rFonts w:cs="Calibri"/>
            <w:color w:val="auto"/>
          </w:rPr>
          <w:t>he-dangers-of-recruiting-for-cultural-fit</w:t>
        </w:r>
      </w:hyperlink>
      <w:r>
        <w:rPr>
          <w:rFonts w:cs="Calibri"/>
        </w:rPr>
        <w:t xml:space="preserve"> (Accessed: 20 May 2020). </w:t>
      </w:r>
    </w:p>
    <w:p w14:paraId="05CF79D2" w14:textId="77777777" w:rsidR="00FF3942" w:rsidRDefault="00216AB7">
      <w:pPr>
        <w:pStyle w:val="ListParagraph"/>
        <w:numPr>
          <w:ilvl w:val="0"/>
          <w:numId w:val="2"/>
        </w:numPr>
      </w:pPr>
      <w:r>
        <w:t xml:space="preserve">Baska, M. (2020a) </w:t>
      </w:r>
      <w:r>
        <w:rPr>
          <w:i/>
          <w:iCs/>
        </w:rPr>
        <w:t>Half of Workers expect to work more flexibily after lockdown, survey finds.</w:t>
      </w:r>
      <w:r>
        <w:t xml:space="preserve"> Available at:  </w:t>
      </w:r>
      <w:hyperlink r:id="rId10" w:history="1">
        <w:r>
          <w:rPr>
            <w:rStyle w:val="Hyperlink"/>
            <w:color w:val="auto"/>
          </w:rPr>
          <w:t>https://www.peoplemanagement.co.uk/</w:t>
        </w:r>
        <w:r>
          <w:rPr>
            <w:rStyle w:val="Hyperlink"/>
            <w:color w:val="auto"/>
          </w:rPr>
          <w:t>news/articles/half-workers-expect-work-more-flexibly-post-lockdown-survey?utm_source=mc&amp;utm_medium=email&amp;utm_content=pm_daily_06052020.Half+of+workers+expect+to+work+more+flexibly+post-lockdown%2c+survey+finds&amp;utm_campaign=7295441&amp;utm_term=5629985</w:t>
        </w:r>
      </w:hyperlink>
      <w:r>
        <w:t xml:space="preserve"> (Accesse</w:t>
      </w:r>
      <w:r>
        <w:t xml:space="preserve">d: 20 May 2020). </w:t>
      </w:r>
    </w:p>
    <w:p w14:paraId="05CF79D3" w14:textId="77777777" w:rsidR="00FF3942" w:rsidRDefault="00216AB7">
      <w:pPr>
        <w:pStyle w:val="ListParagraph"/>
        <w:numPr>
          <w:ilvl w:val="0"/>
          <w:numId w:val="2"/>
        </w:numPr>
        <w:spacing w:after="200"/>
        <w:jc w:val="both"/>
      </w:pPr>
      <w:r>
        <w:rPr>
          <w:rFonts w:cs="Calibri"/>
        </w:rPr>
        <w:t xml:space="preserve">Bate, P. (1994) </w:t>
      </w:r>
      <w:r>
        <w:rPr>
          <w:rFonts w:cs="Calibri"/>
          <w:i/>
          <w:iCs/>
        </w:rPr>
        <w:t xml:space="preserve">Strategies for cultural change. </w:t>
      </w:r>
      <w:r>
        <w:rPr>
          <w:rFonts w:cs="Calibri"/>
        </w:rPr>
        <w:t>Oxford; Woburn: Butterowth-Heinemann.</w:t>
      </w:r>
    </w:p>
    <w:p w14:paraId="05CF79D4" w14:textId="77777777" w:rsidR="00FF3942" w:rsidRDefault="00216AB7">
      <w:pPr>
        <w:pStyle w:val="ListParagraph"/>
        <w:numPr>
          <w:ilvl w:val="0"/>
          <w:numId w:val="2"/>
        </w:numPr>
      </w:pPr>
      <w:r>
        <w:rPr>
          <w:rFonts w:cs="Calibri"/>
        </w:rPr>
        <w:t xml:space="preserve">BBC News. (2019) </w:t>
      </w:r>
      <w:r>
        <w:rPr>
          <w:rFonts w:cs="Calibri"/>
          <w:i/>
          <w:iCs/>
        </w:rPr>
        <w:t xml:space="preserve">Uber drivers strike over pay and conditions. </w:t>
      </w:r>
      <w:r>
        <w:rPr>
          <w:rFonts w:cs="Calibri"/>
        </w:rPr>
        <w:t xml:space="preserve">Available at: </w:t>
      </w:r>
      <w:hyperlink r:id="rId11" w:history="1">
        <w:r>
          <w:rPr>
            <w:rStyle w:val="Hyperlink"/>
            <w:rFonts w:cs="Calibri"/>
            <w:color w:val="auto"/>
          </w:rPr>
          <w:t>https://www.bb</w:t>
        </w:r>
        <w:r>
          <w:rPr>
            <w:rStyle w:val="Hyperlink"/>
            <w:rFonts w:cs="Calibri"/>
            <w:color w:val="auto"/>
          </w:rPr>
          <w:t>c.co.uk/news/business-48190176</w:t>
        </w:r>
      </w:hyperlink>
      <w:r>
        <w:rPr>
          <w:rFonts w:cs="Calibri"/>
        </w:rPr>
        <w:t xml:space="preserve"> (Accessed: 19 May 2020). </w:t>
      </w:r>
    </w:p>
    <w:p w14:paraId="05CF79D5" w14:textId="77777777" w:rsidR="00FF3942" w:rsidRDefault="00216AB7">
      <w:pPr>
        <w:pStyle w:val="ListParagraph"/>
        <w:numPr>
          <w:ilvl w:val="0"/>
          <w:numId w:val="2"/>
        </w:numPr>
        <w:jc w:val="both"/>
      </w:pPr>
      <w:r>
        <w:rPr>
          <w:rFonts w:cs="Calibri"/>
        </w:rPr>
        <w:t xml:space="preserve">Bock, L. (2015) </w:t>
      </w:r>
      <w:r>
        <w:rPr>
          <w:rFonts w:cs="Calibri"/>
          <w:i/>
        </w:rPr>
        <w:t xml:space="preserve">Work Rules! Insights from inside Google that will transform how you live and lead. </w:t>
      </w:r>
      <w:r>
        <w:rPr>
          <w:rFonts w:cs="Calibri"/>
        </w:rPr>
        <w:t>London: John Murray</w:t>
      </w:r>
    </w:p>
    <w:p w14:paraId="05CF79D6" w14:textId="77777777" w:rsidR="00FF3942" w:rsidRDefault="00216AB7">
      <w:pPr>
        <w:pStyle w:val="ListParagraph"/>
        <w:numPr>
          <w:ilvl w:val="0"/>
          <w:numId w:val="2"/>
        </w:numPr>
        <w:jc w:val="both"/>
      </w:pPr>
      <w:r>
        <w:rPr>
          <w:rFonts w:cs="Calibri"/>
        </w:rPr>
        <w:t>Bushardt, S., Glascoff, D. and Doty, D. (2011) ‘ORGANIZATIONAL CULTURE, FORMAL R</w:t>
      </w:r>
      <w:r>
        <w:rPr>
          <w:rFonts w:cs="Calibri"/>
        </w:rPr>
        <w:t xml:space="preserve">EWARD STRUCTURE, AND EFFECTIVE STRATEGY IMPLEMENTATION: A CONCEPTUAL MODEL’, </w:t>
      </w:r>
      <w:r>
        <w:rPr>
          <w:rFonts w:cs="Calibri"/>
          <w:i/>
          <w:iCs/>
        </w:rPr>
        <w:t>Journal of Organizational Culture, Communications and Conflict</w:t>
      </w:r>
      <w:r>
        <w:rPr>
          <w:rFonts w:cs="Calibri"/>
        </w:rPr>
        <w:t>, 15(2), pp. 57–70.</w:t>
      </w:r>
    </w:p>
    <w:p w14:paraId="05CF79D7" w14:textId="77777777" w:rsidR="00FF3942" w:rsidRDefault="00216AB7">
      <w:pPr>
        <w:pStyle w:val="ListParagraph"/>
        <w:numPr>
          <w:ilvl w:val="0"/>
          <w:numId w:val="2"/>
        </w:numPr>
        <w:spacing w:after="200"/>
      </w:pPr>
      <w:r>
        <w:rPr>
          <w:rFonts w:cs="Calibri"/>
        </w:rPr>
        <w:t>Cappelli, P. (2015)</w:t>
      </w:r>
      <w:r>
        <w:rPr>
          <w:rFonts w:cs="Calibri"/>
          <w:i/>
          <w:iCs/>
        </w:rPr>
        <w:t xml:space="preserve"> Why We Love to Hate HR… and What HR Can Do About It.</w:t>
      </w:r>
      <w:r>
        <w:rPr>
          <w:rFonts w:cs="Calibri"/>
        </w:rPr>
        <w:t xml:space="preserve"> Available at: </w:t>
      </w:r>
      <w:hyperlink r:id="rId12" w:history="1">
        <w:r>
          <w:rPr>
            <w:rStyle w:val="Hyperlink"/>
            <w:rFonts w:cs="Calibri"/>
            <w:color w:val="auto"/>
          </w:rPr>
          <w:t>https://hbr.org/2015/07/why-we-love-to-hate-hr-and</w:t>
        </w:r>
        <w:r>
          <w:rPr>
            <w:rStyle w:val="Hyperlink"/>
            <w:rFonts w:cs="Calibri"/>
            <w:color w:val="auto"/>
          </w:rPr>
          <w:t>-what-hr-can-do-about-it?utm_campaign=hbr&amp;utm_source=facebook&amp;utm_medium=social&amp;fbclid=IwAR21SiyAwf2BiRVvTjdLdeDph9vo_b9IGI0i7z6kt6BuqMMae11lIljrUKI</w:t>
        </w:r>
      </w:hyperlink>
      <w:r>
        <w:rPr>
          <w:rFonts w:cs="Calibri"/>
        </w:rPr>
        <w:t xml:space="preserve"> (Accessed: 19 May 2020)</w:t>
      </w:r>
    </w:p>
    <w:p w14:paraId="05CF79D8" w14:textId="77777777" w:rsidR="00FF3942" w:rsidRDefault="00216AB7">
      <w:pPr>
        <w:pStyle w:val="ListParagraph"/>
        <w:numPr>
          <w:ilvl w:val="0"/>
          <w:numId w:val="2"/>
        </w:numPr>
      </w:pPr>
      <w:r>
        <w:t xml:space="preserve">CIPD. (2019a) ‘UK Working Lives: Survey Report 2019’, </w:t>
      </w:r>
      <w:r>
        <w:rPr>
          <w:i/>
          <w:iCs/>
        </w:rPr>
        <w:t xml:space="preserve">The CIPD Job Quality </w:t>
      </w:r>
      <w:r>
        <w:rPr>
          <w:i/>
          <w:iCs/>
        </w:rPr>
        <w:t>Index.</w:t>
      </w:r>
    </w:p>
    <w:p w14:paraId="05CF79D9" w14:textId="77777777" w:rsidR="00FF3942" w:rsidRDefault="00216AB7">
      <w:pPr>
        <w:pStyle w:val="ListParagraph"/>
        <w:numPr>
          <w:ilvl w:val="0"/>
          <w:numId w:val="2"/>
        </w:numPr>
        <w:jc w:val="both"/>
      </w:pPr>
      <w:r>
        <w:rPr>
          <w:rFonts w:cs="Calibri"/>
        </w:rPr>
        <w:t xml:space="preserve">CIPD. (2019b) </w:t>
      </w:r>
      <w:r>
        <w:rPr>
          <w:rFonts w:cs="Calibri"/>
          <w:i/>
          <w:iCs/>
        </w:rPr>
        <w:t xml:space="preserve">Workforce Planning: Factsheet. </w:t>
      </w:r>
      <w:r>
        <w:rPr>
          <w:rFonts w:cs="Calibri"/>
        </w:rPr>
        <w:t>London: CIPD. pp 1-3</w:t>
      </w:r>
      <w:r>
        <w:rPr>
          <w:rFonts w:cs="Calibri"/>
          <w:i/>
          <w:iCs/>
        </w:rPr>
        <w:t>.</w:t>
      </w:r>
    </w:p>
    <w:p w14:paraId="05CF79DA" w14:textId="77777777" w:rsidR="00FF3942" w:rsidRDefault="00216AB7">
      <w:pPr>
        <w:pStyle w:val="ListParagraph"/>
        <w:numPr>
          <w:ilvl w:val="0"/>
          <w:numId w:val="2"/>
        </w:numPr>
        <w:jc w:val="both"/>
      </w:pPr>
      <w:r>
        <w:rPr>
          <w:rFonts w:cs="Calibri"/>
        </w:rPr>
        <w:t xml:space="preserve">CIPD. (2020) </w:t>
      </w:r>
      <w:r>
        <w:rPr>
          <w:rFonts w:cs="Calibri"/>
          <w:i/>
          <w:iCs/>
        </w:rPr>
        <w:t>Ethical practice and the role of HR: Factsheet.</w:t>
      </w:r>
      <w:r>
        <w:rPr>
          <w:rFonts w:cs="Calibri"/>
        </w:rPr>
        <w:t xml:space="preserve"> London: CIPD. pp. 1-4</w:t>
      </w:r>
    </w:p>
    <w:p w14:paraId="05CF79DB" w14:textId="77777777" w:rsidR="00FF3942" w:rsidRDefault="00216AB7">
      <w:pPr>
        <w:pStyle w:val="ListParagraph"/>
        <w:numPr>
          <w:ilvl w:val="0"/>
          <w:numId w:val="2"/>
        </w:numPr>
      </w:pPr>
      <w:r>
        <w:rPr>
          <w:rFonts w:cs="Calibri"/>
        </w:rPr>
        <w:t xml:space="preserve">Cusumano, M.A. (2010) </w:t>
      </w:r>
      <w:r>
        <w:rPr>
          <w:rFonts w:cs="Calibri"/>
          <w:i/>
          <w:iCs/>
        </w:rPr>
        <w:t>Staying Power: Six Enduring Principles for Managing Strategy and Innovation i</w:t>
      </w:r>
      <w:r>
        <w:rPr>
          <w:rFonts w:cs="Calibri"/>
          <w:i/>
          <w:iCs/>
        </w:rPr>
        <w:t>n an Uncertain World.</w:t>
      </w:r>
      <w:r>
        <w:rPr>
          <w:rFonts w:cs="Calibri"/>
        </w:rPr>
        <w:t xml:space="preserve"> New York: Oxford University Press. </w:t>
      </w:r>
    </w:p>
    <w:p w14:paraId="05CF79DC" w14:textId="77777777" w:rsidR="00FF3942" w:rsidRDefault="00216AB7">
      <w:pPr>
        <w:pStyle w:val="ListParagraph"/>
        <w:numPr>
          <w:ilvl w:val="0"/>
          <w:numId w:val="2"/>
        </w:numPr>
        <w:spacing w:after="200"/>
      </w:pPr>
      <w:r>
        <w:rPr>
          <w:rFonts w:cs="Calibri"/>
        </w:rPr>
        <w:t xml:space="preserve">De Vita, E. (2018) ‘18 for 2018: The new voices re-energising management’, </w:t>
      </w:r>
      <w:r>
        <w:rPr>
          <w:rFonts w:cs="Calibri"/>
          <w:i/>
          <w:iCs/>
        </w:rPr>
        <w:t>Professional Manager</w:t>
      </w:r>
      <w:r>
        <w:rPr>
          <w:rFonts w:cs="Calibri"/>
        </w:rPr>
        <w:t>, pp. 52–59.</w:t>
      </w:r>
    </w:p>
    <w:p w14:paraId="05CF79DD" w14:textId="77777777" w:rsidR="00FF3942" w:rsidRDefault="00216AB7">
      <w:pPr>
        <w:pStyle w:val="ListParagraph"/>
        <w:numPr>
          <w:ilvl w:val="0"/>
          <w:numId w:val="2"/>
        </w:numPr>
        <w:spacing w:after="200"/>
        <w:jc w:val="both"/>
      </w:pPr>
      <w:r>
        <w:rPr>
          <w:rFonts w:cs="Calibri"/>
        </w:rPr>
        <w:lastRenderedPageBreak/>
        <w:t xml:space="preserve">Deloitte (2019) ‘Human Capital Trends Report’, </w:t>
      </w:r>
      <w:r>
        <w:rPr>
          <w:rFonts w:cs="Calibri"/>
          <w:i/>
          <w:iCs/>
        </w:rPr>
        <w:t xml:space="preserve">Deloitte University Press. </w:t>
      </w:r>
    </w:p>
    <w:p w14:paraId="05CF79DE" w14:textId="77777777" w:rsidR="00FF3942" w:rsidRDefault="00216AB7">
      <w:pPr>
        <w:pStyle w:val="ListParagraph"/>
        <w:numPr>
          <w:ilvl w:val="0"/>
          <w:numId w:val="2"/>
        </w:numPr>
      </w:pPr>
      <w:r>
        <w:t>Faragher, J. (2</w:t>
      </w:r>
      <w:r>
        <w:t xml:space="preserve">020) </w:t>
      </w:r>
      <w:r>
        <w:rPr>
          <w:i/>
          <w:iCs/>
        </w:rPr>
        <w:t xml:space="preserve">Barclays chief executive: Flexible working will become the norm. </w:t>
      </w:r>
      <w:r>
        <w:t xml:space="preserve">Available at: </w:t>
      </w:r>
      <w:hyperlink r:id="rId13" w:history="1">
        <w:r>
          <w:rPr>
            <w:rStyle w:val="Hyperlink"/>
            <w:color w:val="auto"/>
          </w:rPr>
          <w:t>https://www.personneltoday.com/hr/barclays-chief-executiv</w:t>
        </w:r>
        <w:r>
          <w:rPr>
            <w:rStyle w:val="Hyperlink"/>
            <w:color w:val="auto"/>
          </w:rPr>
          <w:t>e-flexible-working-will-become-the-norm/</w:t>
        </w:r>
      </w:hyperlink>
      <w:r>
        <w:t xml:space="preserve"> (Accessed: 20 May 2020). </w:t>
      </w:r>
    </w:p>
    <w:p w14:paraId="05CF79DF" w14:textId="77777777" w:rsidR="00FF3942" w:rsidRDefault="00216AB7">
      <w:pPr>
        <w:pStyle w:val="ListParagraph"/>
        <w:numPr>
          <w:ilvl w:val="0"/>
          <w:numId w:val="2"/>
        </w:numPr>
        <w:spacing w:after="200"/>
        <w:jc w:val="both"/>
      </w:pPr>
      <w:r>
        <w:rPr>
          <w:rFonts w:cs="Calibri"/>
        </w:rPr>
        <w:t xml:space="preserve">Fifer, J. (2018) ‘Culture Still Eats Strategy for Breakfast’, </w:t>
      </w:r>
      <w:r>
        <w:rPr>
          <w:rFonts w:cs="Calibri"/>
          <w:i/>
          <w:iCs/>
        </w:rPr>
        <w:t>hfm (Healthcare Financial Management)</w:t>
      </w:r>
      <w:r>
        <w:rPr>
          <w:rFonts w:cs="Calibri"/>
        </w:rPr>
        <w:t>, pp.1–3.</w:t>
      </w:r>
    </w:p>
    <w:p w14:paraId="05CF79E0" w14:textId="77777777" w:rsidR="00FF3942" w:rsidRDefault="00216AB7">
      <w:pPr>
        <w:pStyle w:val="ListParagraph"/>
        <w:numPr>
          <w:ilvl w:val="0"/>
          <w:numId w:val="2"/>
        </w:numPr>
        <w:spacing w:after="200"/>
      </w:pPr>
      <w:r>
        <w:rPr>
          <w:rFonts w:cs="Calibri"/>
        </w:rPr>
        <w:t>Fletcher, A. and Spehrer-Patrick, E. (2016) ‘KEY TRENDS SHAPING THE FUTURE OF LE</w:t>
      </w:r>
      <w:r>
        <w:rPr>
          <w:rFonts w:cs="Calibri"/>
        </w:rPr>
        <w:t xml:space="preserve">ARNING AND DEVELOPMENT’, </w:t>
      </w:r>
      <w:r>
        <w:rPr>
          <w:rFonts w:cs="Calibri"/>
          <w:i/>
          <w:iCs/>
        </w:rPr>
        <w:t>Training &amp; Development</w:t>
      </w:r>
      <w:r>
        <w:rPr>
          <w:rFonts w:cs="Calibri"/>
        </w:rPr>
        <w:t xml:space="preserve"> </w:t>
      </w:r>
      <w:r>
        <w:rPr>
          <w:rFonts w:cs="Calibri"/>
          <w:i/>
          <w:iCs/>
        </w:rPr>
        <w:t>(1839-8561)</w:t>
      </w:r>
      <w:r>
        <w:rPr>
          <w:rFonts w:cs="Calibri"/>
        </w:rPr>
        <w:t>, 43(4), pp. 22–24.</w:t>
      </w:r>
    </w:p>
    <w:p w14:paraId="05CF79E1" w14:textId="77777777" w:rsidR="00FF3942" w:rsidRDefault="00216AB7">
      <w:pPr>
        <w:pStyle w:val="ListParagraph"/>
        <w:numPr>
          <w:ilvl w:val="0"/>
          <w:numId w:val="2"/>
        </w:numPr>
        <w:spacing w:after="200"/>
        <w:jc w:val="both"/>
      </w:pPr>
      <w:r>
        <w:rPr>
          <w:rFonts w:cs="Calibri"/>
        </w:rPr>
        <w:t xml:space="preserve">Gartman, C., Woods, W. and Morey, R. (2018) ‘Culture Eats Strategy for Breakfast’, </w:t>
      </w:r>
      <w:r>
        <w:rPr>
          <w:rFonts w:cs="Calibri"/>
          <w:i/>
          <w:iCs/>
        </w:rPr>
        <w:t>Franchising World,</w:t>
      </w:r>
      <w:r>
        <w:rPr>
          <w:rFonts w:cs="Calibri"/>
        </w:rPr>
        <w:t xml:space="preserve"> 50(4), pp. 38-40. </w:t>
      </w:r>
    </w:p>
    <w:p w14:paraId="05CF79E2" w14:textId="77777777" w:rsidR="00FF3942" w:rsidRDefault="00216AB7">
      <w:pPr>
        <w:pStyle w:val="ListParagraph"/>
        <w:numPr>
          <w:ilvl w:val="0"/>
          <w:numId w:val="2"/>
        </w:numPr>
        <w:spacing w:after="200"/>
      </w:pPr>
      <w:r>
        <w:rPr>
          <w:rFonts w:cs="Calibri"/>
        </w:rPr>
        <w:t xml:space="preserve">Gatenby, L. (2020) </w:t>
      </w:r>
      <w:r>
        <w:rPr>
          <w:rFonts w:cs="Calibri"/>
          <w:i/>
          <w:iCs/>
        </w:rPr>
        <w:t>Sustainable capitalism: business as a</w:t>
      </w:r>
      <w:r>
        <w:rPr>
          <w:rFonts w:cs="Calibri"/>
          <w:i/>
          <w:iCs/>
        </w:rPr>
        <w:t xml:space="preserve"> force for positive change. </w:t>
      </w:r>
      <w:r>
        <w:rPr>
          <w:rFonts w:cs="Calibri"/>
        </w:rPr>
        <w:t xml:space="preserve">Available at: </w:t>
      </w:r>
      <w:hyperlink r:id="rId14" w:history="1">
        <w:r>
          <w:rPr>
            <w:rStyle w:val="Hyperlink"/>
            <w:rFonts w:cs="Calibri"/>
            <w:color w:val="auto"/>
          </w:rPr>
          <w:t>https://www.hrzone.com/perform/business/sustainable-capitalism-business-as-a-force-for-positiv</w:t>
        </w:r>
        <w:r>
          <w:rPr>
            <w:rStyle w:val="Hyperlink"/>
            <w:rFonts w:cs="Calibri"/>
            <w:color w:val="auto"/>
          </w:rPr>
          <w:t>e-change</w:t>
        </w:r>
      </w:hyperlink>
      <w:r>
        <w:rPr>
          <w:rFonts w:cs="Calibri"/>
        </w:rPr>
        <w:t xml:space="preserve"> (Accessed: 20 May 2020). </w:t>
      </w:r>
    </w:p>
    <w:p w14:paraId="05CF79E3" w14:textId="77777777" w:rsidR="00FF3942" w:rsidRDefault="00216AB7">
      <w:pPr>
        <w:pStyle w:val="ListParagraph"/>
        <w:numPr>
          <w:ilvl w:val="0"/>
          <w:numId w:val="2"/>
        </w:numPr>
        <w:spacing w:after="200"/>
      </w:pPr>
      <w:r>
        <w:rPr>
          <w:rFonts w:cs="Calibri"/>
        </w:rPr>
        <w:t xml:space="preserve">Gino, F. (2018) ‘Case Study: Can You Fix a Toxic Culture Without Firing People?’, </w:t>
      </w:r>
      <w:r>
        <w:rPr>
          <w:rFonts w:cs="Calibri"/>
          <w:i/>
          <w:iCs/>
        </w:rPr>
        <w:t xml:space="preserve">Harvard Business Review. </w:t>
      </w:r>
    </w:p>
    <w:p w14:paraId="05CF79E4" w14:textId="77777777" w:rsidR="00FF3942" w:rsidRDefault="00216AB7">
      <w:pPr>
        <w:pStyle w:val="ListParagraph"/>
        <w:numPr>
          <w:ilvl w:val="0"/>
          <w:numId w:val="2"/>
        </w:numPr>
        <w:spacing w:after="200"/>
      </w:pPr>
      <w:r>
        <w:rPr>
          <w:rFonts w:cs="Calibri"/>
        </w:rPr>
        <w:t xml:space="preserve">Goleman, D., Boyatzis, R. and McKee, A. (2001) ‘Primal Leadership: The Hidden Driver of Great </w:t>
      </w:r>
      <w:r>
        <w:rPr>
          <w:rFonts w:cs="Calibri"/>
        </w:rPr>
        <w:t xml:space="preserve">Performance’, </w:t>
      </w:r>
      <w:r>
        <w:rPr>
          <w:rFonts w:cs="Calibri"/>
          <w:i/>
          <w:iCs/>
        </w:rPr>
        <w:t>Harvard Business Review</w:t>
      </w:r>
      <w:r>
        <w:rPr>
          <w:rFonts w:cs="Calibri"/>
        </w:rPr>
        <w:t>, 79(11), pp. 42–52.</w:t>
      </w:r>
    </w:p>
    <w:p w14:paraId="05CF79E5" w14:textId="77777777" w:rsidR="00FF3942" w:rsidRDefault="00216AB7">
      <w:pPr>
        <w:pStyle w:val="ListParagraph"/>
        <w:numPr>
          <w:ilvl w:val="0"/>
          <w:numId w:val="2"/>
        </w:numPr>
        <w:spacing w:after="200"/>
      </w:pPr>
      <w:r>
        <w:rPr>
          <w:rFonts w:cs="Calibri"/>
        </w:rPr>
        <w:t xml:space="preserve">Gratton, L., Rock, D., Voelker, J. and Welsh, Tim. (2019) ‘Redefining the role of the leader in the reskilling era’, </w:t>
      </w:r>
      <w:r>
        <w:rPr>
          <w:rFonts w:cs="Calibri"/>
          <w:i/>
          <w:iCs/>
        </w:rPr>
        <w:t>The McKinsey Quarterly</w:t>
      </w:r>
      <w:r>
        <w:rPr>
          <w:rFonts w:cs="Calibri"/>
        </w:rPr>
        <w:t xml:space="preserve">. </w:t>
      </w:r>
    </w:p>
    <w:p w14:paraId="05CF79E6" w14:textId="77777777" w:rsidR="00FF3942" w:rsidRDefault="00216AB7">
      <w:pPr>
        <w:pStyle w:val="ListParagraph"/>
        <w:numPr>
          <w:ilvl w:val="0"/>
          <w:numId w:val="2"/>
        </w:numPr>
        <w:spacing w:after="200"/>
      </w:pPr>
      <w:r>
        <w:rPr>
          <w:rFonts w:cs="Calibri"/>
        </w:rPr>
        <w:t xml:space="preserve">Hill, B.C. (2020) </w:t>
      </w:r>
      <w:r>
        <w:rPr>
          <w:rFonts w:cs="Calibri"/>
          <w:i/>
          <w:iCs/>
        </w:rPr>
        <w:t>Steps to ethical leadership: An organi</w:t>
      </w:r>
      <w:r>
        <w:rPr>
          <w:rFonts w:cs="Calibri"/>
          <w:i/>
          <w:iCs/>
        </w:rPr>
        <w:t xml:space="preserve">sation’s ethical culture starts at the top. </w:t>
      </w:r>
      <w:r>
        <w:rPr>
          <w:rFonts w:cs="Calibri"/>
        </w:rPr>
        <w:t xml:space="preserve">Available at: </w:t>
      </w:r>
      <w:hyperlink r:id="rId15" w:history="1">
        <w:r>
          <w:rPr>
            <w:rStyle w:val="Hyperlink"/>
            <w:rFonts w:cs="Calibri"/>
            <w:color w:val="auto"/>
          </w:rPr>
          <w:t>https://www.fm-magazine.com/issues/2020/apr/ethical-leader-traits.html</w:t>
        </w:r>
      </w:hyperlink>
      <w:r>
        <w:rPr>
          <w:rFonts w:cs="Calibri"/>
        </w:rPr>
        <w:t xml:space="preserve"> (Accessed: 20 May 2020). </w:t>
      </w:r>
    </w:p>
    <w:p w14:paraId="05CF79E7" w14:textId="77777777" w:rsidR="00FF3942" w:rsidRDefault="00216AB7">
      <w:pPr>
        <w:pStyle w:val="ListParagraph"/>
        <w:numPr>
          <w:ilvl w:val="0"/>
          <w:numId w:val="2"/>
        </w:numPr>
        <w:spacing w:after="200"/>
        <w:jc w:val="both"/>
      </w:pPr>
      <w:r>
        <w:rPr>
          <w:rFonts w:cs="Calibri"/>
        </w:rPr>
        <w:t xml:space="preserve">HSBC (2020) </w:t>
      </w:r>
      <w:r>
        <w:rPr>
          <w:rFonts w:cs="Calibri"/>
          <w:i/>
          <w:iCs/>
        </w:rPr>
        <w:t>C</w:t>
      </w:r>
      <w:r>
        <w:rPr>
          <w:rFonts w:cs="Calibri"/>
          <w:i/>
          <w:iCs/>
        </w:rPr>
        <w:t xml:space="preserve">ulture and people: We want everyone to fulfil their potential. </w:t>
      </w:r>
      <w:r>
        <w:rPr>
          <w:rFonts w:cs="Calibri"/>
        </w:rPr>
        <w:t xml:space="preserve">Available at: </w:t>
      </w:r>
      <w:hyperlink r:id="rId16" w:history="1">
        <w:r>
          <w:rPr>
            <w:rStyle w:val="Hyperlink"/>
            <w:rFonts w:cs="Calibri"/>
            <w:color w:val="auto"/>
          </w:rPr>
          <w:t>https://www.hsbc.com/our-approach/culture-and-p</w:t>
        </w:r>
        <w:bookmarkStart w:id="0" w:name="_Hlt40818786"/>
        <w:bookmarkStart w:id="1" w:name="_Hlt40818787"/>
        <w:r>
          <w:rPr>
            <w:rStyle w:val="Hyperlink"/>
            <w:rFonts w:cs="Calibri"/>
            <w:color w:val="auto"/>
          </w:rPr>
          <w:t>e</w:t>
        </w:r>
        <w:bookmarkEnd w:id="0"/>
        <w:bookmarkEnd w:id="1"/>
        <w:r>
          <w:rPr>
            <w:rStyle w:val="Hyperlink"/>
            <w:rFonts w:cs="Calibri"/>
            <w:color w:val="auto"/>
          </w:rPr>
          <w:t>ople</w:t>
        </w:r>
      </w:hyperlink>
      <w:r>
        <w:rPr>
          <w:rFonts w:cs="Calibri"/>
        </w:rPr>
        <w:t xml:space="preserve"> (Accessed: 19 May 2020). </w:t>
      </w:r>
    </w:p>
    <w:p w14:paraId="05CF79E8" w14:textId="77777777" w:rsidR="00FF3942" w:rsidRDefault="00216AB7">
      <w:pPr>
        <w:pStyle w:val="ListParagraph"/>
        <w:numPr>
          <w:ilvl w:val="0"/>
          <w:numId w:val="2"/>
        </w:numPr>
        <w:spacing w:after="200"/>
      </w:pPr>
      <w:r>
        <w:rPr>
          <w:rFonts w:cs="Calibri"/>
        </w:rPr>
        <w:t xml:space="preserve">Hunt, T. (2019) </w:t>
      </w:r>
      <w:r>
        <w:rPr>
          <w:rFonts w:cs="Calibri"/>
          <w:i/>
          <w:iCs/>
        </w:rPr>
        <w:t xml:space="preserve">Top Five </w:t>
      </w:r>
      <w:r>
        <w:rPr>
          <w:rFonts w:cs="Calibri"/>
          <w:i/>
          <w:iCs/>
        </w:rPr>
        <w:t>Ethical High Street Shops.</w:t>
      </w:r>
      <w:r>
        <w:rPr>
          <w:rFonts w:cs="Calibri"/>
        </w:rPr>
        <w:t xml:space="preserve"> Available at: </w:t>
      </w:r>
      <w:hyperlink r:id="rId17" w:history="1">
        <w:r>
          <w:rPr>
            <w:rStyle w:val="Hyperlink"/>
            <w:rFonts w:cs="Calibri"/>
            <w:color w:val="auto"/>
          </w:rPr>
          <w:t>https://www.ethicalconsumer.org/retailers/top-five-ethical-high-street-shops</w:t>
        </w:r>
      </w:hyperlink>
      <w:r>
        <w:rPr>
          <w:rFonts w:cs="Calibri"/>
        </w:rPr>
        <w:t xml:space="preserve"> (Accessed: 20 May 2020). </w:t>
      </w:r>
    </w:p>
    <w:p w14:paraId="05CF79E9" w14:textId="77777777" w:rsidR="00FF3942" w:rsidRDefault="00216AB7">
      <w:pPr>
        <w:pStyle w:val="ListParagraph"/>
        <w:numPr>
          <w:ilvl w:val="0"/>
          <w:numId w:val="2"/>
        </w:numPr>
        <w:spacing w:after="200"/>
      </w:pPr>
      <w:r>
        <w:rPr>
          <w:rFonts w:cs="Calibri"/>
        </w:rPr>
        <w:t>Jones, K. (2018) ‘</w:t>
      </w:r>
      <w:r>
        <w:rPr>
          <w:rFonts w:cs="Calibri"/>
        </w:rPr>
        <w:t xml:space="preserve">Strategic HR Service Delivery: Are You Organized for Success?’, </w:t>
      </w:r>
      <w:r>
        <w:rPr>
          <w:rFonts w:cs="Calibri"/>
          <w:i/>
          <w:iCs/>
        </w:rPr>
        <w:t>Workforce Solutions Review</w:t>
      </w:r>
      <w:r>
        <w:rPr>
          <w:rFonts w:cs="Calibri"/>
        </w:rPr>
        <w:t>, 9(4), pp. 42–45.</w:t>
      </w:r>
    </w:p>
    <w:p w14:paraId="05CF79EA" w14:textId="77777777" w:rsidR="00FF3942" w:rsidRDefault="00216AB7">
      <w:pPr>
        <w:pStyle w:val="ListParagraph"/>
        <w:numPr>
          <w:ilvl w:val="0"/>
          <w:numId w:val="2"/>
        </w:numPr>
        <w:spacing w:before="100" w:after="100"/>
      </w:pPr>
      <w:r>
        <w:rPr>
          <w:rFonts w:cs="Calibri"/>
          <w:lang w:val="en-US"/>
        </w:rPr>
        <w:t xml:space="preserve">Keller, S. and Meaney, M. (2017) </w:t>
      </w:r>
      <w:r>
        <w:rPr>
          <w:rFonts w:cs="Calibri"/>
          <w:i/>
          <w:iCs/>
          <w:lang w:val="en-US"/>
        </w:rPr>
        <w:t>Leading Organizations Ten Timeless Truths</w:t>
      </w:r>
      <w:r>
        <w:rPr>
          <w:rFonts w:cs="Calibri"/>
          <w:lang w:val="en-US"/>
        </w:rPr>
        <w:t>. London: Bloomsbury Publishing Plc.</w:t>
      </w:r>
    </w:p>
    <w:p w14:paraId="05CF79EB" w14:textId="77777777" w:rsidR="00FF3942" w:rsidRDefault="00216AB7">
      <w:pPr>
        <w:pStyle w:val="ListParagraph"/>
        <w:numPr>
          <w:ilvl w:val="0"/>
          <w:numId w:val="2"/>
        </w:numPr>
        <w:spacing w:after="200"/>
        <w:jc w:val="both"/>
      </w:pPr>
      <w:r>
        <w:rPr>
          <w:rFonts w:cs="Calibri"/>
        </w:rPr>
        <w:t>Lorence, C. (2018) ‘Culture eats str</w:t>
      </w:r>
      <w:r>
        <w:rPr>
          <w:rFonts w:cs="Calibri"/>
        </w:rPr>
        <w:t xml:space="preserve">ategy for breakfast’, </w:t>
      </w:r>
      <w:r>
        <w:rPr>
          <w:rFonts w:cs="Calibri"/>
          <w:i/>
          <w:iCs/>
        </w:rPr>
        <w:t>Independent Banker</w:t>
      </w:r>
      <w:r>
        <w:rPr>
          <w:rFonts w:cs="Calibri"/>
        </w:rPr>
        <w:t>, 68(7), pp. 31–32.</w:t>
      </w:r>
    </w:p>
    <w:p w14:paraId="05CF79EC" w14:textId="77777777" w:rsidR="00FF3942" w:rsidRDefault="00216AB7">
      <w:pPr>
        <w:pStyle w:val="ListParagraph"/>
        <w:numPr>
          <w:ilvl w:val="0"/>
          <w:numId w:val="2"/>
        </w:numPr>
        <w:jc w:val="both"/>
      </w:pPr>
      <w:r>
        <w:rPr>
          <w:rFonts w:cs="Calibri"/>
        </w:rPr>
        <w:t xml:space="preserve">McCord, P. (2015) </w:t>
      </w:r>
      <w:r>
        <w:rPr>
          <w:rFonts w:cs="Calibri"/>
          <w:i/>
          <w:iCs/>
        </w:rPr>
        <w:t>Lessons from a Silicon Valley maverick: new ways of working and collaborating.</w:t>
      </w:r>
      <w:r>
        <w:rPr>
          <w:rFonts w:cs="Calibri"/>
        </w:rPr>
        <w:t xml:space="preserve"> 4 September. Available At: </w:t>
      </w:r>
      <w:hyperlink r:id="rId18" w:history="1">
        <w:r>
          <w:rPr>
            <w:rStyle w:val="Hyperlink"/>
            <w:rFonts w:cs="Calibri"/>
            <w:color w:val="auto"/>
          </w:rPr>
          <w:t>https://www</w:t>
        </w:r>
        <w:r>
          <w:rPr>
            <w:rStyle w:val="Hyperlink"/>
            <w:rFonts w:cs="Calibri"/>
            <w:color w:val="auto"/>
          </w:rPr>
          <w:t>.youtube.com/watch?v=uvG0aCbuG60</w:t>
        </w:r>
      </w:hyperlink>
      <w:r>
        <w:rPr>
          <w:rFonts w:cs="Calibri"/>
        </w:rPr>
        <w:t xml:space="preserve"> (Accessed: 19 May 2020). </w:t>
      </w:r>
    </w:p>
    <w:p w14:paraId="05CF79ED" w14:textId="77777777" w:rsidR="00FF3942" w:rsidRDefault="00216AB7">
      <w:pPr>
        <w:pStyle w:val="ListParagraph"/>
        <w:numPr>
          <w:ilvl w:val="0"/>
          <w:numId w:val="2"/>
        </w:numPr>
        <w:jc w:val="both"/>
      </w:pPr>
      <w:r>
        <w:rPr>
          <w:rFonts w:cs="Calibri"/>
        </w:rPr>
        <w:t xml:space="preserve">McKinsey. (2018) </w:t>
      </w:r>
      <w:r>
        <w:rPr>
          <w:rFonts w:cs="Calibri"/>
          <w:i/>
          <w:iCs/>
        </w:rPr>
        <w:t xml:space="preserve">The fairness factor in performance management. </w:t>
      </w:r>
      <w:r>
        <w:rPr>
          <w:rFonts w:cs="Calibri"/>
        </w:rPr>
        <w:t xml:space="preserve">Available at: </w:t>
      </w:r>
      <w:hyperlink r:id="rId19" w:history="1">
        <w:r>
          <w:rPr>
            <w:rStyle w:val="Hyperlink"/>
            <w:rFonts w:cs="Calibri"/>
            <w:color w:val="auto"/>
          </w:rPr>
          <w:t>https://www.mckinsey.com/business-functions/organization/our-insights/the-fairness-factor-in-performance-management</w:t>
        </w:r>
      </w:hyperlink>
      <w:r>
        <w:rPr>
          <w:rFonts w:cs="Calibri"/>
        </w:rPr>
        <w:t xml:space="preserve"> (Accessed: 20 May 2020). </w:t>
      </w:r>
    </w:p>
    <w:p w14:paraId="05CF79EE" w14:textId="77777777" w:rsidR="00FF3942" w:rsidRDefault="00216AB7">
      <w:pPr>
        <w:pStyle w:val="ListParagraph"/>
        <w:numPr>
          <w:ilvl w:val="0"/>
          <w:numId w:val="2"/>
        </w:numPr>
        <w:shd w:val="clear" w:color="auto" w:fill="FFFFFF"/>
        <w:spacing w:after="0"/>
      </w:pPr>
      <w:r>
        <w:rPr>
          <w:rFonts w:cs="Calibri"/>
        </w:rPr>
        <w:t>Meisinger, S. (2005) ‘The four Cs of the HR profession: Being competent, curious, courageous and car</w:t>
      </w:r>
      <w:r>
        <w:rPr>
          <w:rFonts w:cs="Calibri"/>
        </w:rPr>
        <w:t xml:space="preserve">ing about people’, </w:t>
      </w:r>
      <w:r>
        <w:rPr>
          <w:rFonts w:cs="Calibri"/>
          <w:i/>
          <w:iCs/>
        </w:rPr>
        <w:t xml:space="preserve">Human Resource Management, </w:t>
      </w:r>
      <w:r>
        <w:rPr>
          <w:rFonts w:cs="Calibri"/>
        </w:rPr>
        <w:t xml:space="preserve">44(2), pp. 189-195. </w:t>
      </w:r>
    </w:p>
    <w:p w14:paraId="05CF79EF" w14:textId="77777777" w:rsidR="00FF3942" w:rsidRDefault="00216AB7">
      <w:pPr>
        <w:pStyle w:val="ListParagraph"/>
        <w:numPr>
          <w:ilvl w:val="0"/>
          <w:numId w:val="2"/>
        </w:numPr>
      </w:pPr>
      <w:r>
        <w:rPr>
          <w:rFonts w:cs="Calibri"/>
        </w:rPr>
        <w:t xml:space="preserve">Mercer. (2019) </w:t>
      </w:r>
      <w:r>
        <w:rPr>
          <w:rFonts w:cs="Calibri"/>
          <w:i/>
          <w:iCs/>
        </w:rPr>
        <w:t xml:space="preserve">The Future of HR: 2020. </w:t>
      </w:r>
      <w:r>
        <w:rPr>
          <w:rFonts w:cs="Calibri"/>
        </w:rPr>
        <w:t xml:space="preserve">Available at: </w:t>
      </w:r>
      <w:hyperlink r:id="rId20" w:history="1">
        <w:r>
          <w:rPr>
            <w:rStyle w:val="Hyperlink"/>
            <w:rFonts w:cs="Calibri"/>
            <w:color w:val="auto"/>
          </w:rPr>
          <w:t>https://www.mercer.c</w:t>
        </w:r>
        <w:r>
          <w:rPr>
            <w:rStyle w:val="Hyperlink"/>
            <w:rFonts w:cs="Calibri"/>
            <w:color w:val="auto"/>
          </w:rPr>
          <w:t>om/content/dam/mercer/attachments/north-america/us/the-future-of-hr-mercer.pdf</w:t>
        </w:r>
      </w:hyperlink>
      <w:r>
        <w:rPr>
          <w:rFonts w:cs="Calibri"/>
        </w:rPr>
        <w:t xml:space="preserve"> (Accessed: 19 May 2020). </w:t>
      </w:r>
    </w:p>
    <w:p w14:paraId="05CF79F0" w14:textId="77777777" w:rsidR="00FF3942" w:rsidRDefault="00216AB7">
      <w:pPr>
        <w:pStyle w:val="ListParagraph"/>
        <w:numPr>
          <w:ilvl w:val="0"/>
          <w:numId w:val="2"/>
        </w:numPr>
        <w:spacing w:after="200"/>
      </w:pPr>
      <w:r>
        <w:rPr>
          <w:rFonts w:cs="Calibri"/>
          <w:lang w:val="en-US"/>
        </w:rPr>
        <w:t xml:space="preserve">Minnaar, J. De Morree, P. (2019) </w:t>
      </w:r>
      <w:r>
        <w:rPr>
          <w:rFonts w:cs="Calibri"/>
          <w:i/>
          <w:iCs/>
          <w:lang w:val="en-US"/>
        </w:rPr>
        <w:t>Corporate Rebels. Make Work More Fun</w:t>
      </w:r>
      <w:r>
        <w:rPr>
          <w:rFonts w:cs="Calibri"/>
          <w:lang w:val="en-US"/>
        </w:rPr>
        <w:t>. Nederland: Corporate Rebels B.V</w:t>
      </w:r>
    </w:p>
    <w:p w14:paraId="05CF79F1" w14:textId="77777777" w:rsidR="00FF3942" w:rsidRDefault="00216AB7">
      <w:pPr>
        <w:pStyle w:val="ListParagraph"/>
        <w:numPr>
          <w:ilvl w:val="0"/>
          <w:numId w:val="2"/>
        </w:numPr>
        <w:spacing w:after="200"/>
      </w:pPr>
      <w:r>
        <w:rPr>
          <w:rFonts w:cs="Calibri"/>
        </w:rPr>
        <w:t xml:space="preserve">Nanjundeswaraswamy, T.S. and Swamy, D.R. (2014) </w:t>
      </w:r>
      <w:r>
        <w:rPr>
          <w:rFonts w:cs="Calibri"/>
        </w:rPr>
        <w:t xml:space="preserve">‘Leadership Styles’, </w:t>
      </w:r>
      <w:r>
        <w:rPr>
          <w:rFonts w:cs="Calibri"/>
          <w:i/>
          <w:iCs/>
        </w:rPr>
        <w:t>Advances in Management,</w:t>
      </w:r>
      <w:r>
        <w:rPr>
          <w:rFonts w:cs="Calibri"/>
        </w:rPr>
        <w:t xml:space="preserve"> 7(2), pp. 57-58.</w:t>
      </w:r>
    </w:p>
    <w:p w14:paraId="05CF79F2" w14:textId="77777777" w:rsidR="00FF3942" w:rsidRDefault="00216AB7">
      <w:pPr>
        <w:pStyle w:val="ListParagraph"/>
        <w:numPr>
          <w:ilvl w:val="0"/>
          <w:numId w:val="2"/>
        </w:numPr>
        <w:spacing w:after="200"/>
        <w:jc w:val="both"/>
      </w:pPr>
      <w:r>
        <w:rPr>
          <w:rFonts w:cs="Calibri"/>
        </w:rPr>
        <w:t xml:space="preserve">Putter, B. (2018) </w:t>
      </w:r>
      <w:r>
        <w:rPr>
          <w:rFonts w:cs="Calibri"/>
          <w:i/>
          <w:iCs/>
        </w:rPr>
        <w:t>Netflix’s Company Culture Is Not For Everybody And That’s Exactly How It Should Be.</w:t>
      </w:r>
      <w:r>
        <w:rPr>
          <w:rFonts w:cs="Calibri"/>
        </w:rPr>
        <w:t xml:space="preserve"> Available at: </w:t>
      </w:r>
      <w:hyperlink r:id="rId21" w:history="1">
        <w:r>
          <w:rPr>
            <w:rStyle w:val="Hyperlink"/>
            <w:rFonts w:cs="Calibri"/>
            <w:color w:val="auto"/>
          </w:rPr>
          <w:t>https://www.forbes.com/sites/brettonputter/2018/12/04/netflixs-company-culture-is-not-for-everybody-and-thats-exactly-how-it-should-be/#ba8cdad1880e</w:t>
        </w:r>
      </w:hyperlink>
      <w:r>
        <w:rPr>
          <w:rFonts w:cs="Calibri"/>
        </w:rPr>
        <w:t xml:space="preserve"> (Accessed: 19 May 2</w:t>
      </w:r>
      <w:r>
        <w:rPr>
          <w:rFonts w:cs="Calibri"/>
        </w:rPr>
        <w:t xml:space="preserve">020). </w:t>
      </w:r>
    </w:p>
    <w:p w14:paraId="05CF79F3" w14:textId="77777777" w:rsidR="00FF3942" w:rsidRDefault="00216AB7">
      <w:pPr>
        <w:pStyle w:val="ListParagraph"/>
        <w:numPr>
          <w:ilvl w:val="0"/>
          <w:numId w:val="2"/>
        </w:numPr>
        <w:spacing w:after="200"/>
      </w:pPr>
      <w:r>
        <w:rPr>
          <w:rFonts w:cs="Calibri"/>
        </w:rPr>
        <w:t xml:space="preserve">Rees, G. and French, R. (2016) </w:t>
      </w:r>
      <w:r>
        <w:rPr>
          <w:rFonts w:cs="Calibri"/>
          <w:i/>
          <w:iCs/>
        </w:rPr>
        <w:t xml:space="preserve">Leading, managing and developing people. </w:t>
      </w:r>
      <w:r>
        <w:rPr>
          <w:rFonts w:cs="Calibri"/>
        </w:rPr>
        <w:t xml:space="preserve">London: Chartered Institute of Personnel and Development. </w:t>
      </w:r>
    </w:p>
    <w:p w14:paraId="05CF79F4" w14:textId="77777777" w:rsidR="00FF3942" w:rsidRDefault="00216AB7">
      <w:pPr>
        <w:pStyle w:val="ListParagraph"/>
        <w:numPr>
          <w:ilvl w:val="0"/>
          <w:numId w:val="2"/>
        </w:numPr>
      </w:pPr>
      <w:r>
        <w:t xml:space="preserve">Setiyani, A., Djumarno, D., Riyanto, S. and Nawangsari, L.C. (2019) </w:t>
      </w:r>
      <w:r>
        <w:rPr>
          <w:i/>
          <w:iCs/>
        </w:rPr>
        <w:t>‘</w:t>
      </w:r>
      <w:r>
        <w:t xml:space="preserve">The Effect of Work Environment on </w:t>
      </w:r>
      <w:r>
        <w:t>Flexible Working Hours, Employee Engagement and Employee Motivation’,</w:t>
      </w:r>
      <w:r>
        <w:rPr>
          <w:i/>
          <w:iCs/>
        </w:rPr>
        <w:t xml:space="preserve"> International Review of Management and Marketing, </w:t>
      </w:r>
      <w:r>
        <w:t>9(3), pp. 112-116.</w:t>
      </w:r>
    </w:p>
    <w:p w14:paraId="05CF79F5" w14:textId="77777777" w:rsidR="00FF3942" w:rsidRDefault="00216AB7">
      <w:pPr>
        <w:pStyle w:val="ListParagraph"/>
        <w:numPr>
          <w:ilvl w:val="0"/>
          <w:numId w:val="2"/>
        </w:numPr>
        <w:jc w:val="both"/>
      </w:pPr>
      <w:r>
        <w:rPr>
          <w:rFonts w:cs="Calibri"/>
        </w:rPr>
        <w:t xml:space="preserve">Simms, B. (2014) ‘How to Create a Positive Work Culture’, </w:t>
      </w:r>
      <w:r>
        <w:rPr>
          <w:rFonts w:cs="Calibri"/>
          <w:i/>
          <w:iCs/>
        </w:rPr>
        <w:t>Contract Management,</w:t>
      </w:r>
      <w:r>
        <w:rPr>
          <w:rFonts w:cs="Calibri"/>
        </w:rPr>
        <w:t xml:space="preserve"> 54(5), pp. 16-17.  </w:t>
      </w:r>
    </w:p>
    <w:p w14:paraId="05CF79F6" w14:textId="77777777" w:rsidR="00FF3942" w:rsidRDefault="00216AB7">
      <w:pPr>
        <w:pStyle w:val="ListParagraph"/>
        <w:numPr>
          <w:ilvl w:val="0"/>
          <w:numId w:val="2"/>
        </w:numPr>
        <w:spacing w:after="120"/>
      </w:pPr>
      <w:r>
        <w:rPr>
          <w:rFonts w:cs="Calibri"/>
        </w:rPr>
        <w:t>Stan, A. and Goodw</w:t>
      </w:r>
      <w:r>
        <w:rPr>
          <w:rFonts w:cs="Calibri"/>
        </w:rPr>
        <w:t xml:space="preserve">in, T. (2020) </w:t>
      </w:r>
      <w:r>
        <w:rPr>
          <w:rFonts w:cs="Calibri"/>
          <w:i/>
          <w:iCs/>
        </w:rPr>
        <w:t>This is what’s wrong with Human Resources – and how to change it.</w:t>
      </w:r>
      <w:r>
        <w:rPr>
          <w:rFonts w:cs="Calibri"/>
        </w:rPr>
        <w:t xml:space="preserve"> Available at:</w:t>
      </w:r>
      <w:r>
        <w:rPr>
          <w:rFonts w:cs="Calibri"/>
          <w:i/>
          <w:iCs/>
        </w:rPr>
        <w:t xml:space="preserve"> </w:t>
      </w:r>
      <w:r>
        <w:rPr>
          <w:rFonts w:cs="Calibri"/>
        </w:rPr>
        <w:t xml:space="preserve"> </w:t>
      </w:r>
      <w:hyperlink r:id="rId22" w:history="1">
        <w:r>
          <w:rPr>
            <w:rStyle w:val="Hyperlink"/>
            <w:rFonts w:cs="Calibri"/>
            <w:color w:val="auto"/>
          </w:rPr>
          <w:t>https://www.weforum.org/agenda/2020/02/human-resources-disrupt-talent-recruitment-retention/?fbclid=IwAR1WlsVdYl8g8rKC9BUphEa1KEYbIloVU6DtrpG1LlqKlFYCcgrNRCA4Gyo</w:t>
        </w:r>
      </w:hyperlink>
      <w:r>
        <w:rPr>
          <w:rFonts w:cs="Calibri"/>
        </w:rPr>
        <w:t xml:space="preserve"> (Accessed: 19 May 2020). </w:t>
      </w:r>
    </w:p>
    <w:p w14:paraId="05CF79F7" w14:textId="77777777" w:rsidR="00FF3942" w:rsidRDefault="00216AB7">
      <w:pPr>
        <w:pStyle w:val="ListParagraph"/>
        <w:numPr>
          <w:ilvl w:val="0"/>
          <w:numId w:val="2"/>
        </w:numPr>
      </w:pPr>
      <w:r>
        <w:rPr>
          <w:rFonts w:cs="Calibri"/>
        </w:rPr>
        <w:t xml:space="preserve">The Health Insurance Group. (2019) </w:t>
      </w:r>
      <w:r>
        <w:rPr>
          <w:rFonts w:cs="Calibri"/>
          <w:i/>
          <w:iCs/>
        </w:rPr>
        <w:t>Get the most fr</w:t>
      </w:r>
      <w:r>
        <w:rPr>
          <w:rFonts w:cs="Calibri"/>
          <w:i/>
          <w:iCs/>
        </w:rPr>
        <w:t xml:space="preserve">om Millennials, by understanding what has shaped them. </w:t>
      </w:r>
      <w:r>
        <w:rPr>
          <w:rFonts w:cs="Calibri"/>
        </w:rPr>
        <w:t xml:space="preserve">Available at: </w:t>
      </w:r>
      <w:hyperlink r:id="rId23" w:history="1">
        <w:r>
          <w:rPr>
            <w:rStyle w:val="Hyperlink"/>
            <w:rFonts w:cs="Calibri"/>
            <w:color w:val="auto"/>
          </w:rPr>
          <w:t>https://www.personneltoday.com/pr/2019/05/get-the-most-from</w:t>
        </w:r>
        <w:r>
          <w:rPr>
            <w:rStyle w:val="Hyperlink"/>
            <w:rFonts w:cs="Calibri"/>
            <w:color w:val="auto"/>
          </w:rPr>
          <w:t>-millennials-by-understanding-what-has-shaped-them/</w:t>
        </w:r>
      </w:hyperlink>
      <w:r>
        <w:rPr>
          <w:rFonts w:cs="Calibri"/>
        </w:rPr>
        <w:t xml:space="preserve"> (Accessed: 19 May 2020).</w:t>
      </w:r>
    </w:p>
    <w:p w14:paraId="05CF79F8" w14:textId="77777777" w:rsidR="00FF3942" w:rsidRDefault="00216AB7">
      <w:pPr>
        <w:pStyle w:val="ListParagraph"/>
        <w:numPr>
          <w:ilvl w:val="0"/>
          <w:numId w:val="2"/>
        </w:numPr>
      </w:pPr>
      <w:r>
        <w:rPr>
          <w:rFonts w:cs="Calibri"/>
        </w:rPr>
        <w:t xml:space="preserve">Thomas, J. (2019) </w:t>
      </w:r>
      <w:r>
        <w:rPr>
          <w:rFonts w:cs="Calibri"/>
          <w:i/>
          <w:iCs/>
        </w:rPr>
        <w:t xml:space="preserve">Retaining talent with leadership that cares. </w:t>
      </w:r>
      <w:r>
        <w:rPr>
          <w:rFonts w:cs="Calibri"/>
        </w:rPr>
        <w:t xml:space="preserve">Available at: </w:t>
      </w:r>
      <w:hyperlink r:id="rId24" w:history="1">
        <w:r>
          <w:rPr>
            <w:rStyle w:val="Hyperlink"/>
            <w:rFonts w:cs="Calibri"/>
            <w:color w:val="auto"/>
          </w:rPr>
          <w:t>https://www.hrmagazine.co.uk/article-details/retaining-talent-with-leadership-that-cares</w:t>
        </w:r>
      </w:hyperlink>
      <w:r>
        <w:rPr>
          <w:rFonts w:cs="Calibri"/>
        </w:rPr>
        <w:t xml:space="preserve"> (Accessed: 19 May 2020). </w:t>
      </w:r>
    </w:p>
    <w:p w14:paraId="05CF79F9" w14:textId="77777777" w:rsidR="00FF3942" w:rsidRDefault="00216AB7">
      <w:pPr>
        <w:pStyle w:val="ListParagraph"/>
        <w:numPr>
          <w:ilvl w:val="0"/>
          <w:numId w:val="2"/>
        </w:numPr>
      </w:pPr>
      <w:r>
        <w:rPr>
          <w:rFonts w:cs="Calibri"/>
        </w:rPr>
        <w:t xml:space="preserve">Timms, P. (2019) </w:t>
      </w:r>
      <w:r>
        <w:rPr>
          <w:rFonts w:cs="Calibri"/>
          <w:i/>
          <w:iCs/>
        </w:rPr>
        <w:t>Three Predictions for HR in 2020.</w:t>
      </w:r>
      <w:r>
        <w:rPr>
          <w:rFonts w:cs="Calibri"/>
        </w:rPr>
        <w:t xml:space="preserve"> Available at: </w:t>
      </w:r>
      <w:hyperlink r:id="rId25" w:history="1">
        <w:r>
          <w:rPr>
            <w:rStyle w:val="Hyperlink"/>
            <w:rFonts w:cs="Calibri"/>
            <w:color w:val="auto"/>
          </w:rPr>
          <w:t>https://www.hrzone.com/lead/culture/three-predictions-for-hr-in-2020</w:t>
        </w:r>
      </w:hyperlink>
      <w:r>
        <w:rPr>
          <w:rFonts w:cs="Calibri"/>
        </w:rPr>
        <w:t xml:space="preserve"> (Accessed: 19 May 2020) </w:t>
      </w:r>
    </w:p>
    <w:p w14:paraId="05CF79FA" w14:textId="77777777" w:rsidR="00FF3942" w:rsidRDefault="00216AB7">
      <w:pPr>
        <w:pStyle w:val="ListParagraph"/>
        <w:numPr>
          <w:ilvl w:val="0"/>
          <w:numId w:val="2"/>
        </w:numPr>
      </w:pPr>
      <w:r>
        <w:rPr>
          <w:rFonts w:cs="Calibri"/>
        </w:rPr>
        <w:t xml:space="preserve">Whitmore, J. (2017) </w:t>
      </w:r>
      <w:r>
        <w:rPr>
          <w:rFonts w:cs="Calibri"/>
          <w:i/>
          <w:iCs/>
        </w:rPr>
        <w:t>Coaching for Performance: The Principle and Practice of co</w:t>
      </w:r>
      <w:r>
        <w:rPr>
          <w:rFonts w:cs="Calibri"/>
          <w:i/>
          <w:iCs/>
        </w:rPr>
        <w:t xml:space="preserve">aching and leadership. </w:t>
      </w:r>
      <w:r>
        <w:rPr>
          <w:rFonts w:cs="Calibri"/>
        </w:rPr>
        <w:t>Great Britain: Nicholas Brealey Publishing.</w:t>
      </w:r>
    </w:p>
    <w:p w14:paraId="05CF79FB" w14:textId="77777777" w:rsidR="00FF3942" w:rsidRDefault="00216AB7">
      <w:pPr>
        <w:pStyle w:val="ListParagraph"/>
        <w:numPr>
          <w:ilvl w:val="0"/>
          <w:numId w:val="2"/>
        </w:numPr>
        <w:spacing w:after="200"/>
      </w:pPr>
      <w:r>
        <w:rPr>
          <w:rFonts w:cs="Calibri"/>
        </w:rPr>
        <w:t xml:space="preserve">Williams, T. (2020) </w:t>
      </w:r>
      <w:r>
        <w:rPr>
          <w:rFonts w:cs="Calibri"/>
          <w:i/>
          <w:iCs/>
        </w:rPr>
        <w:t xml:space="preserve">Is HR becoming irrelevant? </w:t>
      </w:r>
      <w:r>
        <w:rPr>
          <w:rFonts w:cs="Calibri"/>
        </w:rPr>
        <w:t xml:space="preserve">Available at: </w:t>
      </w:r>
      <w:hyperlink r:id="rId26" w:history="1">
        <w:r>
          <w:rPr>
            <w:rStyle w:val="Hyperlink"/>
            <w:rFonts w:cs="Calibri"/>
            <w:color w:val="auto"/>
          </w:rPr>
          <w:t>https://execed.economist.com/blog/indu</w:t>
        </w:r>
        <w:r>
          <w:rPr>
            <w:rStyle w:val="Hyperlink"/>
            <w:rFonts w:cs="Calibri"/>
            <w:color w:val="auto"/>
          </w:rPr>
          <w:t>stry-trends/hr-becoming-irrelevant</w:t>
        </w:r>
      </w:hyperlink>
      <w:r>
        <w:rPr>
          <w:rFonts w:cs="Calibri"/>
        </w:rPr>
        <w:t xml:space="preserve"> (Accessed: 19 May 2020).</w:t>
      </w:r>
    </w:p>
    <w:p w14:paraId="05CF79FC" w14:textId="77777777" w:rsidR="00FF3942" w:rsidRDefault="00FF3942">
      <w:pPr>
        <w:rPr>
          <w:b/>
          <w:bCs/>
          <w:u w:val="single"/>
        </w:rPr>
      </w:pPr>
    </w:p>
    <w:p w14:paraId="05CF79FD" w14:textId="77777777" w:rsidR="00FF3942" w:rsidRDefault="00216AB7">
      <w:pPr>
        <w:pStyle w:val="ListParagraph"/>
        <w:ind w:left="284"/>
        <w:jc w:val="both"/>
      </w:pPr>
      <w:r>
        <w:t xml:space="preserve"> </w:t>
      </w:r>
    </w:p>
    <w:sectPr w:rsidR="00FF3942">
      <w:pgSz w:w="11906" w:h="16838"/>
      <w:pgMar w:top="1276" w:right="1440" w:bottom="851"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CF798E" w14:textId="77777777" w:rsidR="00000000" w:rsidRDefault="00216AB7">
      <w:pPr>
        <w:spacing w:after="0"/>
      </w:pPr>
      <w:r>
        <w:separator/>
      </w:r>
    </w:p>
  </w:endnote>
  <w:endnote w:type="continuationSeparator" w:id="0">
    <w:p w14:paraId="05CF7990" w14:textId="77777777" w:rsidR="00000000" w:rsidRDefault="00216AB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CF798A" w14:textId="77777777" w:rsidR="00000000" w:rsidRDefault="00216AB7">
      <w:pPr>
        <w:spacing w:after="0"/>
      </w:pPr>
      <w:r>
        <w:rPr>
          <w:color w:val="000000"/>
        </w:rPr>
        <w:separator/>
      </w:r>
    </w:p>
  </w:footnote>
  <w:footnote w:type="continuationSeparator" w:id="0">
    <w:p w14:paraId="05CF798C" w14:textId="77777777" w:rsidR="00000000" w:rsidRDefault="00216AB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2FD7ED9"/>
    <w:multiLevelType w:val="multilevel"/>
    <w:tmpl w:val="62E086D4"/>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5E1F284E"/>
    <w:multiLevelType w:val="multilevel"/>
    <w:tmpl w:val="DA8A58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FF3942"/>
    <w:rsid w:val="00216AB7"/>
    <w:rsid w:val="00FF3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F798A"/>
  <w15:docId w15:val="{6A4D0F5D-D225-4D3D-A7CF-D5A83FB6B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ListParagraph">
    <w:name w:val="List Paragraph"/>
    <w:basedOn w:val="Normal"/>
    <w:pPr>
      <w:ind w:left="720"/>
    </w:pPr>
  </w:style>
  <w:style w:type="character" w:styleId="FollowedHyperlink">
    <w:name w:val="FollowedHyperlink"/>
    <w:basedOn w:val="DefaultParagraphFont"/>
    <w:rPr>
      <w:color w:val="954F72"/>
      <w:u w:val="single"/>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styleId="Strong">
    <w:name w:val="Strong"/>
    <w:basedOn w:val="DefaultParagraphFont"/>
    <w:rPr>
      <w:b/>
      <w:bCs/>
    </w:rPr>
  </w:style>
  <w:style w:type="character" w:customStyle="1" w:styleId="titleauthoretc">
    <w:name w:val="titleauthoretc"/>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hbr.org/2016/01/manage-your-emotional-culture" TargetMode="External"/><Relationship Id="rId13" Type="http://schemas.openxmlformats.org/officeDocument/2006/relationships/hyperlink" Target="https://www.personneltoday.com/hr/barclays-chief-executive-flexible-working-will-become-the-norm/" TargetMode="External"/><Relationship Id="rId18" Type="http://schemas.openxmlformats.org/officeDocument/2006/relationships/hyperlink" Target="https://www.youtube.com/watch?v=uvG0aCbuG60" TargetMode="External"/><Relationship Id="rId26" Type="http://schemas.openxmlformats.org/officeDocument/2006/relationships/hyperlink" Target="https://execed.economist.com/blog/industry-trends/hr-becoming-irrelevant" TargetMode="External"/><Relationship Id="rId3" Type="http://schemas.openxmlformats.org/officeDocument/2006/relationships/settings" Target="settings.xml"/><Relationship Id="rId21" Type="http://schemas.openxmlformats.org/officeDocument/2006/relationships/hyperlink" Target="https://www.forbes.com/sites/brettonputter/2018/12/04/netflixs-company-culture-is-not-for-everybody-and-thats-exactly-how-it-should-be/#ba8cdad1880e" TargetMode="External"/><Relationship Id="rId7" Type="http://schemas.openxmlformats.org/officeDocument/2006/relationships/hyperlink" Target="https://www.acas.org.uk/acas-code-of-practice-on-flexible-working-requests/html#introduction" TargetMode="External"/><Relationship Id="rId12" Type="http://schemas.openxmlformats.org/officeDocument/2006/relationships/hyperlink" Target="https://hbr.org/2015/07/why-we-love-to-hate-hr-and-what-hr-can-do-about-it?utm_campaign=hbr&amp;utm_source=facebook&amp;utm_medium=social&amp;fbclid=IwAR21SiyAwf2BiRVvTjdLdeDph9vo_b9IGI0i7z6kt6BuqMMae11lIljrUKI" TargetMode="External"/><Relationship Id="rId17" Type="http://schemas.openxmlformats.org/officeDocument/2006/relationships/hyperlink" Target="https://www.ethicalconsumer.org/retailers/top-five-ethical-high-street-shops" TargetMode="External"/><Relationship Id="rId25" Type="http://schemas.openxmlformats.org/officeDocument/2006/relationships/hyperlink" Target="https://www.hrzone.com/lead/culture/three-predictions-for-hr-in-2020" TargetMode="External"/><Relationship Id="rId2" Type="http://schemas.openxmlformats.org/officeDocument/2006/relationships/styles" Target="styles.xml"/><Relationship Id="rId16" Type="http://schemas.openxmlformats.org/officeDocument/2006/relationships/hyperlink" Target="https://www.hsbc.com/our-approach/culture-and-people" TargetMode="External"/><Relationship Id="rId20" Type="http://schemas.openxmlformats.org/officeDocument/2006/relationships/hyperlink" Target="https://www.mercer.com/content/dam/mercer/attachments/north-america/us/the-future-of-hr-mercer.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business-48190176" TargetMode="External"/><Relationship Id="rId24" Type="http://schemas.openxmlformats.org/officeDocument/2006/relationships/hyperlink" Target="https://www.hrmagazine.co.uk/article-details/retaining-talent-with-leadership-that-cares" TargetMode="External"/><Relationship Id="rId5" Type="http://schemas.openxmlformats.org/officeDocument/2006/relationships/footnotes" Target="footnotes.xml"/><Relationship Id="rId15" Type="http://schemas.openxmlformats.org/officeDocument/2006/relationships/hyperlink" Target="https://www.fm-magazine.com/issues/2020/apr/ethical-leader-traits.html" TargetMode="External"/><Relationship Id="rId23" Type="http://schemas.openxmlformats.org/officeDocument/2006/relationships/hyperlink" Target="https://www.personneltoday.com/pr/2019/05/get-the-most-from-millennials-by-understanding-what-has-shaped-them/" TargetMode="External"/><Relationship Id="rId28" Type="http://schemas.openxmlformats.org/officeDocument/2006/relationships/theme" Target="theme/theme1.xml"/><Relationship Id="rId10" Type="http://schemas.openxmlformats.org/officeDocument/2006/relationships/hyperlink" Target="https://www.peoplemanagement.co.uk/news/articles/half-workers-expect-work-more-flexibly-post-lockdown-survey?utm_source=mc&amp;utm_medium=email&amp;utm_content=pm_daily_06052020.Half+of+workers+expect+to+work+more+flexibly+post-lockdown%2c+survey+finds&amp;utm_campaign=7295441&amp;utm_term=5629985" TargetMode="External"/><Relationship Id="rId19" Type="http://schemas.openxmlformats.org/officeDocument/2006/relationships/hyperlink" Target="https://www.mckinsey.com/business-functions/organization/our-insights/the-fairness-factor-in-performance-management" TargetMode="External"/><Relationship Id="rId4" Type="http://schemas.openxmlformats.org/officeDocument/2006/relationships/webSettings" Target="webSettings.xml"/><Relationship Id="rId9" Type="http://schemas.openxmlformats.org/officeDocument/2006/relationships/hyperlink" Target="https://www.hrmagazine.co.uk/article-details/the-dangers-of-recruiting-for-cultural-fit" TargetMode="External"/><Relationship Id="rId14" Type="http://schemas.openxmlformats.org/officeDocument/2006/relationships/hyperlink" Target="https://www.hrzone.com/perform/business/sustainable-capitalism-business-as-a-force-for-positive-change" TargetMode="External"/><Relationship Id="rId22" Type="http://schemas.openxmlformats.org/officeDocument/2006/relationships/hyperlink" Target="https://www.weforum.org/agenda/2020/02/human-resources-disrupt-talent-recruitment-retention/?fbclid=IwAR1WlsVdYl8g8rKC9BUphEa1KEYbIloVU6DtrpG1LlqKlFYCcgrNRCA4Gyo"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5968</Words>
  <Characters>34024</Characters>
  <Application>Microsoft Office Word</Application>
  <DocSecurity>0</DocSecurity>
  <Lines>283</Lines>
  <Paragraphs>79</Paragraphs>
  <ScaleCrop>false</ScaleCrop>
  <Company/>
  <LinksUpToDate>false</LinksUpToDate>
  <CharactersWithSpaces>39913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dc:creator>
  <dc:description/>
  <cp:lastModifiedBy>Hannah Graham</cp:lastModifiedBy>
  <cp:revision>2</cp:revision>
  <dcterms:created xsi:type="dcterms:W3CDTF">2020-05-21T08:53:00Z</dcterms:created>
  <dcterms:modified xsi:type="dcterms:W3CDTF">2020-05-21T08:53:00Z</dcterms:modified>
</cp:coreProperties>
</file>