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1E2EF2" w14:textId="77777777" w:rsidR="00D743AA" w:rsidRPr="00D743AA" w:rsidRDefault="00D743AA" w:rsidP="00D046B5">
      <w:pPr>
        <w:spacing w:line="480" w:lineRule="auto"/>
        <w:rPr>
          <w:b/>
          <w:bCs/>
        </w:rPr>
      </w:pPr>
      <w:r w:rsidRPr="00D743AA">
        <w:rPr>
          <w:b/>
          <w:bCs/>
        </w:rPr>
        <w:t>1000 words - Understanding the role of Constable/Maintaining Professional Standards</w:t>
      </w:r>
    </w:p>
    <w:p w14:paraId="73B9F46A" w14:textId="14C0A350" w:rsidR="00025C0F" w:rsidRPr="00025C0F" w:rsidRDefault="00025C0F" w:rsidP="00D046B5">
      <w:pPr>
        <w:spacing w:line="480" w:lineRule="auto"/>
      </w:pPr>
      <w:r>
        <w:t>As the social character of the world we police has changed over time, so has the nature of its policing challenges. As the need for a police service</w:t>
      </w:r>
      <w:r w:rsidR="00A42C9D">
        <w:t xml:space="preserve"> has</w:t>
      </w:r>
      <w:r>
        <w:t xml:space="preserve"> bec</w:t>
      </w:r>
      <w:r w:rsidR="00A42C9D">
        <w:t>o</w:t>
      </w:r>
      <w:r>
        <w:t xml:space="preserve">me greater – with rising populations, technological advancements, industrialisation, and globalisation changing the way crime and punishment manifested itself – so </w:t>
      </w:r>
      <w:r w:rsidR="00B401BB">
        <w:t>has</w:t>
      </w:r>
      <w:r>
        <w:t xml:space="preserve"> the need for improvements in its output, in order to keep up and deliver results. Ways </w:t>
      </w:r>
      <w:r w:rsidR="007D3B5B">
        <w:t>via</w:t>
      </w:r>
      <w:r>
        <w:t xml:space="preserve"> which </w:t>
      </w:r>
      <w:r w:rsidR="007D3B5B">
        <w:t>policing organisations have s</w:t>
      </w:r>
      <w:bookmarkStart w:id="0" w:name="_GoBack"/>
      <w:bookmarkEnd w:id="0"/>
      <w:r w:rsidR="007D3B5B">
        <w:t>trived to maintain stride with this transitory target include the establishment and regular review of a</w:t>
      </w:r>
      <w:r w:rsidR="00A20F9B">
        <w:t xml:space="preserve"> universal</w:t>
      </w:r>
      <w:r w:rsidR="007D3B5B">
        <w:t xml:space="preserve"> prescription of professional standards, </w:t>
      </w:r>
      <w:r w:rsidR="00085702">
        <w:t>adherence to modern ethical positions on inclusivity regarding who can join and be</w:t>
      </w:r>
      <w:r w:rsidR="008D49FF">
        <w:t xml:space="preserve"> be</w:t>
      </w:r>
      <w:r w:rsidR="00085702">
        <w:t>st served by the police, and a subscription to improvements in training and officer development.</w:t>
      </w:r>
      <w:r w:rsidR="00FA5049">
        <w:t xml:space="preserve"> </w:t>
      </w:r>
    </w:p>
    <w:p w14:paraId="01DB2FA1" w14:textId="3986813B" w:rsidR="00334855" w:rsidRDefault="002C27C5" w:rsidP="00D046B5">
      <w:pPr>
        <w:spacing w:line="480" w:lineRule="auto"/>
      </w:pPr>
      <w:r>
        <w:t xml:space="preserve">In the modern context, the original blueprint for the police’s Code of Ethics and standards of professional behaviour is Sir Robert Peel’s </w:t>
      </w:r>
      <w:r w:rsidR="00057FFB">
        <w:t>‘</w:t>
      </w:r>
      <w:proofErr w:type="spellStart"/>
      <w:r w:rsidRPr="00057FFB">
        <w:t>Peelian</w:t>
      </w:r>
      <w:proofErr w:type="spellEnd"/>
      <w:r w:rsidRPr="00057FFB">
        <w:t xml:space="preserve"> Principles</w:t>
      </w:r>
      <w:r w:rsidR="00057FFB">
        <w:t>’</w:t>
      </w:r>
      <w:r>
        <w:t xml:space="preserve"> of policing. </w:t>
      </w:r>
      <w:r w:rsidR="003F3EAB">
        <w:t xml:space="preserve">In essence, these nine interdependent maxims </w:t>
      </w:r>
      <w:r w:rsidR="003A434A">
        <w:t xml:space="preserve">base that which the police should exist to achieve </w:t>
      </w:r>
      <w:r w:rsidR="0041422E">
        <w:t>(</w:t>
      </w:r>
      <w:proofErr w:type="spellStart"/>
      <w:r w:rsidR="0041422E">
        <w:t>i.e</w:t>
      </w:r>
      <w:proofErr w:type="spellEnd"/>
      <w:r w:rsidR="0041422E">
        <w:t xml:space="preserve"> </w:t>
      </w:r>
      <w:r w:rsidR="003C3269">
        <w:t>prevent crime and disorder</w:t>
      </w:r>
      <w:r w:rsidR="0041422E">
        <w:t>)</w:t>
      </w:r>
      <w:r w:rsidR="003C3269">
        <w:t xml:space="preserve"> </w:t>
      </w:r>
      <w:r w:rsidR="0041422E">
        <w:t>with</w:t>
      </w:r>
      <w:r w:rsidR="00F47DB7">
        <w:t xml:space="preserve">in a </w:t>
      </w:r>
      <w:r w:rsidR="0041422E">
        <w:t xml:space="preserve">system of values </w:t>
      </w:r>
      <w:r w:rsidR="005D3227">
        <w:t xml:space="preserve">simultaneously designed to best enable the police to achieve it in the long term as well as provide a general moral framework for the organisation. Directly referenced are concepts of necessary and proportionate use of force, impartiality </w:t>
      </w:r>
      <w:r w:rsidR="00543A62">
        <w:t xml:space="preserve">in service </w:t>
      </w:r>
      <w:r w:rsidR="005F3116">
        <w:t>of</w:t>
      </w:r>
      <w:r w:rsidR="005D3227">
        <w:t xml:space="preserve"> the law, </w:t>
      </w:r>
      <w:r w:rsidR="005F3116">
        <w:t>and deference to the idea that the police are citizens representing citizens, all in the name of accumulating informed favour, respect, and co-operation from the public</w:t>
      </w:r>
      <w:r w:rsidR="001064FC">
        <w:t xml:space="preserve"> </w:t>
      </w:r>
      <w:sdt>
        <w:sdtPr>
          <w:id w:val="949661332"/>
          <w:citation/>
        </w:sdtPr>
        <w:sdtEndPr/>
        <w:sdtContent>
          <w:r w:rsidR="001064FC">
            <w:fldChar w:fldCharType="begin"/>
          </w:r>
          <w:r w:rsidR="001064FC">
            <w:instrText xml:space="preserve"> CITATION Hom12 \l 2057 </w:instrText>
          </w:r>
          <w:r w:rsidR="001064FC">
            <w:fldChar w:fldCharType="separate"/>
          </w:r>
          <w:r w:rsidR="00017FE4" w:rsidRPr="00017FE4">
            <w:rPr>
              <w:noProof/>
            </w:rPr>
            <w:t>(Home Office, 2012)</w:t>
          </w:r>
          <w:r w:rsidR="001064FC">
            <w:fldChar w:fldCharType="end"/>
          </w:r>
        </w:sdtContent>
      </w:sdt>
      <w:r w:rsidR="005F3116">
        <w:t>.</w:t>
      </w:r>
      <w:r w:rsidR="0081598E">
        <w:t xml:space="preserve"> It is such support that Peele considered necessary if the police were ever to be able to approach their mission with any confidence of success. In this way, the</w:t>
      </w:r>
      <w:r w:rsidR="005133D6">
        <w:t xml:space="preserve"> ethical skeleton of the police</w:t>
      </w:r>
      <w:r w:rsidR="006246AB">
        <w:t xml:space="preserve"> doing what the</w:t>
      </w:r>
      <w:r w:rsidR="00CB3A80">
        <w:t>y</w:t>
      </w:r>
      <w:r w:rsidR="006246AB">
        <w:t xml:space="preserve"> do by consent</w:t>
      </w:r>
      <w:r w:rsidR="005133D6">
        <w:t xml:space="preserve"> is as much driven and calcified by strategic factors as </w:t>
      </w:r>
      <w:r w:rsidR="0070202C">
        <w:t xml:space="preserve">it is by </w:t>
      </w:r>
      <w:r w:rsidR="005133D6">
        <w:t>purely normative ones.</w:t>
      </w:r>
    </w:p>
    <w:p w14:paraId="248E647E" w14:textId="76447601" w:rsidR="005160FA" w:rsidRDefault="0081598E" w:rsidP="00D046B5">
      <w:pPr>
        <w:spacing w:line="480" w:lineRule="auto"/>
      </w:pPr>
      <w:r>
        <w:t>From this nucleal genesis stems the general foundations of</w:t>
      </w:r>
      <w:r w:rsidR="00507710">
        <w:t xml:space="preserve"> the</w:t>
      </w:r>
      <w:r>
        <w:t xml:space="preserve"> ‘British Model’ of policing. </w:t>
      </w:r>
      <w:proofErr w:type="gramStart"/>
      <w:r>
        <w:t>However</w:t>
      </w:r>
      <w:proofErr w:type="gramEnd"/>
      <w:r>
        <w:t xml:space="preserve"> there are demands from some that the </w:t>
      </w:r>
      <w:r w:rsidR="006246AB">
        <w:t>model</w:t>
      </w:r>
      <w:r>
        <w:t xml:space="preserve"> require</w:t>
      </w:r>
      <w:r w:rsidR="006246AB">
        <w:t>s</w:t>
      </w:r>
      <w:r>
        <w:t xml:space="preserve"> reconceptualising for the 21</w:t>
      </w:r>
      <w:r w:rsidRPr="0081598E">
        <w:rPr>
          <w:vertAlign w:val="superscript"/>
        </w:rPr>
        <w:t>st</w:t>
      </w:r>
      <w:r>
        <w:t xml:space="preserve"> century. 2013’s Independent Police Commission review of the </w:t>
      </w:r>
      <w:r w:rsidR="006246AB">
        <w:t>principles found them to be too vague</w:t>
      </w:r>
      <w:r w:rsidR="00CC6C2C">
        <w:t xml:space="preserve"> and general, </w:t>
      </w:r>
      <w:r w:rsidR="00CC6C2C">
        <w:lastRenderedPageBreak/>
        <w:t xml:space="preserve">and therefore </w:t>
      </w:r>
      <w:r w:rsidR="006246AB">
        <w:t>ill-equipped</w:t>
      </w:r>
      <w:r w:rsidR="00CC6C2C">
        <w:t xml:space="preserve">, </w:t>
      </w:r>
      <w:r w:rsidR="006246AB">
        <w:t xml:space="preserve">for </w:t>
      </w:r>
      <w:r w:rsidR="00CC6C2C">
        <w:t>modern application</w:t>
      </w:r>
      <w:r w:rsidR="00454D3C">
        <w:t xml:space="preserve"> </w:t>
      </w:r>
      <w:sdt>
        <w:sdtPr>
          <w:id w:val="1186943439"/>
          <w:citation/>
        </w:sdtPr>
        <w:sdtEndPr/>
        <w:sdtContent>
          <w:r w:rsidR="00454D3C">
            <w:fldChar w:fldCharType="begin"/>
          </w:r>
          <w:r w:rsidR="00454D3C">
            <w:instrText xml:space="preserve"> CITATION Loc14 \l 2057 </w:instrText>
          </w:r>
          <w:r w:rsidR="00454D3C">
            <w:fldChar w:fldCharType="separate"/>
          </w:r>
          <w:r w:rsidR="00017FE4" w:rsidRPr="00017FE4">
            <w:rPr>
              <w:noProof/>
            </w:rPr>
            <w:t>(Local Government Information Unit, 2014)</w:t>
          </w:r>
          <w:r w:rsidR="00454D3C">
            <w:fldChar w:fldCharType="end"/>
          </w:r>
        </w:sdtContent>
      </w:sdt>
      <w:r w:rsidR="00CC6C2C">
        <w:t xml:space="preserve">. </w:t>
      </w:r>
      <w:r w:rsidR="00E51436">
        <w:t xml:space="preserve">The report calls for a “social justice model” of policing to be enshrined in law, and revises Peele’s nine points into an arguably less specific eight. </w:t>
      </w:r>
      <w:r w:rsidR="000C3B4B">
        <w:t xml:space="preserve">With </w:t>
      </w:r>
      <w:r w:rsidR="002D2F51">
        <w:t xml:space="preserve">additional </w:t>
      </w:r>
      <w:r w:rsidR="000C3B4B">
        <w:t>suggestions such as that “the police must carry out their tasks in ways that contribute to social cohesion and solidarity”</w:t>
      </w:r>
      <w:r w:rsidR="00B176EC">
        <w:t xml:space="preserve">, </w:t>
      </w:r>
      <w:r w:rsidR="006B2B85">
        <w:t>it is fair to say that the mission</w:t>
      </w:r>
      <w:r w:rsidR="006B0431">
        <w:t xml:space="preserve"> – and measurements of success or failure –</w:t>
      </w:r>
      <w:r w:rsidR="006B2B85">
        <w:t xml:space="preserve"> of the police </w:t>
      </w:r>
      <w:r w:rsidR="004F53BD">
        <w:t xml:space="preserve">would be </w:t>
      </w:r>
      <w:r w:rsidR="006B2B85">
        <w:t>broadened somewhat by the review</w:t>
      </w:r>
      <w:r w:rsidR="007D0BA0">
        <w:t>.</w:t>
      </w:r>
      <w:r w:rsidR="008B2AAE">
        <w:t xml:space="preserve"> </w:t>
      </w:r>
    </w:p>
    <w:p w14:paraId="49B4C446" w14:textId="2009D759" w:rsidR="005160FA" w:rsidRDefault="005160FA" w:rsidP="00D046B5">
      <w:pPr>
        <w:spacing w:line="480" w:lineRule="auto"/>
      </w:pPr>
      <w:r>
        <w:t>Peele’s fifth principle directly guards against</w:t>
      </w:r>
      <w:r w:rsidR="006A4F74">
        <w:t xml:space="preserve"> cheap</w:t>
      </w:r>
      <w:r>
        <w:t xml:space="preserve"> attempts to curry public favour by nourishing public opinion. The ICP’s review </w:t>
      </w:r>
      <w:r w:rsidR="00353869">
        <w:t>appears to breach and remove this principle, adding ill-defined ingredients to the recipe. Swap gin for bourbon and one is not left with a Bourbon Negroni, but rather a Boulevardier. In much the same way, Peele defined British policing and entrenched it in a succinct but encompassing conceptual model divorced from politics or</w:t>
      </w:r>
      <w:r w:rsidR="00E62364">
        <w:t xml:space="preserve"> public</w:t>
      </w:r>
      <w:r w:rsidR="00353869">
        <w:t xml:space="preserve"> tantrums. </w:t>
      </w:r>
      <w:r w:rsidR="0073507E">
        <w:t xml:space="preserve">To </w:t>
      </w:r>
      <w:r w:rsidR="00E62364">
        <w:t xml:space="preserve">substitute </w:t>
      </w:r>
      <w:r w:rsidR="00D82070">
        <w:t xml:space="preserve">any of these values is to create a new thing, not merely amend the old. </w:t>
      </w:r>
    </w:p>
    <w:p w14:paraId="6A51B444" w14:textId="718498C3" w:rsidR="00CA73C9" w:rsidRPr="002C27C5" w:rsidRDefault="00CA73C9" w:rsidP="00D046B5">
      <w:pPr>
        <w:spacing w:line="480" w:lineRule="auto"/>
      </w:pPr>
      <w:r>
        <w:t xml:space="preserve">Considering the fine balance between the moral imperative behind the existence of a police force and the operational reality </w:t>
      </w:r>
      <w:r w:rsidR="006F77CB">
        <w:t>beneath</w:t>
      </w:r>
      <w:r>
        <w:t xml:space="preserve"> its code</w:t>
      </w:r>
      <w:r w:rsidR="00FA1C26">
        <w:t>s</w:t>
      </w:r>
      <w:r>
        <w:t xml:space="preserve"> of practice, </w:t>
      </w:r>
      <w:r w:rsidR="00776324">
        <w:t xml:space="preserve">it is hard to see any widening of the scope of the task as helpful. </w:t>
      </w:r>
      <w:r w:rsidR="00104533">
        <w:t>The longer one’s list of goals becomes, the more it functions as merely a wish-list</w:t>
      </w:r>
      <w:r w:rsidR="0066086F">
        <w:t xml:space="preserve"> </w:t>
      </w:r>
      <w:sdt>
        <w:sdtPr>
          <w:id w:val="-1465266784"/>
          <w:citation/>
        </w:sdtPr>
        <w:sdtEndPr/>
        <w:sdtContent>
          <w:r w:rsidR="0066086F">
            <w:fldChar w:fldCharType="begin"/>
          </w:r>
          <w:r w:rsidR="0066086F">
            <w:instrText xml:space="preserve"> CITATION Lom14 \l 2057 </w:instrText>
          </w:r>
          <w:r w:rsidR="0066086F">
            <w:fldChar w:fldCharType="separate"/>
          </w:r>
          <w:r w:rsidR="00017FE4" w:rsidRPr="00017FE4">
            <w:rPr>
              <w:noProof/>
            </w:rPr>
            <w:t>(Lomborg, 2014)</w:t>
          </w:r>
          <w:r w:rsidR="0066086F">
            <w:fldChar w:fldCharType="end"/>
          </w:r>
        </w:sdtContent>
      </w:sdt>
      <w:r w:rsidR="00AA27FD">
        <w:t xml:space="preserve">. </w:t>
      </w:r>
      <w:r w:rsidR="00446E04">
        <w:t xml:space="preserve">It is simply a matter of losing the moral need for the police with a step too far from public </w:t>
      </w:r>
      <w:proofErr w:type="gramStart"/>
      <w:r w:rsidR="00446E04">
        <w:t>approval, and</w:t>
      </w:r>
      <w:proofErr w:type="gramEnd"/>
      <w:r w:rsidR="00446E04">
        <w:t xml:space="preserve"> abandoning capacity to actually implement a meaningful service with a step too close.</w:t>
      </w:r>
      <w:r w:rsidR="00F1765F">
        <w:t xml:space="preserve"> It is from public trust that institutional legitimacy (i.e. an obligation to obey, along some alignment of ethics) – and subsequently public compliance with and commitment to the rule of law – is derived </w:t>
      </w:r>
      <w:sdt>
        <w:sdtPr>
          <w:id w:val="-1754350295"/>
          <w:citation/>
        </w:sdtPr>
        <w:sdtEndPr/>
        <w:sdtContent>
          <w:r w:rsidR="00F1765F">
            <w:fldChar w:fldCharType="begin"/>
          </w:r>
          <w:r w:rsidR="00F1765F">
            <w:instrText xml:space="preserve"> CITATION Hou10 \l 2057 </w:instrText>
          </w:r>
          <w:r w:rsidR="00F1765F">
            <w:fldChar w:fldCharType="separate"/>
          </w:r>
          <w:r w:rsidR="00017FE4" w:rsidRPr="00017FE4">
            <w:rPr>
              <w:noProof/>
            </w:rPr>
            <w:t>(Hough &amp; Bradford, 2010)</w:t>
          </w:r>
          <w:r w:rsidR="00F1765F">
            <w:fldChar w:fldCharType="end"/>
          </w:r>
        </w:sdtContent>
      </w:sdt>
      <w:r w:rsidR="00F1765F">
        <w:t>.</w:t>
      </w:r>
    </w:p>
    <w:p w14:paraId="72860C94" w14:textId="5A5A9EA9" w:rsidR="00F01FC6" w:rsidRDefault="00347EE7" w:rsidP="00D046B5">
      <w:pPr>
        <w:spacing w:line="480" w:lineRule="auto"/>
      </w:pPr>
      <w:r>
        <w:t>We are dealing</w:t>
      </w:r>
      <w:r w:rsidR="00E7656A">
        <w:t xml:space="preserve"> here</w:t>
      </w:r>
      <w:r>
        <w:t xml:space="preserve"> with the question of the actual role of the police in society. </w:t>
      </w:r>
      <w:r w:rsidR="00E2214D">
        <w:t xml:space="preserve">The College of Policing defines </w:t>
      </w:r>
      <w:r w:rsidR="001E54D7">
        <w:t xml:space="preserve">it </w:t>
      </w:r>
      <w:r w:rsidR="00E2214D">
        <w:t>as to promote law and order, reduce fear of crime, and provide and build reassurance and confidence to improve citizens’ quality of life</w:t>
      </w:r>
      <w:r w:rsidR="00145870">
        <w:t xml:space="preserve"> </w:t>
      </w:r>
      <w:sdt>
        <w:sdtPr>
          <w:id w:val="1612713480"/>
          <w:citation/>
        </w:sdtPr>
        <w:sdtEndPr/>
        <w:sdtContent>
          <w:r w:rsidR="00145870">
            <w:fldChar w:fldCharType="begin"/>
          </w:r>
          <w:r w:rsidR="00145870">
            <w:instrText xml:space="preserve"> CITATION Col211 \l 2057 </w:instrText>
          </w:r>
          <w:r w:rsidR="00145870">
            <w:fldChar w:fldCharType="separate"/>
          </w:r>
          <w:r w:rsidR="00017FE4" w:rsidRPr="00017FE4">
            <w:rPr>
              <w:noProof/>
            </w:rPr>
            <w:t>(College of Policing, 2021)</w:t>
          </w:r>
          <w:r w:rsidR="00145870">
            <w:fldChar w:fldCharType="end"/>
          </w:r>
        </w:sdtContent>
      </w:sdt>
      <w:r w:rsidR="00E2214D">
        <w:t>.</w:t>
      </w:r>
      <w:r w:rsidR="00CC0708">
        <w:t xml:space="preserve"> </w:t>
      </w:r>
      <w:r w:rsidR="0060648A">
        <w:t xml:space="preserve">Wielding a monopoly on use of force, the </w:t>
      </w:r>
      <w:r w:rsidR="0094466A">
        <w:t xml:space="preserve">police are essentially the action arm of the state, and the sole legitimate outlet of force when its use upon the state’s own citizens becomes necessary. </w:t>
      </w:r>
      <w:r w:rsidR="00D711CB">
        <w:t xml:space="preserve">At its most </w:t>
      </w:r>
      <w:r w:rsidR="00D711CB">
        <w:lastRenderedPageBreak/>
        <w:t>basic level</w:t>
      </w:r>
      <w:r w:rsidR="00CE0E9E">
        <w:t xml:space="preserve"> then</w:t>
      </w:r>
      <w:r w:rsidR="00D711CB">
        <w:t>, all directives from the state, however benign, come strapped with the implicit threat of force, without which the police cannot enforce those directives.</w:t>
      </w:r>
      <w:r w:rsidR="00F01FC6">
        <w:t xml:space="preserve"> </w:t>
      </w:r>
    </w:p>
    <w:p w14:paraId="1B5F03C7" w14:textId="390B9BA6" w:rsidR="00CE5615" w:rsidRDefault="00FA772D" w:rsidP="00D046B5">
      <w:pPr>
        <w:spacing w:line="480" w:lineRule="auto"/>
      </w:pPr>
      <w:r>
        <w:t>It is therefore</w:t>
      </w:r>
      <w:r w:rsidR="008534EA">
        <w:t xml:space="preserve"> crucial to</w:t>
      </w:r>
      <w:r>
        <w:t xml:space="preserve"> trace the strategic need for public confidence in the police.</w:t>
      </w:r>
      <w:r w:rsidR="00DB78B3">
        <w:t xml:space="preserve"> </w:t>
      </w:r>
      <w:r w:rsidR="00BB511E">
        <w:t>As mentioned above this is not bought cheaply by merely being today whatever the masses want us to be, but rather</w:t>
      </w:r>
      <w:r w:rsidR="00C318FC">
        <w:t xml:space="preserve"> by</w:t>
      </w:r>
      <w:r w:rsidR="00BB511E">
        <w:t xml:space="preserve"> being the same thing every day – neutral, logical, consistent.</w:t>
      </w:r>
      <w:r w:rsidR="007370EF">
        <w:t xml:space="preserve"> </w:t>
      </w:r>
      <w:r w:rsidR="00EA469A">
        <w:t>This is a committal to procedural justice</w:t>
      </w:r>
      <w:r w:rsidR="00EA2FE5">
        <w:t>, meaning outcomes are only right if the process of arriving at them is fair and sound</w:t>
      </w:r>
      <w:r w:rsidR="0076189F">
        <w:t xml:space="preserve">, which protects against the grave mistake of chasing outcomes for their own sake at the cost of </w:t>
      </w:r>
      <w:r w:rsidR="000B30FB">
        <w:t>honesty and integrity</w:t>
      </w:r>
      <w:r w:rsidR="007F0273">
        <w:t xml:space="preserve"> </w:t>
      </w:r>
      <w:sdt>
        <w:sdtPr>
          <w:id w:val="1076622568"/>
          <w:citation/>
        </w:sdtPr>
        <w:sdtEndPr/>
        <w:sdtContent>
          <w:r w:rsidR="007F0273">
            <w:fldChar w:fldCharType="begin"/>
          </w:r>
          <w:r w:rsidR="007F0273">
            <w:instrText xml:space="preserve"> CITATION Lin88 \l 2057 </w:instrText>
          </w:r>
          <w:r w:rsidR="007F0273">
            <w:fldChar w:fldCharType="separate"/>
          </w:r>
          <w:r w:rsidR="00017FE4" w:rsidRPr="00017FE4">
            <w:rPr>
              <w:noProof/>
            </w:rPr>
            <w:t>(Lind &amp; Tyler, 1988)</w:t>
          </w:r>
          <w:r w:rsidR="007F0273">
            <w:fldChar w:fldCharType="end"/>
          </w:r>
        </w:sdtContent>
      </w:sdt>
      <w:r w:rsidR="000B30FB">
        <w:t xml:space="preserve">. Short-term victories from visible action in dealing with crime become long-term and potentially irreversible defeats </w:t>
      </w:r>
      <w:r w:rsidR="00D410B2">
        <w:t>if justice is found to be miscarried</w:t>
      </w:r>
      <w:r w:rsidR="00632B3B">
        <w:t xml:space="preserve"> through professional misconduct or </w:t>
      </w:r>
      <w:r w:rsidR="004713AF">
        <w:t>misdirect</w:t>
      </w:r>
      <w:r w:rsidR="000C3B37">
        <w:t>ion of purpose.</w:t>
      </w:r>
      <w:r w:rsidR="00CE5615">
        <w:t xml:space="preserve"> The case of the ‘Birmingham Six’</w:t>
      </w:r>
      <w:r w:rsidR="00765D63">
        <w:t xml:space="preserve"> – who each spent 17 years in prison for connections to a series of </w:t>
      </w:r>
      <w:r w:rsidR="00704083">
        <w:t xml:space="preserve">murders and </w:t>
      </w:r>
      <w:r w:rsidR="00765D63">
        <w:t xml:space="preserve">bombings that it was later proven they did not have </w:t>
      </w:r>
      <w:r w:rsidR="004F529D">
        <w:t>–</w:t>
      </w:r>
      <w:r w:rsidR="00765D63">
        <w:t xml:space="preserve"> </w:t>
      </w:r>
      <w:r w:rsidR="004F529D">
        <w:t>and others like it, illustrates this</w:t>
      </w:r>
      <w:r w:rsidR="0008557C">
        <w:t xml:space="preserve"> well</w:t>
      </w:r>
      <w:r w:rsidR="002111D7">
        <w:t xml:space="preserve"> </w:t>
      </w:r>
      <w:sdt>
        <w:sdtPr>
          <w:id w:val="-132640686"/>
          <w:citation/>
        </w:sdtPr>
        <w:sdtEndPr/>
        <w:sdtContent>
          <w:r w:rsidR="002111D7">
            <w:fldChar w:fldCharType="begin"/>
          </w:r>
          <w:r w:rsidR="002111D7">
            <w:instrText xml:space="preserve"> CITATION BBC11 \l 2057 </w:instrText>
          </w:r>
          <w:r w:rsidR="002111D7">
            <w:fldChar w:fldCharType="separate"/>
          </w:r>
          <w:r w:rsidR="00017FE4" w:rsidRPr="00017FE4">
            <w:rPr>
              <w:noProof/>
            </w:rPr>
            <w:t>(BBC, 2011)</w:t>
          </w:r>
          <w:r w:rsidR="002111D7">
            <w:fldChar w:fldCharType="end"/>
          </w:r>
        </w:sdtContent>
      </w:sdt>
      <w:r w:rsidR="00A1533F">
        <w:t>. Public confidence was rocked significantly by this incident among others, enough to press the Home Secretary in 1991 to set up the Royal Commission on Criminal Justice and later the Criminal Cases Review Commission in 1997, all in the name of averting future damage and mitigating the lasting damage from miscarriages of justice</w:t>
      </w:r>
      <w:r w:rsidR="002111D7">
        <w:t xml:space="preserve"> </w:t>
      </w:r>
      <w:sdt>
        <w:sdtPr>
          <w:id w:val="484281130"/>
          <w:citation/>
        </w:sdtPr>
        <w:sdtEndPr/>
        <w:sdtContent>
          <w:r w:rsidR="002111D7">
            <w:fldChar w:fldCharType="begin"/>
          </w:r>
          <w:r w:rsidR="002111D7">
            <w:instrText xml:space="preserve"> CITATION The18 \l 2057 </w:instrText>
          </w:r>
          <w:r w:rsidR="002111D7">
            <w:fldChar w:fldCharType="separate"/>
          </w:r>
          <w:r w:rsidR="00017FE4" w:rsidRPr="00017FE4">
            <w:rPr>
              <w:noProof/>
            </w:rPr>
            <w:t>(The Guardian, 2018)</w:t>
          </w:r>
          <w:r w:rsidR="002111D7">
            <w:fldChar w:fldCharType="end"/>
          </w:r>
        </w:sdtContent>
      </w:sdt>
      <w:r w:rsidR="00A1533F">
        <w:t>.</w:t>
      </w:r>
    </w:p>
    <w:p w14:paraId="6A8A8435" w14:textId="5B39B1B9" w:rsidR="00F47BC9" w:rsidRDefault="007975C8" w:rsidP="00D046B5">
      <w:pPr>
        <w:spacing w:line="480" w:lineRule="auto"/>
      </w:pPr>
      <w:r>
        <w:t xml:space="preserve">This is where the concept of professionalising the police service finds its </w:t>
      </w:r>
      <w:r w:rsidR="00A02E53">
        <w:t xml:space="preserve">true </w:t>
      </w:r>
      <w:r>
        <w:t>place</w:t>
      </w:r>
      <w:r w:rsidR="00594A81">
        <w:t xml:space="preserve">. </w:t>
      </w:r>
      <w:r w:rsidR="00142219">
        <w:t xml:space="preserve">The </w:t>
      </w:r>
      <w:r w:rsidR="007B33CF">
        <w:t>maintenance of public approval relies on a</w:t>
      </w:r>
      <w:r w:rsidR="00F8007D">
        <w:t xml:space="preserve"> substantive and robust</w:t>
      </w:r>
      <w:r w:rsidR="007B33CF">
        <w:t xml:space="preserve"> professional outward image</w:t>
      </w:r>
      <w:r w:rsidR="00F8007D">
        <w:t>, created by a professional level of real-world results</w:t>
      </w:r>
      <w:r w:rsidR="00E04CE8">
        <w:t>, the path thereto paved by genuine professional codes of practice and operational policy.</w:t>
      </w:r>
      <w:r w:rsidR="00815508">
        <w:t xml:space="preserve"> Hollow platitudes and bromide PR strategies to glossily sanitise the true role of the police are</w:t>
      </w:r>
      <w:r w:rsidR="00D13F87">
        <w:t xml:space="preserve"> nothing more than</w:t>
      </w:r>
      <w:r w:rsidR="00815508">
        <w:t xml:space="preserve"> political schemes in contravention of the foundational and still-relevant principles behind </w:t>
      </w:r>
      <w:r w:rsidR="006606A6">
        <w:t xml:space="preserve">the </w:t>
      </w:r>
      <w:r w:rsidR="00815508">
        <w:t xml:space="preserve">British Policing </w:t>
      </w:r>
      <w:r w:rsidR="006606A6">
        <w:t xml:space="preserve">Model </w:t>
      </w:r>
      <w:r w:rsidR="00815508">
        <w:t>as an institution. True professionalisation lies in adherence to those principles</w:t>
      </w:r>
      <w:r w:rsidR="003B41C6">
        <w:t>.</w:t>
      </w:r>
    </w:p>
    <w:p w14:paraId="4F63E105" w14:textId="2A9A53A5" w:rsidR="000B7C97" w:rsidRDefault="000B7C97" w:rsidP="00D046B5">
      <w:pPr>
        <w:spacing w:line="480" w:lineRule="auto"/>
        <w:rPr>
          <w:i/>
          <w:iCs/>
        </w:rPr>
      </w:pPr>
      <w:r>
        <w:rPr>
          <w:i/>
          <w:iCs/>
        </w:rPr>
        <w:t>(</w:t>
      </w:r>
      <w:r w:rsidRPr="000B7C97">
        <w:rPr>
          <w:i/>
          <w:iCs/>
        </w:rPr>
        <w:t>1,067 words</w:t>
      </w:r>
      <w:r>
        <w:rPr>
          <w:i/>
          <w:iCs/>
        </w:rPr>
        <w:t>)</w:t>
      </w:r>
    </w:p>
    <w:p w14:paraId="7D87B682" w14:textId="09D713FA" w:rsidR="000D216A" w:rsidRDefault="000D216A" w:rsidP="00D046B5">
      <w:pPr>
        <w:spacing w:line="480" w:lineRule="auto"/>
      </w:pPr>
    </w:p>
    <w:p w14:paraId="2B625E2B" w14:textId="77777777" w:rsidR="000D216A" w:rsidRPr="008B5FE5" w:rsidRDefault="000D216A" w:rsidP="00D046B5">
      <w:pPr>
        <w:spacing w:line="480" w:lineRule="auto"/>
        <w:rPr>
          <w:b/>
          <w:bCs/>
        </w:rPr>
      </w:pPr>
      <w:r w:rsidRPr="008B5FE5">
        <w:rPr>
          <w:b/>
          <w:bCs/>
        </w:rPr>
        <w:lastRenderedPageBreak/>
        <w:t>1000 words - Community/Response Policing/Policing roads/Conducting Investigations /Digital Policing</w:t>
      </w:r>
    </w:p>
    <w:p w14:paraId="01EB3CCE" w14:textId="77777777" w:rsidR="000D216A" w:rsidRDefault="000D216A" w:rsidP="00D046B5">
      <w:pPr>
        <w:spacing w:line="480" w:lineRule="auto"/>
      </w:pPr>
      <w:r>
        <w:t xml:space="preserve">Below I’ll detail the various requirements of an investigator </w:t>
      </w:r>
      <w:proofErr w:type="gramStart"/>
      <w:r>
        <w:t>conducting an investigation into</w:t>
      </w:r>
      <w:proofErr w:type="gramEnd"/>
      <w:r>
        <w:t xml:space="preserve"> volume or serious crime. Many of the basic values and goals of an investigation are inflexible – an organisational prescription not for tinkering with. However, within an investigation individuals must be capable of independent and creative thought in order to solve problems and develop tailored strategies for particular targets, with all the professional guidance I’ll shortly evaluate acting merely as a vague template designed to help one contain one’s actions within the boundaries of the police Code of Ethics and standards of professional behaviour. </w:t>
      </w:r>
    </w:p>
    <w:p w14:paraId="38885BFD" w14:textId="34E38CA8" w:rsidR="000D216A" w:rsidRPr="00656266" w:rsidRDefault="000D216A" w:rsidP="00D046B5">
      <w:pPr>
        <w:spacing w:line="480" w:lineRule="auto"/>
        <w:rPr>
          <w:b/>
          <w:bCs/>
        </w:rPr>
      </w:pPr>
      <w:r>
        <w:t xml:space="preserve">Crime can be tiered and defined differently based on its character and severity. </w:t>
      </w:r>
      <w:r>
        <w:rPr>
          <w:b/>
          <w:bCs/>
        </w:rPr>
        <w:t>Volume</w:t>
      </w:r>
      <w:r>
        <w:t xml:space="preserve"> crime is defined as “a</w:t>
      </w:r>
      <w:r w:rsidRPr="006B024B">
        <w:t>ny crime which, through its sheer volume, has a significant impact on the community and the ability of the local police to tackle it</w:t>
      </w:r>
      <w:r>
        <w:t xml:space="preserve">” </w:t>
      </w:r>
      <w:sdt>
        <w:sdtPr>
          <w:id w:val="1089731846"/>
          <w:citation/>
        </w:sdtPr>
        <w:sdtEndPr/>
        <w:sdtContent>
          <w:r>
            <w:fldChar w:fldCharType="begin"/>
          </w:r>
          <w:r>
            <w:instrText xml:space="preserve"> CITATION Ass09 \l 2057 </w:instrText>
          </w:r>
          <w:r>
            <w:fldChar w:fldCharType="separate"/>
          </w:r>
          <w:r w:rsidR="00017FE4" w:rsidRPr="00017FE4">
            <w:rPr>
              <w:noProof/>
            </w:rPr>
            <w:t>(Association of Chief Police Officers, 2009)</w:t>
          </w:r>
          <w:r>
            <w:fldChar w:fldCharType="end"/>
          </w:r>
        </w:sdtContent>
      </w:sdt>
      <w:r>
        <w:t xml:space="preserve">. </w:t>
      </w:r>
      <w:r>
        <w:rPr>
          <w:b/>
          <w:bCs/>
        </w:rPr>
        <w:t>Serious</w:t>
      </w:r>
      <w:r>
        <w:t xml:space="preserve"> (or complex) crime, conversely, either involves the use of violence, results in substantial financial gain, is committed by a large number of persons in pursuit of a common purpose, or involves offences for which a person older than twenty-one might reasonably expect to serve three years or more in prison </w:t>
      </w:r>
      <w:sdt>
        <w:sdtPr>
          <w:id w:val="1402327646"/>
          <w:citation/>
        </w:sdtPr>
        <w:sdtEndPr/>
        <w:sdtContent>
          <w:r>
            <w:fldChar w:fldCharType="begin"/>
          </w:r>
          <w:r>
            <w:instrText xml:space="preserve"> CITATION Hom21 \l 2057 </w:instrText>
          </w:r>
          <w:r>
            <w:fldChar w:fldCharType="separate"/>
          </w:r>
          <w:r w:rsidR="00017FE4" w:rsidRPr="00017FE4">
            <w:rPr>
              <w:noProof/>
            </w:rPr>
            <w:t>(Home Office, 2021)</w:t>
          </w:r>
          <w:r>
            <w:fldChar w:fldCharType="end"/>
          </w:r>
        </w:sdtContent>
      </w:sdt>
      <w:r>
        <w:t xml:space="preserve">. Priority and volume crime </w:t>
      </w:r>
      <w:proofErr w:type="gramStart"/>
      <w:r>
        <w:t>is</w:t>
      </w:r>
      <w:proofErr w:type="gramEnd"/>
      <w:r>
        <w:t xml:space="preserve"> the remit of PIP (Professionalising Investigation Programme) Level 1-trained investigators, whilst Level 2 concerns serious and complex crime. The aim of grading investigations this way is to establish competency standards across a range of investigations, and ensure that investigators are tasked according to their training and accreditation, in the name of maintaining professional standards and delivering quality investigations across the board </w:t>
      </w:r>
      <w:sdt>
        <w:sdtPr>
          <w:id w:val="-811796465"/>
          <w:citation/>
        </w:sdtPr>
        <w:sdtEndPr/>
        <w:sdtContent>
          <w:r>
            <w:fldChar w:fldCharType="begin"/>
          </w:r>
          <w:r>
            <w:instrText xml:space="preserve">CITATION Col204 \l 2057 </w:instrText>
          </w:r>
          <w:r>
            <w:fldChar w:fldCharType="separate"/>
          </w:r>
          <w:r w:rsidR="00017FE4" w:rsidRPr="00017FE4">
            <w:rPr>
              <w:noProof/>
            </w:rPr>
            <w:t>(College of Policing, 2020)</w:t>
          </w:r>
          <w:r>
            <w:fldChar w:fldCharType="end"/>
          </w:r>
        </w:sdtContent>
      </w:sdt>
      <w:r>
        <w:t>.</w:t>
      </w:r>
    </w:p>
    <w:p w14:paraId="623DD8BE" w14:textId="586CD0D9" w:rsidR="000D216A" w:rsidRDefault="000D216A" w:rsidP="00D046B5">
      <w:pPr>
        <w:spacing w:line="480" w:lineRule="auto"/>
      </w:pPr>
      <w:r>
        <w:t xml:space="preserve">Regardless of the type of crime, all investigators must stick to a set prescription of </w:t>
      </w:r>
      <w:r>
        <w:rPr>
          <w:b/>
          <w:bCs/>
        </w:rPr>
        <w:t xml:space="preserve">investigation </w:t>
      </w:r>
      <w:r w:rsidRPr="00E47E58">
        <w:rPr>
          <w:b/>
          <w:bCs/>
        </w:rPr>
        <w:t>principles</w:t>
      </w:r>
      <w:r>
        <w:t xml:space="preserve">, which help to structure and guide the process along strategic and ethical lines. It is a dictum of professional standards that: the powers used must remain proportionate to the offence in question, maximal practicable transparency is upheld with regards to all parties involved, individuals’ </w:t>
      </w:r>
      <w:r>
        <w:lastRenderedPageBreak/>
        <w:t xml:space="preserve">particular needs are understood and met (this applies especially to vulnerable people and children), and the professional ethics of others are respected (e.g. solicitors supporting suspects) </w:t>
      </w:r>
      <w:sdt>
        <w:sdtPr>
          <w:id w:val="2102068428"/>
          <w:citation/>
        </w:sdtPr>
        <w:sdtEndPr/>
        <w:sdtContent>
          <w:r>
            <w:fldChar w:fldCharType="begin"/>
          </w:r>
          <w:r>
            <w:instrText xml:space="preserve">CITATION Col204 \l 2057 </w:instrText>
          </w:r>
          <w:r>
            <w:fldChar w:fldCharType="separate"/>
          </w:r>
          <w:r w:rsidR="00017FE4" w:rsidRPr="00017FE4">
            <w:rPr>
              <w:noProof/>
            </w:rPr>
            <w:t>(College of Policing, 2020)</w:t>
          </w:r>
          <w:r>
            <w:fldChar w:fldCharType="end"/>
          </w:r>
        </w:sdtContent>
      </w:sdt>
      <w:r>
        <w:t xml:space="preserve">. Application of these principles helps to keep investigations in step with national police </w:t>
      </w:r>
      <w:r w:rsidRPr="00E47E58">
        <w:rPr>
          <w:b/>
          <w:bCs/>
        </w:rPr>
        <w:t>standards of professional behaviour</w:t>
      </w:r>
      <w:r>
        <w:t xml:space="preserve"> </w:t>
      </w:r>
      <w:sdt>
        <w:sdtPr>
          <w:id w:val="839356571"/>
          <w:citation/>
        </w:sdtPr>
        <w:sdtEndPr/>
        <w:sdtContent>
          <w:r>
            <w:fldChar w:fldCharType="begin"/>
          </w:r>
          <w:r>
            <w:instrText xml:space="preserve"> CITATION Hom121 \l 2057 </w:instrText>
          </w:r>
          <w:r>
            <w:fldChar w:fldCharType="separate"/>
          </w:r>
          <w:r w:rsidR="00017FE4" w:rsidRPr="00017FE4">
            <w:rPr>
              <w:noProof/>
            </w:rPr>
            <w:t>(Home Office, 2012)</w:t>
          </w:r>
          <w:r>
            <w:fldChar w:fldCharType="end"/>
          </w:r>
        </w:sdtContent>
      </w:sdt>
      <w:r>
        <w:t xml:space="preserve">. </w:t>
      </w:r>
    </w:p>
    <w:p w14:paraId="79B0EE13" w14:textId="5855C891" w:rsidR="000D216A" w:rsidRDefault="000D216A" w:rsidP="00D046B5">
      <w:pPr>
        <w:spacing w:line="480" w:lineRule="auto"/>
      </w:pPr>
      <w:r>
        <w:t xml:space="preserve">Investigators must display ability in planning and preparation, decision-making, thinking creatively and outside the box to determine the most appropriate course of action where routine options are not self-evident, sourcing and valuing the contributions and experience of others whilst providing a robust challenge to experts, delivering a high level of care to victims and witnesses, recording and collating information, and understanding, examining, evaluating the value of evidential material </w:t>
      </w:r>
      <w:sdt>
        <w:sdtPr>
          <w:id w:val="-1314791838"/>
          <w:citation/>
        </w:sdtPr>
        <w:sdtEndPr/>
        <w:sdtContent>
          <w:r>
            <w:fldChar w:fldCharType="begin"/>
          </w:r>
          <w:r>
            <w:instrText xml:space="preserve">CITATION Col204 \l 2057 </w:instrText>
          </w:r>
          <w:r>
            <w:fldChar w:fldCharType="separate"/>
          </w:r>
          <w:r w:rsidR="00017FE4" w:rsidRPr="00017FE4">
            <w:rPr>
              <w:noProof/>
            </w:rPr>
            <w:t>(College of Policing, 2020)</w:t>
          </w:r>
          <w:r>
            <w:fldChar w:fldCharType="end"/>
          </w:r>
        </w:sdtContent>
      </w:sdt>
      <w:r>
        <w:t xml:space="preserve">. This can be summarised as an </w:t>
      </w:r>
      <w:r>
        <w:rPr>
          <w:b/>
          <w:bCs/>
        </w:rPr>
        <w:t>investigative mindset</w:t>
      </w:r>
      <w:r>
        <w:t xml:space="preserve">, which lends the routines of an investigation some order. </w:t>
      </w:r>
    </w:p>
    <w:p w14:paraId="13AA552D" w14:textId="77777777" w:rsidR="000D216A" w:rsidRDefault="000D216A" w:rsidP="00D046B5">
      <w:pPr>
        <w:spacing w:line="480" w:lineRule="auto"/>
      </w:pPr>
      <w:r>
        <w:t xml:space="preserve">The chaos of a complex investigation can be further mitigated by the focusing influence of an </w:t>
      </w:r>
      <w:r>
        <w:rPr>
          <w:b/>
          <w:bCs/>
        </w:rPr>
        <w:t>investigative hypothesis</w:t>
      </w:r>
      <w:r>
        <w:t xml:space="preserve">. Hypotheses are provisional suppositions based on available information, which help to identify lines of inquiry in search of evidence to support or eliminate that working theory. Hypotheses must be flexible, and investigators must not be wedded to their suspicions lest they be tempted to ignore relevant information that does not fit the hypothesis. Investigators must be ready to change their hypotheses to fit the evidence, not the other way around. An </w:t>
      </w:r>
      <w:proofErr w:type="gramStart"/>
      <w:r>
        <w:t>unsoundly-reasoned</w:t>
      </w:r>
      <w:proofErr w:type="gramEnd"/>
      <w:r>
        <w:t xml:space="preserve"> hypothesis can </w:t>
      </w:r>
      <w:proofErr w:type="spellStart"/>
      <w:r>
        <w:t>wildy</w:t>
      </w:r>
      <w:proofErr w:type="spellEnd"/>
      <w:r>
        <w:t xml:space="preserve"> misdirect an investigation. </w:t>
      </w:r>
    </w:p>
    <w:p w14:paraId="08926602" w14:textId="579D54E9" w:rsidR="000D216A" w:rsidRDefault="000D216A" w:rsidP="00D046B5">
      <w:pPr>
        <w:spacing w:line="480" w:lineRule="auto"/>
      </w:pPr>
      <w:r>
        <w:t xml:space="preserve">As can various cognitive </w:t>
      </w:r>
      <w:proofErr w:type="gramStart"/>
      <w:r w:rsidRPr="00E47E58">
        <w:rPr>
          <w:b/>
          <w:bCs/>
        </w:rPr>
        <w:t>biases</w:t>
      </w:r>
      <w:r>
        <w:t xml:space="preserve"> .</w:t>
      </w:r>
      <w:proofErr w:type="gramEnd"/>
      <w:r>
        <w:t xml:space="preserve"> There are many types of biases that discreetly direct our beliefs, decisions, and behaviour, naturally apply to investigations, and of which investigators must be wary. These include confirmation bias – where information is sought, processed, and interpreted in such a way as affirms and supports existing preconceptions </w:t>
      </w:r>
      <w:sdt>
        <w:sdtPr>
          <w:id w:val="-101959437"/>
          <w:citation/>
        </w:sdtPr>
        <w:sdtEndPr/>
        <w:sdtContent>
          <w:r>
            <w:fldChar w:fldCharType="begin"/>
          </w:r>
          <w:r>
            <w:instrText xml:space="preserve"> CITATION Osw04 \l 2057 </w:instrText>
          </w:r>
          <w:r>
            <w:fldChar w:fldCharType="separate"/>
          </w:r>
          <w:r w:rsidR="00017FE4" w:rsidRPr="00017FE4">
            <w:rPr>
              <w:noProof/>
            </w:rPr>
            <w:t>(Oswald &amp; Grosjean, 2004)</w:t>
          </w:r>
          <w:r>
            <w:fldChar w:fldCharType="end"/>
          </w:r>
        </w:sdtContent>
      </w:sdt>
      <w:r>
        <w:t xml:space="preserve">. This is a kind of blindness to alternative explanations – a significant flaw for an investigator. Other kinds of social biases can influence how we perceive, and subsequently treat, individuals. Any factor from outside of an investigation (such as a suspect’s ethnicity, a witness’ school affiliations, or a victim’s </w:t>
      </w:r>
      <w:r>
        <w:lastRenderedPageBreak/>
        <w:t xml:space="preserve">attractiveness) that might impact upon an investigator’s decision-making must be consciously confronted and discounted. If these things </w:t>
      </w:r>
      <w:proofErr w:type="gramStart"/>
      <w:r>
        <w:t>are allowed to</w:t>
      </w:r>
      <w:proofErr w:type="gramEnd"/>
      <w:r>
        <w:t xml:space="preserve"> influence an investigation, its objectivity of may be compromised, breaching policing principles and professional standards around honesty, integrity, fairness, and impartiality. The quality of the investigation is placed at risk by any failure to uphold these values. </w:t>
      </w:r>
    </w:p>
    <w:p w14:paraId="73601937" w14:textId="77777777" w:rsidR="000D216A" w:rsidRDefault="000D216A" w:rsidP="00D046B5">
      <w:pPr>
        <w:spacing w:line="480" w:lineRule="auto"/>
      </w:pPr>
      <w:r>
        <w:t xml:space="preserve">Required always is an </w:t>
      </w:r>
      <w:r>
        <w:rPr>
          <w:b/>
          <w:bCs/>
        </w:rPr>
        <w:t>investigative strategy</w:t>
      </w:r>
      <w:r>
        <w:t>. This employs all the considerations discussed above to establish what appropriate actions are required by the investigation, including but not limited to: identifying lines of inquiry using information and intelligence already in hand, and determining their objectives; designating investigative actions to objectives and conducting them promptly and effectively, recycling this sequence as new lines of inquiry are detected; assessing risk and threat based on all the information available and in accordance with the principles of investigation; incorporating specialists’ guidance and expertise where needed; deploying appropriate resources and utilising proportionate and necessary powers to effect arrests and searches of suspects and their property; implementing approved and effective interview techniques to attain evidence by questioning; and working in conjunction with relevant partner agencies and bodies within the criminal justice system (i.e. CPS) to prepare and manage case files so that charging advice can be obtained, and the investigation’s findings may be best presented in court.</w:t>
      </w:r>
    </w:p>
    <w:p w14:paraId="48B43F8D" w14:textId="77777777" w:rsidR="000D216A" w:rsidRDefault="000D216A" w:rsidP="00D046B5">
      <w:pPr>
        <w:spacing w:line="480" w:lineRule="auto"/>
      </w:pPr>
      <w:r>
        <w:t xml:space="preserve">As an investigation is ongoing, the subsequent results from each action taken must be understood and interpreted in order to identify any gaps in the information, and what if any corroboration the material so far obtained will require. This allows the investigation to be reviewed as a whole, and areas of required further development to be highlighted and addressed. </w:t>
      </w:r>
    </w:p>
    <w:p w14:paraId="45F6E5B4" w14:textId="5CFEF565" w:rsidR="000D216A" w:rsidRDefault="000D216A" w:rsidP="00D046B5">
      <w:pPr>
        <w:spacing w:line="480" w:lineRule="auto"/>
      </w:pPr>
      <w:r>
        <w:t xml:space="preserve">The strategy employed should reflect the needs of the investigation. Though the primary goal of any investigation is to find and accumulate evidential material, the two major subsidiary aims are: to deliver a level of service that helps the victim or their family/loved ones overcome, or at least come to terms with, what has happened; and satisfy the relevant partner agencies and affected </w:t>
      </w:r>
      <w:r>
        <w:lastRenderedPageBreak/>
        <w:t xml:space="preserve">communities’ legitimate requirements for information about the investigation </w:t>
      </w:r>
      <w:sdt>
        <w:sdtPr>
          <w:id w:val="1593740465"/>
          <w:citation/>
        </w:sdtPr>
        <w:sdtEndPr/>
        <w:sdtContent>
          <w:r>
            <w:fldChar w:fldCharType="begin"/>
          </w:r>
          <w:r>
            <w:instrText xml:space="preserve"> CITATION Col212 \l 2057 </w:instrText>
          </w:r>
          <w:r>
            <w:fldChar w:fldCharType="separate"/>
          </w:r>
          <w:r w:rsidR="00017FE4" w:rsidRPr="00017FE4">
            <w:rPr>
              <w:noProof/>
            </w:rPr>
            <w:t>(College of Policing, 2021)</w:t>
          </w:r>
          <w:r>
            <w:fldChar w:fldCharType="end"/>
          </w:r>
        </w:sdtContent>
      </w:sdt>
      <w:r>
        <w:t xml:space="preserve">. These, again, holistically come back to the basic principles of investigation as outlined above. </w:t>
      </w:r>
    </w:p>
    <w:p w14:paraId="2BD7104B" w14:textId="77777777" w:rsidR="000D216A" w:rsidRPr="00AC67E9" w:rsidRDefault="000D216A" w:rsidP="00D046B5">
      <w:pPr>
        <w:spacing w:line="480" w:lineRule="auto"/>
      </w:pPr>
      <w:r>
        <w:t xml:space="preserve">As already mentioned, we can see that all such guidance is necessarily vague </w:t>
      </w:r>
      <w:proofErr w:type="gramStart"/>
      <w:r>
        <w:t>so as to</w:t>
      </w:r>
      <w:proofErr w:type="gramEnd"/>
      <w:r>
        <w:t xml:space="preserve"> apply universally. </w:t>
      </w:r>
      <w:proofErr w:type="gramStart"/>
      <w:r>
        <w:t>Consequently</w:t>
      </w:r>
      <w:proofErr w:type="gramEnd"/>
      <w:r>
        <w:t xml:space="preserve"> it cannot hold one’s hand through an investigation as the details will always vary from task to task. However, so long as the principles of investigation are upheld, and professional standards are maintained, the quality of the strategies and actions that follow will be necessarily of a high level. </w:t>
      </w:r>
    </w:p>
    <w:p w14:paraId="1B2605E9" w14:textId="61C1C4BC" w:rsidR="000D216A" w:rsidRDefault="000D216A" w:rsidP="00D046B5">
      <w:pPr>
        <w:spacing w:line="480" w:lineRule="auto"/>
        <w:rPr>
          <w:i/>
          <w:iCs/>
        </w:rPr>
      </w:pPr>
      <w:r>
        <w:rPr>
          <w:i/>
          <w:iCs/>
        </w:rPr>
        <w:t>(1,100 words)</w:t>
      </w:r>
    </w:p>
    <w:p w14:paraId="61A55DF3" w14:textId="3494F3FA" w:rsidR="002D5368" w:rsidRDefault="002D5368" w:rsidP="00D046B5">
      <w:pPr>
        <w:spacing w:line="480" w:lineRule="auto"/>
        <w:rPr>
          <w:i/>
          <w:iCs/>
        </w:rPr>
      </w:pPr>
    </w:p>
    <w:p w14:paraId="51608BAC" w14:textId="71690BFE" w:rsidR="002D5368" w:rsidRPr="002D5368" w:rsidRDefault="002D5368" w:rsidP="00D046B5">
      <w:pPr>
        <w:spacing w:line="480" w:lineRule="auto"/>
        <w:rPr>
          <w:b/>
          <w:bCs/>
        </w:rPr>
      </w:pPr>
      <w:r w:rsidRPr="002D5368">
        <w:rPr>
          <w:b/>
          <w:bCs/>
        </w:rPr>
        <w:t>1000 words - Information and Intelligence/Communication Skills</w:t>
      </w:r>
    </w:p>
    <w:p w14:paraId="22CAC6BF" w14:textId="77777777" w:rsidR="002D5368" w:rsidRDefault="002D5368" w:rsidP="00D046B5">
      <w:pPr>
        <w:spacing w:line="480" w:lineRule="auto"/>
      </w:pPr>
      <w:r>
        <w:t xml:space="preserve">In this short essay I will explain and evaluate how police gather information and what different kinds of police information there are, what makes information intelligence and what is the difference between the two, what sort of restrictions there are on the sharing of police information and why they apply, how information is communicated within the police service and to outside agencies, and how such information and intelligence is utilised at a police management level for tasking and coordination purposes.  </w:t>
      </w:r>
    </w:p>
    <w:p w14:paraId="583756BE" w14:textId="1102F0D8" w:rsidR="002D5368" w:rsidRDefault="002D5368" w:rsidP="00D046B5">
      <w:pPr>
        <w:spacing w:line="480" w:lineRule="auto"/>
      </w:pPr>
      <w:r>
        <w:t xml:space="preserve">Intelligence informs police decisions. It is constructed from the ocean of data in the world that granulates together as information. The police collect information every day, from a multitude of sources. It is not necessarily </w:t>
      </w:r>
      <w:r>
        <w:rPr>
          <w:i/>
          <w:iCs/>
        </w:rPr>
        <w:t>intelligence</w:t>
      </w:r>
      <w:r>
        <w:t xml:space="preserve">. Intelligence is information about subjects (incidents, people, events, etc) that has been processed to make that information useable </w:t>
      </w:r>
      <w:r>
        <w:rPr>
          <w:i/>
          <w:iCs/>
        </w:rPr>
        <w:t>as</w:t>
      </w:r>
      <w:r>
        <w:t xml:space="preserve"> intelligence, which can then be developed as grounds for investigative action. This process is known as the </w:t>
      </w:r>
      <w:r>
        <w:rPr>
          <w:b/>
          <w:bCs/>
        </w:rPr>
        <w:t>3x5x2 system</w:t>
      </w:r>
      <w:r>
        <w:t xml:space="preserve">, by which the reliability and accuracy of raw information is evaluated, and the scope of its </w:t>
      </w:r>
      <w:proofErr w:type="spellStart"/>
      <w:r>
        <w:t>disseminability</w:t>
      </w:r>
      <w:proofErr w:type="spellEnd"/>
      <w:r>
        <w:t xml:space="preserve"> (to whom it may be shared) is determined. Once the source is graded as one of either ‘reliable’, ‘untested’, or ‘not reliable’ (this is the 3), then can the reliability of the information be </w:t>
      </w:r>
      <w:r>
        <w:lastRenderedPageBreak/>
        <w:t xml:space="preserve">assessed, based on how the source came into possession of the information in question. There are then five gradings, from ‘known directly’, ‘known indirectly to the source but corroborated’, ‘known indirectly to the source’, ‘not known’, and ‘suspected to be false’. Finally, the 2 refers to a binary choice of handling permissions, where lawful sharing is permitted either with or without conditions. These conditions are typically to limit the reach of dissemination in order to keep secure particularly sensitive intelligence, or best preserve its operational value. In this way, intelligence is not gathered or collected. </w:t>
      </w:r>
      <w:r>
        <w:rPr>
          <w:i/>
          <w:iCs/>
        </w:rPr>
        <w:t>Information</w:t>
      </w:r>
      <w:r>
        <w:t xml:space="preserve"> is collected, and via this process some information </w:t>
      </w:r>
      <w:r>
        <w:rPr>
          <w:i/>
          <w:iCs/>
        </w:rPr>
        <w:t>becomes</w:t>
      </w:r>
      <w:r>
        <w:t xml:space="preserve"> intelligence </w:t>
      </w:r>
      <w:sdt>
        <w:sdtPr>
          <w:id w:val="-278111079"/>
          <w:citation/>
        </w:sdtPr>
        <w:sdtEndPr/>
        <w:sdtContent>
          <w:r>
            <w:fldChar w:fldCharType="begin"/>
          </w:r>
          <w:r>
            <w:instrText xml:space="preserve"> CITATION Col191 \l 2057 </w:instrText>
          </w:r>
          <w:r>
            <w:fldChar w:fldCharType="separate"/>
          </w:r>
          <w:r w:rsidR="00017FE4" w:rsidRPr="00017FE4">
            <w:rPr>
              <w:noProof/>
            </w:rPr>
            <w:t>(College of Policing, 2019)</w:t>
          </w:r>
          <w:r>
            <w:fldChar w:fldCharType="end"/>
          </w:r>
        </w:sdtContent>
      </w:sdt>
      <w:r>
        <w:t xml:space="preserve">. All intelligence must be proportionately shared in accordance with the Human Rights Act, and dissemination protocols must be followed when sharing confidential or sensitive intelligence </w:t>
      </w:r>
      <w:sdt>
        <w:sdtPr>
          <w:id w:val="1897778141"/>
          <w:citation/>
        </w:sdtPr>
        <w:sdtEndPr/>
        <w:sdtContent>
          <w:r>
            <w:fldChar w:fldCharType="begin"/>
          </w:r>
          <w:r>
            <w:instrText xml:space="preserve"> CITATION Col15 \l 2057 </w:instrText>
          </w:r>
          <w:r>
            <w:fldChar w:fldCharType="separate"/>
          </w:r>
          <w:r w:rsidR="00017FE4" w:rsidRPr="00017FE4">
            <w:rPr>
              <w:noProof/>
            </w:rPr>
            <w:t>(College of Policing, 2015)</w:t>
          </w:r>
          <w:r>
            <w:fldChar w:fldCharType="end"/>
          </w:r>
        </w:sdtContent>
      </w:sdt>
      <w:r>
        <w:t>.</w:t>
      </w:r>
    </w:p>
    <w:p w14:paraId="5E078A31" w14:textId="57B68ACF" w:rsidR="002D5368" w:rsidRDefault="002D5368" w:rsidP="00D046B5">
      <w:pPr>
        <w:spacing w:line="480" w:lineRule="auto"/>
      </w:pPr>
      <w:r>
        <w:t xml:space="preserve">There are three ways in which information is collected. </w:t>
      </w:r>
      <w:r>
        <w:rPr>
          <w:b/>
          <w:bCs/>
        </w:rPr>
        <w:t>Tasked information</w:t>
      </w:r>
      <w:r>
        <w:t xml:space="preserve"> is collected as a point of priority, with a direct purpose in mind. It comes from sources such as the Police National Database (PND), automatic number plate recognition (ANPR) systems, and covert human intelligence sources (CHIS). The police establish these systems for gathering information </w:t>
      </w:r>
      <w:sdt>
        <w:sdtPr>
          <w:id w:val="-1578128165"/>
          <w:citation/>
        </w:sdtPr>
        <w:sdtEndPr/>
        <w:sdtContent>
          <w:r>
            <w:fldChar w:fldCharType="begin"/>
          </w:r>
          <w:r>
            <w:instrText xml:space="preserve"> CITATION Col15 \l 2057 </w:instrText>
          </w:r>
          <w:r>
            <w:fldChar w:fldCharType="separate"/>
          </w:r>
          <w:r w:rsidR="00017FE4" w:rsidRPr="00017FE4">
            <w:rPr>
              <w:noProof/>
            </w:rPr>
            <w:t>(College of Policing, 2015)</w:t>
          </w:r>
          <w:r>
            <w:fldChar w:fldCharType="end"/>
          </w:r>
        </w:sdtContent>
      </w:sdt>
      <w:r>
        <w:t xml:space="preserve">. </w:t>
      </w:r>
      <w:r>
        <w:rPr>
          <w:b/>
          <w:bCs/>
        </w:rPr>
        <w:t>Routine collection</w:t>
      </w:r>
      <w:r>
        <w:t xml:space="preserve"> of information occurs as a matter of course as the police conduct their duties: when attending calls and responding to incidents, interacting with victims and witnesses at scenes, searching and arresting suspects, and generally going about amassing the material needed to make decisions in an operational capacity. Finally, </w:t>
      </w:r>
      <w:r>
        <w:rPr>
          <w:b/>
          <w:bCs/>
        </w:rPr>
        <w:t>volunteered information</w:t>
      </w:r>
      <w:r>
        <w:t xml:space="preserve"> is, as it sounds, volunteered to the police, usually by members of the public or partner agencies, usually regarding something to which the source wishes to alert the police and about which they want something done, though this is not always the case </w:t>
      </w:r>
      <w:sdt>
        <w:sdtPr>
          <w:id w:val="62923179"/>
          <w:citation/>
        </w:sdtPr>
        <w:sdtEndPr/>
        <w:sdtContent>
          <w:r>
            <w:fldChar w:fldCharType="begin"/>
          </w:r>
          <w:r>
            <w:instrText xml:space="preserve"> CITATION Col192 \l 2057 </w:instrText>
          </w:r>
          <w:r>
            <w:fldChar w:fldCharType="separate"/>
          </w:r>
          <w:r w:rsidR="00017FE4" w:rsidRPr="00017FE4">
            <w:rPr>
              <w:noProof/>
            </w:rPr>
            <w:t>(College of Policing, 2019)</w:t>
          </w:r>
          <w:r>
            <w:fldChar w:fldCharType="end"/>
          </w:r>
        </w:sdtContent>
      </w:sdt>
      <w:r>
        <w:t xml:space="preserve">. </w:t>
      </w:r>
    </w:p>
    <w:p w14:paraId="624D6B77" w14:textId="06BCD48B" w:rsidR="002D5368" w:rsidRDefault="002D5368" w:rsidP="00D046B5">
      <w:pPr>
        <w:spacing w:line="480" w:lineRule="auto"/>
      </w:pPr>
      <w:r>
        <w:t xml:space="preserve">The communication of police information is heavily legislated and regulated, for the purposes of data protection. Wrongful sharing of information can place individuals and organisations at risk of violence, reputational ruin, damage to business, and can jeopardise judicial court proceedings. The police operate in partnership with many other agencies, such as Social Services for example, with </w:t>
      </w:r>
      <w:r>
        <w:lastRenderedPageBreak/>
        <w:t xml:space="preserve">whom great swathes of police information will be shared daily in the form of Public Protection Notification reports. These are reports based typically on routinely collected information that pertains to social concerns such as domestic incidents, matters of child welfare or suspected child sexual exploitation (CSE), adult-at-risk assessments, as well as reports regarding honour-based abuse. In these </w:t>
      </w:r>
      <w:proofErr w:type="gramStart"/>
      <w:r>
        <w:t>instances</w:t>
      </w:r>
      <w:proofErr w:type="gramEnd"/>
      <w:r>
        <w:t xml:space="preserve"> the risk at hand is assessed and officers’ observations are recorded. In domestic and vulnerable adult cases consent to share the information is requested from the subject of the report. If consent is refused, the information cannot be shared with partner agencies unless there is an overwhelming safeguarding necessity that can be justified by appeal to public interest. Examples will typically revolve around instances where risk and threat of harm is high, and victims are believed to be particularly vulnerable </w:t>
      </w:r>
      <w:sdt>
        <w:sdtPr>
          <w:id w:val="-1682512895"/>
          <w:citation/>
        </w:sdtPr>
        <w:sdtEndPr/>
        <w:sdtContent>
          <w:r>
            <w:fldChar w:fldCharType="begin"/>
          </w:r>
          <w:r>
            <w:instrText xml:space="preserve"> CITATION Sou15 \l 2057 </w:instrText>
          </w:r>
          <w:r>
            <w:fldChar w:fldCharType="separate"/>
          </w:r>
          <w:r w:rsidR="00017FE4" w:rsidRPr="00017FE4">
            <w:rPr>
              <w:noProof/>
            </w:rPr>
            <w:t>(South Wales Police Mission &amp; Vision, 2015)</w:t>
          </w:r>
          <w:r>
            <w:fldChar w:fldCharType="end"/>
          </w:r>
        </w:sdtContent>
      </w:sdt>
      <w:r>
        <w:t>.</w:t>
      </w:r>
    </w:p>
    <w:p w14:paraId="4F20A320" w14:textId="77777777" w:rsidR="002D5368" w:rsidRDefault="002D5368" w:rsidP="00D046B5">
      <w:pPr>
        <w:spacing w:line="480" w:lineRule="auto"/>
      </w:pPr>
      <w:r>
        <w:t xml:space="preserve">Policing information changes hands within the organisation </w:t>
      </w:r>
      <w:proofErr w:type="gramStart"/>
      <w:r>
        <w:t>fairly freely</w:t>
      </w:r>
      <w:proofErr w:type="gramEnd"/>
      <w:r>
        <w:t>. Unless information sharing is explicitly limited (such as in cases of intelligence with the handling code ‘lawful sharing permitted with conditions’) information gathered and retained for a policing purpose will apply to police officers in an operational capacity, and its communication can be justified as such. Such information can be communicated via internal email, over the force airwave system, internal messaging systems such as Skype For Business, or by word of mouth. Intelligence can be submitted via the police ‘NICHE’ database, and linked to nominals, addresses, vehicles, and incidents, so that officers dealing with particular occurrences can read the latest intelligence reports about an individuals’ suspected involvement in drug dealing, for example, and make educated decisions about how best to proceed with their dealings with that person. This is operational employment of intelligence on a micro level.</w:t>
      </w:r>
    </w:p>
    <w:p w14:paraId="321ED5DF" w14:textId="077F68C3" w:rsidR="002D5368" w:rsidRDefault="002D5368" w:rsidP="00D046B5">
      <w:pPr>
        <w:spacing w:line="480" w:lineRule="auto"/>
      </w:pPr>
      <w:r>
        <w:t xml:space="preserve">On a macro level, strategic and tactical tasking and coordination groups (made up of supervisors and senior police managers) take stock of intelligence </w:t>
      </w:r>
      <w:proofErr w:type="gramStart"/>
      <w:r>
        <w:t>submitted, and</w:t>
      </w:r>
      <w:proofErr w:type="gramEnd"/>
      <w:r>
        <w:t xml:space="preserve"> use it to develop strategic direction for resource allocation in alignment with operational priorities. </w:t>
      </w:r>
      <w:r>
        <w:rPr>
          <w:b/>
          <w:bCs/>
        </w:rPr>
        <w:t>Control strategies</w:t>
      </w:r>
      <w:r>
        <w:t xml:space="preserve"> are established to lay out “long-term priorities for crime prevention, intelligence, and enforcement”. As the name might suggest, resources (typically officers) will then be tasked with further development or analysis </w:t>
      </w:r>
      <w:r>
        <w:lastRenderedPageBreak/>
        <w:t xml:space="preserve">of existing intelligence with the aim to colour in any grey areas of the map, so to speak, and flesh out any incomplete knowledge that has been identified as of strategic or tactical value. This is called an </w:t>
      </w:r>
      <w:r>
        <w:rPr>
          <w:b/>
          <w:bCs/>
        </w:rPr>
        <w:t xml:space="preserve">intelligence requirement </w:t>
      </w:r>
      <w:sdt>
        <w:sdtPr>
          <w:rPr>
            <w:b/>
            <w:bCs/>
          </w:rPr>
          <w:id w:val="-527181835"/>
          <w:citation/>
        </w:sdtPr>
        <w:sdtEndPr/>
        <w:sdtContent>
          <w:r>
            <w:rPr>
              <w:b/>
              <w:bCs/>
            </w:rPr>
            <w:fldChar w:fldCharType="begin"/>
          </w:r>
          <w:r>
            <w:rPr>
              <w:b/>
              <w:bCs/>
            </w:rPr>
            <w:instrText xml:space="preserve"> CITATION Col151 \l 2057 </w:instrText>
          </w:r>
          <w:r>
            <w:rPr>
              <w:b/>
              <w:bCs/>
            </w:rPr>
            <w:fldChar w:fldCharType="separate"/>
          </w:r>
          <w:r w:rsidR="00017FE4" w:rsidRPr="00017FE4">
            <w:rPr>
              <w:noProof/>
            </w:rPr>
            <w:t>(College of Policing, 2015)</w:t>
          </w:r>
          <w:r>
            <w:rPr>
              <w:b/>
              <w:bCs/>
            </w:rPr>
            <w:fldChar w:fldCharType="end"/>
          </w:r>
        </w:sdtContent>
      </w:sdt>
      <w:r>
        <w:t>. In this way the back and forth communication of police information by way of tasking and submission is a central feature of the process of arriving at maximally actionable intelligence. This allows educated coordination and deployment of resources to combat larger policing issues.</w:t>
      </w:r>
    </w:p>
    <w:p w14:paraId="63FF9E48" w14:textId="359FE0CA" w:rsidR="002D5368" w:rsidRDefault="002D5368" w:rsidP="00D046B5">
      <w:pPr>
        <w:spacing w:line="480" w:lineRule="auto"/>
      </w:pPr>
      <w:r>
        <w:t xml:space="preserve">The police National Decision Model (NDM) begins with “gather information and intelligence” </w:t>
      </w:r>
      <w:sdt>
        <w:sdtPr>
          <w:id w:val="-808013625"/>
          <w:citation/>
        </w:sdtPr>
        <w:sdtEndPr/>
        <w:sdtContent>
          <w:r>
            <w:fldChar w:fldCharType="begin"/>
          </w:r>
          <w:r>
            <w:instrText xml:space="preserve"> CITATION Col142 \l 2057 </w:instrText>
          </w:r>
          <w:r>
            <w:fldChar w:fldCharType="separate"/>
          </w:r>
          <w:r w:rsidR="00017FE4" w:rsidRPr="00017FE4">
            <w:rPr>
              <w:noProof/>
            </w:rPr>
            <w:t>(College of Policing, 2014)</w:t>
          </w:r>
          <w:r>
            <w:fldChar w:fldCharType="end"/>
          </w:r>
        </w:sdtContent>
      </w:sdt>
      <w:r>
        <w:t xml:space="preserve">. Information is the bedrock of all action, as it </w:t>
      </w:r>
      <w:r>
        <w:rPr>
          <w:i/>
          <w:iCs/>
        </w:rPr>
        <w:t>informs</w:t>
      </w:r>
      <w:r>
        <w:t xml:space="preserve"> the hierarchy of values and directs decisions. Information is therefore a fundamental part of all police processes. </w:t>
      </w:r>
    </w:p>
    <w:p w14:paraId="7311C117" w14:textId="0F650514" w:rsidR="002D5368" w:rsidRPr="002D5368" w:rsidRDefault="002D5368" w:rsidP="00D046B5">
      <w:pPr>
        <w:spacing w:line="480" w:lineRule="auto"/>
        <w:rPr>
          <w:i/>
          <w:iCs/>
        </w:rPr>
      </w:pPr>
      <w:r>
        <w:rPr>
          <w:i/>
          <w:iCs/>
        </w:rPr>
        <w:t>(1,050 words)</w:t>
      </w:r>
    </w:p>
    <w:p w14:paraId="62CA3348" w14:textId="10181A3D" w:rsidR="003D4920" w:rsidRDefault="003D4920" w:rsidP="00D046B5">
      <w:pPr>
        <w:spacing w:line="480" w:lineRule="auto"/>
      </w:pPr>
    </w:p>
    <w:p w14:paraId="07B34AFD" w14:textId="070CA68A" w:rsidR="00614848" w:rsidRPr="00614848" w:rsidRDefault="00614848" w:rsidP="00D046B5">
      <w:pPr>
        <w:spacing w:line="480" w:lineRule="auto"/>
        <w:rPr>
          <w:b/>
          <w:bCs/>
        </w:rPr>
      </w:pPr>
      <w:r w:rsidRPr="006F2B7E">
        <w:rPr>
          <w:b/>
          <w:bCs/>
        </w:rPr>
        <w:t>1000 words - Information and Intelligence/Communication Skills</w:t>
      </w:r>
    </w:p>
    <w:p w14:paraId="591CE213" w14:textId="77777777" w:rsidR="00614848" w:rsidRDefault="00614848" w:rsidP="00D046B5">
      <w:pPr>
        <w:spacing w:line="480" w:lineRule="auto"/>
      </w:pPr>
      <w:r>
        <w:t xml:space="preserve">In this short essay I will explain and evaluate how police gather information and what different kinds of police information there are, what makes information intelligence and what is the difference between the two, what sort of restrictions there are on the sharing of police information and why they apply, how information is communicated within the police service and to outside agencies, and how such information and intelligence is utilised at a police management level for tasking and coordination purposes.  </w:t>
      </w:r>
    </w:p>
    <w:p w14:paraId="4419DDE6" w14:textId="5BE46625" w:rsidR="00614848" w:rsidRDefault="00614848" w:rsidP="00D046B5">
      <w:pPr>
        <w:spacing w:line="480" w:lineRule="auto"/>
      </w:pPr>
      <w:r>
        <w:t xml:space="preserve">Intelligence informs police decisions. It is constructed from the ocean of data in the world that granulates together as information. The police collect information every day, from a multitude of sources. It is not necessarily </w:t>
      </w:r>
      <w:r w:rsidRPr="00630F9C">
        <w:rPr>
          <w:i/>
          <w:iCs/>
        </w:rPr>
        <w:t>intelligence</w:t>
      </w:r>
      <w:r>
        <w:t xml:space="preserve">. Intelligence is information about subjects (incidents, people, events, etc) that has been processed to make that information useable </w:t>
      </w:r>
      <w:r>
        <w:rPr>
          <w:i/>
          <w:iCs/>
        </w:rPr>
        <w:t>as</w:t>
      </w:r>
      <w:r>
        <w:t xml:space="preserve"> intelligence, which can then be developed as grounds for investigative action. This process is known as the </w:t>
      </w:r>
      <w:r w:rsidRPr="000274DA">
        <w:rPr>
          <w:b/>
          <w:bCs/>
        </w:rPr>
        <w:t>3x5x2 system</w:t>
      </w:r>
      <w:r>
        <w:t xml:space="preserve">, by which the reliability and accuracy of raw information is evaluated, and the scope of its </w:t>
      </w:r>
      <w:proofErr w:type="spellStart"/>
      <w:r>
        <w:lastRenderedPageBreak/>
        <w:t>disseminability</w:t>
      </w:r>
      <w:proofErr w:type="spellEnd"/>
      <w:r>
        <w:t xml:space="preserve"> (to whom it may be shared) is determined. Once the source is graded as one of either ‘reliable’, ‘untested’, or ‘not reliable’ (this is the 3), then can the reliability of the information be assessed, based on how the source came into possession of the information in question. There are then five gradings, from ‘known directly’, ‘known indirectly to the source but corroborated’, ‘known indirectly to the source’, ‘not known’, and ‘suspected to be false’. Finally, the 2 refers to a binary choice of handling permissions, where lawful sharing is permitted either with or without conditions. These conditions are typically to limit the reach of dissemination in order to keep secure particularly sensitive intelligence, or best preserve its operational value. In this way, intelligence is not gathered or collected. </w:t>
      </w:r>
      <w:r w:rsidRPr="00AC0845">
        <w:rPr>
          <w:i/>
          <w:iCs/>
        </w:rPr>
        <w:t>Information</w:t>
      </w:r>
      <w:r>
        <w:t xml:space="preserve"> is collected, and via this process some information </w:t>
      </w:r>
      <w:r w:rsidRPr="00AC0845">
        <w:rPr>
          <w:i/>
          <w:iCs/>
        </w:rPr>
        <w:t>becomes</w:t>
      </w:r>
      <w:r>
        <w:t xml:space="preserve"> intelligence </w:t>
      </w:r>
      <w:sdt>
        <w:sdtPr>
          <w:id w:val="1037542149"/>
          <w:citation/>
        </w:sdtPr>
        <w:sdtEndPr/>
        <w:sdtContent>
          <w:r>
            <w:fldChar w:fldCharType="begin"/>
          </w:r>
          <w:r>
            <w:instrText xml:space="preserve"> CITATION Col191 \l 2057 </w:instrText>
          </w:r>
          <w:r>
            <w:fldChar w:fldCharType="separate"/>
          </w:r>
          <w:r w:rsidR="00017FE4" w:rsidRPr="00017FE4">
            <w:rPr>
              <w:noProof/>
            </w:rPr>
            <w:t>(College of Policing, 2019)</w:t>
          </w:r>
          <w:r>
            <w:fldChar w:fldCharType="end"/>
          </w:r>
        </w:sdtContent>
      </w:sdt>
      <w:r>
        <w:t xml:space="preserve">. All intelligence must be proportionately shared in accordance with the Human Rights Act, and dissemination protocols must be followed when sharing confidential or sensitive intelligence </w:t>
      </w:r>
      <w:sdt>
        <w:sdtPr>
          <w:id w:val="1590348443"/>
          <w:citation/>
        </w:sdtPr>
        <w:sdtEndPr/>
        <w:sdtContent>
          <w:r>
            <w:fldChar w:fldCharType="begin"/>
          </w:r>
          <w:r>
            <w:instrText xml:space="preserve"> CITATION Col15 \l 2057 </w:instrText>
          </w:r>
          <w:r>
            <w:fldChar w:fldCharType="separate"/>
          </w:r>
          <w:r w:rsidR="00017FE4" w:rsidRPr="00017FE4">
            <w:rPr>
              <w:noProof/>
            </w:rPr>
            <w:t>(College of Policing, 2015)</w:t>
          </w:r>
          <w:r>
            <w:fldChar w:fldCharType="end"/>
          </w:r>
        </w:sdtContent>
      </w:sdt>
      <w:r>
        <w:t>.</w:t>
      </w:r>
    </w:p>
    <w:p w14:paraId="2F62A915" w14:textId="1471F3CB" w:rsidR="00614848" w:rsidRPr="0074380F" w:rsidRDefault="00614848" w:rsidP="00D046B5">
      <w:pPr>
        <w:spacing w:line="480" w:lineRule="auto"/>
      </w:pPr>
      <w:r>
        <w:t xml:space="preserve">There are three ways in which information is collected. </w:t>
      </w:r>
      <w:r>
        <w:rPr>
          <w:b/>
          <w:bCs/>
        </w:rPr>
        <w:t>Tasked information</w:t>
      </w:r>
      <w:r>
        <w:t xml:space="preserve"> is collected as a point of priority, with a direct purpose in mind. It comes from sources such as the Police National Database (PND), automatic number plate recognition (ANPR) systems, and covert human intelligence sources (CHIS). The police establish these systems for gathering information </w:t>
      </w:r>
      <w:sdt>
        <w:sdtPr>
          <w:id w:val="99693121"/>
          <w:citation/>
        </w:sdtPr>
        <w:sdtEndPr/>
        <w:sdtContent>
          <w:r>
            <w:fldChar w:fldCharType="begin"/>
          </w:r>
          <w:r>
            <w:instrText xml:space="preserve"> CITATION Col15 \l 2057 </w:instrText>
          </w:r>
          <w:r>
            <w:fldChar w:fldCharType="separate"/>
          </w:r>
          <w:r w:rsidR="00017FE4" w:rsidRPr="00017FE4">
            <w:rPr>
              <w:noProof/>
            </w:rPr>
            <w:t>(College of Policing, 2015)</w:t>
          </w:r>
          <w:r>
            <w:fldChar w:fldCharType="end"/>
          </w:r>
        </w:sdtContent>
      </w:sdt>
      <w:r>
        <w:t xml:space="preserve">. </w:t>
      </w:r>
      <w:r>
        <w:rPr>
          <w:b/>
          <w:bCs/>
        </w:rPr>
        <w:t>Routine collection</w:t>
      </w:r>
      <w:r>
        <w:t xml:space="preserve"> of information occurs as a matter of course as the police conduct their duties: when attending calls and responding to incidents, interacting with victims and witnesses at scenes, searching and arresting suspects, and generally going about amassing the material needed to make decisions in an operational capacity. Finally, </w:t>
      </w:r>
      <w:r>
        <w:rPr>
          <w:b/>
          <w:bCs/>
        </w:rPr>
        <w:t>volunteered information</w:t>
      </w:r>
      <w:r>
        <w:t xml:space="preserve"> is, as it sounds, volunteered to the police, usually by members of the public or partner agencies, usually regarding something to which the source wishes to alert the police and about which they want something done, though this is not always the case </w:t>
      </w:r>
      <w:sdt>
        <w:sdtPr>
          <w:id w:val="841901804"/>
          <w:citation/>
        </w:sdtPr>
        <w:sdtEndPr/>
        <w:sdtContent>
          <w:r>
            <w:fldChar w:fldCharType="begin"/>
          </w:r>
          <w:r>
            <w:instrText xml:space="preserve"> CITATION Col192 \l 2057 </w:instrText>
          </w:r>
          <w:r>
            <w:fldChar w:fldCharType="separate"/>
          </w:r>
          <w:r w:rsidR="00017FE4" w:rsidRPr="00017FE4">
            <w:rPr>
              <w:noProof/>
            </w:rPr>
            <w:t>(College of Policing, 2019)</w:t>
          </w:r>
          <w:r>
            <w:fldChar w:fldCharType="end"/>
          </w:r>
        </w:sdtContent>
      </w:sdt>
      <w:r>
        <w:t xml:space="preserve">. </w:t>
      </w:r>
    </w:p>
    <w:p w14:paraId="76FD4D03" w14:textId="3613BADC" w:rsidR="00614848" w:rsidRDefault="00614848" w:rsidP="00D046B5">
      <w:pPr>
        <w:spacing w:line="480" w:lineRule="auto"/>
      </w:pPr>
      <w:r>
        <w:t xml:space="preserve">The communication of police information is heavily legislated and regulated, for the purposes of data protection. Wrongful sharing of information can place individuals and organisations at risk of </w:t>
      </w:r>
      <w:r>
        <w:lastRenderedPageBreak/>
        <w:t xml:space="preserve">violence, reputational ruin, damage to business, and can jeopardise judicial court proceedings. The police operate in partnership with many other agencies, such as Social Services for example, with whom great swathes of police information will be shared daily in the form of Public Protection Notification reports. These are reports based typically on routinely collected information that pertains to social concerns such as domestic incidents, matters of child welfare or suspected child sexual exploitation (CSE), adult-at-risk assessments, as well as reports regarding honour-based abuse. In these </w:t>
      </w:r>
      <w:proofErr w:type="gramStart"/>
      <w:r>
        <w:t>instances</w:t>
      </w:r>
      <w:proofErr w:type="gramEnd"/>
      <w:r>
        <w:t xml:space="preserve"> the risk at hand is assessed and officers’ observations are recorded. In domestic and vulnerable adult cases consent to share the information is requested from the subject of the report. If consent is refused, the information cannot be shared with partner agencies unless there is an overwhelming safeguarding necessity that can be justified by appeal to public interest. Examples will typically revolve around instances where risk and threat of harm is high, and victims are believed to be particularly vulnerable </w:t>
      </w:r>
      <w:sdt>
        <w:sdtPr>
          <w:id w:val="-851725834"/>
          <w:citation/>
        </w:sdtPr>
        <w:sdtEndPr/>
        <w:sdtContent>
          <w:r>
            <w:fldChar w:fldCharType="begin"/>
          </w:r>
          <w:r>
            <w:instrText xml:space="preserve"> CITATION Sou15 \l 2057 </w:instrText>
          </w:r>
          <w:r>
            <w:fldChar w:fldCharType="separate"/>
          </w:r>
          <w:r w:rsidR="00017FE4" w:rsidRPr="00017FE4">
            <w:rPr>
              <w:noProof/>
            </w:rPr>
            <w:t>(South Wales Police Mission &amp; Vision, 2015)</w:t>
          </w:r>
          <w:r>
            <w:fldChar w:fldCharType="end"/>
          </w:r>
        </w:sdtContent>
      </w:sdt>
      <w:r>
        <w:t>.</w:t>
      </w:r>
    </w:p>
    <w:p w14:paraId="6E8069BE" w14:textId="77777777" w:rsidR="00614848" w:rsidRDefault="00614848" w:rsidP="00D046B5">
      <w:pPr>
        <w:spacing w:line="480" w:lineRule="auto"/>
      </w:pPr>
      <w:r>
        <w:t xml:space="preserve">Policing information changes hands within the organisation </w:t>
      </w:r>
      <w:proofErr w:type="gramStart"/>
      <w:r>
        <w:t>fairly freely</w:t>
      </w:r>
      <w:proofErr w:type="gramEnd"/>
      <w:r>
        <w:t>. Unless information sharing is explicitly limited (such as in cases of intelligence with the handling code ‘lawful sharing permitted with conditions’) information gathered and retained for a policing purpose will apply to police officers in an operational capacity, and its communication can be justified as such. Such information can be communicated via internal email, over the force airwave system, internal messaging systems such as Skype For Business, or by word of mouth. Intelligence can be submitted via the police ‘NICHE’ database, and linked to nominals, addresses, vehicles, and incidents, so that officers dealing with particular occurrences can read the latest intelligence reports about an individuals’ suspected involvement in drug dealing, for example, and make educated decisions about how best to proceed with their dealings with that person. This is operational employment of intelligence on a micro level.</w:t>
      </w:r>
    </w:p>
    <w:p w14:paraId="4F658F64" w14:textId="41964694" w:rsidR="00614848" w:rsidRDefault="00614848" w:rsidP="00D046B5">
      <w:pPr>
        <w:spacing w:line="480" w:lineRule="auto"/>
      </w:pPr>
      <w:r>
        <w:t xml:space="preserve">On a macro level, strategic and tactical tasking and coordination groups (made up of supervisors and senior police managers) take stock of intelligence </w:t>
      </w:r>
      <w:proofErr w:type="gramStart"/>
      <w:r>
        <w:t>submitted, and</w:t>
      </w:r>
      <w:proofErr w:type="gramEnd"/>
      <w:r>
        <w:t xml:space="preserve"> use it to develop strategic direction for resource allocation in alignment with operational priorities. </w:t>
      </w:r>
      <w:r w:rsidRPr="000F604A">
        <w:rPr>
          <w:b/>
          <w:bCs/>
        </w:rPr>
        <w:t>Control strategies</w:t>
      </w:r>
      <w:r>
        <w:t xml:space="preserve"> are established to </w:t>
      </w:r>
      <w:r>
        <w:lastRenderedPageBreak/>
        <w:t xml:space="preserve">lay out “long-term priorities for crime prevention, intelligence, and enforcement”. As the name might suggest, resources (typically officers) will then be tasked with further development or analysis of existing intelligence with the aim to colour in any grey areas of the map, so to speak, and flesh out any incomplete knowledge that has been identified as of strategic or tactical value. This is called an </w:t>
      </w:r>
      <w:r>
        <w:rPr>
          <w:b/>
          <w:bCs/>
        </w:rPr>
        <w:t xml:space="preserve">intelligence requirement </w:t>
      </w:r>
      <w:sdt>
        <w:sdtPr>
          <w:rPr>
            <w:b/>
            <w:bCs/>
          </w:rPr>
          <w:id w:val="-1588922665"/>
          <w:citation/>
        </w:sdtPr>
        <w:sdtEndPr/>
        <w:sdtContent>
          <w:r>
            <w:rPr>
              <w:b/>
              <w:bCs/>
            </w:rPr>
            <w:fldChar w:fldCharType="begin"/>
          </w:r>
          <w:r>
            <w:rPr>
              <w:b/>
              <w:bCs/>
            </w:rPr>
            <w:instrText xml:space="preserve"> CITATION Col151 \l 2057 </w:instrText>
          </w:r>
          <w:r>
            <w:rPr>
              <w:b/>
              <w:bCs/>
            </w:rPr>
            <w:fldChar w:fldCharType="separate"/>
          </w:r>
          <w:r w:rsidR="00017FE4" w:rsidRPr="00017FE4">
            <w:rPr>
              <w:noProof/>
            </w:rPr>
            <w:t>(College of Policing, 2015)</w:t>
          </w:r>
          <w:r>
            <w:rPr>
              <w:b/>
              <w:bCs/>
            </w:rPr>
            <w:fldChar w:fldCharType="end"/>
          </w:r>
        </w:sdtContent>
      </w:sdt>
      <w:r>
        <w:t>. In this way the back and forth communication of police information by way of tasking and submission is a central feature of the process of arriving at maximally actionable intelligence. This allows educated coordination and deployment of resources to combat larger policing issues.</w:t>
      </w:r>
    </w:p>
    <w:p w14:paraId="1F8726E3" w14:textId="6DEF6D58" w:rsidR="00614848" w:rsidRDefault="00614848" w:rsidP="00D046B5">
      <w:pPr>
        <w:spacing w:line="480" w:lineRule="auto"/>
      </w:pPr>
      <w:r>
        <w:t xml:space="preserve">The police National Decision Model (NDM) begins with “gather information and intelligence” </w:t>
      </w:r>
      <w:sdt>
        <w:sdtPr>
          <w:id w:val="-198789858"/>
          <w:citation/>
        </w:sdtPr>
        <w:sdtEndPr/>
        <w:sdtContent>
          <w:r>
            <w:fldChar w:fldCharType="begin"/>
          </w:r>
          <w:r>
            <w:instrText xml:space="preserve"> CITATION Col142 \l 2057 </w:instrText>
          </w:r>
          <w:r>
            <w:fldChar w:fldCharType="separate"/>
          </w:r>
          <w:r w:rsidR="00017FE4" w:rsidRPr="00017FE4">
            <w:rPr>
              <w:noProof/>
            </w:rPr>
            <w:t>(College of Policing, 2014)</w:t>
          </w:r>
          <w:r>
            <w:fldChar w:fldCharType="end"/>
          </w:r>
        </w:sdtContent>
      </w:sdt>
      <w:r>
        <w:t xml:space="preserve">. Information is the bedrock of all action, as it </w:t>
      </w:r>
      <w:r>
        <w:rPr>
          <w:i/>
          <w:iCs/>
        </w:rPr>
        <w:t>informs</w:t>
      </w:r>
      <w:r>
        <w:t xml:space="preserve"> the hierarchy of values and directs decisions. Information is therefore a fundamental part of all police processes. </w:t>
      </w:r>
    </w:p>
    <w:p w14:paraId="217AA420" w14:textId="51DD5288" w:rsidR="00614848" w:rsidRDefault="00614848" w:rsidP="00D046B5">
      <w:pPr>
        <w:spacing w:line="480" w:lineRule="auto"/>
        <w:rPr>
          <w:i/>
          <w:iCs/>
        </w:rPr>
      </w:pPr>
      <w:r>
        <w:rPr>
          <w:i/>
          <w:iCs/>
        </w:rPr>
        <w:t>(1,050 words)</w:t>
      </w:r>
    </w:p>
    <w:p w14:paraId="32B41907" w14:textId="4230F16B" w:rsidR="00D11282" w:rsidRDefault="00D11282" w:rsidP="00D046B5">
      <w:pPr>
        <w:spacing w:line="480" w:lineRule="auto"/>
      </w:pPr>
    </w:p>
    <w:p w14:paraId="61692DB5" w14:textId="6D26BFCE" w:rsidR="00D11282" w:rsidRPr="00D11282" w:rsidRDefault="00D11282" w:rsidP="00D046B5">
      <w:pPr>
        <w:spacing w:line="480" w:lineRule="auto"/>
        <w:rPr>
          <w:b/>
          <w:bCs/>
        </w:rPr>
      </w:pPr>
      <w:r w:rsidRPr="00562FEF">
        <w:rPr>
          <w:b/>
          <w:bCs/>
        </w:rPr>
        <w:t>1000 words - Public Protection</w:t>
      </w:r>
    </w:p>
    <w:p w14:paraId="256A435D" w14:textId="5881A861" w:rsidR="00D11282" w:rsidRDefault="00D11282" w:rsidP="00D046B5">
      <w:pPr>
        <w:spacing w:line="480" w:lineRule="auto"/>
      </w:pPr>
      <w:r>
        <w:t xml:space="preserve">Public protection policing concerns a range of issues connected with child protection and investigations into neglect and abuse, incidents of domestic abuse including stalking, harassment, rape, and other sexual offences, the protection of adults at risk, and management of dangerous offenders </w:t>
      </w:r>
      <w:sdt>
        <w:sdtPr>
          <w:id w:val="-1304386190"/>
          <w:citation/>
        </w:sdtPr>
        <w:sdtEndPr/>
        <w:sdtContent>
          <w:r>
            <w:fldChar w:fldCharType="begin"/>
          </w:r>
          <w:r>
            <w:instrText xml:space="preserve"> CITATION Gue21 \l 2057 </w:instrText>
          </w:r>
          <w:r>
            <w:fldChar w:fldCharType="separate"/>
          </w:r>
          <w:r w:rsidR="00017FE4" w:rsidRPr="00017FE4">
            <w:rPr>
              <w:noProof/>
            </w:rPr>
            <w:t>(Guernsey Police, 2021)</w:t>
          </w:r>
          <w:r>
            <w:fldChar w:fldCharType="end"/>
          </w:r>
        </w:sdtContent>
      </w:sdt>
      <w:r>
        <w:t>. The nature of public protection incidents often creates repeat victims and even future offenders.</w:t>
      </w:r>
    </w:p>
    <w:p w14:paraId="78A7098B" w14:textId="7ADE4472" w:rsidR="00D11282" w:rsidRPr="000078ED" w:rsidRDefault="00D11282" w:rsidP="00D046B5">
      <w:pPr>
        <w:spacing w:line="480" w:lineRule="auto"/>
      </w:pPr>
      <w:r>
        <w:t xml:space="preserve">A widely backed definition from the United Nations declares victims to be sufferers of harm (either as individuals or collectives) as a result of acts or omissions in contravention of criminal law. ‘Harm’ can be injuries (either physical or mental), emotional suffering, economic loss, or infringements upon their basic rights. No perpetrator need be identified, nor is any relationship between the victim and perpetrator – familial or otherwise – proscribed by the Declaration, which also includes within </w:t>
      </w:r>
      <w:r>
        <w:lastRenderedPageBreak/>
        <w:t xml:space="preserve">‘victim’ </w:t>
      </w:r>
      <w:r w:rsidRPr="00F708AD">
        <w:rPr>
          <w:i/>
          <w:iCs/>
        </w:rPr>
        <w:t>secondary</w:t>
      </w:r>
      <w:r>
        <w:t xml:space="preserve"> sufferers of harm (e.g. family members of the primary victim) </w:t>
      </w:r>
      <w:sdt>
        <w:sdtPr>
          <w:id w:val="2065376760"/>
          <w:citation/>
        </w:sdtPr>
        <w:sdtEndPr/>
        <w:sdtContent>
          <w:r>
            <w:fldChar w:fldCharType="begin"/>
          </w:r>
          <w:r>
            <w:instrText xml:space="preserve"> CITATION Uni85 \l 2057 </w:instrText>
          </w:r>
          <w:r>
            <w:fldChar w:fldCharType="separate"/>
          </w:r>
          <w:r w:rsidR="00017FE4" w:rsidRPr="00017FE4">
            <w:rPr>
              <w:noProof/>
            </w:rPr>
            <w:t>(United Nations, 1985)</w:t>
          </w:r>
          <w:r>
            <w:fldChar w:fldCharType="end"/>
          </w:r>
        </w:sdtContent>
      </w:sdt>
      <w:r>
        <w:t>. This definition incorporates not just the tangible and quantifiable consequences of abuse, but also its significance and meaning to the sufferer.</w:t>
      </w:r>
    </w:p>
    <w:p w14:paraId="3B2613A1" w14:textId="77777777" w:rsidR="00D11282" w:rsidRDefault="00D11282" w:rsidP="00D046B5">
      <w:pPr>
        <w:spacing w:line="480" w:lineRule="auto"/>
      </w:pPr>
      <w:r>
        <w:t xml:space="preserve">The impact on victims of public protection incidents can be deep and irreversible. In cases of domestic abuse, for example, short-term and long-term effects must be differentiated. Intense fear, shock, anger, confusion, and various other mental anguishes can reign intensely over a victim to begin with, to say nothing of the harm of any physical injuries suffered. In the long term, however, this typically abates and is overridden by lasting psychological damage that recycles itself as the trauma is processed again and again over time. This includes but is not limited to the onset of </w:t>
      </w:r>
      <w:proofErr w:type="spellStart"/>
      <w:r>
        <w:t>post traumatic</w:t>
      </w:r>
      <w:proofErr w:type="spellEnd"/>
      <w:r>
        <w:t xml:space="preserve"> stress disorder (PTSD) and various knock-on physical health implications related to stress, depression, sleeplessness, regular panic and anxiety attacks, and feelings of powerlessness and heightened vulnerability. Victims are likely to undergo behavioural changes (become less social, more volatile, etc) and introduce destructive coping mechanisms into their lives (drug abuse, eating disorders, </w:t>
      </w:r>
      <w:proofErr w:type="spellStart"/>
      <w:r>
        <w:t>self harm</w:t>
      </w:r>
      <w:proofErr w:type="spellEnd"/>
      <w:r>
        <w:t xml:space="preserve">), sometimes even attempting suicide. This in turn jeopardises a victim’s social life and </w:t>
      </w:r>
      <w:proofErr w:type="gramStart"/>
      <w:r>
        <w:t>employability, and</w:t>
      </w:r>
      <w:proofErr w:type="gramEnd"/>
      <w:r>
        <w:t xml:space="preserve"> puts them at a greater risk of offending themselves and victimising others.</w:t>
      </w:r>
    </w:p>
    <w:p w14:paraId="3ECBE453" w14:textId="69069EB4" w:rsidR="00D11282" w:rsidRDefault="00D11282" w:rsidP="00D046B5">
      <w:pPr>
        <w:spacing w:line="480" w:lineRule="auto"/>
      </w:pPr>
      <w:r>
        <w:t xml:space="preserve">In many cases the collective impact of abuse on victims (and on the perpetrator) puts them at a significantly higher risk of repeat victimisation. Each count of abuse operates for the perpetrator like a rehearsal for next time, and the victim is learning their role as well. The target-weakening effect on the victim from previous abuses makes them more and more attractive for further victimisation </w:t>
      </w:r>
      <w:sdt>
        <w:sdtPr>
          <w:id w:val="774834815"/>
          <w:citation/>
        </w:sdtPr>
        <w:sdtEndPr/>
        <w:sdtContent>
          <w:r>
            <w:fldChar w:fldCharType="begin"/>
          </w:r>
          <w:r>
            <w:instrText xml:space="preserve"> CITATION Far17 \l 2057 </w:instrText>
          </w:r>
          <w:r>
            <w:fldChar w:fldCharType="separate"/>
          </w:r>
          <w:r w:rsidR="00017FE4" w:rsidRPr="00017FE4">
            <w:rPr>
              <w:noProof/>
            </w:rPr>
            <w:t>(Farrell &amp; Pease, 2017)</w:t>
          </w:r>
          <w:r>
            <w:fldChar w:fldCharType="end"/>
          </w:r>
        </w:sdtContent>
      </w:sdt>
      <w:r>
        <w:t xml:space="preserve">. The phenomenon of ‘trauma bonding’ in abusive domestic relationships </w:t>
      </w:r>
      <w:proofErr w:type="gramStart"/>
      <w:r>
        <w:t>also  makes</w:t>
      </w:r>
      <w:proofErr w:type="gramEnd"/>
      <w:r>
        <w:t xml:space="preserve"> victims increasingly vulnerable to further abuses. This refers to feelings of emotional attachment to one’s abuser based on repeated cycles of abuse and atonement, which engenders a form of pathological loyalty that keeps a victim trapped by their own hand </w:t>
      </w:r>
      <w:sdt>
        <w:sdtPr>
          <w:id w:val="-594862348"/>
          <w:citation/>
        </w:sdtPr>
        <w:sdtEndPr/>
        <w:sdtContent>
          <w:r>
            <w:fldChar w:fldCharType="begin"/>
          </w:r>
          <w:r>
            <w:instrText xml:space="preserve"> CITATION Har18 \l 2057 </w:instrText>
          </w:r>
          <w:r>
            <w:fldChar w:fldCharType="separate"/>
          </w:r>
          <w:r w:rsidR="00017FE4" w:rsidRPr="00017FE4">
            <w:rPr>
              <w:noProof/>
            </w:rPr>
            <w:t>(Harley Therapy, 2018)</w:t>
          </w:r>
          <w:r>
            <w:fldChar w:fldCharType="end"/>
          </w:r>
        </w:sdtContent>
      </w:sdt>
      <w:r>
        <w:t xml:space="preserve">. </w:t>
      </w:r>
    </w:p>
    <w:p w14:paraId="2F032004" w14:textId="1FC74467" w:rsidR="00D11282" w:rsidRDefault="00D11282" w:rsidP="00D046B5">
      <w:pPr>
        <w:spacing w:line="480" w:lineRule="auto"/>
      </w:pPr>
      <w:r>
        <w:lastRenderedPageBreak/>
        <w:t xml:space="preserve">In instances of child abuse, or adverse childhood experiences (ACEs), studies have shown that victims are very much more likely to go on to offend themselves. A 2019 survey from Parc Prison found 84% of prisoners there reported having had at least one ACE before turning 18 years old, and 46% reported four or more </w:t>
      </w:r>
      <w:sdt>
        <w:sdtPr>
          <w:id w:val="1526289171"/>
          <w:citation/>
        </w:sdtPr>
        <w:sdtEndPr/>
        <w:sdtContent>
          <w:r>
            <w:fldChar w:fldCharType="begin"/>
          </w:r>
          <w:r>
            <w:instrText xml:space="preserve"> CITATION For19 \l 2057 </w:instrText>
          </w:r>
          <w:r>
            <w:fldChar w:fldCharType="separate"/>
          </w:r>
          <w:r w:rsidR="00017FE4" w:rsidRPr="00017FE4">
            <w:rPr>
              <w:noProof/>
            </w:rPr>
            <w:t>(Ford, et al., 2019)</w:t>
          </w:r>
          <w:r>
            <w:fldChar w:fldCharType="end"/>
          </w:r>
        </w:sdtContent>
      </w:sdt>
      <w:r>
        <w:t xml:space="preserve">. For comparison, surveys of the general Welsh population found only 13.5% to have experienced four or more ACEs </w:t>
      </w:r>
      <w:sdt>
        <w:sdtPr>
          <w:id w:val="-590007556"/>
          <w:citation/>
        </w:sdtPr>
        <w:sdtEndPr/>
        <w:sdtContent>
          <w:r>
            <w:fldChar w:fldCharType="begin"/>
          </w:r>
          <w:r>
            <w:instrText xml:space="preserve"> CITATION DiL19 \l 2057 </w:instrText>
          </w:r>
          <w:r>
            <w:fldChar w:fldCharType="separate"/>
          </w:r>
          <w:r w:rsidR="00017FE4" w:rsidRPr="00017FE4">
            <w:rPr>
              <w:noProof/>
            </w:rPr>
            <w:t>(Di Lemma, et al., 2019)</w:t>
          </w:r>
          <w:r>
            <w:fldChar w:fldCharType="end"/>
          </w:r>
        </w:sdtContent>
      </w:sdt>
      <w:r>
        <w:t>. The impacts of abuse on victims are evidently wide reaching, multi-varied, deeply rooted, and long lasting.</w:t>
      </w:r>
    </w:p>
    <w:p w14:paraId="25F00775" w14:textId="24EC60BD" w:rsidR="00D11282" w:rsidRDefault="00D11282" w:rsidP="00D046B5">
      <w:pPr>
        <w:spacing w:line="480" w:lineRule="auto"/>
      </w:pPr>
      <w:r>
        <w:t xml:space="preserve">Organised crime groups (OCG) are sometimes linked to public protection issues such as youth gang violence (e.g. County Lines) and other gun and drug-related crime involving young people, modern slavery and human trafficking, and sex work and prostitution, to name but a few. Where these problems are symptomatic of orchestrated operations either locally or nationally, the coordinating body is </w:t>
      </w:r>
      <w:proofErr w:type="gramStart"/>
      <w:r>
        <w:t>more often than not</w:t>
      </w:r>
      <w:proofErr w:type="gramEnd"/>
      <w:r>
        <w:t xml:space="preserve"> OCG or OCG-associated. OCGs will identify vulnerable people and victimise them for gain, taking advantage of their reduced ability to recognise the risk (children, people with mental disabilities, etc) or refuse its imposition (people in financial trouble, illegal immigrants, the elderly, etc) </w:t>
      </w:r>
      <w:sdt>
        <w:sdtPr>
          <w:id w:val="-1409761980"/>
          <w:citation/>
        </w:sdtPr>
        <w:sdtEndPr/>
        <w:sdtContent>
          <w:r>
            <w:fldChar w:fldCharType="begin"/>
          </w:r>
          <w:r>
            <w:instrText xml:space="preserve"> CITATION Ham18 \l 2057 </w:instrText>
          </w:r>
          <w:r>
            <w:fldChar w:fldCharType="separate"/>
          </w:r>
          <w:r w:rsidR="00017FE4" w:rsidRPr="00017FE4">
            <w:rPr>
              <w:noProof/>
            </w:rPr>
            <w:t>(Hamilton-Smith, 2018)</w:t>
          </w:r>
          <w:r>
            <w:fldChar w:fldCharType="end"/>
          </w:r>
        </w:sdtContent>
      </w:sdt>
      <w:r>
        <w:t xml:space="preserve">.  When dealing with cases of children or vulnerable adults at risk, police must be conscious of the possibilities and risks of OCG involvement, and wary to the various indicators. </w:t>
      </w:r>
    </w:p>
    <w:p w14:paraId="045ACA5B" w14:textId="35FFDBC5" w:rsidR="00D11282" w:rsidRDefault="00D11282" w:rsidP="00D046B5">
      <w:pPr>
        <w:spacing w:line="480" w:lineRule="auto"/>
      </w:pPr>
      <w:r>
        <w:t xml:space="preserve">Police strategies for dealing with public protection issues revolve around risk assessment and partner agency coordination. The NPCC’s Policing Vision 2025 lays out a plan for an even more integrated delivery of public protection services across multiple organisations, as opposed to the police solely shouldering the burden of what is a vast umbrella of social ills not always best remedied by the police service themselves </w:t>
      </w:r>
      <w:sdt>
        <w:sdtPr>
          <w:id w:val="-632016096"/>
          <w:citation/>
        </w:sdtPr>
        <w:sdtEndPr/>
        <w:sdtContent>
          <w:r>
            <w:fldChar w:fldCharType="begin"/>
          </w:r>
          <w:r>
            <w:instrText xml:space="preserve"> CITATION Nat20 \l 2057 </w:instrText>
          </w:r>
          <w:r>
            <w:fldChar w:fldCharType="separate"/>
          </w:r>
          <w:r w:rsidR="00017FE4" w:rsidRPr="00017FE4">
            <w:rPr>
              <w:noProof/>
            </w:rPr>
            <w:t>(National Police Chiefs' Council, 2020)</w:t>
          </w:r>
          <w:r>
            <w:fldChar w:fldCharType="end"/>
          </w:r>
        </w:sdtContent>
      </w:sdt>
      <w:r>
        <w:t xml:space="preserve">. </w:t>
      </w:r>
    </w:p>
    <w:p w14:paraId="2A11B70A" w14:textId="6622264A" w:rsidR="00D11282" w:rsidRDefault="00D11282" w:rsidP="00D046B5">
      <w:pPr>
        <w:spacing w:line="480" w:lineRule="auto"/>
      </w:pPr>
      <w:r>
        <w:t xml:space="preserve">When police attend an incident and there are indicators of high risk, urgent notification reports are made and shared with partner agencies, strategy meetings are arranged, supervising police managers are made aware, and resources are allocated swiftly and accordingly to meet the </w:t>
      </w:r>
      <w:r>
        <w:lastRenderedPageBreak/>
        <w:t xml:space="preserve">threat/risk. This is so that inquiries can be commenced as promptly as possible to both implement immediate safeguarding measures to protect the victim and give them the very best chance of getting a positive result from the investigation, thus mitigating risk of repeat victimisation and providing timely professional support to the victim and their loved ones. With cases of lower risk, the matter may be monitored long-term, with each incident logged upping the risk each time. Every public protection notification (PPN) report and risk assessment is reviewed by supervisors, so that individuals of the necessary strategic and tactical authority are kept abreast of important public protection matters </w:t>
      </w:r>
      <w:sdt>
        <w:sdtPr>
          <w:id w:val="2138754725"/>
          <w:citation/>
        </w:sdtPr>
        <w:sdtEndPr/>
        <w:sdtContent>
          <w:r>
            <w:fldChar w:fldCharType="begin"/>
          </w:r>
          <w:r>
            <w:instrText xml:space="preserve"> CITATION Sou15 \l 2057 </w:instrText>
          </w:r>
          <w:r>
            <w:fldChar w:fldCharType="separate"/>
          </w:r>
          <w:r w:rsidR="00017FE4" w:rsidRPr="00017FE4">
            <w:rPr>
              <w:noProof/>
            </w:rPr>
            <w:t>(South Wales Police Mission &amp; Vision, 2015)</w:t>
          </w:r>
          <w:r>
            <w:fldChar w:fldCharType="end"/>
          </w:r>
        </w:sdtContent>
      </w:sdt>
      <w:r>
        <w:t>.</w:t>
      </w:r>
    </w:p>
    <w:p w14:paraId="04A7B408" w14:textId="5411AA5E" w:rsidR="00D11282" w:rsidRDefault="00D11282" w:rsidP="00D046B5">
      <w:pPr>
        <w:spacing w:line="480" w:lineRule="auto"/>
        <w:rPr>
          <w:i/>
          <w:iCs/>
        </w:rPr>
      </w:pPr>
      <w:r>
        <w:rPr>
          <w:i/>
          <w:iCs/>
        </w:rPr>
        <w:t>(929 words)</w:t>
      </w:r>
    </w:p>
    <w:p w14:paraId="44C1B7FB" w14:textId="540C6F21" w:rsidR="00E5596F" w:rsidRDefault="00E5596F" w:rsidP="00D046B5">
      <w:pPr>
        <w:spacing w:line="480" w:lineRule="auto"/>
      </w:pPr>
    </w:p>
    <w:p w14:paraId="7C101FA6" w14:textId="419470BA" w:rsidR="00917F24" w:rsidRPr="00917F24" w:rsidRDefault="00917F24" w:rsidP="00D046B5">
      <w:pPr>
        <w:spacing w:line="480" w:lineRule="auto"/>
        <w:rPr>
          <w:b/>
          <w:bCs/>
        </w:rPr>
      </w:pPr>
      <w:r w:rsidRPr="00AA4EB0">
        <w:rPr>
          <w:b/>
          <w:bCs/>
        </w:rPr>
        <w:t>1000 words - Evidence based policing/criminology and crime prevention/criminal Justice</w:t>
      </w:r>
    </w:p>
    <w:p w14:paraId="348E0D0B" w14:textId="68788054" w:rsidR="0072705E" w:rsidRDefault="0072705E" w:rsidP="00D046B5">
      <w:pPr>
        <w:spacing w:line="480" w:lineRule="auto"/>
      </w:pPr>
      <w:r>
        <w:t xml:space="preserve">Evidence-based policing is the concept of utilising rigorous empirical processes to identify options and inform policing decisions. As crime advances in its own way with greater technological and logistical complexity than ever before, so must the police respond in kind with a self-reflective scientific approach to improving and updating practises. This necessarily involves a mindset based around questioning and challenging preconceptions about what actually works in policing (as opposed to what is merely traditionally understood to work), which may not come naturally to such a definitively hierarchical organisation </w:t>
      </w:r>
      <w:sdt>
        <w:sdtPr>
          <w:id w:val="-887869265"/>
          <w:citation/>
        </w:sdtPr>
        <w:sdtContent>
          <w:r>
            <w:fldChar w:fldCharType="begin"/>
          </w:r>
          <w:r>
            <w:instrText xml:space="preserve"> CITATION Col213 \l 2057 </w:instrText>
          </w:r>
          <w:r>
            <w:fldChar w:fldCharType="separate"/>
          </w:r>
          <w:r w:rsidR="00017FE4" w:rsidRPr="00017FE4">
            <w:rPr>
              <w:noProof/>
            </w:rPr>
            <w:t>(College of Policing, 2021)</w:t>
          </w:r>
          <w:r>
            <w:fldChar w:fldCharType="end"/>
          </w:r>
        </w:sdtContent>
      </w:sdt>
      <w:r>
        <w:t>.</w:t>
      </w:r>
    </w:p>
    <w:p w14:paraId="48973503" w14:textId="20BDAA3D" w:rsidR="0072705E" w:rsidRDefault="0072705E" w:rsidP="00D046B5">
      <w:pPr>
        <w:spacing w:line="480" w:lineRule="auto"/>
      </w:pPr>
      <w:r>
        <w:t xml:space="preserve">The scientific method is, essentially, doing something a certain way, consciously observing what happens, and subsequently basing hypotheses and future practises on conclusions about the world yielded by analysis of the results. After all, science is exclusively concerned with establishing what may or may not be true about the world, applying the best available evidence to inform what best to do about it. The police do this in investigations all the time, by probing and challenging suspects and various lines of inquiry. There is no way that such epistemological principles, when applied to the </w:t>
      </w:r>
      <w:r>
        <w:lastRenderedPageBreak/>
        <w:t xml:space="preserve">efficacy of its own practises, cannot offer the police service opportunities to improve how it operates. The rational fact of the matter is that, without evidence to justify one’s actions, one acts out of dogmatic ignorance with no real qualified reason for believing in what one is doing – and this cannot be the police </w:t>
      </w:r>
      <w:sdt>
        <w:sdtPr>
          <w:id w:val="-1588524359"/>
          <w:citation/>
        </w:sdtPr>
        <w:sdtContent>
          <w:r>
            <w:fldChar w:fldCharType="begin"/>
          </w:r>
          <w:r>
            <w:instrText xml:space="preserve"> CITATION She98 \l 2057 </w:instrText>
          </w:r>
          <w:r>
            <w:fldChar w:fldCharType="separate"/>
          </w:r>
          <w:r w:rsidR="00017FE4" w:rsidRPr="00017FE4">
            <w:rPr>
              <w:noProof/>
            </w:rPr>
            <w:t>(Sherman, 1998)</w:t>
          </w:r>
          <w:r>
            <w:fldChar w:fldCharType="end"/>
          </w:r>
        </w:sdtContent>
      </w:sdt>
      <w:r>
        <w:t xml:space="preserve">. </w:t>
      </w:r>
    </w:p>
    <w:p w14:paraId="6BD9A202" w14:textId="77777777" w:rsidR="0072705E" w:rsidRDefault="0072705E" w:rsidP="00D046B5">
      <w:pPr>
        <w:spacing w:line="480" w:lineRule="auto"/>
      </w:pPr>
      <w:r>
        <w:t xml:space="preserve">Just as in the world of medical science, the best evidence is tested and reviewed, explored and analysed, created and established using appropriate and transparent research methods. Some areas of operational police practise may not have had a great deal of applicable research conducted into it. In such cases the ‘best available’ evidence may indeed be the prevailing professional consensus as it stands. Police officers are continually testing the wisdom of operational policy with every incident they deal with. In this way they are gathering results and data all the time – data which begs to be reviewed. It is the responsibility of all individuals to reflect on their experiences and consider how they could do better based on actual reasons identified. The researchers and data gatherers in this situation are not lab technicians or academics, but the very people required to implement the policies established by this process. </w:t>
      </w:r>
    </w:p>
    <w:p w14:paraId="1729127A" w14:textId="77777777" w:rsidR="0072705E" w:rsidRDefault="0072705E" w:rsidP="00D046B5">
      <w:pPr>
        <w:spacing w:line="480" w:lineRule="auto"/>
      </w:pPr>
      <w:r>
        <w:t xml:space="preserve">Examples of evidence-based policing in practice can be found in the prevalence of sociological models and statistics in police training and policy. Various crime prevention strategies have been identified using the processes described </w:t>
      </w:r>
      <w:proofErr w:type="gramStart"/>
      <w:r>
        <w:t>above, and</w:t>
      </w:r>
      <w:proofErr w:type="gramEnd"/>
      <w:r>
        <w:t xml:space="preserve"> are employed daily by the police with regular review into how well they work. The fundamental idea behind these crime prevention strategies is based on the principle that by addressing the root causes of a problem one can avert the problem entirely, thus reducing demand on the problem solvers (i.e. the police). Many of these strategies are based around the theory that crime requires a target to be victimised, an offender to do the victimising, and a location for the victimising to take place, and that the simplest means of preventing an offence is to disrupt this triumvirate of prescribed preconditions.</w:t>
      </w:r>
    </w:p>
    <w:p w14:paraId="1DB68D97" w14:textId="04890CD4" w:rsidR="0072705E" w:rsidRDefault="0072705E" w:rsidP="00D046B5">
      <w:pPr>
        <w:spacing w:line="480" w:lineRule="auto"/>
      </w:pPr>
      <w:r>
        <w:t xml:space="preserve">Strategies include </w:t>
      </w:r>
      <w:r w:rsidRPr="00530A3D">
        <w:rPr>
          <w:i/>
          <w:iCs/>
        </w:rPr>
        <w:t>target hardening</w:t>
      </w:r>
      <w:r>
        <w:rPr>
          <w:i/>
          <w:iCs/>
        </w:rPr>
        <w:t xml:space="preserve"> </w:t>
      </w:r>
      <w:r>
        <w:t xml:space="preserve">(making targets of crime harder to victimise, typically by doing things like making property more secure), </w:t>
      </w:r>
      <w:r w:rsidRPr="00530A3D">
        <w:rPr>
          <w:i/>
          <w:iCs/>
        </w:rPr>
        <w:t>target removal</w:t>
      </w:r>
      <w:r>
        <w:t xml:space="preserve"> (taking the target out of the picture </w:t>
      </w:r>
      <w:r>
        <w:lastRenderedPageBreak/>
        <w:t xml:space="preserve">entirely, by for example not leaving objects on view), </w:t>
      </w:r>
      <w:r>
        <w:rPr>
          <w:i/>
          <w:iCs/>
        </w:rPr>
        <w:t>reducing payoff</w:t>
      </w:r>
      <w:r>
        <w:t xml:space="preserve"> (making crime less attractive by reducing what the offender can gain from it, e.g. anti-theft tags in shops that ruin items of clothing unless removed using the proper equipment), and </w:t>
      </w:r>
      <w:r>
        <w:rPr>
          <w:i/>
          <w:iCs/>
        </w:rPr>
        <w:t>increasing the chances of getting caught</w:t>
      </w:r>
      <w:r>
        <w:t xml:space="preserve"> (using surveillance equipment, for example) </w:t>
      </w:r>
      <w:sdt>
        <w:sdtPr>
          <w:id w:val="1721790583"/>
          <w:citation/>
        </w:sdtPr>
        <w:sdtContent>
          <w:r>
            <w:fldChar w:fldCharType="begin"/>
          </w:r>
          <w:r>
            <w:instrText xml:space="preserve"> CITATION Saf21 \l 2057 </w:instrText>
          </w:r>
          <w:r>
            <w:fldChar w:fldCharType="separate"/>
          </w:r>
          <w:r w:rsidR="00017FE4" w:rsidRPr="00017FE4">
            <w:rPr>
              <w:noProof/>
            </w:rPr>
            <w:t>(Safer Streets Fund , 2021)</w:t>
          </w:r>
          <w:r>
            <w:fldChar w:fldCharType="end"/>
          </w:r>
        </w:sdtContent>
      </w:sdt>
      <w:r>
        <w:t xml:space="preserve">. </w:t>
      </w:r>
    </w:p>
    <w:p w14:paraId="7F62A754" w14:textId="69BC20AD" w:rsidR="0072705E" w:rsidRDefault="0072705E" w:rsidP="00D046B5">
      <w:pPr>
        <w:spacing w:line="480" w:lineRule="auto"/>
      </w:pPr>
      <w:r>
        <w:t xml:space="preserve">Many studies into what deters offenders more between certainty of punishment and severity of punishment suggest that increasing the probability that an offender </w:t>
      </w:r>
      <w:r w:rsidRPr="006D5CBF">
        <w:rPr>
          <w:i/>
          <w:iCs/>
        </w:rPr>
        <w:t>will</w:t>
      </w:r>
      <w:r>
        <w:t xml:space="preserve"> be caught and punished is a much more powerful deterring influence than increasing the severity of punishment </w:t>
      </w:r>
      <w:r>
        <w:rPr>
          <w:i/>
          <w:iCs/>
        </w:rPr>
        <w:t>if</w:t>
      </w:r>
      <w:r>
        <w:t xml:space="preserve"> he is caught </w:t>
      </w:r>
      <w:sdt>
        <w:sdtPr>
          <w:id w:val="540026599"/>
          <w:citation/>
        </w:sdtPr>
        <w:sdtContent>
          <w:r>
            <w:fldChar w:fldCharType="begin"/>
          </w:r>
          <w:r>
            <w:instrText xml:space="preserve"> CITATION Nat16 \l 2057 </w:instrText>
          </w:r>
          <w:r>
            <w:fldChar w:fldCharType="separate"/>
          </w:r>
          <w:r w:rsidR="00017FE4" w:rsidRPr="00017FE4">
            <w:rPr>
              <w:noProof/>
            </w:rPr>
            <w:t>(National Institute of Justice, 2016)</w:t>
          </w:r>
          <w:r>
            <w:fldChar w:fldCharType="end"/>
          </w:r>
        </w:sdtContent>
      </w:sdt>
      <w:r>
        <w:t xml:space="preserve">, and this is typically the prevailing consensus in criminology circles. Other studies suggest the direct opposite </w:t>
      </w:r>
      <w:sdt>
        <w:sdtPr>
          <w:id w:val="-189910669"/>
          <w:citation/>
        </w:sdtPr>
        <w:sdtContent>
          <w:r>
            <w:fldChar w:fldCharType="begin"/>
          </w:r>
          <w:r>
            <w:instrText xml:space="preserve"> CITATION Fri09 \l 2057 </w:instrText>
          </w:r>
          <w:r>
            <w:fldChar w:fldCharType="separate"/>
          </w:r>
          <w:r w:rsidR="00017FE4" w:rsidRPr="00017FE4">
            <w:rPr>
              <w:noProof/>
            </w:rPr>
            <w:t>(Friesen, 2009)</w:t>
          </w:r>
          <w:r>
            <w:fldChar w:fldCharType="end"/>
          </w:r>
        </w:sdtContent>
      </w:sdt>
      <w:r>
        <w:t xml:space="preserve">, using laboratory experiments to challenge the consensus. That is the scientific method as it might best be portrayed. That is what is required of police and staff within the police service, in order to keep </w:t>
      </w:r>
      <w:proofErr w:type="gramStart"/>
      <w:r>
        <w:t>meaningful</w:t>
      </w:r>
      <w:proofErr w:type="gramEnd"/>
      <w:r>
        <w:t xml:space="preserve"> the maxims that underpin our policy. </w:t>
      </w:r>
    </w:p>
    <w:p w14:paraId="06BA3AAE" w14:textId="2E3E4FFA" w:rsidR="0072705E" w:rsidRDefault="0072705E" w:rsidP="00D046B5">
      <w:pPr>
        <w:spacing w:line="480" w:lineRule="auto"/>
      </w:pPr>
      <w:r>
        <w:t xml:space="preserve">As has been established in previous sections of this work, every time a person offends it becomes more likely that they will re-offend </w:t>
      </w:r>
      <w:sdt>
        <w:sdtPr>
          <w:id w:val="-726526178"/>
          <w:citation/>
        </w:sdtPr>
        <w:sdtContent>
          <w:r>
            <w:fldChar w:fldCharType="begin"/>
          </w:r>
          <w:r>
            <w:instrText xml:space="preserve"> CITATION Far17 \l 2057 </w:instrText>
          </w:r>
          <w:r>
            <w:fldChar w:fldCharType="separate"/>
          </w:r>
          <w:r w:rsidR="00017FE4" w:rsidRPr="00017FE4">
            <w:rPr>
              <w:noProof/>
            </w:rPr>
            <w:t>(Farrell &amp; Pease, 2017)</w:t>
          </w:r>
          <w:r>
            <w:fldChar w:fldCharType="end"/>
          </w:r>
        </w:sdtContent>
      </w:sdt>
      <w:r>
        <w:t xml:space="preserve">. It stands to reason, then, that an offender’s virgin foray into crime – his first offence – is the easiest to prevent. But many crime prevention strategies are necessarily concerned with knowledgeable repeat </w:t>
      </w:r>
      <w:proofErr w:type="gramStart"/>
      <w:r>
        <w:t>offenders, and</w:t>
      </w:r>
      <w:proofErr w:type="gramEnd"/>
      <w:r>
        <w:t xml:space="preserve"> attempting to disincentivise the continuation of their behaviour by regularly frustrating their efforts. This is not addressing the deepest base of the problem though. Many predicting factors for offending and re-offending come from interlinked features personal to each offender, and include issues such as substance misuse, pro-criminal (and anti-police) attitudes, adverse childhood experiences, financial problems including unemployment and homelessness, and various mental health issues </w:t>
      </w:r>
      <w:sdt>
        <w:sdtPr>
          <w:id w:val="-1230147070"/>
          <w:citation/>
        </w:sdtPr>
        <w:sdtContent>
          <w:r>
            <w:fldChar w:fldCharType="begin"/>
          </w:r>
          <w:r>
            <w:instrText xml:space="preserve"> CITATION Rus13 \l 2057 </w:instrText>
          </w:r>
          <w:r>
            <w:fldChar w:fldCharType="separate"/>
          </w:r>
          <w:r w:rsidR="00017FE4" w:rsidRPr="00017FE4">
            <w:rPr>
              <w:noProof/>
            </w:rPr>
            <w:t>(Russell Webster, 2013)</w:t>
          </w:r>
          <w:r>
            <w:fldChar w:fldCharType="end"/>
          </w:r>
        </w:sdtContent>
      </w:sdt>
      <w:r>
        <w:t xml:space="preserve">. Contextual analysis of these factors </w:t>
      </w:r>
      <w:proofErr w:type="gramStart"/>
      <w:r>
        <w:t>have</w:t>
      </w:r>
      <w:proofErr w:type="gramEnd"/>
      <w:r>
        <w:t xml:space="preserve"> identified typical connections between certain details and certain types of offences committed. For example, alcohol abuse best predicts violent offences </w:t>
      </w:r>
      <w:sdt>
        <w:sdtPr>
          <w:id w:val="-2059776287"/>
          <w:citation/>
        </w:sdtPr>
        <w:sdtContent>
          <w:r>
            <w:fldChar w:fldCharType="begin"/>
          </w:r>
          <w:r>
            <w:instrText xml:space="preserve"> CITATION Ame21 \l 2057 </w:instrText>
          </w:r>
          <w:r>
            <w:fldChar w:fldCharType="separate"/>
          </w:r>
          <w:r w:rsidR="00017FE4" w:rsidRPr="00017FE4">
            <w:rPr>
              <w:noProof/>
            </w:rPr>
            <w:t>(American Addiction Centers, 2021)</w:t>
          </w:r>
          <w:r>
            <w:fldChar w:fldCharType="end"/>
          </w:r>
        </w:sdtContent>
      </w:sdt>
      <w:r>
        <w:t xml:space="preserve">, compared to heroin abuse, which best predicts acquisitive crime </w:t>
      </w:r>
      <w:sdt>
        <w:sdtPr>
          <w:id w:val="-29884568"/>
          <w:citation/>
        </w:sdtPr>
        <w:sdtContent>
          <w:r>
            <w:fldChar w:fldCharType="begin"/>
          </w:r>
          <w:r>
            <w:instrText xml:space="preserve"> CITATION LEA16 \l 2057 </w:instrText>
          </w:r>
          <w:r>
            <w:fldChar w:fldCharType="separate"/>
          </w:r>
          <w:r w:rsidR="00017FE4" w:rsidRPr="00017FE4">
            <w:rPr>
              <w:noProof/>
            </w:rPr>
            <w:t>(LEAP UK, 2016)</w:t>
          </w:r>
          <w:r>
            <w:fldChar w:fldCharType="end"/>
          </w:r>
        </w:sdtContent>
      </w:sdt>
      <w:r>
        <w:t xml:space="preserve">. </w:t>
      </w:r>
    </w:p>
    <w:p w14:paraId="3169CDC0" w14:textId="0F4B75CF" w:rsidR="0072705E" w:rsidRDefault="0072705E" w:rsidP="00D046B5">
      <w:pPr>
        <w:spacing w:line="480" w:lineRule="auto"/>
      </w:pPr>
      <w:r>
        <w:lastRenderedPageBreak/>
        <w:t xml:space="preserve">There is evidence to suggest that prison-based offending behaviour programs have an observable downward impact upon rates of recidivism among young adults aged 18 to 25 years. These programs, if targeted appropriately at the factors affecting each individual which predict re-offending, have been found to help people develop methods of mitigating and circumnavigating the problems in their lives that place them at risk of re-offending, and subsequently reduce the rate at which they do re-offend </w:t>
      </w:r>
      <w:sdt>
        <w:sdtPr>
          <w:id w:val="-944296325"/>
          <w:citation/>
        </w:sdtPr>
        <w:sdtContent>
          <w:r>
            <w:fldChar w:fldCharType="begin"/>
          </w:r>
          <w:r>
            <w:instrText xml:space="preserve"> CITATION McG15 \l 2057 </w:instrText>
          </w:r>
          <w:r>
            <w:fldChar w:fldCharType="separate"/>
          </w:r>
          <w:r w:rsidR="00017FE4" w:rsidRPr="00017FE4">
            <w:rPr>
              <w:noProof/>
            </w:rPr>
            <w:t>(McGuire, 2015)</w:t>
          </w:r>
          <w:r>
            <w:fldChar w:fldCharType="end"/>
          </w:r>
        </w:sdtContent>
      </w:sdt>
      <w:r>
        <w:t>.</w:t>
      </w:r>
    </w:p>
    <w:p w14:paraId="4306FC7E" w14:textId="77777777" w:rsidR="0072705E" w:rsidRDefault="0072705E" w:rsidP="00D046B5">
      <w:pPr>
        <w:spacing w:line="480" w:lineRule="auto"/>
      </w:pPr>
      <w:r>
        <w:t xml:space="preserve">It is not a holistic solution, but it is evidence that some things help, which in turn is evidence that </w:t>
      </w:r>
      <w:proofErr w:type="gramStart"/>
      <w:r>
        <w:t>evidence based</w:t>
      </w:r>
      <w:proofErr w:type="gramEnd"/>
      <w:r>
        <w:t xml:space="preserve"> policing (or any other practise, for that matter) works. The degree to which it works relies entirely on the stringency and honesty with which the matter is approached. It is an encouraging reminder that progress is always achievable. </w:t>
      </w:r>
    </w:p>
    <w:p w14:paraId="460E7AE9" w14:textId="2118314F" w:rsidR="0072705E" w:rsidRPr="0072705E" w:rsidRDefault="0072705E" w:rsidP="00D046B5">
      <w:pPr>
        <w:spacing w:line="480" w:lineRule="auto"/>
        <w:rPr>
          <w:i/>
          <w:iCs/>
        </w:rPr>
      </w:pPr>
      <w:r>
        <w:rPr>
          <w:i/>
          <w:iCs/>
        </w:rPr>
        <w:t>(1,028 words)</w:t>
      </w:r>
    </w:p>
    <w:p w14:paraId="05152CC6" w14:textId="77777777" w:rsidR="00E5596F" w:rsidRPr="00E5596F" w:rsidRDefault="00E5596F" w:rsidP="00D11282"/>
    <w:p w14:paraId="6AAA6179" w14:textId="77777777" w:rsidR="00D11282" w:rsidRPr="00D11282" w:rsidRDefault="00D11282" w:rsidP="005F6920"/>
    <w:sdt>
      <w:sdtPr>
        <w:rPr>
          <w:rFonts w:asciiTheme="minorHAnsi" w:eastAsiaTheme="minorHAnsi" w:hAnsiTheme="minorHAnsi" w:cstheme="minorBidi"/>
          <w:color w:val="auto"/>
          <w:sz w:val="22"/>
          <w:szCs w:val="22"/>
          <w:lang w:val="en-GB"/>
        </w:rPr>
        <w:id w:val="-379244926"/>
        <w:docPartObj>
          <w:docPartGallery w:val="Bibliographies"/>
          <w:docPartUnique/>
        </w:docPartObj>
      </w:sdtPr>
      <w:sdtEndPr/>
      <w:sdtContent>
        <w:p w14:paraId="1CCA1E7E" w14:textId="5CBA5DF3" w:rsidR="000B7C97" w:rsidRDefault="000B7C97">
          <w:pPr>
            <w:pStyle w:val="Heading1"/>
          </w:pPr>
          <w:r>
            <w:t>Bibliography</w:t>
          </w:r>
        </w:p>
        <w:sdt>
          <w:sdtPr>
            <w:id w:val="111145805"/>
            <w:bibliography/>
          </w:sdtPr>
          <w:sdtEndPr/>
          <w:sdtContent>
            <w:p w14:paraId="233C8759" w14:textId="77777777" w:rsidR="00017FE4" w:rsidRDefault="000B7C97" w:rsidP="00017FE4">
              <w:pPr>
                <w:pStyle w:val="Bibliography"/>
                <w:rPr>
                  <w:noProof/>
                  <w:sz w:val="24"/>
                  <w:szCs w:val="24"/>
                  <w:lang w:val="en-US"/>
                </w:rPr>
              </w:pPr>
              <w:r>
                <w:fldChar w:fldCharType="begin"/>
              </w:r>
              <w:r>
                <w:instrText xml:space="preserve"> BIBLIOGRAPHY </w:instrText>
              </w:r>
              <w:r>
                <w:fldChar w:fldCharType="separate"/>
              </w:r>
              <w:r w:rsidR="00017FE4">
                <w:rPr>
                  <w:noProof/>
                  <w:lang w:val="en-US"/>
                </w:rPr>
                <w:t xml:space="preserve">American Addiction Centers, 2021. </w:t>
              </w:r>
              <w:r w:rsidR="00017FE4">
                <w:rPr>
                  <w:i/>
                  <w:iCs/>
                  <w:noProof/>
                  <w:lang w:val="en-US"/>
                </w:rPr>
                <w:t xml:space="preserve">The Link Between Violence and Alcohol Use. </w:t>
              </w:r>
              <w:r w:rsidR="00017FE4">
                <w:rPr>
                  <w:noProof/>
                  <w:lang w:val="en-US"/>
                </w:rPr>
                <w:t xml:space="preserve">[Online] </w:t>
              </w:r>
              <w:r w:rsidR="00017FE4">
                <w:rPr>
                  <w:noProof/>
                  <w:lang w:val="en-US"/>
                </w:rPr>
                <w:br/>
                <w:t xml:space="preserve">Available at: </w:t>
              </w:r>
              <w:r w:rsidR="00017FE4">
                <w:rPr>
                  <w:noProof/>
                  <w:u w:val="single"/>
                  <w:lang w:val="en-US"/>
                </w:rPr>
                <w:t>https://www.alcohol.org/effects/drinking-and-fighting/#:~:text=Research%20has%20shown%20a%20reciprocal%20relationship%20between%20excessive,drinks%2C%20the%20more%20severe%20violence%20may%20become.%202</w:t>
              </w:r>
              <w:r w:rsidR="00017FE4">
                <w:rPr>
                  <w:noProof/>
                  <w:lang w:val="en-US"/>
                </w:rPr>
                <w:br/>
                <w:t>[Accessed 22 November 2021].</w:t>
              </w:r>
            </w:p>
            <w:p w14:paraId="6421346D" w14:textId="77777777" w:rsidR="00017FE4" w:rsidRDefault="00017FE4" w:rsidP="00017FE4">
              <w:pPr>
                <w:pStyle w:val="Bibliography"/>
                <w:rPr>
                  <w:noProof/>
                  <w:lang w:val="en-US"/>
                </w:rPr>
              </w:pPr>
              <w:r>
                <w:rPr>
                  <w:noProof/>
                  <w:lang w:val="en-US"/>
                </w:rPr>
                <w:t xml:space="preserve">Association of Chief Police Officers, 2009. </w:t>
              </w:r>
              <w:r>
                <w:rPr>
                  <w:i/>
                  <w:iCs/>
                  <w:noProof/>
                  <w:lang w:val="en-US"/>
                </w:rPr>
                <w:t xml:space="preserve">Practice Advice on the Management of Priority and Volume Crime (The Volume Crime Management Model) Second Edition. </w:t>
              </w:r>
              <w:r>
                <w:rPr>
                  <w:noProof/>
                  <w:lang w:val="en-US"/>
                </w:rPr>
                <w:t xml:space="preserve">[Online] </w:t>
              </w:r>
              <w:r>
                <w:rPr>
                  <w:noProof/>
                  <w:lang w:val="en-US"/>
                </w:rPr>
                <w:br/>
                <w:t xml:space="preserve">Available at: </w:t>
              </w:r>
              <w:r>
                <w:rPr>
                  <w:noProof/>
                  <w:u w:val="single"/>
                  <w:lang w:val="en-US"/>
                </w:rPr>
                <w:t>https://library.college.police.uk/docs/acpo/VCMM-191109.pdf</w:t>
              </w:r>
              <w:r>
                <w:rPr>
                  <w:noProof/>
                  <w:lang w:val="en-US"/>
                </w:rPr>
                <w:br/>
                <w:t>[Accessed 21 November 2021].</w:t>
              </w:r>
            </w:p>
            <w:p w14:paraId="68E5244B" w14:textId="77777777" w:rsidR="00017FE4" w:rsidRDefault="00017FE4" w:rsidP="00017FE4">
              <w:pPr>
                <w:pStyle w:val="Bibliography"/>
                <w:rPr>
                  <w:noProof/>
                  <w:lang w:val="en-US"/>
                </w:rPr>
              </w:pPr>
              <w:r>
                <w:rPr>
                  <w:noProof/>
                  <w:lang w:val="en-US"/>
                </w:rPr>
                <w:t xml:space="preserve">BBC, 2011. </w:t>
              </w:r>
              <w:r>
                <w:rPr>
                  <w:i/>
                  <w:iCs/>
                  <w:noProof/>
                  <w:lang w:val="en-US"/>
                </w:rPr>
                <w:t xml:space="preserve">Birmingham Six 'were in the wrong place at the wrong time'. </w:t>
              </w:r>
              <w:r>
                <w:rPr>
                  <w:noProof/>
                  <w:lang w:val="en-US"/>
                </w:rPr>
                <w:t xml:space="preserve">[Online] </w:t>
              </w:r>
              <w:r>
                <w:rPr>
                  <w:noProof/>
                  <w:lang w:val="en-US"/>
                </w:rPr>
                <w:br/>
                <w:t xml:space="preserve">Available at: </w:t>
              </w:r>
              <w:r>
                <w:rPr>
                  <w:noProof/>
                  <w:u w:val="single"/>
                  <w:lang w:val="en-US"/>
                </w:rPr>
                <w:t>https://www.bbc.co.uk/news/uk-england-12664938</w:t>
              </w:r>
              <w:r>
                <w:rPr>
                  <w:noProof/>
                  <w:lang w:val="en-US"/>
                </w:rPr>
                <w:br/>
                <w:t>[Accessed 19 November 2021].</w:t>
              </w:r>
            </w:p>
            <w:p w14:paraId="39AE4443" w14:textId="77777777" w:rsidR="00017FE4" w:rsidRDefault="00017FE4" w:rsidP="00017FE4">
              <w:pPr>
                <w:pStyle w:val="Bibliography"/>
                <w:rPr>
                  <w:noProof/>
                  <w:lang w:val="en-US"/>
                </w:rPr>
              </w:pPr>
              <w:r>
                <w:rPr>
                  <w:noProof/>
                  <w:lang w:val="en-US"/>
                </w:rPr>
                <w:t xml:space="preserve">College of Policing, 2014.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w:t>
              </w:r>
              <w:r>
                <w:rPr>
                  <w:noProof/>
                  <w:lang w:val="en-US"/>
                </w:rPr>
                <w:br/>
                <w:t>[Accessed 22 November 2021].</w:t>
              </w:r>
            </w:p>
            <w:p w14:paraId="6D7D9135" w14:textId="77777777" w:rsidR="00017FE4" w:rsidRDefault="00017FE4" w:rsidP="00017FE4">
              <w:pPr>
                <w:pStyle w:val="Bibliography"/>
                <w:rPr>
                  <w:noProof/>
                  <w:lang w:val="en-US"/>
                </w:rPr>
              </w:pPr>
              <w:r>
                <w:rPr>
                  <w:noProof/>
                  <w:lang w:val="en-US"/>
                </w:rPr>
                <w:t xml:space="preserve">College of Policing, 2015. </w:t>
              </w:r>
              <w:r>
                <w:rPr>
                  <w:i/>
                  <w:iCs/>
                  <w:noProof/>
                  <w:lang w:val="en-US"/>
                </w:rPr>
                <w:t xml:space="preserve">Intelligence management - Governance. </w:t>
              </w:r>
              <w:r>
                <w:rPr>
                  <w:noProof/>
                  <w:lang w:val="en-US"/>
                </w:rPr>
                <w:t xml:space="preserve">[Online] </w:t>
              </w:r>
              <w:r>
                <w:rPr>
                  <w:noProof/>
                  <w:lang w:val="en-US"/>
                </w:rPr>
                <w:br/>
                <w:t xml:space="preserve">Available at: </w:t>
              </w:r>
              <w:r>
                <w:rPr>
                  <w:noProof/>
                  <w:u w:val="single"/>
                  <w:lang w:val="en-US"/>
                </w:rPr>
                <w:t>https://www.app.college.police.uk/app-content/intelligence-</w:t>
              </w:r>
              <w:r>
                <w:rPr>
                  <w:noProof/>
                  <w:u w:val="single"/>
                  <w:lang w:val="en-US"/>
                </w:rPr>
                <w:lastRenderedPageBreak/>
                <w:t>management/governance/#intelligence-requirement</w:t>
              </w:r>
              <w:r>
                <w:rPr>
                  <w:noProof/>
                  <w:lang w:val="en-US"/>
                </w:rPr>
                <w:br/>
                <w:t>[Accessed 22 November 2021].</w:t>
              </w:r>
            </w:p>
            <w:p w14:paraId="05389A6A" w14:textId="77777777" w:rsidR="00017FE4" w:rsidRDefault="00017FE4" w:rsidP="00017FE4">
              <w:pPr>
                <w:pStyle w:val="Bibliography"/>
                <w:rPr>
                  <w:noProof/>
                  <w:lang w:val="en-US"/>
                </w:rPr>
              </w:pPr>
              <w:r>
                <w:rPr>
                  <w:noProof/>
                  <w:lang w:val="en-US"/>
                </w:rPr>
                <w:t xml:space="preserve">College of Policing, 2015. </w:t>
              </w:r>
              <w:r>
                <w:rPr>
                  <w:i/>
                  <w:iCs/>
                  <w:noProof/>
                  <w:lang w:val="en-US"/>
                </w:rPr>
                <w:t xml:space="preserve">Intelligence management - Intelligence collection, development and dissemination. </w:t>
              </w:r>
              <w:r>
                <w:rPr>
                  <w:noProof/>
                  <w:lang w:val="en-US"/>
                </w:rPr>
                <w:t xml:space="preserve">[Online] </w:t>
              </w:r>
              <w:r>
                <w:rPr>
                  <w:noProof/>
                  <w:lang w:val="en-US"/>
                </w:rPr>
                <w:br/>
                <w:t xml:space="preserve">Available at: </w:t>
              </w:r>
              <w:r>
                <w:rPr>
                  <w:noProof/>
                  <w:u w:val="single"/>
                  <w:lang w:val="en-US"/>
                </w:rPr>
                <w:t>https://www.app.college.police.uk/app-content/intelligence-management/intelligence-cycle/#tasked-information</w:t>
              </w:r>
              <w:r>
                <w:rPr>
                  <w:noProof/>
                  <w:lang w:val="en-US"/>
                </w:rPr>
                <w:br/>
                <w:t>[Accessed 22 November 2021].</w:t>
              </w:r>
            </w:p>
            <w:p w14:paraId="6788873B" w14:textId="77777777" w:rsidR="00017FE4" w:rsidRDefault="00017FE4" w:rsidP="00017FE4">
              <w:pPr>
                <w:pStyle w:val="Bibliography"/>
                <w:rPr>
                  <w:noProof/>
                  <w:lang w:val="en-US"/>
                </w:rPr>
              </w:pPr>
              <w:r>
                <w:rPr>
                  <w:noProof/>
                  <w:lang w:val="en-US"/>
                </w:rPr>
                <w:t xml:space="preserve">College of Policing, 2019. </w:t>
              </w:r>
              <w:r>
                <w:rPr>
                  <w:i/>
                  <w:iCs/>
                  <w:noProof/>
                  <w:lang w:val="en-US"/>
                </w:rPr>
                <w:t xml:space="preserve">Information management - Collection and recording. </w:t>
              </w:r>
              <w:r>
                <w:rPr>
                  <w:noProof/>
                  <w:lang w:val="en-US"/>
                </w:rPr>
                <w:t xml:space="preserve">[Online] </w:t>
              </w:r>
              <w:r>
                <w:rPr>
                  <w:noProof/>
                  <w:lang w:val="en-US"/>
                </w:rPr>
                <w:br/>
                <w:t xml:space="preserve">Available at: </w:t>
              </w:r>
              <w:r>
                <w:rPr>
                  <w:noProof/>
                  <w:u w:val="single"/>
                  <w:lang w:val="en-US"/>
                </w:rPr>
                <w:t>https://www.app.college.police.uk/app-content/information-management/management-of-police-information/collection-and-recording/#routine-collection</w:t>
              </w:r>
              <w:r>
                <w:rPr>
                  <w:noProof/>
                  <w:lang w:val="en-US"/>
                </w:rPr>
                <w:br/>
                <w:t>[Accessed 22 November 2021].</w:t>
              </w:r>
            </w:p>
            <w:p w14:paraId="7BB8E182" w14:textId="77777777" w:rsidR="00017FE4" w:rsidRDefault="00017FE4" w:rsidP="00017FE4">
              <w:pPr>
                <w:pStyle w:val="Bibliography"/>
                <w:rPr>
                  <w:noProof/>
                  <w:lang w:val="en-US"/>
                </w:rPr>
              </w:pPr>
              <w:r>
                <w:rPr>
                  <w:noProof/>
                  <w:lang w:val="en-US"/>
                </w:rPr>
                <w:t xml:space="preserve">College of Policing, 2019. </w:t>
              </w:r>
              <w:r>
                <w:rPr>
                  <w:i/>
                  <w:iCs/>
                  <w:noProof/>
                  <w:lang w:val="en-US"/>
                </w:rPr>
                <w:t xml:space="preserve">Intelligence management - Intelligence report. </w:t>
              </w:r>
              <w:r>
                <w:rPr>
                  <w:noProof/>
                  <w:lang w:val="en-US"/>
                </w:rPr>
                <w:t xml:space="preserve">[Online] </w:t>
              </w:r>
              <w:r>
                <w:rPr>
                  <w:noProof/>
                  <w:lang w:val="en-US"/>
                </w:rPr>
                <w:br/>
                <w:t xml:space="preserve">Available at: </w:t>
              </w:r>
              <w:r>
                <w:rPr>
                  <w:noProof/>
                  <w:u w:val="single"/>
                  <w:lang w:val="en-US"/>
                </w:rPr>
                <w:t>https://www.app.college.police.uk/app-content/intelligence-management/intelligence-report/</w:t>
              </w:r>
              <w:r>
                <w:rPr>
                  <w:noProof/>
                  <w:lang w:val="en-US"/>
                </w:rPr>
                <w:br/>
                <w:t>[Accessed 22 November 2021].</w:t>
              </w:r>
            </w:p>
            <w:p w14:paraId="7EB03AD3" w14:textId="77777777" w:rsidR="00017FE4" w:rsidRDefault="00017FE4" w:rsidP="00017FE4">
              <w:pPr>
                <w:pStyle w:val="Bibliography"/>
                <w:rPr>
                  <w:noProof/>
                  <w:lang w:val="en-US"/>
                </w:rPr>
              </w:pPr>
              <w:r>
                <w:rPr>
                  <w:noProof/>
                  <w:lang w:val="en-US"/>
                </w:rPr>
                <w:t xml:space="preserve">College of Policing, 2020. </w:t>
              </w:r>
              <w:r>
                <w:rPr>
                  <w:i/>
                  <w:iCs/>
                  <w:noProof/>
                  <w:lang w:val="en-US"/>
                </w:rPr>
                <w:t xml:space="preserve">Investigation - Introduction. </w:t>
              </w:r>
              <w:r>
                <w:rPr>
                  <w:noProof/>
                  <w:lang w:val="en-US"/>
                </w:rPr>
                <w:t xml:space="preserve">[Online] </w:t>
              </w:r>
              <w:r>
                <w:rPr>
                  <w:noProof/>
                  <w:lang w:val="en-US"/>
                </w:rPr>
                <w:br/>
                <w:t xml:space="preserve">Available at: </w:t>
              </w:r>
              <w:r>
                <w:rPr>
                  <w:noProof/>
                  <w:u w:val="single"/>
                  <w:lang w:val="en-US"/>
                </w:rPr>
                <w:t>https://www.app.college.police.uk/app-content/investigations/introduction/#principles-of-investigation</w:t>
              </w:r>
              <w:r>
                <w:rPr>
                  <w:noProof/>
                  <w:lang w:val="en-US"/>
                </w:rPr>
                <w:br/>
                <w:t>[Accessed 21 November 2021].</w:t>
              </w:r>
            </w:p>
            <w:p w14:paraId="49CDA192" w14:textId="77777777" w:rsidR="00017FE4" w:rsidRDefault="00017FE4" w:rsidP="00017FE4">
              <w:pPr>
                <w:pStyle w:val="Bibliography"/>
                <w:rPr>
                  <w:noProof/>
                  <w:lang w:val="en-US"/>
                </w:rPr>
              </w:pPr>
              <w:r>
                <w:rPr>
                  <w:noProof/>
                  <w:lang w:val="en-US"/>
                </w:rPr>
                <w:t xml:space="preserve">College of Policing, 2021. </w:t>
              </w:r>
              <w:r>
                <w:rPr>
                  <w:i/>
                  <w:iCs/>
                  <w:noProof/>
                  <w:lang w:val="en-US"/>
                </w:rPr>
                <w:t xml:space="preserve">Investigation - Investigative Strategies. </w:t>
              </w:r>
              <w:r>
                <w:rPr>
                  <w:noProof/>
                  <w:lang w:val="en-US"/>
                </w:rPr>
                <w:t xml:space="preserve">[Online] </w:t>
              </w:r>
              <w:r>
                <w:rPr>
                  <w:noProof/>
                  <w:lang w:val="en-US"/>
                </w:rPr>
                <w:br/>
                <w:t xml:space="preserve">Available at: </w:t>
              </w:r>
              <w:r>
                <w:rPr>
                  <w:noProof/>
                  <w:u w:val="single"/>
                  <w:lang w:val="en-US"/>
                </w:rPr>
                <w:t>https://www.app.college.police.uk/app-content/investigations/investigative-strategies/</w:t>
              </w:r>
              <w:r>
                <w:rPr>
                  <w:noProof/>
                  <w:lang w:val="en-US"/>
                </w:rPr>
                <w:br/>
                <w:t>[Accessed 21 November 2021].</w:t>
              </w:r>
            </w:p>
            <w:p w14:paraId="70BC2DAF" w14:textId="77777777" w:rsidR="00017FE4" w:rsidRDefault="00017FE4" w:rsidP="00017FE4">
              <w:pPr>
                <w:pStyle w:val="Bibliography"/>
                <w:rPr>
                  <w:noProof/>
                  <w:lang w:val="en-US"/>
                </w:rPr>
              </w:pPr>
              <w:r>
                <w:rPr>
                  <w:noProof/>
                  <w:lang w:val="en-US"/>
                </w:rPr>
                <w:t xml:space="preserve">College of Policing, 2021. </w:t>
              </w:r>
              <w:r>
                <w:rPr>
                  <w:i/>
                  <w:iCs/>
                  <w:noProof/>
                  <w:lang w:val="en-US"/>
                </w:rPr>
                <w:t xml:space="preserve">Police Constable. </w:t>
              </w:r>
              <w:r>
                <w:rPr>
                  <w:noProof/>
                  <w:lang w:val="en-US"/>
                </w:rPr>
                <w:t xml:space="preserve">[Online] </w:t>
              </w:r>
              <w:r>
                <w:rPr>
                  <w:noProof/>
                  <w:lang w:val="en-US"/>
                </w:rPr>
                <w:br/>
                <w:t xml:space="preserve">Available at: </w:t>
              </w:r>
              <w:r>
                <w:rPr>
                  <w:noProof/>
                  <w:u w:val="single"/>
                  <w:lang w:val="en-US"/>
                </w:rPr>
                <w:t>https://profdev.college.police.uk/professional-profile/police-constable/</w:t>
              </w:r>
              <w:r>
                <w:rPr>
                  <w:noProof/>
                  <w:lang w:val="en-US"/>
                </w:rPr>
                <w:br/>
                <w:t>[Accessed 19 November 2021].</w:t>
              </w:r>
            </w:p>
            <w:p w14:paraId="7E3195FF" w14:textId="77777777" w:rsidR="00017FE4" w:rsidRDefault="00017FE4" w:rsidP="00017FE4">
              <w:pPr>
                <w:pStyle w:val="Bibliography"/>
                <w:rPr>
                  <w:noProof/>
                  <w:lang w:val="en-US"/>
                </w:rPr>
              </w:pPr>
              <w:r>
                <w:rPr>
                  <w:noProof/>
                  <w:lang w:val="en-US"/>
                </w:rPr>
                <w:t xml:space="preserve">College of Policing, 2021. </w:t>
              </w:r>
              <w:r>
                <w:rPr>
                  <w:i/>
                  <w:iCs/>
                  <w:noProof/>
                  <w:lang w:val="en-US"/>
                </w:rPr>
                <w:t xml:space="preserve">What is evidence-based policing?. </w:t>
              </w:r>
              <w:r>
                <w:rPr>
                  <w:noProof/>
                  <w:lang w:val="en-US"/>
                </w:rPr>
                <w:t xml:space="preserve">[Online] </w:t>
              </w:r>
              <w:r>
                <w:rPr>
                  <w:noProof/>
                  <w:lang w:val="en-US"/>
                </w:rPr>
                <w:br/>
                <w:t xml:space="preserve">Available at: </w:t>
              </w:r>
              <w:r>
                <w:rPr>
                  <w:noProof/>
                  <w:u w:val="single"/>
                  <w:lang w:val="en-US"/>
                </w:rPr>
                <w:t>https://whatworks.college.police.uk/About/Pages/What-is-EBP.aspx#:~:text=The%20College%20of%20Policing%20has%20developed%20the%20following,to%20inform%20and%20challenge%20policies%2C%20practices%20and%20decisions.</w:t>
              </w:r>
              <w:r>
                <w:rPr>
                  <w:noProof/>
                  <w:lang w:val="en-US"/>
                </w:rPr>
                <w:br/>
                <w:t>[Accessed 22 November 2021].</w:t>
              </w:r>
            </w:p>
            <w:p w14:paraId="4F54488E" w14:textId="77777777" w:rsidR="00017FE4" w:rsidRDefault="00017FE4" w:rsidP="00017FE4">
              <w:pPr>
                <w:pStyle w:val="Bibliography"/>
                <w:rPr>
                  <w:noProof/>
                  <w:lang w:val="en-US"/>
                </w:rPr>
              </w:pPr>
              <w:r>
                <w:rPr>
                  <w:noProof/>
                  <w:lang w:val="en-US"/>
                </w:rPr>
                <w:t xml:space="preserve">Di Lemma, L. C. et al., 2019. </w:t>
              </w:r>
              <w:r>
                <w:rPr>
                  <w:i/>
                  <w:iCs/>
                  <w:noProof/>
                  <w:lang w:val="en-US"/>
                </w:rPr>
                <w:t xml:space="preserve">Responding to Adverse Childhood Experiences: An evidence review of interventions to prevent and address adversity across the life course. </w:t>
              </w:r>
              <w:r>
                <w:rPr>
                  <w:noProof/>
                  <w:lang w:val="en-US"/>
                </w:rPr>
                <w:t xml:space="preserve">[Online] </w:t>
              </w:r>
              <w:r>
                <w:rPr>
                  <w:noProof/>
                  <w:lang w:val="en-US"/>
                </w:rPr>
                <w:br/>
                <w:t xml:space="preserve">Available at: </w:t>
              </w:r>
              <w:r>
                <w:rPr>
                  <w:noProof/>
                  <w:u w:val="single"/>
                  <w:lang w:val="en-US"/>
                </w:rPr>
                <w:t>http://www.wales.nhs.uk/sitesplus/documents/888/RespondingToACEs_PHW2019_english%20%28002%29.pdf#:~:text=ACEs%20are%20common%2C%20with%20approximately%2050%25%20of%20the,reporting%20four%20or%20more%20%28Hughes%20et%20al.%2C%202018%29.</w:t>
              </w:r>
              <w:r>
                <w:rPr>
                  <w:noProof/>
                  <w:lang w:val="en-US"/>
                </w:rPr>
                <w:br/>
                <w:t>[Accessed 22 November 2021].</w:t>
              </w:r>
            </w:p>
            <w:p w14:paraId="6F703F3B" w14:textId="77777777" w:rsidR="00017FE4" w:rsidRDefault="00017FE4" w:rsidP="00017FE4">
              <w:pPr>
                <w:pStyle w:val="Bibliography"/>
                <w:rPr>
                  <w:noProof/>
                  <w:lang w:val="en-US"/>
                </w:rPr>
              </w:pPr>
              <w:r>
                <w:rPr>
                  <w:noProof/>
                  <w:lang w:val="en-US"/>
                </w:rPr>
                <w:t xml:space="preserve">Farrell, G. &amp; Pease, K., 2017. Prevening repeat and near repeat crime concentrations. In: N. Tilley &amp; A. Sidebottom, eds. </w:t>
              </w:r>
              <w:r>
                <w:rPr>
                  <w:i/>
                  <w:iCs/>
                  <w:noProof/>
                  <w:lang w:val="en-US"/>
                </w:rPr>
                <w:t xml:space="preserve">The Handbook of Crime Prevention and Community Safety. </w:t>
              </w:r>
              <w:r>
                <w:rPr>
                  <w:noProof/>
                  <w:lang w:val="en-US"/>
                </w:rPr>
                <w:t>2nd ed. s.l.:Routledge.</w:t>
              </w:r>
            </w:p>
            <w:p w14:paraId="4036BDDC" w14:textId="77777777" w:rsidR="00017FE4" w:rsidRDefault="00017FE4" w:rsidP="00017FE4">
              <w:pPr>
                <w:pStyle w:val="Bibliography"/>
                <w:rPr>
                  <w:noProof/>
                  <w:lang w:val="en-US"/>
                </w:rPr>
              </w:pPr>
              <w:r>
                <w:rPr>
                  <w:noProof/>
                  <w:lang w:val="en-US"/>
                </w:rPr>
                <w:t xml:space="preserve">Ford, K. et al., 2019. </w:t>
              </w:r>
              <w:r>
                <w:rPr>
                  <w:i/>
                  <w:iCs/>
                  <w:noProof/>
                  <w:lang w:val="en-US"/>
                </w:rPr>
                <w:t xml:space="preserve">Understanding the prevalence of adverse childhood experiences (ACEs) in a male offender population in Wales: The Prisoner ACE Survey. </w:t>
              </w:r>
              <w:r>
                <w:rPr>
                  <w:noProof/>
                  <w:lang w:val="en-US"/>
                </w:rPr>
                <w:t xml:space="preserve">[Online] </w:t>
              </w:r>
              <w:r>
                <w:rPr>
                  <w:noProof/>
                  <w:lang w:val="en-US"/>
                </w:rPr>
                <w:br/>
              </w:r>
              <w:r>
                <w:rPr>
                  <w:noProof/>
                  <w:lang w:val="en-US"/>
                </w:rPr>
                <w:lastRenderedPageBreak/>
                <w:t xml:space="preserve">Available at: </w:t>
              </w:r>
              <w:r>
                <w:rPr>
                  <w:noProof/>
                  <w:u w:val="single"/>
                  <w:lang w:val="en-US"/>
                </w:rPr>
                <w:t>https://phw.nhs.wales/files/aces/the-prisoner-ace-survey/</w:t>
              </w:r>
              <w:r>
                <w:rPr>
                  <w:noProof/>
                  <w:lang w:val="en-US"/>
                </w:rPr>
                <w:br/>
                <w:t>[Accessed 22 November 2021].</w:t>
              </w:r>
            </w:p>
            <w:p w14:paraId="0F1E6B7B" w14:textId="77777777" w:rsidR="00017FE4" w:rsidRDefault="00017FE4" w:rsidP="00017FE4">
              <w:pPr>
                <w:pStyle w:val="Bibliography"/>
                <w:rPr>
                  <w:noProof/>
                  <w:lang w:val="en-US"/>
                </w:rPr>
              </w:pPr>
              <w:r>
                <w:rPr>
                  <w:noProof/>
                  <w:lang w:val="en-US"/>
                </w:rPr>
                <w:t xml:space="preserve">Friesen, L., 2009. Certainty of Punishment versus Severity of Punishment: An Experimental Investigation. </w:t>
              </w:r>
              <w:r>
                <w:rPr>
                  <w:i/>
                  <w:iCs/>
                  <w:noProof/>
                  <w:lang w:val="en-US"/>
                </w:rPr>
                <w:t xml:space="preserve">School of Economics Discussion Paper, </w:t>
              </w:r>
              <w:r>
                <w:rPr>
                  <w:noProof/>
                  <w:lang w:val="en-US"/>
                </w:rPr>
                <w:t>October.Issue 400.</w:t>
              </w:r>
            </w:p>
            <w:p w14:paraId="1D0DF6E6" w14:textId="77777777" w:rsidR="00017FE4" w:rsidRDefault="00017FE4" w:rsidP="00017FE4">
              <w:pPr>
                <w:pStyle w:val="Bibliography"/>
                <w:rPr>
                  <w:noProof/>
                  <w:lang w:val="en-US"/>
                </w:rPr>
              </w:pPr>
              <w:r>
                <w:rPr>
                  <w:noProof/>
                  <w:lang w:val="en-US"/>
                </w:rPr>
                <w:t xml:space="preserve">Guernsey Police, 2021. </w:t>
              </w:r>
              <w:r>
                <w:rPr>
                  <w:i/>
                  <w:iCs/>
                  <w:noProof/>
                  <w:lang w:val="en-US"/>
                </w:rPr>
                <w:t xml:space="preserve">Public Protection Unit. </w:t>
              </w:r>
              <w:r>
                <w:rPr>
                  <w:noProof/>
                  <w:lang w:val="en-US"/>
                </w:rPr>
                <w:t xml:space="preserve">[Online] </w:t>
              </w:r>
              <w:r>
                <w:rPr>
                  <w:noProof/>
                  <w:lang w:val="en-US"/>
                </w:rPr>
                <w:br/>
                <w:t xml:space="preserve">Available at: </w:t>
              </w:r>
              <w:r>
                <w:rPr>
                  <w:noProof/>
                  <w:u w:val="single"/>
                  <w:lang w:val="en-US"/>
                </w:rPr>
                <w:t>https://guernsey.police.uk/PPU#:~:text=The%20Public%20Protection%20Unit%20takes%20the%20lead%20from,sex%20offences%20and%20the%20protection%20of%20vulnerable%20adults.</w:t>
              </w:r>
              <w:r>
                <w:rPr>
                  <w:noProof/>
                  <w:lang w:val="en-US"/>
                </w:rPr>
                <w:br/>
                <w:t>[Accessed 22 November 2021].</w:t>
              </w:r>
            </w:p>
            <w:p w14:paraId="3BC58549" w14:textId="77777777" w:rsidR="00017FE4" w:rsidRDefault="00017FE4" w:rsidP="00017FE4">
              <w:pPr>
                <w:pStyle w:val="Bibliography"/>
                <w:rPr>
                  <w:noProof/>
                  <w:lang w:val="en-US"/>
                </w:rPr>
              </w:pPr>
              <w:r>
                <w:rPr>
                  <w:noProof/>
                  <w:lang w:val="en-US"/>
                </w:rPr>
                <w:t xml:space="preserve">Hamilton-Smith, N., 2018. </w:t>
              </w:r>
              <w:r>
                <w:rPr>
                  <w:i/>
                  <w:iCs/>
                  <w:noProof/>
                  <w:lang w:val="en-US"/>
                </w:rPr>
                <w:t xml:space="preserve">How organised crime affects the most vulnerable communities. </w:t>
              </w:r>
              <w:r>
                <w:rPr>
                  <w:noProof/>
                  <w:lang w:val="en-US"/>
                </w:rPr>
                <w:t xml:space="preserve">[Online] </w:t>
              </w:r>
              <w:r>
                <w:rPr>
                  <w:noProof/>
                  <w:lang w:val="en-US"/>
                </w:rPr>
                <w:br/>
                <w:t xml:space="preserve">Available at: </w:t>
              </w:r>
              <w:r>
                <w:rPr>
                  <w:noProof/>
                  <w:u w:val="single"/>
                  <w:lang w:val="en-US"/>
                </w:rPr>
                <w:t>https://theconversation.com/how-organised-crime-affects-the-most-vulnerable-communities-98262#:~:text=In%20fact%2C%20our%20study%20found%20that%20organised%20crime,are%20all%20vulnerabilities%20to%20be%20milked%20for%20profit.</w:t>
              </w:r>
              <w:r>
                <w:rPr>
                  <w:noProof/>
                  <w:lang w:val="en-US"/>
                </w:rPr>
                <w:br/>
                <w:t>[Accessed 22 November 2021].</w:t>
              </w:r>
            </w:p>
            <w:p w14:paraId="2397100C" w14:textId="77777777" w:rsidR="00017FE4" w:rsidRDefault="00017FE4" w:rsidP="00017FE4">
              <w:pPr>
                <w:pStyle w:val="Bibliography"/>
                <w:rPr>
                  <w:noProof/>
                  <w:lang w:val="en-US"/>
                </w:rPr>
              </w:pPr>
              <w:r>
                <w:rPr>
                  <w:noProof/>
                  <w:lang w:val="en-US"/>
                </w:rPr>
                <w:t xml:space="preserve">Harley Therapy, 2018. </w:t>
              </w:r>
              <w:r>
                <w:rPr>
                  <w:i/>
                  <w:iCs/>
                  <w:noProof/>
                  <w:lang w:val="en-US"/>
                </w:rPr>
                <w:t xml:space="preserve">What is Trauma Bonding? Is It Keeping You In a Bad Relationship?. </w:t>
              </w:r>
              <w:r>
                <w:rPr>
                  <w:noProof/>
                  <w:lang w:val="en-US"/>
                </w:rPr>
                <w:t xml:space="preserve">[Online] </w:t>
              </w:r>
              <w:r>
                <w:rPr>
                  <w:noProof/>
                  <w:lang w:val="en-US"/>
                </w:rPr>
                <w:br/>
                <w:t xml:space="preserve">Available at: </w:t>
              </w:r>
              <w:r>
                <w:rPr>
                  <w:noProof/>
                  <w:u w:val="single"/>
                  <w:lang w:val="en-US"/>
                </w:rPr>
                <w:t>https://www.harleytherapy.co.uk/counselling/what-is-trauma-bonding.htm</w:t>
              </w:r>
              <w:r>
                <w:rPr>
                  <w:noProof/>
                  <w:lang w:val="en-US"/>
                </w:rPr>
                <w:br/>
                <w:t>[Accessed 22 November 2021].</w:t>
              </w:r>
            </w:p>
            <w:p w14:paraId="754F5D9E" w14:textId="77777777" w:rsidR="00017FE4" w:rsidRDefault="00017FE4" w:rsidP="00017FE4">
              <w:pPr>
                <w:pStyle w:val="Bibliography"/>
                <w:rPr>
                  <w:noProof/>
                  <w:lang w:val="en-US"/>
                </w:rPr>
              </w:pPr>
              <w:r>
                <w:rPr>
                  <w:noProof/>
                  <w:lang w:val="en-US"/>
                </w:rPr>
                <w:t xml:space="preserve">Home Office, 2012. </w:t>
              </w:r>
              <w:r>
                <w:rPr>
                  <w:i/>
                  <w:iCs/>
                  <w:noProof/>
                  <w:lang w:val="en-US"/>
                </w:rPr>
                <w:t xml:space="preserve">Definition of policing by consent. </w:t>
              </w:r>
              <w:r>
                <w:rPr>
                  <w:noProof/>
                  <w:lang w:val="en-US"/>
                </w:rPr>
                <w:t xml:space="preserve">[Online] </w:t>
              </w:r>
              <w:r>
                <w:rPr>
                  <w:noProof/>
                  <w:lang w:val="en-US"/>
                </w:rPr>
                <w:br/>
                <w:t xml:space="preserve">Available at: </w:t>
              </w:r>
              <w:r>
                <w:rPr>
                  <w:noProof/>
                  <w:u w:val="single"/>
                  <w:lang w:val="en-US"/>
                </w:rPr>
                <w:t>https://www.gov.uk/government/publications/policing-by-consent/definition-of-policing-by-consent</w:t>
              </w:r>
              <w:r>
                <w:rPr>
                  <w:noProof/>
                  <w:lang w:val="en-US"/>
                </w:rPr>
                <w:br/>
                <w:t>[Accessed 19 November 2021].</w:t>
              </w:r>
            </w:p>
            <w:p w14:paraId="00C77E9F" w14:textId="77777777" w:rsidR="00017FE4" w:rsidRDefault="00017FE4" w:rsidP="00017FE4">
              <w:pPr>
                <w:pStyle w:val="Bibliography"/>
                <w:rPr>
                  <w:noProof/>
                  <w:lang w:val="en-US"/>
                </w:rPr>
              </w:pPr>
              <w:r>
                <w:rPr>
                  <w:noProof/>
                  <w:lang w:val="en-US"/>
                </w:rPr>
                <w:t xml:space="preserve">Home Office, 2012. </w:t>
              </w:r>
              <w:r>
                <w:rPr>
                  <w:i/>
                  <w:iCs/>
                  <w:noProof/>
                  <w:lang w:val="en-US"/>
                </w:rPr>
                <w:t xml:space="preserve">The Police (Conduct) Regulations 2012. </w:t>
              </w:r>
              <w:r>
                <w:rPr>
                  <w:noProof/>
                  <w:lang w:val="en-US"/>
                </w:rPr>
                <w:t xml:space="preserve">[Online] </w:t>
              </w:r>
              <w:r>
                <w:rPr>
                  <w:noProof/>
                  <w:lang w:val="en-US"/>
                </w:rPr>
                <w:br/>
                <w:t xml:space="preserve">Available at: </w:t>
              </w:r>
              <w:r>
                <w:rPr>
                  <w:noProof/>
                  <w:u w:val="single"/>
                  <w:lang w:val="en-US"/>
                </w:rPr>
                <w:t>https://www.legislation.gov.uk/uksi/2012/2632/contents/made</w:t>
              </w:r>
              <w:r>
                <w:rPr>
                  <w:noProof/>
                  <w:lang w:val="en-US"/>
                </w:rPr>
                <w:br/>
                <w:t>[Accessed 21 November 2021].</w:t>
              </w:r>
            </w:p>
            <w:p w14:paraId="005155EF" w14:textId="77777777" w:rsidR="00017FE4" w:rsidRDefault="00017FE4" w:rsidP="00017FE4">
              <w:pPr>
                <w:pStyle w:val="Bibliography"/>
                <w:rPr>
                  <w:noProof/>
                  <w:lang w:val="en-US"/>
                </w:rPr>
              </w:pPr>
              <w:r>
                <w:rPr>
                  <w:noProof/>
                  <w:lang w:val="en-US"/>
                </w:rPr>
                <w:t xml:space="preserve">Home Office, 2021. </w:t>
              </w:r>
              <w:r>
                <w:rPr>
                  <w:i/>
                  <w:iCs/>
                  <w:noProof/>
                  <w:lang w:val="en-US"/>
                </w:rPr>
                <w:t xml:space="preserve">s93(4) Police Act 1997. </w:t>
              </w:r>
              <w:r>
                <w:rPr>
                  <w:noProof/>
                  <w:lang w:val="en-US"/>
                </w:rPr>
                <w:t xml:space="preserve">[Online] </w:t>
              </w:r>
              <w:r>
                <w:rPr>
                  <w:noProof/>
                  <w:lang w:val="en-US"/>
                </w:rPr>
                <w:br/>
                <w:t xml:space="preserve">Available at: </w:t>
              </w:r>
              <w:r>
                <w:rPr>
                  <w:noProof/>
                  <w:u w:val="single"/>
                  <w:lang w:val="en-US"/>
                </w:rPr>
                <w:t>https://www.legislation.gov.uk/ukpga/1997/50/section/93</w:t>
              </w:r>
              <w:r>
                <w:rPr>
                  <w:noProof/>
                  <w:lang w:val="en-US"/>
                </w:rPr>
                <w:br/>
                <w:t>[Accessed 21 November 2021].</w:t>
              </w:r>
            </w:p>
            <w:p w14:paraId="4B5A5FD5" w14:textId="77777777" w:rsidR="00017FE4" w:rsidRDefault="00017FE4" w:rsidP="00017FE4">
              <w:pPr>
                <w:pStyle w:val="Bibliography"/>
                <w:rPr>
                  <w:noProof/>
                  <w:lang w:val="en-US"/>
                </w:rPr>
              </w:pPr>
              <w:r>
                <w:rPr>
                  <w:noProof/>
                  <w:lang w:val="en-US"/>
                </w:rPr>
                <w:t xml:space="preserve">Hough, M. &amp; Bradford, B., 2010. </w:t>
              </w:r>
              <w:r>
                <w:rPr>
                  <w:i/>
                  <w:iCs/>
                  <w:noProof/>
                  <w:lang w:val="en-US"/>
                </w:rPr>
                <w:t xml:space="preserve">Compliance with the law and policing by consent: notes on police and legal legitimacy. </w:t>
              </w:r>
              <w:r>
                <w:rPr>
                  <w:noProof/>
                  <w:lang w:val="en-US"/>
                </w:rPr>
                <w:t xml:space="preserve">[Online] </w:t>
              </w:r>
              <w:r>
                <w:rPr>
                  <w:noProof/>
                  <w:lang w:val="en-US"/>
                </w:rPr>
                <w:br/>
                <w:t xml:space="preserve">Available at: </w:t>
              </w:r>
              <w:r>
                <w:rPr>
                  <w:noProof/>
                  <w:u w:val="single"/>
                  <w:lang w:val="en-US"/>
                </w:rPr>
                <w:t>https://d1wqtxts1xzle7.cloudfront.net/45644597/Compliance_with_the_Law_and_Policing_by_20160515-8827-195hfb1-with-cover-page-v2.pdf?Expires=1637350845&amp;Signature=ZeGp8YGp0VBmLqQLsWVdo2-ph-BtFrhwjgoNC9iKbwZ4rzEBndK5u-Vh7mg3L8ZFKDLvtDSr4VdPJkFaT3JcEkh~pSk9Yv</w:t>
              </w:r>
              <w:r>
                <w:rPr>
                  <w:noProof/>
                  <w:lang w:val="en-US"/>
                </w:rPr>
                <w:br/>
                <w:t>[Accessed 19 November 2021].</w:t>
              </w:r>
            </w:p>
            <w:p w14:paraId="651B4195" w14:textId="77777777" w:rsidR="00017FE4" w:rsidRDefault="00017FE4" w:rsidP="00017FE4">
              <w:pPr>
                <w:pStyle w:val="Bibliography"/>
                <w:rPr>
                  <w:noProof/>
                  <w:lang w:val="en-US"/>
                </w:rPr>
              </w:pPr>
              <w:r>
                <w:rPr>
                  <w:noProof/>
                  <w:lang w:val="en-US"/>
                </w:rPr>
                <w:t xml:space="preserve">LEAP UK, 2016. </w:t>
              </w:r>
              <w:r>
                <w:rPr>
                  <w:i/>
                  <w:iCs/>
                  <w:noProof/>
                  <w:lang w:val="en-US"/>
                </w:rPr>
                <w:t xml:space="preserve">Heroin Addiction in the United Kingdom. </w:t>
              </w:r>
              <w:r>
                <w:rPr>
                  <w:noProof/>
                  <w:lang w:val="en-US"/>
                </w:rPr>
                <w:t xml:space="preserve">[Online] </w:t>
              </w:r>
              <w:r>
                <w:rPr>
                  <w:noProof/>
                  <w:lang w:val="en-US"/>
                </w:rPr>
                <w:br/>
                <w:t xml:space="preserve">Available at: </w:t>
              </w:r>
              <w:r>
                <w:rPr>
                  <w:noProof/>
                  <w:u w:val="single"/>
                  <w:lang w:val="en-US"/>
                </w:rPr>
                <w:t>http://ukleap.org/heroin-addiction-in-the-united-kingdom/</w:t>
              </w:r>
              <w:r>
                <w:rPr>
                  <w:noProof/>
                  <w:lang w:val="en-US"/>
                </w:rPr>
                <w:br/>
                <w:t>[Accessed 22 November 2021].</w:t>
              </w:r>
            </w:p>
            <w:p w14:paraId="61AFE557" w14:textId="77777777" w:rsidR="00017FE4" w:rsidRDefault="00017FE4" w:rsidP="00017FE4">
              <w:pPr>
                <w:pStyle w:val="Bibliography"/>
                <w:rPr>
                  <w:noProof/>
                  <w:lang w:val="en-US"/>
                </w:rPr>
              </w:pPr>
              <w:r>
                <w:rPr>
                  <w:noProof/>
                  <w:lang w:val="en-US"/>
                </w:rPr>
                <w:t xml:space="preserve">Lind, E. A. &amp; Tyler, T. R., 1988. </w:t>
              </w:r>
              <w:r>
                <w:rPr>
                  <w:i/>
                  <w:iCs/>
                  <w:noProof/>
                  <w:lang w:val="en-US"/>
                </w:rPr>
                <w:t xml:space="preserve">The Social Psychology of Procedural Justice. </w:t>
              </w:r>
              <w:r>
                <w:rPr>
                  <w:noProof/>
                  <w:lang w:val="en-US"/>
                </w:rPr>
                <w:t>1st ed. New York: Plenum Press.</w:t>
              </w:r>
            </w:p>
            <w:p w14:paraId="33FE303E" w14:textId="77777777" w:rsidR="00017FE4" w:rsidRDefault="00017FE4" w:rsidP="00017FE4">
              <w:pPr>
                <w:pStyle w:val="Bibliography"/>
                <w:rPr>
                  <w:noProof/>
                  <w:lang w:val="en-US"/>
                </w:rPr>
              </w:pPr>
              <w:r>
                <w:rPr>
                  <w:noProof/>
                  <w:lang w:val="en-US"/>
                </w:rPr>
                <w:lastRenderedPageBreak/>
                <w:t xml:space="preserve">Local Government Information Unit, 2014. </w:t>
              </w:r>
              <w:r>
                <w:rPr>
                  <w:i/>
                  <w:iCs/>
                  <w:noProof/>
                  <w:lang w:val="en-US"/>
                </w:rPr>
                <w:t xml:space="preserve">Policing for a better Britain: the Stevens report. </w:t>
              </w:r>
              <w:r>
                <w:rPr>
                  <w:noProof/>
                  <w:lang w:val="en-US"/>
                </w:rPr>
                <w:t xml:space="preserve">[Online] </w:t>
              </w:r>
              <w:r>
                <w:rPr>
                  <w:noProof/>
                  <w:lang w:val="en-US"/>
                </w:rPr>
                <w:br/>
                <w:t xml:space="preserve">Available at: </w:t>
              </w:r>
              <w:r>
                <w:rPr>
                  <w:noProof/>
                  <w:u w:val="single"/>
                  <w:lang w:val="en-US"/>
                </w:rPr>
                <w:t>http://lgiu.org/wp-content/uploads/2014/01/Policing-for-a-better-Britain-the-Stevens-report.pdf</w:t>
              </w:r>
              <w:r>
                <w:rPr>
                  <w:noProof/>
                  <w:lang w:val="en-US"/>
                </w:rPr>
                <w:br/>
                <w:t>[Accessed 19 November 2021].</w:t>
              </w:r>
            </w:p>
            <w:p w14:paraId="398D9B1B" w14:textId="77777777" w:rsidR="00017FE4" w:rsidRDefault="00017FE4" w:rsidP="00017FE4">
              <w:pPr>
                <w:pStyle w:val="Bibliography"/>
                <w:rPr>
                  <w:noProof/>
                  <w:lang w:val="en-US"/>
                </w:rPr>
              </w:pPr>
              <w:r>
                <w:rPr>
                  <w:noProof/>
                  <w:lang w:val="en-US"/>
                </w:rPr>
                <w:t xml:space="preserve">Lomborg, B., 2014. </w:t>
              </w:r>
              <w:r>
                <w:rPr>
                  <w:i/>
                  <w:iCs/>
                  <w:noProof/>
                  <w:lang w:val="en-US"/>
                </w:rPr>
                <w:t xml:space="preserve">How to Spent $75 Billion to Make the World a Better Place. </w:t>
              </w:r>
              <w:r>
                <w:rPr>
                  <w:noProof/>
                  <w:lang w:val="en-US"/>
                </w:rPr>
                <w:t>2nd ed. Copenhagen: Copenhagen Consensus Centre.</w:t>
              </w:r>
            </w:p>
            <w:p w14:paraId="088439D2" w14:textId="77777777" w:rsidR="00017FE4" w:rsidRDefault="00017FE4" w:rsidP="00017FE4">
              <w:pPr>
                <w:pStyle w:val="Bibliography"/>
                <w:rPr>
                  <w:noProof/>
                  <w:lang w:val="en-US"/>
                </w:rPr>
              </w:pPr>
              <w:r>
                <w:rPr>
                  <w:noProof/>
                  <w:lang w:val="en-US"/>
                </w:rPr>
                <w:t xml:space="preserve">McGuire, J., 2015. </w:t>
              </w:r>
              <w:r>
                <w:rPr>
                  <w:i/>
                  <w:iCs/>
                  <w:noProof/>
                  <w:lang w:val="en-US"/>
                </w:rPr>
                <w:t xml:space="preserve">What works in reducing reoffending in young adults? A Rapid Evidence Assessment, </w:t>
              </w:r>
              <w:r>
                <w:rPr>
                  <w:noProof/>
                  <w:lang w:val="en-US"/>
                </w:rPr>
                <w:t>s.l.: National Offender Management Service.</w:t>
              </w:r>
            </w:p>
            <w:p w14:paraId="53AAED0D" w14:textId="77777777" w:rsidR="00017FE4" w:rsidRDefault="00017FE4" w:rsidP="00017FE4">
              <w:pPr>
                <w:pStyle w:val="Bibliography"/>
                <w:rPr>
                  <w:noProof/>
                  <w:lang w:val="en-US"/>
                </w:rPr>
              </w:pPr>
              <w:r>
                <w:rPr>
                  <w:noProof/>
                  <w:lang w:val="en-US"/>
                </w:rPr>
                <w:t xml:space="preserve">National Institute of Justice, 2016. </w:t>
              </w:r>
              <w:r>
                <w:rPr>
                  <w:i/>
                  <w:iCs/>
                  <w:noProof/>
                  <w:lang w:val="en-US"/>
                </w:rPr>
                <w:t xml:space="preserve">Five Things About Deterrence. </w:t>
              </w:r>
              <w:r>
                <w:rPr>
                  <w:noProof/>
                  <w:lang w:val="en-US"/>
                </w:rPr>
                <w:t xml:space="preserve">[Online] </w:t>
              </w:r>
              <w:r>
                <w:rPr>
                  <w:noProof/>
                  <w:lang w:val="en-US"/>
                </w:rPr>
                <w:br/>
                <w:t xml:space="preserve">Available at: </w:t>
              </w:r>
              <w:r>
                <w:rPr>
                  <w:noProof/>
                  <w:u w:val="single"/>
                  <w:lang w:val="en-US"/>
                </w:rPr>
                <w:t>https://nij.ojp.gov/topics/articles/five-things-about-deterrence#one</w:t>
              </w:r>
              <w:r>
                <w:rPr>
                  <w:noProof/>
                  <w:lang w:val="en-US"/>
                </w:rPr>
                <w:br/>
                <w:t>[Accessed 22 November 2021].</w:t>
              </w:r>
            </w:p>
            <w:p w14:paraId="5F54FBAA" w14:textId="77777777" w:rsidR="00017FE4" w:rsidRDefault="00017FE4" w:rsidP="00017FE4">
              <w:pPr>
                <w:pStyle w:val="Bibliography"/>
                <w:rPr>
                  <w:noProof/>
                  <w:lang w:val="en-US"/>
                </w:rPr>
              </w:pPr>
              <w:r>
                <w:rPr>
                  <w:noProof/>
                  <w:lang w:val="en-US"/>
                </w:rPr>
                <w:t xml:space="preserve">National Police Chiefs' Council, 2020. </w:t>
              </w:r>
              <w:r>
                <w:rPr>
                  <w:i/>
                  <w:iCs/>
                  <w:noProof/>
                  <w:lang w:val="en-US"/>
                </w:rPr>
                <w:t xml:space="preserve">Policing Vision 2025. </w:t>
              </w:r>
              <w:r>
                <w:rPr>
                  <w:noProof/>
                  <w:lang w:val="en-US"/>
                </w:rPr>
                <w:t xml:space="preserve">[Online] </w:t>
              </w:r>
              <w:r>
                <w:rPr>
                  <w:noProof/>
                  <w:lang w:val="en-US"/>
                </w:rPr>
                <w:br/>
                <w:t xml:space="preserve">Available at: </w:t>
              </w:r>
              <w:r>
                <w:rPr>
                  <w:noProof/>
                  <w:u w:val="single"/>
                  <w:lang w:val="en-US"/>
                </w:rPr>
                <w:t>https://www.npcc.police.uk/documents/Policing%20Vision.pdf</w:t>
              </w:r>
              <w:r>
                <w:rPr>
                  <w:noProof/>
                  <w:lang w:val="en-US"/>
                </w:rPr>
                <w:br/>
                <w:t>[Accessed 22 November 2021].</w:t>
              </w:r>
            </w:p>
            <w:p w14:paraId="5A4790D5" w14:textId="77777777" w:rsidR="00017FE4" w:rsidRDefault="00017FE4" w:rsidP="00017FE4">
              <w:pPr>
                <w:pStyle w:val="Bibliography"/>
                <w:rPr>
                  <w:noProof/>
                  <w:lang w:val="en-US"/>
                </w:rPr>
              </w:pPr>
              <w:r>
                <w:rPr>
                  <w:noProof/>
                  <w:lang w:val="en-US"/>
                </w:rPr>
                <w:t xml:space="preserve">Oswald, M. E. &amp; Grosjean, S., 2004. Confirmation Bias. In: R. F. Pohl, ed. </w:t>
              </w:r>
              <w:r>
                <w:rPr>
                  <w:i/>
                  <w:iCs/>
                  <w:noProof/>
                  <w:lang w:val="en-US"/>
                </w:rPr>
                <w:t xml:space="preserve">Cognitive illusions : a handbook on fallacies and biases in thinking, judgement and memory. </w:t>
              </w:r>
              <w:r>
                <w:rPr>
                  <w:noProof/>
                  <w:lang w:val="en-US"/>
                </w:rPr>
                <w:t>Hove, UK: Psychology Press, pp. 79-96.</w:t>
              </w:r>
            </w:p>
            <w:p w14:paraId="068C20B0" w14:textId="77777777" w:rsidR="00017FE4" w:rsidRDefault="00017FE4" w:rsidP="00017FE4">
              <w:pPr>
                <w:pStyle w:val="Bibliography"/>
                <w:rPr>
                  <w:noProof/>
                  <w:lang w:val="en-US"/>
                </w:rPr>
              </w:pPr>
              <w:r>
                <w:rPr>
                  <w:noProof/>
                  <w:lang w:val="en-US"/>
                </w:rPr>
                <w:t xml:space="preserve">Russell Webster, 2013. </w:t>
              </w:r>
              <w:r>
                <w:rPr>
                  <w:i/>
                  <w:iCs/>
                  <w:noProof/>
                  <w:lang w:val="en-US"/>
                </w:rPr>
                <w:t xml:space="preserve">Re-Offending On Release From Prison. </w:t>
              </w:r>
              <w:r>
                <w:rPr>
                  <w:noProof/>
                  <w:lang w:val="en-US"/>
                </w:rPr>
                <w:t xml:space="preserve">[Online] </w:t>
              </w:r>
              <w:r>
                <w:rPr>
                  <w:noProof/>
                  <w:lang w:val="en-US"/>
                </w:rPr>
                <w:br/>
                <w:t xml:space="preserve">Available at: </w:t>
              </w:r>
              <w:r>
                <w:rPr>
                  <w:noProof/>
                  <w:u w:val="single"/>
                  <w:lang w:val="en-US"/>
                </w:rPr>
                <w:t>https://www.russellwebster.com/factors-associated-with-re-offending/</w:t>
              </w:r>
              <w:r>
                <w:rPr>
                  <w:noProof/>
                  <w:lang w:val="en-US"/>
                </w:rPr>
                <w:br/>
                <w:t>[Accessed 22 November 2021].</w:t>
              </w:r>
            </w:p>
            <w:p w14:paraId="48CEA33B" w14:textId="77777777" w:rsidR="00017FE4" w:rsidRDefault="00017FE4" w:rsidP="00017FE4">
              <w:pPr>
                <w:pStyle w:val="Bibliography"/>
                <w:rPr>
                  <w:noProof/>
                  <w:lang w:val="en-US"/>
                </w:rPr>
              </w:pPr>
              <w:r>
                <w:rPr>
                  <w:noProof/>
                  <w:lang w:val="en-US"/>
                </w:rPr>
                <w:t xml:space="preserve">Safer Streets Fund , 2021. </w:t>
              </w:r>
              <w:r>
                <w:rPr>
                  <w:i/>
                  <w:iCs/>
                  <w:noProof/>
                  <w:lang w:val="en-US"/>
                </w:rPr>
                <w:t xml:space="preserve">Crime prevention toolkit. </w:t>
              </w:r>
              <w:r>
                <w:rPr>
                  <w:noProof/>
                  <w:lang w:val="en-US"/>
                </w:rPr>
                <w:t xml:space="preserve">[Online] </w:t>
              </w:r>
              <w:r>
                <w:rPr>
                  <w:noProof/>
                  <w:lang w:val="en-US"/>
                </w:rPr>
                <w:br/>
                <w:t xml:space="preserve">Available at: </w:t>
              </w:r>
              <w:r>
                <w:rPr>
                  <w:noProof/>
                  <w:u w:val="single"/>
                  <w:lang w:val="en-US"/>
                </w:rPr>
                <w:t>https://whatworks.college.police.uk/Research/Documents/Safer_Streets_toolkit.pdf</w:t>
              </w:r>
              <w:r>
                <w:rPr>
                  <w:noProof/>
                  <w:lang w:val="en-US"/>
                </w:rPr>
                <w:br/>
                <w:t>[Accessed 22 November 2021].</w:t>
              </w:r>
            </w:p>
            <w:p w14:paraId="3A58D71D" w14:textId="77777777" w:rsidR="00017FE4" w:rsidRDefault="00017FE4" w:rsidP="00017FE4">
              <w:pPr>
                <w:pStyle w:val="Bibliography"/>
                <w:rPr>
                  <w:noProof/>
                  <w:lang w:val="en-US"/>
                </w:rPr>
              </w:pPr>
              <w:r>
                <w:rPr>
                  <w:noProof/>
                  <w:lang w:val="en-US"/>
                </w:rPr>
                <w:t xml:space="preserve">Sherman, L., 1998. </w:t>
              </w:r>
              <w:r>
                <w:rPr>
                  <w:i/>
                  <w:iCs/>
                  <w:noProof/>
                  <w:lang w:val="en-US"/>
                </w:rPr>
                <w:t xml:space="preserve">Evidence-Based Policing. Ideas in American Policing Series.. </w:t>
              </w:r>
              <w:r>
                <w:rPr>
                  <w:noProof/>
                  <w:lang w:val="en-US"/>
                </w:rPr>
                <w:t>Washington DC: Police Foundation.</w:t>
              </w:r>
            </w:p>
            <w:p w14:paraId="7D4154B7" w14:textId="77777777" w:rsidR="00017FE4" w:rsidRDefault="00017FE4" w:rsidP="00017FE4">
              <w:pPr>
                <w:pStyle w:val="Bibliography"/>
                <w:rPr>
                  <w:noProof/>
                  <w:lang w:val="en-US"/>
                </w:rPr>
              </w:pPr>
              <w:r>
                <w:rPr>
                  <w:noProof/>
                  <w:lang w:val="en-US"/>
                </w:rPr>
                <w:t xml:space="preserve">South Wales Police Mission &amp; Vision, 2015. </w:t>
              </w:r>
              <w:r>
                <w:rPr>
                  <w:i/>
                  <w:iCs/>
                  <w:noProof/>
                  <w:lang w:val="en-US"/>
                </w:rPr>
                <w:t xml:space="preserve">Vulnerable Adult Protection. </w:t>
              </w:r>
              <w:r>
                <w:rPr>
                  <w:noProof/>
                  <w:lang w:val="en-US"/>
                </w:rPr>
                <w:t xml:space="preserve">[Online] </w:t>
              </w:r>
              <w:r>
                <w:rPr>
                  <w:noProof/>
                  <w:lang w:val="en-US"/>
                </w:rPr>
                <w:br/>
                <w:t xml:space="preserve">Available at: </w:t>
              </w:r>
              <w:r>
                <w:rPr>
                  <w:noProof/>
                  <w:u w:val="single"/>
                  <w:lang w:val="en-US"/>
                </w:rPr>
                <w:t>http://swplive.blob.core.windows.net/wordpress-uploads/Procedure80.pdf#:~:text=Where%20consent%20is%20refused%20or%20the%20person%20is,a%20PPN%20cannot%20be%20shared%20with%20partner%20agencies.</w:t>
              </w:r>
              <w:r>
                <w:rPr>
                  <w:noProof/>
                  <w:lang w:val="en-US"/>
                </w:rPr>
                <w:br/>
                <w:t>[Accessed 22 November 2021].</w:t>
              </w:r>
            </w:p>
            <w:p w14:paraId="4E5BE0DF" w14:textId="77777777" w:rsidR="00017FE4" w:rsidRDefault="00017FE4" w:rsidP="00017FE4">
              <w:pPr>
                <w:pStyle w:val="Bibliography"/>
                <w:rPr>
                  <w:noProof/>
                  <w:lang w:val="en-US"/>
                </w:rPr>
              </w:pPr>
              <w:r>
                <w:rPr>
                  <w:noProof/>
                  <w:lang w:val="en-US"/>
                </w:rPr>
                <w:t xml:space="preserve">The Guardian, 2018. </w:t>
              </w:r>
              <w:r>
                <w:rPr>
                  <w:i/>
                  <w:iCs/>
                  <w:noProof/>
                  <w:lang w:val="en-US"/>
                </w:rPr>
                <w:t xml:space="preserve">Miscarriages of justice body is not fit for purpose, lawyers say. </w:t>
              </w:r>
              <w:r>
                <w:rPr>
                  <w:noProof/>
                  <w:lang w:val="en-US"/>
                </w:rPr>
                <w:t xml:space="preserve">[Online] </w:t>
              </w:r>
              <w:r>
                <w:rPr>
                  <w:noProof/>
                  <w:lang w:val="en-US"/>
                </w:rPr>
                <w:br/>
                <w:t xml:space="preserve">Available at: </w:t>
              </w:r>
              <w:r>
                <w:rPr>
                  <w:noProof/>
                  <w:u w:val="single"/>
                  <w:lang w:val="en-US"/>
                </w:rPr>
                <w:t>https://www.theguardian.com/law/2018/may/30/criminal-cases-review-commission-not-fit-for-purpose-lawyers-say</w:t>
              </w:r>
              <w:r>
                <w:rPr>
                  <w:noProof/>
                  <w:lang w:val="en-US"/>
                </w:rPr>
                <w:br/>
                <w:t>[Accessed 19 November 2021].</w:t>
              </w:r>
            </w:p>
            <w:p w14:paraId="35CEB689" w14:textId="77777777" w:rsidR="00017FE4" w:rsidRDefault="00017FE4" w:rsidP="00017FE4">
              <w:pPr>
                <w:pStyle w:val="Bibliography"/>
                <w:rPr>
                  <w:noProof/>
                  <w:lang w:val="en-US"/>
                </w:rPr>
              </w:pPr>
              <w:r>
                <w:rPr>
                  <w:noProof/>
                  <w:lang w:val="en-US"/>
                </w:rPr>
                <w:t xml:space="preserve">United Nations, 1985. </w:t>
              </w:r>
              <w:r>
                <w:rPr>
                  <w:i/>
                  <w:iCs/>
                  <w:noProof/>
                  <w:lang w:val="en-US"/>
                </w:rPr>
                <w:t xml:space="preserve">Declaration of Basic Principles of Justice for Victims of Crime and Abuse of Power. </w:t>
              </w:r>
              <w:r>
                <w:rPr>
                  <w:noProof/>
                  <w:lang w:val="en-US"/>
                </w:rPr>
                <w:t>s.l., United Nations.</w:t>
              </w:r>
            </w:p>
            <w:p w14:paraId="11008A2A" w14:textId="2F677B26" w:rsidR="000B7C97" w:rsidRPr="008959F1" w:rsidRDefault="000B7C97" w:rsidP="00017FE4">
              <w:pPr>
                <w:pStyle w:val="Bibliography"/>
                <w:rPr>
                  <w:noProof/>
                  <w:lang w:val="en-US"/>
                </w:rPr>
              </w:pPr>
              <w:r>
                <w:rPr>
                  <w:b/>
                  <w:bCs/>
                  <w:noProof/>
                </w:rPr>
                <w:fldChar w:fldCharType="end"/>
              </w:r>
            </w:p>
          </w:sdtContent>
        </w:sdt>
      </w:sdtContent>
    </w:sdt>
    <w:p w14:paraId="154B7705" w14:textId="77777777" w:rsidR="000B7C97" w:rsidRPr="00F47BC9" w:rsidRDefault="000B7C97"/>
    <w:sectPr w:rsidR="000B7C97" w:rsidRPr="00F47BC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4E5E6C" w14:textId="77777777" w:rsidR="00E9231C" w:rsidRDefault="00E9231C" w:rsidP="00F47BC9">
      <w:pPr>
        <w:spacing w:after="0" w:line="240" w:lineRule="auto"/>
      </w:pPr>
      <w:r>
        <w:separator/>
      </w:r>
    </w:p>
  </w:endnote>
  <w:endnote w:type="continuationSeparator" w:id="0">
    <w:p w14:paraId="50D084AC" w14:textId="77777777" w:rsidR="00E9231C" w:rsidRDefault="00E9231C" w:rsidP="00F47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BE1806" w14:textId="77777777" w:rsidR="00E9231C" w:rsidRDefault="00E9231C" w:rsidP="00F47BC9">
      <w:pPr>
        <w:spacing w:after="0" w:line="240" w:lineRule="auto"/>
      </w:pPr>
      <w:r>
        <w:separator/>
      </w:r>
    </w:p>
  </w:footnote>
  <w:footnote w:type="continuationSeparator" w:id="0">
    <w:p w14:paraId="695AE4FA" w14:textId="77777777" w:rsidR="00E9231C" w:rsidRDefault="00E9231C" w:rsidP="00F47B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458B1B" w14:textId="77777777" w:rsidR="001C3C22" w:rsidRDefault="007E7B04" w:rsidP="001C3C22">
    <w:pPr>
      <w:pStyle w:val="Header"/>
    </w:pPr>
    <w:r>
      <w:t>George Coxell</w:t>
    </w:r>
    <w:r w:rsidR="001C3C22">
      <w:tab/>
    </w:r>
    <w:r w:rsidR="001C3C22">
      <w:tab/>
    </w:r>
    <w:r w:rsidR="001C3C22">
      <w:t>1920842</w:t>
    </w:r>
  </w:p>
  <w:p w14:paraId="59B27E23" w14:textId="6B64D4D3" w:rsidR="007E7B04" w:rsidRDefault="007E7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BC9"/>
    <w:rsid w:val="00017FE4"/>
    <w:rsid w:val="00025C0F"/>
    <w:rsid w:val="00057FFB"/>
    <w:rsid w:val="00082F62"/>
    <w:rsid w:val="0008557C"/>
    <w:rsid w:val="00085702"/>
    <w:rsid w:val="000B30FB"/>
    <w:rsid w:val="000B7C97"/>
    <w:rsid w:val="000C0194"/>
    <w:rsid w:val="000C3B37"/>
    <w:rsid w:val="000C3B4B"/>
    <w:rsid w:val="000D216A"/>
    <w:rsid w:val="000E1AF1"/>
    <w:rsid w:val="00104533"/>
    <w:rsid w:val="001064FC"/>
    <w:rsid w:val="0011425E"/>
    <w:rsid w:val="001254CA"/>
    <w:rsid w:val="0013294C"/>
    <w:rsid w:val="00142219"/>
    <w:rsid w:val="00145870"/>
    <w:rsid w:val="001C3C22"/>
    <w:rsid w:val="001E54D7"/>
    <w:rsid w:val="002111D7"/>
    <w:rsid w:val="00263B05"/>
    <w:rsid w:val="00264DB8"/>
    <w:rsid w:val="002C27C5"/>
    <w:rsid w:val="002C2819"/>
    <w:rsid w:val="002D2F51"/>
    <w:rsid w:val="002D5368"/>
    <w:rsid w:val="00334855"/>
    <w:rsid w:val="00347EE7"/>
    <w:rsid w:val="00353869"/>
    <w:rsid w:val="003774C9"/>
    <w:rsid w:val="00385A00"/>
    <w:rsid w:val="00396E3B"/>
    <w:rsid w:val="003A434A"/>
    <w:rsid w:val="003B41C6"/>
    <w:rsid w:val="003C3269"/>
    <w:rsid w:val="003D4920"/>
    <w:rsid w:val="003F3EAB"/>
    <w:rsid w:val="0041422E"/>
    <w:rsid w:val="00446E04"/>
    <w:rsid w:val="0044728D"/>
    <w:rsid w:val="00454D3C"/>
    <w:rsid w:val="004713AF"/>
    <w:rsid w:val="004A7289"/>
    <w:rsid w:val="004F4261"/>
    <w:rsid w:val="004F529D"/>
    <w:rsid w:val="004F53BD"/>
    <w:rsid w:val="00507710"/>
    <w:rsid w:val="00511BAF"/>
    <w:rsid w:val="005133D6"/>
    <w:rsid w:val="005160FA"/>
    <w:rsid w:val="00543A62"/>
    <w:rsid w:val="0055426C"/>
    <w:rsid w:val="00583718"/>
    <w:rsid w:val="00594A81"/>
    <w:rsid w:val="005D3227"/>
    <w:rsid w:val="005E75FB"/>
    <w:rsid w:val="005F3116"/>
    <w:rsid w:val="005F6920"/>
    <w:rsid w:val="0060648A"/>
    <w:rsid w:val="00614848"/>
    <w:rsid w:val="006246AB"/>
    <w:rsid w:val="00632B3B"/>
    <w:rsid w:val="00635705"/>
    <w:rsid w:val="006606A6"/>
    <w:rsid w:val="0066086F"/>
    <w:rsid w:val="006969A1"/>
    <w:rsid w:val="006A4F74"/>
    <w:rsid w:val="006B0431"/>
    <w:rsid w:val="006B2B85"/>
    <w:rsid w:val="006C0D1C"/>
    <w:rsid w:val="006F77CB"/>
    <w:rsid w:val="0070202C"/>
    <w:rsid w:val="00704083"/>
    <w:rsid w:val="0072705E"/>
    <w:rsid w:val="0073507E"/>
    <w:rsid w:val="007370EF"/>
    <w:rsid w:val="0076189F"/>
    <w:rsid w:val="00765D63"/>
    <w:rsid w:val="00776324"/>
    <w:rsid w:val="007975C8"/>
    <w:rsid w:val="007B33CF"/>
    <w:rsid w:val="007D0BA0"/>
    <w:rsid w:val="007D3B5B"/>
    <w:rsid w:val="007E7B04"/>
    <w:rsid w:val="007F0273"/>
    <w:rsid w:val="00815508"/>
    <w:rsid w:val="0081598E"/>
    <w:rsid w:val="008534EA"/>
    <w:rsid w:val="008959F1"/>
    <w:rsid w:val="008B2AAE"/>
    <w:rsid w:val="008D49FF"/>
    <w:rsid w:val="00910D51"/>
    <w:rsid w:val="00917F24"/>
    <w:rsid w:val="0094466A"/>
    <w:rsid w:val="00946E7F"/>
    <w:rsid w:val="009E204E"/>
    <w:rsid w:val="009E57A8"/>
    <w:rsid w:val="00A02E53"/>
    <w:rsid w:val="00A1533F"/>
    <w:rsid w:val="00A20F9B"/>
    <w:rsid w:val="00A42C9D"/>
    <w:rsid w:val="00AA27FD"/>
    <w:rsid w:val="00B176EC"/>
    <w:rsid w:val="00B401BB"/>
    <w:rsid w:val="00B662B8"/>
    <w:rsid w:val="00B80C88"/>
    <w:rsid w:val="00BB511E"/>
    <w:rsid w:val="00BC57AA"/>
    <w:rsid w:val="00C318FC"/>
    <w:rsid w:val="00C57FAF"/>
    <w:rsid w:val="00CA2A58"/>
    <w:rsid w:val="00CA73C9"/>
    <w:rsid w:val="00CB3A80"/>
    <w:rsid w:val="00CC0708"/>
    <w:rsid w:val="00CC6447"/>
    <w:rsid w:val="00CC6C2C"/>
    <w:rsid w:val="00CE0E9E"/>
    <w:rsid w:val="00CE5615"/>
    <w:rsid w:val="00D046B5"/>
    <w:rsid w:val="00D11282"/>
    <w:rsid w:val="00D13F87"/>
    <w:rsid w:val="00D410B2"/>
    <w:rsid w:val="00D711CB"/>
    <w:rsid w:val="00D743AA"/>
    <w:rsid w:val="00D82070"/>
    <w:rsid w:val="00DB0CCE"/>
    <w:rsid w:val="00DB78B3"/>
    <w:rsid w:val="00E04CE8"/>
    <w:rsid w:val="00E2214D"/>
    <w:rsid w:val="00E51436"/>
    <w:rsid w:val="00E5596F"/>
    <w:rsid w:val="00E62364"/>
    <w:rsid w:val="00E7656A"/>
    <w:rsid w:val="00E9231C"/>
    <w:rsid w:val="00EA2FE5"/>
    <w:rsid w:val="00EA469A"/>
    <w:rsid w:val="00EA618F"/>
    <w:rsid w:val="00F01FC6"/>
    <w:rsid w:val="00F16FE9"/>
    <w:rsid w:val="00F1765F"/>
    <w:rsid w:val="00F47BC9"/>
    <w:rsid w:val="00F47DB7"/>
    <w:rsid w:val="00F8007D"/>
    <w:rsid w:val="00F91D56"/>
    <w:rsid w:val="00FA1C26"/>
    <w:rsid w:val="00FA5049"/>
    <w:rsid w:val="00FA7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AE68E8"/>
  <w15:chartTrackingRefBased/>
  <w15:docId w15:val="{F29F0303-05E2-4B86-B4C6-A52F8532C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C9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7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BC9"/>
  </w:style>
  <w:style w:type="paragraph" w:styleId="Footer">
    <w:name w:val="footer"/>
    <w:basedOn w:val="Normal"/>
    <w:link w:val="FooterChar"/>
    <w:uiPriority w:val="99"/>
    <w:unhideWhenUsed/>
    <w:rsid w:val="00F47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BC9"/>
  </w:style>
  <w:style w:type="paragraph" w:styleId="ListParagraph">
    <w:name w:val="List Paragraph"/>
    <w:basedOn w:val="Normal"/>
    <w:uiPriority w:val="34"/>
    <w:qFormat/>
    <w:rsid w:val="00F47BC9"/>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0B7C9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B7C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92166">
      <w:bodyDiv w:val="1"/>
      <w:marLeft w:val="0"/>
      <w:marRight w:val="0"/>
      <w:marTop w:val="0"/>
      <w:marBottom w:val="0"/>
      <w:divBdr>
        <w:top w:val="none" w:sz="0" w:space="0" w:color="auto"/>
        <w:left w:val="none" w:sz="0" w:space="0" w:color="auto"/>
        <w:bottom w:val="none" w:sz="0" w:space="0" w:color="auto"/>
        <w:right w:val="none" w:sz="0" w:space="0" w:color="auto"/>
      </w:divBdr>
    </w:div>
    <w:div w:id="29765273">
      <w:bodyDiv w:val="1"/>
      <w:marLeft w:val="0"/>
      <w:marRight w:val="0"/>
      <w:marTop w:val="0"/>
      <w:marBottom w:val="0"/>
      <w:divBdr>
        <w:top w:val="none" w:sz="0" w:space="0" w:color="auto"/>
        <w:left w:val="none" w:sz="0" w:space="0" w:color="auto"/>
        <w:bottom w:val="none" w:sz="0" w:space="0" w:color="auto"/>
        <w:right w:val="none" w:sz="0" w:space="0" w:color="auto"/>
      </w:divBdr>
    </w:div>
    <w:div w:id="31417363">
      <w:bodyDiv w:val="1"/>
      <w:marLeft w:val="0"/>
      <w:marRight w:val="0"/>
      <w:marTop w:val="0"/>
      <w:marBottom w:val="0"/>
      <w:divBdr>
        <w:top w:val="none" w:sz="0" w:space="0" w:color="auto"/>
        <w:left w:val="none" w:sz="0" w:space="0" w:color="auto"/>
        <w:bottom w:val="none" w:sz="0" w:space="0" w:color="auto"/>
        <w:right w:val="none" w:sz="0" w:space="0" w:color="auto"/>
      </w:divBdr>
    </w:div>
    <w:div w:id="38671461">
      <w:bodyDiv w:val="1"/>
      <w:marLeft w:val="0"/>
      <w:marRight w:val="0"/>
      <w:marTop w:val="0"/>
      <w:marBottom w:val="0"/>
      <w:divBdr>
        <w:top w:val="none" w:sz="0" w:space="0" w:color="auto"/>
        <w:left w:val="none" w:sz="0" w:space="0" w:color="auto"/>
        <w:bottom w:val="none" w:sz="0" w:space="0" w:color="auto"/>
        <w:right w:val="none" w:sz="0" w:space="0" w:color="auto"/>
      </w:divBdr>
    </w:div>
    <w:div w:id="40979716">
      <w:bodyDiv w:val="1"/>
      <w:marLeft w:val="0"/>
      <w:marRight w:val="0"/>
      <w:marTop w:val="0"/>
      <w:marBottom w:val="0"/>
      <w:divBdr>
        <w:top w:val="none" w:sz="0" w:space="0" w:color="auto"/>
        <w:left w:val="none" w:sz="0" w:space="0" w:color="auto"/>
        <w:bottom w:val="none" w:sz="0" w:space="0" w:color="auto"/>
        <w:right w:val="none" w:sz="0" w:space="0" w:color="auto"/>
      </w:divBdr>
    </w:div>
    <w:div w:id="43215342">
      <w:bodyDiv w:val="1"/>
      <w:marLeft w:val="0"/>
      <w:marRight w:val="0"/>
      <w:marTop w:val="0"/>
      <w:marBottom w:val="0"/>
      <w:divBdr>
        <w:top w:val="none" w:sz="0" w:space="0" w:color="auto"/>
        <w:left w:val="none" w:sz="0" w:space="0" w:color="auto"/>
        <w:bottom w:val="none" w:sz="0" w:space="0" w:color="auto"/>
        <w:right w:val="none" w:sz="0" w:space="0" w:color="auto"/>
      </w:divBdr>
    </w:div>
    <w:div w:id="46608140">
      <w:bodyDiv w:val="1"/>
      <w:marLeft w:val="0"/>
      <w:marRight w:val="0"/>
      <w:marTop w:val="0"/>
      <w:marBottom w:val="0"/>
      <w:divBdr>
        <w:top w:val="none" w:sz="0" w:space="0" w:color="auto"/>
        <w:left w:val="none" w:sz="0" w:space="0" w:color="auto"/>
        <w:bottom w:val="none" w:sz="0" w:space="0" w:color="auto"/>
        <w:right w:val="none" w:sz="0" w:space="0" w:color="auto"/>
      </w:divBdr>
    </w:div>
    <w:div w:id="65030065">
      <w:bodyDiv w:val="1"/>
      <w:marLeft w:val="0"/>
      <w:marRight w:val="0"/>
      <w:marTop w:val="0"/>
      <w:marBottom w:val="0"/>
      <w:divBdr>
        <w:top w:val="none" w:sz="0" w:space="0" w:color="auto"/>
        <w:left w:val="none" w:sz="0" w:space="0" w:color="auto"/>
        <w:bottom w:val="none" w:sz="0" w:space="0" w:color="auto"/>
        <w:right w:val="none" w:sz="0" w:space="0" w:color="auto"/>
      </w:divBdr>
    </w:div>
    <w:div w:id="72045165">
      <w:bodyDiv w:val="1"/>
      <w:marLeft w:val="0"/>
      <w:marRight w:val="0"/>
      <w:marTop w:val="0"/>
      <w:marBottom w:val="0"/>
      <w:divBdr>
        <w:top w:val="none" w:sz="0" w:space="0" w:color="auto"/>
        <w:left w:val="none" w:sz="0" w:space="0" w:color="auto"/>
        <w:bottom w:val="none" w:sz="0" w:space="0" w:color="auto"/>
        <w:right w:val="none" w:sz="0" w:space="0" w:color="auto"/>
      </w:divBdr>
    </w:div>
    <w:div w:id="77135907">
      <w:bodyDiv w:val="1"/>
      <w:marLeft w:val="0"/>
      <w:marRight w:val="0"/>
      <w:marTop w:val="0"/>
      <w:marBottom w:val="0"/>
      <w:divBdr>
        <w:top w:val="none" w:sz="0" w:space="0" w:color="auto"/>
        <w:left w:val="none" w:sz="0" w:space="0" w:color="auto"/>
        <w:bottom w:val="none" w:sz="0" w:space="0" w:color="auto"/>
        <w:right w:val="none" w:sz="0" w:space="0" w:color="auto"/>
      </w:divBdr>
    </w:div>
    <w:div w:id="101459827">
      <w:bodyDiv w:val="1"/>
      <w:marLeft w:val="0"/>
      <w:marRight w:val="0"/>
      <w:marTop w:val="0"/>
      <w:marBottom w:val="0"/>
      <w:divBdr>
        <w:top w:val="none" w:sz="0" w:space="0" w:color="auto"/>
        <w:left w:val="none" w:sz="0" w:space="0" w:color="auto"/>
        <w:bottom w:val="none" w:sz="0" w:space="0" w:color="auto"/>
        <w:right w:val="none" w:sz="0" w:space="0" w:color="auto"/>
      </w:divBdr>
    </w:div>
    <w:div w:id="113599992">
      <w:bodyDiv w:val="1"/>
      <w:marLeft w:val="0"/>
      <w:marRight w:val="0"/>
      <w:marTop w:val="0"/>
      <w:marBottom w:val="0"/>
      <w:divBdr>
        <w:top w:val="none" w:sz="0" w:space="0" w:color="auto"/>
        <w:left w:val="none" w:sz="0" w:space="0" w:color="auto"/>
        <w:bottom w:val="none" w:sz="0" w:space="0" w:color="auto"/>
        <w:right w:val="none" w:sz="0" w:space="0" w:color="auto"/>
      </w:divBdr>
    </w:div>
    <w:div w:id="131296097">
      <w:bodyDiv w:val="1"/>
      <w:marLeft w:val="0"/>
      <w:marRight w:val="0"/>
      <w:marTop w:val="0"/>
      <w:marBottom w:val="0"/>
      <w:divBdr>
        <w:top w:val="none" w:sz="0" w:space="0" w:color="auto"/>
        <w:left w:val="none" w:sz="0" w:space="0" w:color="auto"/>
        <w:bottom w:val="none" w:sz="0" w:space="0" w:color="auto"/>
        <w:right w:val="none" w:sz="0" w:space="0" w:color="auto"/>
      </w:divBdr>
    </w:div>
    <w:div w:id="139008404">
      <w:bodyDiv w:val="1"/>
      <w:marLeft w:val="0"/>
      <w:marRight w:val="0"/>
      <w:marTop w:val="0"/>
      <w:marBottom w:val="0"/>
      <w:divBdr>
        <w:top w:val="none" w:sz="0" w:space="0" w:color="auto"/>
        <w:left w:val="none" w:sz="0" w:space="0" w:color="auto"/>
        <w:bottom w:val="none" w:sz="0" w:space="0" w:color="auto"/>
        <w:right w:val="none" w:sz="0" w:space="0" w:color="auto"/>
      </w:divBdr>
    </w:div>
    <w:div w:id="142435929">
      <w:bodyDiv w:val="1"/>
      <w:marLeft w:val="0"/>
      <w:marRight w:val="0"/>
      <w:marTop w:val="0"/>
      <w:marBottom w:val="0"/>
      <w:divBdr>
        <w:top w:val="none" w:sz="0" w:space="0" w:color="auto"/>
        <w:left w:val="none" w:sz="0" w:space="0" w:color="auto"/>
        <w:bottom w:val="none" w:sz="0" w:space="0" w:color="auto"/>
        <w:right w:val="none" w:sz="0" w:space="0" w:color="auto"/>
      </w:divBdr>
    </w:div>
    <w:div w:id="186989166">
      <w:bodyDiv w:val="1"/>
      <w:marLeft w:val="0"/>
      <w:marRight w:val="0"/>
      <w:marTop w:val="0"/>
      <w:marBottom w:val="0"/>
      <w:divBdr>
        <w:top w:val="none" w:sz="0" w:space="0" w:color="auto"/>
        <w:left w:val="none" w:sz="0" w:space="0" w:color="auto"/>
        <w:bottom w:val="none" w:sz="0" w:space="0" w:color="auto"/>
        <w:right w:val="none" w:sz="0" w:space="0" w:color="auto"/>
      </w:divBdr>
    </w:div>
    <w:div w:id="188184756">
      <w:bodyDiv w:val="1"/>
      <w:marLeft w:val="0"/>
      <w:marRight w:val="0"/>
      <w:marTop w:val="0"/>
      <w:marBottom w:val="0"/>
      <w:divBdr>
        <w:top w:val="none" w:sz="0" w:space="0" w:color="auto"/>
        <w:left w:val="none" w:sz="0" w:space="0" w:color="auto"/>
        <w:bottom w:val="none" w:sz="0" w:space="0" w:color="auto"/>
        <w:right w:val="none" w:sz="0" w:space="0" w:color="auto"/>
      </w:divBdr>
    </w:div>
    <w:div w:id="201594977">
      <w:bodyDiv w:val="1"/>
      <w:marLeft w:val="0"/>
      <w:marRight w:val="0"/>
      <w:marTop w:val="0"/>
      <w:marBottom w:val="0"/>
      <w:divBdr>
        <w:top w:val="none" w:sz="0" w:space="0" w:color="auto"/>
        <w:left w:val="none" w:sz="0" w:space="0" w:color="auto"/>
        <w:bottom w:val="none" w:sz="0" w:space="0" w:color="auto"/>
        <w:right w:val="none" w:sz="0" w:space="0" w:color="auto"/>
      </w:divBdr>
    </w:div>
    <w:div w:id="204175437">
      <w:bodyDiv w:val="1"/>
      <w:marLeft w:val="0"/>
      <w:marRight w:val="0"/>
      <w:marTop w:val="0"/>
      <w:marBottom w:val="0"/>
      <w:divBdr>
        <w:top w:val="none" w:sz="0" w:space="0" w:color="auto"/>
        <w:left w:val="none" w:sz="0" w:space="0" w:color="auto"/>
        <w:bottom w:val="none" w:sz="0" w:space="0" w:color="auto"/>
        <w:right w:val="none" w:sz="0" w:space="0" w:color="auto"/>
      </w:divBdr>
    </w:div>
    <w:div w:id="210849656">
      <w:bodyDiv w:val="1"/>
      <w:marLeft w:val="0"/>
      <w:marRight w:val="0"/>
      <w:marTop w:val="0"/>
      <w:marBottom w:val="0"/>
      <w:divBdr>
        <w:top w:val="none" w:sz="0" w:space="0" w:color="auto"/>
        <w:left w:val="none" w:sz="0" w:space="0" w:color="auto"/>
        <w:bottom w:val="none" w:sz="0" w:space="0" w:color="auto"/>
        <w:right w:val="none" w:sz="0" w:space="0" w:color="auto"/>
      </w:divBdr>
    </w:div>
    <w:div w:id="232080633">
      <w:bodyDiv w:val="1"/>
      <w:marLeft w:val="0"/>
      <w:marRight w:val="0"/>
      <w:marTop w:val="0"/>
      <w:marBottom w:val="0"/>
      <w:divBdr>
        <w:top w:val="none" w:sz="0" w:space="0" w:color="auto"/>
        <w:left w:val="none" w:sz="0" w:space="0" w:color="auto"/>
        <w:bottom w:val="none" w:sz="0" w:space="0" w:color="auto"/>
        <w:right w:val="none" w:sz="0" w:space="0" w:color="auto"/>
      </w:divBdr>
    </w:div>
    <w:div w:id="243760893">
      <w:bodyDiv w:val="1"/>
      <w:marLeft w:val="0"/>
      <w:marRight w:val="0"/>
      <w:marTop w:val="0"/>
      <w:marBottom w:val="0"/>
      <w:divBdr>
        <w:top w:val="none" w:sz="0" w:space="0" w:color="auto"/>
        <w:left w:val="none" w:sz="0" w:space="0" w:color="auto"/>
        <w:bottom w:val="none" w:sz="0" w:space="0" w:color="auto"/>
        <w:right w:val="none" w:sz="0" w:space="0" w:color="auto"/>
      </w:divBdr>
    </w:div>
    <w:div w:id="259530640">
      <w:bodyDiv w:val="1"/>
      <w:marLeft w:val="0"/>
      <w:marRight w:val="0"/>
      <w:marTop w:val="0"/>
      <w:marBottom w:val="0"/>
      <w:divBdr>
        <w:top w:val="none" w:sz="0" w:space="0" w:color="auto"/>
        <w:left w:val="none" w:sz="0" w:space="0" w:color="auto"/>
        <w:bottom w:val="none" w:sz="0" w:space="0" w:color="auto"/>
        <w:right w:val="none" w:sz="0" w:space="0" w:color="auto"/>
      </w:divBdr>
    </w:div>
    <w:div w:id="270943837">
      <w:bodyDiv w:val="1"/>
      <w:marLeft w:val="0"/>
      <w:marRight w:val="0"/>
      <w:marTop w:val="0"/>
      <w:marBottom w:val="0"/>
      <w:divBdr>
        <w:top w:val="none" w:sz="0" w:space="0" w:color="auto"/>
        <w:left w:val="none" w:sz="0" w:space="0" w:color="auto"/>
        <w:bottom w:val="none" w:sz="0" w:space="0" w:color="auto"/>
        <w:right w:val="none" w:sz="0" w:space="0" w:color="auto"/>
      </w:divBdr>
    </w:div>
    <w:div w:id="271716276">
      <w:bodyDiv w:val="1"/>
      <w:marLeft w:val="0"/>
      <w:marRight w:val="0"/>
      <w:marTop w:val="0"/>
      <w:marBottom w:val="0"/>
      <w:divBdr>
        <w:top w:val="none" w:sz="0" w:space="0" w:color="auto"/>
        <w:left w:val="none" w:sz="0" w:space="0" w:color="auto"/>
        <w:bottom w:val="none" w:sz="0" w:space="0" w:color="auto"/>
        <w:right w:val="none" w:sz="0" w:space="0" w:color="auto"/>
      </w:divBdr>
    </w:div>
    <w:div w:id="272979786">
      <w:bodyDiv w:val="1"/>
      <w:marLeft w:val="0"/>
      <w:marRight w:val="0"/>
      <w:marTop w:val="0"/>
      <w:marBottom w:val="0"/>
      <w:divBdr>
        <w:top w:val="none" w:sz="0" w:space="0" w:color="auto"/>
        <w:left w:val="none" w:sz="0" w:space="0" w:color="auto"/>
        <w:bottom w:val="none" w:sz="0" w:space="0" w:color="auto"/>
        <w:right w:val="none" w:sz="0" w:space="0" w:color="auto"/>
      </w:divBdr>
    </w:div>
    <w:div w:id="329449523">
      <w:bodyDiv w:val="1"/>
      <w:marLeft w:val="0"/>
      <w:marRight w:val="0"/>
      <w:marTop w:val="0"/>
      <w:marBottom w:val="0"/>
      <w:divBdr>
        <w:top w:val="none" w:sz="0" w:space="0" w:color="auto"/>
        <w:left w:val="none" w:sz="0" w:space="0" w:color="auto"/>
        <w:bottom w:val="none" w:sz="0" w:space="0" w:color="auto"/>
        <w:right w:val="none" w:sz="0" w:space="0" w:color="auto"/>
      </w:divBdr>
    </w:div>
    <w:div w:id="341707478">
      <w:bodyDiv w:val="1"/>
      <w:marLeft w:val="0"/>
      <w:marRight w:val="0"/>
      <w:marTop w:val="0"/>
      <w:marBottom w:val="0"/>
      <w:divBdr>
        <w:top w:val="none" w:sz="0" w:space="0" w:color="auto"/>
        <w:left w:val="none" w:sz="0" w:space="0" w:color="auto"/>
        <w:bottom w:val="none" w:sz="0" w:space="0" w:color="auto"/>
        <w:right w:val="none" w:sz="0" w:space="0" w:color="auto"/>
      </w:divBdr>
    </w:div>
    <w:div w:id="341930791">
      <w:bodyDiv w:val="1"/>
      <w:marLeft w:val="0"/>
      <w:marRight w:val="0"/>
      <w:marTop w:val="0"/>
      <w:marBottom w:val="0"/>
      <w:divBdr>
        <w:top w:val="none" w:sz="0" w:space="0" w:color="auto"/>
        <w:left w:val="none" w:sz="0" w:space="0" w:color="auto"/>
        <w:bottom w:val="none" w:sz="0" w:space="0" w:color="auto"/>
        <w:right w:val="none" w:sz="0" w:space="0" w:color="auto"/>
      </w:divBdr>
    </w:div>
    <w:div w:id="382365024">
      <w:bodyDiv w:val="1"/>
      <w:marLeft w:val="0"/>
      <w:marRight w:val="0"/>
      <w:marTop w:val="0"/>
      <w:marBottom w:val="0"/>
      <w:divBdr>
        <w:top w:val="none" w:sz="0" w:space="0" w:color="auto"/>
        <w:left w:val="none" w:sz="0" w:space="0" w:color="auto"/>
        <w:bottom w:val="none" w:sz="0" w:space="0" w:color="auto"/>
        <w:right w:val="none" w:sz="0" w:space="0" w:color="auto"/>
      </w:divBdr>
    </w:div>
    <w:div w:id="412708107">
      <w:bodyDiv w:val="1"/>
      <w:marLeft w:val="0"/>
      <w:marRight w:val="0"/>
      <w:marTop w:val="0"/>
      <w:marBottom w:val="0"/>
      <w:divBdr>
        <w:top w:val="none" w:sz="0" w:space="0" w:color="auto"/>
        <w:left w:val="none" w:sz="0" w:space="0" w:color="auto"/>
        <w:bottom w:val="none" w:sz="0" w:space="0" w:color="auto"/>
        <w:right w:val="none" w:sz="0" w:space="0" w:color="auto"/>
      </w:divBdr>
    </w:div>
    <w:div w:id="414395864">
      <w:bodyDiv w:val="1"/>
      <w:marLeft w:val="0"/>
      <w:marRight w:val="0"/>
      <w:marTop w:val="0"/>
      <w:marBottom w:val="0"/>
      <w:divBdr>
        <w:top w:val="none" w:sz="0" w:space="0" w:color="auto"/>
        <w:left w:val="none" w:sz="0" w:space="0" w:color="auto"/>
        <w:bottom w:val="none" w:sz="0" w:space="0" w:color="auto"/>
        <w:right w:val="none" w:sz="0" w:space="0" w:color="auto"/>
      </w:divBdr>
    </w:div>
    <w:div w:id="432281509">
      <w:bodyDiv w:val="1"/>
      <w:marLeft w:val="0"/>
      <w:marRight w:val="0"/>
      <w:marTop w:val="0"/>
      <w:marBottom w:val="0"/>
      <w:divBdr>
        <w:top w:val="none" w:sz="0" w:space="0" w:color="auto"/>
        <w:left w:val="none" w:sz="0" w:space="0" w:color="auto"/>
        <w:bottom w:val="none" w:sz="0" w:space="0" w:color="auto"/>
        <w:right w:val="none" w:sz="0" w:space="0" w:color="auto"/>
      </w:divBdr>
    </w:div>
    <w:div w:id="455683164">
      <w:bodyDiv w:val="1"/>
      <w:marLeft w:val="0"/>
      <w:marRight w:val="0"/>
      <w:marTop w:val="0"/>
      <w:marBottom w:val="0"/>
      <w:divBdr>
        <w:top w:val="none" w:sz="0" w:space="0" w:color="auto"/>
        <w:left w:val="none" w:sz="0" w:space="0" w:color="auto"/>
        <w:bottom w:val="none" w:sz="0" w:space="0" w:color="auto"/>
        <w:right w:val="none" w:sz="0" w:space="0" w:color="auto"/>
      </w:divBdr>
    </w:div>
    <w:div w:id="475611117">
      <w:bodyDiv w:val="1"/>
      <w:marLeft w:val="0"/>
      <w:marRight w:val="0"/>
      <w:marTop w:val="0"/>
      <w:marBottom w:val="0"/>
      <w:divBdr>
        <w:top w:val="none" w:sz="0" w:space="0" w:color="auto"/>
        <w:left w:val="none" w:sz="0" w:space="0" w:color="auto"/>
        <w:bottom w:val="none" w:sz="0" w:space="0" w:color="auto"/>
        <w:right w:val="none" w:sz="0" w:space="0" w:color="auto"/>
      </w:divBdr>
    </w:div>
    <w:div w:id="498735179">
      <w:bodyDiv w:val="1"/>
      <w:marLeft w:val="0"/>
      <w:marRight w:val="0"/>
      <w:marTop w:val="0"/>
      <w:marBottom w:val="0"/>
      <w:divBdr>
        <w:top w:val="none" w:sz="0" w:space="0" w:color="auto"/>
        <w:left w:val="none" w:sz="0" w:space="0" w:color="auto"/>
        <w:bottom w:val="none" w:sz="0" w:space="0" w:color="auto"/>
        <w:right w:val="none" w:sz="0" w:space="0" w:color="auto"/>
      </w:divBdr>
    </w:div>
    <w:div w:id="500892647">
      <w:bodyDiv w:val="1"/>
      <w:marLeft w:val="0"/>
      <w:marRight w:val="0"/>
      <w:marTop w:val="0"/>
      <w:marBottom w:val="0"/>
      <w:divBdr>
        <w:top w:val="none" w:sz="0" w:space="0" w:color="auto"/>
        <w:left w:val="none" w:sz="0" w:space="0" w:color="auto"/>
        <w:bottom w:val="none" w:sz="0" w:space="0" w:color="auto"/>
        <w:right w:val="none" w:sz="0" w:space="0" w:color="auto"/>
      </w:divBdr>
    </w:div>
    <w:div w:id="537086627">
      <w:bodyDiv w:val="1"/>
      <w:marLeft w:val="0"/>
      <w:marRight w:val="0"/>
      <w:marTop w:val="0"/>
      <w:marBottom w:val="0"/>
      <w:divBdr>
        <w:top w:val="none" w:sz="0" w:space="0" w:color="auto"/>
        <w:left w:val="none" w:sz="0" w:space="0" w:color="auto"/>
        <w:bottom w:val="none" w:sz="0" w:space="0" w:color="auto"/>
        <w:right w:val="none" w:sz="0" w:space="0" w:color="auto"/>
      </w:divBdr>
    </w:div>
    <w:div w:id="554974942">
      <w:bodyDiv w:val="1"/>
      <w:marLeft w:val="0"/>
      <w:marRight w:val="0"/>
      <w:marTop w:val="0"/>
      <w:marBottom w:val="0"/>
      <w:divBdr>
        <w:top w:val="none" w:sz="0" w:space="0" w:color="auto"/>
        <w:left w:val="none" w:sz="0" w:space="0" w:color="auto"/>
        <w:bottom w:val="none" w:sz="0" w:space="0" w:color="auto"/>
        <w:right w:val="none" w:sz="0" w:space="0" w:color="auto"/>
      </w:divBdr>
    </w:div>
    <w:div w:id="563953609">
      <w:bodyDiv w:val="1"/>
      <w:marLeft w:val="0"/>
      <w:marRight w:val="0"/>
      <w:marTop w:val="0"/>
      <w:marBottom w:val="0"/>
      <w:divBdr>
        <w:top w:val="none" w:sz="0" w:space="0" w:color="auto"/>
        <w:left w:val="none" w:sz="0" w:space="0" w:color="auto"/>
        <w:bottom w:val="none" w:sz="0" w:space="0" w:color="auto"/>
        <w:right w:val="none" w:sz="0" w:space="0" w:color="auto"/>
      </w:divBdr>
    </w:div>
    <w:div w:id="567305614">
      <w:bodyDiv w:val="1"/>
      <w:marLeft w:val="0"/>
      <w:marRight w:val="0"/>
      <w:marTop w:val="0"/>
      <w:marBottom w:val="0"/>
      <w:divBdr>
        <w:top w:val="none" w:sz="0" w:space="0" w:color="auto"/>
        <w:left w:val="none" w:sz="0" w:space="0" w:color="auto"/>
        <w:bottom w:val="none" w:sz="0" w:space="0" w:color="auto"/>
        <w:right w:val="none" w:sz="0" w:space="0" w:color="auto"/>
      </w:divBdr>
    </w:div>
    <w:div w:id="591938031">
      <w:bodyDiv w:val="1"/>
      <w:marLeft w:val="0"/>
      <w:marRight w:val="0"/>
      <w:marTop w:val="0"/>
      <w:marBottom w:val="0"/>
      <w:divBdr>
        <w:top w:val="none" w:sz="0" w:space="0" w:color="auto"/>
        <w:left w:val="none" w:sz="0" w:space="0" w:color="auto"/>
        <w:bottom w:val="none" w:sz="0" w:space="0" w:color="auto"/>
        <w:right w:val="none" w:sz="0" w:space="0" w:color="auto"/>
      </w:divBdr>
    </w:div>
    <w:div w:id="626281108">
      <w:bodyDiv w:val="1"/>
      <w:marLeft w:val="0"/>
      <w:marRight w:val="0"/>
      <w:marTop w:val="0"/>
      <w:marBottom w:val="0"/>
      <w:divBdr>
        <w:top w:val="none" w:sz="0" w:space="0" w:color="auto"/>
        <w:left w:val="none" w:sz="0" w:space="0" w:color="auto"/>
        <w:bottom w:val="none" w:sz="0" w:space="0" w:color="auto"/>
        <w:right w:val="none" w:sz="0" w:space="0" w:color="auto"/>
      </w:divBdr>
    </w:div>
    <w:div w:id="634682180">
      <w:bodyDiv w:val="1"/>
      <w:marLeft w:val="0"/>
      <w:marRight w:val="0"/>
      <w:marTop w:val="0"/>
      <w:marBottom w:val="0"/>
      <w:divBdr>
        <w:top w:val="none" w:sz="0" w:space="0" w:color="auto"/>
        <w:left w:val="none" w:sz="0" w:space="0" w:color="auto"/>
        <w:bottom w:val="none" w:sz="0" w:space="0" w:color="auto"/>
        <w:right w:val="none" w:sz="0" w:space="0" w:color="auto"/>
      </w:divBdr>
    </w:div>
    <w:div w:id="656421417">
      <w:bodyDiv w:val="1"/>
      <w:marLeft w:val="0"/>
      <w:marRight w:val="0"/>
      <w:marTop w:val="0"/>
      <w:marBottom w:val="0"/>
      <w:divBdr>
        <w:top w:val="none" w:sz="0" w:space="0" w:color="auto"/>
        <w:left w:val="none" w:sz="0" w:space="0" w:color="auto"/>
        <w:bottom w:val="none" w:sz="0" w:space="0" w:color="auto"/>
        <w:right w:val="none" w:sz="0" w:space="0" w:color="auto"/>
      </w:divBdr>
    </w:div>
    <w:div w:id="661080443">
      <w:bodyDiv w:val="1"/>
      <w:marLeft w:val="0"/>
      <w:marRight w:val="0"/>
      <w:marTop w:val="0"/>
      <w:marBottom w:val="0"/>
      <w:divBdr>
        <w:top w:val="none" w:sz="0" w:space="0" w:color="auto"/>
        <w:left w:val="none" w:sz="0" w:space="0" w:color="auto"/>
        <w:bottom w:val="none" w:sz="0" w:space="0" w:color="auto"/>
        <w:right w:val="none" w:sz="0" w:space="0" w:color="auto"/>
      </w:divBdr>
    </w:div>
    <w:div w:id="663969303">
      <w:bodyDiv w:val="1"/>
      <w:marLeft w:val="0"/>
      <w:marRight w:val="0"/>
      <w:marTop w:val="0"/>
      <w:marBottom w:val="0"/>
      <w:divBdr>
        <w:top w:val="none" w:sz="0" w:space="0" w:color="auto"/>
        <w:left w:val="none" w:sz="0" w:space="0" w:color="auto"/>
        <w:bottom w:val="none" w:sz="0" w:space="0" w:color="auto"/>
        <w:right w:val="none" w:sz="0" w:space="0" w:color="auto"/>
      </w:divBdr>
    </w:div>
    <w:div w:id="704520016">
      <w:bodyDiv w:val="1"/>
      <w:marLeft w:val="0"/>
      <w:marRight w:val="0"/>
      <w:marTop w:val="0"/>
      <w:marBottom w:val="0"/>
      <w:divBdr>
        <w:top w:val="none" w:sz="0" w:space="0" w:color="auto"/>
        <w:left w:val="none" w:sz="0" w:space="0" w:color="auto"/>
        <w:bottom w:val="none" w:sz="0" w:space="0" w:color="auto"/>
        <w:right w:val="none" w:sz="0" w:space="0" w:color="auto"/>
      </w:divBdr>
    </w:div>
    <w:div w:id="706485465">
      <w:bodyDiv w:val="1"/>
      <w:marLeft w:val="0"/>
      <w:marRight w:val="0"/>
      <w:marTop w:val="0"/>
      <w:marBottom w:val="0"/>
      <w:divBdr>
        <w:top w:val="none" w:sz="0" w:space="0" w:color="auto"/>
        <w:left w:val="none" w:sz="0" w:space="0" w:color="auto"/>
        <w:bottom w:val="none" w:sz="0" w:space="0" w:color="auto"/>
        <w:right w:val="none" w:sz="0" w:space="0" w:color="auto"/>
      </w:divBdr>
    </w:div>
    <w:div w:id="722564822">
      <w:bodyDiv w:val="1"/>
      <w:marLeft w:val="0"/>
      <w:marRight w:val="0"/>
      <w:marTop w:val="0"/>
      <w:marBottom w:val="0"/>
      <w:divBdr>
        <w:top w:val="none" w:sz="0" w:space="0" w:color="auto"/>
        <w:left w:val="none" w:sz="0" w:space="0" w:color="auto"/>
        <w:bottom w:val="none" w:sz="0" w:space="0" w:color="auto"/>
        <w:right w:val="none" w:sz="0" w:space="0" w:color="auto"/>
      </w:divBdr>
    </w:div>
    <w:div w:id="724371127">
      <w:bodyDiv w:val="1"/>
      <w:marLeft w:val="0"/>
      <w:marRight w:val="0"/>
      <w:marTop w:val="0"/>
      <w:marBottom w:val="0"/>
      <w:divBdr>
        <w:top w:val="none" w:sz="0" w:space="0" w:color="auto"/>
        <w:left w:val="none" w:sz="0" w:space="0" w:color="auto"/>
        <w:bottom w:val="none" w:sz="0" w:space="0" w:color="auto"/>
        <w:right w:val="none" w:sz="0" w:space="0" w:color="auto"/>
      </w:divBdr>
    </w:div>
    <w:div w:id="738215717">
      <w:bodyDiv w:val="1"/>
      <w:marLeft w:val="0"/>
      <w:marRight w:val="0"/>
      <w:marTop w:val="0"/>
      <w:marBottom w:val="0"/>
      <w:divBdr>
        <w:top w:val="none" w:sz="0" w:space="0" w:color="auto"/>
        <w:left w:val="none" w:sz="0" w:space="0" w:color="auto"/>
        <w:bottom w:val="none" w:sz="0" w:space="0" w:color="auto"/>
        <w:right w:val="none" w:sz="0" w:space="0" w:color="auto"/>
      </w:divBdr>
    </w:div>
    <w:div w:id="742218119">
      <w:bodyDiv w:val="1"/>
      <w:marLeft w:val="0"/>
      <w:marRight w:val="0"/>
      <w:marTop w:val="0"/>
      <w:marBottom w:val="0"/>
      <w:divBdr>
        <w:top w:val="none" w:sz="0" w:space="0" w:color="auto"/>
        <w:left w:val="none" w:sz="0" w:space="0" w:color="auto"/>
        <w:bottom w:val="none" w:sz="0" w:space="0" w:color="auto"/>
        <w:right w:val="none" w:sz="0" w:space="0" w:color="auto"/>
      </w:divBdr>
    </w:div>
    <w:div w:id="756290882">
      <w:bodyDiv w:val="1"/>
      <w:marLeft w:val="0"/>
      <w:marRight w:val="0"/>
      <w:marTop w:val="0"/>
      <w:marBottom w:val="0"/>
      <w:divBdr>
        <w:top w:val="none" w:sz="0" w:space="0" w:color="auto"/>
        <w:left w:val="none" w:sz="0" w:space="0" w:color="auto"/>
        <w:bottom w:val="none" w:sz="0" w:space="0" w:color="auto"/>
        <w:right w:val="none" w:sz="0" w:space="0" w:color="auto"/>
      </w:divBdr>
    </w:div>
    <w:div w:id="771239694">
      <w:bodyDiv w:val="1"/>
      <w:marLeft w:val="0"/>
      <w:marRight w:val="0"/>
      <w:marTop w:val="0"/>
      <w:marBottom w:val="0"/>
      <w:divBdr>
        <w:top w:val="none" w:sz="0" w:space="0" w:color="auto"/>
        <w:left w:val="none" w:sz="0" w:space="0" w:color="auto"/>
        <w:bottom w:val="none" w:sz="0" w:space="0" w:color="auto"/>
        <w:right w:val="none" w:sz="0" w:space="0" w:color="auto"/>
      </w:divBdr>
    </w:div>
    <w:div w:id="779378028">
      <w:bodyDiv w:val="1"/>
      <w:marLeft w:val="0"/>
      <w:marRight w:val="0"/>
      <w:marTop w:val="0"/>
      <w:marBottom w:val="0"/>
      <w:divBdr>
        <w:top w:val="none" w:sz="0" w:space="0" w:color="auto"/>
        <w:left w:val="none" w:sz="0" w:space="0" w:color="auto"/>
        <w:bottom w:val="none" w:sz="0" w:space="0" w:color="auto"/>
        <w:right w:val="none" w:sz="0" w:space="0" w:color="auto"/>
      </w:divBdr>
    </w:div>
    <w:div w:id="802963398">
      <w:bodyDiv w:val="1"/>
      <w:marLeft w:val="0"/>
      <w:marRight w:val="0"/>
      <w:marTop w:val="0"/>
      <w:marBottom w:val="0"/>
      <w:divBdr>
        <w:top w:val="none" w:sz="0" w:space="0" w:color="auto"/>
        <w:left w:val="none" w:sz="0" w:space="0" w:color="auto"/>
        <w:bottom w:val="none" w:sz="0" w:space="0" w:color="auto"/>
        <w:right w:val="none" w:sz="0" w:space="0" w:color="auto"/>
      </w:divBdr>
    </w:div>
    <w:div w:id="803353777">
      <w:bodyDiv w:val="1"/>
      <w:marLeft w:val="0"/>
      <w:marRight w:val="0"/>
      <w:marTop w:val="0"/>
      <w:marBottom w:val="0"/>
      <w:divBdr>
        <w:top w:val="none" w:sz="0" w:space="0" w:color="auto"/>
        <w:left w:val="none" w:sz="0" w:space="0" w:color="auto"/>
        <w:bottom w:val="none" w:sz="0" w:space="0" w:color="auto"/>
        <w:right w:val="none" w:sz="0" w:space="0" w:color="auto"/>
      </w:divBdr>
    </w:div>
    <w:div w:id="813571120">
      <w:bodyDiv w:val="1"/>
      <w:marLeft w:val="0"/>
      <w:marRight w:val="0"/>
      <w:marTop w:val="0"/>
      <w:marBottom w:val="0"/>
      <w:divBdr>
        <w:top w:val="none" w:sz="0" w:space="0" w:color="auto"/>
        <w:left w:val="none" w:sz="0" w:space="0" w:color="auto"/>
        <w:bottom w:val="none" w:sz="0" w:space="0" w:color="auto"/>
        <w:right w:val="none" w:sz="0" w:space="0" w:color="auto"/>
      </w:divBdr>
    </w:div>
    <w:div w:id="816141542">
      <w:bodyDiv w:val="1"/>
      <w:marLeft w:val="0"/>
      <w:marRight w:val="0"/>
      <w:marTop w:val="0"/>
      <w:marBottom w:val="0"/>
      <w:divBdr>
        <w:top w:val="none" w:sz="0" w:space="0" w:color="auto"/>
        <w:left w:val="none" w:sz="0" w:space="0" w:color="auto"/>
        <w:bottom w:val="none" w:sz="0" w:space="0" w:color="auto"/>
        <w:right w:val="none" w:sz="0" w:space="0" w:color="auto"/>
      </w:divBdr>
    </w:div>
    <w:div w:id="819729640">
      <w:bodyDiv w:val="1"/>
      <w:marLeft w:val="0"/>
      <w:marRight w:val="0"/>
      <w:marTop w:val="0"/>
      <w:marBottom w:val="0"/>
      <w:divBdr>
        <w:top w:val="none" w:sz="0" w:space="0" w:color="auto"/>
        <w:left w:val="none" w:sz="0" w:space="0" w:color="auto"/>
        <w:bottom w:val="none" w:sz="0" w:space="0" w:color="auto"/>
        <w:right w:val="none" w:sz="0" w:space="0" w:color="auto"/>
      </w:divBdr>
    </w:div>
    <w:div w:id="823666823">
      <w:bodyDiv w:val="1"/>
      <w:marLeft w:val="0"/>
      <w:marRight w:val="0"/>
      <w:marTop w:val="0"/>
      <w:marBottom w:val="0"/>
      <w:divBdr>
        <w:top w:val="none" w:sz="0" w:space="0" w:color="auto"/>
        <w:left w:val="none" w:sz="0" w:space="0" w:color="auto"/>
        <w:bottom w:val="none" w:sz="0" w:space="0" w:color="auto"/>
        <w:right w:val="none" w:sz="0" w:space="0" w:color="auto"/>
      </w:divBdr>
    </w:div>
    <w:div w:id="839583117">
      <w:bodyDiv w:val="1"/>
      <w:marLeft w:val="0"/>
      <w:marRight w:val="0"/>
      <w:marTop w:val="0"/>
      <w:marBottom w:val="0"/>
      <w:divBdr>
        <w:top w:val="none" w:sz="0" w:space="0" w:color="auto"/>
        <w:left w:val="none" w:sz="0" w:space="0" w:color="auto"/>
        <w:bottom w:val="none" w:sz="0" w:space="0" w:color="auto"/>
        <w:right w:val="none" w:sz="0" w:space="0" w:color="auto"/>
      </w:divBdr>
    </w:div>
    <w:div w:id="840896527">
      <w:bodyDiv w:val="1"/>
      <w:marLeft w:val="0"/>
      <w:marRight w:val="0"/>
      <w:marTop w:val="0"/>
      <w:marBottom w:val="0"/>
      <w:divBdr>
        <w:top w:val="none" w:sz="0" w:space="0" w:color="auto"/>
        <w:left w:val="none" w:sz="0" w:space="0" w:color="auto"/>
        <w:bottom w:val="none" w:sz="0" w:space="0" w:color="auto"/>
        <w:right w:val="none" w:sz="0" w:space="0" w:color="auto"/>
      </w:divBdr>
    </w:div>
    <w:div w:id="842940583">
      <w:bodyDiv w:val="1"/>
      <w:marLeft w:val="0"/>
      <w:marRight w:val="0"/>
      <w:marTop w:val="0"/>
      <w:marBottom w:val="0"/>
      <w:divBdr>
        <w:top w:val="none" w:sz="0" w:space="0" w:color="auto"/>
        <w:left w:val="none" w:sz="0" w:space="0" w:color="auto"/>
        <w:bottom w:val="none" w:sz="0" w:space="0" w:color="auto"/>
        <w:right w:val="none" w:sz="0" w:space="0" w:color="auto"/>
      </w:divBdr>
    </w:div>
    <w:div w:id="843785713">
      <w:bodyDiv w:val="1"/>
      <w:marLeft w:val="0"/>
      <w:marRight w:val="0"/>
      <w:marTop w:val="0"/>
      <w:marBottom w:val="0"/>
      <w:divBdr>
        <w:top w:val="none" w:sz="0" w:space="0" w:color="auto"/>
        <w:left w:val="none" w:sz="0" w:space="0" w:color="auto"/>
        <w:bottom w:val="none" w:sz="0" w:space="0" w:color="auto"/>
        <w:right w:val="none" w:sz="0" w:space="0" w:color="auto"/>
      </w:divBdr>
    </w:div>
    <w:div w:id="852258391">
      <w:bodyDiv w:val="1"/>
      <w:marLeft w:val="0"/>
      <w:marRight w:val="0"/>
      <w:marTop w:val="0"/>
      <w:marBottom w:val="0"/>
      <w:divBdr>
        <w:top w:val="none" w:sz="0" w:space="0" w:color="auto"/>
        <w:left w:val="none" w:sz="0" w:space="0" w:color="auto"/>
        <w:bottom w:val="none" w:sz="0" w:space="0" w:color="auto"/>
        <w:right w:val="none" w:sz="0" w:space="0" w:color="auto"/>
      </w:divBdr>
    </w:div>
    <w:div w:id="868957668">
      <w:bodyDiv w:val="1"/>
      <w:marLeft w:val="0"/>
      <w:marRight w:val="0"/>
      <w:marTop w:val="0"/>
      <w:marBottom w:val="0"/>
      <w:divBdr>
        <w:top w:val="none" w:sz="0" w:space="0" w:color="auto"/>
        <w:left w:val="none" w:sz="0" w:space="0" w:color="auto"/>
        <w:bottom w:val="none" w:sz="0" w:space="0" w:color="auto"/>
        <w:right w:val="none" w:sz="0" w:space="0" w:color="auto"/>
      </w:divBdr>
    </w:div>
    <w:div w:id="878787185">
      <w:bodyDiv w:val="1"/>
      <w:marLeft w:val="0"/>
      <w:marRight w:val="0"/>
      <w:marTop w:val="0"/>
      <w:marBottom w:val="0"/>
      <w:divBdr>
        <w:top w:val="none" w:sz="0" w:space="0" w:color="auto"/>
        <w:left w:val="none" w:sz="0" w:space="0" w:color="auto"/>
        <w:bottom w:val="none" w:sz="0" w:space="0" w:color="auto"/>
        <w:right w:val="none" w:sz="0" w:space="0" w:color="auto"/>
      </w:divBdr>
    </w:div>
    <w:div w:id="901712819">
      <w:bodyDiv w:val="1"/>
      <w:marLeft w:val="0"/>
      <w:marRight w:val="0"/>
      <w:marTop w:val="0"/>
      <w:marBottom w:val="0"/>
      <w:divBdr>
        <w:top w:val="none" w:sz="0" w:space="0" w:color="auto"/>
        <w:left w:val="none" w:sz="0" w:space="0" w:color="auto"/>
        <w:bottom w:val="none" w:sz="0" w:space="0" w:color="auto"/>
        <w:right w:val="none" w:sz="0" w:space="0" w:color="auto"/>
      </w:divBdr>
    </w:div>
    <w:div w:id="973869959">
      <w:bodyDiv w:val="1"/>
      <w:marLeft w:val="0"/>
      <w:marRight w:val="0"/>
      <w:marTop w:val="0"/>
      <w:marBottom w:val="0"/>
      <w:divBdr>
        <w:top w:val="none" w:sz="0" w:space="0" w:color="auto"/>
        <w:left w:val="none" w:sz="0" w:space="0" w:color="auto"/>
        <w:bottom w:val="none" w:sz="0" w:space="0" w:color="auto"/>
        <w:right w:val="none" w:sz="0" w:space="0" w:color="auto"/>
      </w:divBdr>
    </w:div>
    <w:div w:id="977077091">
      <w:bodyDiv w:val="1"/>
      <w:marLeft w:val="0"/>
      <w:marRight w:val="0"/>
      <w:marTop w:val="0"/>
      <w:marBottom w:val="0"/>
      <w:divBdr>
        <w:top w:val="none" w:sz="0" w:space="0" w:color="auto"/>
        <w:left w:val="none" w:sz="0" w:space="0" w:color="auto"/>
        <w:bottom w:val="none" w:sz="0" w:space="0" w:color="auto"/>
        <w:right w:val="none" w:sz="0" w:space="0" w:color="auto"/>
      </w:divBdr>
    </w:div>
    <w:div w:id="996225615">
      <w:bodyDiv w:val="1"/>
      <w:marLeft w:val="0"/>
      <w:marRight w:val="0"/>
      <w:marTop w:val="0"/>
      <w:marBottom w:val="0"/>
      <w:divBdr>
        <w:top w:val="none" w:sz="0" w:space="0" w:color="auto"/>
        <w:left w:val="none" w:sz="0" w:space="0" w:color="auto"/>
        <w:bottom w:val="none" w:sz="0" w:space="0" w:color="auto"/>
        <w:right w:val="none" w:sz="0" w:space="0" w:color="auto"/>
      </w:divBdr>
    </w:div>
    <w:div w:id="1016079807">
      <w:bodyDiv w:val="1"/>
      <w:marLeft w:val="0"/>
      <w:marRight w:val="0"/>
      <w:marTop w:val="0"/>
      <w:marBottom w:val="0"/>
      <w:divBdr>
        <w:top w:val="none" w:sz="0" w:space="0" w:color="auto"/>
        <w:left w:val="none" w:sz="0" w:space="0" w:color="auto"/>
        <w:bottom w:val="none" w:sz="0" w:space="0" w:color="auto"/>
        <w:right w:val="none" w:sz="0" w:space="0" w:color="auto"/>
      </w:divBdr>
    </w:div>
    <w:div w:id="1033579152">
      <w:bodyDiv w:val="1"/>
      <w:marLeft w:val="0"/>
      <w:marRight w:val="0"/>
      <w:marTop w:val="0"/>
      <w:marBottom w:val="0"/>
      <w:divBdr>
        <w:top w:val="none" w:sz="0" w:space="0" w:color="auto"/>
        <w:left w:val="none" w:sz="0" w:space="0" w:color="auto"/>
        <w:bottom w:val="none" w:sz="0" w:space="0" w:color="auto"/>
        <w:right w:val="none" w:sz="0" w:space="0" w:color="auto"/>
      </w:divBdr>
    </w:div>
    <w:div w:id="1056705249">
      <w:bodyDiv w:val="1"/>
      <w:marLeft w:val="0"/>
      <w:marRight w:val="0"/>
      <w:marTop w:val="0"/>
      <w:marBottom w:val="0"/>
      <w:divBdr>
        <w:top w:val="none" w:sz="0" w:space="0" w:color="auto"/>
        <w:left w:val="none" w:sz="0" w:space="0" w:color="auto"/>
        <w:bottom w:val="none" w:sz="0" w:space="0" w:color="auto"/>
        <w:right w:val="none" w:sz="0" w:space="0" w:color="auto"/>
      </w:divBdr>
    </w:div>
    <w:div w:id="1062219432">
      <w:bodyDiv w:val="1"/>
      <w:marLeft w:val="0"/>
      <w:marRight w:val="0"/>
      <w:marTop w:val="0"/>
      <w:marBottom w:val="0"/>
      <w:divBdr>
        <w:top w:val="none" w:sz="0" w:space="0" w:color="auto"/>
        <w:left w:val="none" w:sz="0" w:space="0" w:color="auto"/>
        <w:bottom w:val="none" w:sz="0" w:space="0" w:color="auto"/>
        <w:right w:val="none" w:sz="0" w:space="0" w:color="auto"/>
      </w:divBdr>
    </w:div>
    <w:div w:id="1066606445">
      <w:bodyDiv w:val="1"/>
      <w:marLeft w:val="0"/>
      <w:marRight w:val="0"/>
      <w:marTop w:val="0"/>
      <w:marBottom w:val="0"/>
      <w:divBdr>
        <w:top w:val="none" w:sz="0" w:space="0" w:color="auto"/>
        <w:left w:val="none" w:sz="0" w:space="0" w:color="auto"/>
        <w:bottom w:val="none" w:sz="0" w:space="0" w:color="auto"/>
        <w:right w:val="none" w:sz="0" w:space="0" w:color="auto"/>
      </w:divBdr>
    </w:div>
    <w:div w:id="1069116082">
      <w:bodyDiv w:val="1"/>
      <w:marLeft w:val="0"/>
      <w:marRight w:val="0"/>
      <w:marTop w:val="0"/>
      <w:marBottom w:val="0"/>
      <w:divBdr>
        <w:top w:val="none" w:sz="0" w:space="0" w:color="auto"/>
        <w:left w:val="none" w:sz="0" w:space="0" w:color="auto"/>
        <w:bottom w:val="none" w:sz="0" w:space="0" w:color="auto"/>
        <w:right w:val="none" w:sz="0" w:space="0" w:color="auto"/>
      </w:divBdr>
    </w:div>
    <w:div w:id="1088817694">
      <w:bodyDiv w:val="1"/>
      <w:marLeft w:val="0"/>
      <w:marRight w:val="0"/>
      <w:marTop w:val="0"/>
      <w:marBottom w:val="0"/>
      <w:divBdr>
        <w:top w:val="none" w:sz="0" w:space="0" w:color="auto"/>
        <w:left w:val="none" w:sz="0" w:space="0" w:color="auto"/>
        <w:bottom w:val="none" w:sz="0" w:space="0" w:color="auto"/>
        <w:right w:val="none" w:sz="0" w:space="0" w:color="auto"/>
      </w:divBdr>
    </w:div>
    <w:div w:id="1089232760">
      <w:bodyDiv w:val="1"/>
      <w:marLeft w:val="0"/>
      <w:marRight w:val="0"/>
      <w:marTop w:val="0"/>
      <w:marBottom w:val="0"/>
      <w:divBdr>
        <w:top w:val="none" w:sz="0" w:space="0" w:color="auto"/>
        <w:left w:val="none" w:sz="0" w:space="0" w:color="auto"/>
        <w:bottom w:val="none" w:sz="0" w:space="0" w:color="auto"/>
        <w:right w:val="none" w:sz="0" w:space="0" w:color="auto"/>
      </w:divBdr>
    </w:div>
    <w:div w:id="1104960751">
      <w:bodyDiv w:val="1"/>
      <w:marLeft w:val="0"/>
      <w:marRight w:val="0"/>
      <w:marTop w:val="0"/>
      <w:marBottom w:val="0"/>
      <w:divBdr>
        <w:top w:val="none" w:sz="0" w:space="0" w:color="auto"/>
        <w:left w:val="none" w:sz="0" w:space="0" w:color="auto"/>
        <w:bottom w:val="none" w:sz="0" w:space="0" w:color="auto"/>
        <w:right w:val="none" w:sz="0" w:space="0" w:color="auto"/>
      </w:divBdr>
    </w:div>
    <w:div w:id="1107890129">
      <w:bodyDiv w:val="1"/>
      <w:marLeft w:val="0"/>
      <w:marRight w:val="0"/>
      <w:marTop w:val="0"/>
      <w:marBottom w:val="0"/>
      <w:divBdr>
        <w:top w:val="none" w:sz="0" w:space="0" w:color="auto"/>
        <w:left w:val="none" w:sz="0" w:space="0" w:color="auto"/>
        <w:bottom w:val="none" w:sz="0" w:space="0" w:color="auto"/>
        <w:right w:val="none" w:sz="0" w:space="0" w:color="auto"/>
      </w:divBdr>
    </w:div>
    <w:div w:id="1124270383">
      <w:bodyDiv w:val="1"/>
      <w:marLeft w:val="0"/>
      <w:marRight w:val="0"/>
      <w:marTop w:val="0"/>
      <w:marBottom w:val="0"/>
      <w:divBdr>
        <w:top w:val="none" w:sz="0" w:space="0" w:color="auto"/>
        <w:left w:val="none" w:sz="0" w:space="0" w:color="auto"/>
        <w:bottom w:val="none" w:sz="0" w:space="0" w:color="auto"/>
        <w:right w:val="none" w:sz="0" w:space="0" w:color="auto"/>
      </w:divBdr>
    </w:div>
    <w:div w:id="1166045939">
      <w:bodyDiv w:val="1"/>
      <w:marLeft w:val="0"/>
      <w:marRight w:val="0"/>
      <w:marTop w:val="0"/>
      <w:marBottom w:val="0"/>
      <w:divBdr>
        <w:top w:val="none" w:sz="0" w:space="0" w:color="auto"/>
        <w:left w:val="none" w:sz="0" w:space="0" w:color="auto"/>
        <w:bottom w:val="none" w:sz="0" w:space="0" w:color="auto"/>
        <w:right w:val="none" w:sz="0" w:space="0" w:color="auto"/>
      </w:divBdr>
    </w:div>
    <w:div w:id="1192886317">
      <w:bodyDiv w:val="1"/>
      <w:marLeft w:val="0"/>
      <w:marRight w:val="0"/>
      <w:marTop w:val="0"/>
      <w:marBottom w:val="0"/>
      <w:divBdr>
        <w:top w:val="none" w:sz="0" w:space="0" w:color="auto"/>
        <w:left w:val="none" w:sz="0" w:space="0" w:color="auto"/>
        <w:bottom w:val="none" w:sz="0" w:space="0" w:color="auto"/>
        <w:right w:val="none" w:sz="0" w:space="0" w:color="auto"/>
      </w:divBdr>
    </w:div>
    <w:div w:id="1208224894">
      <w:bodyDiv w:val="1"/>
      <w:marLeft w:val="0"/>
      <w:marRight w:val="0"/>
      <w:marTop w:val="0"/>
      <w:marBottom w:val="0"/>
      <w:divBdr>
        <w:top w:val="none" w:sz="0" w:space="0" w:color="auto"/>
        <w:left w:val="none" w:sz="0" w:space="0" w:color="auto"/>
        <w:bottom w:val="none" w:sz="0" w:space="0" w:color="auto"/>
        <w:right w:val="none" w:sz="0" w:space="0" w:color="auto"/>
      </w:divBdr>
    </w:div>
    <w:div w:id="1216114199">
      <w:bodyDiv w:val="1"/>
      <w:marLeft w:val="0"/>
      <w:marRight w:val="0"/>
      <w:marTop w:val="0"/>
      <w:marBottom w:val="0"/>
      <w:divBdr>
        <w:top w:val="none" w:sz="0" w:space="0" w:color="auto"/>
        <w:left w:val="none" w:sz="0" w:space="0" w:color="auto"/>
        <w:bottom w:val="none" w:sz="0" w:space="0" w:color="auto"/>
        <w:right w:val="none" w:sz="0" w:space="0" w:color="auto"/>
      </w:divBdr>
    </w:div>
    <w:div w:id="1218053682">
      <w:bodyDiv w:val="1"/>
      <w:marLeft w:val="0"/>
      <w:marRight w:val="0"/>
      <w:marTop w:val="0"/>
      <w:marBottom w:val="0"/>
      <w:divBdr>
        <w:top w:val="none" w:sz="0" w:space="0" w:color="auto"/>
        <w:left w:val="none" w:sz="0" w:space="0" w:color="auto"/>
        <w:bottom w:val="none" w:sz="0" w:space="0" w:color="auto"/>
        <w:right w:val="none" w:sz="0" w:space="0" w:color="auto"/>
      </w:divBdr>
    </w:div>
    <w:div w:id="1239092684">
      <w:bodyDiv w:val="1"/>
      <w:marLeft w:val="0"/>
      <w:marRight w:val="0"/>
      <w:marTop w:val="0"/>
      <w:marBottom w:val="0"/>
      <w:divBdr>
        <w:top w:val="none" w:sz="0" w:space="0" w:color="auto"/>
        <w:left w:val="none" w:sz="0" w:space="0" w:color="auto"/>
        <w:bottom w:val="none" w:sz="0" w:space="0" w:color="auto"/>
        <w:right w:val="none" w:sz="0" w:space="0" w:color="auto"/>
      </w:divBdr>
    </w:div>
    <w:div w:id="1259556085">
      <w:bodyDiv w:val="1"/>
      <w:marLeft w:val="0"/>
      <w:marRight w:val="0"/>
      <w:marTop w:val="0"/>
      <w:marBottom w:val="0"/>
      <w:divBdr>
        <w:top w:val="none" w:sz="0" w:space="0" w:color="auto"/>
        <w:left w:val="none" w:sz="0" w:space="0" w:color="auto"/>
        <w:bottom w:val="none" w:sz="0" w:space="0" w:color="auto"/>
        <w:right w:val="none" w:sz="0" w:space="0" w:color="auto"/>
      </w:divBdr>
    </w:div>
    <w:div w:id="1264143986">
      <w:bodyDiv w:val="1"/>
      <w:marLeft w:val="0"/>
      <w:marRight w:val="0"/>
      <w:marTop w:val="0"/>
      <w:marBottom w:val="0"/>
      <w:divBdr>
        <w:top w:val="none" w:sz="0" w:space="0" w:color="auto"/>
        <w:left w:val="none" w:sz="0" w:space="0" w:color="auto"/>
        <w:bottom w:val="none" w:sz="0" w:space="0" w:color="auto"/>
        <w:right w:val="none" w:sz="0" w:space="0" w:color="auto"/>
      </w:divBdr>
    </w:div>
    <w:div w:id="1276788012">
      <w:bodyDiv w:val="1"/>
      <w:marLeft w:val="0"/>
      <w:marRight w:val="0"/>
      <w:marTop w:val="0"/>
      <w:marBottom w:val="0"/>
      <w:divBdr>
        <w:top w:val="none" w:sz="0" w:space="0" w:color="auto"/>
        <w:left w:val="none" w:sz="0" w:space="0" w:color="auto"/>
        <w:bottom w:val="none" w:sz="0" w:space="0" w:color="auto"/>
        <w:right w:val="none" w:sz="0" w:space="0" w:color="auto"/>
      </w:divBdr>
    </w:div>
    <w:div w:id="1288505818">
      <w:bodyDiv w:val="1"/>
      <w:marLeft w:val="0"/>
      <w:marRight w:val="0"/>
      <w:marTop w:val="0"/>
      <w:marBottom w:val="0"/>
      <w:divBdr>
        <w:top w:val="none" w:sz="0" w:space="0" w:color="auto"/>
        <w:left w:val="none" w:sz="0" w:space="0" w:color="auto"/>
        <w:bottom w:val="none" w:sz="0" w:space="0" w:color="auto"/>
        <w:right w:val="none" w:sz="0" w:space="0" w:color="auto"/>
      </w:divBdr>
    </w:div>
    <w:div w:id="1292905975">
      <w:bodyDiv w:val="1"/>
      <w:marLeft w:val="0"/>
      <w:marRight w:val="0"/>
      <w:marTop w:val="0"/>
      <w:marBottom w:val="0"/>
      <w:divBdr>
        <w:top w:val="none" w:sz="0" w:space="0" w:color="auto"/>
        <w:left w:val="none" w:sz="0" w:space="0" w:color="auto"/>
        <w:bottom w:val="none" w:sz="0" w:space="0" w:color="auto"/>
        <w:right w:val="none" w:sz="0" w:space="0" w:color="auto"/>
      </w:divBdr>
    </w:div>
    <w:div w:id="1356687997">
      <w:bodyDiv w:val="1"/>
      <w:marLeft w:val="0"/>
      <w:marRight w:val="0"/>
      <w:marTop w:val="0"/>
      <w:marBottom w:val="0"/>
      <w:divBdr>
        <w:top w:val="none" w:sz="0" w:space="0" w:color="auto"/>
        <w:left w:val="none" w:sz="0" w:space="0" w:color="auto"/>
        <w:bottom w:val="none" w:sz="0" w:space="0" w:color="auto"/>
        <w:right w:val="none" w:sz="0" w:space="0" w:color="auto"/>
      </w:divBdr>
    </w:div>
    <w:div w:id="1360005108">
      <w:bodyDiv w:val="1"/>
      <w:marLeft w:val="0"/>
      <w:marRight w:val="0"/>
      <w:marTop w:val="0"/>
      <w:marBottom w:val="0"/>
      <w:divBdr>
        <w:top w:val="none" w:sz="0" w:space="0" w:color="auto"/>
        <w:left w:val="none" w:sz="0" w:space="0" w:color="auto"/>
        <w:bottom w:val="none" w:sz="0" w:space="0" w:color="auto"/>
        <w:right w:val="none" w:sz="0" w:space="0" w:color="auto"/>
      </w:divBdr>
    </w:div>
    <w:div w:id="1371957961">
      <w:bodyDiv w:val="1"/>
      <w:marLeft w:val="0"/>
      <w:marRight w:val="0"/>
      <w:marTop w:val="0"/>
      <w:marBottom w:val="0"/>
      <w:divBdr>
        <w:top w:val="none" w:sz="0" w:space="0" w:color="auto"/>
        <w:left w:val="none" w:sz="0" w:space="0" w:color="auto"/>
        <w:bottom w:val="none" w:sz="0" w:space="0" w:color="auto"/>
        <w:right w:val="none" w:sz="0" w:space="0" w:color="auto"/>
      </w:divBdr>
    </w:div>
    <w:div w:id="1403478916">
      <w:bodyDiv w:val="1"/>
      <w:marLeft w:val="0"/>
      <w:marRight w:val="0"/>
      <w:marTop w:val="0"/>
      <w:marBottom w:val="0"/>
      <w:divBdr>
        <w:top w:val="none" w:sz="0" w:space="0" w:color="auto"/>
        <w:left w:val="none" w:sz="0" w:space="0" w:color="auto"/>
        <w:bottom w:val="none" w:sz="0" w:space="0" w:color="auto"/>
        <w:right w:val="none" w:sz="0" w:space="0" w:color="auto"/>
      </w:divBdr>
    </w:div>
    <w:div w:id="1484664973">
      <w:bodyDiv w:val="1"/>
      <w:marLeft w:val="0"/>
      <w:marRight w:val="0"/>
      <w:marTop w:val="0"/>
      <w:marBottom w:val="0"/>
      <w:divBdr>
        <w:top w:val="none" w:sz="0" w:space="0" w:color="auto"/>
        <w:left w:val="none" w:sz="0" w:space="0" w:color="auto"/>
        <w:bottom w:val="none" w:sz="0" w:space="0" w:color="auto"/>
        <w:right w:val="none" w:sz="0" w:space="0" w:color="auto"/>
      </w:divBdr>
    </w:div>
    <w:div w:id="1488782214">
      <w:bodyDiv w:val="1"/>
      <w:marLeft w:val="0"/>
      <w:marRight w:val="0"/>
      <w:marTop w:val="0"/>
      <w:marBottom w:val="0"/>
      <w:divBdr>
        <w:top w:val="none" w:sz="0" w:space="0" w:color="auto"/>
        <w:left w:val="none" w:sz="0" w:space="0" w:color="auto"/>
        <w:bottom w:val="none" w:sz="0" w:space="0" w:color="auto"/>
        <w:right w:val="none" w:sz="0" w:space="0" w:color="auto"/>
      </w:divBdr>
    </w:div>
    <w:div w:id="1492864890">
      <w:bodyDiv w:val="1"/>
      <w:marLeft w:val="0"/>
      <w:marRight w:val="0"/>
      <w:marTop w:val="0"/>
      <w:marBottom w:val="0"/>
      <w:divBdr>
        <w:top w:val="none" w:sz="0" w:space="0" w:color="auto"/>
        <w:left w:val="none" w:sz="0" w:space="0" w:color="auto"/>
        <w:bottom w:val="none" w:sz="0" w:space="0" w:color="auto"/>
        <w:right w:val="none" w:sz="0" w:space="0" w:color="auto"/>
      </w:divBdr>
    </w:div>
    <w:div w:id="1504708802">
      <w:bodyDiv w:val="1"/>
      <w:marLeft w:val="0"/>
      <w:marRight w:val="0"/>
      <w:marTop w:val="0"/>
      <w:marBottom w:val="0"/>
      <w:divBdr>
        <w:top w:val="none" w:sz="0" w:space="0" w:color="auto"/>
        <w:left w:val="none" w:sz="0" w:space="0" w:color="auto"/>
        <w:bottom w:val="none" w:sz="0" w:space="0" w:color="auto"/>
        <w:right w:val="none" w:sz="0" w:space="0" w:color="auto"/>
      </w:divBdr>
    </w:div>
    <w:div w:id="1521238763">
      <w:bodyDiv w:val="1"/>
      <w:marLeft w:val="0"/>
      <w:marRight w:val="0"/>
      <w:marTop w:val="0"/>
      <w:marBottom w:val="0"/>
      <w:divBdr>
        <w:top w:val="none" w:sz="0" w:space="0" w:color="auto"/>
        <w:left w:val="none" w:sz="0" w:space="0" w:color="auto"/>
        <w:bottom w:val="none" w:sz="0" w:space="0" w:color="auto"/>
        <w:right w:val="none" w:sz="0" w:space="0" w:color="auto"/>
      </w:divBdr>
    </w:div>
    <w:div w:id="1523854673">
      <w:bodyDiv w:val="1"/>
      <w:marLeft w:val="0"/>
      <w:marRight w:val="0"/>
      <w:marTop w:val="0"/>
      <w:marBottom w:val="0"/>
      <w:divBdr>
        <w:top w:val="none" w:sz="0" w:space="0" w:color="auto"/>
        <w:left w:val="none" w:sz="0" w:space="0" w:color="auto"/>
        <w:bottom w:val="none" w:sz="0" w:space="0" w:color="auto"/>
        <w:right w:val="none" w:sz="0" w:space="0" w:color="auto"/>
      </w:divBdr>
    </w:div>
    <w:div w:id="1527526163">
      <w:bodyDiv w:val="1"/>
      <w:marLeft w:val="0"/>
      <w:marRight w:val="0"/>
      <w:marTop w:val="0"/>
      <w:marBottom w:val="0"/>
      <w:divBdr>
        <w:top w:val="none" w:sz="0" w:space="0" w:color="auto"/>
        <w:left w:val="none" w:sz="0" w:space="0" w:color="auto"/>
        <w:bottom w:val="none" w:sz="0" w:space="0" w:color="auto"/>
        <w:right w:val="none" w:sz="0" w:space="0" w:color="auto"/>
      </w:divBdr>
    </w:div>
    <w:div w:id="1553343421">
      <w:bodyDiv w:val="1"/>
      <w:marLeft w:val="0"/>
      <w:marRight w:val="0"/>
      <w:marTop w:val="0"/>
      <w:marBottom w:val="0"/>
      <w:divBdr>
        <w:top w:val="none" w:sz="0" w:space="0" w:color="auto"/>
        <w:left w:val="none" w:sz="0" w:space="0" w:color="auto"/>
        <w:bottom w:val="none" w:sz="0" w:space="0" w:color="auto"/>
        <w:right w:val="none" w:sz="0" w:space="0" w:color="auto"/>
      </w:divBdr>
    </w:div>
    <w:div w:id="1556117423">
      <w:bodyDiv w:val="1"/>
      <w:marLeft w:val="0"/>
      <w:marRight w:val="0"/>
      <w:marTop w:val="0"/>
      <w:marBottom w:val="0"/>
      <w:divBdr>
        <w:top w:val="none" w:sz="0" w:space="0" w:color="auto"/>
        <w:left w:val="none" w:sz="0" w:space="0" w:color="auto"/>
        <w:bottom w:val="none" w:sz="0" w:space="0" w:color="auto"/>
        <w:right w:val="none" w:sz="0" w:space="0" w:color="auto"/>
      </w:divBdr>
    </w:div>
    <w:div w:id="1571767799">
      <w:bodyDiv w:val="1"/>
      <w:marLeft w:val="0"/>
      <w:marRight w:val="0"/>
      <w:marTop w:val="0"/>
      <w:marBottom w:val="0"/>
      <w:divBdr>
        <w:top w:val="none" w:sz="0" w:space="0" w:color="auto"/>
        <w:left w:val="none" w:sz="0" w:space="0" w:color="auto"/>
        <w:bottom w:val="none" w:sz="0" w:space="0" w:color="auto"/>
        <w:right w:val="none" w:sz="0" w:space="0" w:color="auto"/>
      </w:divBdr>
    </w:div>
    <w:div w:id="1581020278">
      <w:bodyDiv w:val="1"/>
      <w:marLeft w:val="0"/>
      <w:marRight w:val="0"/>
      <w:marTop w:val="0"/>
      <w:marBottom w:val="0"/>
      <w:divBdr>
        <w:top w:val="none" w:sz="0" w:space="0" w:color="auto"/>
        <w:left w:val="none" w:sz="0" w:space="0" w:color="auto"/>
        <w:bottom w:val="none" w:sz="0" w:space="0" w:color="auto"/>
        <w:right w:val="none" w:sz="0" w:space="0" w:color="auto"/>
      </w:divBdr>
    </w:div>
    <w:div w:id="1586645785">
      <w:bodyDiv w:val="1"/>
      <w:marLeft w:val="0"/>
      <w:marRight w:val="0"/>
      <w:marTop w:val="0"/>
      <w:marBottom w:val="0"/>
      <w:divBdr>
        <w:top w:val="none" w:sz="0" w:space="0" w:color="auto"/>
        <w:left w:val="none" w:sz="0" w:space="0" w:color="auto"/>
        <w:bottom w:val="none" w:sz="0" w:space="0" w:color="auto"/>
        <w:right w:val="none" w:sz="0" w:space="0" w:color="auto"/>
      </w:divBdr>
    </w:div>
    <w:div w:id="1597710099">
      <w:bodyDiv w:val="1"/>
      <w:marLeft w:val="0"/>
      <w:marRight w:val="0"/>
      <w:marTop w:val="0"/>
      <w:marBottom w:val="0"/>
      <w:divBdr>
        <w:top w:val="none" w:sz="0" w:space="0" w:color="auto"/>
        <w:left w:val="none" w:sz="0" w:space="0" w:color="auto"/>
        <w:bottom w:val="none" w:sz="0" w:space="0" w:color="auto"/>
        <w:right w:val="none" w:sz="0" w:space="0" w:color="auto"/>
      </w:divBdr>
    </w:div>
    <w:div w:id="1599289027">
      <w:bodyDiv w:val="1"/>
      <w:marLeft w:val="0"/>
      <w:marRight w:val="0"/>
      <w:marTop w:val="0"/>
      <w:marBottom w:val="0"/>
      <w:divBdr>
        <w:top w:val="none" w:sz="0" w:space="0" w:color="auto"/>
        <w:left w:val="none" w:sz="0" w:space="0" w:color="auto"/>
        <w:bottom w:val="none" w:sz="0" w:space="0" w:color="auto"/>
        <w:right w:val="none" w:sz="0" w:space="0" w:color="auto"/>
      </w:divBdr>
    </w:div>
    <w:div w:id="1601335821">
      <w:bodyDiv w:val="1"/>
      <w:marLeft w:val="0"/>
      <w:marRight w:val="0"/>
      <w:marTop w:val="0"/>
      <w:marBottom w:val="0"/>
      <w:divBdr>
        <w:top w:val="none" w:sz="0" w:space="0" w:color="auto"/>
        <w:left w:val="none" w:sz="0" w:space="0" w:color="auto"/>
        <w:bottom w:val="none" w:sz="0" w:space="0" w:color="auto"/>
        <w:right w:val="none" w:sz="0" w:space="0" w:color="auto"/>
      </w:divBdr>
    </w:div>
    <w:div w:id="1612779581">
      <w:bodyDiv w:val="1"/>
      <w:marLeft w:val="0"/>
      <w:marRight w:val="0"/>
      <w:marTop w:val="0"/>
      <w:marBottom w:val="0"/>
      <w:divBdr>
        <w:top w:val="none" w:sz="0" w:space="0" w:color="auto"/>
        <w:left w:val="none" w:sz="0" w:space="0" w:color="auto"/>
        <w:bottom w:val="none" w:sz="0" w:space="0" w:color="auto"/>
        <w:right w:val="none" w:sz="0" w:space="0" w:color="auto"/>
      </w:divBdr>
    </w:div>
    <w:div w:id="1617633714">
      <w:bodyDiv w:val="1"/>
      <w:marLeft w:val="0"/>
      <w:marRight w:val="0"/>
      <w:marTop w:val="0"/>
      <w:marBottom w:val="0"/>
      <w:divBdr>
        <w:top w:val="none" w:sz="0" w:space="0" w:color="auto"/>
        <w:left w:val="none" w:sz="0" w:space="0" w:color="auto"/>
        <w:bottom w:val="none" w:sz="0" w:space="0" w:color="auto"/>
        <w:right w:val="none" w:sz="0" w:space="0" w:color="auto"/>
      </w:divBdr>
    </w:div>
    <w:div w:id="1668049703">
      <w:bodyDiv w:val="1"/>
      <w:marLeft w:val="0"/>
      <w:marRight w:val="0"/>
      <w:marTop w:val="0"/>
      <w:marBottom w:val="0"/>
      <w:divBdr>
        <w:top w:val="none" w:sz="0" w:space="0" w:color="auto"/>
        <w:left w:val="none" w:sz="0" w:space="0" w:color="auto"/>
        <w:bottom w:val="none" w:sz="0" w:space="0" w:color="auto"/>
        <w:right w:val="none" w:sz="0" w:space="0" w:color="auto"/>
      </w:divBdr>
    </w:div>
    <w:div w:id="1688100439">
      <w:bodyDiv w:val="1"/>
      <w:marLeft w:val="0"/>
      <w:marRight w:val="0"/>
      <w:marTop w:val="0"/>
      <w:marBottom w:val="0"/>
      <w:divBdr>
        <w:top w:val="none" w:sz="0" w:space="0" w:color="auto"/>
        <w:left w:val="none" w:sz="0" w:space="0" w:color="auto"/>
        <w:bottom w:val="none" w:sz="0" w:space="0" w:color="auto"/>
        <w:right w:val="none" w:sz="0" w:space="0" w:color="auto"/>
      </w:divBdr>
    </w:div>
    <w:div w:id="1690059874">
      <w:bodyDiv w:val="1"/>
      <w:marLeft w:val="0"/>
      <w:marRight w:val="0"/>
      <w:marTop w:val="0"/>
      <w:marBottom w:val="0"/>
      <w:divBdr>
        <w:top w:val="none" w:sz="0" w:space="0" w:color="auto"/>
        <w:left w:val="none" w:sz="0" w:space="0" w:color="auto"/>
        <w:bottom w:val="none" w:sz="0" w:space="0" w:color="auto"/>
        <w:right w:val="none" w:sz="0" w:space="0" w:color="auto"/>
      </w:divBdr>
    </w:div>
    <w:div w:id="1694570311">
      <w:bodyDiv w:val="1"/>
      <w:marLeft w:val="0"/>
      <w:marRight w:val="0"/>
      <w:marTop w:val="0"/>
      <w:marBottom w:val="0"/>
      <w:divBdr>
        <w:top w:val="none" w:sz="0" w:space="0" w:color="auto"/>
        <w:left w:val="none" w:sz="0" w:space="0" w:color="auto"/>
        <w:bottom w:val="none" w:sz="0" w:space="0" w:color="auto"/>
        <w:right w:val="none" w:sz="0" w:space="0" w:color="auto"/>
      </w:divBdr>
    </w:div>
    <w:div w:id="1719888896">
      <w:bodyDiv w:val="1"/>
      <w:marLeft w:val="0"/>
      <w:marRight w:val="0"/>
      <w:marTop w:val="0"/>
      <w:marBottom w:val="0"/>
      <w:divBdr>
        <w:top w:val="none" w:sz="0" w:space="0" w:color="auto"/>
        <w:left w:val="none" w:sz="0" w:space="0" w:color="auto"/>
        <w:bottom w:val="none" w:sz="0" w:space="0" w:color="auto"/>
        <w:right w:val="none" w:sz="0" w:space="0" w:color="auto"/>
      </w:divBdr>
    </w:div>
    <w:div w:id="1743989314">
      <w:bodyDiv w:val="1"/>
      <w:marLeft w:val="0"/>
      <w:marRight w:val="0"/>
      <w:marTop w:val="0"/>
      <w:marBottom w:val="0"/>
      <w:divBdr>
        <w:top w:val="none" w:sz="0" w:space="0" w:color="auto"/>
        <w:left w:val="none" w:sz="0" w:space="0" w:color="auto"/>
        <w:bottom w:val="none" w:sz="0" w:space="0" w:color="auto"/>
        <w:right w:val="none" w:sz="0" w:space="0" w:color="auto"/>
      </w:divBdr>
    </w:div>
    <w:div w:id="1762488108">
      <w:bodyDiv w:val="1"/>
      <w:marLeft w:val="0"/>
      <w:marRight w:val="0"/>
      <w:marTop w:val="0"/>
      <w:marBottom w:val="0"/>
      <w:divBdr>
        <w:top w:val="none" w:sz="0" w:space="0" w:color="auto"/>
        <w:left w:val="none" w:sz="0" w:space="0" w:color="auto"/>
        <w:bottom w:val="none" w:sz="0" w:space="0" w:color="auto"/>
        <w:right w:val="none" w:sz="0" w:space="0" w:color="auto"/>
      </w:divBdr>
    </w:div>
    <w:div w:id="1762944567">
      <w:bodyDiv w:val="1"/>
      <w:marLeft w:val="0"/>
      <w:marRight w:val="0"/>
      <w:marTop w:val="0"/>
      <w:marBottom w:val="0"/>
      <w:divBdr>
        <w:top w:val="none" w:sz="0" w:space="0" w:color="auto"/>
        <w:left w:val="none" w:sz="0" w:space="0" w:color="auto"/>
        <w:bottom w:val="none" w:sz="0" w:space="0" w:color="auto"/>
        <w:right w:val="none" w:sz="0" w:space="0" w:color="auto"/>
      </w:divBdr>
    </w:div>
    <w:div w:id="1763604832">
      <w:bodyDiv w:val="1"/>
      <w:marLeft w:val="0"/>
      <w:marRight w:val="0"/>
      <w:marTop w:val="0"/>
      <w:marBottom w:val="0"/>
      <w:divBdr>
        <w:top w:val="none" w:sz="0" w:space="0" w:color="auto"/>
        <w:left w:val="none" w:sz="0" w:space="0" w:color="auto"/>
        <w:bottom w:val="none" w:sz="0" w:space="0" w:color="auto"/>
        <w:right w:val="none" w:sz="0" w:space="0" w:color="auto"/>
      </w:divBdr>
    </w:div>
    <w:div w:id="1767339766">
      <w:bodyDiv w:val="1"/>
      <w:marLeft w:val="0"/>
      <w:marRight w:val="0"/>
      <w:marTop w:val="0"/>
      <w:marBottom w:val="0"/>
      <w:divBdr>
        <w:top w:val="none" w:sz="0" w:space="0" w:color="auto"/>
        <w:left w:val="none" w:sz="0" w:space="0" w:color="auto"/>
        <w:bottom w:val="none" w:sz="0" w:space="0" w:color="auto"/>
        <w:right w:val="none" w:sz="0" w:space="0" w:color="auto"/>
      </w:divBdr>
    </w:div>
    <w:div w:id="1770151330">
      <w:bodyDiv w:val="1"/>
      <w:marLeft w:val="0"/>
      <w:marRight w:val="0"/>
      <w:marTop w:val="0"/>
      <w:marBottom w:val="0"/>
      <w:divBdr>
        <w:top w:val="none" w:sz="0" w:space="0" w:color="auto"/>
        <w:left w:val="none" w:sz="0" w:space="0" w:color="auto"/>
        <w:bottom w:val="none" w:sz="0" w:space="0" w:color="auto"/>
        <w:right w:val="none" w:sz="0" w:space="0" w:color="auto"/>
      </w:divBdr>
    </w:div>
    <w:div w:id="1784417095">
      <w:bodyDiv w:val="1"/>
      <w:marLeft w:val="0"/>
      <w:marRight w:val="0"/>
      <w:marTop w:val="0"/>
      <w:marBottom w:val="0"/>
      <w:divBdr>
        <w:top w:val="none" w:sz="0" w:space="0" w:color="auto"/>
        <w:left w:val="none" w:sz="0" w:space="0" w:color="auto"/>
        <w:bottom w:val="none" w:sz="0" w:space="0" w:color="auto"/>
        <w:right w:val="none" w:sz="0" w:space="0" w:color="auto"/>
      </w:divBdr>
    </w:div>
    <w:div w:id="1830558279">
      <w:bodyDiv w:val="1"/>
      <w:marLeft w:val="0"/>
      <w:marRight w:val="0"/>
      <w:marTop w:val="0"/>
      <w:marBottom w:val="0"/>
      <w:divBdr>
        <w:top w:val="none" w:sz="0" w:space="0" w:color="auto"/>
        <w:left w:val="none" w:sz="0" w:space="0" w:color="auto"/>
        <w:bottom w:val="none" w:sz="0" w:space="0" w:color="auto"/>
        <w:right w:val="none" w:sz="0" w:space="0" w:color="auto"/>
      </w:divBdr>
    </w:div>
    <w:div w:id="1840653904">
      <w:bodyDiv w:val="1"/>
      <w:marLeft w:val="0"/>
      <w:marRight w:val="0"/>
      <w:marTop w:val="0"/>
      <w:marBottom w:val="0"/>
      <w:divBdr>
        <w:top w:val="none" w:sz="0" w:space="0" w:color="auto"/>
        <w:left w:val="none" w:sz="0" w:space="0" w:color="auto"/>
        <w:bottom w:val="none" w:sz="0" w:space="0" w:color="auto"/>
        <w:right w:val="none" w:sz="0" w:space="0" w:color="auto"/>
      </w:divBdr>
    </w:div>
    <w:div w:id="1845582808">
      <w:bodyDiv w:val="1"/>
      <w:marLeft w:val="0"/>
      <w:marRight w:val="0"/>
      <w:marTop w:val="0"/>
      <w:marBottom w:val="0"/>
      <w:divBdr>
        <w:top w:val="none" w:sz="0" w:space="0" w:color="auto"/>
        <w:left w:val="none" w:sz="0" w:space="0" w:color="auto"/>
        <w:bottom w:val="none" w:sz="0" w:space="0" w:color="auto"/>
        <w:right w:val="none" w:sz="0" w:space="0" w:color="auto"/>
      </w:divBdr>
    </w:div>
    <w:div w:id="1874076411">
      <w:bodyDiv w:val="1"/>
      <w:marLeft w:val="0"/>
      <w:marRight w:val="0"/>
      <w:marTop w:val="0"/>
      <w:marBottom w:val="0"/>
      <w:divBdr>
        <w:top w:val="none" w:sz="0" w:space="0" w:color="auto"/>
        <w:left w:val="none" w:sz="0" w:space="0" w:color="auto"/>
        <w:bottom w:val="none" w:sz="0" w:space="0" w:color="auto"/>
        <w:right w:val="none" w:sz="0" w:space="0" w:color="auto"/>
      </w:divBdr>
    </w:div>
    <w:div w:id="1876037423">
      <w:bodyDiv w:val="1"/>
      <w:marLeft w:val="0"/>
      <w:marRight w:val="0"/>
      <w:marTop w:val="0"/>
      <w:marBottom w:val="0"/>
      <w:divBdr>
        <w:top w:val="none" w:sz="0" w:space="0" w:color="auto"/>
        <w:left w:val="none" w:sz="0" w:space="0" w:color="auto"/>
        <w:bottom w:val="none" w:sz="0" w:space="0" w:color="auto"/>
        <w:right w:val="none" w:sz="0" w:space="0" w:color="auto"/>
      </w:divBdr>
    </w:div>
    <w:div w:id="1886140662">
      <w:bodyDiv w:val="1"/>
      <w:marLeft w:val="0"/>
      <w:marRight w:val="0"/>
      <w:marTop w:val="0"/>
      <w:marBottom w:val="0"/>
      <w:divBdr>
        <w:top w:val="none" w:sz="0" w:space="0" w:color="auto"/>
        <w:left w:val="none" w:sz="0" w:space="0" w:color="auto"/>
        <w:bottom w:val="none" w:sz="0" w:space="0" w:color="auto"/>
        <w:right w:val="none" w:sz="0" w:space="0" w:color="auto"/>
      </w:divBdr>
    </w:div>
    <w:div w:id="1938440859">
      <w:bodyDiv w:val="1"/>
      <w:marLeft w:val="0"/>
      <w:marRight w:val="0"/>
      <w:marTop w:val="0"/>
      <w:marBottom w:val="0"/>
      <w:divBdr>
        <w:top w:val="none" w:sz="0" w:space="0" w:color="auto"/>
        <w:left w:val="none" w:sz="0" w:space="0" w:color="auto"/>
        <w:bottom w:val="none" w:sz="0" w:space="0" w:color="auto"/>
        <w:right w:val="none" w:sz="0" w:space="0" w:color="auto"/>
      </w:divBdr>
    </w:div>
    <w:div w:id="1954626737">
      <w:bodyDiv w:val="1"/>
      <w:marLeft w:val="0"/>
      <w:marRight w:val="0"/>
      <w:marTop w:val="0"/>
      <w:marBottom w:val="0"/>
      <w:divBdr>
        <w:top w:val="none" w:sz="0" w:space="0" w:color="auto"/>
        <w:left w:val="none" w:sz="0" w:space="0" w:color="auto"/>
        <w:bottom w:val="none" w:sz="0" w:space="0" w:color="auto"/>
        <w:right w:val="none" w:sz="0" w:space="0" w:color="auto"/>
      </w:divBdr>
    </w:div>
    <w:div w:id="1967542959">
      <w:bodyDiv w:val="1"/>
      <w:marLeft w:val="0"/>
      <w:marRight w:val="0"/>
      <w:marTop w:val="0"/>
      <w:marBottom w:val="0"/>
      <w:divBdr>
        <w:top w:val="none" w:sz="0" w:space="0" w:color="auto"/>
        <w:left w:val="none" w:sz="0" w:space="0" w:color="auto"/>
        <w:bottom w:val="none" w:sz="0" w:space="0" w:color="auto"/>
        <w:right w:val="none" w:sz="0" w:space="0" w:color="auto"/>
      </w:divBdr>
    </w:div>
    <w:div w:id="1989702588">
      <w:bodyDiv w:val="1"/>
      <w:marLeft w:val="0"/>
      <w:marRight w:val="0"/>
      <w:marTop w:val="0"/>
      <w:marBottom w:val="0"/>
      <w:divBdr>
        <w:top w:val="none" w:sz="0" w:space="0" w:color="auto"/>
        <w:left w:val="none" w:sz="0" w:space="0" w:color="auto"/>
        <w:bottom w:val="none" w:sz="0" w:space="0" w:color="auto"/>
        <w:right w:val="none" w:sz="0" w:space="0" w:color="auto"/>
      </w:divBdr>
    </w:div>
    <w:div w:id="2013020883">
      <w:bodyDiv w:val="1"/>
      <w:marLeft w:val="0"/>
      <w:marRight w:val="0"/>
      <w:marTop w:val="0"/>
      <w:marBottom w:val="0"/>
      <w:divBdr>
        <w:top w:val="none" w:sz="0" w:space="0" w:color="auto"/>
        <w:left w:val="none" w:sz="0" w:space="0" w:color="auto"/>
        <w:bottom w:val="none" w:sz="0" w:space="0" w:color="auto"/>
        <w:right w:val="none" w:sz="0" w:space="0" w:color="auto"/>
      </w:divBdr>
    </w:div>
    <w:div w:id="2029284342">
      <w:bodyDiv w:val="1"/>
      <w:marLeft w:val="0"/>
      <w:marRight w:val="0"/>
      <w:marTop w:val="0"/>
      <w:marBottom w:val="0"/>
      <w:divBdr>
        <w:top w:val="none" w:sz="0" w:space="0" w:color="auto"/>
        <w:left w:val="none" w:sz="0" w:space="0" w:color="auto"/>
        <w:bottom w:val="none" w:sz="0" w:space="0" w:color="auto"/>
        <w:right w:val="none" w:sz="0" w:space="0" w:color="auto"/>
      </w:divBdr>
    </w:div>
    <w:div w:id="2040737495">
      <w:bodyDiv w:val="1"/>
      <w:marLeft w:val="0"/>
      <w:marRight w:val="0"/>
      <w:marTop w:val="0"/>
      <w:marBottom w:val="0"/>
      <w:divBdr>
        <w:top w:val="none" w:sz="0" w:space="0" w:color="auto"/>
        <w:left w:val="none" w:sz="0" w:space="0" w:color="auto"/>
        <w:bottom w:val="none" w:sz="0" w:space="0" w:color="auto"/>
        <w:right w:val="none" w:sz="0" w:space="0" w:color="auto"/>
      </w:divBdr>
    </w:div>
    <w:div w:id="2046102889">
      <w:bodyDiv w:val="1"/>
      <w:marLeft w:val="0"/>
      <w:marRight w:val="0"/>
      <w:marTop w:val="0"/>
      <w:marBottom w:val="0"/>
      <w:divBdr>
        <w:top w:val="none" w:sz="0" w:space="0" w:color="auto"/>
        <w:left w:val="none" w:sz="0" w:space="0" w:color="auto"/>
        <w:bottom w:val="none" w:sz="0" w:space="0" w:color="auto"/>
        <w:right w:val="none" w:sz="0" w:space="0" w:color="auto"/>
      </w:divBdr>
    </w:div>
    <w:div w:id="2055537310">
      <w:bodyDiv w:val="1"/>
      <w:marLeft w:val="0"/>
      <w:marRight w:val="0"/>
      <w:marTop w:val="0"/>
      <w:marBottom w:val="0"/>
      <w:divBdr>
        <w:top w:val="none" w:sz="0" w:space="0" w:color="auto"/>
        <w:left w:val="none" w:sz="0" w:space="0" w:color="auto"/>
        <w:bottom w:val="none" w:sz="0" w:space="0" w:color="auto"/>
        <w:right w:val="none" w:sz="0" w:space="0" w:color="auto"/>
      </w:divBdr>
    </w:div>
    <w:div w:id="2064987826">
      <w:bodyDiv w:val="1"/>
      <w:marLeft w:val="0"/>
      <w:marRight w:val="0"/>
      <w:marTop w:val="0"/>
      <w:marBottom w:val="0"/>
      <w:divBdr>
        <w:top w:val="none" w:sz="0" w:space="0" w:color="auto"/>
        <w:left w:val="none" w:sz="0" w:space="0" w:color="auto"/>
        <w:bottom w:val="none" w:sz="0" w:space="0" w:color="auto"/>
        <w:right w:val="none" w:sz="0" w:space="0" w:color="auto"/>
      </w:divBdr>
    </w:div>
    <w:div w:id="2065714176">
      <w:bodyDiv w:val="1"/>
      <w:marLeft w:val="0"/>
      <w:marRight w:val="0"/>
      <w:marTop w:val="0"/>
      <w:marBottom w:val="0"/>
      <w:divBdr>
        <w:top w:val="none" w:sz="0" w:space="0" w:color="auto"/>
        <w:left w:val="none" w:sz="0" w:space="0" w:color="auto"/>
        <w:bottom w:val="none" w:sz="0" w:space="0" w:color="auto"/>
        <w:right w:val="none" w:sz="0" w:space="0" w:color="auto"/>
      </w:divBdr>
    </w:div>
    <w:div w:id="2078895480">
      <w:bodyDiv w:val="1"/>
      <w:marLeft w:val="0"/>
      <w:marRight w:val="0"/>
      <w:marTop w:val="0"/>
      <w:marBottom w:val="0"/>
      <w:divBdr>
        <w:top w:val="none" w:sz="0" w:space="0" w:color="auto"/>
        <w:left w:val="none" w:sz="0" w:space="0" w:color="auto"/>
        <w:bottom w:val="none" w:sz="0" w:space="0" w:color="auto"/>
        <w:right w:val="none" w:sz="0" w:space="0" w:color="auto"/>
      </w:divBdr>
    </w:div>
    <w:div w:id="2084137647">
      <w:bodyDiv w:val="1"/>
      <w:marLeft w:val="0"/>
      <w:marRight w:val="0"/>
      <w:marTop w:val="0"/>
      <w:marBottom w:val="0"/>
      <w:divBdr>
        <w:top w:val="none" w:sz="0" w:space="0" w:color="auto"/>
        <w:left w:val="none" w:sz="0" w:space="0" w:color="auto"/>
        <w:bottom w:val="none" w:sz="0" w:space="0" w:color="auto"/>
        <w:right w:val="none" w:sz="0" w:space="0" w:color="auto"/>
      </w:divBdr>
    </w:div>
    <w:div w:id="2088113498">
      <w:bodyDiv w:val="1"/>
      <w:marLeft w:val="0"/>
      <w:marRight w:val="0"/>
      <w:marTop w:val="0"/>
      <w:marBottom w:val="0"/>
      <w:divBdr>
        <w:top w:val="none" w:sz="0" w:space="0" w:color="auto"/>
        <w:left w:val="none" w:sz="0" w:space="0" w:color="auto"/>
        <w:bottom w:val="none" w:sz="0" w:space="0" w:color="auto"/>
        <w:right w:val="none" w:sz="0" w:space="0" w:color="auto"/>
      </w:divBdr>
    </w:div>
    <w:div w:id="2093113853">
      <w:bodyDiv w:val="1"/>
      <w:marLeft w:val="0"/>
      <w:marRight w:val="0"/>
      <w:marTop w:val="0"/>
      <w:marBottom w:val="0"/>
      <w:divBdr>
        <w:top w:val="none" w:sz="0" w:space="0" w:color="auto"/>
        <w:left w:val="none" w:sz="0" w:space="0" w:color="auto"/>
        <w:bottom w:val="none" w:sz="0" w:space="0" w:color="auto"/>
        <w:right w:val="none" w:sz="0" w:space="0" w:color="auto"/>
      </w:divBdr>
    </w:div>
    <w:div w:id="2098167583">
      <w:bodyDiv w:val="1"/>
      <w:marLeft w:val="0"/>
      <w:marRight w:val="0"/>
      <w:marTop w:val="0"/>
      <w:marBottom w:val="0"/>
      <w:divBdr>
        <w:top w:val="none" w:sz="0" w:space="0" w:color="auto"/>
        <w:left w:val="none" w:sz="0" w:space="0" w:color="auto"/>
        <w:bottom w:val="none" w:sz="0" w:space="0" w:color="auto"/>
        <w:right w:val="none" w:sz="0" w:space="0" w:color="auto"/>
      </w:divBdr>
    </w:div>
    <w:div w:id="2104763271">
      <w:bodyDiv w:val="1"/>
      <w:marLeft w:val="0"/>
      <w:marRight w:val="0"/>
      <w:marTop w:val="0"/>
      <w:marBottom w:val="0"/>
      <w:divBdr>
        <w:top w:val="none" w:sz="0" w:space="0" w:color="auto"/>
        <w:left w:val="none" w:sz="0" w:space="0" w:color="auto"/>
        <w:bottom w:val="none" w:sz="0" w:space="0" w:color="auto"/>
        <w:right w:val="none" w:sz="0" w:space="0" w:color="auto"/>
      </w:divBdr>
    </w:div>
    <w:div w:id="2114205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Hom12</b:Tag>
    <b:SourceType>InternetSite</b:SourceType>
    <b:Guid>{36310A26-C637-4998-B74B-561617F1B7E1}</b:Guid>
    <b:Title>Definition of policing by consent</b:Title>
    <b:Year>2012</b:Year>
    <b:Author>
      <b:Author>
        <b:Corporate>Home Office</b:Corporate>
      </b:Author>
    </b:Author>
    <b:YearAccessed>2021</b:YearAccessed>
    <b:MonthAccessed>November</b:MonthAccessed>
    <b:DayAccessed>19</b:DayAccessed>
    <b:URL>https://www.gov.uk/government/publications/policing-by-consent/definition-of-policing-by-consent</b:URL>
    <b:RefOrder>1</b:RefOrder>
  </b:Source>
  <b:Source>
    <b:Tag>Loc14</b:Tag>
    <b:SourceType>DocumentFromInternetSite</b:SourceType>
    <b:Guid>{C0338C13-BB64-47C7-AC65-C009A021A226}</b:Guid>
    <b:Title>Policing for a better Britain: the Stevens report</b:Title>
    <b:Year>2014</b:Year>
    <b:YearAccessed>2021</b:YearAccessed>
    <b:MonthAccessed>November</b:MonthAccessed>
    <b:DayAccessed>19</b:DayAccessed>
    <b:URL>http://lgiu.org/wp-content/uploads/2014/01/Policing-for-a-better-Britain-the-Stevens-report.pdf</b:URL>
    <b:Month>January</b:Month>
    <b:Day>27</b:Day>
    <b:Author>
      <b:Author>
        <b:Corporate>Local Government Information Unit</b:Corporate>
      </b:Author>
    </b:Author>
    <b:RefOrder>2</b:RefOrder>
  </b:Source>
  <b:Source>
    <b:Tag>Lom14</b:Tag>
    <b:SourceType>Book</b:SourceType>
    <b:Guid>{DE66E5A3-0A7D-49E4-8605-89901CEC3481}</b:Guid>
    <b:Title>How to Spent $75 Billion to Make the World a Better Place</b:Title>
    <b:Year>2014</b:Year>
    <b:City>Copenhagen</b:City>
    <b:Publisher>Copenhagen Consensus Centre</b:Publisher>
    <b:Edition>2nd</b:Edition>
    <b:Author>
      <b:Author>
        <b:NameList>
          <b:Person>
            <b:Last>Lomborg</b:Last>
            <b:First>Bjorn</b:First>
          </b:Person>
        </b:NameList>
      </b:Author>
    </b:Author>
    <b:RefOrder>3</b:RefOrder>
  </b:Source>
  <b:Source>
    <b:Tag>Hou10</b:Tag>
    <b:SourceType>DocumentFromInternetSite</b:SourceType>
    <b:Guid>{D5392CD5-3DB8-4DCE-9347-0E1FEB0E86AE}</b:Guid>
    <b:Title>Compliance with the law and policing by consent: notes on police and legal legitimacy</b:Title>
    <b:Year>2010</b:Year>
    <b:Month>July</b:Month>
    <b:Author>
      <b:Author>
        <b:NameList>
          <b:Person>
            <b:Last>Hough</b:Last>
            <b:First>Mike</b:First>
          </b:Person>
          <b:Person>
            <b:Last>Bradford</b:Last>
            <b:First>Ben</b:First>
          </b:Person>
        </b:NameList>
      </b:Author>
    </b:Author>
    <b:YearAccessed>2021</b:YearAccessed>
    <b:MonthAccessed>November</b:MonthAccessed>
    <b:DayAccessed>19</b:DayAccessed>
    <b:URL>https://d1wqtxts1xzle7.cloudfront.net/45644597/Compliance_with_the_Law_and_Policing_by_20160515-8827-195hfb1-with-cover-page-v2.pdf?Expires=1637350845&amp;Signature=ZeGp8YGp0VBmLqQLsWVdo2-ph-BtFrhwjgoNC9iKbwZ4rzEBndK5u-Vh7mg3L8ZFKDLvtDSr4VdPJkFaT3JcEkh~pSk9Yv</b:URL>
    <b:RefOrder>4</b:RefOrder>
  </b:Source>
  <b:Source>
    <b:Tag>Col211</b:Tag>
    <b:SourceType>InternetSite</b:SourceType>
    <b:Guid>{7F17E3C9-DC68-4A1D-95A1-897CC9FB7B94}</b:Guid>
    <b:Title>Police Constable</b:Title>
    <b:Year>2021</b:Year>
    <b:YearAccessed>2021</b:YearAccessed>
    <b:MonthAccessed>November</b:MonthAccessed>
    <b:DayAccessed>19</b:DayAccessed>
    <b:URL>https://profdev.college.police.uk/professional-profile/police-constable/</b:URL>
    <b:Author>
      <b:Author>
        <b:Corporate>College of Policing</b:Corporate>
      </b:Author>
    </b:Author>
    <b:RefOrder>5</b:RefOrder>
  </b:Source>
  <b:Source>
    <b:Tag>Lin88</b:Tag>
    <b:SourceType>Book</b:SourceType>
    <b:Guid>{F06BFD44-72D1-40EC-B6FE-68BF0A248938}</b:Guid>
    <b:Title>The Social Psychology of Procedural Justice</b:Title>
    <b:Year>1988</b:Year>
    <b:Author>
      <b:Author>
        <b:NameList>
          <b:Person>
            <b:Last>Lind</b:Last>
            <b:Middle>Allan</b:Middle>
            <b:First>E</b:First>
          </b:Person>
          <b:Person>
            <b:Last>Tyler</b:Last>
            <b:Middle>R</b:Middle>
            <b:First>Tom</b:First>
          </b:Person>
        </b:NameList>
      </b:Author>
    </b:Author>
    <b:City>New York</b:City>
    <b:Publisher>Plenum Press</b:Publisher>
    <b:Edition>1st</b:Edition>
    <b:RefOrder>6</b:RefOrder>
  </b:Source>
  <b:Source>
    <b:Tag>BBC11</b:Tag>
    <b:SourceType>InternetSite</b:SourceType>
    <b:Guid>{4CC3523E-C113-4B46-8807-08B8320D60AF}</b:Guid>
    <b:Title>Birmingham Six 'were in the wrong place at the wrong time'</b:Title>
    <b:Year>2011</b:Year>
    <b:Author>
      <b:Author>
        <b:Corporate>BBC</b:Corporate>
      </b:Author>
    </b:Author>
    <b:YearAccessed>2021</b:YearAccessed>
    <b:MonthAccessed>November</b:MonthAccessed>
    <b:DayAccessed>19</b:DayAccessed>
    <b:URL>https://www.bbc.co.uk/news/uk-england-12664938</b:URL>
    <b:RefOrder>7</b:RefOrder>
  </b:Source>
  <b:Source>
    <b:Tag>The18</b:Tag>
    <b:SourceType>InternetSite</b:SourceType>
    <b:Guid>{DBB550AF-07D4-4938-A31D-FB24BBA2293B}</b:Guid>
    <b:Author>
      <b:Author>
        <b:Corporate>The Guardian</b:Corporate>
      </b:Author>
    </b:Author>
    <b:Title>Miscarriages of justice body is not fit for purpose, lawyers say</b:Title>
    <b:Year>2018</b:Year>
    <b:YearAccessed>2021</b:YearAccessed>
    <b:MonthAccessed>November</b:MonthAccessed>
    <b:DayAccessed>19</b:DayAccessed>
    <b:URL>https://www.theguardian.com/law/2018/may/30/criminal-cases-review-commission-not-fit-for-purpose-lawyers-say</b:URL>
    <b:RefOrder>8</b:RefOrder>
  </b:Source>
  <b:Source>
    <b:Tag>Ass09</b:Tag>
    <b:SourceType>DocumentFromInternetSite</b:SourceType>
    <b:Guid>{F39D6DEE-5F8E-4B3A-B9C8-22ACB81E5550}</b:Guid>
    <b:Title>Practice Advice on the Management of Priority and Volume Crime (The Volume Crime Management Model) Second Edition</b:Title>
    <b:Year>2009</b:Year>
    <b:YearAccessed>2021</b:YearAccessed>
    <b:MonthAccessed>November</b:MonthAccessed>
    <b:DayAccessed>21</b:DayAccessed>
    <b:URL>https://library.college.police.uk/docs/acpo/VCMM-191109.pdf</b:URL>
    <b:Author>
      <b:Author>
        <b:Corporate>Association of Chief Police Officers</b:Corporate>
      </b:Author>
    </b:Author>
    <b:RefOrder>9</b:RefOrder>
  </b:Source>
  <b:Source>
    <b:Tag>Hom21</b:Tag>
    <b:SourceType>DocumentFromInternetSite</b:SourceType>
    <b:Guid>{AE6CD595-DFCD-4088-A83A-86D437E15E12}</b:Guid>
    <b:Title>s93(4) Police Act 1997</b:Title>
    <b:Year>2021</b:Year>
    <b:Month>June</b:Month>
    <b:Day>29</b:Day>
    <b:YearAccessed>2021</b:YearAccessed>
    <b:MonthAccessed>November</b:MonthAccessed>
    <b:DayAccessed>21</b:DayAccessed>
    <b:URL>https://www.legislation.gov.uk/ukpga/1997/50/section/93</b:URL>
    <b:Author>
      <b:Author>
        <b:Corporate>Home Office</b:Corporate>
      </b:Author>
    </b:Author>
    <b:RefOrder>10</b:RefOrder>
  </b:Source>
  <b:Source>
    <b:Tag>Col204</b:Tag>
    <b:SourceType>InternetSite</b:SourceType>
    <b:Guid>{20703D5D-62DE-401F-BD29-77B2305A1D19}</b:Guid>
    <b:Title>Investigation - Introduction</b:Title>
    <b:Year>2020</b:Year>
    <b:YearAccessed>2021</b:YearAccessed>
    <b:MonthAccessed>November</b:MonthAccessed>
    <b:DayAccessed>21</b:DayAccessed>
    <b:URL>https://www.app.college.police.uk/app-content/investigations/introduction/#principles-of-investigation</b:URL>
    <b:Author>
      <b:Author>
        <b:Corporate>College of Policing</b:Corporate>
      </b:Author>
    </b:Author>
    <b:RefOrder>11</b:RefOrder>
  </b:Source>
  <b:Source>
    <b:Tag>Hom121</b:Tag>
    <b:SourceType>DocumentFromInternetSite</b:SourceType>
    <b:Guid>{D70A4932-3B8A-4A28-B109-00775D1A2486}</b:Guid>
    <b:Title>The Police (Conduct) Regulations 2012</b:Title>
    <b:Year>2012</b:Year>
    <b:YearAccessed>2021</b:YearAccessed>
    <b:MonthAccessed>November</b:MonthAccessed>
    <b:DayAccessed>21</b:DayAccessed>
    <b:URL>https://www.legislation.gov.uk/uksi/2012/2632/contents/made</b:URL>
    <b:Author>
      <b:Author>
        <b:Corporate>Home Office</b:Corporate>
      </b:Author>
    </b:Author>
    <b:RefOrder>12</b:RefOrder>
  </b:Source>
  <b:Source>
    <b:Tag>Osw04</b:Tag>
    <b:SourceType>BookSection</b:SourceType>
    <b:Guid>{AD8A8979-6EA7-485C-9227-5AC91CCB8F64}</b:Guid>
    <b:Title>Confirmation Bias</b:Title>
    <b:Year>2004</b:Year>
    <b:City>Hove, UK</b:City>
    <b:Publisher>Psychology Press</b:Publisher>
    <b:Author>
      <b:Author>
        <b:NameList>
          <b:Person>
            <b:Last>Oswald</b:Last>
            <b:Middle>E</b:Middle>
            <b:First>Margit</b:First>
          </b:Person>
          <b:Person>
            <b:Last>Grosjean</b:Last>
            <b:First>Stefan</b:First>
          </b:Person>
        </b:NameList>
      </b:Author>
      <b:Editor>
        <b:NameList>
          <b:Person>
            <b:Last>Pohl</b:Last>
            <b:Middle>F</b:Middle>
            <b:First>R</b:First>
          </b:Person>
        </b:NameList>
      </b:Editor>
    </b:Author>
    <b:BookTitle>Cognitive illusions : a handbook on fallacies and biases in thinking, judgement and memory</b:BookTitle>
    <b:Pages>79-96</b:Pages>
    <b:RefOrder>13</b:RefOrder>
  </b:Source>
  <b:Source>
    <b:Tag>Col212</b:Tag>
    <b:SourceType>InternetSite</b:SourceType>
    <b:Guid>{D22702E6-4792-4DD2-8432-E406AA5E1844}</b:Guid>
    <b:Title>Investigation - Investigative Strategies</b:Title>
    <b:Year>2021</b:Year>
    <b:Author>
      <b:Author>
        <b:Corporate>College of Policing</b:Corporate>
      </b:Author>
    </b:Author>
    <b:YearAccessed>2021</b:YearAccessed>
    <b:MonthAccessed>November</b:MonthAccessed>
    <b:DayAccessed>21</b:DayAccessed>
    <b:URL>https://www.app.college.police.uk/app-content/investigations/investigative-strategies/</b:URL>
    <b:RefOrder>14</b:RefOrder>
  </b:Source>
  <b:Source>
    <b:Tag>Col191</b:Tag>
    <b:SourceType>InternetSite</b:SourceType>
    <b:Guid>{F6C4B336-190C-4214-8435-208DC1C9BC04}</b:Guid>
    <b:Author>
      <b:Author>
        <b:Corporate>College of Policing</b:Corporate>
      </b:Author>
    </b:Author>
    <b:Title>Intelligence management - Intelligence report</b:Title>
    <b:Year>2019</b:Year>
    <b:YearAccessed>2021</b:YearAccessed>
    <b:MonthAccessed>November</b:MonthAccessed>
    <b:DayAccessed>22</b:DayAccessed>
    <b:URL>https://www.app.college.police.uk/app-content/intelligence-management/intelligence-report/</b:URL>
    <b:RefOrder>15</b:RefOrder>
  </b:Source>
  <b:Source>
    <b:Tag>Col15</b:Tag>
    <b:SourceType>InternetSite</b:SourceType>
    <b:Guid>{E3D29E1F-EEF8-46DE-A3CF-48DF7C5DA747}</b:Guid>
    <b:Author>
      <b:Author>
        <b:Corporate>College of Policing</b:Corporate>
      </b:Author>
    </b:Author>
    <b:Title>Intelligence management - Intelligence collection, development and dissemination</b:Title>
    <b:Year>2015</b:Year>
    <b:YearAccessed>2021</b:YearAccessed>
    <b:MonthAccessed>November</b:MonthAccessed>
    <b:DayAccessed>22</b:DayAccessed>
    <b:URL>https://www.app.college.police.uk/app-content/intelligence-management/intelligence-cycle/#tasked-information</b:URL>
    <b:RefOrder>16</b:RefOrder>
  </b:Source>
  <b:Source>
    <b:Tag>Col192</b:Tag>
    <b:SourceType>InternetSite</b:SourceType>
    <b:Guid>{F2528348-8DB6-4368-90F3-0A86A16B6485}</b:Guid>
    <b:Author>
      <b:Author>
        <b:Corporate>College of Policing</b:Corporate>
      </b:Author>
    </b:Author>
    <b:Title>Information management - Collection and recording</b:Title>
    <b:Year>2019</b:Year>
    <b:YearAccessed>2021</b:YearAccessed>
    <b:MonthAccessed>November</b:MonthAccessed>
    <b:DayAccessed>22</b:DayAccessed>
    <b:URL>https://www.app.college.police.uk/app-content/information-management/management-of-police-information/collection-and-recording/#routine-collection</b:URL>
    <b:RefOrder>17</b:RefOrder>
  </b:Source>
  <b:Source>
    <b:Tag>Sou15</b:Tag>
    <b:SourceType>DocumentFromInternetSite</b:SourceType>
    <b:Guid>{D11FF0E2-9D7D-4E16-A675-00A027D2AB01}</b:Guid>
    <b:Title>Vulnerable Adult Protection</b:Title>
    <b:Year>2015</b:Year>
    <b:YearAccessed>2021</b:YearAccessed>
    <b:MonthAccessed>November</b:MonthAccessed>
    <b:DayAccessed>22</b:DayAccessed>
    <b:URL>http://swplive.blob.core.windows.net/wordpress-uploads/Procedure80.pdf#:~:text=Where%20consent%20is%20refused%20or%20the%20person%20is,a%20PPN%20cannot%20be%20shared%20with%20partner%20agencies.</b:URL>
    <b:Author>
      <b:Author>
        <b:Corporate>South Wales Police Mission &amp; Vision</b:Corporate>
      </b:Author>
    </b:Author>
    <b:Month>May</b:Month>
    <b:Day>20</b:Day>
    <b:RefOrder>18</b:RefOrder>
  </b:Source>
  <b:Source>
    <b:Tag>Col151</b:Tag>
    <b:SourceType>InternetSite</b:SourceType>
    <b:Guid>{4DCE8D65-9818-4ED3-9380-9037D7E463EE}</b:Guid>
    <b:Title>Intelligence management - Governance</b:Title>
    <b:Year>2015</b:Year>
    <b:YearAccessed>2021</b:YearAccessed>
    <b:MonthAccessed>November</b:MonthAccessed>
    <b:DayAccessed>22</b:DayAccessed>
    <b:URL>https://www.app.college.police.uk/app-content/intelligence-management/governance/#intelligence-requirement</b:URL>
    <b:Author>
      <b:Author>
        <b:Corporate>College of Policing</b:Corporate>
      </b:Author>
    </b:Author>
    <b:RefOrder>19</b:RefOrder>
  </b:Source>
  <b:Source>
    <b:Tag>Col142</b:Tag>
    <b:SourceType>InternetSite</b:SourceType>
    <b:Guid>{50605F22-8A81-4ABC-83A5-0C945714A83D}</b:Guid>
    <b:Author>
      <b:Author>
        <b:Corporate>College of Policing</b:Corporate>
      </b:Author>
    </b:Author>
    <b:Title>National Decision Model</b:Title>
    <b:Year>2014</b:Year>
    <b:YearAccessed>2021</b:YearAccessed>
    <b:MonthAccessed>November</b:MonthAccessed>
    <b:DayAccessed>22</b:DayAccessed>
    <b:URL>https://www.app.college.police.uk/app-content/national-decision-model/the-national-decision-model/</b:URL>
    <b:RefOrder>20</b:RefOrder>
  </b:Source>
  <b:Source>
    <b:Tag>Gue21</b:Tag>
    <b:SourceType>InternetSite</b:SourceType>
    <b:Guid>{F9698C8B-E7E4-4B1C-8278-778FE5B33358}</b:Guid>
    <b:Author>
      <b:Author>
        <b:Corporate>Guernsey Police</b:Corporate>
      </b:Author>
    </b:Author>
    <b:Title>Public Protection Unit</b:Title>
    <b:Year>2021</b:Year>
    <b:YearAccessed>2021</b:YearAccessed>
    <b:MonthAccessed>November</b:MonthAccessed>
    <b:DayAccessed>22</b:DayAccessed>
    <b:URL>https://guernsey.police.uk/PPU#:~:text=The%20Public%20Protection%20Unit%20takes%20the%20lead%20from,sex%20offences%20and%20the%20protection%20of%20vulnerable%20adults.</b:URL>
    <b:RefOrder>21</b:RefOrder>
  </b:Source>
  <b:Source>
    <b:Tag>Uni85</b:Tag>
    <b:SourceType>ConferenceProceedings</b:SourceType>
    <b:Guid>{61E38F79-D4F3-4D3B-9F50-985D46AEE1D0}</b:Guid>
    <b:Title> Declaration of Basic Principles of Justice for Victims of Crime and Abuse of Power</b:Title>
    <b:Year>1985</b:Year>
    <b:Author>
      <b:Author>
        <b:Corporate>United Nations</b:Corporate>
      </b:Author>
    </b:Author>
    <b:Publisher>United Nations</b:Publisher>
    <b:RefOrder>22</b:RefOrder>
  </b:Source>
  <b:Source>
    <b:Tag>Far17</b:Tag>
    <b:SourceType>BookSection</b:SourceType>
    <b:Guid>{C471C5F0-FD43-4998-A04F-1DE675F1437B}</b:Guid>
    <b:Title>Prevening repeat and near repeat crime concentrations</b:Title>
    <b:Year>2017</b:Year>
    <b:Author>
      <b:Author>
        <b:NameList>
          <b:Person>
            <b:Last>Farrell</b:Last>
            <b:First>Graham</b:First>
          </b:Person>
          <b:Person>
            <b:Last>Pease</b:Last>
            <b:First>Ken</b:First>
          </b:Person>
        </b:NameList>
      </b:Author>
      <b:Editor>
        <b:NameList>
          <b:Person>
            <b:Last>Tilley</b:Last>
            <b:First>N</b:First>
          </b:Person>
          <b:Person>
            <b:Last>Sidebottom</b:Last>
            <b:First>A</b:First>
          </b:Person>
        </b:NameList>
      </b:Editor>
    </b:Author>
    <b:Publisher>Routledge</b:Publisher>
    <b:Edition>2nd</b:Edition>
    <b:BookTitle>The Handbook of Crime Prevention and Community Safety</b:BookTitle>
    <b:RefOrder>23</b:RefOrder>
  </b:Source>
  <b:Source>
    <b:Tag>Har18</b:Tag>
    <b:SourceType>InternetSite</b:SourceType>
    <b:Guid>{89B50D76-B51A-4642-BC34-4602F6754F94}</b:Guid>
    <b:Title>What is Trauma Bonding? Is It Keeping You In a Bad Relationship?</b:Title>
    <b:Year>2018</b:Year>
    <b:YearAccessed>2021</b:YearAccessed>
    <b:MonthAccessed>November</b:MonthAccessed>
    <b:DayAccessed>22</b:DayAccessed>
    <b:URL>https://www.harleytherapy.co.uk/counselling/what-is-trauma-bonding.htm</b:URL>
    <b:Author>
      <b:Author>
        <b:Corporate>Harley Therapy</b:Corporate>
      </b:Author>
    </b:Author>
    <b:RefOrder>24</b:RefOrder>
  </b:Source>
  <b:Source>
    <b:Tag>For19</b:Tag>
    <b:SourceType>DocumentFromInternetSite</b:SourceType>
    <b:Guid>{3DF7419E-B2B7-47B1-A087-EB8737ABB368}</b:Guid>
    <b:Title>Understanding the prevalence of adverse childhood experiences (ACEs) in a male offender population in Wales: The Prisoner ACE Survey</b:Title>
    <b:Year>2019</b:Year>
    <b:Publisher>Bangor University</b:Publisher>
    <b:Author>
      <b:Author>
        <b:NameList>
          <b:Person>
            <b:Last>Ford</b:Last>
            <b:First>Kat</b:First>
          </b:Person>
          <b:Person>
            <b:Last>Barton</b:Last>
            <b:Middle>R</b:Middle>
            <b:First>Emma</b:First>
          </b:Person>
          <b:Person>
            <b:Last>Newbury</b:Last>
            <b:First>Annemarie</b:First>
          </b:Person>
          <b:Person>
            <b:Last>Hughes</b:Last>
            <b:First>Karen</b:First>
          </b:Person>
          <b:Person>
            <b:Last>Bezeczky</b:Last>
            <b:First>Zoe</b:First>
          </b:Person>
          <b:Person>
            <b:Last>Roderick</b:Last>
            <b:First>Janine</b:First>
          </b:Person>
          <b:Person>
            <b:Last>Bellis</b:Last>
            <b:Middle>A</b:Middle>
            <b:First>Mark</b:First>
          </b:Person>
        </b:NameList>
      </b:Author>
    </b:Author>
    <b:YearAccessed>2021</b:YearAccessed>
    <b:MonthAccessed>November</b:MonthAccessed>
    <b:DayAccessed>22</b:DayAccessed>
    <b:URL>https://phw.nhs.wales/files/aces/the-prisoner-ace-survey/</b:URL>
    <b:RefOrder>25</b:RefOrder>
  </b:Source>
  <b:Source>
    <b:Tag>DiL19</b:Tag>
    <b:SourceType>DocumentFromInternetSite</b:SourceType>
    <b:Guid>{8BC4BF74-ADA2-405D-9083-E7F901F5B38C}</b:Guid>
    <b:Title>Responding to Adverse Childhood Experiences: An evidence review of interventions to prevent and address adversity across the life course</b:Title>
    <b:Year>2019</b:Year>
    <b:YearAccessed>2021</b:YearAccessed>
    <b:MonthAccessed>November</b:MonthAccessed>
    <b:DayAccessed>22</b:DayAccessed>
    <b:URL>http://www.wales.nhs.uk/sitesplus/documents/888/RespondingToACEs_PHW2019_english%20%28002%29.pdf#:~:text=ACEs%20are%20common%2C%20with%20approximately%2050%25%20of%20the,reporting%20four%20or%20more%20%28Hughes%20et%20al.%2C%202018%29.</b:URL>
    <b:Author>
      <b:Author>
        <b:NameList>
          <b:Person>
            <b:Last>Di Lemma</b:Last>
            <b:Middle>C.G</b:Middle>
            <b:First>Lisa</b:First>
          </b:Person>
          <b:Person>
            <b:Last>Davies</b:Last>
            <b:Middle>R</b:Middle>
            <b:First>Alisha</b:First>
          </b:Person>
          <b:Person>
            <b:Last>Ford</b:Last>
            <b:First>Kat</b:First>
          </b:Person>
          <b:Person>
            <b:Last>Hughes</b:Last>
            <b:First>Karen</b:First>
          </b:Person>
          <b:Person>
            <b:Last>Homolova</b:Last>
            <b:First>Lucia</b:First>
          </b:Person>
          <b:Person>
            <b:Last>Gray</b:Last>
            <b:First>Benjamin</b:First>
          </b:Person>
          <b:Person>
            <b:Last>Richardson</b:Last>
            <b:First>Gillian</b:First>
          </b:Person>
        </b:NameList>
      </b:Author>
    </b:Author>
    <b:RefOrder>26</b:RefOrder>
  </b:Source>
  <b:Source>
    <b:Tag>Ham18</b:Tag>
    <b:SourceType>InternetSite</b:SourceType>
    <b:Guid>{E2A47AF4-73D8-47B9-A10B-10D6961817AA}</b:Guid>
    <b:Title>How organised crime affects the most vulnerable communities</b:Title>
    <b:Year>2018</b:Year>
    <b:YearAccessed>2021</b:YearAccessed>
    <b:MonthAccessed>November</b:MonthAccessed>
    <b:DayAccessed>22</b:DayAccessed>
    <b:URL>https://theconversation.com/how-organised-crime-affects-the-most-vulnerable-communities-98262#:~:text=In%20fact%2C%20our%20study%20found%20that%20organised%20crime,are%20all%20vulnerabilities%20to%20be%20milked%20for%20profit.</b:URL>
    <b:Author>
      <b:Author>
        <b:NameList>
          <b:Person>
            <b:Last>Hamilton-Smith</b:Last>
            <b:First>Niall</b:First>
          </b:Person>
        </b:NameList>
      </b:Author>
    </b:Author>
    <b:RefOrder>27</b:RefOrder>
  </b:Source>
  <b:Source>
    <b:Tag>Nat20</b:Tag>
    <b:SourceType>DocumentFromInternetSite</b:SourceType>
    <b:Guid>{8EA2C0F4-670E-467E-8256-39A9EE41F37A}</b:Guid>
    <b:Title>Policing Vision 2025</b:Title>
    <b:Year>2020</b:Year>
    <b:YearAccessed>2021</b:YearAccessed>
    <b:MonthAccessed>November</b:MonthAccessed>
    <b:DayAccessed>22</b:DayAccessed>
    <b:URL>https://www.npcc.police.uk/documents/Policing%20Vision.pdf</b:URL>
    <b:Author>
      <b:Author>
        <b:Corporate>National Police Chiefs' Council</b:Corporate>
      </b:Author>
    </b:Author>
    <b:RefOrder>28</b:RefOrder>
  </b:Source>
  <b:Source>
    <b:Tag>Col213</b:Tag>
    <b:SourceType>InternetSite</b:SourceType>
    <b:Guid>{ADE98833-B72E-4792-849B-592DA63784EE}</b:Guid>
    <b:Title>What is evidence-based policing?</b:Title>
    <b:Year>2021</b:Year>
    <b:YearAccessed>2021</b:YearAccessed>
    <b:MonthAccessed>November</b:MonthAccessed>
    <b:DayAccessed>22</b:DayAccessed>
    <b:URL>https://whatworks.college.police.uk/About/Pages/What-is-EBP.aspx#:~:text=The%20College%20of%20Policing%20has%20developed%20the%20following,to%20inform%20and%20challenge%20policies%2C%20practices%20and%20decisions.</b:URL>
    <b:Author>
      <b:Author>
        <b:Corporate>College of Policing</b:Corporate>
      </b:Author>
    </b:Author>
    <b:RefOrder>29</b:RefOrder>
  </b:Source>
  <b:Source>
    <b:Tag>She98</b:Tag>
    <b:SourceType>Book</b:SourceType>
    <b:Guid>{BF18C023-B69B-4D1E-B9C9-FF3D11E2DFEB}</b:Guid>
    <b:Title> Evidence-Based Policing. Ideas in American Policing Series.</b:Title>
    <b:Year>1998</b:Year>
    <b:City>Washington DC</b:City>
    <b:Publisher>Police Foundation</b:Publisher>
    <b:Author>
      <b:Author>
        <b:NameList>
          <b:Person>
            <b:Last>Sherman</b:Last>
            <b:First>Lawrence</b:First>
          </b:Person>
        </b:NameList>
      </b:Author>
    </b:Author>
    <b:RefOrder>30</b:RefOrder>
  </b:Source>
  <b:Source>
    <b:Tag>Saf21</b:Tag>
    <b:SourceType>DocumentFromInternetSite</b:SourceType>
    <b:Guid>{98986917-FB37-47D8-A3D1-159B90C5C46D}</b:Guid>
    <b:Author>
      <b:Author>
        <b:Corporate>Safer Streets Fund </b:Corporate>
      </b:Author>
    </b:Author>
    <b:Title>Crime prevention toolkit </b:Title>
    <b:Year>2021</b:Year>
    <b:YearAccessed>2021</b:YearAccessed>
    <b:MonthAccessed>November</b:MonthAccessed>
    <b:DayAccessed>22</b:DayAccessed>
    <b:URL>https://whatworks.college.police.uk/Research/Documents/Safer_Streets_toolkit.pdf</b:URL>
    <b:RefOrder>31</b:RefOrder>
  </b:Source>
  <b:Source>
    <b:Tag>Nat16</b:Tag>
    <b:SourceType>InternetSite</b:SourceType>
    <b:Guid>{6859D38D-D67B-4CED-9F8E-BF5745B8FB0C}</b:Guid>
    <b:Title>Five Things About Deterrence</b:Title>
    <b:Year>2016</b:Year>
    <b:Author>
      <b:Author>
        <b:Corporate>National Institute of Justice</b:Corporate>
      </b:Author>
    </b:Author>
    <b:YearAccessed>2021</b:YearAccessed>
    <b:MonthAccessed>November</b:MonthAccessed>
    <b:DayAccessed>22</b:DayAccessed>
    <b:URL>https://nij.ojp.gov/topics/articles/five-things-about-deterrence#one</b:URL>
    <b:RefOrder>32</b:RefOrder>
  </b:Source>
  <b:Source>
    <b:Tag>Fri09</b:Tag>
    <b:SourceType>JournalArticle</b:SourceType>
    <b:Guid>{0C33E26D-055C-49AE-81E4-4DCE60037110}</b:Guid>
    <b:Title>Certainty of Punishment versus Severity of Punishment: An Experimental Investigation</b:Title>
    <b:Year>2009</b:Year>
    <b:Publisher>The University of Queensland, Australia</b:Publisher>
    <b:Author>
      <b:Author>
        <b:NameList>
          <b:Person>
            <b:Last>Friesen</b:Last>
            <b:First>Lana</b:First>
          </b:Person>
        </b:NameList>
      </b:Author>
    </b:Author>
    <b:JournalName>School of Economics Discussion Paper</b:JournalName>
    <b:Issue>400</b:Issue>
    <b:Month>October</b:Month>
    <b:YearAccessed>2021</b:YearAccessed>
    <b:MonthAccessed>November</b:MonthAccessed>
    <b:DayAccessed>22</b:DayAccessed>
    <b:URL>https://uq.edu.au/economics/abstract/400.pdf</b:URL>
    <b:RefOrder>33</b:RefOrder>
  </b:Source>
  <b:Source>
    <b:Tag>Rus13</b:Tag>
    <b:SourceType>InternetSite</b:SourceType>
    <b:Guid>{2EF02E01-2962-4A73-8460-83A5339B6311}</b:Guid>
    <b:Author>
      <b:Author>
        <b:Corporate>Russell Webster</b:Corporate>
      </b:Author>
    </b:Author>
    <b:Title>Re-Offending On Release From Prison</b:Title>
    <b:Year>2013</b:Year>
    <b:YearAccessed>2021</b:YearAccessed>
    <b:MonthAccessed>November</b:MonthAccessed>
    <b:DayAccessed>22</b:DayAccessed>
    <b:URL>https://www.russellwebster.com/factors-associated-with-re-offending/</b:URL>
    <b:RefOrder>34</b:RefOrder>
  </b:Source>
  <b:Source>
    <b:Tag>Ame21</b:Tag>
    <b:SourceType>InternetSite</b:SourceType>
    <b:Guid>{85C35298-9CCC-49CA-9B6F-006A58817FA1}</b:Guid>
    <b:Title>The Link Between Violence and Alcohol Use</b:Title>
    <b:Year>2021</b:Year>
    <b:YearAccessed>2021</b:YearAccessed>
    <b:MonthAccessed>November</b:MonthAccessed>
    <b:DayAccessed>22</b:DayAccessed>
    <b:URL>https://www.alcohol.org/effects/drinking-and-fighting/#:~:text=Research%20has%20shown%20a%20reciprocal%20relationship%20between%20excessive,drinks%2C%20the%20more%20severe%20violence%20may%20become.%202</b:URL>
    <b:Author>
      <b:Author>
        <b:Corporate>American Addiction Centers</b:Corporate>
      </b:Author>
    </b:Author>
    <b:RefOrder>35</b:RefOrder>
  </b:Source>
  <b:Source>
    <b:Tag>LEA16</b:Tag>
    <b:SourceType>InternetSite</b:SourceType>
    <b:Guid>{9913B55A-0193-4E74-B5CE-32693F4DD74F}</b:Guid>
    <b:Author>
      <b:Author>
        <b:Corporate>LEAP UK</b:Corporate>
      </b:Author>
    </b:Author>
    <b:Title>Heroin Addiction in the United Kingdom</b:Title>
    <b:Year>2016</b:Year>
    <b:YearAccessed>2021</b:YearAccessed>
    <b:MonthAccessed>November</b:MonthAccessed>
    <b:DayAccessed>22</b:DayAccessed>
    <b:URL>http://ukleap.org/heroin-addiction-in-the-united-kingdom/</b:URL>
    <b:RefOrder>36</b:RefOrder>
  </b:Source>
  <b:Source>
    <b:Tag>McG15</b:Tag>
    <b:SourceType>Report</b:SourceType>
    <b:Guid>{73F5115F-6AC5-4DB3-92B6-AAE147154C07}</b:Guid>
    <b:Title>What works in reducing reoffending in young adults? A Rapid Evidence Assessment</b:Title>
    <b:Year>2015</b:Year>
    <b:Publisher>National Offender Management Service</b:Publisher>
    <b:Author>
      <b:Author>
        <b:NameList>
          <b:Person>
            <b:Last>McGuire</b:Last>
            <b:First>James</b:First>
          </b:Person>
        </b:NameList>
      </b:Author>
    </b:Author>
    <b:RefOrder>37</b:RefOrder>
  </b:Source>
</b:Sources>
</file>

<file path=customXml/itemProps1.xml><?xml version="1.0" encoding="utf-8"?>
<ds:datastoreItem xmlns:ds="http://schemas.openxmlformats.org/officeDocument/2006/customXml" ds:itemID="{BE17FA08-C07D-4B11-8264-455357EF42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1521</TotalTime>
  <Pages>22</Pages>
  <Words>7670</Words>
  <Characters>43721</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Coxell, George</dc:creator>
  <cp:keywords/>
  <dc:description/>
  <cp:lastModifiedBy>Coxell, George</cp:lastModifiedBy>
  <cp:revision>130</cp:revision>
  <dcterms:created xsi:type="dcterms:W3CDTF">2021-11-17T17:20:00Z</dcterms:created>
  <dcterms:modified xsi:type="dcterms:W3CDTF">2021-11-22T23:39:00Z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2021-11-17T17:25:49Z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c04f64df-0ee8-45b2-ae28-05afa810c6d9</vt:lpwstr>
  </property>
  <property fmtid="{D5CDD505-2E9C-101B-9397-08002B2CF9AE}" pid="8" name="MSIP_Label_f2acd28b-79a3-4a0f-b0ff-4b75658b1549_ContentBits">
    <vt:lpwstr>0</vt:lpwstr>
  </property>
</Properties>
</file>