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08722566"/>
        <w:docPartObj>
          <w:docPartGallery w:val="Cover Pages"/>
          <w:docPartUnique/>
        </w:docPartObj>
      </w:sdtPr>
      <w:sdtEndPr>
        <w:rPr>
          <w:rFonts w:cs="Times New Roman"/>
          <w:szCs w:val="24"/>
        </w:rPr>
      </w:sdtEndPr>
      <w:sdtContent>
        <w:p w:rsidR="004D3CE8" w:rsidRDefault="004D3CE8"/>
        <w:p w:rsidR="004D3CE8" w:rsidRDefault="004D3CE8" w:rsidP="004D3CE8">
          <w:pPr>
            <w:jc w:val="center"/>
            <w:rPr>
              <w:rFonts w:cs="Times New Roman"/>
              <w:sz w:val="28"/>
              <w:szCs w:val="28"/>
            </w:rPr>
          </w:pPr>
        </w:p>
        <w:p w:rsidR="004D3CE8" w:rsidRDefault="004D3CE8" w:rsidP="004D3CE8">
          <w:pPr>
            <w:jc w:val="center"/>
            <w:rPr>
              <w:rFonts w:cs="Times New Roman"/>
              <w:sz w:val="28"/>
              <w:szCs w:val="28"/>
            </w:rPr>
          </w:pPr>
        </w:p>
        <w:p w:rsidR="004D3CE8" w:rsidRDefault="004D3CE8" w:rsidP="004D3CE8">
          <w:pPr>
            <w:jc w:val="center"/>
            <w:rPr>
              <w:rFonts w:cs="Times New Roman"/>
              <w:sz w:val="28"/>
              <w:szCs w:val="28"/>
            </w:rPr>
          </w:pPr>
        </w:p>
        <w:p w:rsidR="004D3CE8" w:rsidRDefault="004D3CE8" w:rsidP="004D3CE8">
          <w:pPr>
            <w:jc w:val="center"/>
            <w:rPr>
              <w:rFonts w:cs="Times New Roman"/>
              <w:sz w:val="28"/>
              <w:szCs w:val="28"/>
            </w:rPr>
          </w:pPr>
        </w:p>
        <w:p w:rsidR="004D3CE8" w:rsidRDefault="004D3CE8" w:rsidP="004D3CE8">
          <w:pPr>
            <w:jc w:val="center"/>
            <w:rPr>
              <w:rFonts w:cs="Times New Roman"/>
              <w:sz w:val="28"/>
              <w:szCs w:val="28"/>
            </w:rPr>
          </w:pPr>
        </w:p>
        <w:p w:rsidR="004D3CE8" w:rsidRDefault="004D3CE8" w:rsidP="004D3CE8">
          <w:pPr>
            <w:jc w:val="center"/>
            <w:rPr>
              <w:rFonts w:cs="Times New Roman"/>
              <w:sz w:val="28"/>
              <w:szCs w:val="28"/>
            </w:rPr>
          </w:pPr>
        </w:p>
        <w:p w:rsidR="004D3CE8" w:rsidRDefault="004D3CE8" w:rsidP="004D3CE8">
          <w:pPr>
            <w:jc w:val="center"/>
            <w:rPr>
              <w:rFonts w:cs="Times New Roman"/>
              <w:sz w:val="28"/>
              <w:szCs w:val="28"/>
            </w:rPr>
          </w:pPr>
        </w:p>
        <w:p w:rsidR="004D3CE8" w:rsidRPr="004D3CE8" w:rsidRDefault="0070584E" w:rsidP="004D3CE8">
          <w:pPr>
            <w:jc w:val="center"/>
            <w:rPr>
              <w:rFonts w:cs="Times New Roman"/>
              <w:b/>
              <w:sz w:val="28"/>
              <w:szCs w:val="28"/>
            </w:rPr>
          </w:pPr>
          <w:r w:rsidRPr="004D3CE8">
            <w:rPr>
              <w:rFonts w:cs="Times New Roman"/>
              <w:b/>
              <w:sz w:val="28"/>
              <w:szCs w:val="28"/>
            </w:rPr>
            <w:t>Employee relationship</w:t>
          </w:r>
        </w:p>
        <w:p w:rsidR="004D3CE8" w:rsidRPr="004D3CE8" w:rsidRDefault="0070584E" w:rsidP="004D3CE8">
          <w:pPr>
            <w:jc w:val="center"/>
            <w:rPr>
              <w:rFonts w:cs="Times New Roman"/>
              <w:b/>
              <w:sz w:val="28"/>
              <w:szCs w:val="28"/>
            </w:rPr>
          </w:pPr>
          <w:r w:rsidRPr="004D3CE8">
            <w:rPr>
              <w:rFonts w:cs="Times New Roman"/>
              <w:b/>
              <w:sz w:val="28"/>
              <w:szCs w:val="28"/>
            </w:rPr>
            <w:t>Companies: SASA &amp; innisfree</w:t>
          </w:r>
        </w:p>
        <w:p w:rsidR="004D3CE8" w:rsidRPr="004D3CE8" w:rsidRDefault="004D3CE8" w:rsidP="004D3CE8">
          <w:pPr>
            <w:jc w:val="center"/>
            <w:rPr>
              <w:rFonts w:cs="Times New Roman"/>
              <w:b/>
              <w:sz w:val="28"/>
              <w:szCs w:val="28"/>
            </w:rPr>
          </w:pPr>
        </w:p>
        <w:p w:rsidR="004D3CE8" w:rsidRDefault="0070584E" w:rsidP="004D3CE8">
          <w:pPr>
            <w:jc w:val="center"/>
            <w:rPr>
              <w:rFonts w:cs="Times New Roman"/>
              <w:szCs w:val="24"/>
            </w:rPr>
          </w:pPr>
          <w:r>
            <w:rPr>
              <w:rFonts w:cs="Times New Roman"/>
              <w:szCs w:val="24"/>
            </w:rPr>
            <w:br w:type="page"/>
          </w:r>
        </w:p>
      </w:sdtContent>
    </w:sdt>
    <w:sdt>
      <w:sdtPr>
        <w:rPr>
          <w:rFonts w:ascii="Times New Roman" w:eastAsiaTheme="minorHAnsi" w:hAnsi="Times New Roman" w:cstheme="minorBidi"/>
          <w:color w:val="auto"/>
          <w:sz w:val="24"/>
          <w:szCs w:val="22"/>
        </w:rPr>
        <w:id w:val="-689367185"/>
        <w:docPartObj>
          <w:docPartGallery w:val="Table of Contents"/>
          <w:docPartUnique/>
        </w:docPartObj>
      </w:sdtPr>
      <w:sdtEndPr>
        <w:rPr>
          <w:rFonts w:eastAsiaTheme="minorEastAsia"/>
          <w:b/>
          <w:bCs/>
          <w:noProof/>
        </w:rPr>
      </w:sdtEndPr>
      <w:sdtContent>
        <w:p w:rsidR="00E5691E" w:rsidRPr="00E5691E" w:rsidRDefault="00E5691E" w:rsidP="00E5691E">
          <w:pPr>
            <w:pStyle w:val="ac"/>
            <w:spacing w:line="480" w:lineRule="auto"/>
            <w:rPr>
              <w:rFonts w:ascii="Times New Roman" w:hAnsi="Times New Roman" w:cs="Times New Roman"/>
              <w:b/>
              <w:color w:val="auto"/>
              <w:sz w:val="24"/>
              <w:szCs w:val="24"/>
            </w:rPr>
          </w:pPr>
          <w:r w:rsidRPr="00E5691E">
            <w:rPr>
              <w:rFonts w:ascii="Times New Roman" w:hAnsi="Times New Roman" w:cs="Times New Roman"/>
              <w:b/>
              <w:color w:val="auto"/>
              <w:sz w:val="24"/>
              <w:szCs w:val="24"/>
            </w:rPr>
            <w:t>Table of Contents</w:t>
          </w:r>
        </w:p>
        <w:p w:rsidR="00E5691E" w:rsidRPr="00E5691E" w:rsidRDefault="00E5691E" w:rsidP="00E5691E">
          <w:pPr>
            <w:pStyle w:val="11"/>
            <w:tabs>
              <w:tab w:val="right" w:leader="dot" w:pos="9350"/>
            </w:tabs>
            <w:spacing w:line="480" w:lineRule="auto"/>
            <w:rPr>
              <w:rFonts w:cs="Times New Roman"/>
              <w:noProof/>
              <w:szCs w:val="24"/>
            </w:rPr>
          </w:pPr>
          <w:r w:rsidRPr="00E5691E">
            <w:rPr>
              <w:rFonts w:cs="Times New Roman"/>
              <w:szCs w:val="24"/>
            </w:rPr>
            <w:fldChar w:fldCharType="begin"/>
          </w:r>
          <w:r w:rsidRPr="00E5691E">
            <w:rPr>
              <w:rFonts w:cs="Times New Roman"/>
              <w:szCs w:val="24"/>
            </w:rPr>
            <w:instrText xml:space="preserve"> TOC \o "1-3" \h \z \u </w:instrText>
          </w:r>
          <w:r w:rsidRPr="00E5691E">
            <w:rPr>
              <w:rFonts w:cs="Times New Roman"/>
              <w:szCs w:val="24"/>
            </w:rPr>
            <w:fldChar w:fldCharType="separate"/>
          </w:r>
          <w:hyperlink w:anchor="_Toc120384744" w:history="1">
            <w:r w:rsidRPr="00E5691E">
              <w:rPr>
                <w:rStyle w:val="a4"/>
                <w:rFonts w:cs="Times New Roman"/>
                <w:noProof/>
                <w:color w:val="auto"/>
                <w:szCs w:val="24"/>
              </w:rPr>
              <w:t>Introduction</w:t>
            </w:r>
            <w:r w:rsidRPr="00E5691E">
              <w:rPr>
                <w:rFonts w:cs="Times New Roman"/>
                <w:noProof/>
                <w:webHidden/>
                <w:szCs w:val="24"/>
              </w:rPr>
              <w:tab/>
            </w:r>
            <w:r w:rsidRPr="00E5691E">
              <w:rPr>
                <w:rFonts w:cs="Times New Roman"/>
                <w:noProof/>
                <w:webHidden/>
                <w:szCs w:val="24"/>
              </w:rPr>
              <w:fldChar w:fldCharType="begin"/>
            </w:r>
            <w:r w:rsidRPr="00E5691E">
              <w:rPr>
                <w:rFonts w:cs="Times New Roman"/>
                <w:noProof/>
                <w:webHidden/>
                <w:szCs w:val="24"/>
              </w:rPr>
              <w:instrText xml:space="preserve"> PAGEREF _Toc120384744 \h </w:instrText>
            </w:r>
            <w:r w:rsidRPr="00E5691E">
              <w:rPr>
                <w:rFonts w:cs="Times New Roman"/>
                <w:noProof/>
                <w:webHidden/>
                <w:szCs w:val="24"/>
              </w:rPr>
            </w:r>
            <w:r w:rsidRPr="00E5691E">
              <w:rPr>
                <w:rFonts w:cs="Times New Roman"/>
                <w:noProof/>
                <w:webHidden/>
                <w:szCs w:val="24"/>
              </w:rPr>
              <w:fldChar w:fldCharType="separate"/>
            </w:r>
            <w:r w:rsidR="00F334C8">
              <w:rPr>
                <w:rFonts w:cs="Times New Roman"/>
                <w:noProof/>
                <w:webHidden/>
                <w:szCs w:val="24"/>
              </w:rPr>
              <w:t>2</w:t>
            </w:r>
            <w:r w:rsidRPr="00E5691E">
              <w:rPr>
                <w:rFonts w:cs="Times New Roman"/>
                <w:noProof/>
                <w:webHidden/>
                <w:szCs w:val="24"/>
              </w:rPr>
              <w:fldChar w:fldCharType="end"/>
            </w:r>
          </w:hyperlink>
        </w:p>
        <w:p w:rsidR="00E5691E" w:rsidRPr="00E5691E" w:rsidRDefault="006859E4" w:rsidP="00E5691E">
          <w:pPr>
            <w:pStyle w:val="11"/>
            <w:tabs>
              <w:tab w:val="right" w:leader="dot" w:pos="9350"/>
            </w:tabs>
            <w:spacing w:line="480" w:lineRule="auto"/>
            <w:rPr>
              <w:rFonts w:cs="Times New Roman"/>
              <w:noProof/>
              <w:szCs w:val="24"/>
            </w:rPr>
          </w:pPr>
          <w:hyperlink w:anchor="_Toc120384745" w:history="1">
            <w:r w:rsidR="00E5691E" w:rsidRPr="00E5691E">
              <w:rPr>
                <w:rStyle w:val="a4"/>
                <w:rFonts w:cs="Times New Roman"/>
                <w:noProof/>
                <w:color w:val="auto"/>
                <w:szCs w:val="24"/>
              </w:rPr>
              <w:t>Background of Sasa and Innisfree</w:t>
            </w:r>
            <w:r w:rsidR="00E5691E" w:rsidRPr="00E5691E">
              <w:rPr>
                <w:rFonts w:cs="Times New Roman"/>
                <w:noProof/>
                <w:webHidden/>
                <w:szCs w:val="24"/>
              </w:rPr>
              <w:tab/>
            </w:r>
            <w:r w:rsidR="00E5691E" w:rsidRPr="00E5691E">
              <w:rPr>
                <w:rFonts w:cs="Times New Roman"/>
                <w:noProof/>
                <w:webHidden/>
                <w:szCs w:val="24"/>
              </w:rPr>
              <w:fldChar w:fldCharType="begin"/>
            </w:r>
            <w:r w:rsidR="00E5691E" w:rsidRPr="00E5691E">
              <w:rPr>
                <w:rFonts w:cs="Times New Roman"/>
                <w:noProof/>
                <w:webHidden/>
                <w:szCs w:val="24"/>
              </w:rPr>
              <w:instrText xml:space="preserve"> PAGEREF _Toc120384745 \h </w:instrText>
            </w:r>
            <w:r w:rsidR="00E5691E" w:rsidRPr="00E5691E">
              <w:rPr>
                <w:rFonts w:cs="Times New Roman"/>
                <w:noProof/>
                <w:webHidden/>
                <w:szCs w:val="24"/>
              </w:rPr>
            </w:r>
            <w:r w:rsidR="00E5691E" w:rsidRPr="00E5691E">
              <w:rPr>
                <w:rFonts w:cs="Times New Roman"/>
                <w:noProof/>
                <w:webHidden/>
                <w:szCs w:val="24"/>
              </w:rPr>
              <w:fldChar w:fldCharType="separate"/>
            </w:r>
            <w:r w:rsidR="00F334C8">
              <w:rPr>
                <w:rFonts w:cs="Times New Roman"/>
                <w:noProof/>
                <w:webHidden/>
                <w:szCs w:val="24"/>
              </w:rPr>
              <w:t>2</w:t>
            </w:r>
            <w:r w:rsidR="00E5691E" w:rsidRPr="00E5691E">
              <w:rPr>
                <w:rFonts w:cs="Times New Roman"/>
                <w:noProof/>
                <w:webHidden/>
                <w:szCs w:val="24"/>
              </w:rPr>
              <w:fldChar w:fldCharType="end"/>
            </w:r>
          </w:hyperlink>
        </w:p>
        <w:p w:rsidR="00E5691E" w:rsidRPr="00E5691E" w:rsidRDefault="006859E4" w:rsidP="00E5691E">
          <w:pPr>
            <w:pStyle w:val="11"/>
            <w:tabs>
              <w:tab w:val="right" w:leader="dot" w:pos="9350"/>
            </w:tabs>
            <w:spacing w:line="480" w:lineRule="auto"/>
            <w:rPr>
              <w:rFonts w:cs="Times New Roman"/>
              <w:noProof/>
              <w:szCs w:val="24"/>
            </w:rPr>
          </w:pPr>
          <w:hyperlink w:anchor="_Toc120384746" w:history="1">
            <w:r w:rsidR="00E5691E" w:rsidRPr="00E5691E">
              <w:rPr>
                <w:rStyle w:val="a4"/>
                <w:rFonts w:cs="Times New Roman"/>
                <w:noProof/>
                <w:color w:val="auto"/>
                <w:szCs w:val="24"/>
              </w:rPr>
              <w:t>Analysis of countries with Hofstede for Hong Kong, Korea and China</w:t>
            </w:r>
            <w:r w:rsidR="00E5691E" w:rsidRPr="00E5691E">
              <w:rPr>
                <w:rFonts w:cs="Times New Roman"/>
                <w:noProof/>
                <w:webHidden/>
                <w:szCs w:val="24"/>
              </w:rPr>
              <w:tab/>
            </w:r>
            <w:r w:rsidR="00E5691E" w:rsidRPr="00E5691E">
              <w:rPr>
                <w:rFonts w:cs="Times New Roman"/>
                <w:noProof/>
                <w:webHidden/>
                <w:szCs w:val="24"/>
              </w:rPr>
              <w:fldChar w:fldCharType="begin"/>
            </w:r>
            <w:r w:rsidR="00E5691E" w:rsidRPr="00E5691E">
              <w:rPr>
                <w:rFonts w:cs="Times New Roman"/>
                <w:noProof/>
                <w:webHidden/>
                <w:szCs w:val="24"/>
              </w:rPr>
              <w:instrText xml:space="preserve"> PAGEREF _Toc120384746 \h </w:instrText>
            </w:r>
            <w:r w:rsidR="00E5691E" w:rsidRPr="00E5691E">
              <w:rPr>
                <w:rFonts w:cs="Times New Roman"/>
                <w:noProof/>
                <w:webHidden/>
                <w:szCs w:val="24"/>
              </w:rPr>
            </w:r>
            <w:r w:rsidR="00E5691E" w:rsidRPr="00E5691E">
              <w:rPr>
                <w:rFonts w:cs="Times New Roman"/>
                <w:noProof/>
                <w:webHidden/>
                <w:szCs w:val="24"/>
              </w:rPr>
              <w:fldChar w:fldCharType="separate"/>
            </w:r>
            <w:r w:rsidR="00F334C8">
              <w:rPr>
                <w:rFonts w:cs="Times New Roman"/>
                <w:noProof/>
                <w:webHidden/>
                <w:szCs w:val="24"/>
              </w:rPr>
              <w:t>3</w:t>
            </w:r>
            <w:r w:rsidR="00E5691E" w:rsidRPr="00E5691E">
              <w:rPr>
                <w:rFonts w:cs="Times New Roman"/>
                <w:noProof/>
                <w:webHidden/>
                <w:szCs w:val="24"/>
              </w:rPr>
              <w:fldChar w:fldCharType="end"/>
            </w:r>
          </w:hyperlink>
        </w:p>
        <w:p w:rsidR="00E5691E" w:rsidRPr="00E5691E" w:rsidRDefault="006859E4" w:rsidP="00E5691E">
          <w:pPr>
            <w:pStyle w:val="11"/>
            <w:tabs>
              <w:tab w:val="right" w:leader="dot" w:pos="9350"/>
            </w:tabs>
            <w:spacing w:line="480" w:lineRule="auto"/>
            <w:rPr>
              <w:rFonts w:cs="Times New Roman"/>
              <w:noProof/>
              <w:szCs w:val="24"/>
            </w:rPr>
          </w:pPr>
          <w:hyperlink w:anchor="_Toc120384747" w:history="1">
            <w:r w:rsidR="00E5691E" w:rsidRPr="00E5691E">
              <w:rPr>
                <w:rStyle w:val="a4"/>
                <w:rFonts w:cs="Times New Roman"/>
                <w:noProof/>
                <w:color w:val="auto"/>
                <w:szCs w:val="24"/>
              </w:rPr>
              <w:t>Employee relationships, Key challenging issues related to international expansion</w:t>
            </w:r>
            <w:r w:rsidR="00E5691E" w:rsidRPr="00E5691E">
              <w:rPr>
                <w:rFonts w:cs="Times New Roman"/>
                <w:noProof/>
                <w:webHidden/>
                <w:szCs w:val="24"/>
              </w:rPr>
              <w:tab/>
            </w:r>
            <w:r w:rsidR="00E5691E" w:rsidRPr="00E5691E">
              <w:rPr>
                <w:rFonts w:cs="Times New Roman"/>
                <w:noProof/>
                <w:webHidden/>
                <w:szCs w:val="24"/>
              </w:rPr>
              <w:fldChar w:fldCharType="begin"/>
            </w:r>
            <w:r w:rsidR="00E5691E" w:rsidRPr="00E5691E">
              <w:rPr>
                <w:rFonts w:cs="Times New Roman"/>
                <w:noProof/>
                <w:webHidden/>
                <w:szCs w:val="24"/>
              </w:rPr>
              <w:instrText xml:space="preserve"> PAGEREF _Toc120384747 \h </w:instrText>
            </w:r>
            <w:r w:rsidR="00E5691E" w:rsidRPr="00E5691E">
              <w:rPr>
                <w:rFonts w:cs="Times New Roman"/>
                <w:noProof/>
                <w:webHidden/>
                <w:szCs w:val="24"/>
              </w:rPr>
            </w:r>
            <w:r w:rsidR="00E5691E" w:rsidRPr="00E5691E">
              <w:rPr>
                <w:rFonts w:cs="Times New Roman"/>
                <w:noProof/>
                <w:webHidden/>
                <w:szCs w:val="24"/>
              </w:rPr>
              <w:fldChar w:fldCharType="separate"/>
            </w:r>
            <w:r w:rsidR="00F334C8">
              <w:rPr>
                <w:rFonts w:cs="Times New Roman"/>
                <w:noProof/>
                <w:webHidden/>
                <w:szCs w:val="24"/>
              </w:rPr>
              <w:t>4</w:t>
            </w:r>
            <w:r w:rsidR="00E5691E" w:rsidRPr="00E5691E">
              <w:rPr>
                <w:rFonts w:cs="Times New Roman"/>
                <w:noProof/>
                <w:webHidden/>
                <w:szCs w:val="24"/>
              </w:rPr>
              <w:fldChar w:fldCharType="end"/>
            </w:r>
          </w:hyperlink>
        </w:p>
        <w:p w:rsidR="00E5691E" w:rsidRPr="00E5691E" w:rsidRDefault="006859E4" w:rsidP="00E5691E">
          <w:pPr>
            <w:pStyle w:val="11"/>
            <w:tabs>
              <w:tab w:val="right" w:leader="dot" w:pos="9350"/>
            </w:tabs>
            <w:spacing w:line="480" w:lineRule="auto"/>
            <w:rPr>
              <w:rFonts w:cs="Times New Roman"/>
              <w:noProof/>
              <w:szCs w:val="24"/>
            </w:rPr>
          </w:pPr>
          <w:hyperlink w:anchor="_Toc120384748" w:history="1">
            <w:r w:rsidR="00E5691E" w:rsidRPr="00E5691E">
              <w:rPr>
                <w:rStyle w:val="a4"/>
                <w:rFonts w:cs="Times New Roman"/>
                <w:noProof/>
                <w:color w:val="auto"/>
                <w:szCs w:val="24"/>
              </w:rPr>
              <w:t>Analysis of the challenges</w:t>
            </w:r>
            <w:r w:rsidR="00E5691E" w:rsidRPr="00E5691E">
              <w:rPr>
                <w:rFonts w:cs="Times New Roman"/>
                <w:noProof/>
                <w:webHidden/>
                <w:szCs w:val="24"/>
              </w:rPr>
              <w:tab/>
            </w:r>
            <w:r w:rsidR="00E5691E" w:rsidRPr="00E5691E">
              <w:rPr>
                <w:rFonts w:cs="Times New Roman"/>
                <w:noProof/>
                <w:webHidden/>
                <w:szCs w:val="24"/>
              </w:rPr>
              <w:fldChar w:fldCharType="begin"/>
            </w:r>
            <w:r w:rsidR="00E5691E" w:rsidRPr="00E5691E">
              <w:rPr>
                <w:rFonts w:cs="Times New Roman"/>
                <w:noProof/>
                <w:webHidden/>
                <w:szCs w:val="24"/>
              </w:rPr>
              <w:instrText xml:space="preserve"> PAGEREF _Toc120384748 \h </w:instrText>
            </w:r>
            <w:r w:rsidR="00E5691E" w:rsidRPr="00E5691E">
              <w:rPr>
                <w:rFonts w:cs="Times New Roman"/>
                <w:noProof/>
                <w:webHidden/>
                <w:szCs w:val="24"/>
              </w:rPr>
            </w:r>
            <w:r w:rsidR="00E5691E" w:rsidRPr="00E5691E">
              <w:rPr>
                <w:rFonts w:cs="Times New Roman"/>
                <w:noProof/>
                <w:webHidden/>
                <w:szCs w:val="24"/>
              </w:rPr>
              <w:fldChar w:fldCharType="separate"/>
            </w:r>
            <w:r w:rsidR="00F334C8">
              <w:rPr>
                <w:rFonts w:cs="Times New Roman"/>
                <w:noProof/>
                <w:webHidden/>
                <w:szCs w:val="24"/>
              </w:rPr>
              <w:t>6</w:t>
            </w:r>
            <w:r w:rsidR="00E5691E" w:rsidRPr="00E5691E">
              <w:rPr>
                <w:rFonts w:cs="Times New Roman"/>
                <w:noProof/>
                <w:webHidden/>
                <w:szCs w:val="24"/>
              </w:rPr>
              <w:fldChar w:fldCharType="end"/>
            </w:r>
          </w:hyperlink>
        </w:p>
        <w:p w:rsidR="00E5691E" w:rsidRPr="00E5691E" w:rsidRDefault="006859E4" w:rsidP="00E5691E">
          <w:pPr>
            <w:pStyle w:val="11"/>
            <w:tabs>
              <w:tab w:val="right" w:leader="dot" w:pos="9350"/>
            </w:tabs>
            <w:spacing w:line="480" w:lineRule="auto"/>
            <w:rPr>
              <w:rFonts w:cs="Times New Roman"/>
              <w:noProof/>
              <w:szCs w:val="24"/>
            </w:rPr>
          </w:pPr>
          <w:hyperlink w:anchor="_Toc120384749" w:history="1">
            <w:r w:rsidR="00E5691E" w:rsidRPr="00E5691E">
              <w:rPr>
                <w:rStyle w:val="a4"/>
                <w:rFonts w:cs="Times New Roman"/>
                <w:noProof/>
                <w:color w:val="auto"/>
                <w:szCs w:val="24"/>
              </w:rPr>
              <w:t>Challenges between SASA and Innisfree</w:t>
            </w:r>
            <w:r w:rsidR="00E5691E" w:rsidRPr="00E5691E">
              <w:rPr>
                <w:rFonts w:cs="Times New Roman"/>
                <w:noProof/>
                <w:webHidden/>
                <w:szCs w:val="24"/>
              </w:rPr>
              <w:tab/>
            </w:r>
            <w:r w:rsidR="00E5691E" w:rsidRPr="00E5691E">
              <w:rPr>
                <w:rFonts w:cs="Times New Roman"/>
                <w:noProof/>
                <w:webHidden/>
                <w:szCs w:val="24"/>
              </w:rPr>
              <w:fldChar w:fldCharType="begin"/>
            </w:r>
            <w:r w:rsidR="00E5691E" w:rsidRPr="00E5691E">
              <w:rPr>
                <w:rFonts w:cs="Times New Roman"/>
                <w:noProof/>
                <w:webHidden/>
                <w:szCs w:val="24"/>
              </w:rPr>
              <w:instrText xml:space="preserve"> PAGEREF _Toc120384749 \h </w:instrText>
            </w:r>
            <w:r w:rsidR="00E5691E" w:rsidRPr="00E5691E">
              <w:rPr>
                <w:rFonts w:cs="Times New Roman"/>
                <w:noProof/>
                <w:webHidden/>
                <w:szCs w:val="24"/>
              </w:rPr>
            </w:r>
            <w:r w:rsidR="00E5691E" w:rsidRPr="00E5691E">
              <w:rPr>
                <w:rFonts w:cs="Times New Roman"/>
                <w:noProof/>
                <w:webHidden/>
                <w:szCs w:val="24"/>
              </w:rPr>
              <w:fldChar w:fldCharType="separate"/>
            </w:r>
            <w:r w:rsidR="00F334C8">
              <w:rPr>
                <w:rFonts w:cs="Times New Roman"/>
                <w:noProof/>
                <w:webHidden/>
                <w:szCs w:val="24"/>
              </w:rPr>
              <w:t>8</w:t>
            </w:r>
            <w:r w:rsidR="00E5691E" w:rsidRPr="00E5691E">
              <w:rPr>
                <w:rFonts w:cs="Times New Roman"/>
                <w:noProof/>
                <w:webHidden/>
                <w:szCs w:val="24"/>
              </w:rPr>
              <w:fldChar w:fldCharType="end"/>
            </w:r>
          </w:hyperlink>
        </w:p>
        <w:p w:rsidR="00E5691E" w:rsidRPr="00E5691E" w:rsidRDefault="006859E4" w:rsidP="00E5691E">
          <w:pPr>
            <w:pStyle w:val="11"/>
            <w:tabs>
              <w:tab w:val="right" w:leader="dot" w:pos="9350"/>
            </w:tabs>
            <w:spacing w:line="480" w:lineRule="auto"/>
            <w:rPr>
              <w:rFonts w:cs="Times New Roman"/>
              <w:noProof/>
              <w:szCs w:val="24"/>
            </w:rPr>
          </w:pPr>
          <w:hyperlink w:anchor="_Toc120384750" w:history="1">
            <w:r w:rsidR="00E5691E" w:rsidRPr="00E5691E">
              <w:rPr>
                <w:rStyle w:val="a4"/>
                <w:rFonts w:cs="Times New Roman"/>
                <w:noProof/>
                <w:color w:val="auto"/>
                <w:szCs w:val="24"/>
              </w:rPr>
              <w:t>Recommendations for solution</w:t>
            </w:r>
            <w:r w:rsidR="00E5691E" w:rsidRPr="00E5691E">
              <w:rPr>
                <w:rFonts w:cs="Times New Roman"/>
                <w:noProof/>
                <w:webHidden/>
                <w:szCs w:val="24"/>
              </w:rPr>
              <w:tab/>
            </w:r>
            <w:r w:rsidR="00E5691E" w:rsidRPr="00E5691E">
              <w:rPr>
                <w:rFonts w:cs="Times New Roman"/>
                <w:noProof/>
                <w:webHidden/>
                <w:szCs w:val="24"/>
              </w:rPr>
              <w:fldChar w:fldCharType="begin"/>
            </w:r>
            <w:r w:rsidR="00E5691E" w:rsidRPr="00E5691E">
              <w:rPr>
                <w:rFonts w:cs="Times New Roman"/>
                <w:noProof/>
                <w:webHidden/>
                <w:szCs w:val="24"/>
              </w:rPr>
              <w:instrText xml:space="preserve"> PAGEREF _Toc120384750 \h </w:instrText>
            </w:r>
            <w:r w:rsidR="00E5691E" w:rsidRPr="00E5691E">
              <w:rPr>
                <w:rFonts w:cs="Times New Roman"/>
                <w:noProof/>
                <w:webHidden/>
                <w:szCs w:val="24"/>
              </w:rPr>
            </w:r>
            <w:r w:rsidR="00E5691E" w:rsidRPr="00E5691E">
              <w:rPr>
                <w:rFonts w:cs="Times New Roman"/>
                <w:noProof/>
                <w:webHidden/>
                <w:szCs w:val="24"/>
              </w:rPr>
              <w:fldChar w:fldCharType="separate"/>
            </w:r>
            <w:r w:rsidR="00F334C8">
              <w:rPr>
                <w:rFonts w:cs="Times New Roman"/>
                <w:noProof/>
                <w:webHidden/>
                <w:szCs w:val="24"/>
              </w:rPr>
              <w:t>9</w:t>
            </w:r>
            <w:r w:rsidR="00E5691E" w:rsidRPr="00E5691E">
              <w:rPr>
                <w:rFonts w:cs="Times New Roman"/>
                <w:noProof/>
                <w:webHidden/>
                <w:szCs w:val="24"/>
              </w:rPr>
              <w:fldChar w:fldCharType="end"/>
            </w:r>
          </w:hyperlink>
        </w:p>
        <w:p w:rsidR="00E5691E" w:rsidRPr="00E5691E" w:rsidRDefault="006859E4" w:rsidP="00E5691E">
          <w:pPr>
            <w:pStyle w:val="11"/>
            <w:tabs>
              <w:tab w:val="right" w:leader="dot" w:pos="9350"/>
            </w:tabs>
            <w:spacing w:line="480" w:lineRule="auto"/>
            <w:rPr>
              <w:rFonts w:cs="Times New Roman"/>
              <w:noProof/>
              <w:szCs w:val="24"/>
            </w:rPr>
          </w:pPr>
          <w:hyperlink w:anchor="_Toc120384751" w:history="1">
            <w:r w:rsidR="00E5691E" w:rsidRPr="00E5691E">
              <w:rPr>
                <w:rStyle w:val="a4"/>
                <w:rFonts w:cs="Times New Roman"/>
                <w:noProof/>
                <w:color w:val="auto"/>
                <w:szCs w:val="24"/>
              </w:rPr>
              <w:t>Conclusion</w:t>
            </w:r>
            <w:r w:rsidR="00E5691E" w:rsidRPr="00E5691E">
              <w:rPr>
                <w:rFonts w:cs="Times New Roman"/>
                <w:noProof/>
                <w:webHidden/>
                <w:szCs w:val="24"/>
              </w:rPr>
              <w:tab/>
            </w:r>
            <w:r w:rsidR="00E5691E" w:rsidRPr="00E5691E">
              <w:rPr>
                <w:rFonts w:cs="Times New Roman"/>
                <w:noProof/>
                <w:webHidden/>
                <w:szCs w:val="24"/>
              </w:rPr>
              <w:fldChar w:fldCharType="begin"/>
            </w:r>
            <w:r w:rsidR="00E5691E" w:rsidRPr="00E5691E">
              <w:rPr>
                <w:rFonts w:cs="Times New Roman"/>
                <w:noProof/>
                <w:webHidden/>
                <w:szCs w:val="24"/>
              </w:rPr>
              <w:instrText xml:space="preserve"> PAGEREF _Toc120384751 \h </w:instrText>
            </w:r>
            <w:r w:rsidR="00E5691E" w:rsidRPr="00E5691E">
              <w:rPr>
                <w:rFonts w:cs="Times New Roman"/>
                <w:noProof/>
                <w:webHidden/>
                <w:szCs w:val="24"/>
              </w:rPr>
            </w:r>
            <w:r w:rsidR="00E5691E" w:rsidRPr="00E5691E">
              <w:rPr>
                <w:rFonts w:cs="Times New Roman"/>
                <w:noProof/>
                <w:webHidden/>
                <w:szCs w:val="24"/>
              </w:rPr>
              <w:fldChar w:fldCharType="separate"/>
            </w:r>
            <w:r w:rsidR="00F334C8">
              <w:rPr>
                <w:rFonts w:cs="Times New Roman"/>
                <w:noProof/>
                <w:webHidden/>
                <w:szCs w:val="24"/>
              </w:rPr>
              <w:t>11</w:t>
            </w:r>
            <w:r w:rsidR="00E5691E" w:rsidRPr="00E5691E">
              <w:rPr>
                <w:rFonts w:cs="Times New Roman"/>
                <w:noProof/>
                <w:webHidden/>
                <w:szCs w:val="24"/>
              </w:rPr>
              <w:fldChar w:fldCharType="end"/>
            </w:r>
          </w:hyperlink>
        </w:p>
        <w:p w:rsidR="00E5691E" w:rsidRDefault="00E5691E" w:rsidP="00E5691E">
          <w:pPr>
            <w:spacing w:line="480" w:lineRule="auto"/>
          </w:pPr>
          <w:r w:rsidRPr="00E5691E">
            <w:rPr>
              <w:rFonts w:cs="Times New Roman"/>
              <w:b/>
              <w:bCs/>
              <w:noProof/>
              <w:szCs w:val="24"/>
            </w:rPr>
            <w:fldChar w:fldCharType="end"/>
          </w:r>
        </w:p>
      </w:sdtContent>
    </w:sdt>
    <w:p w:rsidR="00E5691E" w:rsidRDefault="00E5691E" w:rsidP="00F065C8">
      <w:pPr>
        <w:pStyle w:val="1"/>
      </w:pPr>
    </w:p>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Pr="00E5691E" w:rsidRDefault="00E5691E" w:rsidP="00E5691E"/>
    <w:p w:rsidR="00B41E38" w:rsidRPr="004D3CE8" w:rsidRDefault="0070584E" w:rsidP="00F065C8">
      <w:pPr>
        <w:pStyle w:val="1"/>
      </w:pPr>
      <w:bookmarkStart w:id="0" w:name="_Toc120384744"/>
      <w:r w:rsidRPr="004D3CE8">
        <w:lastRenderedPageBreak/>
        <w:t>Introduction</w:t>
      </w:r>
      <w:bookmarkEnd w:id="0"/>
      <w:r w:rsidRPr="004D3CE8">
        <w:t xml:space="preserve"> </w:t>
      </w:r>
    </w:p>
    <w:p w:rsidR="00CA39AE" w:rsidRDefault="0070584E" w:rsidP="004D3CE8">
      <w:pPr>
        <w:spacing w:line="480" w:lineRule="auto"/>
        <w:rPr>
          <w:rFonts w:cs="Times New Roman"/>
          <w:szCs w:val="24"/>
        </w:rPr>
      </w:pPr>
      <w:r w:rsidRPr="00C9689C">
        <w:rPr>
          <w:rFonts w:cs="Times New Roman"/>
          <w:szCs w:val="24"/>
        </w:rPr>
        <w:t>Many of the difficulties HR professionals have experienced in previous years are certain to continue this year, while a few new ones also appear likely. Human resources (HR) professionals in any organization are responsible for many duties, including staff recruitment and retention, employee motivation, compensation and benefits packages that are competitive in the industry, and legal compliance. Concerns about available human resources make the situation seem hopeless. Fortunately, HR experts have access to a wealth of tools and information that could assist them in addressing a wide range of HR-related challenges. This study compares and contrasts how well SASA Holdings and Innisfree Companies deal with HR issues.</w:t>
      </w:r>
    </w:p>
    <w:p w:rsidR="00C9689C" w:rsidRPr="004D3CE8" w:rsidRDefault="0070584E" w:rsidP="00F065C8">
      <w:pPr>
        <w:pStyle w:val="1"/>
      </w:pPr>
      <w:bookmarkStart w:id="1" w:name="_Toc120384745"/>
      <w:r w:rsidRPr="004D3CE8">
        <w:t>Background of Sasa and Innisfree</w:t>
      </w:r>
      <w:bookmarkEnd w:id="1"/>
    </w:p>
    <w:p w:rsidR="00C9689C" w:rsidRDefault="0070584E" w:rsidP="004D3CE8">
      <w:pPr>
        <w:spacing w:line="480" w:lineRule="auto"/>
        <w:rPr>
          <w:rFonts w:cs="Times New Roman"/>
          <w:szCs w:val="24"/>
        </w:rPr>
      </w:pPr>
      <w:r w:rsidRPr="00C9689C">
        <w:rPr>
          <w:rFonts w:cs="Times New Roman"/>
          <w:szCs w:val="24"/>
        </w:rPr>
        <w:t>Sa Sa International Holdings, a Hong Kong-based retail conglomerate focusing on cosmetics, personal care, skincare, fragrance, hair care, body care, and health and beauty supplements, sells over 700 distinct brands, including over 180 own brands and other exclusive international names. Kwok Siu-Ming founded the company in 1978. It was on the Hong Kong Stock Exchange's official list of firms as of 1997</w:t>
      </w:r>
      <w:r w:rsidR="00AE7022">
        <w:rPr>
          <w:rFonts w:cs="Times New Roman"/>
          <w:szCs w:val="24"/>
        </w:rPr>
        <w:t xml:space="preserve"> </w:t>
      </w:r>
      <w:r w:rsidR="00AE7022" w:rsidRPr="00F10546">
        <w:rPr>
          <w:rFonts w:cs="Times New Roman"/>
          <w:color w:val="333333"/>
          <w:szCs w:val="24"/>
          <w:shd w:val="clear" w:color="auto" w:fill="FFFFFF"/>
        </w:rPr>
        <w:t>(Graban &amp; Toussaint, 2018)</w:t>
      </w:r>
      <w:r w:rsidRPr="00C9689C">
        <w:rPr>
          <w:rFonts w:cs="Times New Roman"/>
          <w:szCs w:val="24"/>
        </w:rPr>
        <w:t>. The retail footprint of the business includes over 230 outlets in Hong Kong, Macau, Mainland China, and Malaysia. In 2015, Sa Sa was included in Forbes' list of "Asia's 200 Best Under a Billion." The Group is a constituent of the FTSE World Index Series, MSCI Index Series, Hang Seng Composite SmallCap Index, and Hang Seng Small Cap (Investable) Index. It was already part of the Hang Seng Corporate Sustainability Benchmark Index in 2011.</w:t>
      </w:r>
    </w:p>
    <w:p w:rsidR="00C9689C" w:rsidRDefault="0070584E" w:rsidP="004D3CE8">
      <w:pPr>
        <w:spacing w:line="480" w:lineRule="auto"/>
        <w:rPr>
          <w:rFonts w:cs="Times New Roman"/>
          <w:szCs w:val="24"/>
        </w:rPr>
      </w:pPr>
      <w:r w:rsidRPr="004E6B4C">
        <w:rPr>
          <w:rFonts w:cs="Times New Roman"/>
          <w:szCs w:val="24"/>
        </w:rPr>
        <w:t xml:space="preserve">Innisfree is a Korean cosmetics label sold by Amorepacific that began in 2000. The product was named after William Butler Yeats's poem "The Lake Isle of Innisfree." According to the company, this is Amorepacific's first "eco-friendly" brand. Amorepacific opened the first retail </w:t>
      </w:r>
      <w:r w:rsidRPr="004E6B4C">
        <w:rPr>
          <w:rFonts w:cs="Times New Roman"/>
          <w:szCs w:val="24"/>
        </w:rPr>
        <w:lastRenderedPageBreak/>
        <w:t>outlet offering the Innisfree collection in 2005. Since 2007, the number of countries where you can purchase an Innisfree product has climbed to 100, including Korea, Hong Kong, China, Japan, Taiwan, Singapore, Malaysia, and Thailand. These stores may be found in nations such as Vietnam, Indonesia, the Philippines, India, the United States, Canada, Australia, and the United Arab Emirates.</w:t>
      </w:r>
    </w:p>
    <w:p w:rsidR="00E30868" w:rsidRPr="004D3CE8" w:rsidRDefault="0070584E" w:rsidP="00F065C8">
      <w:pPr>
        <w:pStyle w:val="1"/>
      </w:pPr>
      <w:bookmarkStart w:id="2" w:name="_Toc120384746"/>
      <w:r w:rsidRPr="004D3CE8">
        <w:t>Analysis of countries with Hofstede for Hong Kong, Korea and China</w:t>
      </w:r>
      <w:bookmarkEnd w:id="2"/>
    </w:p>
    <w:p w:rsidR="00AB3E17" w:rsidRDefault="0070584E" w:rsidP="00AB3E17">
      <w:pPr>
        <w:jc w:val="center"/>
        <w:rPr>
          <w:rFonts w:cs="Times New Roman"/>
          <w:szCs w:val="24"/>
        </w:rPr>
      </w:pPr>
      <w:r w:rsidRPr="00AB3E17">
        <w:rPr>
          <w:rFonts w:cs="Times New Roman"/>
          <w:noProof/>
          <w:szCs w:val="24"/>
          <w:lang w:eastAsia="zh-TW"/>
        </w:rPr>
        <w:drawing>
          <wp:inline distT="0" distB="0" distL="0" distR="0">
            <wp:extent cx="5943600" cy="2997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997835"/>
                    </a:xfrm>
                    <a:prstGeom prst="rect">
                      <a:avLst/>
                    </a:prstGeom>
                  </pic:spPr>
                </pic:pic>
              </a:graphicData>
            </a:graphic>
          </wp:inline>
        </w:drawing>
      </w:r>
    </w:p>
    <w:p w:rsidR="00AB3E17" w:rsidRPr="00AB3E17" w:rsidRDefault="0070584E" w:rsidP="004D3CE8">
      <w:pPr>
        <w:spacing w:line="480" w:lineRule="auto"/>
        <w:rPr>
          <w:rFonts w:cs="Times New Roman"/>
          <w:szCs w:val="24"/>
        </w:rPr>
      </w:pPr>
      <w:r w:rsidRPr="00AB3E17">
        <w:rPr>
          <w:rFonts w:cs="Times New Roman"/>
          <w:szCs w:val="24"/>
        </w:rPr>
        <w:t>This axis reflects a society's feelings on inequality. In a society with a significant "power gap," less powerful members of institutions and organizations accept having little control over their lives. Hong Kong's high PDI (68) means its citizens tolerate inequality. No safeguard exists against superiors abusing their position, and subordinate-superior relationships are generally adversarial. People are confident in others' leadership and initiative, and formal authority and consequences affect them.</w:t>
      </w:r>
    </w:p>
    <w:p w:rsidR="00AB3E17" w:rsidRPr="00AB3E17" w:rsidRDefault="0070584E" w:rsidP="004D3CE8">
      <w:pPr>
        <w:spacing w:line="480" w:lineRule="auto"/>
        <w:rPr>
          <w:rFonts w:cs="Times New Roman"/>
          <w:szCs w:val="24"/>
        </w:rPr>
      </w:pPr>
      <w:r w:rsidRPr="00AB3E17">
        <w:rPr>
          <w:rFonts w:cs="Times New Roman"/>
          <w:szCs w:val="24"/>
        </w:rPr>
        <w:t xml:space="preserve">Hong Kong has a score of 25 because its people value the collective above their private wants. In hiring and promotions, in-groups (like family) are favoured. Warm and cordial within in-groups, </w:t>
      </w:r>
      <w:r w:rsidRPr="00AB3E17">
        <w:rPr>
          <w:rFonts w:cs="Times New Roman"/>
          <w:szCs w:val="24"/>
        </w:rPr>
        <w:lastRenderedPageBreak/>
        <w:t>cold and aggressive outside. Relationships are more essential than jobs. Issues are addressed behind closed doors to maintain group cohesiveness.</w:t>
      </w:r>
      <w:r w:rsidR="00F10546">
        <w:rPr>
          <w:rFonts w:cs="Times New Roman"/>
          <w:szCs w:val="24"/>
        </w:rPr>
        <w:t xml:space="preserve"> </w:t>
      </w:r>
      <w:r w:rsidRPr="00AB3E17">
        <w:rPr>
          <w:rFonts w:cs="Times New Roman"/>
          <w:szCs w:val="24"/>
        </w:rPr>
        <w:t>Low-scoring (Feminine) societies promote member well-being and social relationships. Feminine culture values a good quality of life above individuality. Is being the greatest (masculine) more essential than enjoying one's work? (Feminine). Hong Kong's culture emphasizes success and competitiveness. Many individuals work long hours because they value goal-setting. Hairstylists work till dawn. Students appreciate their academic achievement and position since they determine their success.</w:t>
      </w:r>
    </w:p>
    <w:p w:rsidR="00AB3E17" w:rsidRDefault="0070584E" w:rsidP="004D3CE8">
      <w:pPr>
        <w:spacing w:line="480" w:lineRule="auto"/>
        <w:rPr>
          <w:rFonts w:cs="Times New Roman"/>
          <w:szCs w:val="24"/>
        </w:rPr>
      </w:pPr>
      <w:r w:rsidRPr="00AB3E17">
        <w:rPr>
          <w:rFonts w:cs="Times New Roman"/>
          <w:szCs w:val="24"/>
        </w:rPr>
        <w:t>Uncertainty Avoidance measures how much a culture fears ambiguous or unclear situations and has built beliefs and structures to avoid them. Hong Kong scores 29 on Uncertainty Avoidance. In practice, pragmatism and adaptation are frequently needed. Hong Kongers are accustomed to ambiguity, which is fortunate since Chinese is rich in colloquial terms. They are adaptable.</w:t>
      </w:r>
      <w:r w:rsidR="00F10546">
        <w:rPr>
          <w:rFonts w:cs="Times New Roman"/>
          <w:szCs w:val="24"/>
        </w:rPr>
        <w:t xml:space="preserve"> </w:t>
      </w:r>
      <w:r w:rsidRPr="00AB3E17">
        <w:rPr>
          <w:rFonts w:cs="Times New Roman"/>
          <w:szCs w:val="24"/>
        </w:rPr>
        <w:t>Hong Kong values pragmatism with a score of 61</w:t>
      </w:r>
      <w:r w:rsidR="00F10546">
        <w:rPr>
          <w:rFonts w:cs="Times New Roman"/>
          <w:szCs w:val="24"/>
        </w:rPr>
        <w:t xml:space="preserve"> </w:t>
      </w:r>
      <w:r w:rsidR="00F10546" w:rsidRPr="00F10546">
        <w:rPr>
          <w:rFonts w:cs="Times New Roman"/>
          <w:color w:val="333333"/>
          <w:szCs w:val="24"/>
          <w:shd w:val="clear" w:color="auto" w:fill="FFFFFF"/>
        </w:rPr>
        <w:t>(Akter, 2020)</w:t>
      </w:r>
      <w:r w:rsidRPr="00AB3E17">
        <w:rPr>
          <w:rFonts w:cs="Times New Roman"/>
          <w:szCs w:val="24"/>
        </w:rPr>
        <w:t>. Pragmatic cultures see reality as contextual and temporal. They save and invest, are modest, work hard, and are tenacious. Hong Kong has a Restrained character since it scored 17 on this criteria. Cynicism and pessimism characterize low-scoring cultures. Restrained cultures emphasize work above leisure and minimize passion indulgence. Those with this mentality think they are restricted by societal norms and consider self-indulgence unethical.</w:t>
      </w:r>
    </w:p>
    <w:p w:rsidR="00AB3E17" w:rsidRDefault="00AB3E17" w:rsidP="00AB3E17">
      <w:pPr>
        <w:rPr>
          <w:rFonts w:cs="Times New Roman"/>
          <w:szCs w:val="24"/>
        </w:rPr>
      </w:pPr>
    </w:p>
    <w:p w:rsidR="00E30868" w:rsidRPr="004A686A" w:rsidRDefault="0070584E" w:rsidP="00F065C8">
      <w:pPr>
        <w:pStyle w:val="1"/>
      </w:pPr>
      <w:bookmarkStart w:id="3" w:name="_Toc120384747"/>
      <w:r w:rsidRPr="004A686A">
        <w:t>Employee relationships, Key challenging issues related to international expansion</w:t>
      </w:r>
      <w:bookmarkEnd w:id="3"/>
      <w:r w:rsidRPr="004A686A">
        <w:t xml:space="preserve"> </w:t>
      </w:r>
    </w:p>
    <w:p w:rsidR="00423DAA" w:rsidRPr="009D3EE7" w:rsidRDefault="0070584E" w:rsidP="004D3CE8">
      <w:pPr>
        <w:spacing w:line="480" w:lineRule="auto"/>
        <w:rPr>
          <w:rFonts w:cs="Times New Roman"/>
          <w:szCs w:val="24"/>
        </w:rPr>
      </w:pPr>
      <w:r w:rsidRPr="009D3EE7">
        <w:rPr>
          <w:rFonts w:cs="Times New Roman"/>
          <w:szCs w:val="24"/>
        </w:rPr>
        <w:t>Employment discrimination based on protected characteristics is banned in many countries. People of a specific age, gender, sexual orientation, race, disability, or pregnancy may be protected against discrimination depending on the country. Measures to avoid harassment are also widely available</w:t>
      </w:r>
      <w:r w:rsidR="00AE7022" w:rsidRPr="009D3EE7">
        <w:rPr>
          <w:rFonts w:cs="Times New Roman"/>
          <w:szCs w:val="24"/>
        </w:rPr>
        <w:t xml:space="preserve"> </w:t>
      </w:r>
      <w:r w:rsidR="00AE7022" w:rsidRPr="009D3EE7">
        <w:rPr>
          <w:rFonts w:cs="Times New Roman"/>
          <w:color w:val="333333"/>
          <w:szCs w:val="24"/>
          <w:shd w:val="clear" w:color="auto" w:fill="FFFFFF"/>
        </w:rPr>
        <w:t>(Beer, 2022)</w:t>
      </w:r>
      <w:r w:rsidRPr="009D3EE7">
        <w:rPr>
          <w:rFonts w:cs="Times New Roman"/>
          <w:szCs w:val="24"/>
        </w:rPr>
        <w:t xml:space="preserve">. Many developed countries, including the Americas, Europe, </w:t>
      </w:r>
      <w:r w:rsidRPr="009D3EE7">
        <w:rPr>
          <w:rFonts w:cs="Times New Roman"/>
          <w:szCs w:val="24"/>
        </w:rPr>
        <w:lastRenderedPageBreak/>
        <w:t>South America, Asia and the Pacific, have anti-discrimination legislation. However, in certain other countries, particularly in Africa and the Middle East, there must be clear legislation against work discrimination or minimum limits.</w:t>
      </w:r>
    </w:p>
    <w:p w:rsidR="00423DAA" w:rsidRPr="009D3EE7" w:rsidRDefault="0070584E" w:rsidP="004D3CE8">
      <w:pPr>
        <w:spacing w:line="480" w:lineRule="auto"/>
        <w:rPr>
          <w:rFonts w:cs="Times New Roman"/>
          <w:szCs w:val="24"/>
        </w:rPr>
      </w:pPr>
      <w:r w:rsidRPr="009D3EE7">
        <w:rPr>
          <w:rFonts w:cs="Times New Roman"/>
          <w:szCs w:val="24"/>
        </w:rPr>
        <w:t>Nonetheless, positive discrimination is allowed in several countries. Positive discrimination occurs when someone is given preferential treatment because of one of their defining characteristics. Employers may take measures to remove discrimination against persons based on protected characteristics when positive action is lawful, such as when such individuals are underrepresented in the workforce</w:t>
      </w:r>
      <w:r w:rsidR="00AE7022" w:rsidRPr="009D3EE7">
        <w:rPr>
          <w:rFonts w:cs="Times New Roman"/>
          <w:szCs w:val="24"/>
        </w:rPr>
        <w:t xml:space="preserve"> </w:t>
      </w:r>
      <w:r w:rsidR="00AE7022" w:rsidRPr="009D3EE7">
        <w:rPr>
          <w:rFonts w:cs="Times New Roman"/>
          <w:color w:val="333333"/>
          <w:szCs w:val="24"/>
          <w:shd w:val="clear" w:color="auto" w:fill="FFFFFF"/>
        </w:rPr>
        <w:t>(Pincus, 2020)</w:t>
      </w:r>
      <w:r w:rsidRPr="009D3EE7">
        <w:rPr>
          <w:rFonts w:cs="Times New Roman"/>
          <w:szCs w:val="24"/>
        </w:rPr>
        <w:t>. The study underlines the need to be informed of local legal and regulatory restrictions relevant to ethical business. Bribery and corruption are well-known concepts with well-established laws in place to prohibit them, but with significantly disparate enforcement and penalty methods. For global firms, having the plan to help multicultural staff deal with compliance challenges is critical.</w:t>
      </w:r>
    </w:p>
    <w:p w:rsidR="00E30868" w:rsidRPr="009D3EE7" w:rsidRDefault="0070584E" w:rsidP="004D3CE8">
      <w:pPr>
        <w:spacing w:line="480" w:lineRule="auto"/>
        <w:rPr>
          <w:rFonts w:cs="Times New Roman"/>
          <w:szCs w:val="24"/>
        </w:rPr>
      </w:pPr>
      <w:r w:rsidRPr="009D3EE7">
        <w:rPr>
          <w:rFonts w:cs="Times New Roman"/>
          <w:szCs w:val="24"/>
        </w:rPr>
        <w:t>Businesses that fail to comply with anti-bribery and corruption laws may face harsh consequences, including criminal prosecution and financial penalties. Employees (typically top management) might be liable for violations even if they were not participating in them or were unaware</w:t>
      </w:r>
      <w:r w:rsidR="00F10546" w:rsidRPr="009D3EE7">
        <w:rPr>
          <w:rFonts w:cs="Times New Roman"/>
          <w:szCs w:val="24"/>
        </w:rPr>
        <w:t xml:space="preserve"> </w:t>
      </w:r>
      <w:r w:rsidR="00F10546" w:rsidRPr="009D3EE7">
        <w:rPr>
          <w:rFonts w:cs="Times New Roman"/>
          <w:color w:val="333333"/>
          <w:szCs w:val="24"/>
          <w:shd w:val="clear" w:color="auto" w:fill="FFFFFF"/>
        </w:rPr>
        <w:t>(Akter, 2020)</w:t>
      </w:r>
      <w:r w:rsidRPr="009D3EE7">
        <w:rPr>
          <w:rFonts w:cs="Times New Roman"/>
          <w:szCs w:val="24"/>
        </w:rPr>
        <w:t xml:space="preserve">. Rights under collective employment regulation are likewise very procedural and may vary substantially across nations. While it would be ideal, a global corporation with a presence in several countries could likely implement a single, uniform policy that meets each country's minimum collective employment rights </w:t>
      </w:r>
      <w:r w:rsidR="00AE7022" w:rsidRPr="009D3EE7">
        <w:rPr>
          <w:rFonts w:cs="Times New Roman"/>
          <w:color w:val="333333"/>
          <w:szCs w:val="24"/>
          <w:shd w:val="clear" w:color="auto" w:fill="FFFFFF"/>
        </w:rPr>
        <w:t>(Crosby, 2014)</w:t>
      </w:r>
      <w:r w:rsidRPr="009D3EE7">
        <w:rPr>
          <w:rFonts w:cs="Times New Roman"/>
          <w:szCs w:val="24"/>
        </w:rPr>
        <w:t>. It may be desirable to identify broad global norms to use as a foundation for creating laws in each country, such as those affecting remuneration and benefits, employment contracts, and termination of employment.</w:t>
      </w:r>
    </w:p>
    <w:p w:rsidR="00423DAA" w:rsidRPr="009D3EE7" w:rsidRDefault="0070584E" w:rsidP="004D3CE8">
      <w:pPr>
        <w:spacing w:line="480" w:lineRule="auto"/>
        <w:rPr>
          <w:rFonts w:cs="Times New Roman"/>
          <w:szCs w:val="24"/>
        </w:rPr>
      </w:pPr>
      <w:r w:rsidRPr="009D3EE7">
        <w:rPr>
          <w:rFonts w:cs="Times New Roman"/>
          <w:szCs w:val="24"/>
        </w:rPr>
        <w:lastRenderedPageBreak/>
        <w:t>Most firms need more internal competence to handle the new target market's local legal requirements and legislation. Accounting practices, labour laws, and tax legislation are examples of what could fall within this area. As a result, you must do your assignment right away. Most companies must consult with local CPAs, lawyers, or company formation specialists</w:t>
      </w:r>
      <w:r w:rsidR="00AE7022" w:rsidRPr="009D3EE7">
        <w:rPr>
          <w:rFonts w:cs="Times New Roman"/>
          <w:color w:val="333333"/>
          <w:szCs w:val="24"/>
          <w:shd w:val="clear" w:color="auto" w:fill="FFFFFF"/>
        </w:rPr>
        <w:t>(- &amp; Kioko, 2018)</w:t>
      </w:r>
      <w:r w:rsidRPr="009D3EE7">
        <w:rPr>
          <w:rFonts w:cs="Times New Roman"/>
          <w:szCs w:val="24"/>
        </w:rPr>
        <w:t>. After gathering the data, the small to the medium-sized organization may determine how to continue with its worldwide growth objectives. Like the legal environment, the local culture is a significant international expansion concern. The desired market may not follow European trade standards, which are typically uniform throughout member countries. We are not only talking about different consumer identities here but also about societal norms and business standards. It may be beneficial to begin by engaging the assistance of local marketing organizations in order to break into a previously untapped market.</w:t>
      </w:r>
    </w:p>
    <w:p w:rsidR="00F065C8" w:rsidRPr="009D3EE7" w:rsidRDefault="00F065C8" w:rsidP="00F065C8">
      <w:pPr>
        <w:pStyle w:val="1"/>
        <w:rPr>
          <w:sz w:val="24"/>
        </w:rPr>
      </w:pPr>
      <w:bookmarkStart w:id="4" w:name="_Toc120384748"/>
      <w:r w:rsidRPr="009D3EE7">
        <w:t>Analysis of the challenges</w:t>
      </w:r>
      <w:bookmarkEnd w:id="4"/>
      <w:r w:rsidRPr="009D3EE7">
        <w:t xml:space="preserve"> </w:t>
      </w:r>
    </w:p>
    <w:p w:rsidR="00F065C8" w:rsidRPr="009D3EE7" w:rsidRDefault="00F065C8" w:rsidP="00F065C8">
      <w:pPr>
        <w:spacing w:line="480" w:lineRule="auto"/>
        <w:rPr>
          <w:rFonts w:cs="Times New Roman"/>
          <w:szCs w:val="24"/>
        </w:rPr>
      </w:pPr>
      <w:r w:rsidRPr="009D3EE7">
        <w:rPr>
          <w:rFonts w:cs="Times New Roman"/>
          <w:szCs w:val="24"/>
        </w:rPr>
        <w:t>The main benefit of a worldwide presence is the opportunity to enter new markets. The next logical step for a corporation that has found success in one nation is to expand into another. A company's reach and customer base may grow if it enters new markets. To add to the benefits, open borders facilitate the rapid expansion of firms into new markets. Open borders in Europe make it simple for a company to reach out to consumers in other member states (Beatrice, 2021). Access to specialized talents may be limited in your own country. However, expanding your search internationally will allow you to choose from a wider pool of qualified candidates. Local talent with these abilities will give you an additional leg up on the competition.</w:t>
      </w:r>
    </w:p>
    <w:p w:rsidR="00F065C8" w:rsidRPr="009D3EE7" w:rsidRDefault="00F065C8" w:rsidP="00F065C8">
      <w:pPr>
        <w:spacing w:line="480" w:lineRule="auto"/>
        <w:rPr>
          <w:rFonts w:cs="Times New Roman"/>
          <w:szCs w:val="24"/>
        </w:rPr>
      </w:pPr>
      <w:r w:rsidRPr="009D3EE7">
        <w:rPr>
          <w:rFonts w:cs="Times New Roman"/>
          <w:szCs w:val="24"/>
        </w:rPr>
        <w:t xml:space="preserve">There are several ways in which businesses might expand thanks to internationalization. There has been a recent trend toward companies seeking to accelerate their growth by entering foreign markets. Making your business more globally accessible may help you sell more of your product </w:t>
      </w:r>
      <w:r w:rsidRPr="009D3EE7">
        <w:rPr>
          <w:rFonts w:cs="Times New Roman"/>
          <w:szCs w:val="24"/>
        </w:rPr>
        <w:lastRenderedPageBreak/>
        <w:t>or service. Possibilities for further expansion exist (Ceil, 2012). Get your product out there before anybody else. If you go worldwide, you may potentially get more exposure than your rivals and connect with a wider audience. You may be able to break out of a saturated market and keep expanding internationally. Companies typically go worldwide in order to provide greater service to their existing clientele (</w:t>
      </w:r>
      <w:proofErr w:type="spellStart"/>
      <w:r w:rsidRPr="009D3EE7">
        <w:rPr>
          <w:rFonts w:cs="Times New Roman"/>
          <w:szCs w:val="24"/>
        </w:rPr>
        <w:t>Saengchai</w:t>
      </w:r>
      <w:proofErr w:type="spellEnd"/>
      <w:r w:rsidRPr="009D3EE7">
        <w:rPr>
          <w:rFonts w:cs="Times New Roman"/>
          <w:szCs w:val="24"/>
        </w:rPr>
        <w:t xml:space="preserve"> et al., 2019). It's possible that a corporation may save money by setting up shop in a different nation. People who were raised in the same time zone as their customers may provide better service because they have a deeper understanding of the language and customs of the region. You may now have conversations with people all around the world.</w:t>
      </w:r>
    </w:p>
    <w:p w:rsidR="00F065C8" w:rsidRDefault="00F065C8" w:rsidP="00F065C8">
      <w:pPr>
        <w:spacing w:line="480" w:lineRule="auto"/>
        <w:rPr>
          <w:rFonts w:cs="Times New Roman"/>
          <w:szCs w:val="24"/>
        </w:rPr>
      </w:pPr>
      <w:r w:rsidRPr="009D3EE7">
        <w:rPr>
          <w:rFonts w:cs="Times New Roman"/>
          <w:szCs w:val="24"/>
        </w:rPr>
        <w:t>In today's industrialized world, labor relations have become a pressing problem.</w:t>
      </w:r>
      <w:r w:rsidRPr="00F065C8">
        <w:rPr>
          <w:rFonts w:cs="Times New Roman"/>
          <w:szCs w:val="24"/>
        </w:rPr>
        <w:t xml:space="preserve"> You may draw a straight line from here to the birth of the industrial revolution. Before the industrial revolution, the economy was characterized by simple manufacturing processes, regional markets, little employment, and low investment. The purpose of these efforts was to strengthen the dynamic of the workplace to the point where all workers felt like they belonged to the team. A complication arose as a result of the fast expansion of the industrial revolution, which pushed up the prices of both labor and capital as businesses expanded. The distance between shareholders and executives has shrunk because to new generations of talented management.</w:t>
      </w:r>
    </w:p>
    <w:p w:rsidR="00F065C8" w:rsidRDefault="00F065C8" w:rsidP="00F065C8">
      <w:pPr>
        <w:spacing w:line="480" w:lineRule="auto"/>
        <w:rPr>
          <w:rFonts w:cs="Times New Roman"/>
          <w:szCs w:val="24"/>
        </w:rPr>
      </w:pPr>
    </w:p>
    <w:p w:rsidR="00F065C8" w:rsidRDefault="00F065C8" w:rsidP="00F065C8">
      <w:pPr>
        <w:spacing w:line="480" w:lineRule="auto"/>
        <w:rPr>
          <w:rFonts w:cs="Times New Roman"/>
          <w:szCs w:val="24"/>
        </w:rPr>
      </w:pPr>
    </w:p>
    <w:p w:rsidR="00F065C8" w:rsidRDefault="00F065C8" w:rsidP="00F065C8">
      <w:pPr>
        <w:spacing w:line="480" w:lineRule="auto"/>
        <w:rPr>
          <w:rFonts w:cs="Times New Roman"/>
          <w:szCs w:val="24"/>
        </w:rPr>
      </w:pPr>
    </w:p>
    <w:p w:rsidR="00F065C8" w:rsidRDefault="00F065C8" w:rsidP="00F065C8">
      <w:pPr>
        <w:spacing w:line="480" w:lineRule="auto"/>
        <w:rPr>
          <w:rFonts w:cs="Times New Roman"/>
          <w:szCs w:val="24"/>
        </w:rPr>
      </w:pPr>
    </w:p>
    <w:p w:rsidR="00F065C8" w:rsidRDefault="00F065C8" w:rsidP="00F065C8">
      <w:pPr>
        <w:spacing w:line="480" w:lineRule="auto"/>
        <w:rPr>
          <w:rFonts w:cs="Times New Roman"/>
          <w:szCs w:val="24"/>
        </w:rPr>
      </w:pPr>
    </w:p>
    <w:p w:rsidR="00F065C8" w:rsidRDefault="00F065C8" w:rsidP="00F065C8">
      <w:pPr>
        <w:spacing w:line="480" w:lineRule="auto"/>
        <w:rPr>
          <w:rFonts w:cs="Times New Roman"/>
          <w:szCs w:val="24"/>
        </w:rPr>
      </w:pPr>
    </w:p>
    <w:p w:rsidR="00F065C8" w:rsidRDefault="00F065C8" w:rsidP="00F065C8">
      <w:pPr>
        <w:pStyle w:val="1"/>
      </w:pPr>
      <w:bookmarkStart w:id="5" w:name="_Toc120384749"/>
      <w:r>
        <w:t>Challenges between SASA and Innisfree</w:t>
      </w:r>
      <w:bookmarkEnd w:id="5"/>
      <w:r>
        <w:t xml:space="preserve"> </w:t>
      </w:r>
    </w:p>
    <w:p w:rsidR="00E5691E" w:rsidRPr="00E5691E" w:rsidRDefault="00E5691E" w:rsidP="00E5691E"/>
    <w:tbl>
      <w:tblPr>
        <w:tblStyle w:val="ab"/>
        <w:tblW w:w="9598" w:type="dxa"/>
        <w:tblLook w:val="04A0" w:firstRow="1" w:lastRow="0" w:firstColumn="1" w:lastColumn="0" w:noHBand="0" w:noVBand="1"/>
      </w:tblPr>
      <w:tblGrid>
        <w:gridCol w:w="4799"/>
        <w:gridCol w:w="4799"/>
      </w:tblGrid>
      <w:tr w:rsidR="00F065C8" w:rsidTr="004506EE">
        <w:trPr>
          <w:trHeight w:val="1178"/>
        </w:trPr>
        <w:tc>
          <w:tcPr>
            <w:tcW w:w="4799" w:type="dxa"/>
          </w:tcPr>
          <w:p w:rsidR="00F065C8" w:rsidRDefault="00F065C8" w:rsidP="004506EE">
            <w:pPr>
              <w:jc w:val="center"/>
              <w:rPr>
                <w:b/>
                <w:i/>
              </w:rPr>
            </w:pPr>
          </w:p>
          <w:p w:rsidR="00F065C8" w:rsidRDefault="00F065C8" w:rsidP="004506EE">
            <w:pPr>
              <w:jc w:val="center"/>
              <w:rPr>
                <w:b/>
                <w:i/>
              </w:rPr>
            </w:pPr>
          </w:p>
          <w:p w:rsidR="00F065C8" w:rsidRPr="00F065C8" w:rsidRDefault="00F065C8" w:rsidP="004506EE">
            <w:pPr>
              <w:jc w:val="center"/>
              <w:rPr>
                <w:b/>
                <w:i/>
              </w:rPr>
            </w:pPr>
            <w:r w:rsidRPr="00F065C8">
              <w:rPr>
                <w:b/>
                <w:i/>
              </w:rPr>
              <w:t>Challenges affecting SASA</w:t>
            </w:r>
          </w:p>
        </w:tc>
        <w:tc>
          <w:tcPr>
            <w:tcW w:w="4799" w:type="dxa"/>
          </w:tcPr>
          <w:p w:rsidR="00F065C8" w:rsidRDefault="00F065C8" w:rsidP="004506EE">
            <w:pPr>
              <w:jc w:val="center"/>
              <w:rPr>
                <w:b/>
                <w:i/>
              </w:rPr>
            </w:pPr>
          </w:p>
          <w:p w:rsidR="00F065C8" w:rsidRDefault="00F065C8" w:rsidP="004506EE">
            <w:pPr>
              <w:jc w:val="center"/>
              <w:rPr>
                <w:b/>
                <w:i/>
              </w:rPr>
            </w:pPr>
          </w:p>
          <w:p w:rsidR="00F065C8" w:rsidRPr="00F065C8" w:rsidRDefault="00F065C8" w:rsidP="004506EE">
            <w:pPr>
              <w:jc w:val="center"/>
              <w:rPr>
                <w:b/>
                <w:i/>
              </w:rPr>
            </w:pPr>
            <w:r w:rsidRPr="00F065C8">
              <w:rPr>
                <w:b/>
                <w:i/>
              </w:rPr>
              <w:t>Challenges facing Innisfree</w:t>
            </w:r>
          </w:p>
        </w:tc>
      </w:tr>
      <w:tr w:rsidR="00F065C8" w:rsidTr="004506EE">
        <w:trPr>
          <w:trHeight w:val="893"/>
        </w:trPr>
        <w:tc>
          <w:tcPr>
            <w:tcW w:w="4799" w:type="dxa"/>
          </w:tcPr>
          <w:p w:rsidR="00F065C8" w:rsidRDefault="004506EE" w:rsidP="004506EE">
            <w:pPr>
              <w:pStyle w:val="ad"/>
              <w:numPr>
                <w:ilvl w:val="0"/>
                <w:numId w:val="1"/>
              </w:numPr>
            </w:pPr>
            <w:r>
              <w:t xml:space="preserve">Strict laws and regulations for international expansions </w:t>
            </w:r>
          </w:p>
        </w:tc>
        <w:tc>
          <w:tcPr>
            <w:tcW w:w="4799" w:type="dxa"/>
          </w:tcPr>
          <w:p w:rsidR="00F065C8" w:rsidRDefault="004506EE" w:rsidP="000E4940">
            <w:pPr>
              <w:pStyle w:val="ad"/>
              <w:numPr>
                <w:ilvl w:val="0"/>
                <w:numId w:val="1"/>
              </w:numPr>
            </w:pPr>
            <w:r>
              <w:t>Uncompetitive products in the Chinese Market</w:t>
            </w:r>
          </w:p>
        </w:tc>
      </w:tr>
      <w:tr w:rsidR="004506EE" w:rsidTr="004506EE">
        <w:trPr>
          <w:trHeight w:val="710"/>
        </w:trPr>
        <w:tc>
          <w:tcPr>
            <w:tcW w:w="4799" w:type="dxa"/>
          </w:tcPr>
          <w:p w:rsidR="004506EE" w:rsidRDefault="004506EE" w:rsidP="004506EE">
            <w:pPr>
              <w:pStyle w:val="ad"/>
              <w:numPr>
                <w:ilvl w:val="0"/>
                <w:numId w:val="1"/>
              </w:numPr>
            </w:pPr>
            <w:r>
              <w:t xml:space="preserve">Getting qualified local labor </w:t>
            </w:r>
          </w:p>
        </w:tc>
        <w:tc>
          <w:tcPr>
            <w:tcW w:w="4799" w:type="dxa"/>
          </w:tcPr>
          <w:p w:rsidR="004506EE" w:rsidRPr="00AF389D" w:rsidRDefault="004506EE" w:rsidP="000E4940">
            <w:pPr>
              <w:pStyle w:val="ad"/>
              <w:numPr>
                <w:ilvl w:val="0"/>
                <w:numId w:val="1"/>
              </w:numPr>
            </w:pPr>
            <w:r w:rsidRPr="00AF389D">
              <w:t>Poor growth global plan</w:t>
            </w:r>
            <w:r w:rsidR="009D3EE7" w:rsidRPr="00AF389D">
              <w:t xml:space="preserve"> without understanding China culture,</w:t>
            </w:r>
          </w:p>
        </w:tc>
      </w:tr>
      <w:tr w:rsidR="00F065C8" w:rsidTr="004506EE">
        <w:trPr>
          <w:trHeight w:val="772"/>
        </w:trPr>
        <w:tc>
          <w:tcPr>
            <w:tcW w:w="4799" w:type="dxa"/>
          </w:tcPr>
          <w:p w:rsidR="00F065C8" w:rsidRDefault="004506EE" w:rsidP="000E4940">
            <w:pPr>
              <w:pStyle w:val="ad"/>
              <w:numPr>
                <w:ilvl w:val="0"/>
                <w:numId w:val="1"/>
              </w:numPr>
            </w:pPr>
            <w:r>
              <w:t xml:space="preserve">Building ties with local marketing firms </w:t>
            </w:r>
          </w:p>
        </w:tc>
        <w:tc>
          <w:tcPr>
            <w:tcW w:w="4799" w:type="dxa"/>
          </w:tcPr>
          <w:p w:rsidR="00F065C8" w:rsidRPr="00AF389D" w:rsidRDefault="004506EE" w:rsidP="000E4940">
            <w:pPr>
              <w:pStyle w:val="ad"/>
              <w:numPr>
                <w:ilvl w:val="0"/>
                <w:numId w:val="1"/>
              </w:numPr>
            </w:pPr>
            <w:r w:rsidRPr="00AF389D">
              <w:t>Local culture and laws hindering growth</w:t>
            </w:r>
            <w:r w:rsidR="009D3EE7" w:rsidRPr="00AF389D">
              <w:t>,</w:t>
            </w:r>
            <w:r w:rsidRPr="00AF389D">
              <w:t xml:space="preserve"> </w:t>
            </w:r>
            <w:r w:rsidR="009D3EE7" w:rsidRPr="00AF389D">
              <w:t>lacking of culture training</w:t>
            </w:r>
          </w:p>
        </w:tc>
      </w:tr>
      <w:tr w:rsidR="004506EE" w:rsidTr="004506EE">
        <w:trPr>
          <w:trHeight w:val="500"/>
        </w:trPr>
        <w:tc>
          <w:tcPr>
            <w:tcW w:w="4799" w:type="dxa"/>
          </w:tcPr>
          <w:p w:rsidR="004506EE" w:rsidRDefault="004506EE" w:rsidP="000E4940">
            <w:pPr>
              <w:pStyle w:val="ad"/>
              <w:numPr>
                <w:ilvl w:val="0"/>
                <w:numId w:val="1"/>
              </w:numPr>
            </w:pPr>
            <w:r>
              <w:t xml:space="preserve">Employee and employer relationships in different countries </w:t>
            </w:r>
            <w:r w:rsidR="009D3EE7">
              <w:t>even Hong Kong people</w:t>
            </w:r>
          </w:p>
        </w:tc>
        <w:tc>
          <w:tcPr>
            <w:tcW w:w="4799" w:type="dxa"/>
          </w:tcPr>
          <w:p w:rsidR="004506EE" w:rsidRDefault="004506EE" w:rsidP="000E4940">
            <w:pPr>
              <w:pStyle w:val="ad"/>
              <w:numPr>
                <w:ilvl w:val="0"/>
                <w:numId w:val="1"/>
              </w:numPr>
            </w:pPr>
            <w:r>
              <w:t xml:space="preserve">Chinese companies are becoming more popular </w:t>
            </w:r>
          </w:p>
        </w:tc>
      </w:tr>
      <w:tr w:rsidR="004506EE" w:rsidTr="004506EE">
        <w:trPr>
          <w:trHeight w:val="630"/>
        </w:trPr>
        <w:tc>
          <w:tcPr>
            <w:tcW w:w="4799" w:type="dxa"/>
          </w:tcPr>
          <w:p w:rsidR="004506EE" w:rsidRDefault="000E4940" w:rsidP="000E4940">
            <w:pPr>
              <w:pStyle w:val="ad"/>
              <w:numPr>
                <w:ilvl w:val="0"/>
                <w:numId w:val="1"/>
              </w:numPr>
            </w:pPr>
            <w:r>
              <w:t xml:space="preserve">Poor marketing strategy </w:t>
            </w:r>
          </w:p>
        </w:tc>
        <w:tc>
          <w:tcPr>
            <w:tcW w:w="4799" w:type="dxa"/>
          </w:tcPr>
          <w:p w:rsidR="004506EE" w:rsidRDefault="004506EE" w:rsidP="000E4940">
            <w:pPr>
              <w:pStyle w:val="ad"/>
              <w:numPr>
                <w:ilvl w:val="0"/>
                <w:numId w:val="1"/>
              </w:numPr>
            </w:pPr>
            <w:r>
              <w:t xml:space="preserve">Failure to adopt to Chinese ever changing preferences </w:t>
            </w:r>
          </w:p>
        </w:tc>
      </w:tr>
    </w:tbl>
    <w:p w:rsidR="00F065C8" w:rsidRDefault="00F065C8" w:rsidP="00F065C8">
      <w:pPr>
        <w:spacing w:line="480" w:lineRule="auto"/>
        <w:rPr>
          <w:rFonts w:cs="Times New Roman"/>
          <w:szCs w:val="24"/>
        </w:rPr>
      </w:pPr>
    </w:p>
    <w:p w:rsidR="004506EE" w:rsidRPr="00AF389D" w:rsidRDefault="004506EE" w:rsidP="004506EE">
      <w:pPr>
        <w:spacing w:line="480" w:lineRule="auto"/>
        <w:rPr>
          <w:rFonts w:cs="Times New Roman"/>
          <w:szCs w:val="24"/>
        </w:rPr>
      </w:pPr>
      <w:r w:rsidRPr="004506EE">
        <w:rPr>
          <w:rFonts w:cs="Times New Roman"/>
          <w:szCs w:val="24"/>
        </w:rPr>
        <w:t>Most firms don't have the resources to monitor the various laws and regulations in each new sector. Local labor, tax, and other factors may be involved. Thus, immediate research is necessary</w:t>
      </w:r>
      <w:r w:rsidR="004E0728">
        <w:rPr>
          <w:rFonts w:cs="Times New Roman"/>
          <w:szCs w:val="24"/>
        </w:rPr>
        <w:t xml:space="preserve"> </w:t>
      </w:r>
      <w:r w:rsidR="004E0728">
        <w:rPr>
          <w:rFonts w:cs="Times New Roman"/>
          <w:szCs w:val="24"/>
          <w:shd w:val="clear" w:color="auto" w:fill="FFFFFF"/>
        </w:rPr>
        <w:t>(</w:t>
      </w:r>
      <w:proofErr w:type="spellStart"/>
      <w:r w:rsidR="004E0728">
        <w:rPr>
          <w:rFonts w:cs="Times New Roman"/>
          <w:szCs w:val="24"/>
          <w:shd w:val="clear" w:color="auto" w:fill="FFFFFF"/>
        </w:rPr>
        <w:t>Studd</w:t>
      </w:r>
      <w:proofErr w:type="spellEnd"/>
      <w:r w:rsidR="004E0728">
        <w:rPr>
          <w:rFonts w:cs="Times New Roman"/>
          <w:szCs w:val="24"/>
          <w:shd w:val="clear" w:color="auto" w:fill="FFFFFF"/>
        </w:rPr>
        <w:t>, 2019</w:t>
      </w:r>
      <w:r w:rsidR="004E0728" w:rsidRPr="004E0728">
        <w:rPr>
          <w:rFonts w:cs="Times New Roman"/>
          <w:szCs w:val="24"/>
          <w:shd w:val="clear" w:color="auto" w:fill="FFFFFF"/>
        </w:rPr>
        <w:t>)</w:t>
      </w:r>
      <w:r w:rsidRPr="004506EE">
        <w:rPr>
          <w:rFonts w:cs="Times New Roman"/>
          <w:szCs w:val="24"/>
        </w:rPr>
        <w:t>. To understand, most businesses need consult local CPAs, attorneys, or company formation experts. After gathering data, the small to medium-sized company may choose its global growth plan. Uncompetitive products and Chinese cosmetic firms damaged Innisfree in China. Many well-known corporations have failed to adapt to altering Chinese client preferences. China will collapse if they can't satisfy Chi</w:t>
      </w:r>
      <w:r w:rsidRPr="00AF389D">
        <w:rPr>
          <w:rFonts w:cs="Times New Roman"/>
          <w:szCs w:val="24"/>
        </w:rPr>
        <w:t>nese buyers</w:t>
      </w:r>
      <w:r w:rsidR="009D3EE7" w:rsidRPr="00AF389D">
        <w:rPr>
          <w:rFonts w:cs="Times New Roman"/>
          <w:szCs w:val="24"/>
        </w:rPr>
        <w:t xml:space="preserve"> as no sufficient culture training for the staff, it makes employee relationship worse due to misunderstand</w:t>
      </w:r>
    </w:p>
    <w:p w:rsidR="00E5691E" w:rsidRDefault="009D3EE7" w:rsidP="004506EE">
      <w:pPr>
        <w:spacing w:line="480" w:lineRule="auto"/>
        <w:rPr>
          <w:rFonts w:cs="Times New Roman"/>
          <w:szCs w:val="24"/>
        </w:rPr>
      </w:pPr>
      <w:r w:rsidRPr="00AF389D">
        <w:rPr>
          <w:rFonts w:cs="Times New Roman"/>
          <w:szCs w:val="24"/>
        </w:rPr>
        <w:t xml:space="preserve">In addition, </w:t>
      </w:r>
      <w:r w:rsidR="004506EE" w:rsidRPr="00AF389D">
        <w:rPr>
          <w:rFonts w:cs="Times New Roman"/>
          <w:szCs w:val="24"/>
        </w:rPr>
        <w:t>Local culture and law hinder international growth. European trade regulations are normally consistent,</w:t>
      </w:r>
      <w:r w:rsidRPr="00AF389D">
        <w:rPr>
          <w:rFonts w:cs="Times New Roman"/>
          <w:szCs w:val="24"/>
        </w:rPr>
        <w:t xml:space="preserve"> it will even worsen the employee relationship.</w:t>
      </w:r>
      <w:r w:rsidR="004506EE" w:rsidRPr="00AF389D">
        <w:rPr>
          <w:rFonts w:cs="Times New Roman"/>
          <w:szCs w:val="24"/>
        </w:rPr>
        <w:t xml:space="preserve"> Entering a new market</w:t>
      </w:r>
      <w:r w:rsidR="004506EE" w:rsidRPr="004506EE">
        <w:rPr>
          <w:rFonts w:cs="Times New Roman"/>
          <w:szCs w:val="24"/>
        </w:rPr>
        <w:t xml:space="preserve"> </w:t>
      </w:r>
      <w:r w:rsidR="004506EE" w:rsidRPr="004506EE">
        <w:rPr>
          <w:rFonts w:cs="Times New Roman"/>
          <w:szCs w:val="24"/>
        </w:rPr>
        <w:lastRenderedPageBreak/>
        <w:t xml:space="preserve">begins with building ties with local marketing firms. 1980s and 2000s-born Chinese are more </w:t>
      </w:r>
      <w:r w:rsidR="004506EE" w:rsidRPr="00AF389D">
        <w:rPr>
          <w:rFonts w:cs="Times New Roman"/>
          <w:szCs w:val="24"/>
        </w:rPr>
        <w:t>likely to acquire these items than 1960s and 1970s-born Chinese. It's vital to consider millennial appeal</w:t>
      </w:r>
      <w:r w:rsidR="004E0728" w:rsidRPr="00AF389D">
        <w:rPr>
          <w:rFonts w:cs="Times New Roman"/>
          <w:szCs w:val="24"/>
        </w:rPr>
        <w:t xml:space="preserve"> </w:t>
      </w:r>
      <w:r w:rsidR="004E0728" w:rsidRPr="00AF389D">
        <w:rPr>
          <w:rFonts w:cs="Times New Roman"/>
          <w:szCs w:val="24"/>
          <w:shd w:val="clear" w:color="auto" w:fill="FFFFFF"/>
        </w:rPr>
        <w:t>(Zhou et al., 2011)</w:t>
      </w:r>
      <w:r w:rsidR="004506EE" w:rsidRPr="00AF389D">
        <w:rPr>
          <w:rFonts w:cs="Times New Roman"/>
          <w:szCs w:val="24"/>
        </w:rPr>
        <w:t xml:space="preserve">. </w:t>
      </w:r>
      <w:r w:rsidRPr="00AF389D">
        <w:rPr>
          <w:rFonts w:cs="Times New Roman"/>
          <w:szCs w:val="24"/>
        </w:rPr>
        <w:t xml:space="preserve">Apart from that, as mentioned earlier, as long as we can have insufficient culture training to the Non-Chinese employees, it will be much better to maintain the employee relationship.  </w:t>
      </w:r>
      <w:r w:rsidR="004506EE" w:rsidRPr="00AF389D">
        <w:rPr>
          <w:rFonts w:cs="Times New Roman"/>
          <w:szCs w:val="24"/>
        </w:rPr>
        <w:t>How well the product operates financially is one of the most critical things for purchasers to know. Chinese cosmetics are becoming more popular, making it hard for many overseas firms, including South K</w:t>
      </w:r>
      <w:r w:rsidR="004506EE" w:rsidRPr="004506EE">
        <w:rPr>
          <w:rFonts w:cs="Times New Roman"/>
          <w:szCs w:val="24"/>
        </w:rPr>
        <w:t>orean ones, to compete.</w:t>
      </w:r>
    </w:p>
    <w:p w:rsidR="00E5691E" w:rsidRDefault="00E5691E" w:rsidP="00F065C8">
      <w:pPr>
        <w:spacing w:line="480" w:lineRule="auto"/>
        <w:rPr>
          <w:rFonts w:cs="Times New Roman"/>
          <w:szCs w:val="24"/>
        </w:rPr>
      </w:pPr>
    </w:p>
    <w:p w:rsidR="00F065C8" w:rsidRDefault="00F065C8" w:rsidP="00F065C8">
      <w:pPr>
        <w:pStyle w:val="1"/>
      </w:pPr>
      <w:bookmarkStart w:id="6" w:name="_Toc120384750"/>
      <w:r>
        <w:t>Recommendations for solution</w:t>
      </w:r>
      <w:bookmarkEnd w:id="6"/>
      <w:r>
        <w:t xml:space="preserve"> </w:t>
      </w:r>
    </w:p>
    <w:p w:rsidR="00E5691E" w:rsidRPr="00E5691E" w:rsidRDefault="00E5691E" w:rsidP="00E5691E">
      <w:pPr>
        <w:spacing w:line="480" w:lineRule="auto"/>
        <w:rPr>
          <w:rFonts w:cs="Times New Roman"/>
          <w:szCs w:val="24"/>
        </w:rPr>
      </w:pPr>
      <w:r w:rsidRPr="00E5691E">
        <w:rPr>
          <w:rFonts w:cs="Times New Roman"/>
          <w:szCs w:val="24"/>
        </w:rPr>
        <w:t>Leadership-staff conflicts escalated. This broke commercial norms and created more complex and impersonal relationships. Current corporate management considers employee relations as a shared duty. Industrial relations have always been tight. Manufacturing was targeted. Thus, industrial and service economies diverged. It was prejudiced since it only applied to certain economic sectors (Turner, 2019). It also prioritized public sector enterprises above private sector firms of all sizes. Because of this, "employment relations"—the contacts between an employer and an employee in which the employee offers services for payment—emerged. Self-employed or home-based workers have little legal redress (Hyman 1975, p. 232). Thus, although consumers and shoemakers had no industrial relationship, shoemakers and their employees did.</w:t>
      </w:r>
    </w:p>
    <w:p w:rsidR="00E5691E" w:rsidRPr="00E5691E" w:rsidRDefault="00E5691E" w:rsidP="00E5691E">
      <w:pPr>
        <w:spacing w:line="480" w:lineRule="auto"/>
        <w:rPr>
          <w:rFonts w:cs="Times New Roman"/>
          <w:szCs w:val="24"/>
        </w:rPr>
      </w:pPr>
      <w:r w:rsidRPr="00E5691E">
        <w:rPr>
          <w:rFonts w:cs="Times New Roman"/>
          <w:szCs w:val="24"/>
        </w:rPr>
        <w:t>Since the 1980s, HRM has been a corporate buzzword as a successful alternative to labor unions. Human resources and industrial relations are disputed. The union mediated industrial relations conflicts between employees and the corporation. Parties should negotiate directly or collectively (Pincus, 2020). Strikes, demonstrations, and protests have esca</w:t>
      </w:r>
      <w:bookmarkStart w:id="7" w:name="_GoBack"/>
      <w:bookmarkEnd w:id="7"/>
      <w:r w:rsidRPr="00E5691E">
        <w:rPr>
          <w:rFonts w:cs="Times New Roman"/>
          <w:szCs w:val="24"/>
        </w:rPr>
        <w:t xml:space="preserve">lated due to these two labor relations issues, resulting in property destruction and poor working conditions. Strikes and other </w:t>
      </w:r>
      <w:r w:rsidRPr="00E5691E">
        <w:rPr>
          <w:rFonts w:cs="Times New Roman"/>
          <w:szCs w:val="24"/>
        </w:rPr>
        <w:lastRenderedPageBreak/>
        <w:t>public protests are symptoms of poor leadership. Expert human resource management may avert workpl</w:t>
      </w:r>
      <w:r>
        <w:rPr>
          <w:rFonts w:cs="Times New Roman"/>
          <w:szCs w:val="24"/>
        </w:rPr>
        <w:t>ace strikes and demonstrations.</w:t>
      </w:r>
    </w:p>
    <w:p w:rsidR="00E5691E" w:rsidRPr="00E5691E" w:rsidRDefault="00E5691E" w:rsidP="00E5691E">
      <w:pPr>
        <w:spacing w:line="480" w:lineRule="auto"/>
        <w:rPr>
          <w:rFonts w:cs="Times New Roman"/>
          <w:szCs w:val="24"/>
        </w:rPr>
      </w:pPr>
      <w:r w:rsidRPr="00E5691E">
        <w:rPr>
          <w:rFonts w:cs="Times New Roman"/>
          <w:szCs w:val="24"/>
        </w:rPr>
        <w:t>HRM also prioritizes recruiting and training improvements. Before 1980, corporations usually had a designated industrial relations manager to negotiate union and contract terms. A company's "welfare officer" oversaw cafeteria, health and safety, and retirement programs. HRM has weakened industrial relations, reducing collective bargaining and organized industrial conflicts. Human resource management's emphasis on managing personnel inherently entails industrial relations (</w:t>
      </w:r>
      <w:proofErr w:type="spellStart"/>
      <w:r w:rsidRPr="00E5691E">
        <w:rPr>
          <w:rFonts w:cs="Times New Roman"/>
          <w:szCs w:val="24"/>
        </w:rPr>
        <w:t>Theotokos</w:t>
      </w:r>
      <w:proofErr w:type="spellEnd"/>
      <w:r w:rsidRPr="00E5691E">
        <w:rPr>
          <w:rFonts w:cs="Times New Roman"/>
          <w:szCs w:val="24"/>
        </w:rPr>
        <w:t>, 2018). Individualism trumped community. Few companies have a specialized industrial relations section. Economics and organizational behavior have dominated academics for decades, causing problems. Laissez-faire, based on neoliberalism, dominates policymaking.</w:t>
      </w:r>
    </w:p>
    <w:p w:rsidR="00E5691E" w:rsidRPr="004E0728" w:rsidRDefault="00E5691E" w:rsidP="004E0728">
      <w:pPr>
        <w:shd w:val="clear" w:color="auto" w:fill="FFFFFF"/>
        <w:spacing w:after="0" w:line="480" w:lineRule="auto"/>
        <w:rPr>
          <w:rFonts w:eastAsia="Times New Roman" w:cs="Times New Roman"/>
          <w:szCs w:val="24"/>
        </w:rPr>
      </w:pPr>
      <w:r w:rsidRPr="00E5691E">
        <w:rPr>
          <w:rFonts w:cs="Times New Roman"/>
          <w:szCs w:val="24"/>
        </w:rPr>
        <w:t>Management-employee relations determine a company's success. Positive boss-employee interactions may increase workplace enjoyment, productivity, and cohesion. Understanding how to improve employee relations will help you keep and recruit the best and brightest. Strong employee connections may improve company-wide communication. In a nice workplace, workers feel valued and free to voice their thoughts</w:t>
      </w:r>
      <w:r w:rsidR="004E0728">
        <w:rPr>
          <w:rFonts w:cs="Times New Roman"/>
          <w:szCs w:val="24"/>
        </w:rPr>
        <w:t xml:space="preserve"> </w:t>
      </w:r>
      <w:r w:rsidR="004E0728">
        <w:rPr>
          <w:rFonts w:cs="Times New Roman"/>
          <w:szCs w:val="24"/>
          <w:shd w:val="clear" w:color="auto" w:fill="FFFFFF"/>
        </w:rPr>
        <w:t>(Tiwari et al., 2021</w:t>
      </w:r>
      <w:r w:rsidR="004E0728" w:rsidRPr="004E0728">
        <w:rPr>
          <w:rFonts w:cs="Times New Roman"/>
          <w:szCs w:val="24"/>
          <w:shd w:val="clear" w:color="auto" w:fill="FFFFFF"/>
        </w:rPr>
        <w:t>)</w:t>
      </w:r>
      <w:r w:rsidRPr="00E5691E">
        <w:rPr>
          <w:rFonts w:cs="Times New Roman"/>
          <w:szCs w:val="24"/>
        </w:rPr>
        <w:t>. When management and workers communicate, people feel more comfortable giving feedback on leadership.</w:t>
      </w:r>
    </w:p>
    <w:p w:rsidR="00E5691E" w:rsidRPr="00E5691E" w:rsidRDefault="00E5691E" w:rsidP="004E0728">
      <w:pPr>
        <w:spacing w:line="480" w:lineRule="auto"/>
        <w:rPr>
          <w:rFonts w:cs="Times New Roman"/>
          <w:szCs w:val="24"/>
        </w:rPr>
      </w:pPr>
      <w:r w:rsidRPr="00E5691E">
        <w:rPr>
          <w:rFonts w:cs="Times New Roman"/>
          <w:szCs w:val="24"/>
        </w:rPr>
        <w:t>Motivated workers who trust their managers may go above and beyond to achieve their jobs. Discuss employee motivation. Make your reward and recognition system employee-driven. Employee "buy-in" means loyalty to a company's values. Management-employee relations improve firm ideas and success</w:t>
      </w:r>
      <w:r w:rsidR="004E0728">
        <w:rPr>
          <w:rFonts w:cs="Times New Roman"/>
          <w:szCs w:val="24"/>
        </w:rPr>
        <w:t xml:space="preserve"> </w:t>
      </w:r>
      <w:r w:rsidR="004E0728">
        <w:rPr>
          <w:rFonts w:cs="Times New Roman"/>
          <w:szCs w:val="24"/>
          <w:shd w:val="clear" w:color="auto" w:fill="FFFFFF"/>
        </w:rPr>
        <w:t>(</w:t>
      </w:r>
      <w:proofErr w:type="spellStart"/>
      <w:r w:rsidR="004E0728">
        <w:rPr>
          <w:rFonts w:cs="Times New Roman"/>
          <w:szCs w:val="24"/>
          <w:shd w:val="clear" w:color="auto" w:fill="FFFFFF"/>
        </w:rPr>
        <w:t>Walle</w:t>
      </w:r>
      <w:proofErr w:type="spellEnd"/>
      <w:r w:rsidR="004E0728">
        <w:rPr>
          <w:rFonts w:cs="Times New Roman"/>
          <w:szCs w:val="24"/>
          <w:shd w:val="clear" w:color="auto" w:fill="FFFFFF"/>
        </w:rPr>
        <w:t>, 2013</w:t>
      </w:r>
      <w:r w:rsidR="004E0728" w:rsidRPr="004E0728">
        <w:rPr>
          <w:rFonts w:cs="Times New Roman"/>
          <w:szCs w:val="24"/>
          <w:shd w:val="clear" w:color="auto" w:fill="FFFFFF"/>
        </w:rPr>
        <w:t>)</w:t>
      </w:r>
      <w:r w:rsidRPr="00E5691E">
        <w:rPr>
          <w:rFonts w:cs="Times New Roman"/>
          <w:szCs w:val="24"/>
        </w:rPr>
        <w:t>. Senior management's faith in workers boosts morale and encourages teamwork.</w:t>
      </w:r>
    </w:p>
    <w:p w:rsidR="00E5691E" w:rsidRDefault="00E5691E" w:rsidP="00E5691E">
      <w:pPr>
        <w:spacing w:line="480" w:lineRule="auto"/>
        <w:rPr>
          <w:rFonts w:cs="Times New Roman"/>
          <w:szCs w:val="24"/>
        </w:rPr>
      </w:pPr>
      <w:r w:rsidRPr="00E5691E">
        <w:rPr>
          <w:rFonts w:cs="Times New Roman"/>
          <w:szCs w:val="24"/>
        </w:rPr>
        <w:lastRenderedPageBreak/>
        <w:t>Understanding how their work benefits the company helps employees succeed. Understanding their role in accomplishing the company's vision may motivate employees. Community-building activities may boost employee morale and work satisfaction. Employee input on how to enhance the company's operations usually yields new, practical suggestions that benefit everyone (Byrne, 2022). Communicating with workers shows you appreciate their opinions and gives you new ideas. Respecting team members' improvement recommendations shows appreciation. Implement team member suggestions. If they helped create the strategy, they could be more dedicated to finishing it.</w:t>
      </w:r>
    </w:p>
    <w:p w:rsidR="004A686A" w:rsidRPr="004D3CE8" w:rsidRDefault="0070584E" w:rsidP="00E5691E">
      <w:pPr>
        <w:pStyle w:val="1"/>
      </w:pPr>
      <w:bookmarkStart w:id="8" w:name="_Toc120384751"/>
      <w:r w:rsidRPr="004D3CE8">
        <w:t>Conclusion</w:t>
      </w:r>
      <w:bookmarkEnd w:id="8"/>
      <w:r w:rsidRPr="004D3CE8">
        <w:t xml:space="preserve"> </w:t>
      </w:r>
    </w:p>
    <w:p w:rsidR="004A686A" w:rsidRDefault="0070584E" w:rsidP="004D3CE8">
      <w:pPr>
        <w:spacing w:line="480" w:lineRule="auto"/>
        <w:rPr>
          <w:rFonts w:cs="Times New Roman"/>
          <w:szCs w:val="24"/>
        </w:rPr>
      </w:pPr>
      <w:r w:rsidRPr="004A686A">
        <w:rPr>
          <w:rFonts w:cs="Times New Roman"/>
          <w:szCs w:val="24"/>
        </w:rPr>
        <w:t xml:space="preserve">Facilitate employee understanding of their role within the wider organization and its significance to the company's long-term objectives. Team members may profit more from collaboration if they share the company's fundamental ideals. To accommodate a range of learners' preferred means of obtaining information, changes in expectations, rules, and procedures should be communicated orally and in writing. If you need to inform your employees, you may do it through email or at a team meeting. Provide appropriate information to your workers to develop a more successful working atmosphere; people like employers that are upfront and honest with them. When workers are recognized for their contributions, both their view on the organization and their drive to succeed improve. As a consequence, it's critical to think of novel ways to express gratitude to your employees. Recognizing and recognizing employees for even little achievements may have a major influence on morale. Some people are propelled ahead by the opportunity to shine in the limelight. Those who see their efforts acknowledged may be motivated to improve their own work habits. Implementing an Employee of the Month award is one way to publicly recognize a star performer while motivating other employees to perform </w:t>
      </w:r>
      <w:r w:rsidRPr="004A686A">
        <w:rPr>
          <w:rFonts w:cs="Times New Roman"/>
          <w:szCs w:val="24"/>
        </w:rPr>
        <w:lastRenderedPageBreak/>
        <w:t>better. Consider other ways to recognize outstanding job performance for those who prefer not to be the center of attention.</w:t>
      </w:r>
    </w:p>
    <w:p w:rsidR="004D3CE8" w:rsidRDefault="004D3CE8" w:rsidP="004E0728">
      <w:pPr>
        <w:shd w:val="clear" w:color="auto" w:fill="FFFFFF"/>
        <w:spacing w:after="0" w:line="240" w:lineRule="auto"/>
        <w:rPr>
          <w:rFonts w:eastAsia="Times New Roman" w:cs="Times New Roman"/>
          <w:color w:val="000000"/>
          <w:szCs w:val="24"/>
        </w:rPr>
      </w:pPr>
    </w:p>
    <w:p w:rsidR="004D3CE8" w:rsidRPr="004E0728" w:rsidRDefault="004D3CE8" w:rsidP="00F10546">
      <w:pPr>
        <w:shd w:val="clear" w:color="auto" w:fill="FFFFFF"/>
        <w:spacing w:after="0" w:line="240" w:lineRule="auto"/>
        <w:jc w:val="center"/>
        <w:rPr>
          <w:rFonts w:eastAsia="Times New Roman" w:cs="Times New Roman"/>
          <w:szCs w:val="24"/>
        </w:rPr>
      </w:pPr>
    </w:p>
    <w:p w:rsidR="00F10546" w:rsidRPr="00F10546" w:rsidRDefault="0070584E" w:rsidP="001D0EB4">
      <w:pPr>
        <w:pStyle w:val="1"/>
        <w:jc w:val="center"/>
        <w:rPr>
          <w:rFonts w:eastAsia="Times New Roman"/>
        </w:rPr>
      </w:pPr>
      <w:r w:rsidRPr="00F10546">
        <w:rPr>
          <w:rFonts w:eastAsia="Times New Roman"/>
        </w:rPr>
        <w:t>References</w:t>
      </w:r>
    </w:p>
    <w:p w:rsidR="00F10546" w:rsidRPr="00F10546" w:rsidRDefault="0070584E" w:rsidP="00F10546">
      <w:pPr>
        <w:shd w:val="clear" w:color="auto" w:fill="FFFFFF"/>
        <w:spacing w:after="0" w:line="550" w:lineRule="atLeast"/>
        <w:ind w:left="720" w:right="75" w:hanging="720"/>
        <w:jc w:val="center"/>
        <w:rPr>
          <w:rFonts w:eastAsia="Times New Roman" w:cs="Times New Roman"/>
          <w:color w:val="000000"/>
          <w:szCs w:val="24"/>
        </w:rPr>
      </w:pPr>
      <w:r w:rsidRPr="00F10546">
        <w:rPr>
          <w:rFonts w:eastAsia="Times New Roman" w:cs="Times New Roman"/>
          <w:color w:val="000000"/>
          <w:szCs w:val="24"/>
        </w:rPr>
        <w:t>Akter, S. (2020). Companies’ vision, mission, and core values focus on human resource management. </w:t>
      </w:r>
      <w:r w:rsidRPr="00F10546">
        <w:rPr>
          <w:rFonts w:eastAsia="Times New Roman" w:cs="Times New Roman"/>
          <w:i/>
          <w:iCs/>
          <w:color w:val="000000"/>
          <w:szCs w:val="24"/>
        </w:rPr>
        <w:t>International Journal of Financial, Accounting, and Management</w:t>
      </w:r>
      <w:r w:rsidRPr="00F10546">
        <w:rPr>
          <w:rFonts w:eastAsia="Times New Roman" w:cs="Times New Roman"/>
          <w:color w:val="000000"/>
          <w:szCs w:val="24"/>
        </w:rPr>
        <w:t>, </w:t>
      </w:r>
      <w:r w:rsidRPr="00F10546">
        <w:rPr>
          <w:rFonts w:eastAsia="Times New Roman" w:cs="Times New Roman"/>
          <w:i/>
          <w:iCs/>
          <w:color w:val="000000"/>
          <w:szCs w:val="24"/>
        </w:rPr>
        <w:t>2</w:t>
      </w:r>
      <w:r w:rsidRPr="00F10546">
        <w:rPr>
          <w:rFonts w:eastAsia="Times New Roman" w:cs="Times New Roman"/>
          <w:color w:val="000000"/>
          <w:szCs w:val="24"/>
        </w:rPr>
        <w:t>(4), 343-355. </w:t>
      </w:r>
      <w:hyperlink r:id="rId9" w:history="1">
        <w:r w:rsidRPr="00F10546">
          <w:rPr>
            <w:rFonts w:eastAsia="Times New Roman" w:cs="Times New Roman"/>
            <w:color w:val="000000"/>
            <w:szCs w:val="24"/>
            <w:u w:val="single"/>
          </w:rPr>
          <w:t>https://doi.org/10.35912/ijfam.v2i4.412</w:t>
        </w:r>
      </w:hyperlink>
    </w:p>
    <w:p w:rsidR="00F10546" w:rsidRPr="00F10546" w:rsidRDefault="0070584E" w:rsidP="00F10546">
      <w:pPr>
        <w:shd w:val="clear" w:color="auto" w:fill="FFFFFF"/>
        <w:spacing w:after="0" w:line="550" w:lineRule="atLeast"/>
        <w:ind w:left="720" w:right="75" w:hanging="720"/>
        <w:jc w:val="center"/>
        <w:rPr>
          <w:rFonts w:eastAsia="Times New Roman" w:cs="Times New Roman"/>
          <w:color w:val="000000"/>
          <w:szCs w:val="24"/>
        </w:rPr>
      </w:pPr>
      <w:r w:rsidRPr="00F10546">
        <w:rPr>
          <w:rFonts w:eastAsia="Times New Roman" w:cs="Times New Roman"/>
          <w:color w:val="000000"/>
          <w:szCs w:val="24"/>
        </w:rPr>
        <w:t>Applicant–organization relationship and employee–organization relationship: What is the connection? (2012). </w:t>
      </w:r>
      <w:r w:rsidRPr="00F10546">
        <w:rPr>
          <w:rFonts w:eastAsia="Times New Roman" w:cs="Times New Roman"/>
          <w:i/>
          <w:iCs/>
          <w:color w:val="000000"/>
          <w:szCs w:val="24"/>
        </w:rPr>
        <w:t>The Employee-Organization Relationship</w:t>
      </w:r>
      <w:r w:rsidRPr="00F10546">
        <w:rPr>
          <w:rFonts w:eastAsia="Times New Roman" w:cs="Times New Roman"/>
          <w:color w:val="000000"/>
          <w:szCs w:val="24"/>
        </w:rPr>
        <w:t>, 405-432. </w:t>
      </w:r>
      <w:hyperlink r:id="rId10" w:history="1">
        <w:r w:rsidRPr="00F10546">
          <w:rPr>
            <w:rFonts w:eastAsia="Times New Roman" w:cs="Times New Roman"/>
            <w:color w:val="000000"/>
            <w:szCs w:val="24"/>
            <w:u w:val="single"/>
          </w:rPr>
          <w:t>https://doi.org/10.4324/9780203138878-23</w:t>
        </w:r>
      </w:hyperlink>
    </w:p>
    <w:p w:rsidR="00F10546" w:rsidRPr="00F10546" w:rsidRDefault="0070584E" w:rsidP="00F10546">
      <w:pPr>
        <w:shd w:val="clear" w:color="auto" w:fill="FFFFFF"/>
        <w:spacing w:after="0" w:line="550" w:lineRule="atLeast"/>
        <w:ind w:left="720" w:right="75" w:hanging="720"/>
        <w:jc w:val="center"/>
        <w:rPr>
          <w:rFonts w:eastAsia="Times New Roman" w:cs="Times New Roman"/>
          <w:color w:val="000000"/>
          <w:szCs w:val="24"/>
        </w:rPr>
      </w:pPr>
      <w:r w:rsidRPr="00F10546">
        <w:rPr>
          <w:rFonts w:eastAsia="Times New Roman" w:cs="Times New Roman"/>
          <w:color w:val="000000"/>
          <w:szCs w:val="24"/>
        </w:rPr>
        <w:t>Beatrice, S. (2021). Improving employee engagement through leadership style. </w:t>
      </w:r>
      <w:r w:rsidRPr="00F10546">
        <w:rPr>
          <w:rFonts w:eastAsia="Times New Roman" w:cs="Times New Roman"/>
          <w:i/>
          <w:iCs/>
          <w:color w:val="000000"/>
          <w:szCs w:val="24"/>
        </w:rPr>
        <w:t>Muma Business Review</w:t>
      </w:r>
      <w:r w:rsidRPr="00F10546">
        <w:rPr>
          <w:rFonts w:eastAsia="Times New Roman" w:cs="Times New Roman"/>
          <w:color w:val="000000"/>
          <w:szCs w:val="24"/>
        </w:rPr>
        <w:t>, </w:t>
      </w:r>
      <w:r w:rsidRPr="00F10546">
        <w:rPr>
          <w:rFonts w:eastAsia="Times New Roman" w:cs="Times New Roman"/>
          <w:i/>
          <w:iCs/>
          <w:color w:val="000000"/>
          <w:szCs w:val="24"/>
        </w:rPr>
        <w:t>5</w:t>
      </w:r>
      <w:r w:rsidRPr="00F10546">
        <w:rPr>
          <w:rFonts w:eastAsia="Times New Roman" w:cs="Times New Roman"/>
          <w:color w:val="000000"/>
          <w:szCs w:val="24"/>
        </w:rPr>
        <w:t>, 005-007. </w:t>
      </w:r>
      <w:hyperlink r:id="rId11" w:history="1">
        <w:r w:rsidRPr="00F10546">
          <w:rPr>
            <w:rFonts w:eastAsia="Times New Roman" w:cs="Times New Roman"/>
            <w:color w:val="000000"/>
            <w:szCs w:val="24"/>
            <w:u w:val="single"/>
          </w:rPr>
          <w:t>https://doi.org/10.28945/4824</w:t>
        </w:r>
      </w:hyperlink>
    </w:p>
    <w:p w:rsidR="00F10546" w:rsidRPr="00F10546" w:rsidRDefault="0070584E" w:rsidP="00F10546">
      <w:pPr>
        <w:shd w:val="clear" w:color="auto" w:fill="FFFFFF"/>
        <w:spacing w:after="0" w:line="550" w:lineRule="atLeast"/>
        <w:ind w:left="720" w:right="75" w:hanging="720"/>
        <w:jc w:val="center"/>
        <w:rPr>
          <w:rFonts w:eastAsia="Times New Roman" w:cs="Times New Roman"/>
          <w:color w:val="000000"/>
          <w:szCs w:val="24"/>
        </w:rPr>
      </w:pPr>
      <w:r w:rsidRPr="00F10546">
        <w:rPr>
          <w:rFonts w:eastAsia="Times New Roman" w:cs="Times New Roman"/>
          <w:color w:val="000000"/>
          <w:szCs w:val="24"/>
        </w:rPr>
        <w:t>Beer, M. (2022). Human resource systems for sustainable companies. </w:t>
      </w:r>
      <w:r w:rsidRPr="00F10546">
        <w:rPr>
          <w:rFonts w:eastAsia="Times New Roman" w:cs="Times New Roman"/>
          <w:i/>
          <w:iCs/>
          <w:color w:val="000000"/>
          <w:szCs w:val="24"/>
        </w:rPr>
        <w:t>Sustainable Human Resource Management</w:t>
      </w:r>
      <w:r w:rsidRPr="00F10546">
        <w:rPr>
          <w:rFonts w:eastAsia="Times New Roman" w:cs="Times New Roman"/>
          <w:color w:val="000000"/>
          <w:szCs w:val="24"/>
        </w:rPr>
        <w:t>, 1-56. </w:t>
      </w:r>
      <w:hyperlink r:id="rId12" w:history="1">
        <w:r w:rsidRPr="00F10546">
          <w:rPr>
            <w:rFonts w:eastAsia="Times New Roman" w:cs="Times New Roman"/>
            <w:color w:val="000000"/>
            <w:szCs w:val="24"/>
            <w:u w:val="single"/>
          </w:rPr>
          <w:t>https://doi.org/10.1201/9781003339663-1</w:t>
        </w:r>
      </w:hyperlink>
    </w:p>
    <w:p w:rsidR="00F10546" w:rsidRPr="00F10546" w:rsidRDefault="0070584E" w:rsidP="00F10546">
      <w:pPr>
        <w:shd w:val="clear" w:color="auto" w:fill="FFFFFF"/>
        <w:spacing w:after="0" w:line="550" w:lineRule="atLeast"/>
        <w:ind w:left="720" w:right="75" w:hanging="720"/>
        <w:jc w:val="center"/>
        <w:rPr>
          <w:rFonts w:eastAsia="Times New Roman" w:cs="Times New Roman"/>
          <w:color w:val="000000"/>
          <w:szCs w:val="24"/>
        </w:rPr>
      </w:pPr>
      <w:r w:rsidRPr="00F10546">
        <w:rPr>
          <w:rFonts w:eastAsia="Times New Roman" w:cs="Times New Roman"/>
          <w:color w:val="000000"/>
          <w:szCs w:val="24"/>
        </w:rPr>
        <w:t>Byrne, Z. S. (2022). How do we improve employee engagement for competitive advantage? </w:t>
      </w:r>
      <w:r w:rsidRPr="00F10546">
        <w:rPr>
          <w:rFonts w:eastAsia="Times New Roman" w:cs="Times New Roman"/>
          <w:i/>
          <w:iCs/>
          <w:color w:val="000000"/>
          <w:szCs w:val="24"/>
        </w:rPr>
        <w:t>Understanding Employee Engagement</w:t>
      </w:r>
      <w:r w:rsidRPr="00F10546">
        <w:rPr>
          <w:rFonts w:eastAsia="Times New Roman" w:cs="Times New Roman"/>
          <w:color w:val="000000"/>
          <w:szCs w:val="24"/>
        </w:rPr>
        <w:t>, 143-158. </w:t>
      </w:r>
      <w:hyperlink r:id="rId13" w:history="1">
        <w:r w:rsidRPr="00F10546">
          <w:rPr>
            <w:rFonts w:eastAsia="Times New Roman" w:cs="Times New Roman"/>
            <w:color w:val="000000"/>
            <w:szCs w:val="24"/>
            <w:u w:val="single"/>
          </w:rPr>
          <w:t>https://doi.org/10.4324/9781003171133-10</w:t>
        </w:r>
      </w:hyperlink>
    </w:p>
    <w:p w:rsidR="00F10546" w:rsidRPr="00F10546" w:rsidRDefault="0070584E" w:rsidP="00F10546">
      <w:pPr>
        <w:shd w:val="clear" w:color="auto" w:fill="FFFFFF"/>
        <w:spacing w:after="0" w:line="550" w:lineRule="atLeast"/>
        <w:ind w:left="720" w:right="75" w:hanging="720"/>
        <w:jc w:val="center"/>
        <w:rPr>
          <w:rFonts w:eastAsia="Times New Roman" w:cs="Times New Roman"/>
          <w:color w:val="000000"/>
          <w:szCs w:val="24"/>
        </w:rPr>
      </w:pPr>
      <w:r w:rsidRPr="00F10546">
        <w:rPr>
          <w:rFonts w:eastAsia="Times New Roman" w:cs="Times New Roman"/>
          <w:color w:val="000000"/>
          <w:szCs w:val="24"/>
        </w:rPr>
        <w:t>Ceil, C. (2012). Maintaining good relationship between company and employee. </w:t>
      </w:r>
      <w:r w:rsidRPr="00F10546">
        <w:rPr>
          <w:rFonts w:eastAsia="Times New Roman" w:cs="Times New Roman"/>
          <w:i/>
          <w:iCs/>
          <w:color w:val="000000"/>
          <w:szCs w:val="24"/>
        </w:rPr>
        <w:t>SSRN Electronic Journal</w:t>
      </w:r>
      <w:r w:rsidRPr="00F10546">
        <w:rPr>
          <w:rFonts w:eastAsia="Times New Roman" w:cs="Times New Roman"/>
          <w:color w:val="000000"/>
          <w:szCs w:val="24"/>
        </w:rPr>
        <w:t>. </w:t>
      </w:r>
      <w:hyperlink r:id="rId14" w:history="1">
        <w:r w:rsidRPr="00F10546">
          <w:rPr>
            <w:rFonts w:eastAsia="Times New Roman" w:cs="Times New Roman"/>
            <w:color w:val="000000"/>
            <w:szCs w:val="24"/>
            <w:u w:val="single"/>
          </w:rPr>
          <w:t>https://doi.org/10.2139/ssrn.2030850</w:t>
        </w:r>
      </w:hyperlink>
    </w:p>
    <w:p w:rsidR="00F10546" w:rsidRPr="00F10546" w:rsidRDefault="0070584E" w:rsidP="00F10546">
      <w:pPr>
        <w:shd w:val="clear" w:color="auto" w:fill="FFFFFF"/>
        <w:spacing w:after="0" w:line="550" w:lineRule="atLeast"/>
        <w:ind w:left="720" w:right="75" w:hanging="720"/>
        <w:jc w:val="center"/>
        <w:rPr>
          <w:rFonts w:eastAsia="Times New Roman" w:cs="Times New Roman"/>
          <w:color w:val="000000"/>
          <w:szCs w:val="24"/>
        </w:rPr>
      </w:pPr>
      <w:r w:rsidRPr="00F10546">
        <w:rPr>
          <w:rFonts w:eastAsia="Times New Roman" w:cs="Times New Roman"/>
          <w:color w:val="000000"/>
          <w:szCs w:val="24"/>
        </w:rPr>
        <w:t>Crosby, D. H. (2014). Improving employee retention in the public sector by increasing employee engagement. </w:t>
      </w:r>
      <w:r w:rsidRPr="00F10546">
        <w:rPr>
          <w:rFonts w:eastAsia="Times New Roman" w:cs="Times New Roman"/>
          <w:i/>
          <w:iCs/>
          <w:color w:val="000000"/>
          <w:szCs w:val="24"/>
        </w:rPr>
        <w:t>SSRN Electronic Journal</w:t>
      </w:r>
      <w:r w:rsidRPr="00F10546">
        <w:rPr>
          <w:rFonts w:eastAsia="Times New Roman" w:cs="Times New Roman"/>
          <w:color w:val="000000"/>
          <w:szCs w:val="24"/>
        </w:rPr>
        <w:t>. </w:t>
      </w:r>
      <w:hyperlink r:id="rId15" w:history="1">
        <w:r w:rsidRPr="00F10546">
          <w:rPr>
            <w:rFonts w:eastAsia="Times New Roman" w:cs="Times New Roman"/>
            <w:color w:val="000000"/>
            <w:szCs w:val="24"/>
            <w:u w:val="single"/>
          </w:rPr>
          <w:t>https://doi.org/10.2139/ssrn.2555709</w:t>
        </w:r>
      </w:hyperlink>
    </w:p>
    <w:p w:rsidR="00F10546" w:rsidRPr="00F10546" w:rsidRDefault="0070584E" w:rsidP="00F10546">
      <w:pPr>
        <w:shd w:val="clear" w:color="auto" w:fill="FFFFFF"/>
        <w:spacing w:after="0" w:line="550" w:lineRule="atLeast"/>
        <w:ind w:left="720" w:right="75" w:hanging="720"/>
        <w:jc w:val="center"/>
        <w:rPr>
          <w:rFonts w:eastAsia="Times New Roman" w:cs="Times New Roman"/>
          <w:color w:val="000000"/>
          <w:szCs w:val="24"/>
        </w:rPr>
      </w:pPr>
      <w:r w:rsidRPr="00F10546">
        <w:rPr>
          <w:rFonts w:eastAsia="Times New Roman" w:cs="Times New Roman"/>
          <w:color w:val="000000"/>
          <w:szCs w:val="24"/>
        </w:rPr>
        <w:t>Graban, M., &amp; Toussaint, J. (2018). Improving flow. </w:t>
      </w:r>
      <w:r w:rsidRPr="00F10546">
        <w:rPr>
          <w:rFonts w:eastAsia="Times New Roman" w:cs="Times New Roman"/>
          <w:i/>
          <w:iCs/>
          <w:color w:val="000000"/>
          <w:szCs w:val="24"/>
        </w:rPr>
        <w:t>Lean Hospitals</w:t>
      </w:r>
      <w:r w:rsidRPr="00F10546">
        <w:rPr>
          <w:rFonts w:eastAsia="Times New Roman" w:cs="Times New Roman"/>
          <w:color w:val="000000"/>
          <w:szCs w:val="24"/>
        </w:rPr>
        <w:t>, 199-226. </w:t>
      </w:r>
      <w:hyperlink r:id="rId16" w:history="1">
        <w:r w:rsidRPr="00F10546">
          <w:rPr>
            <w:rFonts w:eastAsia="Times New Roman" w:cs="Times New Roman"/>
            <w:color w:val="000000"/>
            <w:szCs w:val="24"/>
            <w:u w:val="single"/>
          </w:rPr>
          <w:t>https://doi.org/10.4324/9781315380827-9</w:t>
        </w:r>
      </w:hyperlink>
    </w:p>
    <w:p w:rsidR="000E4940" w:rsidRPr="000E4940" w:rsidRDefault="0070584E" w:rsidP="000E4940">
      <w:pPr>
        <w:shd w:val="clear" w:color="auto" w:fill="FFFFFF"/>
        <w:spacing w:after="0" w:line="550" w:lineRule="atLeast"/>
        <w:ind w:left="720" w:right="75" w:hanging="720"/>
        <w:jc w:val="center"/>
        <w:rPr>
          <w:rFonts w:eastAsia="Times New Roman" w:cs="Times New Roman"/>
          <w:color w:val="000000"/>
          <w:szCs w:val="24"/>
          <w:u w:val="single"/>
        </w:rPr>
      </w:pPr>
      <w:r w:rsidRPr="00F10546">
        <w:rPr>
          <w:rFonts w:eastAsia="Times New Roman" w:cs="Times New Roman"/>
          <w:color w:val="000000"/>
          <w:szCs w:val="24"/>
        </w:rPr>
        <w:lastRenderedPageBreak/>
        <w:t xml:space="preserve">-, K., &amp; Kioko, F. (2018). Effects of employee motivation on employee performance at Machakos County Government, Kenya. </w:t>
      </w:r>
      <w:r w:rsidRPr="00F10546">
        <w:rPr>
          <w:rFonts w:eastAsia="Times New Roman" w:cs="Times New Roman"/>
          <w:i/>
          <w:iCs/>
          <w:color w:val="000000"/>
          <w:szCs w:val="24"/>
        </w:rPr>
        <w:t>International Academic Journal of Humanities</w:t>
      </w:r>
      <w:r w:rsidRPr="00F10546">
        <w:rPr>
          <w:rFonts w:eastAsia="Times New Roman" w:cs="Times New Roman"/>
          <w:color w:val="000000"/>
          <w:szCs w:val="24"/>
        </w:rPr>
        <w:t>, </w:t>
      </w:r>
      <w:r w:rsidRPr="00F10546">
        <w:rPr>
          <w:rFonts w:eastAsia="Times New Roman" w:cs="Times New Roman"/>
          <w:i/>
          <w:iCs/>
          <w:color w:val="000000"/>
          <w:szCs w:val="24"/>
        </w:rPr>
        <w:t>05</w:t>
      </w:r>
      <w:r w:rsidRPr="00F10546">
        <w:rPr>
          <w:rFonts w:eastAsia="Times New Roman" w:cs="Times New Roman"/>
          <w:color w:val="000000"/>
          <w:szCs w:val="24"/>
        </w:rPr>
        <w:t>(01), 32-38. </w:t>
      </w:r>
      <w:hyperlink r:id="rId17" w:history="1">
        <w:r w:rsidRPr="00F10546">
          <w:rPr>
            <w:rFonts w:eastAsia="Times New Roman" w:cs="Times New Roman"/>
            <w:color w:val="000000"/>
            <w:szCs w:val="24"/>
            <w:u w:val="single"/>
          </w:rPr>
          <w:t>https://doi.org/10.9756/iajh/v5i1/1810004</w:t>
        </w:r>
      </w:hyperlink>
    </w:p>
    <w:p w:rsidR="00F10546" w:rsidRPr="00F10546" w:rsidRDefault="0070584E" w:rsidP="00F10546">
      <w:pPr>
        <w:shd w:val="clear" w:color="auto" w:fill="FFFFFF"/>
        <w:spacing w:after="0" w:line="550" w:lineRule="atLeast"/>
        <w:ind w:left="720" w:right="75" w:hanging="720"/>
        <w:jc w:val="center"/>
        <w:rPr>
          <w:rFonts w:eastAsia="Times New Roman" w:cs="Times New Roman"/>
          <w:color w:val="000000"/>
          <w:szCs w:val="24"/>
        </w:rPr>
      </w:pPr>
      <w:r w:rsidRPr="00F10546">
        <w:rPr>
          <w:rFonts w:eastAsia="Times New Roman" w:cs="Times New Roman"/>
          <w:color w:val="000000"/>
          <w:szCs w:val="24"/>
        </w:rPr>
        <w:t>Pincus, J. (2020). Employee engagement as motivation: Practitioner models. </w:t>
      </w:r>
      <w:hyperlink r:id="rId18" w:history="1">
        <w:r w:rsidRPr="00F10546">
          <w:rPr>
            <w:rFonts w:eastAsia="Times New Roman" w:cs="Times New Roman"/>
            <w:color w:val="000000"/>
            <w:szCs w:val="24"/>
            <w:u w:val="single"/>
          </w:rPr>
          <w:t>https://doi.org/10.31124/advance.13270571.v1</w:t>
        </w:r>
      </w:hyperlink>
    </w:p>
    <w:p w:rsidR="00F10546" w:rsidRPr="00F10546" w:rsidRDefault="0070584E" w:rsidP="00F10546">
      <w:pPr>
        <w:shd w:val="clear" w:color="auto" w:fill="FFFFFF"/>
        <w:spacing w:after="0" w:line="550" w:lineRule="atLeast"/>
        <w:ind w:left="720" w:right="75" w:hanging="720"/>
        <w:jc w:val="center"/>
        <w:rPr>
          <w:rFonts w:eastAsia="Times New Roman" w:cs="Times New Roman"/>
          <w:color w:val="000000"/>
          <w:szCs w:val="24"/>
        </w:rPr>
      </w:pPr>
      <w:r w:rsidRPr="00F10546">
        <w:rPr>
          <w:rFonts w:eastAsia="Times New Roman" w:cs="Times New Roman"/>
          <w:color w:val="000000"/>
          <w:szCs w:val="24"/>
        </w:rPr>
        <w:t>Pincus, J. (2020). Employee engagement as motivation: Practitioner models. </w:t>
      </w:r>
      <w:hyperlink r:id="rId19" w:history="1">
        <w:r w:rsidRPr="00F10546">
          <w:rPr>
            <w:rFonts w:eastAsia="Times New Roman" w:cs="Times New Roman"/>
            <w:color w:val="000000"/>
            <w:szCs w:val="24"/>
            <w:u w:val="single"/>
          </w:rPr>
          <w:t>https://doi.org/10.31124/advance.13270571.v1</w:t>
        </w:r>
      </w:hyperlink>
    </w:p>
    <w:p w:rsidR="00F10546" w:rsidRDefault="0070584E" w:rsidP="00F10546">
      <w:pPr>
        <w:shd w:val="clear" w:color="auto" w:fill="FFFFFF"/>
        <w:spacing w:after="0" w:line="550" w:lineRule="atLeast"/>
        <w:ind w:left="720" w:right="75" w:hanging="720"/>
        <w:jc w:val="center"/>
        <w:rPr>
          <w:rFonts w:eastAsia="Times New Roman" w:cs="Times New Roman"/>
          <w:color w:val="000000"/>
          <w:szCs w:val="24"/>
          <w:u w:val="single"/>
        </w:rPr>
      </w:pPr>
      <w:r w:rsidRPr="00F10546">
        <w:rPr>
          <w:rFonts w:eastAsia="Times New Roman" w:cs="Times New Roman"/>
          <w:color w:val="000000"/>
          <w:szCs w:val="24"/>
        </w:rPr>
        <w:t>Saengchai, S., Siriattakul, P., &amp; Jermsittiparsert, K. (2019). Exploring the link between HRPractices, employee motivation, employee empowerment and employee performance in engineering firms of Indonesia. </w:t>
      </w:r>
      <w:r w:rsidRPr="00F10546">
        <w:rPr>
          <w:rFonts w:eastAsia="Times New Roman" w:cs="Times New Roman"/>
          <w:i/>
          <w:iCs/>
          <w:color w:val="000000"/>
          <w:szCs w:val="24"/>
        </w:rPr>
        <w:t>International Journal of Psychosocial Rehabilitation</w:t>
      </w:r>
      <w:r w:rsidRPr="00F10546">
        <w:rPr>
          <w:rFonts w:eastAsia="Times New Roman" w:cs="Times New Roman"/>
          <w:color w:val="000000"/>
          <w:szCs w:val="24"/>
        </w:rPr>
        <w:t>, </w:t>
      </w:r>
      <w:r w:rsidRPr="00F10546">
        <w:rPr>
          <w:rFonts w:eastAsia="Times New Roman" w:cs="Times New Roman"/>
          <w:i/>
          <w:iCs/>
          <w:color w:val="000000"/>
          <w:szCs w:val="24"/>
        </w:rPr>
        <w:t>23</w:t>
      </w:r>
      <w:r w:rsidRPr="00F10546">
        <w:rPr>
          <w:rFonts w:eastAsia="Times New Roman" w:cs="Times New Roman"/>
          <w:color w:val="000000"/>
          <w:szCs w:val="24"/>
        </w:rPr>
        <w:t>(4), 734-747. </w:t>
      </w:r>
      <w:hyperlink r:id="rId20" w:history="1">
        <w:r w:rsidRPr="00F10546">
          <w:rPr>
            <w:rFonts w:eastAsia="Times New Roman" w:cs="Times New Roman"/>
            <w:color w:val="000000"/>
            <w:szCs w:val="24"/>
            <w:u w:val="single"/>
          </w:rPr>
          <w:t>https://doi.org/10.37200/ijpr/v23i4/pr190406</w:t>
        </w:r>
      </w:hyperlink>
    </w:p>
    <w:p w:rsidR="000E4940" w:rsidRPr="000E4940" w:rsidRDefault="000E4940" w:rsidP="000E4940">
      <w:pPr>
        <w:pStyle w:val="Web"/>
        <w:shd w:val="clear" w:color="auto" w:fill="FFFFFF"/>
        <w:spacing w:before="0" w:beforeAutospacing="0" w:after="0" w:afterAutospacing="0" w:line="550" w:lineRule="atLeast"/>
        <w:ind w:left="720" w:right="75" w:hanging="720"/>
        <w:jc w:val="center"/>
        <w:rPr>
          <w:color w:val="000000"/>
        </w:rPr>
      </w:pPr>
      <w:r w:rsidRPr="000E4940">
        <w:rPr>
          <w:color w:val="000000"/>
        </w:rPr>
        <w:t>South African Gupta scandal will expand globally. (2017). </w:t>
      </w:r>
      <w:r w:rsidRPr="000E4940">
        <w:rPr>
          <w:rStyle w:val="a3"/>
          <w:color w:val="000000"/>
        </w:rPr>
        <w:t>Emerald Expert Briefings</w:t>
      </w:r>
      <w:r w:rsidRPr="000E4940">
        <w:rPr>
          <w:color w:val="000000"/>
        </w:rPr>
        <w:t>. </w:t>
      </w:r>
      <w:hyperlink r:id="rId21" w:history="1">
        <w:r w:rsidRPr="000E4940">
          <w:rPr>
            <w:rStyle w:val="a4"/>
            <w:color w:val="000000"/>
          </w:rPr>
          <w:t>https://doi.org/10.1108/oxan-es225529</w:t>
        </w:r>
      </w:hyperlink>
    </w:p>
    <w:p w:rsidR="000E4940" w:rsidRDefault="000E4940" w:rsidP="000E4940">
      <w:pPr>
        <w:shd w:val="clear" w:color="auto" w:fill="FFFFFF"/>
        <w:spacing w:after="0" w:line="550" w:lineRule="atLeast"/>
        <w:ind w:left="720" w:right="75" w:hanging="720"/>
        <w:jc w:val="center"/>
        <w:rPr>
          <w:rFonts w:cs="Times New Roman"/>
          <w:color w:val="000000"/>
          <w:szCs w:val="24"/>
        </w:rPr>
      </w:pPr>
      <w:proofErr w:type="spellStart"/>
      <w:r w:rsidRPr="000E4940">
        <w:rPr>
          <w:rFonts w:cs="Times New Roman"/>
          <w:color w:val="000000"/>
          <w:szCs w:val="24"/>
        </w:rPr>
        <w:t>Studd</w:t>
      </w:r>
      <w:proofErr w:type="spellEnd"/>
      <w:r w:rsidRPr="000E4940">
        <w:rPr>
          <w:rFonts w:cs="Times New Roman"/>
          <w:color w:val="000000"/>
          <w:szCs w:val="24"/>
        </w:rPr>
        <w:t>, J. P. (2019). How universes expand. </w:t>
      </w:r>
      <w:r w:rsidRPr="000E4940">
        <w:rPr>
          <w:rStyle w:val="a3"/>
          <w:rFonts w:cs="Times New Roman"/>
          <w:color w:val="000000"/>
          <w:szCs w:val="24"/>
        </w:rPr>
        <w:t>Everything, more or less</w:t>
      </w:r>
      <w:r w:rsidRPr="000E4940">
        <w:rPr>
          <w:rFonts w:cs="Times New Roman"/>
          <w:color w:val="000000"/>
          <w:szCs w:val="24"/>
        </w:rPr>
        <w:t>, 214-244. </w:t>
      </w:r>
      <w:hyperlink r:id="rId22" w:history="1">
        <w:r w:rsidRPr="000E4940">
          <w:rPr>
            <w:rStyle w:val="a4"/>
            <w:rFonts w:cs="Times New Roman"/>
            <w:color w:val="000000"/>
            <w:szCs w:val="24"/>
          </w:rPr>
          <w:t>https://doi.org/10.1093/oso/9780198719649.003.0008</w:t>
        </w:r>
      </w:hyperlink>
    </w:p>
    <w:p w:rsidR="000E4940" w:rsidRPr="000E4940" w:rsidRDefault="000E4940" w:rsidP="000E4940">
      <w:pPr>
        <w:pStyle w:val="Web"/>
        <w:shd w:val="clear" w:color="auto" w:fill="FFFFFF"/>
        <w:spacing w:before="0" w:beforeAutospacing="0" w:after="0" w:afterAutospacing="0" w:line="550" w:lineRule="atLeast"/>
        <w:ind w:left="720" w:right="75" w:hanging="720"/>
        <w:jc w:val="center"/>
        <w:rPr>
          <w:color w:val="000000"/>
        </w:rPr>
      </w:pPr>
      <w:r w:rsidRPr="000E4940">
        <w:rPr>
          <w:color w:val="000000"/>
        </w:rPr>
        <w:t>Tiwari, A., Sharma, R. R., &amp; Sharma, T. (2021). A case of family business strategy of expansion. </w:t>
      </w:r>
      <w:r w:rsidRPr="000E4940">
        <w:rPr>
          <w:rStyle w:val="a3"/>
          <w:color w:val="000000"/>
        </w:rPr>
        <w:t>Global Business Review</w:t>
      </w:r>
      <w:r w:rsidRPr="000E4940">
        <w:rPr>
          <w:color w:val="000000"/>
        </w:rPr>
        <w:t>, 097215092198966. </w:t>
      </w:r>
      <w:hyperlink r:id="rId23" w:history="1">
        <w:r w:rsidRPr="000E4940">
          <w:rPr>
            <w:rStyle w:val="a4"/>
            <w:color w:val="000000"/>
          </w:rPr>
          <w:t>https://doi.org/10.1177/0972150921989667</w:t>
        </w:r>
      </w:hyperlink>
    </w:p>
    <w:p w:rsidR="000E4940" w:rsidRPr="00F10546" w:rsidRDefault="000E4940" w:rsidP="000E4940">
      <w:pPr>
        <w:shd w:val="clear" w:color="auto" w:fill="FFFFFF"/>
        <w:spacing w:after="0" w:line="550" w:lineRule="atLeast"/>
        <w:ind w:left="720" w:right="75" w:hanging="720"/>
        <w:jc w:val="center"/>
        <w:rPr>
          <w:rFonts w:eastAsia="Times New Roman" w:cs="Times New Roman"/>
          <w:color w:val="000000"/>
          <w:szCs w:val="24"/>
        </w:rPr>
      </w:pPr>
    </w:p>
    <w:p w:rsidR="00F10546" w:rsidRPr="00F10546" w:rsidRDefault="0070584E" w:rsidP="00F10546">
      <w:pPr>
        <w:shd w:val="clear" w:color="auto" w:fill="FFFFFF"/>
        <w:spacing w:after="0" w:line="550" w:lineRule="atLeast"/>
        <w:ind w:left="720" w:right="75" w:hanging="720"/>
        <w:jc w:val="center"/>
        <w:rPr>
          <w:rFonts w:eastAsia="Times New Roman" w:cs="Times New Roman"/>
          <w:color w:val="000000"/>
          <w:szCs w:val="24"/>
        </w:rPr>
      </w:pPr>
      <w:r w:rsidRPr="00F10546">
        <w:rPr>
          <w:rFonts w:eastAsia="Times New Roman" w:cs="Times New Roman"/>
          <w:color w:val="000000"/>
          <w:szCs w:val="24"/>
        </w:rPr>
        <w:t>Theotokas, I. (2018). Human resource management in shipping companies. </w:t>
      </w:r>
      <w:r w:rsidRPr="00F10546">
        <w:rPr>
          <w:rFonts w:eastAsia="Times New Roman" w:cs="Times New Roman"/>
          <w:i/>
          <w:iCs/>
          <w:color w:val="000000"/>
          <w:szCs w:val="24"/>
        </w:rPr>
        <w:t>Management of Shipping Companies</w:t>
      </w:r>
      <w:r w:rsidRPr="00F10546">
        <w:rPr>
          <w:rFonts w:eastAsia="Times New Roman" w:cs="Times New Roman"/>
          <w:color w:val="000000"/>
          <w:szCs w:val="24"/>
        </w:rPr>
        <w:t>, 192-208. </w:t>
      </w:r>
      <w:hyperlink r:id="rId24" w:history="1">
        <w:r w:rsidRPr="00F10546">
          <w:rPr>
            <w:rFonts w:eastAsia="Times New Roman" w:cs="Times New Roman"/>
            <w:color w:val="000000"/>
            <w:szCs w:val="24"/>
            <w:u w:val="single"/>
          </w:rPr>
          <w:t>https://doi.org/10.4324/9781315641294-7</w:t>
        </w:r>
      </w:hyperlink>
    </w:p>
    <w:p w:rsidR="00F10546" w:rsidRPr="00F10546" w:rsidRDefault="0070584E" w:rsidP="00F10546">
      <w:pPr>
        <w:shd w:val="clear" w:color="auto" w:fill="FFFFFF"/>
        <w:spacing w:after="0" w:line="550" w:lineRule="atLeast"/>
        <w:ind w:left="720" w:right="75" w:hanging="720"/>
        <w:jc w:val="center"/>
        <w:rPr>
          <w:rFonts w:eastAsia="Times New Roman" w:cs="Times New Roman"/>
          <w:color w:val="000000"/>
          <w:szCs w:val="24"/>
        </w:rPr>
      </w:pPr>
      <w:r w:rsidRPr="00F10546">
        <w:rPr>
          <w:rFonts w:eastAsia="Times New Roman" w:cs="Times New Roman"/>
          <w:color w:val="000000"/>
          <w:szCs w:val="24"/>
        </w:rPr>
        <w:t>Turner, P. (2019). Measuring employee engagement. </w:t>
      </w:r>
      <w:r w:rsidRPr="00F10546">
        <w:rPr>
          <w:rFonts w:eastAsia="Times New Roman" w:cs="Times New Roman"/>
          <w:i/>
          <w:iCs/>
          <w:color w:val="000000"/>
          <w:szCs w:val="24"/>
        </w:rPr>
        <w:t>Employee Engagement in Contemporary Organizations</w:t>
      </w:r>
      <w:r w:rsidRPr="00F10546">
        <w:rPr>
          <w:rFonts w:eastAsia="Times New Roman" w:cs="Times New Roman"/>
          <w:color w:val="000000"/>
          <w:szCs w:val="24"/>
        </w:rPr>
        <w:t>, 193-222. </w:t>
      </w:r>
      <w:hyperlink r:id="rId25" w:history="1">
        <w:r w:rsidRPr="00F10546">
          <w:rPr>
            <w:rFonts w:eastAsia="Times New Roman" w:cs="Times New Roman"/>
            <w:color w:val="000000"/>
            <w:szCs w:val="24"/>
            <w:u w:val="single"/>
          </w:rPr>
          <w:t>https://doi.org/10.1007/978-3-030-36387-1_8</w:t>
        </w:r>
      </w:hyperlink>
    </w:p>
    <w:p w:rsidR="000E4940" w:rsidRPr="000E4940" w:rsidRDefault="000E4940" w:rsidP="000E4940">
      <w:pPr>
        <w:pStyle w:val="Web"/>
        <w:shd w:val="clear" w:color="auto" w:fill="FFFFFF"/>
        <w:spacing w:before="0" w:beforeAutospacing="0" w:after="0" w:afterAutospacing="0" w:line="550" w:lineRule="atLeast"/>
        <w:ind w:left="720" w:right="75" w:hanging="720"/>
        <w:jc w:val="center"/>
        <w:rPr>
          <w:color w:val="000000"/>
        </w:rPr>
      </w:pPr>
      <w:r w:rsidRPr="000E4940">
        <w:rPr>
          <w:color w:val="000000"/>
        </w:rPr>
        <w:lastRenderedPageBreak/>
        <w:t>Understanding the business model for growth and expansion on a global basis. (2015). </w:t>
      </w:r>
      <w:r w:rsidRPr="000E4940">
        <w:rPr>
          <w:rStyle w:val="a3"/>
          <w:color w:val="000000"/>
        </w:rPr>
        <w:t>Managing Growth and Expansion into Global Markets</w:t>
      </w:r>
      <w:r w:rsidRPr="000E4940">
        <w:rPr>
          <w:color w:val="000000"/>
        </w:rPr>
        <w:t>, 20-37. </w:t>
      </w:r>
      <w:hyperlink r:id="rId26" w:history="1">
        <w:r w:rsidRPr="000E4940">
          <w:rPr>
            <w:rStyle w:val="a4"/>
            <w:color w:val="000000"/>
          </w:rPr>
          <w:t>https://doi.org/10.1201/b18934-5</w:t>
        </w:r>
      </w:hyperlink>
    </w:p>
    <w:p w:rsidR="000E4940" w:rsidRPr="000E4940" w:rsidRDefault="000E4940" w:rsidP="000E4940">
      <w:pPr>
        <w:pStyle w:val="Web"/>
        <w:shd w:val="clear" w:color="auto" w:fill="FFFFFF"/>
        <w:spacing w:before="0" w:beforeAutospacing="0" w:after="0" w:afterAutospacing="0" w:line="550" w:lineRule="atLeast"/>
        <w:ind w:left="720" w:right="75" w:hanging="720"/>
        <w:jc w:val="center"/>
        <w:rPr>
          <w:color w:val="000000"/>
        </w:rPr>
      </w:pPr>
      <w:proofErr w:type="spellStart"/>
      <w:r w:rsidRPr="000E4940">
        <w:rPr>
          <w:color w:val="000000"/>
        </w:rPr>
        <w:t>Walle</w:t>
      </w:r>
      <w:proofErr w:type="spellEnd"/>
      <w:r w:rsidRPr="000E4940">
        <w:rPr>
          <w:color w:val="000000"/>
        </w:rPr>
        <w:t>, A. (2013). Archetypes and business strategies. </w:t>
      </w:r>
      <w:r w:rsidRPr="000E4940">
        <w:rPr>
          <w:rStyle w:val="a3"/>
          <w:color w:val="000000"/>
        </w:rPr>
        <w:t>Rethinking Business Anthropology: Cultural Strategies in Marketing and Management</w:t>
      </w:r>
      <w:r w:rsidRPr="000E4940">
        <w:rPr>
          <w:color w:val="000000"/>
        </w:rPr>
        <w:t>. </w:t>
      </w:r>
      <w:hyperlink r:id="rId27" w:history="1">
        <w:r w:rsidRPr="000E4940">
          <w:rPr>
            <w:rStyle w:val="a4"/>
            <w:color w:val="000000"/>
          </w:rPr>
          <w:t>https://doi.org/10.9774/gleaf.978-1-907643-61-3_14</w:t>
        </w:r>
      </w:hyperlink>
    </w:p>
    <w:p w:rsidR="000E4940" w:rsidRPr="000E4940" w:rsidRDefault="000E4940" w:rsidP="000E4940">
      <w:pPr>
        <w:pStyle w:val="Web"/>
        <w:shd w:val="clear" w:color="auto" w:fill="FFFFFF"/>
        <w:spacing w:before="0" w:beforeAutospacing="0" w:after="0" w:afterAutospacing="0" w:line="550" w:lineRule="atLeast"/>
        <w:ind w:left="720" w:right="75" w:hanging="720"/>
        <w:jc w:val="center"/>
        <w:rPr>
          <w:color w:val="000000"/>
        </w:rPr>
      </w:pPr>
      <w:r w:rsidRPr="000E4940">
        <w:rPr>
          <w:color w:val="000000"/>
        </w:rPr>
        <w:t>Zhou, Y., Zhang, J., &amp; Ren, R. (2011). Notice of retraction: Government regulations, institutional choices, and market effects — Take China's compulsory certification system as an example. </w:t>
      </w:r>
      <w:r w:rsidRPr="000E4940">
        <w:rPr>
          <w:rStyle w:val="a3"/>
          <w:color w:val="000000"/>
        </w:rPr>
        <w:t>2011 International Conference on E-Business and E-Government (ICEE)</w:t>
      </w:r>
      <w:r w:rsidRPr="000E4940">
        <w:rPr>
          <w:color w:val="000000"/>
        </w:rPr>
        <w:t>. </w:t>
      </w:r>
      <w:hyperlink r:id="rId28" w:history="1">
        <w:r w:rsidRPr="000E4940">
          <w:rPr>
            <w:rStyle w:val="a4"/>
            <w:color w:val="000000"/>
          </w:rPr>
          <w:t>https://doi.org/10.1109/icebeg.2011.5881523</w:t>
        </w:r>
      </w:hyperlink>
    </w:p>
    <w:p w:rsidR="00F10546" w:rsidRPr="00CA39AE" w:rsidRDefault="00F10546" w:rsidP="004A686A">
      <w:pPr>
        <w:rPr>
          <w:rFonts w:cs="Times New Roman"/>
          <w:szCs w:val="24"/>
        </w:rPr>
      </w:pPr>
    </w:p>
    <w:sectPr w:rsidR="00F10546" w:rsidRPr="00CA39AE" w:rsidSect="004D3CE8">
      <w:footerReference w:type="default" r:id="rId2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9E4" w:rsidRDefault="006859E4">
      <w:pPr>
        <w:spacing w:after="0" w:line="240" w:lineRule="auto"/>
      </w:pPr>
      <w:r>
        <w:separator/>
      </w:r>
    </w:p>
  </w:endnote>
  <w:endnote w:type="continuationSeparator" w:id="0">
    <w:p w:rsidR="006859E4" w:rsidRDefault="00685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Arial Unicode MS"/>
    <w:charset w:val="86"/>
    <w:family w:val="auto"/>
    <w:pitch w:val="variable"/>
    <w:sig w:usb0="00000000"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2715033"/>
      <w:docPartObj>
        <w:docPartGallery w:val="Page Numbers (Bottom of Page)"/>
        <w:docPartUnique/>
      </w:docPartObj>
    </w:sdtPr>
    <w:sdtEndPr>
      <w:rPr>
        <w:color w:val="7F7F7F" w:themeColor="background1" w:themeShade="7F"/>
        <w:spacing w:val="60"/>
      </w:rPr>
    </w:sdtEndPr>
    <w:sdtContent>
      <w:p w:rsidR="004D3CE8" w:rsidRDefault="0070584E">
        <w:pPr>
          <w:pStyle w:val="a9"/>
          <w:pBdr>
            <w:top w:val="single" w:sz="4" w:space="1" w:color="D9D9D9" w:themeColor="background1" w:themeShade="D9"/>
          </w:pBdr>
          <w:rPr>
            <w:b/>
            <w:bCs/>
          </w:rPr>
        </w:pPr>
        <w:r>
          <w:fldChar w:fldCharType="begin"/>
        </w:r>
        <w:r>
          <w:instrText xml:space="preserve"> PAGE   \* MERGEFORMAT </w:instrText>
        </w:r>
        <w:r>
          <w:fldChar w:fldCharType="separate"/>
        </w:r>
        <w:r w:rsidR="00AF389D" w:rsidRPr="00AF389D">
          <w:rPr>
            <w:b/>
            <w:bCs/>
            <w:noProof/>
          </w:rPr>
          <w:t>1</w:t>
        </w:r>
        <w:r>
          <w:rPr>
            <w:b/>
            <w:bCs/>
            <w:noProof/>
          </w:rPr>
          <w:fldChar w:fldCharType="end"/>
        </w:r>
        <w:r>
          <w:rPr>
            <w:b/>
            <w:bCs/>
          </w:rPr>
          <w:t xml:space="preserve"> | </w:t>
        </w:r>
        <w:r>
          <w:rPr>
            <w:color w:val="7F7F7F" w:themeColor="background1" w:themeShade="7F"/>
            <w:spacing w:val="60"/>
          </w:rPr>
          <w:t>Page</w:t>
        </w:r>
      </w:p>
    </w:sdtContent>
  </w:sdt>
  <w:p w:rsidR="004D3CE8" w:rsidRDefault="004D3CE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9E4" w:rsidRDefault="006859E4">
      <w:pPr>
        <w:spacing w:after="0" w:line="240" w:lineRule="auto"/>
      </w:pPr>
      <w:r>
        <w:separator/>
      </w:r>
    </w:p>
  </w:footnote>
  <w:footnote w:type="continuationSeparator" w:id="0">
    <w:p w:rsidR="006859E4" w:rsidRDefault="006859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1480E"/>
    <w:multiLevelType w:val="hybridMultilevel"/>
    <w:tmpl w:val="C6764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7E0"/>
    <w:rsid w:val="000E4940"/>
    <w:rsid w:val="001D0EB4"/>
    <w:rsid w:val="00423DAA"/>
    <w:rsid w:val="004506EE"/>
    <w:rsid w:val="004A686A"/>
    <w:rsid w:val="004D3CE8"/>
    <w:rsid w:val="004E0728"/>
    <w:rsid w:val="004E6B4C"/>
    <w:rsid w:val="006859E4"/>
    <w:rsid w:val="006B0D43"/>
    <w:rsid w:val="006E613C"/>
    <w:rsid w:val="0070584E"/>
    <w:rsid w:val="009D3EE7"/>
    <w:rsid w:val="00A5779E"/>
    <w:rsid w:val="00AB3E17"/>
    <w:rsid w:val="00AE7022"/>
    <w:rsid w:val="00AF389D"/>
    <w:rsid w:val="00B06A1A"/>
    <w:rsid w:val="00B41E38"/>
    <w:rsid w:val="00BB11F4"/>
    <w:rsid w:val="00BE2348"/>
    <w:rsid w:val="00C137E0"/>
    <w:rsid w:val="00C9689C"/>
    <w:rsid w:val="00CA39AE"/>
    <w:rsid w:val="00DE10A2"/>
    <w:rsid w:val="00E2295F"/>
    <w:rsid w:val="00E30868"/>
    <w:rsid w:val="00E5691E"/>
    <w:rsid w:val="00F065C8"/>
    <w:rsid w:val="00F10546"/>
    <w:rsid w:val="00F334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647F4E-BEDA-4BE7-9A3E-00C9163A3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65C8"/>
    <w:rPr>
      <w:rFonts w:ascii="Times New Roman" w:hAnsi="Times New Roman"/>
      <w:sz w:val="24"/>
    </w:rPr>
  </w:style>
  <w:style w:type="paragraph" w:styleId="1">
    <w:name w:val="heading 1"/>
    <w:basedOn w:val="a"/>
    <w:next w:val="a"/>
    <w:link w:val="10"/>
    <w:uiPriority w:val="9"/>
    <w:qFormat/>
    <w:rsid w:val="00F065C8"/>
    <w:pPr>
      <w:keepNext/>
      <w:keepLines/>
      <w:spacing w:before="240" w:after="0"/>
      <w:outlineLvl w:val="0"/>
    </w:pPr>
    <w:rPr>
      <w:rFonts w:eastAsiaTheme="majorEastAsia" w:cstheme="majorBidi"/>
      <w:b/>
      <w:color w:val="000000" w:themeColor="text1"/>
      <w:sz w:val="28"/>
      <w:szCs w:val="32"/>
    </w:rPr>
  </w:style>
  <w:style w:type="paragraph" w:styleId="2">
    <w:name w:val="heading 2"/>
    <w:basedOn w:val="a"/>
    <w:next w:val="a"/>
    <w:link w:val="20"/>
    <w:uiPriority w:val="9"/>
    <w:semiHidden/>
    <w:unhideWhenUsed/>
    <w:qFormat/>
    <w:rsid w:val="00F065C8"/>
    <w:pPr>
      <w:keepNext/>
      <w:keepLines/>
      <w:spacing w:before="40" w:after="0"/>
      <w:outlineLvl w:val="1"/>
    </w:pPr>
    <w:rPr>
      <w:rFonts w:eastAsiaTheme="majorEastAsia" w:cstheme="majorBidi"/>
      <w:b/>
      <w:color w:val="000000" w:themeColor="tex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F10546"/>
    <w:pPr>
      <w:spacing w:before="100" w:beforeAutospacing="1" w:after="100" w:afterAutospacing="1" w:line="240" w:lineRule="auto"/>
    </w:pPr>
    <w:rPr>
      <w:rFonts w:eastAsia="Times New Roman" w:cs="Times New Roman"/>
      <w:szCs w:val="24"/>
    </w:rPr>
  </w:style>
  <w:style w:type="character" w:styleId="a3">
    <w:name w:val="Emphasis"/>
    <w:basedOn w:val="a0"/>
    <w:uiPriority w:val="20"/>
    <w:qFormat/>
    <w:rsid w:val="00F10546"/>
    <w:rPr>
      <w:i/>
      <w:iCs/>
    </w:rPr>
  </w:style>
  <w:style w:type="character" w:styleId="a4">
    <w:name w:val="Hyperlink"/>
    <w:basedOn w:val="a0"/>
    <w:uiPriority w:val="99"/>
    <w:unhideWhenUsed/>
    <w:rsid w:val="00F10546"/>
    <w:rPr>
      <w:color w:val="0000FF"/>
      <w:u w:val="single"/>
    </w:rPr>
  </w:style>
  <w:style w:type="character" w:customStyle="1" w:styleId="gray">
    <w:name w:val="gray"/>
    <w:basedOn w:val="a0"/>
    <w:rsid w:val="00F10546"/>
  </w:style>
  <w:style w:type="paragraph" w:styleId="a5">
    <w:name w:val="No Spacing"/>
    <w:link w:val="a6"/>
    <w:uiPriority w:val="1"/>
    <w:qFormat/>
    <w:rsid w:val="004D3CE8"/>
    <w:pPr>
      <w:spacing w:after="0" w:line="240" w:lineRule="auto"/>
    </w:pPr>
  </w:style>
  <w:style w:type="character" w:customStyle="1" w:styleId="a6">
    <w:name w:val="無間距 字元"/>
    <w:basedOn w:val="a0"/>
    <w:link w:val="a5"/>
    <w:uiPriority w:val="1"/>
    <w:rsid w:val="004D3CE8"/>
    <w:rPr>
      <w:rFonts w:eastAsiaTheme="minorEastAsia"/>
    </w:rPr>
  </w:style>
  <w:style w:type="paragraph" w:styleId="a7">
    <w:name w:val="header"/>
    <w:basedOn w:val="a"/>
    <w:link w:val="a8"/>
    <w:uiPriority w:val="99"/>
    <w:unhideWhenUsed/>
    <w:rsid w:val="004D3CE8"/>
    <w:pPr>
      <w:tabs>
        <w:tab w:val="center" w:pos="4680"/>
        <w:tab w:val="right" w:pos="9360"/>
      </w:tabs>
      <w:spacing w:after="0" w:line="240" w:lineRule="auto"/>
    </w:pPr>
  </w:style>
  <w:style w:type="character" w:customStyle="1" w:styleId="a8">
    <w:name w:val="頁首 字元"/>
    <w:basedOn w:val="a0"/>
    <w:link w:val="a7"/>
    <w:uiPriority w:val="99"/>
    <w:rsid w:val="004D3CE8"/>
  </w:style>
  <w:style w:type="paragraph" w:styleId="a9">
    <w:name w:val="footer"/>
    <w:basedOn w:val="a"/>
    <w:link w:val="aa"/>
    <w:uiPriority w:val="99"/>
    <w:unhideWhenUsed/>
    <w:rsid w:val="004D3CE8"/>
    <w:pPr>
      <w:tabs>
        <w:tab w:val="center" w:pos="4680"/>
        <w:tab w:val="right" w:pos="9360"/>
      </w:tabs>
      <w:spacing w:after="0" w:line="240" w:lineRule="auto"/>
    </w:pPr>
  </w:style>
  <w:style w:type="character" w:customStyle="1" w:styleId="aa">
    <w:name w:val="頁尾 字元"/>
    <w:basedOn w:val="a0"/>
    <w:link w:val="a9"/>
    <w:uiPriority w:val="99"/>
    <w:rsid w:val="004D3CE8"/>
  </w:style>
  <w:style w:type="character" w:customStyle="1" w:styleId="10">
    <w:name w:val="標題 1 字元"/>
    <w:basedOn w:val="a0"/>
    <w:link w:val="1"/>
    <w:uiPriority w:val="9"/>
    <w:rsid w:val="00F065C8"/>
    <w:rPr>
      <w:rFonts w:ascii="Times New Roman" w:eastAsiaTheme="majorEastAsia" w:hAnsi="Times New Roman" w:cstheme="majorBidi"/>
      <w:b/>
      <w:color w:val="000000" w:themeColor="text1"/>
      <w:sz w:val="28"/>
      <w:szCs w:val="32"/>
    </w:rPr>
  </w:style>
  <w:style w:type="character" w:customStyle="1" w:styleId="20">
    <w:name w:val="標題 2 字元"/>
    <w:basedOn w:val="a0"/>
    <w:link w:val="2"/>
    <w:uiPriority w:val="9"/>
    <w:semiHidden/>
    <w:rsid w:val="00F065C8"/>
    <w:rPr>
      <w:rFonts w:ascii="Times New Roman" w:eastAsiaTheme="majorEastAsia" w:hAnsi="Times New Roman" w:cstheme="majorBidi"/>
      <w:b/>
      <w:color w:val="000000" w:themeColor="text1"/>
      <w:sz w:val="26"/>
      <w:szCs w:val="26"/>
    </w:rPr>
  </w:style>
  <w:style w:type="table" w:styleId="ab">
    <w:name w:val="Table Grid"/>
    <w:basedOn w:val="a1"/>
    <w:uiPriority w:val="39"/>
    <w:rsid w:val="00F06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TOC Heading"/>
    <w:basedOn w:val="1"/>
    <w:next w:val="a"/>
    <w:uiPriority w:val="39"/>
    <w:unhideWhenUsed/>
    <w:qFormat/>
    <w:rsid w:val="00E5691E"/>
    <w:pPr>
      <w:outlineLvl w:val="9"/>
    </w:pPr>
    <w:rPr>
      <w:rFonts w:asciiTheme="majorHAnsi" w:hAnsiTheme="majorHAnsi"/>
      <w:b w:val="0"/>
      <w:color w:val="2E74B5" w:themeColor="accent1" w:themeShade="BF"/>
      <w:sz w:val="32"/>
    </w:rPr>
  </w:style>
  <w:style w:type="paragraph" w:styleId="11">
    <w:name w:val="toc 1"/>
    <w:basedOn w:val="a"/>
    <w:next w:val="a"/>
    <w:autoRedefine/>
    <w:uiPriority w:val="39"/>
    <w:unhideWhenUsed/>
    <w:rsid w:val="00E5691E"/>
    <w:pPr>
      <w:spacing w:after="100"/>
    </w:pPr>
  </w:style>
  <w:style w:type="paragraph" w:styleId="ad">
    <w:name w:val="List Paragraph"/>
    <w:basedOn w:val="a"/>
    <w:uiPriority w:val="34"/>
    <w:qFormat/>
    <w:rsid w:val="004506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79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324/9781003171133-10" TargetMode="External"/><Relationship Id="rId18" Type="http://schemas.openxmlformats.org/officeDocument/2006/relationships/hyperlink" Target="https://doi.org/10.31124/advance.13270571.v1" TargetMode="External"/><Relationship Id="rId26" Type="http://schemas.openxmlformats.org/officeDocument/2006/relationships/hyperlink" Target="https://doi.org/10.1201/b18934-5" TargetMode="External"/><Relationship Id="rId3" Type="http://schemas.openxmlformats.org/officeDocument/2006/relationships/styles" Target="styles.xml"/><Relationship Id="rId21" Type="http://schemas.openxmlformats.org/officeDocument/2006/relationships/hyperlink" Target="https://doi.org/10.1108/oxan-es225529" TargetMode="External"/><Relationship Id="rId7" Type="http://schemas.openxmlformats.org/officeDocument/2006/relationships/endnotes" Target="endnotes.xml"/><Relationship Id="rId12" Type="http://schemas.openxmlformats.org/officeDocument/2006/relationships/hyperlink" Target="https://doi.org/10.1201/9781003339663-1" TargetMode="External"/><Relationship Id="rId17" Type="http://schemas.openxmlformats.org/officeDocument/2006/relationships/hyperlink" Target="https://doi.org/10.9756/iajh/v5i1/1810004" TargetMode="External"/><Relationship Id="rId25" Type="http://schemas.openxmlformats.org/officeDocument/2006/relationships/hyperlink" Target="https://doi.org/10.1007/978-3-030-36387-1_8" TargetMode="External"/><Relationship Id="rId2" Type="http://schemas.openxmlformats.org/officeDocument/2006/relationships/numbering" Target="numbering.xml"/><Relationship Id="rId16" Type="http://schemas.openxmlformats.org/officeDocument/2006/relationships/hyperlink" Target="https://doi.org/10.4324/9781315380827-9" TargetMode="External"/><Relationship Id="rId20" Type="http://schemas.openxmlformats.org/officeDocument/2006/relationships/hyperlink" Target="https://doi.org/10.37200/ijpr/v23i4/pr19040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8945/4824" TargetMode="External"/><Relationship Id="rId24" Type="http://schemas.openxmlformats.org/officeDocument/2006/relationships/hyperlink" Target="https://doi.org/10.4324/9781315641294-7" TargetMode="External"/><Relationship Id="rId5" Type="http://schemas.openxmlformats.org/officeDocument/2006/relationships/webSettings" Target="webSettings.xml"/><Relationship Id="rId15" Type="http://schemas.openxmlformats.org/officeDocument/2006/relationships/hyperlink" Target="https://doi.org/10.2139/ssrn.2555709" TargetMode="External"/><Relationship Id="rId23" Type="http://schemas.openxmlformats.org/officeDocument/2006/relationships/hyperlink" Target="https://doi.org/10.1177/0972150921989667" TargetMode="External"/><Relationship Id="rId28" Type="http://schemas.openxmlformats.org/officeDocument/2006/relationships/hyperlink" Target="https://doi.org/10.1109/icebeg.2011.5881523" TargetMode="External"/><Relationship Id="rId10" Type="http://schemas.openxmlformats.org/officeDocument/2006/relationships/hyperlink" Target="https://doi.org/10.4324/9780203138878-23" TargetMode="External"/><Relationship Id="rId19" Type="http://schemas.openxmlformats.org/officeDocument/2006/relationships/hyperlink" Target="https://doi.org/10.31124/advance.13270571.v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35912/ijfam.v2i4.412" TargetMode="External"/><Relationship Id="rId14" Type="http://schemas.openxmlformats.org/officeDocument/2006/relationships/hyperlink" Target="https://doi.org/10.2139/ssrn.2030850" TargetMode="External"/><Relationship Id="rId22" Type="http://schemas.openxmlformats.org/officeDocument/2006/relationships/hyperlink" Target="https://doi.org/10.1093/oso/9780198719649.003.0008" TargetMode="External"/><Relationship Id="rId27" Type="http://schemas.openxmlformats.org/officeDocument/2006/relationships/hyperlink" Target="https://doi.org/10.9774/gleaf.978-1-907643-61-3_1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26CE9-ADFE-4EEF-8FB3-02EF0E9C2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3500</Words>
  <Characters>19956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Leo</cp:lastModifiedBy>
  <cp:revision>4</cp:revision>
  <dcterms:created xsi:type="dcterms:W3CDTF">2022-11-28T20:28:00Z</dcterms:created>
  <dcterms:modified xsi:type="dcterms:W3CDTF">2022-11-29T02:05:00Z</dcterms:modified>
</cp:coreProperties>
</file>