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5ED30" w14:textId="57AE1002" w:rsidR="00963C24" w:rsidRPr="00963C24" w:rsidRDefault="00963C24" w:rsidP="00963C24">
      <w:pPr>
        <w:jc w:val="center"/>
        <w:rPr>
          <w:rFonts w:ascii="Arial" w:hAnsi="Arial" w:cs="Arial"/>
          <w:b/>
          <w:bCs/>
          <w:sz w:val="28"/>
          <w:szCs w:val="28"/>
        </w:rPr>
      </w:pPr>
      <w:r w:rsidRPr="00963C24">
        <w:rPr>
          <w:rFonts w:ascii="Arial" w:hAnsi="Arial" w:cs="Arial"/>
          <w:b/>
          <w:bCs/>
          <w:sz w:val="28"/>
          <w:szCs w:val="28"/>
        </w:rPr>
        <w:t>Personnel Resourcing and Development: BMIH5005</w:t>
      </w:r>
    </w:p>
    <w:p w14:paraId="77195128" w14:textId="77777777" w:rsidR="00963C24" w:rsidRPr="00963C24" w:rsidRDefault="00963C24" w:rsidP="00963C24">
      <w:pPr>
        <w:jc w:val="center"/>
        <w:rPr>
          <w:rFonts w:ascii="Arial" w:hAnsi="Arial" w:cs="Arial"/>
          <w:b/>
          <w:bCs/>
          <w:sz w:val="28"/>
          <w:szCs w:val="28"/>
        </w:rPr>
      </w:pPr>
      <w:r w:rsidRPr="00963C24">
        <w:rPr>
          <w:rFonts w:ascii="Arial" w:hAnsi="Arial" w:cs="Arial"/>
          <w:b/>
          <w:bCs/>
          <w:sz w:val="28"/>
          <w:szCs w:val="28"/>
        </w:rPr>
        <w:t>Essay: Employee Engagement</w:t>
      </w:r>
    </w:p>
    <w:p w14:paraId="214B5C27" w14:textId="77777777" w:rsidR="00963C24" w:rsidRDefault="00963C24" w:rsidP="00963C24"/>
    <w:p w14:paraId="631AF7F1" w14:textId="77777777" w:rsidR="00963C24" w:rsidRDefault="00963C24" w:rsidP="00963C24"/>
    <w:p w14:paraId="1CA6C619" w14:textId="77777777" w:rsidR="00963C24" w:rsidRPr="006142C4" w:rsidRDefault="00963C24" w:rsidP="00963C24"/>
    <w:p w14:paraId="450A75FD" w14:textId="77777777" w:rsidR="00963C24" w:rsidRPr="00963C24" w:rsidRDefault="00963C24" w:rsidP="00963C24">
      <w:pPr>
        <w:jc w:val="center"/>
        <w:rPr>
          <w:rFonts w:ascii="Arial" w:hAnsi="Arial" w:cs="Arial"/>
          <w:b/>
          <w:bCs/>
          <w:sz w:val="24"/>
          <w:szCs w:val="24"/>
        </w:rPr>
      </w:pPr>
      <w:r w:rsidRPr="00963C24">
        <w:rPr>
          <w:rFonts w:ascii="Arial" w:hAnsi="Arial" w:cs="Arial"/>
          <w:b/>
          <w:bCs/>
          <w:sz w:val="24"/>
          <w:szCs w:val="24"/>
        </w:rPr>
        <w:t>How to retain and engage employees throughout the employee lifecycle</w:t>
      </w:r>
    </w:p>
    <w:p w14:paraId="3D5D3AA2" w14:textId="77777777" w:rsidR="00963C24" w:rsidRDefault="00963C24" w:rsidP="00963C24">
      <w:pPr>
        <w:jc w:val="center"/>
        <w:rPr>
          <w:rFonts w:ascii="Arial" w:hAnsi="Arial" w:cs="Arial"/>
          <w:sz w:val="24"/>
          <w:szCs w:val="24"/>
        </w:rPr>
      </w:pPr>
    </w:p>
    <w:p w14:paraId="3C9F3CE2" w14:textId="77777777" w:rsidR="00963C24" w:rsidRDefault="00963C24" w:rsidP="00963C24">
      <w:pPr>
        <w:jc w:val="center"/>
        <w:rPr>
          <w:rFonts w:ascii="Arial" w:hAnsi="Arial" w:cs="Arial"/>
          <w:sz w:val="24"/>
          <w:szCs w:val="24"/>
        </w:rPr>
      </w:pPr>
    </w:p>
    <w:p w14:paraId="43EF7062" w14:textId="77777777" w:rsidR="00963C24" w:rsidRPr="00963C24" w:rsidRDefault="00963C24" w:rsidP="00963C24">
      <w:pPr>
        <w:jc w:val="center"/>
        <w:rPr>
          <w:rFonts w:ascii="Arial" w:hAnsi="Arial" w:cs="Arial"/>
          <w:b/>
          <w:bCs/>
          <w:sz w:val="24"/>
          <w:szCs w:val="24"/>
        </w:rPr>
      </w:pPr>
    </w:p>
    <w:p w14:paraId="53B747FA" w14:textId="612B426D" w:rsidR="00963C24" w:rsidRPr="00963C24" w:rsidRDefault="00963C24" w:rsidP="00963C24">
      <w:pPr>
        <w:jc w:val="center"/>
        <w:rPr>
          <w:rFonts w:ascii="Arial" w:hAnsi="Arial" w:cs="Arial"/>
          <w:b/>
          <w:bCs/>
          <w:sz w:val="24"/>
          <w:szCs w:val="24"/>
        </w:rPr>
      </w:pPr>
      <w:r w:rsidRPr="00963C24">
        <w:rPr>
          <w:rFonts w:ascii="Arial" w:hAnsi="Arial" w:cs="Arial"/>
          <w:b/>
          <w:bCs/>
          <w:sz w:val="24"/>
          <w:szCs w:val="24"/>
        </w:rPr>
        <w:t>Lecturer name:</w:t>
      </w:r>
      <w:r w:rsidR="00FA2E5F">
        <w:rPr>
          <w:rFonts w:ascii="Arial" w:hAnsi="Arial" w:cs="Arial"/>
          <w:b/>
          <w:bCs/>
          <w:sz w:val="24"/>
          <w:szCs w:val="24"/>
        </w:rPr>
        <w:t xml:space="preserve"> Helen Evans </w:t>
      </w:r>
    </w:p>
    <w:p w14:paraId="39511CA2" w14:textId="52D6C5F4" w:rsidR="00963C24" w:rsidRPr="00963C24" w:rsidRDefault="00963C24" w:rsidP="00963C24">
      <w:pPr>
        <w:jc w:val="center"/>
        <w:rPr>
          <w:rFonts w:ascii="Arial" w:hAnsi="Arial" w:cs="Arial"/>
          <w:b/>
          <w:bCs/>
          <w:sz w:val="24"/>
          <w:szCs w:val="24"/>
        </w:rPr>
      </w:pPr>
      <w:r w:rsidRPr="00963C24">
        <w:rPr>
          <w:rFonts w:ascii="Arial" w:hAnsi="Arial" w:cs="Arial"/>
          <w:b/>
          <w:bCs/>
          <w:sz w:val="24"/>
          <w:szCs w:val="24"/>
        </w:rPr>
        <w:t>Student name:</w:t>
      </w:r>
      <w:r w:rsidR="0002146E">
        <w:rPr>
          <w:rFonts w:ascii="Arial" w:hAnsi="Arial" w:cs="Arial"/>
          <w:b/>
          <w:bCs/>
          <w:sz w:val="24"/>
          <w:szCs w:val="24"/>
        </w:rPr>
        <w:t xml:space="preserve"> Roxana </w:t>
      </w:r>
      <w:proofErr w:type="spellStart"/>
      <w:r w:rsidR="0002146E">
        <w:rPr>
          <w:rFonts w:ascii="Arial" w:hAnsi="Arial" w:cs="Arial"/>
          <w:b/>
          <w:bCs/>
          <w:sz w:val="24"/>
          <w:szCs w:val="24"/>
        </w:rPr>
        <w:t>Jurj</w:t>
      </w:r>
      <w:proofErr w:type="spellEnd"/>
      <w:r w:rsidR="0002146E">
        <w:rPr>
          <w:rFonts w:ascii="Arial" w:hAnsi="Arial" w:cs="Arial"/>
          <w:b/>
          <w:bCs/>
          <w:sz w:val="24"/>
          <w:szCs w:val="24"/>
        </w:rPr>
        <w:t xml:space="preserve"> </w:t>
      </w:r>
    </w:p>
    <w:p w14:paraId="77C45262" w14:textId="25E63736" w:rsidR="00963C24" w:rsidRPr="00963C24" w:rsidRDefault="00963C24" w:rsidP="00963C24">
      <w:pPr>
        <w:jc w:val="center"/>
        <w:rPr>
          <w:rFonts w:ascii="Arial" w:hAnsi="Arial" w:cs="Arial"/>
          <w:b/>
          <w:bCs/>
          <w:sz w:val="24"/>
          <w:szCs w:val="24"/>
        </w:rPr>
      </w:pPr>
      <w:r w:rsidRPr="00963C24">
        <w:rPr>
          <w:rFonts w:ascii="Arial" w:hAnsi="Arial" w:cs="Arial"/>
          <w:b/>
          <w:bCs/>
          <w:sz w:val="24"/>
          <w:szCs w:val="24"/>
        </w:rPr>
        <w:t>Student id:</w:t>
      </w:r>
      <w:r w:rsidR="001A1467">
        <w:rPr>
          <w:rFonts w:ascii="Arial" w:hAnsi="Arial" w:cs="Arial"/>
          <w:b/>
          <w:bCs/>
          <w:sz w:val="24"/>
          <w:szCs w:val="24"/>
        </w:rPr>
        <w:t xml:space="preserve"> </w:t>
      </w:r>
      <w:r w:rsidR="001A1467" w:rsidRPr="001A1467">
        <w:rPr>
          <w:rFonts w:ascii="Arial" w:hAnsi="Arial" w:cs="Arial"/>
          <w:b/>
          <w:bCs/>
          <w:sz w:val="24"/>
          <w:szCs w:val="24"/>
        </w:rPr>
        <w:t>2126298</w:t>
      </w:r>
    </w:p>
    <w:p w14:paraId="41996A25" w14:textId="4DD9769C" w:rsidR="00963C24" w:rsidRPr="00963C24" w:rsidRDefault="00963C24" w:rsidP="00963C24">
      <w:pPr>
        <w:jc w:val="center"/>
        <w:rPr>
          <w:rFonts w:ascii="Arial" w:hAnsi="Arial" w:cs="Arial"/>
          <w:sz w:val="24"/>
          <w:szCs w:val="24"/>
        </w:rPr>
      </w:pPr>
      <w:r w:rsidRPr="00963C24">
        <w:rPr>
          <w:rFonts w:ascii="Arial" w:hAnsi="Arial" w:cs="Arial"/>
          <w:b/>
          <w:bCs/>
          <w:sz w:val="24"/>
          <w:szCs w:val="24"/>
        </w:rPr>
        <w:t xml:space="preserve">Word count: </w:t>
      </w:r>
      <w:r w:rsidR="003053AA">
        <w:rPr>
          <w:rFonts w:ascii="Arial" w:hAnsi="Arial" w:cs="Arial"/>
          <w:b/>
          <w:bCs/>
          <w:sz w:val="24"/>
          <w:szCs w:val="24"/>
        </w:rPr>
        <w:t>2019</w:t>
      </w:r>
    </w:p>
    <w:p w14:paraId="54E5AFB9" w14:textId="77777777" w:rsidR="00B151A8" w:rsidRDefault="00B151A8"/>
    <w:p w14:paraId="708251CC" w14:textId="77777777" w:rsidR="00963C24" w:rsidRDefault="00963C24"/>
    <w:p w14:paraId="6A0B5096" w14:textId="77777777" w:rsidR="00963C24" w:rsidRDefault="00963C24"/>
    <w:p w14:paraId="069491CC" w14:textId="77777777" w:rsidR="00963C24" w:rsidRDefault="00963C24"/>
    <w:p w14:paraId="719DB5B3" w14:textId="77777777" w:rsidR="00963C24" w:rsidRDefault="00963C24"/>
    <w:p w14:paraId="1078CB6D" w14:textId="77777777" w:rsidR="00963C24" w:rsidRDefault="00963C24"/>
    <w:p w14:paraId="590F4B63" w14:textId="77777777" w:rsidR="00963C24" w:rsidRDefault="00963C24"/>
    <w:p w14:paraId="3F1BE969" w14:textId="77777777" w:rsidR="00963C24" w:rsidRDefault="00963C24"/>
    <w:p w14:paraId="3096533F" w14:textId="77777777" w:rsidR="00963C24" w:rsidRDefault="00963C24"/>
    <w:p w14:paraId="4F6C1FAA" w14:textId="77777777" w:rsidR="00963C24" w:rsidRDefault="00963C24"/>
    <w:p w14:paraId="79235200" w14:textId="77777777" w:rsidR="00963C24" w:rsidRDefault="00963C24"/>
    <w:p w14:paraId="39050D4F" w14:textId="77777777" w:rsidR="00963C24" w:rsidRDefault="00963C24"/>
    <w:p w14:paraId="4D70DFD5" w14:textId="77777777" w:rsidR="00963C24" w:rsidRDefault="00963C24"/>
    <w:p w14:paraId="255FA0EB" w14:textId="77777777" w:rsidR="00963C24" w:rsidRDefault="00963C24"/>
    <w:p w14:paraId="6E3D422F" w14:textId="77777777" w:rsidR="00963C24" w:rsidRDefault="00963C24"/>
    <w:p w14:paraId="70168F13" w14:textId="77777777" w:rsidR="00963C24" w:rsidRDefault="00963C24"/>
    <w:p w14:paraId="20108A7F" w14:textId="77777777" w:rsidR="00963C24" w:rsidRDefault="00963C24"/>
    <w:p w14:paraId="08539348" w14:textId="77777777" w:rsidR="00963C24" w:rsidRPr="003053AA" w:rsidRDefault="00963C24" w:rsidP="003053AA">
      <w:pPr>
        <w:spacing w:line="360" w:lineRule="auto"/>
        <w:jc w:val="both"/>
        <w:rPr>
          <w:rFonts w:ascii="Arial" w:hAnsi="Arial" w:cs="Arial"/>
          <w:color w:val="000000" w:themeColor="text1"/>
          <w:sz w:val="24"/>
          <w:szCs w:val="24"/>
        </w:rPr>
      </w:pPr>
    </w:p>
    <w:p w14:paraId="03163B1B" w14:textId="2C4D21CE" w:rsidR="00963C24" w:rsidRPr="003053AA" w:rsidRDefault="0002146E" w:rsidP="003053AA">
      <w:pPr>
        <w:spacing w:line="360" w:lineRule="auto"/>
        <w:jc w:val="both"/>
        <w:rPr>
          <w:rFonts w:ascii="Arial" w:hAnsi="Arial" w:cs="Arial"/>
          <w:color w:val="000000" w:themeColor="text1"/>
          <w:sz w:val="24"/>
          <w:szCs w:val="24"/>
        </w:rPr>
      </w:pPr>
      <w:r w:rsidRPr="003053AA">
        <w:rPr>
          <w:rFonts w:ascii="Arial" w:hAnsi="Arial" w:cs="Arial"/>
          <w:color w:val="000000" w:themeColor="text1"/>
          <w:sz w:val="24"/>
          <w:szCs w:val="24"/>
        </w:rPr>
        <w:lastRenderedPageBreak/>
        <w:t>As suggested by Torrington et al., (2020),  t</w:t>
      </w:r>
      <w:r w:rsidR="00963C24" w:rsidRPr="003053AA">
        <w:rPr>
          <w:rFonts w:ascii="Arial" w:hAnsi="Arial" w:cs="Arial"/>
          <w:color w:val="000000" w:themeColor="text1"/>
          <w:sz w:val="24"/>
          <w:szCs w:val="24"/>
        </w:rPr>
        <w:t xml:space="preserve">he sustained prosperity of major corporations, such as hotels, is heavily reliant on the Human Resource (HR) Departments ability to efficiently manage and cultivate talent across the entire employee lifecycle. As the organisational environment continues to evolve, the task of retaining and engaging employees presents a significant challenge for HR professionals. This essay aims to examine the strategic significance of Human Resource Management (HRM) in effectively managing the different phases of the employee lifecycle, which includes recruitment and attraction, onboarding, development, retention, and separation. This study aims to assess the significance of talent management and development in relation to team and organisational performance, with a specific focus on the hotel industry. By incorporating industry best practises, this discussion will demonstrate how effective HRM strategies can improve employee engagement and retention, resulting in a productive and harmonious work environment. </w:t>
      </w:r>
    </w:p>
    <w:p w14:paraId="312C174C" w14:textId="3445D16E" w:rsidR="00E6412E" w:rsidRPr="003053AA" w:rsidRDefault="00E6412E" w:rsidP="003053AA">
      <w:pPr>
        <w:spacing w:line="360" w:lineRule="auto"/>
        <w:jc w:val="both"/>
        <w:rPr>
          <w:rFonts w:ascii="Arial" w:hAnsi="Arial" w:cs="Arial"/>
          <w:color w:val="000000" w:themeColor="text1"/>
          <w:sz w:val="24"/>
          <w:szCs w:val="24"/>
        </w:rPr>
      </w:pPr>
      <w:r w:rsidRPr="003053AA">
        <w:rPr>
          <w:rFonts w:ascii="Arial" w:hAnsi="Arial" w:cs="Arial"/>
          <w:color w:val="000000" w:themeColor="text1"/>
          <w:sz w:val="24"/>
          <w:szCs w:val="24"/>
        </w:rPr>
        <w:t>The phrase "talent management," introduced by Armstrong and Taylor (2020), refers to an organization's strategic commitment to acquire, retain, develop, and deploy those people who are thought to be of outstanding value to its operations. Incorporated into the core fabric of the organization's culture and strategies, this method is holistic and integrated rather than merely procedural. In truth, talent management's relevance and essential contribution to the success of the organisation as a whole have been repeatedly demonstrated</w:t>
      </w:r>
      <w:r w:rsidR="0002146E" w:rsidRPr="003053AA">
        <w:rPr>
          <w:rFonts w:ascii="Arial" w:hAnsi="Arial" w:cs="Arial"/>
          <w:color w:val="000000" w:themeColor="text1"/>
          <w:sz w:val="24"/>
          <w:szCs w:val="24"/>
        </w:rPr>
        <w:t xml:space="preserve"> (Khatri et al., 2010).</w:t>
      </w:r>
      <w:r w:rsidRPr="003053AA">
        <w:rPr>
          <w:rFonts w:ascii="Arial" w:hAnsi="Arial" w:cs="Arial"/>
          <w:color w:val="000000" w:themeColor="text1"/>
          <w:sz w:val="24"/>
          <w:szCs w:val="24"/>
        </w:rPr>
        <w:t xml:space="preserve"> Enhancing employee engagement, boosting productivity, boosting customer happiness, and lowering staff turnover rate are just a few of the advantages of excellent personnel management.</w:t>
      </w:r>
    </w:p>
    <w:p w14:paraId="2768E589" w14:textId="51D9EE37" w:rsidR="00E6412E" w:rsidRPr="003053AA" w:rsidRDefault="00E6412E" w:rsidP="003053AA">
      <w:pPr>
        <w:spacing w:line="360" w:lineRule="auto"/>
        <w:jc w:val="both"/>
        <w:rPr>
          <w:rFonts w:ascii="Arial" w:hAnsi="Arial" w:cs="Arial"/>
          <w:color w:val="000000" w:themeColor="text1"/>
          <w:sz w:val="24"/>
          <w:szCs w:val="24"/>
        </w:rPr>
      </w:pPr>
      <w:r w:rsidRPr="003053AA">
        <w:rPr>
          <w:rFonts w:ascii="Arial" w:hAnsi="Arial" w:cs="Arial"/>
          <w:color w:val="000000" w:themeColor="text1"/>
          <w:sz w:val="24"/>
          <w:szCs w:val="24"/>
        </w:rPr>
        <w:t>Talent management is especially important in sectors where services are the foundation of operations, like the hospitality sector. Here, the level of skill immediately affects the customer experience, which in turn affects the business's reputation and, eventually, its financial performance</w:t>
      </w:r>
      <w:r w:rsidR="0002146E" w:rsidRPr="003053AA">
        <w:rPr>
          <w:rFonts w:ascii="Arial" w:hAnsi="Arial" w:cs="Arial"/>
          <w:color w:val="000000" w:themeColor="text1"/>
          <w:sz w:val="24"/>
          <w:szCs w:val="24"/>
        </w:rPr>
        <w:t xml:space="preserve"> (Meyers et al., 2020). </w:t>
      </w:r>
      <w:r w:rsidRPr="003053AA">
        <w:rPr>
          <w:rFonts w:ascii="Arial" w:hAnsi="Arial" w:cs="Arial"/>
          <w:color w:val="000000" w:themeColor="text1"/>
          <w:sz w:val="24"/>
          <w:szCs w:val="24"/>
        </w:rPr>
        <w:t>Therefore, in many industries, obtaining and developing talent is essential for both survival and competitive advantage. The Human Resources (HR) division is in charge of leading this vital talent management task. In this context, HR is charged with strategic, all-encompassing, and varied duties. HR must initially project future employment demands in line with the strategic objectives of the company. Comprehensive workforce planning is done in this step to determine the talents, knowledge, and skills needed in the future as well as to prepare for any gaps that may exist. The procedure is intricate and requires knowledge of the organization's strategic direction, the external labour market, and the skill sets of the current personnel (Marchington and Wilkinson, 2016). The creation and implementation of efficient hiring strategies come next. HR must make sure that the hiring procedure is quick, equitable, and created to draw in candidates who not only have the necessary talents but also share the organization's values and culture. Since future leaders and contributors to the organization's strategic goals are sought after, recruitment serves more purposes than simply filling open positions. In addition to recruiting, HR is entrusted with creating and implementing effective training and development initiatives. The development of employees' abilities, assisting them in remaining current in their fields, and preparing them for upcoming organisational responsibilities are all made possible by these programmes</w:t>
      </w:r>
      <w:r w:rsidR="0002146E" w:rsidRPr="003053AA">
        <w:rPr>
          <w:rFonts w:ascii="Arial" w:hAnsi="Arial" w:cs="Arial"/>
          <w:color w:val="000000" w:themeColor="text1"/>
          <w:sz w:val="24"/>
          <w:szCs w:val="24"/>
        </w:rPr>
        <w:t xml:space="preserve"> (Gallagher, 2016). </w:t>
      </w:r>
      <w:r w:rsidRPr="003053AA">
        <w:rPr>
          <w:rFonts w:ascii="Arial" w:hAnsi="Arial" w:cs="Arial"/>
          <w:color w:val="000000" w:themeColor="text1"/>
          <w:sz w:val="24"/>
          <w:szCs w:val="24"/>
        </w:rPr>
        <w:t>In order to promote a culture of ongoing learning and development, these programmes are frequently adapted to meet the specific needs of each participant and coordinated with organisational goals. Additionally, HR must create attractive salary and benefit plans that compensate workers fairly and equitably. Offering benefits that meet the different requirements of employees, encourage work-life balance, and improve general wellbeing are just as important as paying competitive compensation</w:t>
      </w:r>
      <w:r w:rsidR="0002146E" w:rsidRPr="003053AA">
        <w:rPr>
          <w:rFonts w:ascii="Arial" w:hAnsi="Arial" w:cs="Arial"/>
          <w:color w:val="000000" w:themeColor="text1"/>
          <w:sz w:val="24"/>
          <w:szCs w:val="24"/>
        </w:rPr>
        <w:t xml:space="preserve"> (Page</w:t>
      </w:r>
      <w:r w:rsidR="006F416B" w:rsidRPr="003053AA">
        <w:rPr>
          <w:rFonts w:ascii="Arial" w:hAnsi="Arial" w:cs="Arial"/>
          <w:color w:val="000000" w:themeColor="text1"/>
          <w:sz w:val="24"/>
          <w:szCs w:val="24"/>
        </w:rPr>
        <w:t>-Tickell</w:t>
      </w:r>
      <w:r w:rsidR="0002146E" w:rsidRPr="003053AA">
        <w:rPr>
          <w:rFonts w:ascii="Arial" w:hAnsi="Arial" w:cs="Arial"/>
          <w:color w:val="000000" w:themeColor="text1"/>
          <w:sz w:val="24"/>
          <w:szCs w:val="24"/>
        </w:rPr>
        <w:t>, 2022).</w:t>
      </w:r>
      <w:r w:rsidRPr="003053AA">
        <w:rPr>
          <w:rFonts w:ascii="Arial" w:hAnsi="Arial" w:cs="Arial"/>
          <w:color w:val="000000" w:themeColor="text1"/>
          <w:sz w:val="24"/>
          <w:szCs w:val="24"/>
        </w:rPr>
        <w:t xml:space="preserve"> Last but not least, creating an environment at work where engagement and satisfaction are prioritised is one of HR's most important jobs in people management. This entails fostering an inclusive, respectful, and encouraging work atmosphere where staff members feel valued, engaged, and inspired to provide their best effort. Here, HR's responsibility frequently involves starting initiatives that encourage open communication, encourage teamwork, and recognise employee effort</w:t>
      </w:r>
      <w:r w:rsidR="006F416B" w:rsidRPr="003053AA">
        <w:rPr>
          <w:rFonts w:ascii="Arial" w:hAnsi="Arial" w:cs="Arial"/>
          <w:color w:val="000000" w:themeColor="text1"/>
          <w:sz w:val="24"/>
          <w:szCs w:val="24"/>
        </w:rPr>
        <w:t xml:space="preserve"> (Murton, Inman, and O’Sullivan, 2010).</w:t>
      </w:r>
    </w:p>
    <w:p w14:paraId="6C2DA5DE" w14:textId="5C4D61DD" w:rsidR="00E6412E" w:rsidRPr="003053AA" w:rsidRDefault="00E6412E" w:rsidP="003053AA">
      <w:pPr>
        <w:spacing w:line="360" w:lineRule="auto"/>
        <w:jc w:val="both"/>
        <w:rPr>
          <w:rFonts w:ascii="Arial" w:hAnsi="Arial" w:cs="Arial"/>
          <w:color w:val="000000" w:themeColor="text1"/>
          <w:sz w:val="24"/>
          <w:szCs w:val="24"/>
        </w:rPr>
      </w:pPr>
      <w:r w:rsidRPr="003053AA">
        <w:rPr>
          <w:rFonts w:ascii="Arial" w:hAnsi="Arial" w:cs="Arial"/>
          <w:color w:val="000000" w:themeColor="text1"/>
          <w:sz w:val="24"/>
          <w:szCs w:val="24"/>
        </w:rPr>
        <w:t xml:space="preserve">The employee lifecycle depicts a person's path during their time working for an organisation, starting at the initial point of </w:t>
      </w:r>
      <w:r w:rsidR="0002146E" w:rsidRPr="003053AA">
        <w:rPr>
          <w:rFonts w:ascii="Arial" w:hAnsi="Arial" w:cs="Arial"/>
          <w:color w:val="000000" w:themeColor="text1"/>
          <w:sz w:val="24"/>
          <w:szCs w:val="24"/>
        </w:rPr>
        <w:t>contact,</w:t>
      </w:r>
      <w:r w:rsidRPr="003053AA">
        <w:rPr>
          <w:rFonts w:ascii="Arial" w:hAnsi="Arial" w:cs="Arial"/>
          <w:color w:val="000000" w:themeColor="text1"/>
          <w:sz w:val="24"/>
          <w:szCs w:val="24"/>
        </w:rPr>
        <w:t xml:space="preserve"> and ending at the exit or separation stage</w:t>
      </w:r>
      <w:r w:rsidR="006F416B" w:rsidRPr="003053AA">
        <w:rPr>
          <w:rFonts w:ascii="Arial" w:hAnsi="Arial" w:cs="Arial"/>
          <w:color w:val="000000" w:themeColor="text1"/>
          <w:sz w:val="24"/>
          <w:szCs w:val="24"/>
        </w:rPr>
        <w:t xml:space="preserve"> (Wan et al.,2019). </w:t>
      </w:r>
      <w:r w:rsidRPr="003053AA">
        <w:rPr>
          <w:rFonts w:ascii="Arial" w:hAnsi="Arial" w:cs="Arial"/>
          <w:color w:val="000000" w:themeColor="text1"/>
          <w:sz w:val="24"/>
          <w:szCs w:val="24"/>
        </w:rPr>
        <w:t>The Human Resources (HR) division is essential to this journey at every stage, ensuring that workers move between stages with minimal disruption to their productivity and dedication. Attraction is the first stage in this cycle. In order to attract prospects, the company needs to stand out in this crowded job market. By developing a strong employer brand that highlights the company's culture, values, perks, and prospects for advancement, HR may play a crucial role in this situation</w:t>
      </w:r>
      <w:r w:rsidR="006F416B" w:rsidRPr="003053AA">
        <w:rPr>
          <w:rFonts w:ascii="Arial" w:hAnsi="Arial" w:cs="Arial"/>
          <w:color w:val="000000" w:themeColor="text1"/>
          <w:sz w:val="24"/>
          <w:szCs w:val="24"/>
        </w:rPr>
        <w:t xml:space="preserve"> (Cattermole, 2019).</w:t>
      </w:r>
      <w:r w:rsidRPr="003053AA">
        <w:rPr>
          <w:rFonts w:ascii="Arial" w:hAnsi="Arial" w:cs="Arial"/>
          <w:color w:val="000000" w:themeColor="text1"/>
          <w:sz w:val="24"/>
          <w:szCs w:val="24"/>
        </w:rPr>
        <w:t xml:space="preserve"> This is a calculated strategy that includes boosting the company's standing as a top employer, running targeted marketing initiatives, and being active on professional networks. A dedication to constantly delivering on that promise and a thorough understanding of what potential employees look for in a workplace are necessary for effective talent attraction. The following phase, recruitment, is choosing the ideal candidates who match the job specifications and organisational culture. Job design, candidate sourcing, and selection process management are all important aspects of HR's role in this process. The objective is to find people who not only possess the necessary talents but also fit with the company's values and have room for growth in the future</w:t>
      </w:r>
      <w:r w:rsidR="007170E1" w:rsidRPr="003053AA">
        <w:rPr>
          <w:rFonts w:ascii="Arial" w:hAnsi="Arial" w:cs="Arial"/>
          <w:color w:val="000000" w:themeColor="text1"/>
          <w:sz w:val="24"/>
          <w:szCs w:val="24"/>
        </w:rPr>
        <w:t xml:space="preserve"> (Vishal and </w:t>
      </w:r>
      <w:proofErr w:type="spellStart"/>
      <w:r w:rsidR="007170E1" w:rsidRPr="003053AA">
        <w:rPr>
          <w:rFonts w:ascii="Arial" w:hAnsi="Arial" w:cs="Arial"/>
          <w:color w:val="000000" w:themeColor="text1"/>
          <w:sz w:val="24"/>
          <w:szCs w:val="24"/>
        </w:rPr>
        <w:t>Arundathi</w:t>
      </w:r>
      <w:proofErr w:type="spellEnd"/>
      <w:r w:rsidR="007170E1" w:rsidRPr="003053AA">
        <w:rPr>
          <w:rFonts w:ascii="Arial" w:hAnsi="Arial" w:cs="Arial"/>
          <w:color w:val="000000" w:themeColor="text1"/>
          <w:sz w:val="24"/>
          <w:szCs w:val="24"/>
        </w:rPr>
        <w:t xml:space="preserve">, 2018). </w:t>
      </w:r>
      <w:r w:rsidRPr="003053AA">
        <w:rPr>
          <w:rFonts w:ascii="Arial" w:hAnsi="Arial" w:cs="Arial"/>
          <w:color w:val="000000" w:themeColor="text1"/>
          <w:sz w:val="24"/>
          <w:szCs w:val="24"/>
        </w:rPr>
        <w:t>To ensure a thorough evaluation of candidates, strategies including competency-based interviews, psychometric exams, and assessment centres are frequently employed. After hiring, there is a crucial step called onboarding where newly hired staff are integrated into the company. Here, HR plays a crucial role by introducing the team members, duties, and corporate culture to the workers. An efficient onboarding procedure enables new hires to comprehend the requirements of their positions, their place in the larger organisational structure, and the resources at their disposal</w:t>
      </w:r>
      <w:r w:rsidR="007170E1" w:rsidRPr="003053AA">
        <w:rPr>
          <w:rFonts w:ascii="Arial" w:hAnsi="Arial" w:cs="Arial"/>
          <w:color w:val="000000" w:themeColor="text1"/>
          <w:sz w:val="24"/>
          <w:szCs w:val="24"/>
        </w:rPr>
        <w:t xml:space="preserve"> (Cattermole, 2019). Thus, t</w:t>
      </w:r>
      <w:r w:rsidRPr="003053AA">
        <w:rPr>
          <w:rFonts w:ascii="Arial" w:hAnsi="Arial" w:cs="Arial"/>
          <w:color w:val="000000" w:themeColor="text1"/>
          <w:sz w:val="24"/>
          <w:szCs w:val="24"/>
        </w:rPr>
        <w:t>his phase is crucial for preparing workers for success and has a big impact on employee retention. Development is the fourth step of the employee lifecycle. Currently, HR is in charge of recognising the training and development needs of the individual and the organisation and resolving them. On-the-job training, seminars, workshops, coaching, and e-learning tools could all be a part of this. These programmes seek to increase workers' abilities, performance, and readiness for new jobs while bolstering the organization's talent pipeline</w:t>
      </w:r>
      <w:r w:rsidR="007170E1" w:rsidRPr="003053AA">
        <w:rPr>
          <w:rFonts w:ascii="Arial" w:hAnsi="Arial" w:cs="Arial"/>
          <w:color w:val="000000" w:themeColor="text1"/>
          <w:sz w:val="24"/>
          <w:szCs w:val="24"/>
        </w:rPr>
        <w:t xml:space="preserve"> (Friedman, 2012). </w:t>
      </w:r>
      <w:r w:rsidR="0094110D" w:rsidRPr="003053AA">
        <w:rPr>
          <w:rFonts w:ascii="Arial" w:hAnsi="Arial" w:cs="Arial"/>
          <w:color w:val="000000" w:themeColor="text1"/>
          <w:sz w:val="24"/>
          <w:szCs w:val="24"/>
        </w:rPr>
        <w:t>Subsequent</w:t>
      </w:r>
      <w:r w:rsidRPr="003053AA">
        <w:rPr>
          <w:rFonts w:ascii="Arial" w:hAnsi="Arial" w:cs="Arial"/>
          <w:color w:val="000000" w:themeColor="text1"/>
          <w:sz w:val="24"/>
          <w:szCs w:val="24"/>
        </w:rPr>
        <w:t>, HR works to engage and retain talented workers within the company during the Retention stage. Offering competitive pay, benefit packages, performance recognition, and opportunity for professional advancement are all part of retention strategies. Additionally, HR is essential in creating a workplace where diversity is valued, teamwork is promoted, and employee happiness is high. The process of HR engaging and keeping talent requires continual work and regular assessment.</w:t>
      </w:r>
      <w:r w:rsidR="0094110D" w:rsidRPr="003053AA">
        <w:rPr>
          <w:rFonts w:ascii="Arial" w:hAnsi="Arial" w:cs="Arial"/>
          <w:color w:val="000000" w:themeColor="text1"/>
          <w:sz w:val="24"/>
          <w:szCs w:val="24"/>
        </w:rPr>
        <w:t xml:space="preserve"> </w:t>
      </w:r>
      <w:r w:rsidRPr="003053AA">
        <w:rPr>
          <w:rFonts w:ascii="Arial" w:hAnsi="Arial" w:cs="Arial"/>
          <w:color w:val="000000" w:themeColor="text1"/>
          <w:sz w:val="24"/>
          <w:szCs w:val="24"/>
        </w:rPr>
        <w:t>After separation, when employees leave the company, the employee lifecycle comes to an end</w:t>
      </w:r>
      <w:r w:rsidR="007170E1" w:rsidRPr="003053AA">
        <w:rPr>
          <w:rFonts w:ascii="Arial" w:hAnsi="Arial" w:cs="Arial"/>
          <w:color w:val="000000" w:themeColor="text1"/>
          <w:sz w:val="24"/>
          <w:szCs w:val="24"/>
        </w:rPr>
        <w:t xml:space="preserve"> (Singh, 2019). </w:t>
      </w:r>
      <w:r w:rsidRPr="003053AA">
        <w:rPr>
          <w:rFonts w:ascii="Arial" w:hAnsi="Arial" w:cs="Arial"/>
          <w:color w:val="000000" w:themeColor="text1"/>
          <w:sz w:val="24"/>
          <w:szCs w:val="24"/>
        </w:rPr>
        <w:t xml:space="preserve"> At this point, HR's responsibilities include managing administrative procedures associated with the departure, conducting exit interviews to obtain feedback, and facilitating a smooth transition for both the departing employee and the remaining team. Additionally, it entails keeping up good contacts with former workers who could serve as brand ambassadors and possible rehires.</w:t>
      </w:r>
    </w:p>
    <w:p w14:paraId="4341E461" w14:textId="291FFD4B" w:rsidR="00E6412E" w:rsidRPr="003053AA" w:rsidRDefault="00E6412E" w:rsidP="003053AA">
      <w:pPr>
        <w:spacing w:line="360" w:lineRule="auto"/>
        <w:jc w:val="both"/>
        <w:rPr>
          <w:rFonts w:ascii="Arial" w:hAnsi="Arial" w:cs="Arial"/>
          <w:color w:val="000000" w:themeColor="text1"/>
          <w:sz w:val="24"/>
          <w:szCs w:val="24"/>
        </w:rPr>
      </w:pPr>
      <w:r w:rsidRPr="003053AA">
        <w:rPr>
          <w:rFonts w:ascii="Arial" w:hAnsi="Arial" w:cs="Arial"/>
          <w:color w:val="000000" w:themeColor="text1"/>
          <w:sz w:val="24"/>
          <w:szCs w:val="24"/>
        </w:rPr>
        <w:t>The employee lifecycle is a comprehensive view of a person's path inside an organisation, to sum up. With the aim of acquiring, developing, and retaining talent while establishing a healthy and productive work environment, HR plays a crucial role at each stage. higher employee happiness, decreased turnover rates, and ultimately higher organisational performance can all be the results of effective human lifecycle management</w:t>
      </w:r>
      <w:r w:rsidR="003053AA" w:rsidRPr="003053AA">
        <w:rPr>
          <w:rFonts w:ascii="Arial" w:hAnsi="Arial" w:cs="Arial"/>
          <w:color w:val="000000" w:themeColor="text1"/>
          <w:sz w:val="24"/>
          <w:szCs w:val="24"/>
        </w:rPr>
        <w:t xml:space="preserve"> (Friedman, 2019).</w:t>
      </w:r>
      <w:r w:rsidR="0094110D" w:rsidRPr="003053AA">
        <w:rPr>
          <w:rFonts w:ascii="Arial" w:hAnsi="Arial" w:cs="Arial"/>
          <w:color w:val="000000" w:themeColor="text1"/>
          <w:sz w:val="24"/>
          <w:szCs w:val="24"/>
        </w:rPr>
        <w:t xml:space="preserve"> Marriott International is a prominent illustration of a hotel chain that has effectively perfected the art of lifecycle. Marriott's renowned "people-first" attitude is ingrained with its talent management strategy. This philosophy is mirrored in its all-encompassing personnel management strategy, which gives special attention to each step of the employee lifetime</w:t>
      </w:r>
      <w:r w:rsidR="007170E1" w:rsidRPr="003053AA">
        <w:rPr>
          <w:rFonts w:ascii="Arial" w:hAnsi="Arial" w:cs="Arial"/>
          <w:color w:val="000000" w:themeColor="text1"/>
          <w:sz w:val="24"/>
          <w:szCs w:val="24"/>
        </w:rPr>
        <w:t xml:space="preserve"> (Ross, 2018). </w:t>
      </w:r>
      <w:r w:rsidR="0094110D" w:rsidRPr="003053AA">
        <w:rPr>
          <w:rFonts w:ascii="Arial" w:hAnsi="Arial" w:cs="Arial"/>
          <w:color w:val="000000" w:themeColor="text1"/>
          <w:sz w:val="24"/>
          <w:szCs w:val="24"/>
        </w:rPr>
        <w:t xml:space="preserve"> Marriott aims to entice high-potential people who are in line with company culture and values during the recruitment stage. In order to thoroughly evaluate prospects and give potential employees a realistic idea of the company's expectations and work environment, the company's hiring procedure is set up to be mutually selective. At Marriott, the onboarding process is methodically planned to make new hires feel appreciated, at home, and ready for their particular roles. A thorough introduction programme sets the groundwork for success right away by going over business culture, operational procedures, and expectations. The core of Marriott's talent management strategy is development. Through a variety of training and development efforts, from functional skills training to leadership development initiatives, the corporation makes a major investment in its employees</w:t>
      </w:r>
      <w:r w:rsidR="007170E1" w:rsidRPr="003053AA">
        <w:rPr>
          <w:rFonts w:ascii="Arial" w:hAnsi="Arial" w:cs="Arial"/>
          <w:color w:val="000000" w:themeColor="text1"/>
          <w:sz w:val="24"/>
          <w:szCs w:val="24"/>
        </w:rPr>
        <w:t xml:space="preserve"> (Ross, 201</w:t>
      </w:r>
      <w:r w:rsidR="003053AA" w:rsidRPr="003053AA">
        <w:rPr>
          <w:rFonts w:ascii="Arial" w:hAnsi="Arial" w:cs="Arial"/>
          <w:color w:val="000000" w:themeColor="text1"/>
          <w:sz w:val="24"/>
          <w:szCs w:val="24"/>
        </w:rPr>
        <w:t>8.</w:t>
      </w:r>
      <w:r w:rsidR="007170E1" w:rsidRPr="003053AA">
        <w:rPr>
          <w:rFonts w:ascii="Arial" w:hAnsi="Arial" w:cs="Arial"/>
          <w:color w:val="000000" w:themeColor="text1"/>
          <w:sz w:val="24"/>
          <w:szCs w:val="24"/>
        </w:rPr>
        <w:t>)</w:t>
      </w:r>
      <w:r w:rsidR="0094110D" w:rsidRPr="003053AA">
        <w:rPr>
          <w:rFonts w:ascii="Arial" w:hAnsi="Arial" w:cs="Arial"/>
          <w:color w:val="000000" w:themeColor="text1"/>
          <w:sz w:val="24"/>
          <w:szCs w:val="24"/>
        </w:rPr>
        <w:t xml:space="preserve"> A culture of learning and growth is fostered through Marriott's rigorous internal promotion strategy, which encourages employees to gain new skills and abilities for career advancement. At Marriott, retention involves more than just keeping workers; it also involves keeping them motivated and engaged. The business uses a variety of tactics to maintain staff motivation because it understands the connection between customer and employee happiness. A friendly and welcoming work atmosphere, competitive pay and benefit packages, and recognition programmes that recognise and reward exceptional achievement are a few of these</w:t>
      </w:r>
      <w:r w:rsidR="003053AA" w:rsidRPr="003053AA">
        <w:rPr>
          <w:rFonts w:ascii="Arial" w:hAnsi="Arial" w:cs="Arial"/>
          <w:color w:val="000000" w:themeColor="text1"/>
          <w:sz w:val="24"/>
          <w:szCs w:val="24"/>
        </w:rPr>
        <w:t xml:space="preserve"> (Friedman, 2019). </w:t>
      </w:r>
      <w:r w:rsidR="0094110D" w:rsidRPr="003053AA">
        <w:rPr>
          <w:rFonts w:ascii="Arial" w:hAnsi="Arial" w:cs="Arial"/>
          <w:color w:val="000000" w:themeColor="text1"/>
          <w:sz w:val="24"/>
          <w:szCs w:val="24"/>
        </w:rPr>
        <w:t xml:space="preserve"> Marriott's human resources department functions as a strategic partner in talent management by creating an atmosphere that not only draws in and nurtures great people, but also encourages them to stick around and advance within the business. Marriott's position as a top employer in the hospitality sector, its constantly high guest satisfaction scores, and its consistent financial performance all attest to the effectiveness of its personnel management strategy.</w:t>
      </w:r>
    </w:p>
    <w:p w14:paraId="57553D5A" w14:textId="4296ED1C" w:rsidR="0094110D" w:rsidRPr="003053AA" w:rsidRDefault="00A5602F" w:rsidP="003053AA">
      <w:pPr>
        <w:spacing w:line="360" w:lineRule="auto"/>
        <w:jc w:val="both"/>
        <w:rPr>
          <w:rFonts w:ascii="Arial" w:hAnsi="Arial" w:cs="Arial"/>
          <w:color w:val="000000" w:themeColor="text1"/>
          <w:sz w:val="24"/>
          <w:szCs w:val="24"/>
        </w:rPr>
      </w:pPr>
      <w:r w:rsidRPr="003053AA">
        <w:rPr>
          <w:rFonts w:ascii="Arial" w:hAnsi="Arial" w:cs="Arial"/>
          <w:color w:val="000000" w:themeColor="text1"/>
          <w:sz w:val="24"/>
          <w:szCs w:val="24"/>
        </w:rPr>
        <w:t>Additionally, performance of the team and the organisation as a whole is significantly impacted by talent management and strategic development. An organisation can develop a skilled, motivated, and committed staff that helps it achieve its strategic goals by putting a focused effort into such practises</w:t>
      </w:r>
      <w:r w:rsidR="003053AA" w:rsidRPr="003053AA">
        <w:rPr>
          <w:rFonts w:ascii="Arial" w:hAnsi="Arial" w:cs="Arial"/>
          <w:color w:val="000000" w:themeColor="text1"/>
          <w:sz w:val="24"/>
          <w:szCs w:val="24"/>
        </w:rPr>
        <w:t xml:space="preserve"> (Johnston, Clark, and </w:t>
      </w:r>
      <w:proofErr w:type="spellStart"/>
      <w:r w:rsidR="003053AA" w:rsidRPr="003053AA">
        <w:rPr>
          <w:rFonts w:ascii="Arial" w:hAnsi="Arial" w:cs="Arial"/>
          <w:color w:val="000000" w:themeColor="text1"/>
          <w:sz w:val="24"/>
          <w:szCs w:val="24"/>
        </w:rPr>
        <w:t>Shulver</w:t>
      </w:r>
      <w:proofErr w:type="spellEnd"/>
      <w:r w:rsidR="003053AA" w:rsidRPr="003053AA">
        <w:rPr>
          <w:rFonts w:ascii="Arial" w:hAnsi="Arial" w:cs="Arial"/>
          <w:color w:val="000000" w:themeColor="text1"/>
          <w:sz w:val="24"/>
          <w:szCs w:val="24"/>
        </w:rPr>
        <w:t>, 2012).</w:t>
      </w:r>
      <w:r w:rsidRPr="003053AA">
        <w:rPr>
          <w:rFonts w:ascii="Arial" w:hAnsi="Arial" w:cs="Arial"/>
          <w:color w:val="000000" w:themeColor="text1"/>
          <w:sz w:val="24"/>
          <w:szCs w:val="24"/>
        </w:rPr>
        <w:t xml:space="preserve"> The benefits of efficiently managing personnel are most evident at the team level. Organisations that actively support employee development foster a culture of lifelong learning and development. As a result, a more qualified and competent staff can develop, fostering effective teamwork, knowledge sharing, and innovation. Additionally, a thorough personnel management approach can raise staff morale and engagement, which will strengthen teamwork and productivity</w:t>
      </w:r>
      <w:r w:rsidR="003053AA" w:rsidRPr="003053AA">
        <w:rPr>
          <w:rFonts w:ascii="Arial" w:hAnsi="Arial" w:cs="Arial"/>
          <w:color w:val="000000" w:themeColor="text1"/>
          <w:sz w:val="24"/>
          <w:szCs w:val="24"/>
        </w:rPr>
        <w:t xml:space="preserve"> (Horn, 2009). </w:t>
      </w:r>
      <w:r w:rsidRPr="003053AA">
        <w:rPr>
          <w:rFonts w:ascii="Arial" w:hAnsi="Arial" w:cs="Arial"/>
          <w:color w:val="000000" w:themeColor="text1"/>
          <w:sz w:val="24"/>
          <w:szCs w:val="24"/>
        </w:rPr>
        <w:t>For example, The Dorchester Collection chain, known for its dedication to staff development, has made significant investments in learning and development initiatives. Their internal development centre, the Academy, offers a variety of training possibilities for personnel, from leadership courses to seminars on service excellence</w:t>
      </w:r>
      <w:r w:rsidR="003053AA" w:rsidRPr="003053AA">
        <w:rPr>
          <w:rFonts w:ascii="Arial" w:hAnsi="Arial" w:cs="Arial"/>
          <w:color w:val="000000" w:themeColor="text1"/>
          <w:sz w:val="24"/>
          <w:szCs w:val="24"/>
        </w:rPr>
        <w:t xml:space="preserve"> </w:t>
      </w:r>
      <w:r w:rsidR="003053AA" w:rsidRPr="003053AA">
        <w:rPr>
          <w:rFonts w:ascii="Arial" w:hAnsi="Arial" w:cs="Arial"/>
          <w:color w:val="000000" w:themeColor="text1"/>
          <w:sz w:val="24"/>
          <w:szCs w:val="24"/>
          <w:shd w:val="clear" w:color="auto" w:fill="FFFFFF"/>
        </w:rPr>
        <w:t>(</w:t>
      </w:r>
      <w:proofErr w:type="spellStart"/>
      <w:r w:rsidR="003053AA" w:rsidRPr="003053AA">
        <w:rPr>
          <w:rFonts w:ascii="Arial" w:hAnsi="Arial" w:cs="Arial"/>
          <w:color w:val="000000" w:themeColor="text1"/>
          <w:sz w:val="24"/>
          <w:szCs w:val="24"/>
          <w:shd w:val="clear" w:color="auto" w:fill="FFFFFF"/>
        </w:rPr>
        <w:t>Utrobičić</w:t>
      </w:r>
      <w:proofErr w:type="spellEnd"/>
      <w:r w:rsidR="003053AA" w:rsidRPr="003053AA">
        <w:rPr>
          <w:rFonts w:ascii="Arial" w:hAnsi="Arial" w:cs="Arial"/>
          <w:color w:val="000000" w:themeColor="text1"/>
          <w:sz w:val="24"/>
          <w:szCs w:val="24"/>
          <w:shd w:val="clear" w:color="auto" w:fill="FFFFFF"/>
        </w:rPr>
        <w:t>, 2019).</w:t>
      </w:r>
      <w:r w:rsidRPr="003053AA">
        <w:rPr>
          <w:rFonts w:ascii="Arial" w:hAnsi="Arial" w:cs="Arial"/>
          <w:color w:val="000000" w:themeColor="text1"/>
          <w:sz w:val="24"/>
          <w:szCs w:val="24"/>
        </w:rPr>
        <w:t xml:space="preserve"> A culture of continual improvement and a highly competent staff capable of offering great guest experiences have been established by this company's investment in its employees. On the other hand, managing and cultivating talent can have a significant impact on organisational key performance indicators such as productivity, customer satisfaction, and financial performance. Companies that excel at talent management typically have reduced employee turnover rates, resulting in substantial cost savings associated with recruitment, onboarding, and lost productivity</w:t>
      </w:r>
      <w:r w:rsidR="003053AA" w:rsidRPr="003053AA">
        <w:rPr>
          <w:rFonts w:ascii="Arial" w:hAnsi="Arial" w:cs="Arial"/>
          <w:color w:val="000000" w:themeColor="text1"/>
          <w:sz w:val="24"/>
          <w:szCs w:val="24"/>
        </w:rPr>
        <w:t xml:space="preserve"> (</w:t>
      </w:r>
      <w:proofErr w:type="spellStart"/>
      <w:r w:rsidR="003053AA" w:rsidRPr="003053AA">
        <w:rPr>
          <w:rFonts w:ascii="Arial" w:hAnsi="Arial" w:cs="Arial"/>
          <w:color w:val="000000" w:themeColor="text1"/>
          <w:sz w:val="24"/>
          <w:szCs w:val="24"/>
        </w:rPr>
        <w:t>Amstorng</w:t>
      </w:r>
      <w:proofErr w:type="spellEnd"/>
      <w:r w:rsidR="003053AA" w:rsidRPr="003053AA">
        <w:rPr>
          <w:rFonts w:ascii="Arial" w:hAnsi="Arial" w:cs="Arial"/>
          <w:color w:val="000000" w:themeColor="text1"/>
          <w:sz w:val="24"/>
          <w:szCs w:val="24"/>
        </w:rPr>
        <w:t xml:space="preserve"> and Taylor, 2020). </w:t>
      </w:r>
      <w:r w:rsidRPr="003053AA">
        <w:rPr>
          <w:rFonts w:ascii="Arial" w:hAnsi="Arial" w:cs="Arial"/>
          <w:color w:val="000000" w:themeColor="text1"/>
          <w:sz w:val="24"/>
          <w:szCs w:val="24"/>
        </w:rPr>
        <w:t xml:space="preserve"> Importantly, a talent-rich organisation can rapidly adapt to market shifts, innovate, and drive growth. Whitbread Plc, the largest hospitality concern in the United Kingdom, provides a relevant example. Whitbread is renowned for its commitment to talent management, particularly the development of leadership abilities at all organisational levels. They ensure a steady supply of skilled leaders who are prepared to assume greater responsibilities by implementing rigorous training programmes and defining obvious advancement paths. This strategy has considerably contributed to the company's industry-leading resilience, adaptability, and sustained success.</w:t>
      </w:r>
    </w:p>
    <w:p w14:paraId="5D9CE6C2" w14:textId="77777777" w:rsidR="00A5602F" w:rsidRPr="003053AA" w:rsidRDefault="00A5602F" w:rsidP="003053AA">
      <w:pPr>
        <w:spacing w:line="360" w:lineRule="auto"/>
        <w:jc w:val="both"/>
        <w:rPr>
          <w:rFonts w:ascii="Arial" w:hAnsi="Arial" w:cs="Arial"/>
          <w:color w:val="000000" w:themeColor="text1"/>
          <w:sz w:val="24"/>
          <w:szCs w:val="24"/>
        </w:rPr>
      </w:pPr>
      <w:r w:rsidRPr="003053AA">
        <w:rPr>
          <w:rFonts w:ascii="Arial" w:hAnsi="Arial" w:cs="Arial"/>
          <w:color w:val="000000" w:themeColor="text1"/>
          <w:sz w:val="24"/>
          <w:szCs w:val="24"/>
        </w:rPr>
        <w:t>In conclusion, the meticulous analysis of Human Resource Management's function in managing and developing talent throughout the employee lifecycle demonstrates its utmost significance in the highly competitive business environment of the twenty-first century. By utilising HRM's best practises, organisations, particularly in the hotel industry, can effectively engage, retain, and develop their personnel, contributing significantly to a harmonious and productive workplace. The in-depth examination of the concept of talent management and the role of HR at each stage of the employee lifecycle provides a comprehensive comprehension of the holistic approach that contemporary organisations must adopt.</w:t>
      </w:r>
    </w:p>
    <w:p w14:paraId="0018FBBA" w14:textId="77777777" w:rsidR="00A5602F" w:rsidRDefault="00A5602F" w:rsidP="00A5602F">
      <w:pPr>
        <w:spacing w:line="360" w:lineRule="auto"/>
        <w:jc w:val="both"/>
        <w:rPr>
          <w:rFonts w:ascii="Arial" w:hAnsi="Arial" w:cs="Arial"/>
          <w:sz w:val="24"/>
          <w:szCs w:val="24"/>
        </w:rPr>
      </w:pPr>
    </w:p>
    <w:p w14:paraId="49FFC738" w14:textId="77777777" w:rsidR="00A5602F" w:rsidRDefault="00A5602F" w:rsidP="00A5602F">
      <w:pPr>
        <w:spacing w:line="360" w:lineRule="auto"/>
        <w:jc w:val="both"/>
        <w:rPr>
          <w:rFonts w:ascii="Arial" w:hAnsi="Arial" w:cs="Arial"/>
          <w:sz w:val="24"/>
          <w:szCs w:val="24"/>
        </w:rPr>
      </w:pPr>
    </w:p>
    <w:p w14:paraId="03EB48A9" w14:textId="77777777" w:rsidR="00A5602F" w:rsidRDefault="00A5602F" w:rsidP="00A5602F">
      <w:pPr>
        <w:spacing w:line="360" w:lineRule="auto"/>
        <w:jc w:val="both"/>
        <w:rPr>
          <w:rFonts w:ascii="Arial" w:hAnsi="Arial" w:cs="Arial"/>
          <w:sz w:val="24"/>
          <w:szCs w:val="24"/>
        </w:rPr>
      </w:pPr>
    </w:p>
    <w:p w14:paraId="1DA068DB" w14:textId="77777777" w:rsidR="00A5602F" w:rsidRDefault="00A5602F" w:rsidP="00A5602F">
      <w:pPr>
        <w:spacing w:line="360" w:lineRule="auto"/>
        <w:jc w:val="both"/>
        <w:rPr>
          <w:rFonts w:ascii="Arial" w:hAnsi="Arial" w:cs="Arial"/>
          <w:sz w:val="24"/>
          <w:szCs w:val="24"/>
        </w:rPr>
      </w:pPr>
    </w:p>
    <w:p w14:paraId="08D1ED1C" w14:textId="77777777" w:rsidR="00A5602F" w:rsidRDefault="00A5602F" w:rsidP="00A5602F">
      <w:pPr>
        <w:spacing w:line="360" w:lineRule="auto"/>
        <w:jc w:val="both"/>
        <w:rPr>
          <w:rFonts w:ascii="Arial" w:hAnsi="Arial" w:cs="Arial"/>
          <w:sz w:val="24"/>
          <w:szCs w:val="24"/>
        </w:rPr>
      </w:pPr>
    </w:p>
    <w:p w14:paraId="309C9AC0" w14:textId="77777777" w:rsidR="00A5602F" w:rsidRDefault="00A5602F" w:rsidP="00A5602F">
      <w:pPr>
        <w:spacing w:line="360" w:lineRule="auto"/>
        <w:jc w:val="both"/>
        <w:rPr>
          <w:rFonts w:ascii="Arial" w:hAnsi="Arial" w:cs="Arial"/>
          <w:sz w:val="24"/>
          <w:szCs w:val="24"/>
        </w:rPr>
      </w:pPr>
    </w:p>
    <w:p w14:paraId="53D9B2AB" w14:textId="77777777" w:rsidR="00A5602F" w:rsidRDefault="00A5602F" w:rsidP="00A5602F">
      <w:pPr>
        <w:spacing w:line="360" w:lineRule="auto"/>
        <w:jc w:val="both"/>
        <w:rPr>
          <w:rFonts w:ascii="Arial" w:hAnsi="Arial" w:cs="Arial"/>
          <w:sz w:val="24"/>
          <w:szCs w:val="24"/>
        </w:rPr>
      </w:pPr>
    </w:p>
    <w:p w14:paraId="09D1C48C" w14:textId="77777777" w:rsidR="00A5602F" w:rsidRDefault="00A5602F" w:rsidP="00A5602F">
      <w:pPr>
        <w:spacing w:line="360" w:lineRule="auto"/>
        <w:jc w:val="both"/>
        <w:rPr>
          <w:rFonts w:ascii="Arial" w:hAnsi="Arial" w:cs="Arial"/>
          <w:sz w:val="24"/>
          <w:szCs w:val="24"/>
        </w:rPr>
      </w:pPr>
    </w:p>
    <w:p w14:paraId="4576F014" w14:textId="77777777" w:rsidR="00A5602F" w:rsidRDefault="00A5602F" w:rsidP="00A5602F">
      <w:pPr>
        <w:spacing w:line="360" w:lineRule="auto"/>
        <w:jc w:val="both"/>
        <w:rPr>
          <w:rFonts w:ascii="Arial" w:hAnsi="Arial" w:cs="Arial"/>
          <w:sz w:val="24"/>
          <w:szCs w:val="24"/>
        </w:rPr>
      </w:pPr>
    </w:p>
    <w:p w14:paraId="33590575" w14:textId="77777777" w:rsidR="00A5602F" w:rsidRDefault="00A5602F" w:rsidP="00A5602F">
      <w:pPr>
        <w:spacing w:line="360" w:lineRule="auto"/>
        <w:jc w:val="both"/>
        <w:rPr>
          <w:rFonts w:ascii="Arial" w:hAnsi="Arial" w:cs="Arial"/>
          <w:sz w:val="24"/>
          <w:szCs w:val="24"/>
        </w:rPr>
      </w:pPr>
    </w:p>
    <w:p w14:paraId="392C2C56" w14:textId="77777777" w:rsidR="00A5602F" w:rsidRDefault="00A5602F" w:rsidP="00A5602F">
      <w:pPr>
        <w:spacing w:line="360" w:lineRule="auto"/>
        <w:jc w:val="both"/>
        <w:rPr>
          <w:rFonts w:ascii="Arial" w:hAnsi="Arial" w:cs="Arial"/>
          <w:sz w:val="24"/>
          <w:szCs w:val="24"/>
        </w:rPr>
      </w:pPr>
    </w:p>
    <w:p w14:paraId="17914419" w14:textId="77777777" w:rsidR="00A5602F" w:rsidRDefault="00A5602F" w:rsidP="00A5602F">
      <w:pPr>
        <w:spacing w:line="360" w:lineRule="auto"/>
        <w:jc w:val="both"/>
        <w:rPr>
          <w:rFonts w:ascii="Arial" w:hAnsi="Arial" w:cs="Arial"/>
          <w:sz w:val="24"/>
          <w:szCs w:val="24"/>
        </w:rPr>
      </w:pPr>
    </w:p>
    <w:p w14:paraId="61A55B71" w14:textId="77777777" w:rsidR="00A5602F" w:rsidRDefault="00A5602F" w:rsidP="00A5602F">
      <w:pPr>
        <w:spacing w:line="360" w:lineRule="auto"/>
        <w:jc w:val="both"/>
        <w:rPr>
          <w:rFonts w:ascii="Arial" w:hAnsi="Arial" w:cs="Arial"/>
          <w:sz w:val="24"/>
          <w:szCs w:val="24"/>
        </w:rPr>
      </w:pPr>
    </w:p>
    <w:p w14:paraId="067A4312" w14:textId="77777777" w:rsidR="00A5602F" w:rsidRDefault="00A5602F" w:rsidP="00A5602F">
      <w:pPr>
        <w:spacing w:line="360" w:lineRule="auto"/>
        <w:jc w:val="both"/>
        <w:rPr>
          <w:rFonts w:ascii="Arial" w:hAnsi="Arial" w:cs="Arial"/>
          <w:sz w:val="24"/>
          <w:szCs w:val="24"/>
        </w:rPr>
      </w:pPr>
    </w:p>
    <w:p w14:paraId="0F561318" w14:textId="77777777" w:rsidR="00A5602F" w:rsidRDefault="00A5602F" w:rsidP="00A5602F">
      <w:pPr>
        <w:spacing w:line="360" w:lineRule="auto"/>
        <w:jc w:val="both"/>
        <w:rPr>
          <w:rFonts w:ascii="Arial" w:hAnsi="Arial" w:cs="Arial"/>
          <w:sz w:val="24"/>
          <w:szCs w:val="24"/>
        </w:rPr>
      </w:pPr>
    </w:p>
    <w:p w14:paraId="1FA18E4D" w14:textId="77777777" w:rsidR="00A5602F" w:rsidRDefault="00A5602F" w:rsidP="00A5602F">
      <w:pPr>
        <w:spacing w:line="360" w:lineRule="auto"/>
        <w:jc w:val="both"/>
        <w:rPr>
          <w:rFonts w:ascii="Arial" w:hAnsi="Arial" w:cs="Arial"/>
          <w:sz w:val="24"/>
          <w:szCs w:val="24"/>
        </w:rPr>
      </w:pPr>
    </w:p>
    <w:p w14:paraId="1ED2F8F6" w14:textId="77777777" w:rsidR="00A5602F" w:rsidRDefault="00A5602F" w:rsidP="00A5602F">
      <w:pPr>
        <w:spacing w:line="360" w:lineRule="auto"/>
        <w:jc w:val="both"/>
        <w:rPr>
          <w:rFonts w:ascii="Arial" w:hAnsi="Arial" w:cs="Arial"/>
          <w:sz w:val="24"/>
          <w:szCs w:val="24"/>
        </w:rPr>
      </w:pPr>
    </w:p>
    <w:p w14:paraId="22E8B069" w14:textId="77777777" w:rsidR="00A5602F" w:rsidRDefault="00A5602F" w:rsidP="00A5602F">
      <w:pPr>
        <w:spacing w:line="360" w:lineRule="auto"/>
        <w:jc w:val="both"/>
        <w:rPr>
          <w:rFonts w:ascii="Arial" w:hAnsi="Arial" w:cs="Arial"/>
          <w:sz w:val="24"/>
          <w:szCs w:val="24"/>
        </w:rPr>
      </w:pPr>
    </w:p>
    <w:p w14:paraId="319A9128" w14:textId="056B4F78" w:rsidR="00A5602F" w:rsidRPr="00A5602F" w:rsidRDefault="00A5602F" w:rsidP="00A5602F">
      <w:pPr>
        <w:spacing w:line="360" w:lineRule="auto"/>
        <w:jc w:val="both"/>
        <w:rPr>
          <w:rFonts w:ascii="Arial" w:hAnsi="Arial" w:cs="Arial"/>
          <w:sz w:val="24"/>
          <w:szCs w:val="24"/>
        </w:rPr>
      </w:pPr>
      <w:r>
        <w:rPr>
          <w:rFonts w:ascii="Arial" w:hAnsi="Arial" w:cs="Arial"/>
          <w:sz w:val="24"/>
          <w:szCs w:val="24"/>
        </w:rPr>
        <w:t>References</w:t>
      </w:r>
    </w:p>
    <w:p w14:paraId="64B40F62" w14:textId="1F43B0C8" w:rsidR="00334D6E" w:rsidRPr="00334D6E" w:rsidRDefault="00334D6E" w:rsidP="00334D6E">
      <w:pPr>
        <w:spacing w:line="360" w:lineRule="auto"/>
        <w:jc w:val="both"/>
        <w:rPr>
          <w:rFonts w:ascii="Arial" w:hAnsi="Arial" w:cs="Arial"/>
          <w:color w:val="000000" w:themeColor="text1"/>
          <w:sz w:val="24"/>
          <w:szCs w:val="24"/>
          <w:shd w:val="clear" w:color="auto" w:fill="FFFFFF"/>
        </w:rPr>
      </w:pPr>
      <w:r w:rsidRPr="00334D6E">
        <w:rPr>
          <w:rFonts w:ascii="Arial" w:hAnsi="Arial" w:cs="Arial"/>
          <w:color w:val="000000" w:themeColor="text1"/>
          <w:sz w:val="24"/>
          <w:szCs w:val="24"/>
        </w:rPr>
        <w:t xml:space="preserve">Armstrong, M. and Taylor, S. (2020) Armstrong’s handbook of human resource management practice. 15th edition. London, United Kingdom ;: </w:t>
      </w:r>
      <w:proofErr w:type="spellStart"/>
      <w:r w:rsidRPr="00334D6E">
        <w:rPr>
          <w:rFonts w:ascii="Arial" w:hAnsi="Arial" w:cs="Arial"/>
          <w:color w:val="000000" w:themeColor="text1"/>
          <w:sz w:val="24"/>
          <w:szCs w:val="24"/>
        </w:rPr>
        <w:t>KoganPage</w:t>
      </w:r>
      <w:proofErr w:type="spellEnd"/>
      <w:r w:rsidRPr="00334D6E">
        <w:rPr>
          <w:rFonts w:ascii="Arial" w:hAnsi="Arial" w:cs="Arial"/>
          <w:color w:val="000000" w:themeColor="text1"/>
          <w:sz w:val="24"/>
          <w:szCs w:val="24"/>
        </w:rPr>
        <w:t>.</w:t>
      </w:r>
    </w:p>
    <w:p w14:paraId="429D23C1" w14:textId="28C33AD0" w:rsidR="006F416B" w:rsidRPr="00334D6E" w:rsidRDefault="006F416B" w:rsidP="00334D6E">
      <w:pPr>
        <w:spacing w:line="360" w:lineRule="auto"/>
        <w:jc w:val="both"/>
        <w:rPr>
          <w:rFonts w:ascii="Arial" w:hAnsi="Arial" w:cs="Arial"/>
          <w:color w:val="000000" w:themeColor="text1"/>
          <w:sz w:val="24"/>
          <w:szCs w:val="24"/>
          <w:shd w:val="clear" w:color="auto" w:fill="FFFFFF"/>
        </w:rPr>
      </w:pPr>
      <w:r w:rsidRPr="00334D6E">
        <w:rPr>
          <w:rFonts w:ascii="Arial" w:hAnsi="Arial" w:cs="Arial"/>
          <w:color w:val="000000" w:themeColor="text1"/>
          <w:sz w:val="24"/>
          <w:szCs w:val="24"/>
          <w:shd w:val="clear" w:color="auto" w:fill="FFFFFF"/>
        </w:rPr>
        <w:t>Cattermole, G., 2019. Developing the employee lifecycle to keep top talent. </w:t>
      </w:r>
      <w:r w:rsidRPr="00334D6E">
        <w:rPr>
          <w:rFonts w:ascii="Arial" w:hAnsi="Arial" w:cs="Arial"/>
          <w:i/>
          <w:iCs/>
          <w:color w:val="000000" w:themeColor="text1"/>
          <w:sz w:val="24"/>
          <w:szCs w:val="24"/>
          <w:shd w:val="clear" w:color="auto" w:fill="FFFFFF"/>
        </w:rPr>
        <w:t>Strategic HR review</w:t>
      </w:r>
      <w:r w:rsidRPr="00334D6E">
        <w:rPr>
          <w:rFonts w:ascii="Arial" w:hAnsi="Arial" w:cs="Arial"/>
          <w:color w:val="000000" w:themeColor="text1"/>
          <w:sz w:val="24"/>
          <w:szCs w:val="24"/>
          <w:shd w:val="clear" w:color="auto" w:fill="FFFFFF"/>
        </w:rPr>
        <w:t>, </w:t>
      </w:r>
      <w:r w:rsidRPr="00334D6E">
        <w:rPr>
          <w:rFonts w:ascii="Arial" w:hAnsi="Arial" w:cs="Arial"/>
          <w:i/>
          <w:iCs/>
          <w:color w:val="000000" w:themeColor="text1"/>
          <w:sz w:val="24"/>
          <w:szCs w:val="24"/>
          <w:shd w:val="clear" w:color="auto" w:fill="FFFFFF"/>
        </w:rPr>
        <w:t>18</w:t>
      </w:r>
      <w:r w:rsidRPr="00334D6E">
        <w:rPr>
          <w:rFonts w:ascii="Arial" w:hAnsi="Arial" w:cs="Arial"/>
          <w:color w:val="000000" w:themeColor="text1"/>
          <w:sz w:val="24"/>
          <w:szCs w:val="24"/>
          <w:shd w:val="clear" w:color="auto" w:fill="FFFFFF"/>
        </w:rPr>
        <w:t>(6), pp.258-262.</w:t>
      </w:r>
    </w:p>
    <w:p w14:paraId="2C3BD60D" w14:textId="05CE8CAD" w:rsidR="003053AA" w:rsidRPr="00334D6E" w:rsidRDefault="003053AA" w:rsidP="00334D6E">
      <w:pPr>
        <w:pStyle w:val="NormalWeb"/>
        <w:spacing w:before="0" w:beforeAutospacing="0" w:after="0" w:afterAutospacing="0" w:line="360" w:lineRule="auto"/>
        <w:jc w:val="both"/>
        <w:rPr>
          <w:rFonts w:ascii="Arial" w:hAnsi="Arial" w:cs="Arial"/>
          <w:color w:val="000000" w:themeColor="text1"/>
        </w:rPr>
      </w:pPr>
      <w:r w:rsidRPr="00334D6E">
        <w:rPr>
          <w:rFonts w:ascii="Arial" w:hAnsi="Arial" w:cs="Arial"/>
          <w:color w:val="000000" w:themeColor="text1"/>
        </w:rPr>
        <w:t>Friedman, B.A. (2019). Hospitality, Tourism, and Events Industry Competency Model: Human Resource Management Implications. </w:t>
      </w:r>
      <w:r w:rsidRPr="00334D6E">
        <w:rPr>
          <w:rFonts w:ascii="Arial" w:hAnsi="Arial" w:cs="Arial"/>
          <w:i/>
          <w:iCs/>
          <w:color w:val="000000" w:themeColor="text1"/>
        </w:rPr>
        <w:t>Strategic Innovative Marketing and Tourism</w:t>
      </w:r>
      <w:r w:rsidRPr="00334D6E">
        <w:rPr>
          <w:rFonts w:ascii="Arial" w:hAnsi="Arial" w:cs="Arial"/>
          <w:color w:val="000000" w:themeColor="text1"/>
        </w:rPr>
        <w:t xml:space="preserve">, pp.49–56. </w:t>
      </w:r>
      <w:proofErr w:type="spellStart"/>
      <w:r w:rsidRPr="00334D6E">
        <w:rPr>
          <w:rFonts w:ascii="Arial" w:hAnsi="Arial" w:cs="Arial"/>
          <w:color w:val="000000" w:themeColor="text1"/>
        </w:rPr>
        <w:t>doi:https</w:t>
      </w:r>
      <w:proofErr w:type="spellEnd"/>
      <w:r w:rsidRPr="00334D6E">
        <w:rPr>
          <w:rFonts w:ascii="Arial" w:hAnsi="Arial" w:cs="Arial"/>
          <w:color w:val="000000" w:themeColor="text1"/>
        </w:rPr>
        <w:t>://doi.org/10.1007/978-3-030-12453-3_6.</w:t>
      </w:r>
    </w:p>
    <w:p w14:paraId="45A97A49" w14:textId="49559F83" w:rsidR="00334D6E" w:rsidRPr="00334D6E" w:rsidRDefault="00334D6E" w:rsidP="00334D6E">
      <w:pPr>
        <w:pStyle w:val="NormalWeb"/>
        <w:spacing w:before="0" w:beforeAutospacing="0" w:after="0" w:afterAutospacing="0" w:line="360" w:lineRule="auto"/>
        <w:jc w:val="both"/>
        <w:rPr>
          <w:rFonts w:ascii="Arial" w:hAnsi="Arial" w:cs="Arial"/>
          <w:color w:val="000000" w:themeColor="text1"/>
        </w:rPr>
      </w:pPr>
      <w:r w:rsidRPr="00334D6E">
        <w:rPr>
          <w:rFonts w:ascii="Arial" w:hAnsi="Arial" w:cs="Arial"/>
          <w:color w:val="000000" w:themeColor="text1"/>
        </w:rPr>
        <w:t>Friedman, A. (2012) Continuing professional development: lifelong learning of millions. London: Routledge.</w:t>
      </w:r>
    </w:p>
    <w:p w14:paraId="402E7AF0" w14:textId="799AA243" w:rsidR="00334D6E" w:rsidRPr="00334D6E" w:rsidRDefault="00334D6E" w:rsidP="00334D6E">
      <w:pPr>
        <w:pStyle w:val="NormalWeb"/>
        <w:spacing w:before="0" w:beforeAutospacing="0" w:after="0" w:afterAutospacing="0" w:line="360" w:lineRule="auto"/>
        <w:jc w:val="both"/>
        <w:rPr>
          <w:rFonts w:ascii="Arial" w:hAnsi="Arial" w:cs="Arial"/>
          <w:color w:val="000000" w:themeColor="text1"/>
        </w:rPr>
      </w:pPr>
      <w:r w:rsidRPr="00334D6E">
        <w:rPr>
          <w:rFonts w:ascii="Arial" w:hAnsi="Arial" w:cs="Arial"/>
          <w:color w:val="000000" w:themeColor="text1"/>
        </w:rPr>
        <w:t>Gallagher, K. (2016) Essential study and employment skills for business and management students. Oxford: Oxford University Press.</w:t>
      </w:r>
    </w:p>
    <w:p w14:paraId="08BCF581" w14:textId="37CCB088" w:rsidR="00A5602F" w:rsidRPr="00334D6E" w:rsidRDefault="0002146E" w:rsidP="00334D6E">
      <w:pPr>
        <w:spacing w:line="360" w:lineRule="auto"/>
        <w:jc w:val="both"/>
        <w:rPr>
          <w:rFonts w:ascii="Arial" w:hAnsi="Arial" w:cs="Arial"/>
          <w:color w:val="000000" w:themeColor="text1"/>
          <w:sz w:val="24"/>
          <w:szCs w:val="24"/>
          <w:shd w:val="clear" w:color="auto" w:fill="FFFFFF"/>
        </w:rPr>
      </w:pPr>
      <w:r w:rsidRPr="00334D6E">
        <w:rPr>
          <w:rFonts w:ascii="Arial" w:hAnsi="Arial" w:cs="Arial"/>
          <w:color w:val="000000" w:themeColor="text1"/>
          <w:sz w:val="24"/>
          <w:szCs w:val="24"/>
          <w:shd w:val="clear" w:color="auto" w:fill="FFFFFF"/>
        </w:rPr>
        <w:t>Khatri, P., Gupta, S., Gulati, K. and Chauhan, S., 2010. Talent management in HR. </w:t>
      </w:r>
      <w:r w:rsidRPr="00334D6E">
        <w:rPr>
          <w:rFonts w:ascii="Arial" w:hAnsi="Arial" w:cs="Arial"/>
          <w:i/>
          <w:iCs/>
          <w:color w:val="000000" w:themeColor="text1"/>
          <w:sz w:val="24"/>
          <w:szCs w:val="24"/>
          <w:shd w:val="clear" w:color="auto" w:fill="FFFFFF"/>
        </w:rPr>
        <w:t>Journal of management and strategy</w:t>
      </w:r>
      <w:r w:rsidRPr="00334D6E">
        <w:rPr>
          <w:rFonts w:ascii="Arial" w:hAnsi="Arial" w:cs="Arial"/>
          <w:color w:val="000000" w:themeColor="text1"/>
          <w:sz w:val="24"/>
          <w:szCs w:val="24"/>
          <w:shd w:val="clear" w:color="auto" w:fill="FFFFFF"/>
        </w:rPr>
        <w:t>, </w:t>
      </w:r>
      <w:r w:rsidRPr="00334D6E">
        <w:rPr>
          <w:rFonts w:ascii="Arial" w:hAnsi="Arial" w:cs="Arial"/>
          <w:i/>
          <w:iCs/>
          <w:color w:val="000000" w:themeColor="text1"/>
          <w:sz w:val="24"/>
          <w:szCs w:val="24"/>
          <w:shd w:val="clear" w:color="auto" w:fill="FFFFFF"/>
        </w:rPr>
        <w:t>1</w:t>
      </w:r>
      <w:r w:rsidRPr="00334D6E">
        <w:rPr>
          <w:rFonts w:ascii="Arial" w:hAnsi="Arial" w:cs="Arial"/>
          <w:color w:val="000000" w:themeColor="text1"/>
          <w:sz w:val="24"/>
          <w:szCs w:val="24"/>
          <w:shd w:val="clear" w:color="auto" w:fill="FFFFFF"/>
        </w:rPr>
        <w:t>(1), p.39.</w:t>
      </w:r>
    </w:p>
    <w:p w14:paraId="72A547A2" w14:textId="0B069F00" w:rsidR="00334D6E" w:rsidRPr="00334D6E" w:rsidRDefault="00334D6E" w:rsidP="00334D6E">
      <w:pPr>
        <w:spacing w:line="360" w:lineRule="auto"/>
        <w:jc w:val="both"/>
        <w:rPr>
          <w:rFonts w:ascii="Arial" w:hAnsi="Arial" w:cs="Arial"/>
          <w:color w:val="000000" w:themeColor="text1"/>
          <w:sz w:val="24"/>
          <w:szCs w:val="24"/>
        </w:rPr>
      </w:pPr>
      <w:r w:rsidRPr="00334D6E">
        <w:rPr>
          <w:rFonts w:ascii="Arial" w:hAnsi="Arial" w:cs="Arial"/>
          <w:color w:val="000000" w:themeColor="text1"/>
          <w:sz w:val="24"/>
          <w:szCs w:val="24"/>
        </w:rPr>
        <w:t>Horn, R. (2009) The business skills handbook. London: Chartered Institute of Personnel and Development</w:t>
      </w:r>
    </w:p>
    <w:p w14:paraId="7BEA0EC0" w14:textId="420C7DB7" w:rsidR="00334D6E" w:rsidRPr="00334D6E" w:rsidRDefault="00334D6E" w:rsidP="00334D6E">
      <w:pPr>
        <w:spacing w:line="360" w:lineRule="auto"/>
        <w:jc w:val="both"/>
        <w:rPr>
          <w:rFonts w:ascii="Arial" w:hAnsi="Arial" w:cs="Arial"/>
          <w:color w:val="000000" w:themeColor="text1"/>
          <w:sz w:val="24"/>
          <w:szCs w:val="24"/>
        </w:rPr>
      </w:pPr>
      <w:r w:rsidRPr="00334D6E">
        <w:rPr>
          <w:rFonts w:ascii="Arial" w:hAnsi="Arial" w:cs="Arial"/>
          <w:color w:val="000000" w:themeColor="text1"/>
          <w:sz w:val="24"/>
          <w:szCs w:val="24"/>
        </w:rPr>
        <w:t xml:space="preserve">Johnston, R. Clark, G. </w:t>
      </w:r>
      <w:proofErr w:type="spellStart"/>
      <w:r w:rsidRPr="00334D6E">
        <w:rPr>
          <w:rFonts w:ascii="Arial" w:hAnsi="Arial" w:cs="Arial"/>
          <w:color w:val="000000" w:themeColor="text1"/>
          <w:sz w:val="24"/>
          <w:szCs w:val="24"/>
        </w:rPr>
        <w:t>Shulver</w:t>
      </w:r>
      <w:proofErr w:type="spellEnd"/>
      <w:r w:rsidRPr="00334D6E">
        <w:rPr>
          <w:rFonts w:ascii="Arial" w:hAnsi="Arial" w:cs="Arial"/>
          <w:color w:val="000000" w:themeColor="text1"/>
          <w:sz w:val="24"/>
          <w:szCs w:val="24"/>
        </w:rPr>
        <w:t>, M (2012). Service Operations Management ,Pearson, London</w:t>
      </w:r>
    </w:p>
    <w:p w14:paraId="687E4BA1" w14:textId="366D7B17" w:rsidR="00334D6E" w:rsidRPr="00334D6E" w:rsidRDefault="00334D6E" w:rsidP="00334D6E">
      <w:pPr>
        <w:spacing w:line="360" w:lineRule="auto"/>
        <w:jc w:val="both"/>
        <w:rPr>
          <w:rFonts w:ascii="Arial" w:hAnsi="Arial" w:cs="Arial"/>
          <w:color w:val="000000" w:themeColor="text1"/>
          <w:sz w:val="24"/>
          <w:szCs w:val="24"/>
          <w:shd w:val="clear" w:color="auto" w:fill="FFFFFF"/>
        </w:rPr>
      </w:pPr>
      <w:r w:rsidRPr="00334D6E">
        <w:rPr>
          <w:rFonts w:ascii="Arial" w:hAnsi="Arial" w:cs="Arial"/>
          <w:color w:val="000000" w:themeColor="text1"/>
          <w:sz w:val="24"/>
          <w:szCs w:val="24"/>
        </w:rPr>
        <w:t>Marchington, M. and Wilkinson, A. (2016) Human resource management at work. 6th ed. London: Chartered Institute of Personnel and Development.</w:t>
      </w:r>
    </w:p>
    <w:p w14:paraId="18777451" w14:textId="4FDD274C" w:rsidR="0002146E" w:rsidRPr="00334D6E" w:rsidRDefault="0002146E" w:rsidP="00334D6E">
      <w:pPr>
        <w:spacing w:line="360" w:lineRule="auto"/>
        <w:jc w:val="both"/>
        <w:rPr>
          <w:rFonts w:ascii="Arial" w:hAnsi="Arial" w:cs="Arial"/>
          <w:color w:val="000000" w:themeColor="text1"/>
          <w:sz w:val="24"/>
          <w:szCs w:val="24"/>
          <w:shd w:val="clear" w:color="auto" w:fill="FFFFFF"/>
        </w:rPr>
      </w:pPr>
      <w:r w:rsidRPr="00334D6E">
        <w:rPr>
          <w:rFonts w:ascii="Arial" w:hAnsi="Arial" w:cs="Arial"/>
          <w:color w:val="000000" w:themeColor="text1"/>
          <w:sz w:val="24"/>
          <w:szCs w:val="24"/>
          <w:shd w:val="clear" w:color="auto" w:fill="FFFFFF"/>
        </w:rPr>
        <w:t xml:space="preserve">Meyers, M.C., van </w:t>
      </w:r>
      <w:proofErr w:type="spellStart"/>
      <w:r w:rsidRPr="00334D6E">
        <w:rPr>
          <w:rFonts w:ascii="Arial" w:hAnsi="Arial" w:cs="Arial"/>
          <w:color w:val="000000" w:themeColor="text1"/>
          <w:sz w:val="24"/>
          <w:szCs w:val="24"/>
          <w:shd w:val="clear" w:color="auto" w:fill="FFFFFF"/>
        </w:rPr>
        <w:t>Woerkom</w:t>
      </w:r>
      <w:proofErr w:type="spellEnd"/>
      <w:r w:rsidRPr="00334D6E">
        <w:rPr>
          <w:rFonts w:ascii="Arial" w:hAnsi="Arial" w:cs="Arial"/>
          <w:color w:val="000000" w:themeColor="text1"/>
          <w:sz w:val="24"/>
          <w:szCs w:val="24"/>
          <w:shd w:val="clear" w:color="auto" w:fill="FFFFFF"/>
        </w:rPr>
        <w:t>, M., Paauwe, J. and Dries, N., 2020. HR managers’ talent philosophies: prevalence and relationships with perceived talent management practices. </w:t>
      </w:r>
      <w:r w:rsidRPr="00334D6E">
        <w:rPr>
          <w:rFonts w:ascii="Arial" w:hAnsi="Arial" w:cs="Arial"/>
          <w:i/>
          <w:iCs/>
          <w:color w:val="000000" w:themeColor="text1"/>
          <w:sz w:val="24"/>
          <w:szCs w:val="24"/>
          <w:shd w:val="clear" w:color="auto" w:fill="FFFFFF"/>
        </w:rPr>
        <w:t>The International Journal of Human Resource Management</w:t>
      </w:r>
      <w:r w:rsidRPr="00334D6E">
        <w:rPr>
          <w:rFonts w:ascii="Arial" w:hAnsi="Arial" w:cs="Arial"/>
          <w:color w:val="000000" w:themeColor="text1"/>
          <w:sz w:val="24"/>
          <w:szCs w:val="24"/>
          <w:shd w:val="clear" w:color="auto" w:fill="FFFFFF"/>
        </w:rPr>
        <w:t>, </w:t>
      </w:r>
      <w:r w:rsidRPr="00334D6E">
        <w:rPr>
          <w:rFonts w:ascii="Arial" w:hAnsi="Arial" w:cs="Arial"/>
          <w:i/>
          <w:iCs/>
          <w:color w:val="000000" w:themeColor="text1"/>
          <w:sz w:val="24"/>
          <w:szCs w:val="24"/>
          <w:shd w:val="clear" w:color="auto" w:fill="FFFFFF"/>
        </w:rPr>
        <w:t>31</w:t>
      </w:r>
      <w:r w:rsidRPr="00334D6E">
        <w:rPr>
          <w:rFonts w:ascii="Arial" w:hAnsi="Arial" w:cs="Arial"/>
          <w:color w:val="000000" w:themeColor="text1"/>
          <w:sz w:val="24"/>
          <w:szCs w:val="24"/>
          <w:shd w:val="clear" w:color="auto" w:fill="FFFFFF"/>
        </w:rPr>
        <w:t>(4), pp.562-588.</w:t>
      </w:r>
    </w:p>
    <w:p w14:paraId="6CB9414F" w14:textId="34C6F603" w:rsidR="00334D6E" w:rsidRPr="00334D6E" w:rsidRDefault="00334D6E" w:rsidP="00334D6E">
      <w:pPr>
        <w:spacing w:line="360" w:lineRule="auto"/>
        <w:jc w:val="both"/>
        <w:rPr>
          <w:rFonts w:ascii="Arial" w:hAnsi="Arial" w:cs="Arial"/>
          <w:color w:val="000000" w:themeColor="text1"/>
          <w:sz w:val="24"/>
          <w:szCs w:val="24"/>
          <w:shd w:val="clear" w:color="auto" w:fill="FFFFFF"/>
        </w:rPr>
      </w:pPr>
      <w:r w:rsidRPr="00334D6E">
        <w:rPr>
          <w:rFonts w:ascii="Arial" w:hAnsi="Arial" w:cs="Arial"/>
          <w:color w:val="000000" w:themeColor="text1"/>
          <w:sz w:val="24"/>
          <w:szCs w:val="24"/>
        </w:rPr>
        <w:t>Murton, A,. Inman, M., O’Sullivan, N. (2010) Unlocking Human Resource Management, Hodder Education</w:t>
      </w:r>
    </w:p>
    <w:p w14:paraId="134C8BC8" w14:textId="6B3CB1F9" w:rsidR="006F416B" w:rsidRPr="00334D6E" w:rsidRDefault="006F416B" w:rsidP="00334D6E">
      <w:pPr>
        <w:pStyle w:val="NormalWeb"/>
        <w:spacing w:before="0" w:beforeAutospacing="0" w:after="0" w:afterAutospacing="0" w:line="360" w:lineRule="auto"/>
        <w:jc w:val="both"/>
        <w:rPr>
          <w:rFonts w:ascii="Arial" w:hAnsi="Arial" w:cs="Arial"/>
          <w:color w:val="000000" w:themeColor="text1"/>
        </w:rPr>
      </w:pPr>
      <w:r w:rsidRPr="00334D6E">
        <w:rPr>
          <w:rFonts w:ascii="Arial" w:hAnsi="Arial" w:cs="Arial"/>
          <w:color w:val="000000" w:themeColor="text1"/>
        </w:rPr>
        <w:t>Page-Tickell, R. (2022). </w:t>
      </w:r>
      <w:r w:rsidRPr="00334D6E">
        <w:rPr>
          <w:rFonts w:ascii="Arial" w:hAnsi="Arial" w:cs="Arial"/>
          <w:i/>
          <w:iCs/>
          <w:color w:val="000000" w:themeColor="text1"/>
        </w:rPr>
        <w:t>Learning and Development: A Practical Introduction</w:t>
      </w:r>
      <w:r w:rsidRPr="00334D6E">
        <w:rPr>
          <w:rFonts w:ascii="Arial" w:hAnsi="Arial" w:cs="Arial"/>
          <w:color w:val="000000" w:themeColor="text1"/>
        </w:rPr>
        <w:t>. [online] </w:t>
      </w:r>
      <w:r w:rsidRPr="00334D6E">
        <w:rPr>
          <w:rFonts w:ascii="Arial" w:hAnsi="Arial" w:cs="Arial"/>
          <w:i/>
          <w:iCs/>
          <w:color w:val="000000" w:themeColor="text1"/>
        </w:rPr>
        <w:t>Google Books</w:t>
      </w:r>
      <w:r w:rsidRPr="00334D6E">
        <w:rPr>
          <w:rFonts w:ascii="Arial" w:hAnsi="Arial" w:cs="Arial"/>
          <w:color w:val="000000" w:themeColor="text1"/>
        </w:rPr>
        <w:t>. Kogan Page Publishers. Available at: https://www.google.co.uk/books/edition/Learning_and_Development/Y8dsEAAAQBAJ?hl=en&amp;gbpv=1&amp;dq=hr+learning+and+development&amp;pg=PP1&amp;printsec=frontcover [Accessed 2 Jun. 2023].</w:t>
      </w:r>
    </w:p>
    <w:p w14:paraId="29ED2831" w14:textId="5D29827B" w:rsidR="003053AA" w:rsidRPr="00334D6E" w:rsidRDefault="003053AA" w:rsidP="00334D6E">
      <w:pPr>
        <w:pStyle w:val="NormalWeb"/>
        <w:spacing w:before="0" w:beforeAutospacing="0" w:after="0" w:afterAutospacing="0" w:line="360" w:lineRule="auto"/>
        <w:jc w:val="both"/>
        <w:rPr>
          <w:rFonts w:ascii="Arial" w:hAnsi="Arial" w:cs="Arial"/>
          <w:color w:val="000000" w:themeColor="text1"/>
        </w:rPr>
      </w:pPr>
      <w:r w:rsidRPr="00334D6E">
        <w:rPr>
          <w:rFonts w:ascii="Arial" w:hAnsi="Arial" w:cs="Arial"/>
          <w:color w:val="000000" w:themeColor="text1"/>
        </w:rPr>
        <w:t>Ross, K. (2018). Putting People First Is the Marriott Way. </w:t>
      </w:r>
      <w:r w:rsidRPr="00334D6E">
        <w:rPr>
          <w:rFonts w:ascii="Arial" w:hAnsi="Arial" w:cs="Arial"/>
          <w:i/>
          <w:iCs/>
          <w:color w:val="000000" w:themeColor="text1"/>
        </w:rPr>
        <w:t>People &amp; Strategy</w:t>
      </w:r>
      <w:r w:rsidRPr="00334D6E">
        <w:rPr>
          <w:rFonts w:ascii="Arial" w:hAnsi="Arial" w:cs="Arial"/>
          <w:color w:val="000000" w:themeColor="text1"/>
        </w:rPr>
        <w:t>, [online] 41(4), pp.66–68. Available at: https://go.gale.com/ps/i.do?id=GALE%7CA558672897&amp;sid=googleScholar&amp;v=2.1&amp;it=r&amp;linkaccess=abs&amp;issn=19464606&amp;p=AONE&amp;sw=w&amp;userGroupName=anon%7Edeecade&amp;aty=open+web+entry [Accessed 4 Jun. 2023].</w:t>
      </w:r>
    </w:p>
    <w:p w14:paraId="225FA2C3" w14:textId="5983D7D3" w:rsidR="007170E1" w:rsidRPr="00334D6E" w:rsidRDefault="007170E1" w:rsidP="00334D6E">
      <w:pPr>
        <w:pStyle w:val="NormalWeb"/>
        <w:spacing w:before="0" w:beforeAutospacing="0" w:after="0" w:afterAutospacing="0" w:line="360" w:lineRule="auto"/>
        <w:jc w:val="both"/>
        <w:rPr>
          <w:rFonts w:ascii="Arial" w:hAnsi="Arial" w:cs="Arial"/>
          <w:color w:val="000000" w:themeColor="text1"/>
          <w:shd w:val="clear" w:color="auto" w:fill="FFFFFF"/>
        </w:rPr>
      </w:pPr>
      <w:r w:rsidRPr="00334D6E">
        <w:rPr>
          <w:rFonts w:ascii="Arial" w:hAnsi="Arial" w:cs="Arial"/>
          <w:color w:val="000000" w:themeColor="text1"/>
          <w:shd w:val="clear" w:color="auto" w:fill="FFFFFF"/>
        </w:rPr>
        <w:t>Singh, D., 2019. A literature review on employee retention with focus on recent trends. </w:t>
      </w:r>
      <w:r w:rsidRPr="00334D6E">
        <w:rPr>
          <w:rFonts w:ascii="Arial" w:hAnsi="Arial" w:cs="Arial"/>
          <w:i/>
          <w:iCs/>
          <w:color w:val="000000" w:themeColor="text1"/>
          <w:shd w:val="clear" w:color="auto" w:fill="FFFFFF"/>
        </w:rPr>
        <w:t>International Journal of Scientific Research in Science and Technology</w:t>
      </w:r>
      <w:r w:rsidRPr="00334D6E">
        <w:rPr>
          <w:rFonts w:ascii="Arial" w:hAnsi="Arial" w:cs="Arial"/>
          <w:color w:val="000000" w:themeColor="text1"/>
          <w:shd w:val="clear" w:color="auto" w:fill="FFFFFF"/>
        </w:rPr>
        <w:t>, </w:t>
      </w:r>
      <w:r w:rsidRPr="00334D6E">
        <w:rPr>
          <w:rFonts w:ascii="Arial" w:hAnsi="Arial" w:cs="Arial"/>
          <w:i/>
          <w:iCs/>
          <w:color w:val="000000" w:themeColor="text1"/>
          <w:shd w:val="clear" w:color="auto" w:fill="FFFFFF"/>
        </w:rPr>
        <w:t>6</w:t>
      </w:r>
      <w:r w:rsidRPr="00334D6E">
        <w:rPr>
          <w:rFonts w:ascii="Arial" w:hAnsi="Arial" w:cs="Arial"/>
          <w:color w:val="000000" w:themeColor="text1"/>
          <w:shd w:val="clear" w:color="auto" w:fill="FFFFFF"/>
        </w:rPr>
        <w:t>(1), pp.425-431.</w:t>
      </w:r>
    </w:p>
    <w:p w14:paraId="40698C6E" w14:textId="138E1C2B" w:rsidR="00334D6E" w:rsidRPr="00334D6E" w:rsidRDefault="00334D6E" w:rsidP="00334D6E">
      <w:pPr>
        <w:pStyle w:val="NormalWeb"/>
        <w:spacing w:before="0" w:beforeAutospacing="0" w:after="0" w:afterAutospacing="0" w:line="360" w:lineRule="auto"/>
        <w:jc w:val="both"/>
        <w:rPr>
          <w:rFonts w:ascii="Arial" w:hAnsi="Arial" w:cs="Arial"/>
          <w:color w:val="000000" w:themeColor="text1"/>
          <w:shd w:val="clear" w:color="auto" w:fill="FFFFFF"/>
        </w:rPr>
      </w:pPr>
      <w:r w:rsidRPr="00334D6E">
        <w:rPr>
          <w:rFonts w:ascii="Arial" w:hAnsi="Arial" w:cs="Arial"/>
          <w:color w:val="000000" w:themeColor="text1"/>
        </w:rPr>
        <w:t xml:space="preserve">Torrington, D, Hall, L, Atkinson, C, &amp; Taylor, S 2020, Human Resource Management PDF </w:t>
      </w:r>
      <w:proofErr w:type="spellStart"/>
      <w:r w:rsidRPr="00334D6E">
        <w:rPr>
          <w:rFonts w:ascii="Arial" w:hAnsi="Arial" w:cs="Arial"/>
          <w:color w:val="000000" w:themeColor="text1"/>
        </w:rPr>
        <w:t>EBook</w:t>
      </w:r>
      <w:proofErr w:type="spellEnd"/>
      <w:r w:rsidRPr="00334D6E">
        <w:rPr>
          <w:rFonts w:ascii="Arial" w:hAnsi="Arial" w:cs="Arial"/>
          <w:color w:val="000000" w:themeColor="text1"/>
        </w:rPr>
        <w:t xml:space="preserve">, Pearson Education, Limited, Harlow. Available from: ProQuest </w:t>
      </w:r>
      <w:proofErr w:type="spellStart"/>
      <w:r w:rsidRPr="00334D6E">
        <w:rPr>
          <w:rFonts w:ascii="Arial" w:hAnsi="Arial" w:cs="Arial"/>
          <w:color w:val="000000" w:themeColor="text1"/>
        </w:rPr>
        <w:t>Ebook</w:t>
      </w:r>
      <w:proofErr w:type="spellEnd"/>
      <w:r w:rsidRPr="00334D6E">
        <w:rPr>
          <w:rFonts w:ascii="Arial" w:hAnsi="Arial" w:cs="Arial"/>
          <w:color w:val="000000" w:themeColor="text1"/>
        </w:rPr>
        <w:t xml:space="preserve"> Central.</w:t>
      </w:r>
    </w:p>
    <w:p w14:paraId="02344619" w14:textId="3A380C94" w:rsidR="003053AA" w:rsidRPr="00334D6E" w:rsidRDefault="003053AA" w:rsidP="00334D6E">
      <w:pPr>
        <w:pStyle w:val="NormalWeb"/>
        <w:spacing w:before="0" w:beforeAutospacing="0" w:after="0" w:afterAutospacing="0" w:line="360" w:lineRule="auto"/>
        <w:jc w:val="both"/>
        <w:rPr>
          <w:rFonts w:ascii="Arial" w:hAnsi="Arial" w:cs="Arial"/>
          <w:color w:val="000000" w:themeColor="text1"/>
        </w:rPr>
      </w:pPr>
      <w:proofErr w:type="spellStart"/>
      <w:r w:rsidRPr="00334D6E">
        <w:rPr>
          <w:rFonts w:ascii="Arial" w:hAnsi="Arial" w:cs="Arial"/>
          <w:color w:val="000000" w:themeColor="text1"/>
        </w:rPr>
        <w:t>Utrobičić</w:t>
      </w:r>
      <w:proofErr w:type="spellEnd"/>
      <w:r w:rsidRPr="00334D6E">
        <w:rPr>
          <w:rFonts w:ascii="Arial" w:hAnsi="Arial" w:cs="Arial"/>
          <w:color w:val="000000" w:themeColor="text1"/>
        </w:rPr>
        <w:t>, M. (2019). </w:t>
      </w:r>
      <w:r w:rsidRPr="00334D6E">
        <w:rPr>
          <w:rFonts w:ascii="Arial" w:hAnsi="Arial" w:cs="Arial"/>
          <w:i/>
          <w:iCs/>
          <w:color w:val="000000" w:themeColor="text1"/>
        </w:rPr>
        <w:t>Service Gaps and Employee Training Fixing Luxury Experiences</w:t>
      </w:r>
      <w:r w:rsidRPr="00334D6E">
        <w:rPr>
          <w:rFonts w:ascii="Arial" w:hAnsi="Arial" w:cs="Arial"/>
          <w:color w:val="000000" w:themeColor="text1"/>
        </w:rPr>
        <w:t>. [online] repository.acmt.hr. Available at: https://repository.acmt.hr/islandora/object/acmt:95 [Accessed 11 Jun. 2023].</w:t>
      </w:r>
    </w:p>
    <w:p w14:paraId="26AE3436" w14:textId="6253CE1B" w:rsidR="007170E1" w:rsidRPr="00334D6E" w:rsidRDefault="007170E1" w:rsidP="00334D6E">
      <w:pPr>
        <w:pStyle w:val="NormalWeb"/>
        <w:spacing w:before="0" w:beforeAutospacing="0" w:after="0" w:afterAutospacing="0" w:line="360" w:lineRule="auto"/>
        <w:jc w:val="both"/>
        <w:rPr>
          <w:rFonts w:ascii="Arial" w:hAnsi="Arial" w:cs="Arial"/>
          <w:color w:val="000000" w:themeColor="text1"/>
        </w:rPr>
      </w:pPr>
      <w:r w:rsidRPr="00334D6E">
        <w:rPr>
          <w:rFonts w:ascii="Arial" w:hAnsi="Arial" w:cs="Arial"/>
          <w:color w:val="000000" w:themeColor="text1"/>
          <w:shd w:val="clear" w:color="auto" w:fill="FFFFFF"/>
        </w:rPr>
        <w:t xml:space="preserve">Vishal, C.N. and </w:t>
      </w:r>
      <w:proofErr w:type="spellStart"/>
      <w:r w:rsidRPr="00334D6E">
        <w:rPr>
          <w:rFonts w:ascii="Arial" w:hAnsi="Arial" w:cs="Arial"/>
          <w:color w:val="000000" w:themeColor="text1"/>
          <w:shd w:val="clear" w:color="auto" w:fill="FFFFFF"/>
        </w:rPr>
        <w:t>Arundathi</w:t>
      </w:r>
      <w:proofErr w:type="spellEnd"/>
      <w:r w:rsidRPr="00334D6E">
        <w:rPr>
          <w:rFonts w:ascii="Arial" w:hAnsi="Arial" w:cs="Arial"/>
          <w:color w:val="000000" w:themeColor="text1"/>
          <w:shd w:val="clear" w:color="auto" w:fill="FFFFFF"/>
        </w:rPr>
        <w:t xml:space="preserve">, K.L., 2018. A Study on Recruitment Life Cycle Process at </w:t>
      </w:r>
      <w:proofErr w:type="spellStart"/>
      <w:r w:rsidRPr="00334D6E">
        <w:rPr>
          <w:rFonts w:ascii="Arial" w:hAnsi="Arial" w:cs="Arial"/>
          <w:color w:val="000000" w:themeColor="text1"/>
          <w:shd w:val="clear" w:color="auto" w:fill="FFFFFF"/>
        </w:rPr>
        <w:t>Ciber</w:t>
      </w:r>
      <w:proofErr w:type="spellEnd"/>
      <w:r w:rsidRPr="00334D6E">
        <w:rPr>
          <w:rFonts w:ascii="Arial" w:hAnsi="Arial" w:cs="Arial"/>
          <w:color w:val="000000" w:themeColor="text1"/>
          <w:shd w:val="clear" w:color="auto" w:fill="FFFFFF"/>
        </w:rPr>
        <w:t xml:space="preserve"> India </w:t>
      </w:r>
      <w:proofErr w:type="spellStart"/>
      <w:r w:rsidRPr="00334D6E">
        <w:rPr>
          <w:rFonts w:ascii="Arial" w:hAnsi="Arial" w:cs="Arial"/>
          <w:color w:val="000000" w:themeColor="text1"/>
          <w:shd w:val="clear" w:color="auto" w:fill="FFFFFF"/>
        </w:rPr>
        <w:t>Pvt.</w:t>
      </w:r>
      <w:proofErr w:type="spellEnd"/>
      <w:r w:rsidRPr="00334D6E">
        <w:rPr>
          <w:rFonts w:ascii="Arial" w:hAnsi="Arial" w:cs="Arial"/>
          <w:color w:val="000000" w:themeColor="text1"/>
          <w:shd w:val="clear" w:color="auto" w:fill="FFFFFF"/>
        </w:rPr>
        <w:t xml:space="preserve"> Ltd, Bangalore.</w:t>
      </w:r>
    </w:p>
    <w:p w14:paraId="70418FCB" w14:textId="77777777" w:rsidR="006F416B" w:rsidRPr="00334D6E" w:rsidRDefault="006F416B" w:rsidP="00334D6E">
      <w:pPr>
        <w:pStyle w:val="NormalWeb"/>
        <w:spacing w:before="0" w:beforeAutospacing="0" w:after="0" w:afterAutospacing="0" w:line="360" w:lineRule="auto"/>
        <w:jc w:val="both"/>
        <w:rPr>
          <w:rFonts w:ascii="Arial" w:hAnsi="Arial" w:cs="Arial"/>
          <w:color w:val="000000" w:themeColor="text1"/>
        </w:rPr>
      </w:pPr>
      <w:r w:rsidRPr="00334D6E">
        <w:rPr>
          <w:rFonts w:ascii="Arial" w:hAnsi="Arial" w:cs="Arial"/>
          <w:color w:val="000000" w:themeColor="text1"/>
        </w:rPr>
        <w:t>‌Wang, Y., Kim, S., Rafferty, A. and Sanders, K. (2019). Employee perceptions of HR practices: A critical review and future directions. </w:t>
      </w:r>
      <w:r w:rsidRPr="00334D6E">
        <w:rPr>
          <w:rFonts w:ascii="Arial" w:hAnsi="Arial" w:cs="Arial"/>
          <w:i/>
          <w:iCs/>
          <w:color w:val="000000" w:themeColor="text1"/>
        </w:rPr>
        <w:t>The International Journal of Human Resource Management</w:t>
      </w:r>
      <w:r w:rsidRPr="00334D6E">
        <w:rPr>
          <w:rFonts w:ascii="Arial" w:hAnsi="Arial" w:cs="Arial"/>
          <w:color w:val="000000" w:themeColor="text1"/>
        </w:rPr>
        <w:t xml:space="preserve">, [online] 31(1), pp.128–173. </w:t>
      </w:r>
      <w:proofErr w:type="spellStart"/>
      <w:r w:rsidRPr="00334D6E">
        <w:rPr>
          <w:rFonts w:ascii="Arial" w:hAnsi="Arial" w:cs="Arial"/>
          <w:color w:val="000000" w:themeColor="text1"/>
        </w:rPr>
        <w:t>doi:https</w:t>
      </w:r>
      <w:proofErr w:type="spellEnd"/>
      <w:r w:rsidRPr="00334D6E">
        <w:rPr>
          <w:rFonts w:ascii="Arial" w:hAnsi="Arial" w:cs="Arial"/>
          <w:color w:val="000000" w:themeColor="text1"/>
        </w:rPr>
        <w:t>://doi.org/10.1080/09585192.2019.1674360.</w:t>
      </w:r>
    </w:p>
    <w:p w14:paraId="1E364A32" w14:textId="77777777" w:rsidR="006F416B" w:rsidRPr="00334D6E" w:rsidRDefault="006F416B" w:rsidP="00334D6E">
      <w:pPr>
        <w:pStyle w:val="NormalWeb"/>
        <w:spacing w:line="360" w:lineRule="auto"/>
        <w:jc w:val="both"/>
        <w:rPr>
          <w:rFonts w:ascii="Arial" w:hAnsi="Arial" w:cs="Arial"/>
          <w:color w:val="000000" w:themeColor="text1"/>
        </w:rPr>
      </w:pPr>
      <w:r w:rsidRPr="00334D6E">
        <w:rPr>
          <w:rFonts w:ascii="Arial" w:hAnsi="Arial" w:cs="Arial"/>
          <w:color w:val="000000" w:themeColor="text1"/>
        </w:rPr>
        <w:t>‌</w:t>
      </w:r>
    </w:p>
    <w:p w14:paraId="7A9B4128" w14:textId="23C925ED" w:rsidR="006F416B" w:rsidRDefault="006F416B" w:rsidP="006F416B">
      <w:pPr>
        <w:pStyle w:val="NormalWeb"/>
        <w:rPr>
          <w:rFonts w:ascii="Calibri" w:hAnsi="Calibri" w:cs="Calibri"/>
          <w:color w:val="000000"/>
          <w:sz w:val="27"/>
          <w:szCs w:val="27"/>
        </w:rPr>
      </w:pPr>
    </w:p>
    <w:p w14:paraId="29FF8FFE" w14:textId="77777777" w:rsidR="006F416B" w:rsidRPr="00963C24" w:rsidRDefault="006F416B" w:rsidP="00A5602F">
      <w:pPr>
        <w:spacing w:line="360" w:lineRule="auto"/>
        <w:jc w:val="both"/>
        <w:rPr>
          <w:rFonts w:ascii="Arial" w:hAnsi="Arial" w:cs="Arial"/>
          <w:sz w:val="24"/>
          <w:szCs w:val="24"/>
        </w:rPr>
      </w:pPr>
    </w:p>
    <w:sectPr w:rsidR="006F416B" w:rsidRPr="00963C24">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92353" w14:textId="77777777" w:rsidR="00CC4A31" w:rsidRDefault="00CC4A31" w:rsidP="00963C24">
      <w:pPr>
        <w:spacing w:after="0" w:line="240" w:lineRule="auto"/>
      </w:pPr>
      <w:r>
        <w:separator/>
      </w:r>
    </w:p>
  </w:endnote>
  <w:endnote w:type="continuationSeparator" w:id="0">
    <w:p w14:paraId="5A4E30A1" w14:textId="77777777" w:rsidR="00CC4A31" w:rsidRDefault="00CC4A31" w:rsidP="00963C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5250553"/>
      <w:docPartObj>
        <w:docPartGallery w:val="Page Numbers (Bottom of Page)"/>
        <w:docPartUnique/>
      </w:docPartObj>
    </w:sdtPr>
    <w:sdtEndPr>
      <w:rPr>
        <w:color w:val="7F7F7F" w:themeColor="background1" w:themeShade="7F"/>
        <w:spacing w:val="60"/>
      </w:rPr>
    </w:sdtEndPr>
    <w:sdtContent>
      <w:p w14:paraId="45B34ECD" w14:textId="3F86A4C2" w:rsidR="00963C24" w:rsidRDefault="00963C2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728CC0F" w14:textId="77777777" w:rsidR="00963C24" w:rsidRDefault="00963C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DECF1" w14:textId="77777777" w:rsidR="00CC4A31" w:rsidRDefault="00CC4A31" w:rsidP="00963C24">
      <w:pPr>
        <w:spacing w:after="0" w:line="240" w:lineRule="auto"/>
      </w:pPr>
      <w:r>
        <w:separator/>
      </w:r>
    </w:p>
  </w:footnote>
  <w:footnote w:type="continuationSeparator" w:id="0">
    <w:p w14:paraId="70EB6957" w14:textId="77777777" w:rsidR="00CC4A31" w:rsidRDefault="00CC4A31" w:rsidP="00963C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FBA"/>
    <w:rsid w:val="0002146E"/>
    <w:rsid w:val="001A1467"/>
    <w:rsid w:val="003053AA"/>
    <w:rsid w:val="00334D6E"/>
    <w:rsid w:val="006F416B"/>
    <w:rsid w:val="007170E1"/>
    <w:rsid w:val="0094110D"/>
    <w:rsid w:val="00963C24"/>
    <w:rsid w:val="009B3FBA"/>
    <w:rsid w:val="00A5602F"/>
    <w:rsid w:val="00B151A8"/>
    <w:rsid w:val="00CC4A31"/>
    <w:rsid w:val="00CD7B48"/>
    <w:rsid w:val="00D10696"/>
    <w:rsid w:val="00E6412E"/>
    <w:rsid w:val="00FA2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1D7CD"/>
  <w15:chartTrackingRefBased/>
  <w15:docId w15:val="{50EAC0E3-0B8E-492E-8350-654CEF532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C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C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C24"/>
  </w:style>
  <w:style w:type="paragraph" w:styleId="Footer">
    <w:name w:val="footer"/>
    <w:basedOn w:val="Normal"/>
    <w:link w:val="FooterChar"/>
    <w:uiPriority w:val="99"/>
    <w:unhideWhenUsed/>
    <w:rsid w:val="00963C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C24"/>
  </w:style>
  <w:style w:type="paragraph" w:styleId="NormalWeb">
    <w:name w:val="Normal (Web)"/>
    <w:basedOn w:val="Normal"/>
    <w:uiPriority w:val="99"/>
    <w:unhideWhenUsed/>
    <w:rsid w:val="006F416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524206">
      <w:bodyDiv w:val="1"/>
      <w:marLeft w:val="0"/>
      <w:marRight w:val="0"/>
      <w:marTop w:val="0"/>
      <w:marBottom w:val="0"/>
      <w:divBdr>
        <w:top w:val="none" w:sz="0" w:space="0" w:color="auto"/>
        <w:left w:val="none" w:sz="0" w:space="0" w:color="auto"/>
        <w:bottom w:val="none" w:sz="0" w:space="0" w:color="auto"/>
        <w:right w:val="none" w:sz="0" w:space="0" w:color="auto"/>
      </w:divBdr>
    </w:div>
    <w:div w:id="321392659">
      <w:bodyDiv w:val="1"/>
      <w:marLeft w:val="0"/>
      <w:marRight w:val="0"/>
      <w:marTop w:val="0"/>
      <w:marBottom w:val="0"/>
      <w:divBdr>
        <w:top w:val="none" w:sz="0" w:space="0" w:color="auto"/>
        <w:left w:val="none" w:sz="0" w:space="0" w:color="auto"/>
        <w:bottom w:val="none" w:sz="0" w:space="0" w:color="auto"/>
        <w:right w:val="none" w:sz="0" w:space="0" w:color="auto"/>
      </w:divBdr>
    </w:div>
    <w:div w:id="713232152">
      <w:bodyDiv w:val="1"/>
      <w:marLeft w:val="0"/>
      <w:marRight w:val="0"/>
      <w:marTop w:val="0"/>
      <w:marBottom w:val="0"/>
      <w:divBdr>
        <w:top w:val="none" w:sz="0" w:space="0" w:color="auto"/>
        <w:left w:val="none" w:sz="0" w:space="0" w:color="auto"/>
        <w:bottom w:val="none" w:sz="0" w:space="0" w:color="auto"/>
        <w:right w:val="none" w:sz="0" w:space="0" w:color="auto"/>
      </w:divBdr>
    </w:div>
    <w:div w:id="1008599975">
      <w:bodyDiv w:val="1"/>
      <w:marLeft w:val="0"/>
      <w:marRight w:val="0"/>
      <w:marTop w:val="0"/>
      <w:marBottom w:val="0"/>
      <w:divBdr>
        <w:top w:val="none" w:sz="0" w:space="0" w:color="auto"/>
        <w:left w:val="none" w:sz="0" w:space="0" w:color="auto"/>
        <w:bottom w:val="none" w:sz="0" w:space="0" w:color="auto"/>
        <w:right w:val="none" w:sz="0" w:space="0" w:color="auto"/>
      </w:divBdr>
    </w:div>
    <w:div w:id="1532719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9</Pages>
  <Words>2636</Words>
  <Characters>15028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dcterms:created xsi:type="dcterms:W3CDTF">2023-06-11T00:01:00Z</dcterms:created>
  <dcterms:modified xsi:type="dcterms:W3CDTF">2023-06-11T20:37:00Z</dcterms:modified>
</cp:coreProperties>
</file>