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66D86D" w14:textId="4FB1E074" w:rsidR="00E6100E" w:rsidRPr="003359FB" w:rsidRDefault="006E6AF7" w:rsidP="003359FB">
      <w:pPr>
        <w:spacing w:before="100" w:beforeAutospacing="1" w:after="100" w:afterAutospacing="1" w:line="240" w:lineRule="auto"/>
        <w:jc w:val="both"/>
        <w:outlineLvl w:val="2"/>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                               </w:t>
      </w:r>
      <w:r w:rsidRPr="008873F6">
        <w:rPr>
          <w:rFonts w:ascii="Arial" w:eastAsia="Times New Roman" w:hAnsi="Arial" w:cs="Arial"/>
          <w:b/>
          <w:bCs/>
          <w:kern w:val="0"/>
          <w:lang w:eastAsia="en-GB"/>
          <w14:ligatures w14:val="none"/>
        </w:rPr>
        <w:t>Exploring Health, Well-Being, and Lifestyles in Early Childhood Development</w:t>
      </w:r>
    </w:p>
    <w:p w14:paraId="48C81EFC" w14:textId="08427ADB" w:rsidR="00E6100E" w:rsidRDefault="00E6100E" w:rsidP="00E6100E">
      <w:pPr>
        <w:jc w:val="center"/>
        <w:rPr>
          <w:rFonts w:ascii="Arial" w:hAnsi="Arial" w:cs="Arial"/>
          <w:b/>
          <w:bCs/>
        </w:rPr>
      </w:pPr>
      <w:r>
        <w:rPr>
          <w:rFonts w:ascii="Arial" w:hAnsi="Arial" w:cs="Arial"/>
          <w:b/>
          <w:bCs/>
          <w:noProof/>
        </w:rPr>
        <mc:AlternateContent>
          <mc:Choice Requires="wps">
            <w:drawing>
              <wp:anchor distT="0" distB="0" distL="114300" distR="114300" simplePos="0" relativeHeight="251610112" behindDoc="1" locked="0" layoutInCell="1" allowOverlap="1" wp14:anchorId="4493C9A1" wp14:editId="35A78939">
                <wp:simplePos x="0" y="0"/>
                <wp:positionH relativeFrom="margin">
                  <wp:posOffset>-673735</wp:posOffset>
                </wp:positionH>
                <wp:positionV relativeFrom="paragraph">
                  <wp:posOffset>121402</wp:posOffset>
                </wp:positionV>
                <wp:extent cx="10196830" cy="1855470"/>
                <wp:effectExtent l="228600" t="228600" r="242570" b="240030"/>
                <wp:wrapNone/>
                <wp:docPr id="1098640560" name="Text Box 1"/>
                <wp:cNvGraphicFramePr/>
                <a:graphic xmlns:a="http://schemas.openxmlformats.org/drawingml/2006/main">
                  <a:graphicData uri="http://schemas.microsoft.com/office/word/2010/wordprocessingShape">
                    <wps:wsp>
                      <wps:cNvSpPr txBox="1"/>
                      <wps:spPr>
                        <a:xfrm>
                          <a:off x="0" y="0"/>
                          <a:ext cx="10196830" cy="1855470"/>
                        </a:xfrm>
                        <a:prstGeom prst="rect">
                          <a:avLst/>
                        </a:prstGeom>
                        <a:solidFill>
                          <a:schemeClr val="lt1"/>
                        </a:solidFill>
                        <a:ln w="6350">
                          <a:solidFill>
                            <a:schemeClr val="accent5">
                              <a:lumMod val="60000"/>
                              <a:lumOff val="40000"/>
                            </a:schemeClr>
                          </a:solidFill>
                        </a:ln>
                        <a:effectLst>
                          <a:glow rad="228600">
                            <a:schemeClr val="accent5">
                              <a:satMod val="175000"/>
                              <a:alpha val="40000"/>
                            </a:schemeClr>
                          </a:glow>
                        </a:effectLst>
                      </wps:spPr>
                      <wps:txbx>
                        <w:txbxContent>
                          <w:p w14:paraId="1499B56D" w14:textId="77777777" w:rsidR="005B4DAB" w:rsidRDefault="00592099" w:rsidP="005B4DAB">
                            <w:pPr>
                              <w:pStyle w:val="NormalWeb"/>
                              <w:shd w:val="clear" w:color="auto" w:fill="FFFFFF"/>
                              <w:spacing w:before="0" w:beforeAutospacing="0" w:after="0" w:afterAutospacing="0"/>
                              <w:jc w:val="both"/>
                              <w:rPr>
                                <w:rFonts w:ascii="Arial" w:hAnsi="Arial" w:cs="Arial"/>
                                <w:b/>
                                <w:bCs/>
                                <w:color w:val="111111"/>
                                <w:spacing w:val="-6"/>
                              </w:rPr>
                            </w:pPr>
                            <w:r w:rsidRPr="001C6AAD">
                              <w:rPr>
                                <w:rFonts w:ascii="Arial" w:hAnsi="Arial" w:cs="Arial"/>
                                <w:b/>
                                <w:bCs/>
                                <w:color w:val="111111"/>
                                <w:spacing w:val="-6"/>
                              </w:rPr>
                              <w:t>Introduction</w:t>
                            </w:r>
                          </w:p>
                          <w:p w14:paraId="5FE5DE53" w14:textId="5BC44BB8" w:rsidR="005B753D" w:rsidRPr="008873F6" w:rsidRDefault="005B753D" w:rsidP="005B4DAB">
                            <w:pPr>
                              <w:pStyle w:val="NormalWeb"/>
                              <w:shd w:val="clear" w:color="auto" w:fill="FFFFFF"/>
                              <w:spacing w:before="0" w:beforeAutospacing="0" w:after="0" w:afterAutospacing="0"/>
                              <w:jc w:val="both"/>
                              <w:rPr>
                                <w:rFonts w:ascii="Arial" w:hAnsi="Arial" w:cs="Arial"/>
                                <w:color w:val="111111"/>
                                <w:spacing w:val="-6"/>
                              </w:rPr>
                            </w:pPr>
                            <w:r w:rsidRPr="008873F6">
                              <w:rPr>
                                <w:rFonts w:ascii="Arial" w:hAnsi="Arial" w:cs="Arial"/>
                              </w:rPr>
                              <w:t xml:space="preserve">This </w:t>
                            </w:r>
                            <w:r>
                              <w:rPr>
                                <w:rFonts w:ascii="Arial" w:hAnsi="Arial" w:cs="Arial"/>
                              </w:rPr>
                              <w:t>poster</w:t>
                            </w:r>
                            <w:r w:rsidRPr="008873F6">
                              <w:rPr>
                                <w:rFonts w:ascii="Arial" w:hAnsi="Arial" w:cs="Arial"/>
                              </w:rPr>
                              <w:t xml:space="preserve"> focuses on the interconnected concepts of health, well-being, and lifestyle, especially their significance in early childhood development. Each aspect plays a critical role in shaping a child's physical, emotional, and cognitive development. These factors do not operate in isolation; they are deeply interdependent. Practitioners in early years settings are pivotal in fostering these elements, as they directly influence a child’s ability to learn, grow, and thrive. Understanding how health, well-being, and lifestyle intersect enables practitioners to design tailored strategies that enhance children's experiences. By addressing these interconnected aspects early, practitioners can mitigate developmental disparities and inequalities. Equipping children with the tools for a healthy and balanced lifestyle not only improves their current quality of life but also lays a foundation for their long-term success and resilience. This discussion delves deeper into research, contemporary policies, and innovative practices that shape early childhood education, illustrating the importance of a proactive and holistic approach to supporting young learners.</w:t>
                            </w:r>
                          </w:p>
                          <w:p w14:paraId="2F2139F9" w14:textId="77777777" w:rsidR="00430D51" w:rsidRDefault="00430D5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93C9A1" id="_x0000_t202" coordsize="21600,21600" o:spt="202" path="m,l,21600r21600,l21600,xe">
                <v:stroke joinstyle="miter"/>
                <v:path gradientshapeok="t" o:connecttype="rect"/>
              </v:shapetype>
              <v:shape id="Text Box 1" o:spid="_x0000_s1026" type="#_x0000_t202" style="position:absolute;left:0;text-align:left;margin-left:-53.05pt;margin-top:9.55pt;width:802.9pt;height:146.1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czRhgIAAE0FAAAOAAAAZHJzL2Uyb0RvYy54bWysVN9r2zAQfh/sfxB6X22nSZqGOiVr6Rh0&#10;bSEdfb7IcmyQdZqkxO7++p3kOEm7wWDMD7JOd/ruu1+6uu4axXbSuhp1zrOzlDOpBRa13uT8+/Pd&#10;pxlnzoMuQKGWOX+Vjl8vPn64as1cjrBCVUjLCES7eWtyXnlv5kniRCUbcGdopCZlibYBT6LdJIWF&#10;ltAblYzSdJq0aAtjUUjn6PS2V/JFxC9LKfxjWTrpmco5cfNxtXFdhzVZXMF8Y8FUtdjTgH9g0UCt&#10;yekB6hY8sK2tf4NqamHRYenPBDYJlmUtZIyBosnSd9GsKjAyxkLJceaQJvf/YMXDbmWeLPPdZ+yo&#10;gCEhrXFzR4chnq60TfgTU0Z6SuHrIW2y80yES2l2OZ2dk06QMptNJuOLmNnkeN9Y579IbFjY5NxS&#10;YWK+YHfvPPkk08EkuHOo6uKuVioKoRnkjbJsB1RG5SNLuvHGSmnW5nx6Pkkj8BtdbKcjAgghtZ9E&#10;O7VtvmHRI09T+vqWoGNqnP54PBwHlwOXSPnECemUDmxl7DqKKggbhS2zUOR8NJoRfE9twOjhT9k4&#10;8Ac22cXkQAeUqeBvbIKzSOuEQnIsZtj5bt3tK7zG4pUKb7GfCWfEXU21uQfnn8DSEFA9abD9Iy0l&#10;Iecc9zvOKrQ//3Qe7Kk3SctZS0OVc/djC1Zypr5q6trLbDwOUxiF8eRiRII91axPNXrb3CAVPKMn&#10;xIi4DfZeDdvSYvNC878MXkkFWpDvnPthe+P7Uaf3Q8jlMhrR3Bnw93plRIAOVQqd99y9gDX79vTU&#10;2g84jB/M33VpbxtualxuPZZ1bOGQ4D6rVIUg0MzGeuzfl/AonMrR6vgKLn4BAAD//wMAUEsDBBQA&#10;BgAIAAAAIQASqpsQ4AAAAAwBAAAPAAAAZHJzL2Rvd25yZXYueG1sTI9BTsMwEEX3SNzBGiQ2qHVM&#10;m9CEOBVC6gpUicIB3HgaR8R2FDutuT3TFaxGo//05029TXZgZ5xC750EscyAoWu97l0n4etzt9gA&#10;C1E5rQbvUMIPBtg2tze1qrS/uA88H2LHqMSFSkkwMY4V56E1aFVY+hEdZSc/WRVpnTquJ3Whcjvw&#10;xywruFW9owtGjfhqsP0+zFYCt91bPhd58mNa7/L4nh7avZHy/i69PAOLmOIfDFd9UoeGnI5+djqw&#10;QcJCZIUglpKS5pVYl+UTsKOElRAr4E3N/z/R/AIAAP//AwBQSwECLQAUAAYACAAAACEAtoM4kv4A&#10;AADhAQAAEwAAAAAAAAAAAAAAAAAAAAAAW0NvbnRlbnRfVHlwZXNdLnhtbFBLAQItABQABgAIAAAA&#10;IQA4/SH/1gAAAJQBAAALAAAAAAAAAAAAAAAAAC8BAABfcmVscy8ucmVsc1BLAQItABQABgAIAAAA&#10;IQCAyczRhgIAAE0FAAAOAAAAAAAAAAAAAAAAAC4CAABkcnMvZTJvRG9jLnhtbFBLAQItABQABgAI&#10;AAAAIQASqpsQ4AAAAAwBAAAPAAAAAAAAAAAAAAAAAOAEAABkcnMvZG93bnJldi54bWxQSwUGAAAA&#10;AAQABADzAAAA7QUAAAAA&#10;" fillcolor="white [3201]" strokecolor="#d86dcb [1944]" strokeweight=".5pt">
                <v:textbox>
                  <w:txbxContent>
                    <w:p w14:paraId="1499B56D" w14:textId="77777777" w:rsidR="005B4DAB" w:rsidRDefault="00592099" w:rsidP="005B4DAB">
                      <w:pPr>
                        <w:pStyle w:val="NormalWeb"/>
                        <w:shd w:val="clear" w:color="auto" w:fill="FFFFFF"/>
                        <w:spacing w:before="0" w:beforeAutospacing="0" w:after="0" w:afterAutospacing="0"/>
                        <w:jc w:val="both"/>
                        <w:rPr>
                          <w:rFonts w:ascii="Arial" w:hAnsi="Arial" w:cs="Arial"/>
                          <w:b/>
                          <w:bCs/>
                          <w:color w:val="111111"/>
                          <w:spacing w:val="-6"/>
                        </w:rPr>
                      </w:pPr>
                      <w:r w:rsidRPr="001C6AAD">
                        <w:rPr>
                          <w:rFonts w:ascii="Arial" w:hAnsi="Arial" w:cs="Arial"/>
                          <w:b/>
                          <w:bCs/>
                          <w:color w:val="111111"/>
                          <w:spacing w:val="-6"/>
                        </w:rPr>
                        <w:t>Introduction</w:t>
                      </w:r>
                    </w:p>
                    <w:p w14:paraId="5FE5DE53" w14:textId="5BC44BB8" w:rsidR="005B753D" w:rsidRPr="008873F6" w:rsidRDefault="005B753D" w:rsidP="005B4DAB">
                      <w:pPr>
                        <w:pStyle w:val="NormalWeb"/>
                        <w:shd w:val="clear" w:color="auto" w:fill="FFFFFF"/>
                        <w:spacing w:before="0" w:beforeAutospacing="0" w:after="0" w:afterAutospacing="0"/>
                        <w:jc w:val="both"/>
                        <w:rPr>
                          <w:rFonts w:ascii="Arial" w:hAnsi="Arial" w:cs="Arial"/>
                          <w:color w:val="111111"/>
                          <w:spacing w:val="-6"/>
                        </w:rPr>
                      </w:pPr>
                      <w:r w:rsidRPr="008873F6">
                        <w:rPr>
                          <w:rFonts w:ascii="Arial" w:hAnsi="Arial" w:cs="Arial"/>
                        </w:rPr>
                        <w:t xml:space="preserve">This </w:t>
                      </w:r>
                      <w:r>
                        <w:rPr>
                          <w:rFonts w:ascii="Arial" w:hAnsi="Arial" w:cs="Arial"/>
                        </w:rPr>
                        <w:t>poster</w:t>
                      </w:r>
                      <w:r w:rsidRPr="008873F6">
                        <w:rPr>
                          <w:rFonts w:ascii="Arial" w:hAnsi="Arial" w:cs="Arial"/>
                        </w:rPr>
                        <w:t xml:space="preserve"> focuses on the interconnected concepts of health, well-being, and lifestyle, especially their significance in early childhood development. Each aspect plays a critical role in shaping a child's physical, emotional, and cognitive development. These factors do not operate in isolation; they are deeply interdependent. Practitioners in early years settings are pivotal in fostering these elements, as they directly influence a child’s ability to learn, grow, and thrive. Understanding how health, well-being, and lifestyle intersect enables practitioners to design tailored strategies that enhance children's experiences. By addressing these interconnected aspects early, practitioners can mitigate developmental disparities and inequalities. Equipping children with the tools for a healthy and balanced lifestyle not only improves their current quality of life but also lays a foundation for their long-term success and resilience. This discussion delves deeper into research, contemporary policies, and innovative practices that shape early childhood education, illustrating the importance of a proactive and holistic approach to supporting young learners.</w:t>
                      </w:r>
                    </w:p>
                    <w:p w14:paraId="2F2139F9" w14:textId="77777777" w:rsidR="00430D51" w:rsidRDefault="00430D51"/>
                  </w:txbxContent>
                </v:textbox>
                <w10:wrap anchorx="margin"/>
              </v:shape>
            </w:pict>
          </mc:Fallback>
        </mc:AlternateContent>
      </w:r>
    </w:p>
    <w:p w14:paraId="448B24B7" w14:textId="568C341B" w:rsidR="00E6100E" w:rsidRDefault="00E6100E" w:rsidP="00E6100E">
      <w:pPr>
        <w:jc w:val="center"/>
        <w:rPr>
          <w:rFonts w:ascii="Arial" w:hAnsi="Arial" w:cs="Arial"/>
          <w:b/>
          <w:bCs/>
        </w:rPr>
      </w:pPr>
    </w:p>
    <w:p w14:paraId="5A286B01" w14:textId="24EA6273" w:rsidR="00E6100E" w:rsidRDefault="00E6100E" w:rsidP="00E6100E">
      <w:pPr>
        <w:jc w:val="center"/>
        <w:rPr>
          <w:rFonts w:ascii="Arial" w:hAnsi="Arial" w:cs="Arial"/>
          <w:b/>
          <w:bCs/>
        </w:rPr>
      </w:pPr>
    </w:p>
    <w:p w14:paraId="523B030E" w14:textId="3458F11C" w:rsidR="00E6100E" w:rsidRDefault="00E6100E" w:rsidP="00E6100E">
      <w:pPr>
        <w:jc w:val="center"/>
        <w:rPr>
          <w:rFonts w:ascii="Arial" w:hAnsi="Arial" w:cs="Arial"/>
          <w:b/>
          <w:bCs/>
        </w:rPr>
      </w:pPr>
    </w:p>
    <w:p w14:paraId="0572C225" w14:textId="42D59EC2" w:rsidR="00E6100E" w:rsidRDefault="00E6100E" w:rsidP="00E6100E">
      <w:pPr>
        <w:jc w:val="center"/>
        <w:rPr>
          <w:rFonts w:ascii="Arial" w:hAnsi="Arial" w:cs="Arial"/>
          <w:b/>
          <w:bCs/>
        </w:rPr>
      </w:pPr>
    </w:p>
    <w:p w14:paraId="64FCB9AB" w14:textId="6FE7E0DD" w:rsidR="00E6100E" w:rsidRDefault="00E6100E" w:rsidP="00E6100E">
      <w:pPr>
        <w:jc w:val="center"/>
        <w:rPr>
          <w:rFonts w:ascii="Arial" w:hAnsi="Arial" w:cs="Arial"/>
          <w:b/>
          <w:bCs/>
        </w:rPr>
      </w:pPr>
    </w:p>
    <w:p w14:paraId="191D4BC0" w14:textId="3C86249E" w:rsidR="00E6100E" w:rsidRDefault="00E6100E" w:rsidP="00E6100E">
      <w:pPr>
        <w:jc w:val="center"/>
        <w:rPr>
          <w:rFonts w:ascii="Arial" w:hAnsi="Arial" w:cs="Arial"/>
          <w:b/>
          <w:bCs/>
        </w:rPr>
      </w:pPr>
    </w:p>
    <w:p w14:paraId="70C8A03A" w14:textId="0137A25D" w:rsidR="00E6100E" w:rsidRDefault="00990D9D" w:rsidP="00E6100E">
      <w:pPr>
        <w:jc w:val="center"/>
        <w:rPr>
          <w:rFonts w:ascii="Arial" w:hAnsi="Arial" w:cs="Arial"/>
          <w:b/>
          <w:bCs/>
        </w:rPr>
      </w:pPr>
      <w:r>
        <w:rPr>
          <w:rFonts w:ascii="Arial" w:hAnsi="Arial" w:cs="Arial"/>
          <w:b/>
          <w:bCs/>
          <w:noProof/>
        </w:rPr>
        <mc:AlternateContent>
          <mc:Choice Requires="wps">
            <w:drawing>
              <wp:anchor distT="0" distB="0" distL="114300" distR="114300" simplePos="0" relativeHeight="251635712" behindDoc="1" locked="0" layoutInCell="1" allowOverlap="1" wp14:anchorId="64ADC827" wp14:editId="3D24BACB">
                <wp:simplePos x="0" y="0"/>
                <wp:positionH relativeFrom="column">
                  <wp:posOffset>4188807</wp:posOffset>
                </wp:positionH>
                <wp:positionV relativeFrom="paragraph">
                  <wp:posOffset>40847</wp:posOffset>
                </wp:positionV>
                <wp:extent cx="5458460" cy="4540752"/>
                <wp:effectExtent l="228600" t="228600" r="256540" b="241300"/>
                <wp:wrapNone/>
                <wp:docPr id="2079381523" name="Text Box 4"/>
                <wp:cNvGraphicFramePr/>
                <a:graphic xmlns:a="http://schemas.openxmlformats.org/drawingml/2006/main">
                  <a:graphicData uri="http://schemas.microsoft.com/office/word/2010/wordprocessingShape">
                    <wps:wsp>
                      <wps:cNvSpPr txBox="1"/>
                      <wps:spPr>
                        <a:xfrm>
                          <a:off x="0" y="0"/>
                          <a:ext cx="5458460" cy="4540752"/>
                        </a:xfrm>
                        <a:prstGeom prst="rect">
                          <a:avLst/>
                        </a:prstGeom>
                        <a:solidFill>
                          <a:schemeClr val="lt1"/>
                        </a:solidFill>
                        <a:ln w="6350">
                          <a:solidFill>
                            <a:schemeClr val="accent4">
                              <a:lumMod val="60000"/>
                              <a:lumOff val="40000"/>
                            </a:schemeClr>
                          </a:solidFill>
                        </a:ln>
                        <a:effectLst>
                          <a:glow rad="228600">
                            <a:schemeClr val="accent4">
                              <a:satMod val="175000"/>
                              <a:alpha val="40000"/>
                            </a:schemeClr>
                          </a:glow>
                        </a:effectLst>
                      </wps:spPr>
                      <wps:txbx>
                        <w:txbxContent>
                          <w:p w14:paraId="5A7025B2" w14:textId="7132250C" w:rsidR="00642705" w:rsidRPr="00776E37" w:rsidRDefault="00CE3CFB" w:rsidP="00642705">
                            <w:pPr>
                              <w:spacing w:before="100" w:beforeAutospacing="1" w:after="100" w:afterAutospacing="1" w:line="240" w:lineRule="auto"/>
                              <w:jc w:val="both"/>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                                               </w:t>
                            </w:r>
                            <w:r w:rsidR="00642705" w:rsidRPr="00776E37">
                              <w:rPr>
                                <w:rFonts w:ascii="Arial" w:eastAsia="Times New Roman" w:hAnsi="Arial" w:cs="Arial"/>
                                <w:b/>
                                <w:bCs/>
                                <w:kern w:val="0"/>
                                <w:lang w:eastAsia="en-GB"/>
                                <w14:ligatures w14:val="none"/>
                              </w:rPr>
                              <w:t>Defining Health</w:t>
                            </w:r>
                          </w:p>
                          <w:p w14:paraId="419240F2" w14:textId="4E400AD1" w:rsidR="00642705" w:rsidRPr="00B5416F" w:rsidRDefault="00642705" w:rsidP="00642705">
                            <w:pPr>
                              <w:spacing w:before="100" w:beforeAutospacing="1" w:after="100" w:afterAutospacing="1" w:line="240" w:lineRule="auto"/>
                              <w:jc w:val="both"/>
                              <w:rPr>
                                <w:rFonts w:ascii="Arial" w:eastAsia="Times New Roman" w:hAnsi="Arial" w:cs="Arial"/>
                                <w:kern w:val="0"/>
                                <w:lang w:eastAsia="en-GB"/>
                                <w14:ligatures w14:val="none"/>
                              </w:rPr>
                            </w:pPr>
                            <w:r w:rsidRPr="00B5416F">
                              <w:rPr>
                                <w:rFonts w:ascii="Arial" w:eastAsia="Times New Roman" w:hAnsi="Arial" w:cs="Arial"/>
                                <w:kern w:val="0"/>
                                <w:lang w:eastAsia="en-GB"/>
                                <w14:ligatures w14:val="none"/>
                              </w:rPr>
                              <w:t xml:space="preserve">Health is a multifaceted concept that transcends the absence of illness or disease. The World Health Organization </w:t>
                            </w:r>
                            <w:r w:rsidRPr="00B5416F">
                              <w:rPr>
                                <w:rFonts w:ascii="Arial" w:eastAsia="Times New Roman" w:hAnsi="Arial" w:cs="Arial"/>
                                <w:color w:val="000000" w:themeColor="text1"/>
                                <w:kern w:val="0"/>
                                <w:lang w:eastAsia="en-GB"/>
                                <w14:ligatures w14:val="none"/>
                              </w:rPr>
                              <w:t>(WHO, 202</w:t>
                            </w:r>
                            <w:r w:rsidRPr="00D80710">
                              <w:rPr>
                                <w:rFonts w:ascii="Arial" w:eastAsia="Times New Roman" w:hAnsi="Arial" w:cs="Arial"/>
                                <w:color w:val="000000" w:themeColor="text1"/>
                                <w:kern w:val="0"/>
                                <w:lang w:eastAsia="en-GB"/>
                                <w14:ligatures w14:val="none"/>
                              </w:rPr>
                              <w:t>3 and 2024</w:t>
                            </w:r>
                            <w:r w:rsidRPr="00B5416F">
                              <w:rPr>
                                <w:rFonts w:ascii="Arial" w:eastAsia="Times New Roman" w:hAnsi="Arial" w:cs="Arial"/>
                                <w:color w:val="000000" w:themeColor="text1"/>
                                <w:kern w:val="0"/>
                                <w:lang w:eastAsia="en-GB"/>
                                <w14:ligatures w14:val="none"/>
                              </w:rPr>
                              <w:t xml:space="preserve">) </w:t>
                            </w:r>
                            <w:r w:rsidRPr="00B5416F">
                              <w:rPr>
                                <w:rFonts w:ascii="Arial" w:eastAsia="Times New Roman" w:hAnsi="Arial" w:cs="Arial"/>
                                <w:kern w:val="0"/>
                                <w:lang w:eastAsia="en-GB"/>
                                <w14:ligatures w14:val="none"/>
                              </w:rPr>
                              <w:t>provides a comprehensive definition, asserting that health encompasses not only physical well-being but also mental and social well-being. This holistic understanding emphasizes that health is not a static condition but a dynamic and interconnected state that enables individuals to function optimally in various aspects of life. Davis, Costigan, and Schubert (2017) support this by highlighting the importance of proactive health measures in early childhood, asserting that the foundation of health established during these formative years can significantly influence an individual's lifelong outcomes. They argue that early interventions can enhance immediate health outcomes and foster emotional stability, learning potential, and social competence.</w:t>
                            </w:r>
                            <w:r w:rsidR="00572C55">
                              <w:rPr>
                                <w:rFonts w:ascii="Arial" w:eastAsia="Times New Roman" w:hAnsi="Arial" w:cs="Arial"/>
                                <w:kern w:val="0"/>
                                <w:lang w:eastAsia="en-GB"/>
                                <w14:ligatures w14:val="none"/>
                              </w:rPr>
                              <w:t xml:space="preserve"> </w:t>
                            </w:r>
                            <w:r w:rsidRPr="00B5416F">
                              <w:rPr>
                                <w:rFonts w:ascii="Arial" w:eastAsia="Times New Roman" w:hAnsi="Arial" w:cs="Arial"/>
                                <w:kern w:val="0"/>
                                <w:lang w:eastAsia="en-GB"/>
                                <w14:ligatures w14:val="none"/>
                              </w:rPr>
                              <w:t>In line with WHO's perspective, health extends beyond the individual to include social factors that influence well-being. A child’s social environment, including family dynamics, peer relationships, and community support, plays a critical role in shaping their overall health. Positive social connections are associated with better mental health, resilience, and the ability to cope with stress and adversity (Bronfenbrenne</w:t>
                            </w:r>
                            <w:r w:rsidRPr="00197E79">
                              <w:rPr>
                                <w:rFonts w:ascii="Arial" w:eastAsia="Times New Roman" w:hAnsi="Arial" w:cs="Arial"/>
                                <w:kern w:val="0"/>
                                <w:lang w:eastAsia="en-GB"/>
                                <w14:ligatures w14:val="none"/>
                              </w:rPr>
                              <w:t>r</w:t>
                            </w:r>
                            <w:r w:rsidRPr="00B5416F">
                              <w:rPr>
                                <w:rFonts w:ascii="Arial" w:eastAsia="Times New Roman" w:hAnsi="Arial" w:cs="Arial"/>
                                <w:kern w:val="0"/>
                                <w:lang w:eastAsia="en-GB"/>
                                <w14:ligatures w14:val="none"/>
                              </w:rPr>
                              <w:t>, 1979). This understanding reflects an ecological approach to health, where multiple layers of influence—from individual behaviours to societal structures—contribute to overall well-being. Social determinants such as access to healthcare, nutrition, and education further influence health outcomes, underscoring the importance of a holistic view that takes into account not only personal health but also the broader social context.</w:t>
                            </w:r>
                          </w:p>
                          <w:p w14:paraId="4EDD4409" w14:textId="293D60EA" w:rsidR="00825E58" w:rsidRPr="001C6AAD" w:rsidRDefault="00825E58" w:rsidP="00825E58">
                            <w:pPr>
                              <w:pStyle w:val="NormalWeb"/>
                              <w:shd w:val="clear" w:color="auto" w:fill="FFFFFF"/>
                              <w:spacing w:before="0" w:beforeAutospacing="0" w:after="0" w:afterAutospacing="0"/>
                              <w:jc w:val="both"/>
                              <w:rPr>
                                <w:rFonts w:ascii="Arial" w:hAnsi="Arial" w:cs="Arial"/>
                                <w:color w:val="111111"/>
                                <w:spacing w:val="-6"/>
                              </w:rPr>
                            </w:pPr>
                          </w:p>
                          <w:p w14:paraId="1987FEDD" w14:textId="77777777" w:rsidR="00825E58" w:rsidRPr="001C6AAD" w:rsidRDefault="00825E58" w:rsidP="00825E58">
                            <w:pPr>
                              <w:pStyle w:val="NormalWeb"/>
                              <w:shd w:val="clear" w:color="auto" w:fill="FFFFFF"/>
                              <w:spacing w:before="0" w:beforeAutospacing="0" w:after="0" w:afterAutospacing="0"/>
                              <w:jc w:val="both"/>
                              <w:rPr>
                                <w:rFonts w:ascii="Arial" w:hAnsi="Arial" w:cs="Arial"/>
                                <w:color w:val="111111"/>
                                <w:spacing w:val="-6"/>
                              </w:rPr>
                            </w:pPr>
                          </w:p>
                          <w:p w14:paraId="114925DA" w14:textId="7F8FBEDF" w:rsidR="00825E58" w:rsidRDefault="00825E58" w:rsidP="00825E58">
                            <w:pPr>
                              <w:pStyle w:val="NormalWeb"/>
                              <w:shd w:val="clear" w:color="auto" w:fill="FFFFFF"/>
                              <w:spacing w:before="0" w:beforeAutospacing="0" w:after="0" w:afterAutospacing="0"/>
                              <w:jc w:val="both"/>
                              <w:rPr>
                                <w:rFonts w:ascii="Arial" w:hAnsi="Arial" w:cs="Arial"/>
                                <w:color w:val="FF0000"/>
                                <w:spacing w:val="-6"/>
                              </w:rPr>
                            </w:pPr>
                          </w:p>
                          <w:p w14:paraId="4BF31383" w14:textId="77777777" w:rsidR="00BA0E1A" w:rsidRPr="001C6AAD" w:rsidRDefault="00BA0E1A" w:rsidP="00825E58">
                            <w:pPr>
                              <w:pStyle w:val="NormalWeb"/>
                              <w:shd w:val="clear" w:color="auto" w:fill="FFFFFF"/>
                              <w:spacing w:before="0" w:beforeAutospacing="0" w:after="0" w:afterAutospacing="0"/>
                              <w:jc w:val="both"/>
                              <w:rPr>
                                <w:rFonts w:ascii="Arial" w:hAnsi="Arial" w:cs="Arial"/>
                                <w:color w:val="111111"/>
                                <w:spacing w:val="-6"/>
                              </w:rPr>
                            </w:pPr>
                          </w:p>
                          <w:p w14:paraId="1C29418D" w14:textId="77777777" w:rsidR="00031DC1" w:rsidRDefault="00031DC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ADC827" id="Text Box 4" o:spid="_x0000_s1027" type="#_x0000_t202" style="position:absolute;left:0;text-align:left;margin-left:329.85pt;margin-top:3.2pt;width:429.8pt;height:357.5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j0tmhwIAAFMFAAAOAAAAZHJzL2Uyb0RvYy54bWysVFtr2zAUfh/sPwi9r3YyO81CnZK1dAy6&#10;ttCOPp/IcmyQdTRJid39+h3JcZJ2g8FYHhSdi7/znZsuLvtWsZ20rkFd8MlZypnUAstGbwr+/enm&#10;w5wz50GXoFDLgr9Ixy+X799ddGYhp1ijKqVlBKLdojMFr703iyRxopYtuDM0UpOxQtuCJ9FuktJC&#10;R+itSqZpOks6tKWxKKRzpL0ejHwZ8atKCn9fVU56pgpO3Hw8bTzX4UyWF7DYWDB1I/Y04B9YtNBo&#10;CnqAugYPbGub36DaRlh0WPkzgW2CVdUIGXOgbCbpm2weazAy5kLFceZQJvf/YMXd7tE8WOb7z9hT&#10;A0NBOuMWjpQhn76ybfgnpozsVMKXQ9lk75kgZZ7l82xGJkG2LM/S83wacJLj58Y6/0Viy8Kl4Jb6&#10;EssFu1vnB9fRJURzqJryplEqCmEW5JWybAfUReUjSQJ/5aU06wo++5inEfiVLU7TEQGEkNpn0U9t&#10;229YDsizlH7DRJCa5mZQZ6M6hBy5xOxOgpBN6cBWxqGjrIKwUdgxC2XBp9M5wQ/URowB/pSNA39g&#10;MznPD3RAmRr+xiYEi7ROKCTHXoab79c9a4jOoc9rLF+o/RaHzXBG3DTUoltw/gEsrQK1ldbb39NR&#10;UYCC4/7GWY3255/0wZ8mlKycdbRaBXc/tmAlZ+qrptn9NMmysItRyPLzKQn21LI+tehte4XU9wk9&#10;JEbEa/D3arxWFttnegVWISqZQAuKXXA/Xq/8sPD0igi5WkUn2j4D/lY/GhGgQ7PCAD71z2DNfko9&#10;DfgdjksIizfDOviGLzWuth6rJk5yqPNQVWpGEGhzY1v2r0x4Gk7l6HV8C5e/AAAA//8DAFBLAwQU&#10;AAYACAAAACEAqYc3luIAAAAKAQAADwAAAGRycy9kb3ducmV2LnhtbEyPzW7CMBCE75X6DtZW4lIV&#10;J9Dwk8ZBEKlI5UaKxNWJt0lEvI5iB8Lb15za26xmNPNtshl1y67Y28aQgHAaAEMqjWqoEnD6/nxb&#10;AbNOkpKtIRRwRwub9PkpkbEyNzriNXcV8yVkYymgdq6LObdljVraqemQvPdjei2dP/uKq17efLlu&#10;+SwIFlzLhvxCLTvMaiwv+aAFvH4dwvshG/a7fb4aj1l2Lpp8LsTkZdx+AHM4ur8wPPA9OqSeqTAD&#10;KctaAYtovfRRL96BPfwoXM+BFQKWszACnib8/wvpLwAAAP//AwBQSwECLQAUAAYACAAAACEAtoM4&#10;kv4AAADhAQAAEwAAAAAAAAAAAAAAAAAAAAAAW0NvbnRlbnRfVHlwZXNdLnhtbFBLAQItABQABgAI&#10;AAAAIQA4/SH/1gAAAJQBAAALAAAAAAAAAAAAAAAAAC8BAABfcmVscy8ucmVsc1BLAQItABQABgAI&#10;AAAAIQB6j0tmhwIAAFMFAAAOAAAAAAAAAAAAAAAAAC4CAABkcnMvZTJvRG9jLnhtbFBLAQItABQA&#10;BgAIAAAAIQCphzeW4gAAAAoBAAAPAAAAAAAAAAAAAAAAAOEEAABkcnMvZG93bnJldi54bWxQSwUG&#10;AAAAAAQABADzAAAA8AUAAAAA&#10;" fillcolor="white [3201]" strokecolor="#60caf3 [1943]" strokeweight=".5pt">
                <v:textbox>
                  <w:txbxContent>
                    <w:p w14:paraId="5A7025B2" w14:textId="7132250C" w:rsidR="00642705" w:rsidRPr="00776E37" w:rsidRDefault="00CE3CFB" w:rsidP="00642705">
                      <w:pPr>
                        <w:spacing w:before="100" w:beforeAutospacing="1" w:after="100" w:afterAutospacing="1" w:line="240" w:lineRule="auto"/>
                        <w:jc w:val="both"/>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                                               </w:t>
                      </w:r>
                      <w:r w:rsidR="00642705" w:rsidRPr="00776E37">
                        <w:rPr>
                          <w:rFonts w:ascii="Arial" w:eastAsia="Times New Roman" w:hAnsi="Arial" w:cs="Arial"/>
                          <w:b/>
                          <w:bCs/>
                          <w:kern w:val="0"/>
                          <w:lang w:eastAsia="en-GB"/>
                          <w14:ligatures w14:val="none"/>
                        </w:rPr>
                        <w:t>Defining Health</w:t>
                      </w:r>
                    </w:p>
                    <w:p w14:paraId="419240F2" w14:textId="4E400AD1" w:rsidR="00642705" w:rsidRPr="00B5416F" w:rsidRDefault="00642705" w:rsidP="00642705">
                      <w:pPr>
                        <w:spacing w:before="100" w:beforeAutospacing="1" w:after="100" w:afterAutospacing="1" w:line="240" w:lineRule="auto"/>
                        <w:jc w:val="both"/>
                        <w:rPr>
                          <w:rFonts w:ascii="Arial" w:eastAsia="Times New Roman" w:hAnsi="Arial" w:cs="Arial"/>
                          <w:kern w:val="0"/>
                          <w:lang w:eastAsia="en-GB"/>
                          <w14:ligatures w14:val="none"/>
                        </w:rPr>
                      </w:pPr>
                      <w:r w:rsidRPr="00B5416F">
                        <w:rPr>
                          <w:rFonts w:ascii="Arial" w:eastAsia="Times New Roman" w:hAnsi="Arial" w:cs="Arial"/>
                          <w:kern w:val="0"/>
                          <w:lang w:eastAsia="en-GB"/>
                          <w14:ligatures w14:val="none"/>
                        </w:rPr>
                        <w:t xml:space="preserve">Health is a multifaceted concept that transcends the absence of illness or disease. The World Health Organization </w:t>
                      </w:r>
                      <w:r w:rsidRPr="00B5416F">
                        <w:rPr>
                          <w:rFonts w:ascii="Arial" w:eastAsia="Times New Roman" w:hAnsi="Arial" w:cs="Arial"/>
                          <w:color w:val="000000" w:themeColor="text1"/>
                          <w:kern w:val="0"/>
                          <w:lang w:eastAsia="en-GB"/>
                          <w14:ligatures w14:val="none"/>
                        </w:rPr>
                        <w:t>(WHO, 202</w:t>
                      </w:r>
                      <w:r w:rsidRPr="00D80710">
                        <w:rPr>
                          <w:rFonts w:ascii="Arial" w:eastAsia="Times New Roman" w:hAnsi="Arial" w:cs="Arial"/>
                          <w:color w:val="000000" w:themeColor="text1"/>
                          <w:kern w:val="0"/>
                          <w:lang w:eastAsia="en-GB"/>
                          <w14:ligatures w14:val="none"/>
                        </w:rPr>
                        <w:t>3 and 2024</w:t>
                      </w:r>
                      <w:r w:rsidRPr="00B5416F">
                        <w:rPr>
                          <w:rFonts w:ascii="Arial" w:eastAsia="Times New Roman" w:hAnsi="Arial" w:cs="Arial"/>
                          <w:color w:val="000000" w:themeColor="text1"/>
                          <w:kern w:val="0"/>
                          <w:lang w:eastAsia="en-GB"/>
                          <w14:ligatures w14:val="none"/>
                        </w:rPr>
                        <w:t xml:space="preserve">) </w:t>
                      </w:r>
                      <w:r w:rsidRPr="00B5416F">
                        <w:rPr>
                          <w:rFonts w:ascii="Arial" w:eastAsia="Times New Roman" w:hAnsi="Arial" w:cs="Arial"/>
                          <w:kern w:val="0"/>
                          <w:lang w:eastAsia="en-GB"/>
                          <w14:ligatures w14:val="none"/>
                        </w:rPr>
                        <w:t>provides a comprehensive definition, asserting that health encompasses not only physical well-being but also mental and social well-being. This holistic understanding emphasizes that health is not a static condition but a dynamic and interconnected state that enables individuals to function optimally in various aspects of life. Davis, Costigan, and Schubert (2017) support this by highlighting the importance of proactive health measures in early childhood, asserting that the foundation of health established during these formative years can significantly influence an individual's lifelong outcomes. They argue that early interventions can enhance immediate health outcomes and foster emotional stability, learning potential, and social competence.</w:t>
                      </w:r>
                      <w:r w:rsidR="00572C55">
                        <w:rPr>
                          <w:rFonts w:ascii="Arial" w:eastAsia="Times New Roman" w:hAnsi="Arial" w:cs="Arial"/>
                          <w:kern w:val="0"/>
                          <w:lang w:eastAsia="en-GB"/>
                          <w14:ligatures w14:val="none"/>
                        </w:rPr>
                        <w:t xml:space="preserve"> </w:t>
                      </w:r>
                      <w:r w:rsidRPr="00B5416F">
                        <w:rPr>
                          <w:rFonts w:ascii="Arial" w:eastAsia="Times New Roman" w:hAnsi="Arial" w:cs="Arial"/>
                          <w:kern w:val="0"/>
                          <w:lang w:eastAsia="en-GB"/>
                          <w14:ligatures w14:val="none"/>
                        </w:rPr>
                        <w:t>In line with WHO's perspective, health extends beyond the individual to include social factors that influence well-being. A child’s social environment, including family dynamics, peer relationships, and community support, plays a critical role in shaping their overall health. Positive social connections are associated with better mental health, resilience, and the ability to cope with stress and adversity (Bronfenbrenne</w:t>
                      </w:r>
                      <w:r w:rsidRPr="00197E79">
                        <w:rPr>
                          <w:rFonts w:ascii="Arial" w:eastAsia="Times New Roman" w:hAnsi="Arial" w:cs="Arial"/>
                          <w:kern w:val="0"/>
                          <w:lang w:eastAsia="en-GB"/>
                          <w14:ligatures w14:val="none"/>
                        </w:rPr>
                        <w:t>r</w:t>
                      </w:r>
                      <w:r w:rsidRPr="00B5416F">
                        <w:rPr>
                          <w:rFonts w:ascii="Arial" w:eastAsia="Times New Roman" w:hAnsi="Arial" w:cs="Arial"/>
                          <w:kern w:val="0"/>
                          <w:lang w:eastAsia="en-GB"/>
                          <w14:ligatures w14:val="none"/>
                        </w:rPr>
                        <w:t>, 1979). This understanding reflects an ecological approach to health, where multiple layers of influence—from individual behaviours to societal structures—contribute to overall well-being. Social determinants such as access to healthcare, nutrition, and education further influence health outcomes, underscoring the importance of a holistic view that takes into account not only personal health but also the broader social context.</w:t>
                      </w:r>
                    </w:p>
                    <w:p w14:paraId="4EDD4409" w14:textId="293D60EA" w:rsidR="00825E58" w:rsidRPr="001C6AAD" w:rsidRDefault="00825E58" w:rsidP="00825E58">
                      <w:pPr>
                        <w:pStyle w:val="NormalWeb"/>
                        <w:shd w:val="clear" w:color="auto" w:fill="FFFFFF"/>
                        <w:spacing w:before="0" w:beforeAutospacing="0" w:after="0" w:afterAutospacing="0"/>
                        <w:jc w:val="both"/>
                        <w:rPr>
                          <w:rFonts w:ascii="Arial" w:hAnsi="Arial" w:cs="Arial"/>
                          <w:color w:val="111111"/>
                          <w:spacing w:val="-6"/>
                        </w:rPr>
                      </w:pPr>
                    </w:p>
                    <w:p w14:paraId="1987FEDD" w14:textId="77777777" w:rsidR="00825E58" w:rsidRPr="001C6AAD" w:rsidRDefault="00825E58" w:rsidP="00825E58">
                      <w:pPr>
                        <w:pStyle w:val="NormalWeb"/>
                        <w:shd w:val="clear" w:color="auto" w:fill="FFFFFF"/>
                        <w:spacing w:before="0" w:beforeAutospacing="0" w:after="0" w:afterAutospacing="0"/>
                        <w:jc w:val="both"/>
                        <w:rPr>
                          <w:rFonts w:ascii="Arial" w:hAnsi="Arial" w:cs="Arial"/>
                          <w:color w:val="111111"/>
                          <w:spacing w:val="-6"/>
                        </w:rPr>
                      </w:pPr>
                    </w:p>
                    <w:p w14:paraId="114925DA" w14:textId="7F8FBEDF" w:rsidR="00825E58" w:rsidRDefault="00825E58" w:rsidP="00825E58">
                      <w:pPr>
                        <w:pStyle w:val="NormalWeb"/>
                        <w:shd w:val="clear" w:color="auto" w:fill="FFFFFF"/>
                        <w:spacing w:before="0" w:beforeAutospacing="0" w:after="0" w:afterAutospacing="0"/>
                        <w:jc w:val="both"/>
                        <w:rPr>
                          <w:rFonts w:ascii="Arial" w:hAnsi="Arial" w:cs="Arial"/>
                          <w:color w:val="FF0000"/>
                          <w:spacing w:val="-6"/>
                        </w:rPr>
                      </w:pPr>
                    </w:p>
                    <w:p w14:paraId="4BF31383" w14:textId="77777777" w:rsidR="00BA0E1A" w:rsidRPr="001C6AAD" w:rsidRDefault="00BA0E1A" w:rsidP="00825E58">
                      <w:pPr>
                        <w:pStyle w:val="NormalWeb"/>
                        <w:shd w:val="clear" w:color="auto" w:fill="FFFFFF"/>
                        <w:spacing w:before="0" w:beforeAutospacing="0" w:after="0" w:afterAutospacing="0"/>
                        <w:jc w:val="both"/>
                        <w:rPr>
                          <w:rFonts w:ascii="Arial" w:hAnsi="Arial" w:cs="Arial"/>
                          <w:color w:val="111111"/>
                          <w:spacing w:val="-6"/>
                        </w:rPr>
                      </w:pPr>
                    </w:p>
                    <w:p w14:paraId="1C29418D" w14:textId="77777777" w:rsidR="00031DC1" w:rsidRDefault="00031DC1"/>
                  </w:txbxContent>
                </v:textbox>
              </v:shape>
            </w:pict>
          </mc:Fallback>
        </mc:AlternateContent>
      </w:r>
      <w:r w:rsidR="00CB4CB4">
        <w:rPr>
          <w:rFonts w:ascii="Arial" w:hAnsi="Arial" w:cs="Arial"/>
          <w:b/>
          <w:bCs/>
          <w:noProof/>
        </w:rPr>
        <mc:AlternateContent>
          <mc:Choice Requires="wps">
            <w:drawing>
              <wp:anchor distT="0" distB="0" distL="114300" distR="114300" simplePos="0" relativeHeight="251609088" behindDoc="1" locked="0" layoutInCell="1" allowOverlap="1" wp14:anchorId="08B20DCA" wp14:editId="439C8023">
                <wp:simplePos x="0" y="0"/>
                <wp:positionH relativeFrom="page">
                  <wp:posOffset>169394</wp:posOffset>
                </wp:positionH>
                <wp:positionV relativeFrom="paragraph">
                  <wp:posOffset>238198</wp:posOffset>
                </wp:positionV>
                <wp:extent cx="4682490" cy="3014560"/>
                <wp:effectExtent l="228600" t="228600" r="251460" b="243205"/>
                <wp:wrapNone/>
                <wp:docPr id="1319781603" name="Text Box 3"/>
                <wp:cNvGraphicFramePr/>
                <a:graphic xmlns:a="http://schemas.openxmlformats.org/drawingml/2006/main">
                  <a:graphicData uri="http://schemas.microsoft.com/office/word/2010/wordprocessingShape">
                    <wps:wsp>
                      <wps:cNvSpPr txBox="1"/>
                      <wps:spPr>
                        <a:xfrm>
                          <a:off x="0" y="0"/>
                          <a:ext cx="4682490" cy="3014560"/>
                        </a:xfrm>
                        <a:prstGeom prst="rect">
                          <a:avLst/>
                        </a:prstGeom>
                        <a:solidFill>
                          <a:schemeClr val="lt1"/>
                        </a:solidFill>
                        <a:ln w="6350">
                          <a:solidFill>
                            <a:schemeClr val="accent1">
                              <a:lumMod val="60000"/>
                              <a:lumOff val="40000"/>
                            </a:schemeClr>
                          </a:solidFill>
                        </a:ln>
                        <a:effectLst>
                          <a:glow rad="228600">
                            <a:schemeClr val="accent4">
                              <a:satMod val="175000"/>
                              <a:alpha val="40000"/>
                            </a:schemeClr>
                          </a:glow>
                        </a:effectLst>
                      </wps:spPr>
                      <wps:txbx>
                        <w:txbxContent>
                          <w:p w14:paraId="246B9728" w14:textId="77777777" w:rsidR="00DC575F" w:rsidRPr="008873F6" w:rsidRDefault="00DC575F" w:rsidP="00DC575F">
                            <w:pPr>
                              <w:spacing w:before="100" w:beforeAutospacing="1" w:after="100" w:afterAutospacing="1" w:line="240" w:lineRule="auto"/>
                              <w:jc w:val="both"/>
                              <w:outlineLvl w:val="2"/>
                              <w:rPr>
                                <w:rFonts w:ascii="Arial" w:eastAsia="Times New Roman" w:hAnsi="Arial" w:cs="Arial"/>
                                <w:b/>
                                <w:bCs/>
                                <w:kern w:val="0"/>
                                <w:lang w:eastAsia="en-GB"/>
                                <w14:ligatures w14:val="none"/>
                              </w:rPr>
                            </w:pPr>
                            <w:r w:rsidRPr="008873F6">
                              <w:rPr>
                                <w:rFonts w:ascii="Arial" w:eastAsia="Times New Roman" w:hAnsi="Arial" w:cs="Arial"/>
                                <w:b/>
                                <w:bCs/>
                                <w:kern w:val="0"/>
                                <w:lang w:eastAsia="en-GB"/>
                                <w14:ligatures w14:val="none"/>
                              </w:rPr>
                              <w:t>Interconnections Between Health, Well-Being, and Lifestyle</w:t>
                            </w:r>
                          </w:p>
                          <w:p w14:paraId="042262E4" w14:textId="77777777" w:rsidR="00CB4CB4" w:rsidRPr="00214CD0" w:rsidRDefault="00CB4CB4" w:rsidP="00CB4CB4">
                            <w:pPr>
                              <w:spacing w:before="100" w:beforeAutospacing="1" w:after="100" w:afterAutospacing="1" w:line="240" w:lineRule="auto"/>
                              <w:jc w:val="both"/>
                              <w:rPr>
                                <w:rFonts w:ascii="Arial" w:eastAsia="Times New Roman" w:hAnsi="Arial" w:cs="Arial"/>
                                <w:color w:val="FF0000"/>
                                <w:kern w:val="0"/>
                                <w:lang w:eastAsia="en-GB"/>
                                <w14:ligatures w14:val="none"/>
                              </w:rPr>
                            </w:pPr>
                            <w:r w:rsidRPr="008873F6">
                              <w:rPr>
                                <w:rFonts w:ascii="Arial" w:eastAsia="Times New Roman" w:hAnsi="Arial" w:cs="Arial"/>
                                <w:kern w:val="0"/>
                                <w:lang w:eastAsia="en-GB"/>
                                <w14:ligatures w14:val="none"/>
                              </w:rPr>
                              <w:t xml:space="preserve">Health, well-being, and lifestyle are intrinsically connected, forming a triad that profoundly influences early childhood development. Research consistently demonstrates how deficits in one area can cascade into challenges in others. For instance, inadequate nutrition can impair cognitive growth, while insufficient sleep disrupts emotional regulation, reducing a child’s capacity for resilience. </w:t>
                            </w:r>
                            <w:r w:rsidRPr="00214CD0">
                              <w:rPr>
                                <w:rFonts w:ascii="Arial" w:eastAsia="Times New Roman" w:hAnsi="Arial" w:cs="Arial"/>
                                <w:kern w:val="0"/>
                                <w:lang w:eastAsia="en-GB"/>
                                <w14:ligatures w14:val="none"/>
                              </w:rPr>
                              <w:t>Cheung, (2018); Scheibe</w:t>
                            </w:r>
                            <w:r w:rsidRPr="00214CD0">
                              <w:rPr>
                                <w:rFonts w:ascii="Arial" w:eastAsia="Times New Roman" w:hAnsi="Arial" w:cs="Arial"/>
                                <w:i/>
                                <w:iCs/>
                                <w:kern w:val="0"/>
                                <w:lang w:eastAsia="en-GB"/>
                                <w14:ligatures w14:val="none"/>
                              </w:rPr>
                              <w:t>, et al,</w:t>
                            </w:r>
                            <w:r w:rsidRPr="00214CD0">
                              <w:rPr>
                                <w:rFonts w:ascii="Arial" w:eastAsia="Times New Roman" w:hAnsi="Arial" w:cs="Arial"/>
                                <w:kern w:val="0"/>
                                <w:lang w:eastAsia="en-GB"/>
                                <w14:ligatures w14:val="none"/>
                              </w:rPr>
                              <w:t xml:space="preserve"> (2020); Bammer</w:t>
                            </w:r>
                            <w:r w:rsidRPr="00214CD0">
                              <w:rPr>
                                <w:rFonts w:ascii="Arial" w:eastAsia="Times New Roman" w:hAnsi="Arial" w:cs="Arial"/>
                                <w:i/>
                                <w:iCs/>
                                <w:kern w:val="0"/>
                                <w:lang w:eastAsia="en-GB"/>
                                <w14:ligatures w14:val="none"/>
                              </w:rPr>
                              <w:t>, et al,</w:t>
                            </w:r>
                            <w:r w:rsidRPr="00214CD0">
                              <w:rPr>
                                <w:rFonts w:ascii="Arial" w:eastAsia="Times New Roman" w:hAnsi="Arial" w:cs="Arial"/>
                                <w:kern w:val="0"/>
                                <w:lang w:eastAsia="en-GB"/>
                                <w14:ligatures w14:val="none"/>
                              </w:rPr>
                              <w:t xml:space="preserve"> (2010); Gross-Manos and Bradshaw, (2022) </w:t>
                            </w:r>
                            <w:r w:rsidRPr="008873F6">
                              <w:rPr>
                                <w:rFonts w:ascii="Arial" w:eastAsia="Times New Roman" w:hAnsi="Arial" w:cs="Arial"/>
                                <w:kern w:val="0"/>
                                <w:lang w:eastAsia="en-GB"/>
                                <w14:ligatures w14:val="none"/>
                              </w:rPr>
                              <w:t>emphasi</w:t>
                            </w:r>
                            <w:r w:rsidRPr="00214CD0">
                              <w:rPr>
                                <w:rFonts w:ascii="Arial" w:eastAsia="Times New Roman" w:hAnsi="Arial" w:cs="Arial"/>
                                <w:kern w:val="0"/>
                                <w:lang w:eastAsia="en-GB"/>
                                <w14:ligatures w14:val="none"/>
                              </w:rPr>
                              <w:t>s</w:t>
                            </w:r>
                            <w:r w:rsidRPr="008873F6">
                              <w:rPr>
                                <w:rFonts w:ascii="Arial" w:eastAsia="Times New Roman" w:hAnsi="Arial" w:cs="Arial"/>
                                <w:kern w:val="0"/>
                                <w:lang w:eastAsia="en-GB"/>
                                <w14:ligatures w14:val="none"/>
                              </w:rPr>
                              <w:t xml:space="preserve">es that these basic needs are foundational to reaching developmental milestones, and their absence can create significant barriers to learning and adaptation. Wilkinson and Marmot (2003) further identify socioeconomic disparities as exacerbating these challenges, as limited resources often hinder access to healthy foods, healthcare, or safe environments for physical activity. </w:t>
                            </w:r>
                          </w:p>
                          <w:p w14:paraId="477CF367" w14:textId="243F75AF" w:rsidR="00120C32" w:rsidRPr="001C6AAD" w:rsidRDefault="00120C32" w:rsidP="00120C32">
                            <w:pPr>
                              <w:pStyle w:val="NormalWeb"/>
                              <w:shd w:val="clear" w:color="auto" w:fill="FFFFFF"/>
                              <w:spacing w:before="0" w:beforeAutospacing="0" w:after="0" w:afterAutospacing="0"/>
                              <w:jc w:val="both"/>
                              <w:rPr>
                                <w:rFonts w:ascii="Arial" w:hAnsi="Arial" w:cs="Arial"/>
                                <w:color w:val="111111"/>
                                <w:spacing w:val="-6"/>
                              </w:rPr>
                            </w:pPr>
                          </w:p>
                          <w:p w14:paraId="57F5F473" w14:textId="77777777" w:rsidR="000247FB" w:rsidRDefault="000247F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B20DCA" id="Text Box 3" o:spid="_x0000_s1028" type="#_x0000_t202" style="position:absolute;left:0;text-align:left;margin-left:13.35pt;margin-top:18.75pt;width:368.7pt;height:237.35pt;z-index:-2517073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Kv4NigIAAFMFAAAOAAAAZHJzL2Uyb0RvYy54bWysVFtv2jAUfp+0/2D5fU2ggbaIUDGqTpO6&#10;tlI79fngOCSS4+PZhqT79Tt2CNBu0qRpPJhzy3c+n4vn112j2E5aV6PO+egs5UxqgUWtNzn//nz7&#10;6ZIz50EXoFDLnL9Kx68XHz/MWzOTY6xQFdIyAtFu1pqcV96bWZI4UckG3BkaqclZom3Ak2o3SWGh&#10;JfRGJeM0nSYt2sJYFNI5st70Tr6I+GUphX8oSyc9Uzknbj6eNp7rcCaLOcw2FkxViz0N+AcWDdSa&#10;kh6gbsAD29r6N6imFhYdlv5MYJNgWdZCxjvQbUbpu9s8VWBkvAsVx5lDmdz/gxX3uyfzaJnvPmNH&#10;DQwFaY2bOTKG+3SlbcI/MWXkpxK+HsomO88EGbPp5Ti7Ipcg33k6yibTWNjk+Lmxzn+R2LAg5NxS&#10;X2K5YHfnPKWk0CEkZHOo6uK2VioqYRbkSlm2A+qi8pEkffEmSmnW5nx6Pkkj8BtfnKYjAgghNaEE&#10;cLVtvmHRI09T+vUTQWaam96cDeaQcuASKZ8kIZ/SAVDGoaNbBWWjsGUWipyPx5cE31MbMHr4nk3W&#10;u8Af2IwuJgc6oEwFf2MTkkVaJxSSYy+D5Lt1x+pAZ+jzGotXar/FfjOcEbc1tegOnH8ES6tAbaX1&#10;9g90lJQg57iXOKvQ/vyTPcTThJKXs5ZWK+fuxxas5Ex91TS7V6MsC7sYlWxyMSbFnnrWpx69bVZI&#10;fR/RQ2JEFEO8V4NYWmxe6BVYhqzkAi0od879IK58v/D0igi5XMYg2j4D/k4/GRGgQ7PCAD53L2DN&#10;fko9Dfg9DksIs3fD2seGLzUutx7LOk5yqHNfVWpGUGhzY1v2r0x4Gk71GHV8Cxe/AAAA//8DAFBL&#10;AwQUAAYACAAAACEAUhl8reEAAAAJAQAADwAAAGRycy9kb3ducmV2LnhtbEyPQUvDQBCF74L/YRnB&#10;m90k2qSk2RQpiCAebKuH3ibZbRKanU2z2zb+e8eTHof3+N43xWqyvbiY0XeOFMSzCISh2umOGgWf&#10;u5eHBQgfkDT2joyCb+NhVd7eFJhrd6WNuWxDIxhCPkcFbQhDLqWvW2PRz9xgiLODGy0GPsdG6hGv&#10;DLe9TKIolRY74oUWB7NuTX3cnq2Cxzc8HU+Hj937Yj3ga7X52svQK3V/Nz0vQQQzhb8y/OqzOpTs&#10;VLkzaS96BUmacZNZ2RwE51n6FIOoFMzjJAFZFvL/B+UPAAAA//8DAFBLAQItABQABgAIAAAAIQC2&#10;gziS/gAAAOEBAAATAAAAAAAAAAAAAAAAAAAAAABbQ29udGVudF9UeXBlc10ueG1sUEsBAi0AFAAG&#10;AAgAAAAhADj9If/WAAAAlAEAAAsAAAAAAAAAAAAAAAAALwEAAF9yZWxzLy5yZWxzUEsBAi0AFAAG&#10;AAgAAAAhADoq/g2KAgAAUwUAAA4AAAAAAAAAAAAAAAAALgIAAGRycy9lMm9Eb2MueG1sUEsBAi0A&#10;FAAGAAgAAAAhAFIZfK3hAAAACQEAAA8AAAAAAAAAAAAAAAAA5AQAAGRycy9kb3ducmV2LnhtbFBL&#10;BQYAAAAABAAEAPMAAADyBQAAAAA=&#10;" fillcolor="white [3201]" strokecolor="#45b0e1 [1940]" strokeweight=".5pt">
                <v:textbox>
                  <w:txbxContent>
                    <w:p w14:paraId="246B9728" w14:textId="77777777" w:rsidR="00DC575F" w:rsidRPr="008873F6" w:rsidRDefault="00DC575F" w:rsidP="00DC575F">
                      <w:pPr>
                        <w:spacing w:before="100" w:beforeAutospacing="1" w:after="100" w:afterAutospacing="1" w:line="240" w:lineRule="auto"/>
                        <w:jc w:val="both"/>
                        <w:outlineLvl w:val="2"/>
                        <w:rPr>
                          <w:rFonts w:ascii="Arial" w:eastAsia="Times New Roman" w:hAnsi="Arial" w:cs="Arial"/>
                          <w:b/>
                          <w:bCs/>
                          <w:kern w:val="0"/>
                          <w:lang w:eastAsia="en-GB"/>
                          <w14:ligatures w14:val="none"/>
                        </w:rPr>
                      </w:pPr>
                      <w:r w:rsidRPr="008873F6">
                        <w:rPr>
                          <w:rFonts w:ascii="Arial" w:eastAsia="Times New Roman" w:hAnsi="Arial" w:cs="Arial"/>
                          <w:b/>
                          <w:bCs/>
                          <w:kern w:val="0"/>
                          <w:lang w:eastAsia="en-GB"/>
                          <w14:ligatures w14:val="none"/>
                        </w:rPr>
                        <w:t>Interconnections Between Health, Well-Being, and Lifestyle</w:t>
                      </w:r>
                    </w:p>
                    <w:p w14:paraId="042262E4" w14:textId="77777777" w:rsidR="00CB4CB4" w:rsidRPr="00214CD0" w:rsidRDefault="00CB4CB4" w:rsidP="00CB4CB4">
                      <w:pPr>
                        <w:spacing w:before="100" w:beforeAutospacing="1" w:after="100" w:afterAutospacing="1" w:line="240" w:lineRule="auto"/>
                        <w:jc w:val="both"/>
                        <w:rPr>
                          <w:rFonts w:ascii="Arial" w:eastAsia="Times New Roman" w:hAnsi="Arial" w:cs="Arial"/>
                          <w:color w:val="FF0000"/>
                          <w:kern w:val="0"/>
                          <w:lang w:eastAsia="en-GB"/>
                          <w14:ligatures w14:val="none"/>
                        </w:rPr>
                      </w:pPr>
                      <w:r w:rsidRPr="008873F6">
                        <w:rPr>
                          <w:rFonts w:ascii="Arial" w:eastAsia="Times New Roman" w:hAnsi="Arial" w:cs="Arial"/>
                          <w:kern w:val="0"/>
                          <w:lang w:eastAsia="en-GB"/>
                          <w14:ligatures w14:val="none"/>
                        </w:rPr>
                        <w:t xml:space="preserve">Health, well-being, and lifestyle are intrinsically connected, forming a triad that profoundly influences early childhood development. Research consistently demonstrates how deficits in one area can cascade into challenges in others. For instance, inadequate nutrition can impair cognitive growth, while insufficient sleep disrupts emotional regulation, reducing a child’s capacity for resilience. </w:t>
                      </w:r>
                      <w:r w:rsidRPr="00214CD0">
                        <w:rPr>
                          <w:rFonts w:ascii="Arial" w:eastAsia="Times New Roman" w:hAnsi="Arial" w:cs="Arial"/>
                          <w:kern w:val="0"/>
                          <w:lang w:eastAsia="en-GB"/>
                          <w14:ligatures w14:val="none"/>
                        </w:rPr>
                        <w:t>Cheung, (2018); Scheibe</w:t>
                      </w:r>
                      <w:r w:rsidRPr="00214CD0">
                        <w:rPr>
                          <w:rFonts w:ascii="Arial" w:eastAsia="Times New Roman" w:hAnsi="Arial" w:cs="Arial"/>
                          <w:i/>
                          <w:iCs/>
                          <w:kern w:val="0"/>
                          <w:lang w:eastAsia="en-GB"/>
                          <w14:ligatures w14:val="none"/>
                        </w:rPr>
                        <w:t>, et al,</w:t>
                      </w:r>
                      <w:r w:rsidRPr="00214CD0">
                        <w:rPr>
                          <w:rFonts w:ascii="Arial" w:eastAsia="Times New Roman" w:hAnsi="Arial" w:cs="Arial"/>
                          <w:kern w:val="0"/>
                          <w:lang w:eastAsia="en-GB"/>
                          <w14:ligatures w14:val="none"/>
                        </w:rPr>
                        <w:t xml:space="preserve"> (2020); Bammer</w:t>
                      </w:r>
                      <w:r w:rsidRPr="00214CD0">
                        <w:rPr>
                          <w:rFonts w:ascii="Arial" w:eastAsia="Times New Roman" w:hAnsi="Arial" w:cs="Arial"/>
                          <w:i/>
                          <w:iCs/>
                          <w:kern w:val="0"/>
                          <w:lang w:eastAsia="en-GB"/>
                          <w14:ligatures w14:val="none"/>
                        </w:rPr>
                        <w:t>, et al,</w:t>
                      </w:r>
                      <w:r w:rsidRPr="00214CD0">
                        <w:rPr>
                          <w:rFonts w:ascii="Arial" w:eastAsia="Times New Roman" w:hAnsi="Arial" w:cs="Arial"/>
                          <w:kern w:val="0"/>
                          <w:lang w:eastAsia="en-GB"/>
                          <w14:ligatures w14:val="none"/>
                        </w:rPr>
                        <w:t xml:space="preserve"> (2010); Gross-Manos and Bradshaw, (2022) </w:t>
                      </w:r>
                      <w:r w:rsidRPr="008873F6">
                        <w:rPr>
                          <w:rFonts w:ascii="Arial" w:eastAsia="Times New Roman" w:hAnsi="Arial" w:cs="Arial"/>
                          <w:kern w:val="0"/>
                          <w:lang w:eastAsia="en-GB"/>
                          <w14:ligatures w14:val="none"/>
                        </w:rPr>
                        <w:t>emphasi</w:t>
                      </w:r>
                      <w:r w:rsidRPr="00214CD0">
                        <w:rPr>
                          <w:rFonts w:ascii="Arial" w:eastAsia="Times New Roman" w:hAnsi="Arial" w:cs="Arial"/>
                          <w:kern w:val="0"/>
                          <w:lang w:eastAsia="en-GB"/>
                          <w14:ligatures w14:val="none"/>
                        </w:rPr>
                        <w:t>s</w:t>
                      </w:r>
                      <w:r w:rsidRPr="008873F6">
                        <w:rPr>
                          <w:rFonts w:ascii="Arial" w:eastAsia="Times New Roman" w:hAnsi="Arial" w:cs="Arial"/>
                          <w:kern w:val="0"/>
                          <w:lang w:eastAsia="en-GB"/>
                          <w14:ligatures w14:val="none"/>
                        </w:rPr>
                        <w:t xml:space="preserve">es that these basic needs are foundational to reaching developmental milestones, and their absence can create significant barriers to learning and adaptation. Wilkinson and Marmot (2003) further identify socioeconomic disparities as exacerbating these challenges, as limited resources often hinder access to healthy foods, healthcare, or safe environments for physical activity. </w:t>
                      </w:r>
                    </w:p>
                    <w:p w14:paraId="477CF367" w14:textId="243F75AF" w:rsidR="00120C32" w:rsidRPr="001C6AAD" w:rsidRDefault="00120C32" w:rsidP="00120C32">
                      <w:pPr>
                        <w:pStyle w:val="NormalWeb"/>
                        <w:shd w:val="clear" w:color="auto" w:fill="FFFFFF"/>
                        <w:spacing w:before="0" w:beforeAutospacing="0" w:after="0" w:afterAutospacing="0"/>
                        <w:jc w:val="both"/>
                        <w:rPr>
                          <w:rFonts w:ascii="Arial" w:hAnsi="Arial" w:cs="Arial"/>
                          <w:color w:val="111111"/>
                          <w:spacing w:val="-6"/>
                        </w:rPr>
                      </w:pPr>
                    </w:p>
                    <w:p w14:paraId="57F5F473" w14:textId="77777777" w:rsidR="000247FB" w:rsidRDefault="000247FB"/>
                  </w:txbxContent>
                </v:textbox>
                <w10:wrap anchorx="page"/>
              </v:shape>
            </w:pict>
          </mc:Fallback>
        </mc:AlternateContent>
      </w:r>
    </w:p>
    <w:p w14:paraId="3B37F607" w14:textId="590D7AE4" w:rsidR="00E6100E" w:rsidRDefault="00E6100E" w:rsidP="00E6100E">
      <w:pPr>
        <w:jc w:val="center"/>
        <w:rPr>
          <w:rFonts w:ascii="Arial" w:hAnsi="Arial" w:cs="Arial"/>
          <w:b/>
          <w:bCs/>
        </w:rPr>
      </w:pPr>
    </w:p>
    <w:p w14:paraId="330A1600" w14:textId="1C1309C4" w:rsidR="00E6100E" w:rsidRDefault="00E6100E" w:rsidP="00E6100E">
      <w:pPr>
        <w:jc w:val="center"/>
        <w:rPr>
          <w:rFonts w:ascii="Arial" w:hAnsi="Arial" w:cs="Arial"/>
          <w:b/>
          <w:bCs/>
        </w:rPr>
      </w:pPr>
    </w:p>
    <w:p w14:paraId="3B2E9390" w14:textId="546CCED4" w:rsidR="00E6100E" w:rsidRDefault="00E6100E" w:rsidP="00E6100E">
      <w:pPr>
        <w:jc w:val="center"/>
        <w:rPr>
          <w:rFonts w:ascii="Arial" w:hAnsi="Arial" w:cs="Arial"/>
          <w:b/>
          <w:bCs/>
        </w:rPr>
      </w:pPr>
    </w:p>
    <w:p w14:paraId="1A8544E5" w14:textId="5AE5429B" w:rsidR="00E6100E" w:rsidRDefault="00E6100E" w:rsidP="00E6100E">
      <w:pPr>
        <w:jc w:val="center"/>
        <w:rPr>
          <w:rFonts w:ascii="Arial" w:hAnsi="Arial" w:cs="Arial"/>
          <w:b/>
          <w:bCs/>
        </w:rPr>
      </w:pPr>
    </w:p>
    <w:p w14:paraId="0760A44B" w14:textId="634B38E9" w:rsidR="005D7E2F" w:rsidRDefault="004524E6" w:rsidP="005D7E2F">
      <w:pPr>
        <w:rPr>
          <w:rFonts w:ascii="Arial" w:hAnsi="Arial" w:cs="Arial"/>
          <w:b/>
          <w:bCs/>
        </w:rPr>
      </w:pPr>
      <w:r>
        <w:rPr>
          <w:rFonts w:ascii="Arial" w:hAnsi="Arial" w:cs="Arial"/>
          <w:b/>
          <w:bCs/>
          <w:noProof/>
        </w:rPr>
        <w:drawing>
          <wp:anchor distT="0" distB="0" distL="114300" distR="114300" simplePos="0" relativeHeight="251700224" behindDoc="0" locked="0" layoutInCell="1" allowOverlap="1" wp14:anchorId="16746F24" wp14:editId="07204C55">
            <wp:simplePos x="0" y="0"/>
            <wp:positionH relativeFrom="column">
              <wp:posOffset>-167868</wp:posOffset>
            </wp:positionH>
            <wp:positionV relativeFrom="paragraph">
              <wp:posOffset>1939135</wp:posOffset>
            </wp:positionV>
            <wp:extent cx="3413760" cy="1139825"/>
            <wp:effectExtent l="0" t="0" r="0" b="3175"/>
            <wp:wrapNone/>
            <wp:docPr id="210030552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13760" cy="1139825"/>
                    </a:xfrm>
                    <a:prstGeom prst="rect">
                      <a:avLst/>
                    </a:prstGeom>
                    <a:noFill/>
                  </pic:spPr>
                </pic:pic>
              </a:graphicData>
            </a:graphic>
          </wp:anchor>
        </w:drawing>
      </w:r>
      <w:r w:rsidR="002F482A">
        <w:rPr>
          <w:rFonts w:ascii="Arial" w:hAnsi="Arial" w:cs="Arial"/>
          <w:b/>
          <w:bCs/>
        </w:rPr>
        <w:br w:type="page"/>
      </w:r>
    </w:p>
    <w:p w14:paraId="28E491FD" w14:textId="36472B0C" w:rsidR="005D7E2F" w:rsidRDefault="009F46A1" w:rsidP="005D7E2F">
      <w:pPr>
        <w:rPr>
          <w:rFonts w:ascii="Arial" w:hAnsi="Arial" w:cs="Arial"/>
          <w:b/>
          <w:bCs/>
        </w:rPr>
      </w:pPr>
      <w:r>
        <w:rPr>
          <w:rFonts w:ascii="Arial" w:hAnsi="Arial" w:cs="Arial"/>
          <w:b/>
          <w:bCs/>
          <w:noProof/>
        </w:rPr>
        <w:lastRenderedPageBreak/>
        <mc:AlternateContent>
          <mc:Choice Requires="wps">
            <w:drawing>
              <wp:anchor distT="0" distB="0" distL="114300" distR="114300" simplePos="0" relativeHeight="251639808" behindDoc="0" locked="0" layoutInCell="1" allowOverlap="1" wp14:anchorId="44C83741" wp14:editId="231AC080">
                <wp:simplePos x="0" y="0"/>
                <wp:positionH relativeFrom="page">
                  <wp:posOffset>5168991</wp:posOffset>
                </wp:positionH>
                <wp:positionV relativeFrom="paragraph">
                  <wp:posOffset>-138023</wp:posOffset>
                </wp:positionV>
                <wp:extent cx="5395947" cy="5948533"/>
                <wp:effectExtent l="228600" t="228600" r="243205" b="243205"/>
                <wp:wrapNone/>
                <wp:docPr id="1504777030" name="Text Box 5"/>
                <wp:cNvGraphicFramePr/>
                <a:graphic xmlns:a="http://schemas.openxmlformats.org/drawingml/2006/main">
                  <a:graphicData uri="http://schemas.microsoft.com/office/word/2010/wordprocessingShape">
                    <wps:wsp>
                      <wps:cNvSpPr txBox="1"/>
                      <wps:spPr>
                        <a:xfrm>
                          <a:off x="0" y="0"/>
                          <a:ext cx="5395947" cy="5948533"/>
                        </a:xfrm>
                        <a:prstGeom prst="rect">
                          <a:avLst/>
                        </a:prstGeom>
                        <a:solidFill>
                          <a:schemeClr val="lt1"/>
                        </a:solidFill>
                        <a:ln w="6350">
                          <a:solidFill>
                            <a:schemeClr val="accent4">
                              <a:lumMod val="60000"/>
                              <a:lumOff val="40000"/>
                            </a:schemeClr>
                          </a:solidFill>
                        </a:ln>
                        <a:effectLst>
                          <a:glow rad="228600">
                            <a:schemeClr val="accent4">
                              <a:satMod val="175000"/>
                              <a:alpha val="40000"/>
                            </a:schemeClr>
                          </a:glow>
                        </a:effectLst>
                      </wps:spPr>
                      <wps:txbx>
                        <w:txbxContent>
                          <w:p w14:paraId="6E522410" w14:textId="4CEF8CB8" w:rsidR="00561D44" w:rsidRPr="008873F6" w:rsidRDefault="00FC6EC6" w:rsidP="00561D44">
                            <w:pPr>
                              <w:spacing w:before="100" w:beforeAutospacing="1" w:after="100" w:afterAutospacing="1" w:line="240" w:lineRule="auto"/>
                              <w:jc w:val="both"/>
                              <w:outlineLvl w:val="2"/>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                                               </w:t>
                            </w:r>
                            <w:r w:rsidR="00561D44" w:rsidRPr="008873F6">
                              <w:rPr>
                                <w:rFonts w:ascii="Arial" w:eastAsia="Times New Roman" w:hAnsi="Arial" w:cs="Arial"/>
                                <w:b/>
                                <w:bCs/>
                                <w:kern w:val="0"/>
                                <w:lang w:eastAsia="en-GB"/>
                                <w14:ligatures w14:val="none"/>
                              </w:rPr>
                              <w:t>Defining Well-Being</w:t>
                            </w:r>
                          </w:p>
                          <w:p w14:paraId="603E7C1C" w14:textId="77777777" w:rsidR="00561D44" w:rsidRPr="00776E37" w:rsidRDefault="00561D44" w:rsidP="00561D44">
                            <w:pPr>
                              <w:spacing w:before="100" w:beforeAutospacing="1" w:after="100" w:afterAutospacing="1" w:line="240" w:lineRule="auto"/>
                              <w:rPr>
                                <w:rFonts w:ascii="Arial" w:eastAsia="Times New Roman" w:hAnsi="Arial" w:cs="Arial"/>
                                <w:color w:val="FF0000"/>
                                <w:kern w:val="0"/>
                                <w:lang w:eastAsia="en-GB"/>
                                <w14:ligatures w14:val="none"/>
                              </w:rPr>
                            </w:pPr>
                            <w:r w:rsidRPr="00776E37">
                              <w:rPr>
                                <w:rFonts w:ascii="Arial" w:eastAsia="Times New Roman" w:hAnsi="Arial" w:cs="Arial"/>
                                <w:kern w:val="0"/>
                                <w:lang w:eastAsia="en-GB"/>
                                <w14:ligatures w14:val="none"/>
                              </w:rPr>
                              <w:t xml:space="preserve">Well-being is a broad concept that encompasses physical health, social and emotional security, intellectual growth, and spiritual development. </w:t>
                            </w:r>
                            <w:r w:rsidRPr="00860133">
                              <w:rPr>
                                <w:rFonts w:ascii="Arial" w:eastAsia="Times New Roman" w:hAnsi="Arial" w:cs="Arial"/>
                                <w:kern w:val="0"/>
                                <w:lang w:eastAsia="en-GB"/>
                                <w14:ligatures w14:val="none"/>
                              </w:rPr>
                              <w:t xml:space="preserve">Hughes </w:t>
                            </w:r>
                            <w:r w:rsidRPr="00860133">
                              <w:rPr>
                                <w:rFonts w:ascii="Arial" w:eastAsia="Times New Roman" w:hAnsi="Arial" w:cs="Arial"/>
                                <w:i/>
                                <w:iCs/>
                                <w:kern w:val="0"/>
                                <w:lang w:eastAsia="en-GB"/>
                                <w14:ligatures w14:val="none"/>
                              </w:rPr>
                              <w:t>et al.</w:t>
                            </w:r>
                            <w:r w:rsidRPr="00776E37">
                              <w:rPr>
                                <w:rFonts w:ascii="Arial" w:eastAsia="Times New Roman" w:hAnsi="Arial" w:cs="Arial"/>
                                <w:kern w:val="0"/>
                                <w:lang w:eastAsia="en-GB"/>
                                <w14:ligatures w14:val="none"/>
                              </w:rPr>
                              <w:t xml:space="preserve"> (2012) argue that children’s well-being is both a state and a process, involving contentment, resilience, and meaningful connections. This reflects the Welsh Government’s (2022</w:t>
                            </w:r>
                            <w:r w:rsidRPr="00550F7B">
                              <w:rPr>
                                <w:rFonts w:ascii="Arial" w:eastAsia="Times New Roman" w:hAnsi="Arial" w:cs="Arial"/>
                                <w:kern w:val="0"/>
                                <w:lang w:eastAsia="en-GB"/>
                                <w14:ligatures w14:val="none"/>
                              </w:rPr>
                              <w:t>, 2020 and 2015</w:t>
                            </w:r>
                            <w:r w:rsidRPr="00776E37">
                              <w:rPr>
                                <w:rFonts w:ascii="Arial" w:eastAsia="Times New Roman" w:hAnsi="Arial" w:cs="Arial"/>
                                <w:kern w:val="0"/>
                                <w:lang w:eastAsia="en-GB"/>
                                <w14:ligatures w14:val="none"/>
                              </w:rPr>
                              <w:t>) holistic view, which frames well-being as achieving balance across physical, mental, and emotional domains.</w:t>
                            </w:r>
                          </w:p>
                          <w:p w14:paraId="582C3994" w14:textId="77777777" w:rsidR="00561D44" w:rsidRPr="00776E37" w:rsidRDefault="00561D44" w:rsidP="00561D44">
                            <w:pPr>
                              <w:spacing w:before="100" w:beforeAutospacing="1" w:after="100" w:afterAutospacing="1" w:line="240" w:lineRule="auto"/>
                              <w:jc w:val="both"/>
                              <w:rPr>
                                <w:rFonts w:ascii="Arial" w:eastAsia="Times New Roman" w:hAnsi="Arial" w:cs="Arial"/>
                                <w:kern w:val="0"/>
                                <w:lang w:eastAsia="en-GB"/>
                                <w14:ligatures w14:val="none"/>
                              </w:rPr>
                            </w:pPr>
                            <w:r w:rsidRPr="00776E37">
                              <w:rPr>
                                <w:rFonts w:ascii="Arial" w:eastAsia="Times New Roman" w:hAnsi="Arial" w:cs="Arial"/>
                                <w:kern w:val="0"/>
                                <w:lang w:eastAsia="en-GB"/>
                                <w14:ligatures w14:val="none"/>
                              </w:rPr>
                              <w:t>A useful way to understand well-being is through Maslow’s Hierarchy of Needs</w:t>
                            </w:r>
                            <w:r>
                              <w:rPr>
                                <w:rFonts w:ascii="Arial" w:eastAsia="Times New Roman" w:hAnsi="Arial" w:cs="Arial"/>
                                <w:kern w:val="0"/>
                                <w:lang w:eastAsia="en-GB"/>
                                <w14:ligatures w14:val="none"/>
                              </w:rPr>
                              <w:t xml:space="preserve"> (Maslow, 1943) </w:t>
                            </w:r>
                            <w:r w:rsidRPr="00776E37">
                              <w:rPr>
                                <w:rFonts w:ascii="Arial" w:eastAsia="Times New Roman" w:hAnsi="Arial" w:cs="Arial"/>
                                <w:kern w:val="0"/>
                                <w:lang w:eastAsia="en-GB"/>
                                <w14:ligatures w14:val="none"/>
                              </w:rPr>
                              <w:t>Maslow proposed that people must first meet basic needs—such as food, shelter, and safety—before achieving higher-order goals like learning, building relationships, and personal fulfilment (McLeod, 20</w:t>
                            </w:r>
                            <w:r w:rsidRPr="006D094B">
                              <w:rPr>
                                <w:rFonts w:ascii="Arial" w:eastAsia="Times New Roman" w:hAnsi="Arial" w:cs="Arial"/>
                                <w:kern w:val="0"/>
                                <w:lang w:eastAsia="en-GB"/>
                                <w14:ligatures w14:val="none"/>
                              </w:rPr>
                              <w:t>24</w:t>
                            </w:r>
                            <w:r w:rsidRPr="00776E37">
                              <w:rPr>
                                <w:rFonts w:ascii="Arial" w:eastAsia="Times New Roman" w:hAnsi="Arial" w:cs="Arial"/>
                                <w:kern w:val="0"/>
                                <w:lang w:eastAsia="en-GB"/>
                                <w14:ligatures w14:val="none"/>
                              </w:rPr>
                              <w:t>). In early childhood, practitioners focus on meeting these foundational needs, ensuring that children feel secure, nourished, and supported. Without these conditions, children may struggle to engage in higher levels of development, such as creative thinking or forming meaningful connections. Moreover, the hierarchy underscores the critical interdependence of well-being components, highlighting how unmet basic needs can lead to long-term developmental challenges (McLeod, 20</w:t>
                            </w:r>
                            <w:r w:rsidRPr="006D094B">
                              <w:rPr>
                                <w:rFonts w:ascii="Arial" w:eastAsia="Times New Roman" w:hAnsi="Arial" w:cs="Arial"/>
                                <w:kern w:val="0"/>
                                <w:lang w:eastAsia="en-GB"/>
                                <w14:ligatures w14:val="none"/>
                              </w:rPr>
                              <w:t>24</w:t>
                            </w:r>
                            <w:r w:rsidRPr="00776E37">
                              <w:rPr>
                                <w:rFonts w:ascii="Arial" w:eastAsia="Times New Roman" w:hAnsi="Arial" w:cs="Arial"/>
                                <w:kern w:val="0"/>
                                <w:lang w:eastAsia="en-GB"/>
                                <w14:ligatures w14:val="none"/>
                              </w:rPr>
                              <w:t>).</w:t>
                            </w:r>
                          </w:p>
                          <w:p w14:paraId="33A9C2D3" w14:textId="77777777" w:rsidR="00561D44" w:rsidRPr="00776E37" w:rsidRDefault="00561D44" w:rsidP="00561D44">
                            <w:pPr>
                              <w:spacing w:before="100" w:beforeAutospacing="1" w:after="100" w:afterAutospacing="1" w:line="240" w:lineRule="auto"/>
                              <w:jc w:val="both"/>
                              <w:rPr>
                                <w:rFonts w:ascii="Arial" w:eastAsia="Times New Roman" w:hAnsi="Arial" w:cs="Arial"/>
                                <w:kern w:val="0"/>
                                <w:lang w:eastAsia="en-GB"/>
                                <w14:ligatures w14:val="none"/>
                              </w:rPr>
                            </w:pPr>
                            <w:r w:rsidRPr="00776E37">
                              <w:rPr>
                                <w:rFonts w:ascii="Arial" w:eastAsia="Times New Roman" w:hAnsi="Arial" w:cs="Arial"/>
                                <w:kern w:val="0"/>
                                <w:lang w:eastAsia="en-GB"/>
                                <w14:ligatures w14:val="none"/>
                              </w:rPr>
                              <w:t>Huta (201</w:t>
                            </w:r>
                            <w:r w:rsidRPr="00F06251">
                              <w:rPr>
                                <w:rFonts w:ascii="Arial" w:eastAsia="Times New Roman" w:hAnsi="Arial" w:cs="Arial"/>
                                <w:kern w:val="0"/>
                                <w:lang w:eastAsia="en-GB"/>
                                <w14:ligatures w14:val="none"/>
                              </w:rPr>
                              <w:t>4</w:t>
                            </w:r>
                            <w:r w:rsidRPr="00776E37">
                              <w:rPr>
                                <w:rFonts w:ascii="Arial" w:eastAsia="Times New Roman" w:hAnsi="Arial" w:cs="Arial"/>
                                <w:kern w:val="0"/>
                                <w:lang w:eastAsia="en-GB"/>
                                <w14:ligatures w14:val="none"/>
                              </w:rPr>
                              <w:t xml:space="preserve">) adds that well-being involves two dimensions: hedonic (pleasure and happiness) and eudaimonic (growth and purpose). Children need both types to flourish. For example, playful activities may enhance hedonic well-being, while tasks requiring problem-solving encourage eudaimonic growth. Disabato </w:t>
                            </w:r>
                            <w:r w:rsidRPr="00776E37">
                              <w:rPr>
                                <w:rFonts w:ascii="Arial" w:eastAsia="Times New Roman" w:hAnsi="Arial" w:cs="Arial"/>
                                <w:i/>
                                <w:iCs/>
                                <w:kern w:val="0"/>
                                <w:lang w:eastAsia="en-GB"/>
                                <w14:ligatures w14:val="none"/>
                              </w:rPr>
                              <w:t>et al.</w:t>
                            </w:r>
                            <w:r w:rsidRPr="00776E37">
                              <w:rPr>
                                <w:rFonts w:ascii="Arial" w:eastAsia="Times New Roman" w:hAnsi="Arial" w:cs="Arial"/>
                                <w:kern w:val="0"/>
                                <w:lang w:eastAsia="en-GB"/>
                                <w14:ligatures w14:val="none"/>
                              </w:rPr>
                              <w:t xml:space="preserve"> (2016) support this balanced approach, arguing that blending both dimensions results in stronger overall development. Furthermore, eudaimonic activities, such as fostering creativity or setting achievable challenges, allow children to build a sense of purpose and self-worth, which are critical for their long-term resilience and self-esteem. Well-being during childhood not only enhances life in the present but also builds resilience, giving children the ability to handle future challenges effectively.</w:t>
                            </w:r>
                          </w:p>
                          <w:p w14:paraId="12A3ED40" w14:textId="77777777" w:rsidR="00561D44" w:rsidRPr="00BA18C6" w:rsidRDefault="00561D44" w:rsidP="00561D44">
                            <w:pPr>
                              <w:spacing w:before="100" w:beforeAutospacing="1" w:after="100" w:afterAutospacing="1" w:line="240" w:lineRule="auto"/>
                              <w:rPr>
                                <w:rFonts w:ascii="Arial" w:eastAsia="Times New Roman" w:hAnsi="Arial" w:cs="Arial"/>
                                <w:kern w:val="0"/>
                                <w:lang w:eastAsia="en-GB"/>
                                <w14:ligatures w14:val="none"/>
                              </w:rPr>
                            </w:pPr>
                            <w:r w:rsidRPr="00776E37">
                              <w:rPr>
                                <w:rFonts w:ascii="Arial" w:eastAsia="Times New Roman" w:hAnsi="Arial" w:cs="Arial"/>
                                <w:kern w:val="0"/>
                                <w:lang w:eastAsia="en-GB"/>
                                <w14:ligatures w14:val="none"/>
                              </w:rPr>
                              <w:t>Well-being is a multifaceted concept central to overall human development, particularly in early childhood. It is not simply the absence of illness but rather a positive state of physical, emotional, and social health (WHO, 202</w:t>
                            </w:r>
                            <w:r>
                              <w:rPr>
                                <w:rFonts w:ascii="Arial" w:eastAsia="Times New Roman" w:hAnsi="Arial" w:cs="Arial"/>
                                <w:kern w:val="0"/>
                                <w:lang w:eastAsia="en-GB"/>
                                <w14:ligatures w14:val="none"/>
                              </w:rPr>
                              <w:t>3 and 2024</w:t>
                            </w:r>
                            <w:r w:rsidRPr="00776E37">
                              <w:rPr>
                                <w:rFonts w:ascii="Arial" w:eastAsia="Times New Roman" w:hAnsi="Arial" w:cs="Arial"/>
                                <w:kern w:val="0"/>
                                <w:lang w:eastAsia="en-GB"/>
                                <w14:ligatures w14:val="none"/>
                              </w:rPr>
                              <w:t xml:space="preserve">). Dodge </w:t>
                            </w:r>
                            <w:r w:rsidRPr="00776E37">
                              <w:rPr>
                                <w:rFonts w:ascii="Arial" w:eastAsia="Times New Roman" w:hAnsi="Arial" w:cs="Arial"/>
                                <w:i/>
                                <w:iCs/>
                                <w:kern w:val="0"/>
                                <w:lang w:eastAsia="en-GB"/>
                                <w14:ligatures w14:val="none"/>
                              </w:rPr>
                              <w:t>et al.</w:t>
                            </w:r>
                            <w:r w:rsidRPr="00776E37">
                              <w:rPr>
                                <w:rFonts w:ascii="Arial" w:eastAsia="Times New Roman" w:hAnsi="Arial" w:cs="Arial"/>
                                <w:kern w:val="0"/>
                                <w:lang w:eastAsia="en-GB"/>
                                <w14:ligatures w14:val="none"/>
                              </w:rPr>
                              <w:t xml:space="preserve"> (2012) describe well-being as a dynamic equilibrium between the challenges individuals face and the resources they possess. This perspective underscores the importance of providing children with supportive environments that nurture their holistic development. Supportive environments, particularly those established in educational and childcare settings, can act as protective factors against adverse childhood experiences (ACEs), helping children navigate complex challenges effectively</w:t>
                            </w:r>
                            <w:r w:rsidRPr="004E1D46">
                              <w:rPr>
                                <w:rFonts w:ascii="Arial" w:hAnsi="Arial" w:cs="Arial"/>
                                <w:color w:val="FF0000"/>
                                <w:shd w:val="clear" w:color="auto" w:fill="FFFFFF"/>
                              </w:rPr>
                              <w:t xml:space="preserve"> </w:t>
                            </w:r>
                            <w:r w:rsidRPr="00501309">
                              <w:rPr>
                                <w:rFonts w:ascii="Arial" w:hAnsi="Arial" w:cs="Arial"/>
                                <w:shd w:val="clear" w:color="auto" w:fill="FFFFFF"/>
                              </w:rPr>
                              <w:t>(Kalmakis and Chandler, 2015; Monnat and Chandler, 2015).</w:t>
                            </w:r>
                          </w:p>
                          <w:p w14:paraId="35D16680" w14:textId="77777777" w:rsidR="00561D44" w:rsidRPr="00776E37" w:rsidRDefault="00561D44" w:rsidP="00561D44">
                            <w:pPr>
                              <w:spacing w:before="100" w:beforeAutospacing="1" w:after="100" w:afterAutospacing="1" w:line="240" w:lineRule="auto"/>
                              <w:jc w:val="both"/>
                              <w:rPr>
                                <w:rFonts w:ascii="Arial" w:eastAsia="Times New Roman" w:hAnsi="Arial" w:cs="Arial"/>
                                <w:kern w:val="0"/>
                                <w:lang w:eastAsia="en-GB"/>
                                <w14:ligatures w14:val="none"/>
                              </w:rPr>
                            </w:pPr>
                          </w:p>
                          <w:p w14:paraId="3D560375" w14:textId="77777777" w:rsidR="00561D44" w:rsidRPr="00776E37" w:rsidRDefault="00561D44" w:rsidP="00561D44">
                            <w:pPr>
                              <w:spacing w:before="100" w:beforeAutospacing="1" w:after="100" w:afterAutospacing="1" w:line="240" w:lineRule="auto"/>
                              <w:rPr>
                                <w:rFonts w:ascii="Arial" w:eastAsia="Times New Roman" w:hAnsi="Arial" w:cs="Arial"/>
                                <w:kern w:val="0"/>
                                <w:lang w:eastAsia="en-GB"/>
                                <w14:ligatures w14:val="none"/>
                              </w:rPr>
                            </w:pPr>
                            <w:r w:rsidRPr="00776E37">
                              <w:rPr>
                                <w:rFonts w:ascii="Arial" w:eastAsia="Times New Roman" w:hAnsi="Arial" w:cs="Arial"/>
                                <w:kern w:val="0"/>
                                <w:lang w:eastAsia="en-GB"/>
                                <w14:ligatures w14:val="none"/>
                              </w:rPr>
                              <w:t>In early childhood, social well-being is closely linked to the quality of relationships with caregivers and peers. Positive interactions provide children with a sense of security, fostering emotional stability and social competence. Research by</w:t>
                            </w:r>
                            <w:r>
                              <w:rPr>
                                <w:rFonts w:ascii="Arial" w:eastAsia="Times New Roman" w:hAnsi="Arial" w:cs="Arial"/>
                                <w:kern w:val="0"/>
                                <w:lang w:eastAsia="en-GB"/>
                                <w14:ligatures w14:val="none"/>
                              </w:rPr>
                              <w:t xml:space="preserve"> </w:t>
                            </w:r>
                            <w:r w:rsidRPr="00C14C10">
                              <w:rPr>
                                <w:rFonts w:ascii="Arial" w:hAnsi="Arial" w:cs="Arial"/>
                                <w:shd w:val="clear" w:color="auto" w:fill="FFFFFF"/>
                              </w:rPr>
                              <w:t>Howells, </w:t>
                            </w:r>
                            <w:r w:rsidRPr="00C14C10">
                              <w:rPr>
                                <w:rFonts w:ascii="Arial" w:hAnsi="Arial" w:cs="Arial"/>
                                <w:i/>
                                <w:iCs/>
                                <w:shd w:val="clear" w:color="auto" w:fill="FFFFFF"/>
                              </w:rPr>
                              <w:t>et al.,</w:t>
                            </w:r>
                            <w:r w:rsidRPr="00C14C10">
                              <w:rPr>
                                <w:rFonts w:ascii="Arial" w:hAnsi="Arial" w:cs="Arial"/>
                                <w:shd w:val="clear" w:color="auto" w:fill="FFFFFF"/>
                              </w:rPr>
                              <w:t> (2023); Miljević-Riðički, Plantak and Bouillet, (2017); Westphaln, </w:t>
                            </w:r>
                            <w:r w:rsidRPr="00C14C10">
                              <w:rPr>
                                <w:rFonts w:ascii="Arial" w:hAnsi="Arial" w:cs="Arial"/>
                                <w:i/>
                                <w:iCs/>
                                <w:shd w:val="clear" w:color="auto" w:fill="FFFFFF"/>
                              </w:rPr>
                              <w:t>et al.,</w:t>
                            </w:r>
                            <w:r w:rsidRPr="00C14C10">
                              <w:rPr>
                                <w:rFonts w:ascii="Arial" w:hAnsi="Arial" w:cs="Arial"/>
                                <w:shd w:val="clear" w:color="auto" w:fill="FFFFFF"/>
                              </w:rPr>
                              <w:t xml:space="preserve"> (2022); Oberle, </w:t>
                            </w:r>
                            <w:r w:rsidRPr="00C14C10">
                              <w:rPr>
                                <w:rFonts w:ascii="Arial" w:hAnsi="Arial" w:cs="Arial"/>
                                <w:i/>
                                <w:iCs/>
                                <w:shd w:val="clear" w:color="auto" w:fill="FFFFFF"/>
                              </w:rPr>
                              <w:t>et al.,</w:t>
                            </w:r>
                            <w:r w:rsidRPr="00C14C10">
                              <w:rPr>
                                <w:rFonts w:ascii="Arial" w:hAnsi="Arial" w:cs="Arial"/>
                                <w:shd w:val="clear" w:color="auto" w:fill="FFFFFF"/>
                              </w:rPr>
                              <w:t xml:space="preserve"> (2014) </w:t>
                            </w:r>
                            <w:r w:rsidRPr="00776E37">
                              <w:rPr>
                                <w:rFonts w:ascii="Arial" w:eastAsia="Times New Roman" w:hAnsi="Arial" w:cs="Arial"/>
                                <w:kern w:val="0"/>
                                <w:lang w:eastAsia="en-GB"/>
                                <w14:ligatures w14:val="none"/>
                              </w:rPr>
                              <w:t>highlights the role of supportive relationships in promoting resilience and emotional regulation, key aspects of well-being. Additionally, emotional well-being in early years is associated with the ability to recognize and manage feelings, skills that practitioners can foster through structured emotional literacy programs</w:t>
                            </w:r>
                            <w:r w:rsidRPr="00204C8B">
                              <w:rPr>
                                <w:rFonts w:ascii="Arial" w:eastAsia="Times New Roman" w:hAnsi="Arial" w:cs="Arial"/>
                                <w:color w:val="FF0000"/>
                                <w:kern w:val="0"/>
                                <w:lang w:eastAsia="en-GB"/>
                                <w14:ligatures w14:val="none"/>
                              </w:rPr>
                              <w:t xml:space="preserve"> </w:t>
                            </w:r>
                            <w:r w:rsidRPr="00BE5ACD">
                              <w:rPr>
                                <w:rFonts w:ascii="Arial" w:eastAsia="Times New Roman" w:hAnsi="Arial" w:cs="Arial"/>
                                <w:kern w:val="0"/>
                                <w:lang w:eastAsia="en-GB"/>
                                <w14:ligatures w14:val="none"/>
                              </w:rPr>
                              <w:t>(Schonert-Reichl and Roeser, 2016; Felver, 2016).</w:t>
                            </w:r>
                            <w:r>
                              <w:rPr>
                                <w:rFonts w:ascii="Arial" w:eastAsia="Times New Roman" w:hAnsi="Arial" w:cs="Arial"/>
                                <w:kern w:val="0"/>
                                <w:lang w:eastAsia="en-GB"/>
                                <w14:ligatures w14:val="none"/>
                              </w:rPr>
                              <w:t xml:space="preserve"> </w:t>
                            </w:r>
                            <w:r w:rsidRPr="00776E37">
                              <w:rPr>
                                <w:rFonts w:ascii="Arial" w:eastAsia="Times New Roman" w:hAnsi="Arial" w:cs="Arial"/>
                                <w:kern w:val="0"/>
                                <w:lang w:eastAsia="en-GB"/>
                                <w14:ligatures w14:val="none"/>
                              </w:rPr>
                              <w:t>Establishing these skills early enables children to navigate social complexities effectively and promotes positive peer interactions, which are foundational for long-term social success.</w:t>
                            </w:r>
                          </w:p>
                          <w:p w14:paraId="27CF79DF" w14:textId="77777777" w:rsidR="00561D44" w:rsidRPr="00104E44" w:rsidRDefault="00561D44" w:rsidP="00561D44">
                            <w:pPr>
                              <w:spacing w:before="100" w:beforeAutospacing="1" w:after="100" w:afterAutospacing="1" w:line="240" w:lineRule="auto"/>
                              <w:rPr>
                                <w:rFonts w:ascii="Arial" w:hAnsi="Arial" w:cs="Arial"/>
                                <w:color w:val="FF0000"/>
                                <w:shd w:val="clear" w:color="auto" w:fill="FFFFFF"/>
                              </w:rPr>
                            </w:pPr>
                            <w:r w:rsidRPr="00776E37">
                              <w:rPr>
                                <w:rFonts w:ascii="Arial" w:eastAsia="Times New Roman" w:hAnsi="Arial" w:cs="Arial"/>
                                <w:kern w:val="0"/>
                                <w:lang w:eastAsia="en-GB"/>
                                <w14:ligatures w14:val="none"/>
                              </w:rPr>
                              <w:t>Physical well-being, encompassing nutrition, sleep, and activity, is equally essential. Recent studies emphasize the impact of lifestyle habits on cognitive development and emotional stability</w:t>
                            </w:r>
                            <w:r w:rsidRPr="005B3761">
                              <w:rPr>
                                <w:rFonts w:ascii="Arial" w:hAnsi="Arial" w:cs="Arial"/>
                                <w:shd w:val="clear" w:color="auto" w:fill="FFFFFF"/>
                              </w:rPr>
                              <w:t xml:space="preserve"> (LeBlanc, </w:t>
                            </w:r>
                            <w:r w:rsidRPr="005B3761">
                              <w:rPr>
                                <w:rFonts w:ascii="Arial" w:hAnsi="Arial" w:cs="Arial"/>
                                <w:i/>
                                <w:iCs/>
                                <w:shd w:val="clear" w:color="auto" w:fill="FFFFFF"/>
                              </w:rPr>
                              <w:t>et al.</w:t>
                            </w:r>
                            <w:r w:rsidRPr="005B3761">
                              <w:rPr>
                                <w:rFonts w:ascii="Arial" w:hAnsi="Arial" w:cs="Arial"/>
                                <w:shd w:val="clear" w:color="auto" w:fill="FFFFFF"/>
                              </w:rPr>
                              <w:t xml:space="preserve">, 2012; Poitras, </w:t>
                            </w:r>
                            <w:r w:rsidRPr="005B3761">
                              <w:rPr>
                                <w:rFonts w:ascii="Arial" w:hAnsi="Arial" w:cs="Arial"/>
                                <w:i/>
                                <w:iCs/>
                                <w:shd w:val="clear" w:color="auto" w:fill="FFFFFF"/>
                              </w:rPr>
                              <w:t>et al</w:t>
                            </w:r>
                            <w:r w:rsidRPr="005B3761">
                              <w:rPr>
                                <w:rFonts w:ascii="Arial" w:hAnsi="Arial" w:cs="Arial"/>
                                <w:shd w:val="clear" w:color="auto" w:fill="FFFFFF"/>
                              </w:rPr>
                              <w:t>., 2017; Tremblay, 2017).</w:t>
                            </w:r>
                          </w:p>
                          <w:p w14:paraId="5D8315BC" w14:textId="77777777" w:rsidR="00561D44" w:rsidRPr="00BA18C6" w:rsidRDefault="00561D44" w:rsidP="00561D44">
                            <w:pPr>
                              <w:spacing w:before="100" w:beforeAutospacing="1" w:after="100" w:afterAutospacing="1" w:line="240" w:lineRule="auto"/>
                              <w:rPr>
                                <w:rFonts w:ascii="Arial" w:eastAsia="Times New Roman" w:hAnsi="Arial" w:cs="Arial"/>
                                <w:kern w:val="0"/>
                                <w:lang w:eastAsia="en-GB"/>
                                <w14:ligatures w14:val="none"/>
                              </w:rPr>
                            </w:pPr>
                            <w:r w:rsidRPr="00776E37">
                              <w:rPr>
                                <w:rFonts w:ascii="Arial" w:eastAsia="Times New Roman" w:hAnsi="Arial" w:cs="Arial"/>
                                <w:color w:val="FF0000"/>
                                <w:kern w:val="0"/>
                                <w:lang w:eastAsia="en-GB"/>
                                <w14:ligatures w14:val="none"/>
                              </w:rPr>
                              <w:t xml:space="preserve"> </w:t>
                            </w:r>
                            <w:r w:rsidRPr="00776E37">
                              <w:rPr>
                                <w:rFonts w:ascii="Arial" w:eastAsia="Times New Roman" w:hAnsi="Arial" w:cs="Arial"/>
                                <w:kern w:val="0"/>
                                <w:lang w:eastAsia="en-GB"/>
                                <w14:ligatures w14:val="none"/>
                              </w:rPr>
                              <w:t>A balanced diet, regular physical activity, and adequate sleep contribute to the foundational health that supports other dimensions of well-being. For example, LeBlanc et al. (2017) highlight that children engaging in regular physical activity demonstrate enhanced cognitive function, including improved memory and attention. Similarly, consistent sleep routines have been linked to better emotional regulation and resilience, key components of overall well-being</w:t>
                            </w:r>
                            <w:r w:rsidRPr="00A83E3D">
                              <w:rPr>
                                <w:rFonts w:ascii="Arial" w:eastAsia="Times New Roman" w:hAnsi="Arial" w:cs="Arial"/>
                                <w:color w:val="FF0000"/>
                                <w:kern w:val="0"/>
                                <w:lang w:eastAsia="en-GB"/>
                                <w14:ligatures w14:val="none"/>
                              </w:rPr>
                              <w:t xml:space="preserve"> </w:t>
                            </w:r>
                            <w:r w:rsidRPr="00A83E3D">
                              <w:rPr>
                                <w:rFonts w:ascii="Arial" w:eastAsia="Times New Roman" w:hAnsi="Arial" w:cs="Arial"/>
                                <w:kern w:val="0"/>
                                <w:lang w:eastAsia="en-GB"/>
                                <w14:ligatures w14:val="none"/>
                              </w:rPr>
                              <w:t>(</w:t>
                            </w:r>
                            <w:r w:rsidRPr="00A83E3D">
                              <w:rPr>
                                <w:rFonts w:ascii="Arial" w:hAnsi="Arial" w:cs="Arial"/>
                                <w:shd w:val="clear" w:color="auto" w:fill="FFFFFF"/>
                              </w:rPr>
                              <w:t xml:space="preserve">Jusienė and Breidokienė, 2019; D’Cruz, </w:t>
                            </w:r>
                            <w:r w:rsidRPr="00A83E3D">
                              <w:rPr>
                                <w:rFonts w:ascii="Arial" w:hAnsi="Arial" w:cs="Arial"/>
                                <w:i/>
                                <w:iCs/>
                                <w:shd w:val="clear" w:color="auto" w:fill="FFFFFF"/>
                              </w:rPr>
                              <w:t>et al.,</w:t>
                            </w:r>
                            <w:r w:rsidRPr="00A83E3D">
                              <w:rPr>
                                <w:rFonts w:ascii="Arial" w:hAnsi="Arial" w:cs="Arial"/>
                                <w:shd w:val="clear" w:color="auto" w:fill="FFFFFF"/>
                              </w:rPr>
                              <w:t> 2024).</w:t>
                            </w:r>
                          </w:p>
                          <w:p w14:paraId="08E5B035" w14:textId="77777777" w:rsidR="00561D44" w:rsidRPr="00776E37" w:rsidRDefault="00561D44" w:rsidP="00561D44">
                            <w:pPr>
                              <w:spacing w:before="100" w:beforeAutospacing="1" w:after="100" w:afterAutospacing="1" w:line="240" w:lineRule="auto"/>
                              <w:jc w:val="both"/>
                              <w:rPr>
                                <w:rFonts w:ascii="Arial" w:eastAsia="Times New Roman" w:hAnsi="Arial" w:cs="Arial"/>
                                <w:kern w:val="0"/>
                                <w:lang w:eastAsia="en-GB"/>
                                <w14:ligatures w14:val="none"/>
                              </w:rPr>
                            </w:pPr>
                          </w:p>
                          <w:p w14:paraId="6EA58BBC" w14:textId="77777777" w:rsidR="00561D44" w:rsidRPr="00776E37" w:rsidRDefault="00561D44" w:rsidP="00561D44">
                            <w:pPr>
                              <w:spacing w:before="100" w:beforeAutospacing="1" w:after="100" w:afterAutospacing="1" w:line="240" w:lineRule="auto"/>
                              <w:jc w:val="both"/>
                              <w:rPr>
                                <w:rFonts w:ascii="Arial" w:eastAsia="Times New Roman" w:hAnsi="Arial" w:cs="Arial"/>
                                <w:kern w:val="0"/>
                                <w:lang w:eastAsia="en-GB"/>
                                <w14:ligatures w14:val="none"/>
                              </w:rPr>
                            </w:pPr>
                            <w:r w:rsidRPr="00776E37">
                              <w:rPr>
                                <w:rFonts w:ascii="Arial" w:eastAsia="Times New Roman" w:hAnsi="Arial" w:cs="Arial"/>
                                <w:kern w:val="0"/>
                                <w:lang w:eastAsia="en-GB"/>
                                <w14:ligatures w14:val="none"/>
                              </w:rPr>
                              <w:t>Educational systems also play a pivotal role in nurturing well-being. The Welsh Government’s Curriculum for Wales (</w:t>
                            </w:r>
                            <w:r w:rsidRPr="00DE5B81">
                              <w:rPr>
                                <w:rFonts w:ascii="Arial" w:eastAsia="Times New Roman" w:hAnsi="Arial" w:cs="Arial"/>
                                <w:kern w:val="0"/>
                                <w:lang w:eastAsia="en-GB"/>
                                <w14:ligatures w14:val="none"/>
                              </w:rPr>
                              <w:t xml:space="preserve">2020 and </w:t>
                            </w:r>
                            <w:r w:rsidRPr="00776E37">
                              <w:rPr>
                                <w:rFonts w:ascii="Arial" w:eastAsia="Times New Roman" w:hAnsi="Arial" w:cs="Arial"/>
                                <w:kern w:val="0"/>
                                <w:lang w:eastAsia="en-GB"/>
                                <w14:ligatures w14:val="none"/>
                              </w:rPr>
                              <w:t>2022) promotes a holistic approach, integrating health, relationships, and emotional literacy within its framework. This ensures that children develop not only academically but also socially and emotionally. Moreover, embedding well-being within educational policies allows practitioners to tailor interventions that address the unique needs of children from diverse backgrounds, promoting equity and inclusivity. By prioritizing well-being, educational systems empower children to thrive academically while fostering long-term personal growth.</w:t>
                            </w:r>
                          </w:p>
                          <w:p w14:paraId="5FEEAB1F" w14:textId="77777777" w:rsidR="00561D44" w:rsidRPr="00776E37" w:rsidRDefault="00561D44" w:rsidP="00561D44">
                            <w:pPr>
                              <w:spacing w:before="100" w:beforeAutospacing="1" w:after="100" w:afterAutospacing="1" w:line="240" w:lineRule="auto"/>
                              <w:jc w:val="both"/>
                              <w:rPr>
                                <w:rFonts w:ascii="Arial" w:eastAsia="Times New Roman" w:hAnsi="Arial" w:cs="Arial"/>
                                <w:kern w:val="0"/>
                                <w:lang w:eastAsia="en-GB"/>
                                <w14:ligatures w14:val="none"/>
                              </w:rPr>
                            </w:pPr>
                            <w:r w:rsidRPr="00776E37">
                              <w:rPr>
                                <w:rFonts w:ascii="Arial" w:eastAsia="Times New Roman" w:hAnsi="Arial" w:cs="Arial"/>
                                <w:kern w:val="0"/>
                                <w:lang w:eastAsia="en-GB"/>
                                <w14:ligatures w14:val="none"/>
                              </w:rPr>
                              <w:t>Well-being, particularly in childhood, is both a protective factor and a springboard for future success. A comprehensive understanding, informed by evidence-based strategies, empowers practitioners to address barriers and create opportunities for flourishing development. Practitioners play a critical role in recognizing and addressing factors that may impede well-being, such as socioeconomic inequalities or ACEs. By creating nurturing environments and fostering positive relationships, they contribute significantly to the holistic development of children, equipping them with the tools needed to succeed throughout their lives.</w:t>
                            </w:r>
                          </w:p>
                          <w:p w14:paraId="6227BFF7" w14:textId="77777777" w:rsidR="00561D44" w:rsidRPr="008873F6" w:rsidRDefault="00561D44" w:rsidP="00561D44">
                            <w:pPr>
                              <w:spacing w:before="100" w:beforeAutospacing="1" w:after="100" w:afterAutospacing="1" w:line="240" w:lineRule="auto"/>
                              <w:jc w:val="both"/>
                              <w:rPr>
                                <w:rFonts w:ascii="Arial" w:eastAsia="Times New Roman" w:hAnsi="Arial" w:cs="Arial"/>
                                <w:kern w:val="0"/>
                                <w:lang w:eastAsia="en-GB"/>
                                <w14:ligatures w14:val="none"/>
                              </w:rPr>
                            </w:pPr>
                          </w:p>
                          <w:p w14:paraId="04A63E4B" w14:textId="77777777" w:rsidR="00D52833" w:rsidRDefault="00D5283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C83741" id="Text Box 5" o:spid="_x0000_s1029" type="#_x0000_t202" style="position:absolute;margin-left:407pt;margin-top:-10.85pt;width:424.9pt;height:468.4pt;z-index:2516398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02kxhgIAAFMFAAAOAAAAZHJzL2Uyb0RvYy54bWysVFtr2zAUfh/sPwi9L869bYhTspSMQdcW&#10;0tHnE1mODbKOJimxu1+/IzlO0m4wGMuDonPxd75z0/y2qRQ7SOtK1Ckf9PqcSS0wK/Uu5d+f15+u&#10;OXMedAYKtUz5q3T8dvHxw7w2MznEAlUmLSMQ7Wa1SXnhvZkliROFrMD10EhNxhxtBZ5Eu0syCzWh&#10;VyoZ9vvTpEabGYtCOkfau9bIFxE/z6Xwj3nupGcq5cTNx9PGcxvOZDGH2c6CKUpxpAH/wKKCUlPQ&#10;E9QdeGB7W/4GVZXCosPc9wRWCeZ5KWTMgbIZ9N9lsynAyJgLFceZU5nc/4MVD4eNebLMN5+xoQaG&#10;gtTGzRwpQz5NbqvwT0wZ2amEr6eyycYzQcrJ6GZyM77iTJCNbteT0SjgJOfPjXX+i8SKhUvKLfUl&#10;lgsO9863rp1LiOZQldm6VCoKYRbkSll2AOqi8pEkgb/xUprVKZ+OJv0I/MYWp+mMAEJI7cfRT+2r&#10;b5i1yNM+/dqJIDXNTased+oQsuMSs7sIQjalA1sZh46yCsJOYc0sZCkfDq8JvqXWYbTwl2wc+BOb&#10;wdXkRAeUKeBvbEKwSOuCQnLuZbj5ZtuwkujE/gTNFrNXar/FdjOcEeuSWnQPzj+BpVWgjtN6+0c6&#10;cgqQcjzeOCvQ/vyTPvjThJKVs5pWK+Xuxx6s5Ex91TS7N4PxOOxiFMaTqyEJ9tKyvbTofbVC6vuA&#10;HhIj4jX4e9Vdc4vVC70CyxCVTKAFxU65764r3y48vSJCLpfRibbPgL/XGyMCdGhWGMDn5gWsOU6p&#10;pwF/wG4JYfZuWFvf8KXG5d5jXsZJPleVmhEE2tzYluMrE56GSzl6nd/CxS8AAAD//wMAUEsDBBQA&#10;BgAIAAAAIQDCiMQs4gAAAAwBAAAPAAAAZHJzL2Rvd25yZXYueG1sTI/BTsMwEETvSPyDtUhcUOu4&#10;LSGEOBVEohK9NSBxdeIliYjXUey06d/jnspxtaOZ97LtbHp2xNF1liSIZQQMqba6o0bC1+f7IgHm&#10;vCKtekso4YwOtvntTaZSbU90wGPpGxZKyKVKQuv9kHLu6haNcks7IIXfjx2N8uEcG65HdQrlpuer&#10;KIq5UR2FhVYNWLRY/5aTkfDwsRfnfTHt3nZlMh+K4rvqyrWU93fz6wswj7O/huGCH9AhD0yVnUg7&#10;1ktIxCa4eAmLlXgCdknE8TrYVBKexaMAnmf8v0T+BwAA//8DAFBLAQItABQABgAIAAAAIQC2gziS&#10;/gAAAOEBAAATAAAAAAAAAAAAAAAAAAAAAABbQ29udGVudF9UeXBlc10ueG1sUEsBAi0AFAAGAAgA&#10;AAAhADj9If/WAAAAlAEAAAsAAAAAAAAAAAAAAAAALwEAAF9yZWxzLy5yZWxzUEsBAi0AFAAGAAgA&#10;AAAhAOTTaTGGAgAAUwUAAA4AAAAAAAAAAAAAAAAALgIAAGRycy9lMm9Eb2MueG1sUEsBAi0AFAAG&#10;AAgAAAAhAMKIxCziAAAADAEAAA8AAAAAAAAAAAAAAAAA4AQAAGRycy9kb3ducmV2LnhtbFBLBQYA&#10;AAAABAAEAPMAAADvBQAAAAA=&#10;" fillcolor="white [3201]" strokecolor="#60caf3 [1943]" strokeweight=".5pt">
                <v:textbox>
                  <w:txbxContent>
                    <w:p w14:paraId="6E522410" w14:textId="4CEF8CB8" w:rsidR="00561D44" w:rsidRPr="008873F6" w:rsidRDefault="00FC6EC6" w:rsidP="00561D44">
                      <w:pPr>
                        <w:spacing w:before="100" w:beforeAutospacing="1" w:after="100" w:afterAutospacing="1" w:line="240" w:lineRule="auto"/>
                        <w:jc w:val="both"/>
                        <w:outlineLvl w:val="2"/>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                                               </w:t>
                      </w:r>
                      <w:r w:rsidR="00561D44" w:rsidRPr="008873F6">
                        <w:rPr>
                          <w:rFonts w:ascii="Arial" w:eastAsia="Times New Roman" w:hAnsi="Arial" w:cs="Arial"/>
                          <w:b/>
                          <w:bCs/>
                          <w:kern w:val="0"/>
                          <w:lang w:eastAsia="en-GB"/>
                          <w14:ligatures w14:val="none"/>
                        </w:rPr>
                        <w:t>Defining Well-Being</w:t>
                      </w:r>
                    </w:p>
                    <w:p w14:paraId="603E7C1C" w14:textId="77777777" w:rsidR="00561D44" w:rsidRPr="00776E37" w:rsidRDefault="00561D44" w:rsidP="00561D44">
                      <w:pPr>
                        <w:spacing w:before="100" w:beforeAutospacing="1" w:after="100" w:afterAutospacing="1" w:line="240" w:lineRule="auto"/>
                        <w:rPr>
                          <w:rFonts w:ascii="Arial" w:eastAsia="Times New Roman" w:hAnsi="Arial" w:cs="Arial"/>
                          <w:color w:val="FF0000"/>
                          <w:kern w:val="0"/>
                          <w:lang w:eastAsia="en-GB"/>
                          <w14:ligatures w14:val="none"/>
                        </w:rPr>
                      </w:pPr>
                      <w:r w:rsidRPr="00776E37">
                        <w:rPr>
                          <w:rFonts w:ascii="Arial" w:eastAsia="Times New Roman" w:hAnsi="Arial" w:cs="Arial"/>
                          <w:kern w:val="0"/>
                          <w:lang w:eastAsia="en-GB"/>
                          <w14:ligatures w14:val="none"/>
                        </w:rPr>
                        <w:t xml:space="preserve">Well-being is a broad concept that encompasses physical health, social and emotional security, intellectual growth, and spiritual development. </w:t>
                      </w:r>
                      <w:r w:rsidRPr="00860133">
                        <w:rPr>
                          <w:rFonts w:ascii="Arial" w:eastAsia="Times New Roman" w:hAnsi="Arial" w:cs="Arial"/>
                          <w:kern w:val="0"/>
                          <w:lang w:eastAsia="en-GB"/>
                          <w14:ligatures w14:val="none"/>
                        </w:rPr>
                        <w:t xml:space="preserve">Hughes </w:t>
                      </w:r>
                      <w:r w:rsidRPr="00860133">
                        <w:rPr>
                          <w:rFonts w:ascii="Arial" w:eastAsia="Times New Roman" w:hAnsi="Arial" w:cs="Arial"/>
                          <w:i/>
                          <w:iCs/>
                          <w:kern w:val="0"/>
                          <w:lang w:eastAsia="en-GB"/>
                          <w14:ligatures w14:val="none"/>
                        </w:rPr>
                        <w:t>et al.</w:t>
                      </w:r>
                      <w:r w:rsidRPr="00776E37">
                        <w:rPr>
                          <w:rFonts w:ascii="Arial" w:eastAsia="Times New Roman" w:hAnsi="Arial" w:cs="Arial"/>
                          <w:kern w:val="0"/>
                          <w:lang w:eastAsia="en-GB"/>
                          <w14:ligatures w14:val="none"/>
                        </w:rPr>
                        <w:t xml:space="preserve"> (2012) argue that children’s well-being is both a state and a process, involving contentment, resilience, and meaningful connections. This reflects the Welsh Government’s (2022</w:t>
                      </w:r>
                      <w:r w:rsidRPr="00550F7B">
                        <w:rPr>
                          <w:rFonts w:ascii="Arial" w:eastAsia="Times New Roman" w:hAnsi="Arial" w:cs="Arial"/>
                          <w:kern w:val="0"/>
                          <w:lang w:eastAsia="en-GB"/>
                          <w14:ligatures w14:val="none"/>
                        </w:rPr>
                        <w:t>, 2020 and 2015</w:t>
                      </w:r>
                      <w:r w:rsidRPr="00776E37">
                        <w:rPr>
                          <w:rFonts w:ascii="Arial" w:eastAsia="Times New Roman" w:hAnsi="Arial" w:cs="Arial"/>
                          <w:kern w:val="0"/>
                          <w:lang w:eastAsia="en-GB"/>
                          <w14:ligatures w14:val="none"/>
                        </w:rPr>
                        <w:t>) holistic view, which frames well-being as achieving balance across physical, mental, and emotional domains.</w:t>
                      </w:r>
                    </w:p>
                    <w:p w14:paraId="582C3994" w14:textId="77777777" w:rsidR="00561D44" w:rsidRPr="00776E37" w:rsidRDefault="00561D44" w:rsidP="00561D44">
                      <w:pPr>
                        <w:spacing w:before="100" w:beforeAutospacing="1" w:after="100" w:afterAutospacing="1" w:line="240" w:lineRule="auto"/>
                        <w:jc w:val="both"/>
                        <w:rPr>
                          <w:rFonts w:ascii="Arial" w:eastAsia="Times New Roman" w:hAnsi="Arial" w:cs="Arial"/>
                          <w:kern w:val="0"/>
                          <w:lang w:eastAsia="en-GB"/>
                          <w14:ligatures w14:val="none"/>
                        </w:rPr>
                      </w:pPr>
                      <w:r w:rsidRPr="00776E37">
                        <w:rPr>
                          <w:rFonts w:ascii="Arial" w:eastAsia="Times New Roman" w:hAnsi="Arial" w:cs="Arial"/>
                          <w:kern w:val="0"/>
                          <w:lang w:eastAsia="en-GB"/>
                          <w14:ligatures w14:val="none"/>
                        </w:rPr>
                        <w:t>A useful way to understand well-being is through Maslow’s Hierarchy of Needs</w:t>
                      </w:r>
                      <w:r>
                        <w:rPr>
                          <w:rFonts w:ascii="Arial" w:eastAsia="Times New Roman" w:hAnsi="Arial" w:cs="Arial"/>
                          <w:kern w:val="0"/>
                          <w:lang w:eastAsia="en-GB"/>
                          <w14:ligatures w14:val="none"/>
                        </w:rPr>
                        <w:t xml:space="preserve"> (Maslow, 1943) </w:t>
                      </w:r>
                      <w:r w:rsidRPr="00776E37">
                        <w:rPr>
                          <w:rFonts w:ascii="Arial" w:eastAsia="Times New Roman" w:hAnsi="Arial" w:cs="Arial"/>
                          <w:kern w:val="0"/>
                          <w:lang w:eastAsia="en-GB"/>
                          <w14:ligatures w14:val="none"/>
                        </w:rPr>
                        <w:t>Maslow proposed that people must first meet basic needs—such as food, shelter, and safety—before achieving higher-order goals like learning, building relationships, and personal fulfilment (McLeod, 20</w:t>
                      </w:r>
                      <w:r w:rsidRPr="006D094B">
                        <w:rPr>
                          <w:rFonts w:ascii="Arial" w:eastAsia="Times New Roman" w:hAnsi="Arial" w:cs="Arial"/>
                          <w:kern w:val="0"/>
                          <w:lang w:eastAsia="en-GB"/>
                          <w14:ligatures w14:val="none"/>
                        </w:rPr>
                        <w:t>24</w:t>
                      </w:r>
                      <w:r w:rsidRPr="00776E37">
                        <w:rPr>
                          <w:rFonts w:ascii="Arial" w:eastAsia="Times New Roman" w:hAnsi="Arial" w:cs="Arial"/>
                          <w:kern w:val="0"/>
                          <w:lang w:eastAsia="en-GB"/>
                          <w14:ligatures w14:val="none"/>
                        </w:rPr>
                        <w:t>). In early childhood, practitioners focus on meeting these foundational needs, ensuring that children feel secure, nourished, and supported. Without these conditions, children may struggle to engage in higher levels of development, such as creative thinking or forming meaningful connections. Moreover, the hierarchy underscores the critical interdependence of well-being components, highlighting how unmet basic needs can lead to long-term developmental challenges (McLeod, 20</w:t>
                      </w:r>
                      <w:r w:rsidRPr="006D094B">
                        <w:rPr>
                          <w:rFonts w:ascii="Arial" w:eastAsia="Times New Roman" w:hAnsi="Arial" w:cs="Arial"/>
                          <w:kern w:val="0"/>
                          <w:lang w:eastAsia="en-GB"/>
                          <w14:ligatures w14:val="none"/>
                        </w:rPr>
                        <w:t>24</w:t>
                      </w:r>
                      <w:r w:rsidRPr="00776E37">
                        <w:rPr>
                          <w:rFonts w:ascii="Arial" w:eastAsia="Times New Roman" w:hAnsi="Arial" w:cs="Arial"/>
                          <w:kern w:val="0"/>
                          <w:lang w:eastAsia="en-GB"/>
                          <w14:ligatures w14:val="none"/>
                        </w:rPr>
                        <w:t>).</w:t>
                      </w:r>
                    </w:p>
                    <w:p w14:paraId="33A9C2D3" w14:textId="77777777" w:rsidR="00561D44" w:rsidRPr="00776E37" w:rsidRDefault="00561D44" w:rsidP="00561D44">
                      <w:pPr>
                        <w:spacing w:before="100" w:beforeAutospacing="1" w:after="100" w:afterAutospacing="1" w:line="240" w:lineRule="auto"/>
                        <w:jc w:val="both"/>
                        <w:rPr>
                          <w:rFonts w:ascii="Arial" w:eastAsia="Times New Roman" w:hAnsi="Arial" w:cs="Arial"/>
                          <w:kern w:val="0"/>
                          <w:lang w:eastAsia="en-GB"/>
                          <w14:ligatures w14:val="none"/>
                        </w:rPr>
                      </w:pPr>
                      <w:r w:rsidRPr="00776E37">
                        <w:rPr>
                          <w:rFonts w:ascii="Arial" w:eastAsia="Times New Roman" w:hAnsi="Arial" w:cs="Arial"/>
                          <w:kern w:val="0"/>
                          <w:lang w:eastAsia="en-GB"/>
                          <w14:ligatures w14:val="none"/>
                        </w:rPr>
                        <w:t>Huta (201</w:t>
                      </w:r>
                      <w:r w:rsidRPr="00F06251">
                        <w:rPr>
                          <w:rFonts w:ascii="Arial" w:eastAsia="Times New Roman" w:hAnsi="Arial" w:cs="Arial"/>
                          <w:kern w:val="0"/>
                          <w:lang w:eastAsia="en-GB"/>
                          <w14:ligatures w14:val="none"/>
                        </w:rPr>
                        <w:t>4</w:t>
                      </w:r>
                      <w:r w:rsidRPr="00776E37">
                        <w:rPr>
                          <w:rFonts w:ascii="Arial" w:eastAsia="Times New Roman" w:hAnsi="Arial" w:cs="Arial"/>
                          <w:kern w:val="0"/>
                          <w:lang w:eastAsia="en-GB"/>
                          <w14:ligatures w14:val="none"/>
                        </w:rPr>
                        <w:t xml:space="preserve">) adds that well-being involves two dimensions: hedonic (pleasure and happiness) and eudaimonic (growth and purpose). Children need both types to flourish. For example, playful activities may enhance hedonic well-being, while tasks requiring problem-solving encourage eudaimonic growth. Disabato </w:t>
                      </w:r>
                      <w:r w:rsidRPr="00776E37">
                        <w:rPr>
                          <w:rFonts w:ascii="Arial" w:eastAsia="Times New Roman" w:hAnsi="Arial" w:cs="Arial"/>
                          <w:i/>
                          <w:iCs/>
                          <w:kern w:val="0"/>
                          <w:lang w:eastAsia="en-GB"/>
                          <w14:ligatures w14:val="none"/>
                        </w:rPr>
                        <w:t>et al.</w:t>
                      </w:r>
                      <w:r w:rsidRPr="00776E37">
                        <w:rPr>
                          <w:rFonts w:ascii="Arial" w:eastAsia="Times New Roman" w:hAnsi="Arial" w:cs="Arial"/>
                          <w:kern w:val="0"/>
                          <w:lang w:eastAsia="en-GB"/>
                          <w14:ligatures w14:val="none"/>
                        </w:rPr>
                        <w:t xml:space="preserve"> (2016) support this balanced approach, arguing that blending both dimensions results in stronger overall development. Furthermore, eudaimonic activities, such as fostering creativity or setting achievable challenges, allow children to build a sense of purpose and self-worth, which are critical for their long-term resilience and self-esteem. Well-being during childhood not only enhances life in the present but also builds resilience, giving children the ability to handle future challenges effectively.</w:t>
                      </w:r>
                    </w:p>
                    <w:p w14:paraId="12A3ED40" w14:textId="77777777" w:rsidR="00561D44" w:rsidRPr="00BA18C6" w:rsidRDefault="00561D44" w:rsidP="00561D44">
                      <w:pPr>
                        <w:spacing w:before="100" w:beforeAutospacing="1" w:after="100" w:afterAutospacing="1" w:line="240" w:lineRule="auto"/>
                        <w:rPr>
                          <w:rFonts w:ascii="Arial" w:eastAsia="Times New Roman" w:hAnsi="Arial" w:cs="Arial"/>
                          <w:kern w:val="0"/>
                          <w:lang w:eastAsia="en-GB"/>
                          <w14:ligatures w14:val="none"/>
                        </w:rPr>
                      </w:pPr>
                      <w:r w:rsidRPr="00776E37">
                        <w:rPr>
                          <w:rFonts w:ascii="Arial" w:eastAsia="Times New Roman" w:hAnsi="Arial" w:cs="Arial"/>
                          <w:kern w:val="0"/>
                          <w:lang w:eastAsia="en-GB"/>
                          <w14:ligatures w14:val="none"/>
                        </w:rPr>
                        <w:t>Well-being is a multifaceted concept central to overall human development, particularly in early childhood. It is not simply the absence of illness but rather a positive state of physical, emotional, and social health (WHO, 202</w:t>
                      </w:r>
                      <w:r>
                        <w:rPr>
                          <w:rFonts w:ascii="Arial" w:eastAsia="Times New Roman" w:hAnsi="Arial" w:cs="Arial"/>
                          <w:kern w:val="0"/>
                          <w:lang w:eastAsia="en-GB"/>
                          <w14:ligatures w14:val="none"/>
                        </w:rPr>
                        <w:t>3 and 2024</w:t>
                      </w:r>
                      <w:r w:rsidRPr="00776E37">
                        <w:rPr>
                          <w:rFonts w:ascii="Arial" w:eastAsia="Times New Roman" w:hAnsi="Arial" w:cs="Arial"/>
                          <w:kern w:val="0"/>
                          <w:lang w:eastAsia="en-GB"/>
                          <w14:ligatures w14:val="none"/>
                        </w:rPr>
                        <w:t xml:space="preserve">). Dodge </w:t>
                      </w:r>
                      <w:r w:rsidRPr="00776E37">
                        <w:rPr>
                          <w:rFonts w:ascii="Arial" w:eastAsia="Times New Roman" w:hAnsi="Arial" w:cs="Arial"/>
                          <w:i/>
                          <w:iCs/>
                          <w:kern w:val="0"/>
                          <w:lang w:eastAsia="en-GB"/>
                          <w14:ligatures w14:val="none"/>
                        </w:rPr>
                        <w:t>et al.</w:t>
                      </w:r>
                      <w:r w:rsidRPr="00776E37">
                        <w:rPr>
                          <w:rFonts w:ascii="Arial" w:eastAsia="Times New Roman" w:hAnsi="Arial" w:cs="Arial"/>
                          <w:kern w:val="0"/>
                          <w:lang w:eastAsia="en-GB"/>
                          <w14:ligatures w14:val="none"/>
                        </w:rPr>
                        <w:t xml:space="preserve"> (2012) describe well-being as a dynamic equilibrium between the challenges individuals face and the resources they possess. This perspective underscores the importance of providing children with supportive environments that nurture their holistic development. Supportive environments, particularly those established in educational and childcare settings, can act as protective factors against adverse childhood experiences (ACEs), helping children navigate complex challenges effectively</w:t>
                      </w:r>
                      <w:r w:rsidRPr="004E1D46">
                        <w:rPr>
                          <w:rFonts w:ascii="Arial" w:hAnsi="Arial" w:cs="Arial"/>
                          <w:color w:val="FF0000"/>
                          <w:shd w:val="clear" w:color="auto" w:fill="FFFFFF"/>
                        </w:rPr>
                        <w:t xml:space="preserve"> </w:t>
                      </w:r>
                      <w:r w:rsidRPr="00501309">
                        <w:rPr>
                          <w:rFonts w:ascii="Arial" w:hAnsi="Arial" w:cs="Arial"/>
                          <w:shd w:val="clear" w:color="auto" w:fill="FFFFFF"/>
                        </w:rPr>
                        <w:t>(Kalmakis and Chandler, 2015; Monnat and Chandler, 2015).</w:t>
                      </w:r>
                    </w:p>
                    <w:p w14:paraId="35D16680" w14:textId="77777777" w:rsidR="00561D44" w:rsidRPr="00776E37" w:rsidRDefault="00561D44" w:rsidP="00561D44">
                      <w:pPr>
                        <w:spacing w:before="100" w:beforeAutospacing="1" w:after="100" w:afterAutospacing="1" w:line="240" w:lineRule="auto"/>
                        <w:jc w:val="both"/>
                        <w:rPr>
                          <w:rFonts w:ascii="Arial" w:eastAsia="Times New Roman" w:hAnsi="Arial" w:cs="Arial"/>
                          <w:kern w:val="0"/>
                          <w:lang w:eastAsia="en-GB"/>
                          <w14:ligatures w14:val="none"/>
                        </w:rPr>
                      </w:pPr>
                    </w:p>
                    <w:p w14:paraId="3D560375" w14:textId="77777777" w:rsidR="00561D44" w:rsidRPr="00776E37" w:rsidRDefault="00561D44" w:rsidP="00561D44">
                      <w:pPr>
                        <w:spacing w:before="100" w:beforeAutospacing="1" w:after="100" w:afterAutospacing="1" w:line="240" w:lineRule="auto"/>
                        <w:rPr>
                          <w:rFonts w:ascii="Arial" w:eastAsia="Times New Roman" w:hAnsi="Arial" w:cs="Arial"/>
                          <w:kern w:val="0"/>
                          <w:lang w:eastAsia="en-GB"/>
                          <w14:ligatures w14:val="none"/>
                        </w:rPr>
                      </w:pPr>
                      <w:r w:rsidRPr="00776E37">
                        <w:rPr>
                          <w:rFonts w:ascii="Arial" w:eastAsia="Times New Roman" w:hAnsi="Arial" w:cs="Arial"/>
                          <w:kern w:val="0"/>
                          <w:lang w:eastAsia="en-GB"/>
                          <w14:ligatures w14:val="none"/>
                        </w:rPr>
                        <w:t>In early childhood, social well-being is closely linked to the quality of relationships with caregivers and peers. Positive interactions provide children with a sense of security, fostering emotional stability and social competence. Research by</w:t>
                      </w:r>
                      <w:r>
                        <w:rPr>
                          <w:rFonts w:ascii="Arial" w:eastAsia="Times New Roman" w:hAnsi="Arial" w:cs="Arial"/>
                          <w:kern w:val="0"/>
                          <w:lang w:eastAsia="en-GB"/>
                          <w14:ligatures w14:val="none"/>
                        </w:rPr>
                        <w:t xml:space="preserve"> </w:t>
                      </w:r>
                      <w:r w:rsidRPr="00C14C10">
                        <w:rPr>
                          <w:rFonts w:ascii="Arial" w:hAnsi="Arial" w:cs="Arial"/>
                          <w:shd w:val="clear" w:color="auto" w:fill="FFFFFF"/>
                        </w:rPr>
                        <w:t>Howells, </w:t>
                      </w:r>
                      <w:r w:rsidRPr="00C14C10">
                        <w:rPr>
                          <w:rFonts w:ascii="Arial" w:hAnsi="Arial" w:cs="Arial"/>
                          <w:i/>
                          <w:iCs/>
                          <w:shd w:val="clear" w:color="auto" w:fill="FFFFFF"/>
                        </w:rPr>
                        <w:t>et al.,</w:t>
                      </w:r>
                      <w:r w:rsidRPr="00C14C10">
                        <w:rPr>
                          <w:rFonts w:ascii="Arial" w:hAnsi="Arial" w:cs="Arial"/>
                          <w:shd w:val="clear" w:color="auto" w:fill="FFFFFF"/>
                        </w:rPr>
                        <w:t> (2023); Miljević-Riðički, Plantak and Bouillet, (2017); Westphaln, </w:t>
                      </w:r>
                      <w:r w:rsidRPr="00C14C10">
                        <w:rPr>
                          <w:rFonts w:ascii="Arial" w:hAnsi="Arial" w:cs="Arial"/>
                          <w:i/>
                          <w:iCs/>
                          <w:shd w:val="clear" w:color="auto" w:fill="FFFFFF"/>
                        </w:rPr>
                        <w:t>et al.,</w:t>
                      </w:r>
                      <w:r w:rsidRPr="00C14C10">
                        <w:rPr>
                          <w:rFonts w:ascii="Arial" w:hAnsi="Arial" w:cs="Arial"/>
                          <w:shd w:val="clear" w:color="auto" w:fill="FFFFFF"/>
                        </w:rPr>
                        <w:t xml:space="preserve"> (2022); Oberle, </w:t>
                      </w:r>
                      <w:r w:rsidRPr="00C14C10">
                        <w:rPr>
                          <w:rFonts w:ascii="Arial" w:hAnsi="Arial" w:cs="Arial"/>
                          <w:i/>
                          <w:iCs/>
                          <w:shd w:val="clear" w:color="auto" w:fill="FFFFFF"/>
                        </w:rPr>
                        <w:t>et al.,</w:t>
                      </w:r>
                      <w:r w:rsidRPr="00C14C10">
                        <w:rPr>
                          <w:rFonts w:ascii="Arial" w:hAnsi="Arial" w:cs="Arial"/>
                          <w:shd w:val="clear" w:color="auto" w:fill="FFFFFF"/>
                        </w:rPr>
                        <w:t xml:space="preserve"> (2014) </w:t>
                      </w:r>
                      <w:r w:rsidRPr="00776E37">
                        <w:rPr>
                          <w:rFonts w:ascii="Arial" w:eastAsia="Times New Roman" w:hAnsi="Arial" w:cs="Arial"/>
                          <w:kern w:val="0"/>
                          <w:lang w:eastAsia="en-GB"/>
                          <w14:ligatures w14:val="none"/>
                        </w:rPr>
                        <w:t>highlights the role of supportive relationships in promoting resilience and emotional regulation, key aspects of well-being. Additionally, emotional well-being in early years is associated with the ability to recognize and manage feelings, skills that practitioners can foster through structured emotional literacy programs</w:t>
                      </w:r>
                      <w:r w:rsidRPr="00204C8B">
                        <w:rPr>
                          <w:rFonts w:ascii="Arial" w:eastAsia="Times New Roman" w:hAnsi="Arial" w:cs="Arial"/>
                          <w:color w:val="FF0000"/>
                          <w:kern w:val="0"/>
                          <w:lang w:eastAsia="en-GB"/>
                          <w14:ligatures w14:val="none"/>
                        </w:rPr>
                        <w:t xml:space="preserve"> </w:t>
                      </w:r>
                      <w:r w:rsidRPr="00BE5ACD">
                        <w:rPr>
                          <w:rFonts w:ascii="Arial" w:eastAsia="Times New Roman" w:hAnsi="Arial" w:cs="Arial"/>
                          <w:kern w:val="0"/>
                          <w:lang w:eastAsia="en-GB"/>
                          <w14:ligatures w14:val="none"/>
                        </w:rPr>
                        <w:t>(Schonert-Reichl and Roeser, 2016; Felver, 2016).</w:t>
                      </w:r>
                      <w:r>
                        <w:rPr>
                          <w:rFonts w:ascii="Arial" w:eastAsia="Times New Roman" w:hAnsi="Arial" w:cs="Arial"/>
                          <w:kern w:val="0"/>
                          <w:lang w:eastAsia="en-GB"/>
                          <w14:ligatures w14:val="none"/>
                        </w:rPr>
                        <w:t xml:space="preserve"> </w:t>
                      </w:r>
                      <w:r w:rsidRPr="00776E37">
                        <w:rPr>
                          <w:rFonts w:ascii="Arial" w:eastAsia="Times New Roman" w:hAnsi="Arial" w:cs="Arial"/>
                          <w:kern w:val="0"/>
                          <w:lang w:eastAsia="en-GB"/>
                          <w14:ligatures w14:val="none"/>
                        </w:rPr>
                        <w:t>Establishing these skills early enables children to navigate social complexities effectively and promotes positive peer interactions, which are foundational for long-term social success.</w:t>
                      </w:r>
                    </w:p>
                    <w:p w14:paraId="27CF79DF" w14:textId="77777777" w:rsidR="00561D44" w:rsidRPr="00104E44" w:rsidRDefault="00561D44" w:rsidP="00561D44">
                      <w:pPr>
                        <w:spacing w:before="100" w:beforeAutospacing="1" w:after="100" w:afterAutospacing="1" w:line="240" w:lineRule="auto"/>
                        <w:rPr>
                          <w:rFonts w:ascii="Arial" w:hAnsi="Arial" w:cs="Arial"/>
                          <w:color w:val="FF0000"/>
                          <w:shd w:val="clear" w:color="auto" w:fill="FFFFFF"/>
                        </w:rPr>
                      </w:pPr>
                      <w:r w:rsidRPr="00776E37">
                        <w:rPr>
                          <w:rFonts w:ascii="Arial" w:eastAsia="Times New Roman" w:hAnsi="Arial" w:cs="Arial"/>
                          <w:kern w:val="0"/>
                          <w:lang w:eastAsia="en-GB"/>
                          <w14:ligatures w14:val="none"/>
                        </w:rPr>
                        <w:t>Physical well-being, encompassing nutrition, sleep, and activity, is equally essential. Recent studies emphasize the impact of lifestyle habits on cognitive development and emotional stability</w:t>
                      </w:r>
                      <w:r w:rsidRPr="005B3761">
                        <w:rPr>
                          <w:rFonts w:ascii="Arial" w:hAnsi="Arial" w:cs="Arial"/>
                          <w:shd w:val="clear" w:color="auto" w:fill="FFFFFF"/>
                        </w:rPr>
                        <w:t xml:space="preserve"> (LeBlanc, </w:t>
                      </w:r>
                      <w:r w:rsidRPr="005B3761">
                        <w:rPr>
                          <w:rFonts w:ascii="Arial" w:hAnsi="Arial" w:cs="Arial"/>
                          <w:i/>
                          <w:iCs/>
                          <w:shd w:val="clear" w:color="auto" w:fill="FFFFFF"/>
                        </w:rPr>
                        <w:t>et al.</w:t>
                      </w:r>
                      <w:r w:rsidRPr="005B3761">
                        <w:rPr>
                          <w:rFonts w:ascii="Arial" w:hAnsi="Arial" w:cs="Arial"/>
                          <w:shd w:val="clear" w:color="auto" w:fill="FFFFFF"/>
                        </w:rPr>
                        <w:t xml:space="preserve">, 2012; Poitras, </w:t>
                      </w:r>
                      <w:r w:rsidRPr="005B3761">
                        <w:rPr>
                          <w:rFonts w:ascii="Arial" w:hAnsi="Arial" w:cs="Arial"/>
                          <w:i/>
                          <w:iCs/>
                          <w:shd w:val="clear" w:color="auto" w:fill="FFFFFF"/>
                        </w:rPr>
                        <w:t>et al</w:t>
                      </w:r>
                      <w:r w:rsidRPr="005B3761">
                        <w:rPr>
                          <w:rFonts w:ascii="Arial" w:hAnsi="Arial" w:cs="Arial"/>
                          <w:shd w:val="clear" w:color="auto" w:fill="FFFFFF"/>
                        </w:rPr>
                        <w:t>., 2017; Tremblay, 2017).</w:t>
                      </w:r>
                    </w:p>
                    <w:p w14:paraId="5D8315BC" w14:textId="77777777" w:rsidR="00561D44" w:rsidRPr="00BA18C6" w:rsidRDefault="00561D44" w:rsidP="00561D44">
                      <w:pPr>
                        <w:spacing w:before="100" w:beforeAutospacing="1" w:after="100" w:afterAutospacing="1" w:line="240" w:lineRule="auto"/>
                        <w:rPr>
                          <w:rFonts w:ascii="Arial" w:eastAsia="Times New Roman" w:hAnsi="Arial" w:cs="Arial"/>
                          <w:kern w:val="0"/>
                          <w:lang w:eastAsia="en-GB"/>
                          <w14:ligatures w14:val="none"/>
                        </w:rPr>
                      </w:pPr>
                      <w:r w:rsidRPr="00776E37">
                        <w:rPr>
                          <w:rFonts w:ascii="Arial" w:eastAsia="Times New Roman" w:hAnsi="Arial" w:cs="Arial"/>
                          <w:color w:val="FF0000"/>
                          <w:kern w:val="0"/>
                          <w:lang w:eastAsia="en-GB"/>
                          <w14:ligatures w14:val="none"/>
                        </w:rPr>
                        <w:t xml:space="preserve"> </w:t>
                      </w:r>
                      <w:r w:rsidRPr="00776E37">
                        <w:rPr>
                          <w:rFonts w:ascii="Arial" w:eastAsia="Times New Roman" w:hAnsi="Arial" w:cs="Arial"/>
                          <w:kern w:val="0"/>
                          <w:lang w:eastAsia="en-GB"/>
                          <w14:ligatures w14:val="none"/>
                        </w:rPr>
                        <w:t>A balanced diet, regular physical activity, and adequate sleep contribute to the foundational health that supports other dimensions of well-being. For example, LeBlanc et al. (2017) highlight that children engaging in regular physical activity demonstrate enhanced cognitive function, including improved memory and attention. Similarly, consistent sleep routines have been linked to better emotional regulation and resilience, key components of overall well-being</w:t>
                      </w:r>
                      <w:r w:rsidRPr="00A83E3D">
                        <w:rPr>
                          <w:rFonts w:ascii="Arial" w:eastAsia="Times New Roman" w:hAnsi="Arial" w:cs="Arial"/>
                          <w:color w:val="FF0000"/>
                          <w:kern w:val="0"/>
                          <w:lang w:eastAsia="en-GB"/>
                          <w14:ligatures w14:val="none"/>
                        </w:rPr>
                        <w:t xml:space="preserve"> </w:t>
                      </w:r>
                      <w:r w:rsidRPr="00A83E3D">
                        <w:rPr>
                          <w:rFonts w:ascii="Arial" w:eastAsia="Times New Roman" w:hAnsi="Arial" w:cs="Arial"/>
                          <w:kern w:val="0"/>
                          <w:lang w:eastAsia="en-GB"/>
                          <w14:ligatures w14:val="none"/>
                        </w:rPr>
                        <w:t>(</w:t>
                      </w:r>
                      <w:r w:rsidRPr="00A83E3D">
                        <w:rPr>
                          <w:rFonts w:ascii="Arial" w:hAnsi="Arial" w:cs="Arial"/>
                          <w:shd w:val="clear" w:color="auto" w:fill="FFFFFF"/>
                        </w:rPr>
                        <w:t xml:space="preserve">Jusienė and Breidokienė, 2019; D’Cruz, </w:t>
                      </w:r>
                      <w:r w:rsidRPr="00A83E3D">
                        <w:rPr>
                          <w:rFonts w:ascii="Arial" w:hAnsi="Arial" w:cs="Arial"/>
                          <w:i/>
                          <w:iCs/>
                          <w:shd w:val="clear" w:color="auto" w:fill="FFFFFF"/>
                        </w:rPr>
                        <w:t>et al.,</w:t>
                      </w:r>
                      <w:r w:rsidRPr="00A83E3D">
                        <w:rPr>
                          <w:rFonts w:ascii="Arial" w:hAnsi="Arial" w:cs="Arial"/>
                          <w:shd w:val="clear" w:color="auto" w:fill="FFFFFF"/>
                        </w:rPr>
                        <w:t> 2024).</w:t>
                      </w:r>
                    </w:p>
                    <w:p w14:paraId="08E5B035" w14:textId="77777777" w:rsidR="00561D44" w:rsidRPr="00776E37" w:rsidRDefault="00561D44" w:rsidP="00561D44">
                      <w:pPr>
                        <w:spacing w:before="100" w:beforeAutospacing="1" w:after="100" w:afterAutospacing="1" w:line="240" w:lineRule="auto"/>
                        <w:jc w:val="both"/>
                        <w:rPr>
                          <w:rFonts w:ascii="Arial" w:eastAsia="Times New Roman" w:hAnsi="Arial" w:cs="Arial"/>
                          <w:kern w:val="0"/>
                          <w:lang w:eastAsia="en-GB"/>
                          <w14:ligatures w14:val="none"/>
                        </w:rPr>
                      </w:pPr>
                    </w:p>
                    <w:p w14:paraId="6EA58BBC" w14:textId="77777777" w:rsidR="00561D44" w:rsidRPr="00776E37" w:rsidRDefault="00561D44" w:rsidP="00561D44">
                      <w:pPr>
                        <w:spacing w:before="100" w:beforeAutospacing="1" w:after="100" w:afterAutospacing="1" w:line="240" w:lineRule="auto"/>
                        <w:jc w:val="both"/>
                        <w:rPr>
                          <w:rFonts w:ascii="Arial" w:eastAsia="Times New Roman" w:hAnsi="Arial" w:cs="Arial"/>
                          <w:kern w:val="0"/>
                          <w:lang w:eastAsia="en-GB"/>
                          <w14:ligatures w14:val="none"/>
                        </w:rPr>
                      </w:pPr>
                      <w:r w:rsidRPr="00776E37">
                        <w:rPr>
                          <w:rFonts w:ascii="Arial" w:eastAsia="Times New Roman" w:hAnsi="Arial" w:cs="Arial"/>
                          <w:kern w:val="0"/>
                          <w:lang w:eastAsia="en-GB"/>
                          <w14:ligatures w14:val="none"/>
                        </w:rPr>
                        <w:t>Educational systems also play a pivotal role in nurturing well-being. The Welsh Government’s Curriculum for Wales (</w:t>
                      </w:r>
                      <w:r w:rsidRPr="00DE5B81">
                        <w:rPr>
                          <w:rFonts w:ascii="Arial" w:eastAsia="Times New Roman" w:hAnsi="Arial" w:cs="Arial"/>
                          <w:kern w:val="0"/>
                          <w:lang w:eastAsia="en-GB"/>
                          <w14:ligatures w14:val="none"/>
                        </w:rPr>
                        <w:t xml:space="preserve">2020 and </w:t>
                      </w:r>
                      <w:r w:rsidRPr="00776E37">
                        <w:rPr>
                          <w:rFonts w:ascii="Arial" w:eastAsia="Times New Roman" w:hAnsi="Arial" w:cs="Arial"/>
                          <w:kern w:val="0"/>
                          <w:lang w:eastAsia="en-GB"/>
                          <w14:ligatures w14:val="none"/>
                        </w:rPr>
                        <w:t>2022) promotes a holistic approach, integrating health, relationships, and emotional literacy within its framework. This ensures that children develop not only academically but also socially and emotionally. Moreover, embedding well-being within educational policies allows practitioners to tailor interventions that address the unique needs of children from diverse backgrounds, promoting equity and inclusivity. By prioritizing well-being, educational systems empower children to thrive academically while fostering long-term personal growth.</w:t>
                      </w:r>
                    </w:p>
                    <w:p w14:paraId="5FEEAB1F" w14:textId="77777777" w:rsidR="00561D44" w:rsidRPr="00776E37" w:rsidRDefault="00561D44" w:rsidP="00561D44">
                      <w:pPr>
                        <w:spacing w:before="100" w:beforeAutospacing="1" w:after="100" w:afterAutospacing="1" w:line="240" w:lineRule="auto"/>
                        <w:jc w:val="both"/>
                        <w:rPr>
                          <w:rFonts w:ascii="Arial" w:eastAsia="Times New Roman" w:hAnsi="Arial" w:cs="Arial"/>
                          <w:kern w:val="0"/>
                          <w:lang w:eastAsia="en-GB"/>
                          <w14:ligatures w14:val="none"/>
                        </w:rPr>
                      </w:pPr>
                      <w:r w:rsidRPr="00776E37">
                        <w:rPr>
                          <w:rFonts w:ascii="Arial" w:eastAsia="Times New Roman" w:hAnsi="Arial" w:cs="Arial"/>
                          <w:kern w:val="0"/>
                          <w:lang w:eastAsia="en-GB"/>
                          <w14:ligatures w14:val="none"/>
                        </w:rPr>
                        <w:t>Well-being, particularly in childhood, is both a protective factor and a springboard for future success. A comprehensive understanding, informed by evidence-based strategies, empowers practitioners to address barriers and create opportunities for flourishing development. Practitioners play a critical role in recognizing and addressing factors that may impede well-being, such as socioeconomic inequalities or ACEs. By creating nurturing environments and fostering positive relationships, they contribute significantly to the holistic development of children, equipping them with the tools needed to succeed throughout their lives.</w:t>
                      </w:r>
                    </w:p>
                    <w:p w14:paraId="6227BFF7" w14:textId="77777777" w:rsidR="00561D44" w:rsidRPr="008873F6" w:rsidRDefault="00561D44" w:rsidP="00561D44">
                      <w:pPr>
                        <w:spacing w:before="100" w:beforeAutospacing="1" w:after="100" w:afterAutospacing="1" w:line="240" w:lineRule="auto"/>
                        <w:jc w:val="both"/>
                        <w:rPr>
                          <w:rFonts w:ascii="Arial" w:eastAsia="Times New Roman" w:hAnsi="Arial" w:cs="Arial"/>
                          <w:kern w:val="0"/>
                          <w:lang w:eastAsia="en-GB"/>
                          <w14:ligatures w14:val="none"/>
                        </w:rPr>
                      </w:pPr>
                    </w:p>
                    <w:p w14:paraId="04A63E4B" w14:textId="77777777" w:rsidR="00D52833" w:rsidRDefault="00D52833"/>
                  </w:txbxContent>
                </v:textbox>
                <w10:wrap anchorx="page"/>
              </v:shape>
            </w:pict>
          </mc:Fallback>
        </mc:AlternateContent>
      </w:r>
      <w:r w:rsidR="00D52833">
        <w:rPr>
          <w:rFonts w:ascii="Arial" w:hAnsi="Arial" w:cs="Arial"/>
          <w:b/>
          <w:bCs/>
          <w:noProof/>
        </w:rPr>
        <mc:AlternateContent>
          <mc:Choice Requires="wps">
            <w:drawing>
              <wp:anchor distT="0" distB="0" distL="114300" distR="114300" simplePos="0" relativeHeight="251612160" behindDoc="0" locked="0" layoutInCell="1" allowOverlap="1" wp14:anchorId="244C8982" wp14:editId="0755F54E">
                <wp:simplePos x="0" y="0"/>
                <wp:positionH relativeFrom="column">
                  <wp:posOffset>-698957</wp:posOffset>
                </wp:positionH>
                <wp:positionV relativeFrom="paragraph">
                  <wp:posOffset>-138024</wp:posOffset>
                </wp:positionV>
                <wp:extent cx="4743039" cy="3100079"/>
                <wp:effectExtent l="228600" t="228600" r="248285" b="252730"/>
                <wp:wrapNone/>
                <wp:docPr id="1572716362" name="Text Box 4"/>
                <wp:cNvGraphicFramePr/>
                <a:graphic xmlns:a="http://schemas.openxmlformats.org/drawingml/2006/main">
                  <a:graphicData uri="http://schemas.microsoft.com/office/word/2010/wordprocessingShape">
                    <wps:wsp>
                      <wps:cNvSpPr txBox="1"/>
                      <wps:spPr>
                        <a:xfrm>
                          <a:off x="0" y="0"/>
                          <a:ext cx="4743039" cy="3100079"/>
                        </a:xfrm>
                        <a:prstGeom prst="rect">
                          <a:avLst/>
                        </a:prstGeom>
                        <a:solidFill>
                          <a:schemeClr val="lt1"/>
                        </a:solidFill>
                        <a:ln w="6350">
                          <a:solidFill>
                            <a:schemeClr val="accent5">
                              <a:lumMod val="60000"/>
                              <a:lumOff val="40000"/>
                            </a:schemeClr>
                          </a:solidFill>
                        </a:ln>
                        <a:effectLst>
                          <a:glow rad="228600">
                            <a:schemeClr val="accent5">
                              <a:satMod val="175000"/>
                              <a:alpha val="40000"/>
                            </a:schemeClr>
                          </a:glow>
                        </a:effectLst>
                      </wps:spPr>
                      <wps:txbx>
                        <w:txbxContent>
                          <w:p w14:paraId="41803448" w14:textId="49BBCD4D" w:rsidR="00F96AA5" w:rsidRPr="00B5416F" w:rsidRDefault="00F96AA5" w:rsidP="00F96AA5">
                            <w:pPr>
                              <w:spacing w:before="100" w:beforeAutospacing="1" w:after="100" w:afterAutospacing="1" w:line="240" w:lineRule="auto"/>
                              <w:jc w:val="both"/>
                              <w:rPr>
                                <w:rFonts w:ascii="Arial" w:eastAsia="Times New Roman" w:hAnsi="Arial" w:cs="Arial"/>
                                <w:kern w:val="0"/>
                                <w:lang w:eastAsia="en-GB"/>
                                <w14:ligatures w14:val="none"/>
                              </w:rPr>
                            </w:pPr>
                            <w:r w:rsidRPr="00B5416F">
                              <w:rPr>
                                <w:rFonts w:ascii="Arial" w:eastAsia="Times New Roman" w:hAnsi="Arial" w:cs="Arial"/>
                                <w:b/>
                                <w:bCs/>
                                <w:kern w:val="0"/>
                                <w:lang w:eastAsia="en-GB"/>
                                <w14:ligatures w14:val="none"/>
                              </w:rPr>
                              <w:t>Mental health</w:t>
                            </w:r>
                            <w:r w:rsidRPr="00B5416F">
                              <w:rPr>
                                <w:rFonts w:ascii="Arial" w:eastAsia="Times New Roman" w:hAnsi="Arial" w:cs="Arial"/>
                                <w:kern w:val="0"/>
                                <w:lang w:eastAsia="en-GB"/>
                                <w14:ligatures w14:val="none"/>
                              </w:rPr>
                              <w:t xml:space="preserve"> is also a crucial component of the WHO’s definition, recognizing that mental well-being is foundational to overall health. Mental health challenges, if left unaddressed, can significantly impact an individual's physical health, social relationships, and overall quality of life. Early intervention, particularly during childhood, is critical in preventing or mitigating long-term mental health issues. Research has shown that addressing mental health in early childhood can reduce the likelihood of emotional and behavioural problems later in life, leading to better academic and social outcomes (Shonkoff &amp; Phillips, 2000</w:t>
                            </w:r>
                            <w:r w:rsidR="005D44C6">
                              <w:rPr>
                                <w:rFonts w:ascii="Arial" w:eastAsia="Times New Roman" w:hAnsi="Arial" w:cs="Arial"/>
                                <w:kern w:val="0"/>
                                <w:lang w:eastAsia="en-GB"/>
                                <w14:ligatures w14:val="none"/>
                              </w:rPr>
                              <w:t>;</w:t>
                            </w:r>
                            <w:r w:rsidR="00F7615C" w:rsidRPr="00F7615C">
                              <w:rPr>
                                <w:rFonts w:ascii="Arial" w:hAnsi="Arial" w:cs="Arial"/>
                                <w:shd w:val="clear" w:color="auto" w:fill="FFFFFF"/>
                              </w:rPr>
                              <w:t xml:space="preserve"> </w:t>
                            </w:r>
                            <w:r w:rsidR="00F7615C" w:rsidRPr="006F5D1C">
                              <w:rPr>
                                <w:rFonts w:ascii="Arial" w:hAnsi="Arial" w:cs="Arial"/>
                                <w:shd w:val="clear" w:color="auto" w:fill="FFFFFF"/>
                              </w:rPr>
                              <w:t>Kim</w:t>
                            </w:r>
                            <w:r w:rsidR="005D44C6">
                              <w:rPr>
                                <w:rFonts w:ascii="Arial" w:hAnsi="Arial" w:cs="Arial"/>
                                <w:shd w:val="clear" w:color="auto" w:fill="FFFFFF"/>
                              </w:rPr>
                              <w:t>,</w:t>
                            </w:r>
                            <w:r w:rsidR="00F7615C" w:rsidRPr="006F5D1C">
                              <w:rPr>
                                <w:rFonts w:ascii="Arial" w:hAnsi="Arial" w:cs="Arial"/>
                                <w:shd w:val="clear" w:color="auto" w:fill="FFFFFF"/>
                              </w:rPr>
                              <w:t> </w:t>
                            </w:r>
                            <w:r w:rsidR="00F7615C" w:rsidRPr="006F5D1C">
                              <w:rPr>
                                <w:rFonts w:ascii="Arial" w:hAnsi="Arial" w:cs="Arial"/>
                                <w:i/>
                                <w:iCs/>
                                <w:shd w:val="clear" w:color="auto" w:fill="FFFFFF"/>
                              </w:rPr>
                              <w:t>et al.</w:t>
                            </w:r>
                            <w:r w:rsidR="00AA44D8">
                              <w:rPr>
                                <w:rFonts w:ascii="Arial" w:hAnsi="Arial" w:cs="Arial"/>
                                <w:shd w:val="clear" w:color="auto" w:fill="FFFFFF"/>
                              </w:rPr>
                              <w:t xml:space="preserve">, </w:t>
                            </w:r>
                            <w:r w:rsidR="00F7615C" w:rsidRPr="006F5D1C">
                              <w:rPr>
                                <w:rFonts w:ascii="Arial" w:hAnsi="Arial" w:cs="Arial"/>
                                <w:shd w:val="clear" w:color="auto" w:fill="FFFFFF"/>
                              </w:rPr>
                              <w:t>2024)</w:t>
                            </w:r>
                          </w:p>
                          <w:p w14:paraId="6E629135" w14:textId="77777777" w:rsidR="00F96AA5" w:rsidRPr="008873F6" w:rsidRDefault="00F96AA5" w:rsidP="00F96AA5">
                            <w:pPr>
                              <w:spacing w:before="100" w:beforeAutospacing="1" w:after="100" w:afterAutospacing="1" w:line="240" w:lineRule="auto"/>
                              <w:jc w:val="both"/>
                              <w:rPr>
                                <w:rFonts w:ascii="Arial" w:eastAsia="Times New Roman" w:hAnsi="Arial" w:cs="Arial"/>
                                <w:kern w:val="0"/>
                                <w:lang w:eastAsia="en-GB"/>
                                <w14:ligatures w14:val="none"/>
                              </w:rPr>
                            </w:pPr>
                            <w:r w:rsidRPr="00B5416F">
                              <w:rPr>
                                <w:rFonts w:ascii="Arial" w:eastAsia="Times New Roman" w:hAnsi="Arial" w:cs="Arial"/>
                                <w:kern w:val="0"/>
                                <w:lang w:eastAsia="en-GB"/>
                                <w14:ligatures w14:val="none"/>
                              </w:rPr>
                              <w:t>Therefore, a holistic approach to health in childhood involves not only ensuring physical health but also fostering emotional well-being, positive social interactions, and sustainable lifestyle habits. By integrating physical, emotional, and social dimensions of health, practitioners can help children reach their full potential, laying the groundwork for a healthy, fulfilling life.</w:t>
                            </w:r>
                          </w:p>
                          <w:p w14:paraId="79D6F949" w14:textId="77777777" w:rsidR="00D52833" w:rsidRDefault="00D5283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44C8982" id="_x0000_s1030" type="#_x0000_t202" style="position:absolute;margin-left:-55.05pt;margin-top:-10.85pt;width:373.45pt;height:244.1pt;z-index:2516121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nfdiAIAAFMFAAAOAAAAZHJzL2Uyb0RvYy54bWysVFtr2zAUfh/sPwi9r3YSp2lCnZK1dAy6&#10;ttCOPp/IcmyQdTRJid39+h3JcZJ2g8HYi6xz8Xe+c9PlVdcotpPW1ahzPjpLOZNaYFHrTc6/P99+&#10;uuDMedAFKNQy56/S8avlxw+XrVnIMVaoCmkZgWi3aE3OK+/NIkmcqGQD7gyN1GQs0TbgSbSbpLDQ&#10;EnqjknGanict2sJYFNI50t70Rr6M+GUphX8oSyc9Uzknbj6eNp7rcCbLS1hsLJiqFnsa8A8sGqg1&#10;BT1A3YAHtrX1b1BNLSw6LP2ZwCbBsqyFjDlQNqP0XTZPFRgZc6HiOHMok/t/sOJ+92QeLfPdZ+yo&#10;gaEgrXELR8qQT1faJnyJKSM7lfD1UDbZeSZImc2ySTqZcybINhmlaTqbB5zk+Luxzn+R2LBwybml&#10;vsRywe7O+d51cAnRHKq6uK2VikKYBXmtLNsBdVH5SJLA33gpzdqcn0+maQR+Y4vTdEQAIaT20+in&#10;ts03LHrkc2K+nwhS09z06mxQh5ADl5jdSRCyKR3Yyjh0lFUQNgpbZqHI+Xh8QfA9tQGjhz9l48Af&#10;2Ixm0wMdUKaCv7EJwSKtEwrJsZfh5rt1x2qikw19XmPxSu232G+GM+K2phbdgfOPYGkVqOO03v6B&#10;jpIC5Bz3N84qtD//pA/+NKFk5ayl1cq5+7EFKzlTXzXN7nyUZWEXo5BNZ2MS7KllfWrR2+Yaqe8j&#10;ekiMiNfg79VwLS02L/QKrEJUMoEWFDvnfrhe+37h6RURcrWKTrR9BvydfjIiQIdmhQF87l7Amv2U&#10;ehrwexyWEBbvhrX3DX9qXG09lnWc5FDnvqrUjCDQ5sa27F+Z8DScytHr+BYufwEAAP//AwBQSwME&#10;FAAGAAgAAAAhAGq6e4jfAAAADAEAAA8AAABkcnMvZG93bnJldi54bWxMj8FOwzAMhu9IvENkJC5o&#10;SzvWgErTCSHtBEJi8ABZY5qKxqmadAtvjznBzZY//f7+Zpf9KE44xyGQhnJdgEDqgh2o1/Dxvl/d&#10;g4jJkDVjINTwjRF27eVFY2obzvSGp0PqBYdQrI0Gl9JUSxk7h97EdZiQ+PYZZm8Sr3Mv7WzOHO5H&#10;uSkKJb0ZiD84M+GTw+7rsHgN0vfP1aKqHKa83VfpJd90r07r66v8+AAiYU5/MPzqszq07HQMC9ko&#10;Rg2rsixKZnnalHcgGFG3itscNWyVqkC2jfxfov0BAAD//wMAUEsBAi0AFAAGAAgAAAAhALaDOJL+&#10;AAAA4QEAABMAAAAAAAAAAAAAAAAAAAAAAFtDb250ZW50X1R5cGVzXS54bWxQSwECLQAUAAYACAAA&#10;ACEAOP0h/9YAAACUAQAACwAAAAAAAAAAAAAAAAAvAQAAX3JlbHMvLnJlbHNQSwECLQAUAAYACAAA&#10;ACEAA5J33YgCAABTBQAADgAAAAAAAAAAAAAAAAAuAgAAZHJzL2Uyb0RvYy54bWxQSwECLQAUAAYA&#10;CAAAACEAarp7iN8AAAAMAQAADwAAAAAAAAAAAAAAAADiBAAAZHJzL2Rvd25yZXYueG1sUEsFBgAA&#10;AAAEAAQA8wAAAO4FAAAAAA==&#10;" fillcolor="white [3201]" strokecolor="#d86dcb [1944]" strokeweight=".5pt">
                <v:textbox>
                  <w:txbxContent>
                    <w:p w14:paraId="41803448" w14:textId="49BBCD4D" w:rsidR="00F96AA5" w:rsidRPr="00B5416F" w:rsidRDefault="00F96AA5" w:rsidP="00F96AA5">
                      <w:pPr>
                        <w:spacing w:before="100" w:beforeAutospacing="1" w:after="100" w:afterAutospacing="1" w:line="240" w:lineRule="auto"/>
                        <w:jc w:val="both"/>
                        <w:rPr>
                          <w:rFonts w:ascii="Arial" w:eastAsia="Times New Roman" w:hAnsi="Arial" w:cs="Arial"/>
                          <w:kern w:val="0"/>
                          <w:lang w:eastAsia="en-GB"/>
                          <w14:ligatures w14:val="none"/>
                        </w:rPr>
                      </w:pPr>
                      <w:r w:rsidRPr="00B5416F">
                        <w:rPr>
                          <w:rFonts w:ascii="Arial" w:eastAsia="Times New Roman" w:hAnsi="Arial" w:cs="Arial"/>
                          <w:b/>
                          <w:bCs/>
                          <w:kern w:val="0"/>
                          <w:lang w:eastAsia="en-GB"/>
                          <w14:ligatures w14:val="none"/>
                        </w:rPr>
                        <w:t>Mental health</w:t>
                      </w:r>
                      <w:r w:rsidRPr="00B5416F">
                        <w:rPr>
                          <w:rFonts w:ascii="Arial" w:eastAsia="Times New Roman" w:hAnsi="Arial" w:cs="Arial"/>
                          <w:kern w:val="0"/>
                          <w:lang w:eastAsia="en-GB"/>
                          <w14:ligatures w14:val="none"/>
                        </w:rPr>
                        <w:t xml:space="preserve"> is also a crucial component of the WHO’s definition, recognizing that mental well-being is foundational to overall health. Mental health challenges, if left unaddressed, can significantly impact an individual's physical health, social relationships, and overall quality of life. Early intervention, particularly during childhood, is critical in preventing or mitigating long-term mental health issues. Research has shown that addressing mental health in early childhood can reduce the likelihood of emotional and behavioural problems later in life, leading to better academic and social outcomes (Shonkoff &amp; Phillips, 2000</w:t>
                      </w:r>
                      <w:r w:rsidR="005D44C6">
                        <w:rPr>
                          <w:rFonts w:ascii="Arial" w:eastAsia="Times New Roman" w:hAnsi="Arial" w:cs="Arial"/>
                          <w:kern w:val="0"/>
                          <w:lang w:eastAsia="en-GB"/>
                          <w14:ligatures w14:val="none"/>
                        </w:rPr>
                        <w:t>;</w:t>
                      </w:r>
                      <w:r w:rsidR="00F7615C" w:rsidRPr="00F7615C">
                        <w:rPr>
                          <w:rFonts w:ascii="Arial" w:hAnsi="Arial" w:cs="Arial"/>
                          <w:shd w:val="clear" w:color="auto" w:fill="FFFFFF"/>
                        </w:rPr>
                        <w:t xml:space="preserve"> </w:t>
                      </w:r>
                      <w:r w:rsidR="00F7615C" w:rsidRPr="006F5D1C">
                        <w:rPr>
                          <w:rFonts w:ascii="Arial" w:hAnsi="Arial" w:cs="Arial"/>
                          <w:shd w:val="clear" w:color="auto" w:fill="FFFFFF"/>
                        </w:rPr>
                        <w:t>Kim</w:t>
                      </w:r>
                      <w:r w:rsidR="005D44C6">
                        <w:rPr>
                          <w:rFonts w:ascii="Arial" w:hAnsi="Arial" w:cs="Arial"/>
                          <w:shd w:val="clear" w:color="auto" w:fill="FFFFFF"/>
                        </w:rPr>
                        <w:t>,</w:t>
                      </w:r>
                      <w:r w:rsidR="00F7615C" w:rsidRPr="006F5D1C">
                        <w:rPr>
                          <w:rFonts w:ascii="Arial" w:hAnsi="Arial" w:cs="Arial"/>
                          <w:shd w:val="clear" w:color="auto" w:fill="FFFFFF"/>
                        </w:rPr>
                        <w:t> </w:t>
                      </w:r>
                      <w:r w:rsidR="00F7615C" w:rsidRPr="006F5D1C">
                        <w:rPr>
                          <w:rFonts w:ascii="Arial" w:hAnsi="Arial" w:cs="Arial"/>
                          <w:i/>
                          <w:iCs/>
                          <w:shd w:val="clear" w:color="auto" w:fill="FFFFFF"/>
                        </w:rPr>
                        <w:t>et al.</w:t>
                      </w:r>
                      <w:r w:rsidR="00AA44D8">
                        <w:rPr>
                          <w:rFonts w:ascii="Arial" w:hAnsi="Arial" w:cs="Arial"/>
                          <w:shd w:val="clear" w:color="auto" w:fill="FFFFFF"/>
                        </w:rPr>
                        <w:t xml:space="preserve">, </w:t>
                      </w:r>
                      <w:r w:rsidR="00F7615C" w:rsidRPr="006F5D1C">
                        <w:rPr>
                          <w:rFonts w:ascii="Arial" w:hAnsi="Arial" w:cs="Arial"/>
                          <w:shd w:val="clear" w:color="auto" w:fill="FFFFFF"/>
                        </w:rPr>
                        <w:t>2024)</w:t>
                      </w:r>
                    </w:p>
                    <w:p w14:paraId="6E629135" w14:textId="77777777" w:rsidR="00F96AA5" w:rsidRPr="008873F6" w:rsidRDefault="00F96AA5" w:rsidP="00F96AA5">
                      <w:pPr>
                        <w:spacing w:before="100" w:beforeAutospacing="1" w:after="100" w:afterAutospacing="1" w:line="240" w:lineRule="auto"/>
                        <w:jc w:val="both"/>
                        <w:rPr>
                          <w:rFonts w:ascii="Arial" w:eastAsia="Times New Roman" w:hAnsi="Arial" w:cs="Arial"/>
                          <w:kern w:val="0"/>
                          <w:lang w:eastAsia="en-GB"/>
                          <w14:ligatures w14:val="none"/>
                        </w:rPr>
                      </w:pPr>
                      <w:r w:rsidRPr="00B5416F">
                        <w:rPr>
                          <w:rFonts w:ascii="Arial" w:eastAsia="Times New Roman" w:hAnsi="Arial" w:cs="Arial"/>
                          <w:kern w:val="0"/>
                          <w:lang w:eastAsia="en-GB"/>
                          <w14:ligatures w14:val="none"/>
                        </w:rPr>
                        <w:t>Therefore, a holistic approach to health in childhood involves not only ensuring physical health but also fostering emotional well-being, positive social interactions, and sustainable lifestyle habits. By integrating physical, emotional, and social dimensions of health, practitioners can help children reach their full potential, laying the groundwork for a healthy, fulfilling life.</w:t>
                      </w:r>
                    </w:p>
                    <w:p w14:paraId="79D6F949" w14:textId="77777777" w:rsidR="00D52833" w:rsidRDefault="00D52833"/>
                  </w:txbxContent>
                </v:textbox>
              </v:shape>
            </w:pict>
          </mc:Fallback>
        </mc:AlternateContent>
      </w:r>
    </w:p>
    <w:p w14:paraId="41A11DF4" w14:textId="6E2F9965" w:rsidR="005D7E2F" w:rsidRDefault="005D7E2F" w:rsidP="00430D51">
      <w:pPr>
        <w:jc w:val="both"/>
        <w:rPr>
          <w:rFonts w:ascii="Arial" w:hAnsi="Arial" w:cs="Arial"/>
          <w:b/>
          <w:bCs/>
        </w:rPr>
      </w:pPr>
    </w:p>
    <w:p w14:paraId="6DE5B0CB" w14:textId="074E281A" w:rsidR="005D7E2F" w:rsidRDefault="005D7E2F" w:rsidP="00430D51">
      <w:pPr>
        <w:jc w:val="both"/>
        <w:rPr>
          <w:rFonts w:ascii="Arial" w:hAnsi="Arial" w:cs="Arial"/>
          <w:b/>
          <w:bCs/>
        </w:rPr>
      </w:pPr>
    </w:p>
    <w:p w14:paraId="17263634" w14:textId="6FFA075C" w:rsidR="005D7E2F" w:rsidRDefault="005D7E2F" w:rsidP="00430D51">
      <w:pPr>
        <w:jc w:val="both"/>
        <w:rPr>
          <w:rFonts w:ascii="Arial" w:hAnsi="Arial" w:cs="Arial"/>
          <w:b/>
          <w:bCs/>
        </w:rPr>
      </w:pPr>
    </w:p>
    <w:p w14:paraId="2B0A9DB5" w14:textId="6AC9FA25" w:rsidR="005D7E2F" w:rsidRDefault="005D7E2F" w:rsidP="00430D51">
      <w:pPr>
        <w:jc w:val="both"/>
        <w:rPr>
          <w:rFonts w:ascii="Arial" w:hAnsi="Arial" w:cs="Arial"/>
          <w:b/>
          <w:bCs/>
        </w:rPr>
      </w:pPr>
    </w:p>
    <w:p w14:paraId="29ACCC1C" w14:textId="76D748C7" w:rsidR="005D7E2F" w:rsidRDefault="005D7E2F" w:rsidP="00430D51">
      <w:pPr>
        <w:jc w:val="both"/>
        <w:rPr>
          <w:rFonts w:ascii="Arial" w:hAnsi="Arial" w:cs="Arial"/>
          <w:b/>
          <w:bCs/>
        </w:rPr>
      </w:pPr>
    </w:p>
    <w:p w14:paraId="76EFF107" w14:textId="6FA411CF" w:rsidR="005D7E2F" w:rsidRDefault="005D7E2F" w:rsidP="00430D51">
      <w:pPr>
        <w:jc w:val="both"/>
        <w:rPr>
          <w:rFonts w:ascii="Arial" w:hAnsi="Arial" w:cs="Arial"/>
          <w:b/>
          <w:bCs/>
        </w:rPr>
      </w:pPr>
    </w:p>
    <w:p w14:paraId="58AE04F7" w14:textId="77777777" w:rsidR="005D7E2F" w:rsidRDefault="005D7E2F" w:rsidP="00430D51">
      <w:pPr>
        <w:jc w:val="both"/>
        <w:rPr>
          <w:rFonts w:ascii="Arial" w:hAnsi="Arial" w:cs="Arial"/>
          <w:b/>
          <w:bCs/>
        </w:rPr>
      </w:pPr>
    </w:p>
    <w:p w14:paraId="7C7473BD" w14:textId="4CB157CA" w:rsidR="005D7E2F" w:rsidRDefault="005D7E2F" w:rsidP="00430D51">
      <w:pPr>
        <w:jc w:val="both"/>
        <w:rPr>
          <w:rFonts w:ascii="Arial" w:hAnsi="Arial" w:cs="Arial"/>
          <w:b/>
          <w:bCs/>
        </w:rPr>
      </w:pPr>
    </w:p>
    <w:p w14:paraId="159E6878" w14:textId="0B72DD54" w:rsidR="005D7E2F" w:rsidRDefault="005D7E2F" w:rsidP="00430D51">
      <w:pPr>
        <w:jc w:val="both"/>
        <w:rPr>
          <w:rFonts w:ascii="Arial" w:hAnsi="Arial" w:cs="Arial"/>
          <w:b/>
          <w:bCs/>
        </w:rPr>
      </w:pPr>
    </w:p>
    <w:p w14:paraId="0ACEF741" w14:textId="61D2EA3E" w:rsidR="005D7E2F" w:rsidRDefault="00E83924" w:rsidP="00430D51">
      <w:pPr>
        <w:jc w:val="both"/>
        <w:rPr>
          <w:rFonts w:ascii="Arial" w:hAnsi="Arial" w:cs="Arial"/>
          <w:b/>
          <w:bCs/>
        </w:rPr>
      </w:pPr>
      <w:r>
        <w:rPr>
          <w:noProof/>
        </w:rPr>
        <w:drawing>
          <wp:anchor distT="0" distB="0" distL="114300" distR="114300" simplePos="0" relativeHeight="251669504" behindDoc="1" locked="0" layoutInCell="1" allowOverlap="1" wp14:anchorId="79B5713D" wp14:editId="3AADF233">
            <wp:simplePos x="0" y="0"/>
            <wp:positionH relativeFrom="margin">
              <wp:posOffset>-171039</wp:posOffset>
            </wp:positionH>
            <wp:positionV relativeFrom="paragraph">
              <wp:posOffset>99297</wp:posOffset>
            </wp:positionV>
            <wp:extent cx="3616036" cy="2556342"/>
            <wp:effectExtent l="0" t="0" r="3810" b="0"/>
            <wp:wrapNone/>
            <wp:docPr id="4" name="Picture 3" descr="A pyramid of nee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pyramid of needs&#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16036" cy="2556342"/>
                    </a:xfrm>
                    <a:prstGeom prst="rect">
                      <a:avLst/>
                    </a:prstGeom>
                    <a:noFill/>
                    <a:ln>
                      <a:noFill/>
                    </a:ln>
                  </pic:spPr>
                </pic:pic>
              </a:graphicData>
            </a:graphic>
          </wp:anchor>
        </w:drawing>
      </w:r>
    </w:p>
    <w:p w14:paraId="57AD4D7A" w14:textId="039592A5" w:rsidR="005D7E2F" w:rsidRDefault="005D7E2F" w:rsidP="00430D51">
      <w:pPr>
        <w:jc w:val="both"/>
        <w:rPr>
          <w:rFonts w:ascii="Arial" w:hAnsi="Arial" w:cs="Arial"/>
          <w:b/>
          <w:bCs/>
        </w:rPr>
      </w:pPr>
    </w:p>
    <w:p w14:paraId="7F4CD2BB" w14:textId="14722F00" w:rsidR="002F482A" w:rsidRDefault="002F482A" w:rsidP="00430D51">
      <w:pPr>
        <w:jc w:val="both"/>
        <w:rPr>
          <w:rFonts w:ascii="Arial" w:hAnsi="Arial" w:cs="Arial"/>
          <w:b/>
          <w:bCs/>
        </w:rPr>
      </w:pPr>
    </w:p>
    <w:p w14:paraId="6518911C" w14:textId="2154FC7B" w:rsidR="002F482A" w:rsidRDefault="002F482A" w:rsidP="00430D51">
      <w:pPr>
        <w:jc w:val="both"/>
        <w:rPr>
          <w:rFonts w:ascii="Arial" w:hAnsi="Arial" w:cs="Arial"/>
          <w:b/>
          <w:bCs/>
        </w:rPr>
      </w:pPr>
    </w:p>
    <w:p w14:paraId="2FCCBB2B" w14:textId="77777777" w:rsidR="002F482A" w:rsidRDefault="002F482A" w:rsidP="00430D51">
      <w:pPr>
        <w:jc w:val="both"/>
        <w:rPr>
          <w:rFonts w:ascii="Arial" w:hAnsi="Arial" w:cs="Arial"/>
          <w:b/>
          <w:bCs/>
        </w:rPr>
      </w:pPr>
    </w:p>
    <w:p w14:paraId="0110928B" w14:textId="08C473A9" w:rsidR="002F482A" w:rsidRDefault="002F482A" w:rsidP="00430D51">
      <w:pPr>
        <w:jc w:val="both"/>
        <w:rPr>
          <w:rFonts w:ascii="Arial" w:hAnsi="Arial" w:cs="Arial"/>
          <w:b/>
          <w:bCs/>
        </w:rPr>
      </w:pPr>
    </w:p>
    <w:p w14:paraId="70258FE7" w14:textId="6A962DF2" w:rsidR="002F482A" w:rsidRDefault="002F482A" w:rsidP="00430D51">
      <w:pPr>
        <w:jc w:val="both"/>
        <w:rPr>
          <w:rFonts w:ascii="Arial" w:hAnsi="Arial" w:cs="Arial"/>
          <w:b/>
          <w:bCs/>
        </w:rPr>
      </w:pPr>
    </w:p>
    <w:p w14:paraId="05806869" w14:textId="69919453" w:rsidR="002F482A" w:rsidRDefault="002F482A" w:rsidP="00430D51">
      <w:pPr>
        <w:jc w:val="both"/>
        <w:rPr>
          <w:rFonts w:ascii="Arial" w:hAnsi="Arial" w:cs="Arial"/>
          <w:b/>
          <w:bCs/>
        </w:rPr>
      </w:pPr>
    </w:p>
    <w:p w14:paraId="6289EC12" w14:textId="10C74180" w:rsidR="002F482A" w:rsidRDefault="00E83924" w:rsidP="00430D51">
      <w:pPr>
        <w:jc w:val="both"/>
        <w:rPr>
          <w:rFonts w:ascii="Arial" w:hAnsi="Arial" w:cs="Arial"/>
          <w:b/>
          <w:bCs/>
        </w:rPr>
      </w:pPr>
      <w:r>
        <w:rPr>
          <w:rFonts w:ascii="Arial" w:hAnsi="Arial" w:cs="Arial"/>
          <w:b/>
          <w:bCs/>
          <w:noProof/>
        </w:rPr>
        <mc:AlternateContent>
          <mc:Choice Requires="wps">
            <w:drawing>
              <wp:anchor distT="0" distB="0" distL="114300" distR="114300" simplePos="0" relativeHeight="251670528" behindDoc="0" locked="0" layoutInCell="1" allowOverlap="1" wp14:anchorId="4728747C" wp14:editId="57082064">
                <wp:simplePos x="0" y="0"/>
                <wp:positionH relativeFrom="column">
                  <wp:posOffset>85519</wp:posOffset>
                </wp:positionH>
                <wp:positionV relativeFrom="paragraph">
                  <wp:posOffset>255558</wp:posOffset>
                </wp:positionV>
                <wp:extent cx="3151062" cy="539430"/>
                <wp:effectExtent l="0" t="0" r="0" b="0"/>
                <wp:wrapNone/>
                <wp:docPr id="467487797" name="Text Box 7"/>
                <wp:cNvGraphicFramePr/>
                <a:graphic xmlns:a="http://schemas.openxmlformats.org/drawingml/2006/main">
                  <a:graphicData uri="http://schemas.microsoft.com/office/word/2010/wordprocessingShape">
                    <wps:wsp>
                      <wps:cNvSpPr txBox="1"/>
                      <wps:spPr>
                        <a:xfrm>
                          <a:off x="0" y="0"/>
                          <a:ext cx="3151062" cy="539430"/>
                        </a:xfrm>
                        <a:prstGeom prst="rect">
                          <a:avLst/>
                        </a:prstGeom>
                        <a:solidFill>
                          <a:schemeClr val="lt1"/>
                        </a:solidFill>
                        <a:ln w="6350">
                          <a:noFill/>
                        </a:ln>
                      </wps:spPr>
                      <wps:txbx>
                        <w:txbxContent>
                          <w:p w14:paraId="4E910EAF" w14:textId="77777777" w:rsidR="00172643" w:rsidRPr="00E96484" w:rsidRDefault="00172643" w:rsidP="00172643">
                            <w:pPr>
                              <w:jc w:val="both"/>
                              <w:rPr>
                                <w:rFonts w:ascii="Arial" w:hAnsi="Arial" w:cs="Arial"/>
                              </w:rPr>
                            </w:pPr>
                            <w:r w:rsidRPr="00E96484">
                              <w:rPr>
                                <w:rFonts w:ascii="Arial" w:hAnsi="Arial" w:cs="Arial"/>
                              </w:rPr>
                              <w:t>(Source: ThoughtCo, 2020)</w:t>
                            </w:r>
                          </w:p>
                          <w:p w14:paraId="6A62E878" w14:textId="5C89775C" w:rsidR="00E83924" w:rsidRDefault="00E8392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728747C" id="Text Box 7" o:spid="_x0000_s1031" type="#_x0000_t202" style="position:absolute;left:0;text-align:left;margin-left:6.75pt;margin-top:20.1pt;width:248.1pt;height:42.4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zE+uMQIAAFsEAAAOAAAAZHJzL2Uyb0RvYy54bWysVEtv2zAMvg/YfxB0X2zntdaIU2QpMgwI&#10;2gLp0LMiS7EBWdQkJXb260fJea3badhFJkWKj+8jPXvoGkUOwroadEGzQUqJ0BzKWu8K+v119emO&#10;EueZLpkCLQp6FI4+zD9+mLUmF0OoQJXCEgyiXd6aglbemzxJHK9Ew9wAjNBolGAb5lG1u6S0rMXo&#10;jUqGaTpNWrClscCFc3j72BvpPMaXUnD/LKUTnqiCYm0+njae23Am8xnLd5aZquanMtg/VNGwWmPS&#10;S6hH5hnZ2/qPUE3NLTiQfsChSUDKmovYA3aTpe+62VTMiNgLguPMBSb3/8Lyp8PGvFjiuy/QIYEB&#10;kNa43OFl6KeTtglfrJSgHSE8XmATnSccL0fZJEunQ0o42iaj+/Eo4ppcXxvr/FcBDQlCQS3SEtFi&#10;h7XzmBFdzy4hmQNVl6taqaiEURBLZcmBIYnKxxrxxW9eSpO2oNPRJI2BNYTnfWSlMcG1pyD5btuR&#10;usRqz/1uoTwiDBb6CXGGr2qsdc2cf2EWRwI7xzH3z3hIBZgLThIlFdiff7sP/sgUWilpccQK6n7s&#10;mRWUqG8aObzPxuMwk1EZTz4PUbG3lu2tRe+bJSAAGS6U4VEM/l6dRWmhecNtWISsaGKaY+6C+rO4&#10;9P3g4zZxsVhEJ5xCw/xabwwPoQPggYnX7o1Zc6LLI9FPcB5Glr9jrfcNLzUs9h5kHSkNOPeonuDH&#10;CY5Mn7YtrMitHr2u/4T5LwAAAP//AwBQSwMEFAAGAAgAAAAhAHCxOH3fAAAACQEAAA8AAABkcnMv&#10;ZG93bnJldi54bWxMj0FPg0AQhe8m/ofNmHgx7VIQq8jSGKM28WapGm9bdgQiO0vYLeC/dzzp8eV7&#10;efNNvpltJ0YcfOtIwWoZgUCqnGmpVrAvHxfXIHzQZHTnCBV8o4dNcXqS68y4iV5w3IVa8Aj5TCto&#10;QugzKX3VoNV+6XokZp9usDpwHGppBj3xuO1kHEVX0uqW+EKje7xvsPraHa2Cj4v6/dnPT69Tkib9&#10;w3Ys12+mVOr8bL67BRFwDn9l+NVndSjY6eCOZLzoOCcpNxVcRjEI5ml0swZxYBCnK5BFLv9/UPwA&#10;AAD//wMAUEsBAi0AFAAGAAgAAAAhALaDOJL+AAAA4QEAABMAAAAAAAAAAAAAAAAAAAAAAFtDb250&#10;ZW50X1R5cGVzXS54bWxQSwECLQAUAAYACAAAACEAOP0h/9YAAACUAQAACwAAAAAAAAAAAAAAAAAv&#10;AQAAX3JlbHMvLnJlbHNQSwECLQAUAAYACAAAACEAtcxPrjECAABbBAAADgAAAAAAAAAAAAAAAAAu&#10;AgAAZHJzL2Uyb0RvYy54bWxQSwECLQAUAAYACAAAACEAcLE4fd8AAAAJAQAADwAAAAAAAAAAAAAA&#10;AACLBAAAZHJzL2Rvd25yZXYueG1sUEsFBgAAAAAEAAQA8wAAAJcFAAAAAA==&#10;" fillcolor="white [3201]" stroked="f" strokeweight=".5pt">
                <v:textbox>
                  <w:txbxContent>
                    <w:p w14:paraId="4E910EAF" w14:textId="77777777" w:rsidR="00172643" w:rsidRPr="00E96484" w:rsidRDefault="00172643" w:rsidP="00172643">
                      <w:pPr>
                        <w:jc w:val="both"/>
                        <w:rPr>
                          <w:rFonts w:ascii="Arial" w:hAnsi="Arial" w:cs="Arial"/>
                        </w:rPr>
                      </w:pPr>
                      <w:r w:rsidRPr="00E96484">
                        <w:rPr>
                          <w:rFonts w:ascii="Arial" w:hAnsi="Arial" w:cs="Arial"/>
                        </w:rPr>
                        <w:t>(Source: ThoughtCo, 2020)</w:t>
                      </w:r>
                    </w:p>
                    <w:p w14:paraId="6A62E878" w14:textId="5C89775C" w:rsidR="00E83924" w:rsidRDefault="00E83924"/>
                  </w:txbxContent>
                </v:textbox>
              </v:shape>
            </w:pict>
          </mc:Fallback>
        </mc:AlternateContent>
      </w:r>
    </w:p>
    <w:p w14:paraId="07D55776" w14:textId="2383815F" w:rsidR="002F482A" w:rsidRDefault="002F482A" w:rsidP="00430D51">
      <w:pPr>
        <w:jc w:val="both"/>
        <w:rPr>
          <w:rFonts w:ascii="Arial" w:hAnsi="Arial" w:cs="Arial"/>
          <w:b/>
          <w:bCs/>
        </w:rPr>
      </w:pPr>
    </w:p>
    <w:p w14:paraId="07D0B1A1" w14:textId="0700998A" w:rsidR="002F482A" w:rsidRDefault="002F482A" w:rsidP="00430D51">
      <w:pPr>
        <w:jc w:val="both"/>
        <w:rPr>
          <w:rFonts w:ascii="Arial" w:hAnsi="Arial" w:cs="Arial"/>
          <w:b/>
          <w:bCs/>
        </w:rPr>
      </w:pPr>
    </w:p>
    <w:p w14:paraId="3236035F" w14:textId="1A466A90" w:rsidR="002F482A" w:rsidRDefault="001269BF" w:rsidP="00430D51">
      <w:pPr>
        <w:jc w:val="both"/>
        <w:rPr>
          <w:rFonts w:ascii="Arial" w:hAnsi="Arial" w:cs="Arial"/>
          <w:b/>
          <w:bCs/>
        </w:rPr>
      </w:pPr>
      <w:r w:rsidRPr="001269BF">
        <w:rPr>
          <w:rFonts w:ascii="Arial" w:hAnsi="Arial" w:cs="Arial"/>
          <w:b/>
          <w:bCs/>
          <w:noProof/>
        </w:rPr>
        <w:lastRenderedPageBreak/>
        <mc:AlternateContent>
          <mc:Choice Requires="wps">
            <w:drawing>
              <wp:anchor distT="45720" distB="45720" distL="114300" distR="114300" simplePos="0" relativeHeight="251642880" behindDoc="0" locked="0" layoutInCell="1" allowOverlap="1" wp14:anchorId="2B9B6957" wp14:editId="47D3F946">
                <wp:simplePos x="0" y="0"/>
                <wp:positionH relativeFrom="page">
                  <wp:align>right</wp:align>
                </wp:positionH>
                <wp:positionV relativeFrom="paragraph">
                  <wp:posOffset>229870</wp:posOffset>
                </wp:positionV>
                <wp:extent cx="5104130" cy="5356225"/>
                <wp:effectExtent l="228600" t="228600" r="248920" b="244475"/>
                <wp:wrapSquare wrapText="bothSides"/>
                <wp:docPr id="10792750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04130" cy="5356476"/>
                        </a:xfrm>
                        <a:prstGeom prst="rect">
                          <a:avLst/>
                        </a:prstGeom>
                        <a:solidFill>
                          <a:srgbClr val="FFFFFF"/>
                        </a:solidFill>
                        <a:ln w="9525">
                          <a:solidFill>
                            <a:schemeClr val="accent1">
                              <a:lumMod val="40000"/>
                              <a:lumOff val="60000"/>
                            </a:schemeClr>
                          </a:solidFill>
                          <a:miter lim="800000"/>
                          <a:headEnd/>
                          <a:tailEnd/>
                        </a:ln>
                        <a:effectLst>
                          <a:glow rad="228600">
                            <a:schemeClr val="accent4">
                              <a:satMod val="175000"/>
                              <a:alpha val="40000"/>
                            </a:schemeClr>
                          </a:glow>
                        </a:effectLst>
                      </wps:spPr>
                      <wps:txbx>
                        <w:txbxContent>
                          <w:p w14:paraId="1BFD8722" w14:textId="7BDB8D8A" w:rsidR="00FD0B36" w:rsidRPr="00776E37" w:rsidRDefault="00FD0B36" w:rsidP="00FD0B36">
                            <w:pPr>
                              <w:spacing w:before="100" w:beforeAutospacing="1" w:after="100" w:afterAutospacing="1" w:line="240" w:lineRule="auto"/>
                              <w:rPr>
                                <w:rFonts w:ascii="Arial" w:eastAsia="Times New Roman" w:hAnsi="Arial" w:cs="Arial"/>
                                <w:kern w:val="0"/>
                                <w:lang w:eastAsia="en-GB"/>
                                <w14:ligatures w14:val="none"/>
                              </w:rPr>
                            </w:pPr>
                            <w:r w:rsidRPr="00776E37">
                              <w:rPr>
                                <w:rFonts w:ascii="Arial" w:eastAsia="Times New Roman" w:hAnsi="Arial" w:cs="Arial"/>
                                <w:b/>
                                <w:bCs/>
                                <w:kern w:val="0"/>
                                <w:lang w:eastAsia="en-GB"/>
                                <w14:ligatures w14:val="none"/>
                              </w:rPr>
                              <w:t>A balanced diet</w:t>
                            </w:r>
                            <w:r w:rsidRPr="00776E37">
                              <w:rPr>
                                <w:rFonts w:ascii="Arial" w:eastAsia="Times New Roman" w:hAnsi="Arial" w:cs="Arial"/>
                                <w:kern w:val="0"/>
                                <w:lang w:eastAsia="en-GB"/>
                                <w14:ligatures w14:val="none"/>
                              </w:rPr>
                              <w:t>, regular physical activity, and adequate sleep contribute to the foundational health that supports other dimensions of well-being. For example, LeBlanc et al. (2017) highlight that children engaging in regular physical activity demonstrate enhanced cognitive function, including improved memory and attention. Similarly, consistent sleep routines have been linked to better emotional regulation and resilience, key components of overall well-being</w:t>
                            </w:r>
                            <w:r w:rsidRPr="00A83E3D">
                              <w:rPr>
                                <w:rFonts w:ascii="Arial" w:eastAsia="Times New Roman" w:hAnsi="Arial" w:cs="Arial"/>
                                <w:color w:val="FF0000"/>
                                <w:kern w:val="0"/>
                                <w:lang w:eastAsia="en-GB"/>
                                <w14:ligatures w14:val="none"/>
                              </w:rPr>
                              <w:t xml:space="preserve"> </w:t>
                            </w:r>
                            <w:r w:rsidRPr="00A83E3D">
                              <w:rPr>
                                <w:rFonts w:ascii="Arial" w:eastAsia="Times New Roman" w:hAnsi="Arial" w:cs="Arial"/>
                                <w:kern w:val="0"/>
                                <w:lang w:eastAsia="en-GB"/>
                                <w14:ligatures w14:val="none"/>
                              </w:rPr>
                              <w:t>(</w:t>
                            </w:r>
                            <w:r w:rsidRPr="00A83E3D">
                              <w:rPr>
                                <w:rFonts w:ascii="Arial" w:hAnsi="Arial" w:cs="Arial"/>
                                <w:shd w:val="clear" w:color="auto" w:fill="FFFFFF"/>
                              </w:rPr>
                              <w:t xml:space="preserve">Jusienė and Breidokienė, 2019; D’Cruz, </w:t>
                            </w:r>
                            <w:r w:rsidRPr="00A83E3D">
                              <w:rPr>
                                <w:rFonts w:ascii="Arial" w:hAnsi="Arial" w:cs="Arial"/>
                                <w:i/>
                                <w:iCs/>
                                <w:shd w:val="clear" w:color="auto" w:fill="FFFFFF"/>
                              </w:rPr>
                              <w:t>et al.,</w:t>
                            </w:r>
                            <w:r w:rsidRPr="00A83E3D">
                              <w:rPr>
                                <w:rFonts w:ascii="Arial" w:hAnsi="Arial" w:cs="Arial"/>
                                <w:shd w:val="clear" w:color="auto" w:fill="FFFFFF"/>
                              </w:rPr>
                              <w:t> 2024).</w:t>
                            </w:r>
                          </w:p>
                          <w:p w14:paraId="6835DE9E" w14:textId="77777777" w:rsidR="00FD0B36" w:rsidRPr="00776E37" w:rsidRDefault="00FD0B36" w:rsidP="00FD0B36">
                            <w:pPr>
                              <w:spacing w:before="100" w:beforeAutospacing="1" w:after="100" w:afterAutospacing="1" w:line="240" w:lineRule="auto"/>
                              <w:jc w:val="both"/>
                              <w:rPr>
                                <w:rFonts w:ascii="Arial" w:eastAsia="Times New Roman" w:hAnsi="Arial" w:cs="Arial"/>
                                <w:kern w:val="0"/>
                                <w:lang w:eastAsia="en-GB"/>
                                <w14:ligatures w14:val="none"/>
                              </w:rPr>
                            </w:pPr>
                            <w:r w:rsidRPr="00776E37">
                              <w:rPr>
                                <w:rFonts w:ascii="Arial" w:eastAsia="Times New Roman" w:hAnsi="Arial" w:cs="Arial"/>
                                <w:kern w:val="0"/>
                                <w:lang w:eastAsia="en-GB"/>
                                <w14:ligatures w14:val="none"/>
                              </w:rPr>
                              <w:t>Educational systems also play a pivotal role in nurturing well-being. The Welsh Government’s Curriculum for Wales (</w:t>
                            </w:r>
                            <w:r w:rsidRPr="00DE5B81">
                              <w:rPr>
                                <w:rFonts w:ascii="Arial" w:eastAsia="Times New Roman" w:hAnsi="Arial" w:cs="Arial"/>
                                <w:kern w:val="0"/>
                                <w:lang w:eastAsia="en-GB"/>
                                <w14:ligatures w14:val="none"/>
                              </w:rPr>
                              <w:t xml:space="preserve">2020 and </w:t>
                            </w:r>
                            <w:r w:rsidRPr="00776E37">
                              <w:rPr>
                                <w:rFonts w:ascii="Arial" w:eastAsia="Times New Roman" w:hAnsi="Arial" w:cs="Arial"/>
                                <w:kern w:val="0"/>
                                <w:lang w:eastAsia="en-GB"/>
                                <w14:ligatures w14:val="none"/>
                              </w:rPr>
                              <w:t>2022) promotes a holistic approach, integrating health, relationships, and emotional literacy within its framework. This ensures that children develop not only academically but also socially and emotionally. Moreover, embedding well-being within educational policies allows practitioners to tailor interventions that address the unique needs of children from diverse backgrounds, promoting equity and inclusivity. By prioritizing well-being, educational systems empower children to thrive academically while fostering long-term personal growth.</w:t>
                            </w:r>
                          </w:p>
                          <w:p w14:paraId="75AA473C" w14:textId="77777777" w:rsidR="00FD0B36" w:rsidRPr="00776E37" w:rsidRDefault="00FD0B36" w:rsidP="00FD0B36">
                            <w:pPr>
                              <w:spacing w:before="100" w:beforeAutospacing="1" w:after="100" w:afterAutospacing="1" w:line="240" w:lineRule="auto"/>
                              <w:jc w:val="both"/>
                              <w:rPr>
                                <w:rFonts w:ascii="Arial" w:eastAsia="Times New Roman" w:hAnsi="Arial" w:cs="Arial"/>
                                <w:kern w:val="0"/>
                                <w:lang w:eastAsia="en-GB"/>
                                <w14:ligatures w14:val="none"/>
                              </w:rPr>
                            </w:pPr>
                            <w:r w:rsidRPr="00776E37">
                              <w:rPr>
                                <w:rFonts w:ascii="Arial" w:eastAsia="Times New Roman" w:hAnsi="Arial" w:cs="Arial"/>
                                <w:kern w:val="0"/>
                                <w:lang w:eastAsia="en-GB"/>
                                <w14:ligatures w14:val="none"/>
                              </w:rPr>
                              <w:t>Well-being, particularly in childhood, is both a protective factor and a springboard for future success. A comprehensive understanding, informed by evidence-based strategies, empowers practitioners to address barriers and create opportunities for flourishing development. Practitioners play a critical role in recognizing and addressing factors that may impede well-being, such as socioeconomic inequalities or ACEs. By creating nurturing environments and fostering positive relationships, they contribute significantly to the holistic development of children, equipping them with the tools needed to succeed throughout their lives.</w:t>
                            </w:r>
                          </w:p>
                          <w:p w14:paraId="16C39902" w14:textId="56269019" w:rsidR="001269BF" w:rsidRDefault="001269B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9B6957" id="Text Box 2" o:spid="_x0000_s1032" type="#_x0000_t202" style="position:absolute;left:0;text-align:left;margin-left:350.7pt;margin-top:18.1pt;width:401.9pt;height:421.75pt;z-index:251642880;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5RxaAIAAPUEAAAOAAAAZHJzL2Uyb0RvYy54bWysVF1v2yAUfZ+0/4B4Xx2ndppadaquXadJ&#10;3YfU7QfcYByjYS4DErv79bvgNE3bPU3zAwKuOfecy7lcXI69ZjvpvEJT8/xkxpk0AhtlNjX/8f32&#10;3ZIzH8A0oNHImj9Izy9Xb99cDLaSc+xQN9IxAjG+GmzNuxBslWVedLIHf4JWGgq26HoItHSbrHEw&#10;EHqvs/lstsgGdI11KKT3tHszBfkq4betFOFr23oZmK45cQtpdGlcxzFbXUC1cWA7JfY04B9Y9KAM&#10;JT1A3UAAtnXqFVSvhEOPbTgR2GfYtkrIpIHU5LMXau47sDJpoeJ4eyiT/3+w4svu3n5zLIzvcaQL&#10;TCK8vUPx0zOD1x2YjbxyDodOQkOJ81iybLC+2h+NpfaVjyDr4TM2dMmwDZiAxtb1sSqkkxE6XcDD&#10;oehyDEzQZpnPivyUQoJi5Wm5KM4WKQdUj8et8+GjxJ7FSc0d3WqCh92dD5EOVI+/xGwetWpuldZp&#10;4Tbra+3YDsgBt+nboz/7TRs21Py8nJdTBZ5BRDPKAwgIIU2YKqW3PUmewIsZfZOhaJtsN20vHreJ&#10;ZbJ1REqcnxHoVaBG0Kqv+TKe2CPFqn8wTbJpAKWnOUFpE9XJZHGqQlxsNA7MQVPz+XxJaSclfyNf&#10;TCEIB/L5WXnICdp28ELTK/IxWVJxRCHZIjph8kQY1yNTRCfdZ3TJGpsH8onDqQ/p3aBJh+43ZwP1&#10;YM39ry04yZn+ZMhr53lRxKZNi6I8m9PCHUfWxxEwgqBqHjibptchNXosjcEr8mSrkluemOydTL2V&#10;pOzfgdi8x+v019NrtfoDAAD//wMAUEsDBBQABgAIAAAAIQDQyLen3QAAAAcBAAAPAAAAZHJzL2Rv&#10;d25yZXYueG1sTI/NbsIwEITvlXgHa5G4FQeo+EnjoKoit15Kc+jRxEtiEa9DbEjap+/21N5mNauZ&#10;b7L96Fpxxz5YTwoW8wQEUuWNpVpB+VE8bkGEqMno1hMq+MIA+3zykOnU+IHe8X6MteAQCqlW0MTY&#10;pVKGqkGnw9x3SOydfe905LOvpen1wOGulcskWUunLXFDozt8bbC6HG9Owbnoiuvh7dNVT9+7hbVF&#10;OdRDqdRsOr48g4g4xr9n+MVndMiZ6eRvZIJoFfCQqGC1XoJgd5useMiJxWa3AZln8j9//gMAAP//&#10;AwBQSwECLQAUAAYACAAAACEAtoM4kv4AAADhAQAAEwAAAAAAAAAAAAAAAAAAAAAAW0NvbnRlbnRf&#10;VHlwZXNdLnhtbFBLAQItABQABgAIAAAAIQA4/SH/1gAAAJQBAAALAAAAAAAAAAAAAAAAAC8BAABf&#10;cmVscy8ucmVsc1BLAQItABQABgAIAAAAIQArj5RxaAIAAPUEAAAOAAAAAAAAAAAAAAAAAC4CAABk&#10;cnMvZTJvRG9jLnhtbFBLAQItABQABgAIAAAAIQDQyLen3QAAAAcBAAAPAAAAAAAAAAAAAAAAAMIE&#10;AABkcnMvZG93bnJldi54bWxQSwUGAAAAAAQABADzAAAAzAUAAAAA&#10;" strokecolor="#83caeb [1300]">
                <v:textbox>
                  <w:txbxContent>
                    <w:p w14:paraId="1BFD8722" w14:textId="7BDB8D8A" w:rsidR="00FD0B36" w:rsidRPr="00776E37" w:rsidRDefault="00FD0B36" w:rsidP="00FD0B36">
                      <w:pPr>
                        <w:spacing w:before="100" w:beforeAutospacing="1" w:after="100" w:afterAutospacing="1" w:line="240" w:lineRule="auto"/>
                        <w:rPr>
                          <w:rFonts w:ascii="Arial" w:eastAsia="Times New Roman" w:hAnsi="Arial" w:cs="Arial"/>
                          <w:kern w:val="0"/>
                          <w:lang w:eastAsia="en-GB"/>
                          <w14:ligatures w14:val="none"/>
                        </w:rPr>
                      </w:pPr>
                      <w:r w:rsidRPr="00776E37">
                        <w:rPr>
                          <w:rFonts w:ascii="Arial" w:eastAsia="Times New Roman" w:hAnsi="Arial" w:cs="Arial"/>
                          <w:b/>
                          <w:bCs/>
                          <w:kern w:val="0"/>
                          <w:lang w:eastAsia="en-GB"/>
                          <w14:ligatures w14:val="none"/>
                        </w:rPr>
                        <w:t>A balanced diet</w:t>
                      </w:r>
                      <w:r w:rsidRPr="00776E37">
                        <w:rPr>
                          <w:rFonts w:ascii="Arial" w:eastAsia="Times New Roman" w:hAnsi="Arial" w:cs="Arial"/>
                          <w:kern w:val="0"/>
                          <w:lang w:eastAsia="en-GB"/>
                          <w14:ligatures w14:val="none"/>
                        </w:rPr>
                        <w:t>, regular physical activity, and adequate sleep contribute to the foundational health that supports other dimensions of well-being. For example, LeBlanc et al. (2017) highlight that children engaging in regular physical activity demonstrate enhanced cognitive function, including improved memory and attention. Similarly, consistent sleep routines have been linked to better emotional regulation and resilience, key components of overall well-being</w:t>
                      </w:r>
                      <w:r w:rsidRPr="00A83E3D">
                        <w:rPr>
                          <w:rFonts w:ascii="Arial" w:eastAsia="Times New Roman" w:hAnsi="Arial" w:cs="Arial"/>
                          <w:color w:val="FF0000"/>
                          <w:kern w:val="0"/>
                          <w:lang w:eastAsia="en-GB"/>
                          <w14:ligatures w14:val="none"/>
                        </w:rPr>
                        <w:t xml:space="preserve"> </w:t>
                      </w:r>
                      <w:r w:rsidRPr="00A83E3D">
                        <w:rPr>
                          <w:rFonts w:ascii="Arial" w:eastAsia="Times New Roman" w:hAnsi="Arial" w:cs="Arial"/>
                          <w:kern w:val="0"/>
                          <w:lang w:eastAsia="en-GB"/>
                          <w14:ligatures w14:val="none"/>
                        </w:rPr>
                        <w:t>(</w:t>
                      </w:r>
                      <w:r w:rsidRPr="00A83E3D">
                        <w:rPr>
                          <w:rFonts w:ascii="Arial" w:hAnsi="Arial" w:cs="Arial"/>
                          <w:shd w:val="clear" w:color="auto" w:fill="FFFFFF"/>
                        </w:rPr>
                        <w:t xml:space="preserve">Jusienė and Breidokienė, 2019; D’Cruz, </w:t>
                      </w:r>
                      <w:r w:rsidRPr="00A83E3D">
                        <w:rPr>
                          <w:rFonts w:ascii="Arial" w:hAnsi="Arial" w:cs="Arial"/>
                          <w:i/>
                          <w:iCs/>
                          <w:shd w:val="clear" w:color="auto" w:fill="FFFFFF"/>
                        </w:rPr>
                        <w:t>et al.,</w:t>
                      </w:r>
                      <w:r w:rsidRPr="00A83E3D">
                        <w:rPr>
                          <w:rFonts w:ascii="Arial" w:hAnsi="Arial" w:cs="Arial"/>
                          <w:shd w:val="clear" w:color="auto" w:fill="FFFFFF"/>
                        </w:rPr>
                        <w:t> 2024).</w:t>
                      </w:r>
                    </w:p>
                    <w:p w14:paraId="6835DE9E" w14:textId="77777777" w:rsidR="00FD0B36" w:rsidRPr="00776E37" w:rsidRDefault="00FD0B36" w:rsidP="00FD0B36">
                      <w:pPr>
                        <w:spacing w:before="100" w:beforeAutospacing="1" w:after="100" w:afterAutospacing="1" w:line="240" w:lineRule="auto"/>
                        <w:jc w:val="both"/>
                        <w:rPr>
                          <w:rFonts w:ascii="Arial" w:eastAsia="Times New Roman" w:hAnsi="Arial" w:cs="Arial"/>
                          <w:kern w:val="0"/>
                          <w:lang w:eastAsia="en-GB"/>
                          <w14:ligatures w14:val="none"/>
                        </w:rPr>
                      </w:pPr>
                      <w:r w:rsidRPr="00776E37">
                        <w:rPr>
                          <w:rFonts w:ascii="Arial" w:eastAsia="Times New Roman" w:hAnsi="Arial" w:cs="Arial"/>
                          <w:kern w:val="0"/>
                          <w:lang w:eastAsia="en-GB"/>
                          <w14:ligatures w14:val="none"/>
                        </w:rPr>
                        <w:t>Educational systems also play a pivotal role in nurturing well-being. The Welsh Government’s Curriculum for Wales (</w:t>
                      </w:r>
                      <w:r w:rsidRPr="00DE5B81">
                        <w:rPr>
                          <w:rFonts w:ascii="Arial" w:eastAsia="Times New Roman" w:hAnsi="Arial" w:cs="Arial"/>
                          <w:kern w:val="0"/>
                          <w:lang w:eastAsia="en-GB"/>
                          <w14:ligatures w14:val="none"/>
                        </w:rPr>
                        <w:t xml:space="preserve">2020 and </w:t>
                      </w:r>
                      <w:r w:rsidRPr="00776E37">
                        <w:rPr>
                          <w:rFonts w:ascii="Arial" w:eastAsia="Times New Roman" w:hAnsi="Arial" w:cs="Arial"/>
                          <w:kern w:val="0"/>
                          <w:lang w:eastAsia="en-GB"/>
                          <w14:ligatures w14:val="none"/>
                        </w:rPr>
                        <w:t>2022) promotes a holistic approach, integrating health, relationships, and emotional literacy within its framework. This ensures that children develop not only academically but also socially and emotionally. Moreover, embedding well-being within educational policies allows practitioners to tailor interventions that address the unique needs of children from diverse backgrounds, promoting equity and inclusivity. By prioritizing well-being, educational systems empower children to thrive academically while fostering long-term personal growth.</w:t>
                      </w:r>
                    </w:p>
                    <w:p w14:paraId="75AA473C" w14:textId="77777777" w:rsidR="00FD0B36" w:rsidRPr="00776E37" w:rsidRDefault="00FD0B36" w:rsidP="00FD0B36">
                      <w:pPr>
                        <w:spacing w:before="100" w:beforeAutospacing="1" w:after="100" w:afterAutospacing="1" w:line="240" w:lineRule="auto"/>
                        <w:jc w:val="both"/>
                        <w:rPr>
                          <w:rFonts w:ascii="Arial" w:eastAsia="Times New Roman" w:hAnsi="Arial" w:cs="Arial"/>
                          <w:kern w:val="0"/>
                          <w:lang w:eastAsia="en-GB"/>
                          <w14:ligatures w14:val="none"/>
                        </w:rPr>
                      </w:pPr>
                      <w:r w:rsidRPr="00776E37">
                        <w:rPr>
                          <w:rFonts w:ascii="Arial" w:eastAsia="Times New Roman" w:hAnsi="Arial" w:cs="Arial"/>
                          <w:kern w:val="0"/>
                          <w:lang w:eastAsia="en-GB"/>
                          <w14:ligatures w14:val="none"/>
                        </w:rPr>
                        <w:t>Well-being, particularly in childhood, is both a protective factor and a springboard for future success. A comprehensive understanding, informed by evidence-based strategies, empowers practitioners to address barriers and create opportunities for flourishing development. Practitioners play a critical role in recognizing and addressing factors that may impede well-being, such as socioeconomic inequalities or ACEs. By creating nurturing environments and fostering positive relationships, they contribute significantly to the holistic development of children, equipping them with the tools needed to succeed throughout their lives.</w:t>
                      </w:r>
                    </w:p>
                    <w:p w14:paraId="16C39902" w14:textId="56269019" w:rsidR="001269BF" w:rsidRDefault="001269BF"/>
                  </w:txbxContent>
                </v:textbox>
                <w10:wrap type="square" anchorx="page"/>
              </v:shape>
            </w:pict>
          </mc:Fallback>
        </mc:AlternateContent>
      </w:r>
      <w:r w:rsidR="008960C8" w:rsidRPr="008960C8">
        <w:rPr>
          <w:rFonts w:ascii="Arial" w:hAnsi="Arial" w:cs="Arial"/>
          <w:b/>
          <w:bCs/>
          <w:noProof/>
        </w:rPr>
        <mc:AlternateContent>
          <mc:Choice Requires="wps">
            <w:drawing>
              <wp:anchor distT="45720" distB="45720" distL="114300" distR="114300" simplePos="0" relativeHeight="251641856" behindDoc="0" locked="0" layoutInCell="1" allowOverlap="1" wp14:anchorId="2BFB6C49" wp14:editId="70130102">
                <wp:simplePos x="0" y="0"/>
                <wp:positionH relativeFrom="column">
                  <wp:posOffset>-409575</wp:posOffset>
                </wp:positionH>
                <wp:positionV relativeFrom="paragraph">
                  <wp:posOffset>228600</wp:posOffset>
                </wp:positionV>
                <wp:extent cx="4598035" cy="6204585"/>
                <wp:effectExtent l="228600" t="228600" r="240665" b="2533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98035" cy="6204585"/>
                        </a:xfrm>
                        <a:prstGeom prst="rect">
                          <a:avLst/>
                        </a:prstGeom>
                        <a:solidFill>
                          <a:srgbClr val="FFFFFF"/>
                        </a:solidFill>
                        <a:ln w="9525">
                          <a:solidFill>
                            <a:schemeClr val="accent5">
                              <a:lumMod val="60000"/>
                              <a:lumOff val="40000"/>
                            </a:schemeClr>
                          </a:solidFill>
                          <a:miter lim="800000"/>
                          <a:headEnd/>
                          <a:tailEnd/>
                        </a:ln>
                        <a:effectLst>
                          <a:glow rad="228600">
                            <a:schemeClr val="accent5">
                              <a:satMod val="175000"/>
                              <a:alpha val="40000"/>
                            </a:schemeClr>
                          </a:glow>
                        </a:effectLst>
                      </wps:spPr>
                      <wps:txbx>
                        <w:txbxContent>
                          <w:p w14:paraId="5A049F28" w14:textId="35036C83" w:rsidR="00D03FD9" w:rsidRPr="00776E37" w:rsidRDefault="00D03FD9" w:rsidP="00440C1B">
                            <w:pPr>
                              <w:spacing w:before="100" w:beforeAutospacing="1" w:after="100" w:afterAutospacing="1" w:line="240" w:lineRule="auto"/>
                              <w:rPr>
                                <w:rFonts w:ascii="Arial" w:eastAsia="Times New Roman" w:hAnsi="Arial" w:cs="Arial"/>
                                <w:kern w:val="0"/>
                                <w:lang w:eastAsia="en-GB"/>
                                <w14:ligatures w14:val="none"/>
                              </w:rPr>
                            </w:pPr>
                            <w:r w:rsidRPr="00776E37">
                              <w:rPr>
                                <w:rFonts w:ascii="Arial" w:eastAsia="Times New Roman" w:hAnsi="Arial" w:cs="Arial"/>
                                <w:b/>
                                <w:bCs/>
                                <w:kern w:val="0"/>
                                <w:lang w:eastAsia="en-GB"/>
                                <w14:ligatures w14:val="none"/>
                              </w:rPr>
                              <w:t>Well-being</w:t>
                            </w:r>
                            <w:r w:rsidRPr="00776E37">
                              <w:rPr>
                                <w:rFonts w:ascii="Arial" w:eastAsia="Times New Roman" w:hAnsi="Arial" w:cs="Arial"/>
                                <w:kern w:val="0"/>
                                <w:lang w:eastAsia="en-GB"/>
                                <w14:ligatures w14:val="none"/>
                              </w:rPr>
                              <w:t xml:space="preserve"> is a multifaceted concept central to overall human development, particularly in early childhood. It is not simply the absence of illness but rather a positive state of physical, emotional, and social health (WHO, 202</w:t>
                            </w:r>
                            <w:r>
                              <w:rPr>
                                <w:rFonts w:ascii="Arial" w:eastAsia="Times New Roman" w:hAnsi="Arial" w:cs="Arial"/>
                                <w:kern w:val="0"/>
                                <w:lang w:eastAsia="en-GB"/>
                                <w14:ligatures w14:val="none"/>
                              </w:rPr>
                              <w:t>3 and 2024</w:t>
                            </w:r>
                            <w:r w:rsidRPr="00776E37">
                              <w:rPr>
                                <w:rFonts w:ascii="Arial" w:eastAsia="Times New Roman" w:hAnsi="Arial" w:cs="Arial"/>
                                <w:kern w:val="0"/>
                                <w:lang w:eastAsia="en-GB"/>
                                <w14:ligatures w14:val="none"/>
                              </w:rPr>
                              <w:t xml:space="preserve">). Dodge </w:t>
                            </w:r>
                            <w:r w:rsidRPr="00776E37">
                              <w:rPr>
                                <w:rFonts w:ascii="Arial" w:eastAsia="Times New Roman" w:hAnsi="Arial" w:cs="Arial"/>
                                <w:i/>
                                <w:iCs/>
                                <w:kern w:val="0"/>
                                <w:lang w:eastAsia="en-GB"/>
                                <w14:ligatures w14:val="none"/>
                              </w:rPr>
                              <w:t>et al.</w:t>
                            </w:r>
                            <w:r w:rsidRPr="00776E37">
                              <w:rPr>
                                <w:rFonts w:ascii="Arial" w:eastAsia="Times New Roman" w:hAnsi="Arial" w:cs="Arial"/>
                                <w:kern w:val="0"/>
                                <w:lang w:eastAsia="en-GB"/>
                                <w14:ligatures w14:val="none"/>
                              </w:rPr>
                              <w:t xml:space="preserve"> (2012) describe well-being as a dynamic equilibrium between the challenges individuals face and the resources they possess. This perspective underscores the importance of providing children with supportive environments that nurture their holistic development. Supportive environments, particularly those established in educational and childcare settings, can act as protective factors against adverse childhood experiences (ACEs), helping children navigate complex challenges effectively</w:t>
                            </w:r>
                            <w:r w:rsidRPr="004E1D46">
                              <w:rPr>
                                <w:rFonts w:ascii="Arial" w:hAnsi="Arial" w:cs="Arial"/>
                                <w:color w:val="FF0000"/>
                                <w:shd w:val="clear" w:color="auto" w:fill="FFFFFF"/>
                              </w:rPr>
                              <w:t xml:space="preserve"> </w:t>
                            </w:r>
                            <w:r w:rsidRPr="00501309">
                              <w:rPr>
                                <w:rFonts w:ascii="Arial" w:hAnsi="Arial" w:cs="Arial"/>
                                <w:shd w:val="clear" w:color="auto" w:fill="FFFFFF"/>
                              </w:rPr>
                              <w:t>(Kalmakis and Chandler, 2015; Monnat and Chandler, 2015).</w:t>
                            </w:r>
                          </w:p>
                          <w:p w14:paraId="7E5A9DFD" w14:textId="77777777" w:rsidR="00D03FD9" w:rsidRPr="00776E37" w:rsidRDefault="00D03FD9" w:rsidP="00D03FD9">
                            <w:pPr>
                              <w:spacing w:before="100" w:beforeAutospacing="1" w:after="100" w:afterAutospacing="1" w:line="240" w:lineRule="auto"/>
                              <w:rPr>
                                <w:rFonts w:ascii="Arial" w:eastAsia="Times New Roman" w:hAnsi="Arial" w:cs="Arial"/>
                                <w:kern w:val="0"/>
                                <w:lang w:eastAsia="en-GB"/>
                                <w14:ligatures w14:val="none"/>
                              </w:rPr>
                            </w:pPr>
                            <w:r w:rsidRPr="00776E37">
                              <w:rPr>
                                <w:rFonts w:ascii="Arial" w:eastAsia="Times New Roman" w:hAnsi="Arial" w:cs="Arial"/>
                                <w:kern w:val="0"/>
                                <w:lang w:eastAsia="en-GB"/>
                                <w14:ligatures w14:val="none"/>
                              </w:rPr>
                              <w:t>In early childhood, social well-being is closely linked to the quality of relationships with caregivers and peers. Positive interactions provide children with a sense of security, fostering emotional stability and social competence. Research by</w:t>
                            </w:r>
                            <w:r>
                              <w:rPr>
                                <w:rFonts w:ascii="Arial" w:eastAsia="Times New Roman" w:hAnsi="Arial" w:cs="Arial"/>
                                <w:kern w:val="0"/>
                                <w:lang w:eastAsia="en-GB"/>
                                <w14:ligatures w14:val="none"/>
                              </w:rPr>
                              <w:t xml:space="preserve"> </w:t>
                            </w:r>
                            <w:r w:rsidRPr="00C14C10">
                              <w:rPr>
                                <w:rFonts w:ascii="Arial" w:hAnsi="Arial" w:cs="Arial"/>
                                <w:shd w:val="clear" w:color="auto" w:fill="FFFFFF"/>
                              </w:rPr>
                              <w:t>Howells, </w:t>
                            </w:r>
                            <w:r w:rsidRPr="00C14C10">
                              <w:rPr>
                                <w:rFonts w:ascii="Arial" w:hAnsi="Arial" w:cs="Arial"/>
                                <w:i/>
                                <w:iCs/>
                                <w:shd w:val="clear" w:color="auto" w:fill="FFFFFF"/>
                              </w:rPr>
                              <w:t>et al.,</w:t>
                            </w:r>
                            <w:r w:rsidRPr="00C14C10">
                              <w:rPr>
                                <w:rFonts w:ascii="Arial" w:hAnsi="Arial" w:cs="Arial"/>
                                <w:shd w:val="clear" w:color="auto" w:fill="FFFFFF"/>
                              </w:rPr>
                              <w:t> (2023); Miljević-Riðički, Plantak and Bouillet, (2017); Westphaln, </w:t>
                            </w:r>
                            <w:r w:rsidRPr="00C14C10">
                              <w:rPr>
                                <w:rFonts w:ascii="Arial" w:hAnsi="Arial" w:cs="Arial"/>
                                <w:i/>
                                <w:iCs/>
                                <w:shd w:val="clear" w:color="auto" w:fill="FFFFFF"/>
                              </w:rPr>
                              <w:t>et al.,</w:t>
                            </w:r>
                            <w:r w:rsidRPr="00C14C10">
                              <w:rPr>
                                <w:rFonts w:ascii="Arial" w:hAnsi="Arial" w:cs="Arial"/>
                                <w:shd w:val="clear" w:color="auto" w:fill="FFFFFF"/>
                              </w:rPr>
                              <w:t xml:space="preserve"> (2022); Oberle, </w:t>
                            </w:r>
                            <w:r w:rsidRPr="00C14C10">
                              <w:rPr>
                                <w:rFonts w:ascii="Arial" w:hAnsi="Arial" w:cs="Arial"/>
                                <w:i/>
                                <w:iCs/>
                                <w:shd w:val="clear" w:color="auto" w:fill="FFFFFF"/>
                              </w:rPr>
                              <w:t>et al.,</w:t>
                            </w:r>
                            <w:r w:rsidRPr="00C14C10">
                              <w:rPr>
                                <w:rFonts w:ascii="Arial" w:hAnsi="Arial" w:cs="Arial"/>
                                <w:shd w:val="clear" w:color="auto" w:fill="FFFFFF"/>
                              </w:rPr>
                              <w:t xml:space="preserve"> (2014) </w:t>
                            </w:r>
                            <w:r w:rsidRPr="00776E37">
                              <w:rPr>
                                <w:rFonts w:ascii="Arial" w:eastAsia="Times New Roman" w:hAnsi="Arial" w:cs="Arial"/>
                                <w:kern w:val="0"/>
                                <w:lang w:eastAsia="en-GB"/>
                                <w14:ligatures w14:val="none"/>
                              </w:rPr>
                              <w:t>highlights the role of supportive relationships in promoting resilience and emotional regulation, key aspects of well-being. Additionally, emotional well-being in early years is associated with the ability to recognize and manage feelings, skills that practitioners can foster through structured emotional literacy programs</w:t>
                            </w:r>
                            <w:r w:rsidRPr="00204C8B">
                              <w:rPr>
                                <w:rFonts w:ascii="Arial" w:eastAsia="Times New Roman" w:hAnsi="Arial" w:cs="Arial"/>
                                <w:color w:val="FF0000"/>
                                <w:kern w:val="0"/>
                                <w:lang w:eastAsia="en-GB"/>
                                <w14:ligatures w14:val="none"/>
                              </w:rPr>
                              <w:t xml:space="preserve"> </w:t>
                            </w:r>
                            <w:r w:rsidRPr="00BE5ACD">
                              <w:rPr>
                                <w:rFonts w:ascii="Arial" w:eastAsia="Times New Roman" w:hAnsi="Arial" w:cs="Arial"/>
                                <w:kern w:val="0"/>
                                <w:lang w:eastAsia="en-GB"/>
                                <w14:ligatures w14:val="none"/>
                              </w:rPr>
                              <w:t>(Schonert-Reichl and Roeser, 2016; Felver, 2016).</w:t>
                            </w:r>
                            <w:r>
                              <w:rPr>
                                <w:rFonts w:ascii="Arial" w:eastAsia="Times New Roman" w:hAnsi="Arial" w:cs="Arial"/>
                                <w:kern w:val="0"/>
                                <w:lang w:eastAsia="en-GB"/>
                                <w14:ligatures w14:val="none"/>
                              </w:rPr>
                              <w:t xml:space="preserve"> </w:t>
                            </w:r>
                            <w:r w:rsidRPr="00776E37">
                              <w:rPr>
                                <w:rFonts w:ascii="Arial" w:eastAsia="Times New Roman" w:hAnsi="Arial" w:cs="Arial"/>
                                <w:kern w:val="0"/>
                                <w:lang w:eastAsia="en-GB"/>
                                <w14:ligatures w14:val="none"/>
                              </w:rPr>
                              <w:t>Establishing these skills early enables children to navigate social complexities effectively and promotes positive peer interactions, which are foundational for long-term social success.</w:t>
                            </w:r>
                          </w:p>
                          <w:p w14:paraId="756BF8A7" w14:textId="77777777" w:rsidR="00D03FD9" w:rsidRPr="00104E44" w:rsidRDefault="00D03FD9" w:rsidP="00D03FD9">
                            <w:pPr>
                              <w:spacing w:before="100" w:beforeAutospacing="1" w:after="100" w:afterAutospacing="1" w:line="240" w:lineRule="auto"/>
                              <w:rPr>
                                <w:rFonts w:ascii="Arial" w:hAnsi="Arial" w:cs="Arial"/>
                                <w:color w:val="FF0000"/>
                                <w:shd w:val="clear" w:color="auto" w:fill="FFFFFF"/>
                              </w:rPr>
                            </w:pPr>
                            <w:r w:rsidRPr="00776E37">
                              <w:rPr>
                                <w:rFonts w:ascii="Arial" w:eastAsia="Times New Roman" w:hAnsi="Arial" w:cs="Arial"/>
                                <w:kern w:val="0"/>
                                <w:lang w:eastAsia="en-GB"/>
                                <w14:ligatures w14:val="none"/>
                              </w:rPr>
                              <w:t>Physical well-being, encompassing nutrition, sleep, and activity, is equally essential. Recent studies emphasize the impact of lifestyle habits on cognitive development and emotional stability</w:t>
                            </w:r>
                            <w:r w:rsidRPr="005B3761">
                              <w:rPr>
                                <w:rFonts w:ascii="Arial" w:hAnsi="Arial" w:cs="Arial"/>
                                <w:shd w:val="clear" w:color="auto" w:fill="FFFFFF"/>
                              </w:rPr>
                              <w:t xml:space="preserve"> (LeBlanc, </w:t>
                            </w:r>
                            <w:r w:rsidRPr="005B3761">
                              <w:rPr>
                                <w:rFonts w:ascii="Arial" w:hAnsi="Arial" w:cs="Arial"/>
                                <w:i/>
                                <w:iCs/>
                                <w:shd w:val="clear" w:color="auto" w:fill="FFFFFF"/>
                              </w:rPr>
                              <w:t>et al.</w:t>
                            </w:r>
                            <w:r w:rsidRPr="005B3761">
                              <w:rPr>
                                <w:rFonts w:ascii="Arial" w:hAnsi="Arial" w:cs="Arial"/>
                                <w:shd w:val="clear" w:color="auto" w:fill="FFFFFF"/>
                              </w:rPr>
                              <w:t xml:space="preserve">, 2012; Poitras, </w:t>
                            </w:r>
                            <w:r w:rsidRPr="005B3761">
                              <w:rPr>
                                <w:rFonts w:ascii="Arial" w:hAnsi="Arial" w:cs="Arial"/>
                                <w:i/>
                                <w:iCs/>
                                <w:shd w:val="clear" w:color="auto" w:fill="FFFFFF"/>
                              </w:rPr>
                              <w:t>et al</w:t>
                            </w:r>
                            <w:r w:rsidRPr="005B3761">
                              <w:rPr>
                                <w:rFonts w:ascii="Arial" w:hAnsi="Arial" w:cs="Arial"/>
                                <w:shd w:val="clear" w:color="auto" w:fill="FFFFFF"/>
                              </w:rPr>
                              <w:t>., 2017; Tremblay, 2017).</w:t>
                            </w:r>
                          </w:p>
                          <w:p w14:paraId="4A2F27B6" w14:textId="77777777" w:rsidR="00D03FD9" w:rsidRPr="00BA18C6" w:rsidRDefault="00D03FD9" w:rsidP="00D03FD9">
                            <w:pPr>
                              <w:spacing w:before="100" w:beforeAutospacing="1" w:after="100" w:afterAutospacing="1" w:line="240" w:lineRule="auto"/>
                              <w:rPr>
                                <w:rFonts w:ascii="Arial" w:eastAsia="Times New Roman" w:hAnsi="Arial" w:cs="Arial"/>
                                <w:kern w:val="0"/>
                                <w:lang w:eastAsia="en-GB"/>
                                <w14:ligatures w14:val="none"/>
                              </w:rPr>
                            </w:pPr>
                            <w:r w:rsidRPr="00776E37">
                              <w:rPr>
                                <w:rFonts w:ascii="Arial" w:eastAsia="Times New Roman" w:hAnsi="Arial" w:cs="Arial"/>
                                <w:color w:val="FF0000"/>
                                <w:kern w:val="0"/>
                                <w:lang w:eastAsia="en-GB"/>
                                <w14:ligatures w14:val="none"/>
                              </w:rPr>
                              <w:t xml:space="preserve"> </w:t>
                            </w:r>
                            <w:r w:rsidRPr="00776E37">
                              <w:rPr>
                                <w:rFonts w:ascii="Arial" w:eastAsia="Times New Roman" w:hAnsi="Arial" w:cs="Arial"/>
                                <w:kern w:val="0"/>
                                <w:lang w:eastAsia="en-GB"/>
                                <w14:ligatures w14:val="none"/>
                              </w:rPr>
                              <w:t>A balanced diet, regular physical activity, and adequate sleep contribute to the foundational health that supports other dimensions of well-being. For example, LeBlanc et al. (2017) highlight that children engaging in regular physical activity demonstrate enhanced cognitive function, including improved memory and attention. Similarly, consistent sleep routines have been linked to better emotional regulation and resilience, key components of overall well-being</w:t>
                            </w:r>
                            <w:r w:rsidRPr="00A83E3D">
                              <w:rPr>
                                <w:rFonts w:ascii="Arial" w:eastAsia="Times New Roman" w:hAnsi="Arial" w:cs="Arial"/>
                                <w:color w:val="FF0000"/>
                                <w:kern w:val="0"/>
                                <w:lang w:eastAsia="en-GB"/>
                                <w14:ligatures w14:val="none"/>
                              </w:rPr>
                              <w:t xml:space="preserve"> </w:t>
                            </w:r>
                            <w:r w:rsidRPr="00A83E3D">
                              <w:rPr>
                                <w:rFonts w:ascii="Arial" w:eastAsia="Times New Roman" w:hAnsi="Arial" w:cs="Arial"/>
                                <w:kern w:val="0"/>
                                <w:lang w:eastAsia="en-GB"/>
                                <w14:ligatures w14:val="none"/>
                              </w:rPr>
                              <w:t>(</w:t>
                            </w:r>
                            <w:r w:rsidRPr="00A83E3D">
                              <w:rPr>
                                <w:rFonts w:ascii="Arial" w:hAnsi="Arial" w:cs="Arial"/>
                                <w:shd w:val="clear" w:color="auto" w:fill="FFFFFF"/>
                              </w:rPr>
                              <w:t xml:space="preserve">Jusienė and Breidokienė, 2019; D’Cruz, </w:t>
                            </w:r>
                            <w:r w:rsidRPr="00A83E3D">
                              <w:rPr>
                                <w:rFonts w:ascii="Arial" w:hAnsi="Arial" w:cs="Arial"/>
                                <w:i/>
                                <w:iCs/>
                                <w:shd w:val="clear" w:color="auto" w:fill="FFFFFF"/>
                              </w:rPr>
                              <w:t>et al.,</w:t>
                            </w:r>
                            <w:r w:rsidRPr="00A83E3D">
                              <w:rPr>
                                <w:rFonts w:ascii="Arial" w:hAnsi="Arial" w:cs="Arial"/>
                                <w:shd w:val="clear" w:color="auto" w:fill="FFFFFF"/>
                              </w:rPr>
                              <w:t> 2024).</w:t>
                            </w:r>
                          </w:p>
                          <w:p w14:paraId="0E135380" w14:textId="77777777" w:rsidR="00D03FD9" w:rsidRPr="00776E37" w:rsidRDefault="00D03FD9" w:rsidP="00D03FD9">
                            <w:pPr>
                              <w:spacing w:before="100" w:beforeAutospacing="1" w:after="100" w:afterAutospacing="1" w:line="240" w:lineRule="auto"/>
                              <w:jc w:val="both"/>
                              <w:rPr>
                                <w:rFonts w:ascii="Arial" w:eastAsia="Times New Roman" w:hAnsi="Arial" w:cs="Arial"/>
                                <w:kern w:val="0"/>
                                <w:lang w:eastAsia="en-GB"/>
                                <w14:ligatures w14:val="none"/>
                              </w:rPr>
                            </w:pPr>
                          </w:p>
                          <w:p w14:paraId="16771BEF" w14:textId="77777777" w:rsidR="00D03FD9" w:rsidRPr="00776E37" w:rsidRDefault="00D03FD9" w:rsidP="00D03FD9">
                            <w:pPr>
                              <w:spacing w:before="100" w:beforeAutospacing="1" w:after="100" w:afterAutospacing="1" w:line="240" w:lineRule="auto"/>
                              <w:jc w:val="both"/>
                              <w:rPr>
                                <w:rFonts w:ascii="Arial" w:eastAsia="Times New Roman" w:hAnsi="Arial" w:cs="Arial"/>
                                <w:kern w:val="0"/>
                                <w:lang w:eastAsia="en-GB"/>
                                <w14:ligatures w14:val="none"/>
                              </w:rPr>
                            </w:pPr>
                            <w:r w:rsidRPr="00776E37">
                              <w:rPr>
                                <w:rFonts w:ascii="Arial" w:eastAsia="Times New Roman" w:hAnsi="Arial" w:cs="Arial"/>
                                <w:kern w:val="0"/>
                                <w:lang w:eastAsia="en-GB"/>
                                <w14:ligatures w14:val="none"/>
                              </w:rPr>
                              <w:t>Educational systems also play a pivotal role in nurturing well-being. The Welsh Government’s Curriculum for Wales (</w:t>
                            </w:r>
                            <w:r w:rsidRPr="00DE5B81">
                              <w:rPr>
                                <w:rFonts w:ascii="Arial" w:eastAsia="Times New Roman" w:hAnsi="Arial" w:cs="Arial"/>
                                <w:kern w:val="0"/>
                                <w:lang w:eastAsia="en-GB"/>
                                <w14:ligatures w14:val="none"/>
                              </w:rPr>
                              <w:t xml:space="preserve">2020 and </w:t>
                            </w:r>
                            <w:r w:rsidRPr="00776E37">
                              <w:rPr>
                                <w:rFonts w:ascii="Arial" w:eastAsia="Times New Roman" w:hAnsi="Arial" w:cs="Arial"/>
                                <w:kern w:val="0"/>
                                <w:lang w:eastAsia="en-GB"/>
                                <w14:ligatures w14:val="none"/>
                              </w:rPr>
                              <w:t>2022) promotes a holistic approach, integrating health, relationships, and emotional literacy within its framework. This ensures that children develop not only academically but also socially and emotionally. Moreover, embedding well-being within educational policies allows practitioners to tailor interventions that address the unique needs of children from diverse backgrounds, promoting equity and inclusivity. By prioritizing well-being, educational systems empower children to thrive academically while fostering long-term personal growth.</w:t>
                            </w:r>
                          </w:p>
                          <w:p w14:paraId="72776FC5" w14:textId="77777777" w:rsidR="00D03FD9" w:rsidRPr="00776E37" w:rsidRDefault="00D03FD9" w:rsidP="00D03FD9">
                            <w:pPr>
                              <w:spacing w:before="100" w:beforeAutospacing="1" w:after="100" w:afterAutospacing="1" w:line="240" w:lineRule="auto"/>
                              <w:jc w:val="both"/>
                              <w:rPr>
                                <w:rFonts w:ascii="Arial" w:eastAsia="Times New Roman" w:hAnsi="Arial" w:cs="Arial"/>
                                <w:kern w:val="0"/>
                                <w:lang w:eastAsia="en-GB"/>
                                <w14:ligatures w14:val="none"/>
                              </w:rPr>
                            </w:pPr>
                            <w:r w:rsidRPr="00776E37">
                              <w:rPr>
                                <w:rFonts w:ascii="Arial" w:eastAsia="Times New Roman" w:hAnsi="Arial" w:cs="Arial"/>
                                <w:kern w:val="0"/>
                                <w:lang w:eastAsia="en-GB"/>
                                <w14:ligatures w14:val="none"/>
                              </w:rPr>
                              <w:t>Well-being, particularly in childhood, is both a protective factor and a springboard for future success. A comprehensive understanding, informed by evidence-based strategies, empowers practitioners to address barriers and create opportunities for flourishing development. Practitioners play a critical role in recognizing and addressing factors that may impede well-being, such as socioeconomic inequalities or ACEs. By creating nurturing environments and fostering positive relationships, they contribute significantly to the holistic development of children, equipping them with the tools needed to succeed throughout their lives.</w:t>
                            </w:r>
                          </w:p>
                          <w:p w14:paraId="1CEB8B86" w14:textId="25D6850A" w:rsidR="008960C8" w:rsidRDefault="008960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FB6C49" id="_x0000_s1033" type="#_x0000_t202" style="position:absolute;left:0;text-align:left;margin-left:-32.25pt;margin-top:18pt;width:362.05pt;height:488.55pt;z-index:2516418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d+MZgIAAPUEAAAOAAAAZHJzL2Uyb0RvYy54bWysVF1v0zAUfUfiP1h+Z0lDs3VR02lsDCGN&#10;D2nwA24dp7FwfI3tNhm/nmun61oQQkLkIfL1x7nnHp/r5dXYa7aTzis0NZ+d5ZxJI7BRZlPzr1/u&#10;Xi048wFMAxqNrPmj9Pxq9fLFcrCVLLBD3UjHCMT4arA170KwVZZ50cke/BlaaWixRddDoNBtssbB&#10;QOi9zoo8P88GdI11KKT3NHs7LfJVwm9bKcKntvUyMF1z4hbS36X/Ov6z1RKqjQPbKbGnAf/Aogdl&#10;KOkB6hYCsK1Tv0H1Sjj02IYzgX2GbauETDVQNbP8l2oeOrAy1ULieHuQyf8/WPFx92A/OxbGNzjS&#10;BaYivL1H8c0zgzcdmI28dg6HTkJDiWdRsmywvtofjVL7ykeQ9fABG7pk2AZMQGPr+qgK1ckInS7g&#10;8SC6HAMTNDkvLxf565IzQWvnRT4vF2XKAdXTcet8eCexZ3FQc0e3muBhd+9DpAPV05aYzaNWzZ3S&#10;OgVus77Rju2AHHCXvj36yTZt2FDzy7IoJwVOIKIZ5QEEhJAmTPv0tqeSJ/DznL7JUDRNtpum50/T&#10;xDLZOiIlzicEehWoEbTqa76IJ/ZIUfW3pkk2DaD0NCYobWJ1MlmcVIjBRuPAHDQ1L4oFsZkq+TN5&#10;D+FAfnZRHnKCth38jXxMlqo4opBsEZ0weSKM65EponMRVYkuWWPzSD5xOPUhvRs06ND94GygHqy5&#10;/74FJznT7w157XI2n8emTcG8vCgocMcr6+MVMIKgah44m4Y3ITV6lMbgNXmyVcktz0z2TqbeSqXs&#10;34HYvMdx2vX8Wq1+AgAA//8DAFBLAwQUAAYACAAAACEAYAY96N4AAAALAQAADwAAAGRycy9kb3du&#10;cmV2LnhtbEyPy07DMBBF90j8gzVI7Fo7pLXaEKdCSEhsKa8up7FJosbjKHba8PcMK1iO5ujec8vd&#10;7HtxdmPsAhnIlgqEozrYjhoDb69Piw2ImJAs9oGcgW8XYVddX5VY2HChF3fep0ZwCMUCDbQpDYWU&#10;sW6dx7gMgyP+fYXRY+JzbKQd8cLhvpd3SmnpsSNuaHFwj62rT/vJG1jp/mBrdcLpY/uc5f495vYz&#10;GnN7Mz/cg0huTn8w/OqzOlTsdAwT2Sh6Awu9WjNqINe8iQG93moQRyZVlmcgq1L+31D9AAAA//8D&#10;AFBLAQItABQABgAIAAAAIQC2gziS/gAAAOEBAAATAAAAAAAAAAAAAAAAAAAAAABbQ29udGVudF9U&#10;eXBlc10ueG1sUEsBAi0AFAAGAAgAAAAhADj9If/WAAAAlAEAAAsAAAAAAAAAAAAAAAAALwEAAF9y&#10;ZWxzLy5yZWxzUEsBAi0AFAAGAAgAAAAhAFop34xmAgAA9QQAAA4AAAAAAAAAAAAAAAAALgIAAGRy&#10;cy9lMm9Eb2MueG1sUEsBAi0AFAAGAAgAAAAhAGAGPejeAAAACwEAAA8AAAAAAAAAAAAAAAAAwAQA&#10;AGRycy9kb3ducmV2LnhtbFBLBQYAAAAABAAEAPMAAADLBQAAAAA=&#10;" strokecolor="#d86dcb [1944]">
                <v:textbox>
                  <w:txbxContent>
                    <w:p w14:paraId="5A049F28" w14:textId="35036C83" w:rsidR="00D03FD9" w:rsidRPr="00776E37" w:rsidRDefault="00D03FD9" w:rsidP="00440C1B">
                      <w:pPr>
                        <w:spacing w:before="100" w:beforeAutospacing="1" w:after="100" w:afterAutospacing="1" w:line="240" w:lineRule="auto"/>
                        <w:rPr>
                          <w:rFonts w:ascii="Arial" w:eastAsia="Times New Roman" w:hAnsi="Arial" w:cs="Arial"/>
                          <w:kern w:val="0"/>
                          <w:lang w:eastAsia="en-GB"/>
                          <w14:ligatures w14:val="none"/>
                        </w:rPr>
                      </w:pPr>
                      <w:r w:rsidRPr="00776E37">
                        <w:rPr>
                          <w:rFonts w:ascii="Arial" w:eastAsia="Times New Roman" w:hAnsi="Arial" w:cs="Arial"/>
                          <w:b/>
                          <w:bCs/>
                          <w:kern w:val="0"/>
                          <w:lang w:eastAsia="en-GB"/>
                          <w14:ligatures w14:val="none"/>
                        </w:rPr>
                        <w:t>Well-being</w:t>
                      </w:r>
                      <w:r w:rsidRPr="00776E37">
                        <w:rPr>
                          <w:rFonts w:ascii="Arial" w:eastAsia="Times New Roman" w:hAnsi="Arial" w:cs="Arial"/>
                          <w:kern w:val="0"/>
                          <w:lang w:eastAsia="en-GB"/>
                          <w14:ligatures w14:val="none"/>
                        </w:rPr>
                        <w:t xml:space="preserve"> is a multifaceted concept central to overall human development, particularly in early childhood. It is not simply the absence of illness but rather a positive state of physical, emotional, and social health (WHO, 202</w:t>
                      </w:r>
                      <w:r>
                        <w:rPr>
                          <w:rFonts w:ascii="Arial" w:eastAsia="Times New Roman" w:hAnsi="Arial" w:cs="Arial"/>
                          <w:kern w:val="0"/>
                          <w:lang w:eastAsia="en-GB"/>
                          <w14:ligatures w14:val="none"/>
                        </w:rPr>
                        <w:t>3 and 2024</w:t>
                      </w:r>
                      <w:r w:rsidRPr="00776E37">
                        <w:rPr>
                          <w:rFonts w:ascii="Arial" w:eastAsia="Times New Roman" w:hAnsi="Arial" w:cs="Arial"/>
                          <w:kern w:val="0"/>
                          <w:lang w:eastAsia="en-GB"/>
                          <w14:ligatures w14:val="none"/>
                        </w:rPr>
                        <w:t xml:space="preserve">). Dodge </w:t>
                      </w:r>
                      <w:r w:rsidRPr="00776E37">
                        <w:rPr>
                          <w:rFonts w:ascii="Arial" w:eastAsia="Times New Roman" w:hAnsi="Arial" w:cs="Arial"/>
                          <w:i/>
                          <w:iCs/>
                          <w:kern w:val="0"/>
                          <w:lang w:eastAsia="en-GB"/>
                          <w14:ligatures w14:val="none"/>
                        </w:rPr>
                        <w:t>et al.</w:t>
                      </w:r>
                      <w:r w:rsidRPr="00776E37">
                        <w:rPr>
                          <w:rFonts w:ascii="Arial" w:eastAsia="Times New Roman" w:hAnsi="Arial" w:cs="Arial"/>
                          <w:kern w:val="0"/>
                          <w:lang w:eastAsia="en-GB"/>
                          <w14:ligatures w14:val="none"/>
                        </w:rPr>
                        <w:t xml:space="preserve"> (2012) describe well-being as a dynamic equilibrium between the challenges individuals face and the resources they possess. This perspective underscores the importance of providing children with supportive environments that nurture their holistic development. Supportive environments, particularly those established in educational and childcare settings, can act as protective factors against adverse childhood experiences (ACEs), helping children navigate complex challenges effectively</w:t>
                      </w:r>
                      <w:r w:rsidRPr="004E1D46">
                        <w:rPr>
                          <w:rFonts w:ascii="Arial" w:hAnsi="Arial" w:cs="Arial"/>
                          <w:color w:val="FF0000"/>
                          <w:shd w:val="clear" w:color="auto" w:fill="FFFFFF"/>
                        </w:rPr>
                        <w:t xml:space="preserve"> </w:t>
                      </w:r>
                      <w:r w:rsidRPr="00501309">
                        <w:rPr>
                          <w:rFonts w:ascii="Arial" w:hAnsi="Arial" w:cs="Arial"/>
                          <w:shd w:val="clear" w:color="auto" w:fill="FFFFFF"/>
                        </w:rPr>
                        <w:t>(Kalmakis and Chandler, 2015; Monnat and Chandler, 2015).</w:t>
                      </w:r>
                    </w:p>
                    <w:p w14:paraId="7E5A9DFD" w14:textId="77777777" w:rsidR="00D03FD9" w:rsidRPr="00776E37" w:rsidRDefault="00D03FD9" w:rsidP="00D03FD9">
                      <w:pPr>
                        <w:spacing w:before="100" w:beforeAutospacing="1" w:after="100" w:afterAutospacing="1" w:line="240" w:lineRule="auto"/>
                        <w:rPr>
                          <w:rFonts w:ascii="Arial" w:eastAsia="Times New Roman" w:hAnsi="Arial" w:cs="Arial"/>
                          <w:kern w:val="0"/>
                          <w:lang w:eastAsia="en-GB"/>
                          <w14:ligatures w14:val="none"/>
                        </w:rPr>
                      </w:pPr>
                      <w:r w:rsidRPr="00776E37">
                        <w:rPr>
                          <w:rFonts w:ascii="Arial" w:eastAsia="Times New Roman" w:hAnsi="Arial" w:cs="Arial"/>
                          <w:kern w:val="0"/>
                          <w:lang w:eastAsia="en-GB"/>
                          <w14:ligatures w14:val="none"/>
                        </w:rPr>
                        <w:t>In early childhood, social well-being is closely linked to the quality of relationships with caregivers and peers. Positive interactions provide children with a sense of security, fostering emotional stability and social competence. Research by</w:t>
                      </w:r>
                      <w:r>
                        <w:rPr>
                          <w:rFonts w:ascii="Arial" w:eastAsia="Times New Roman" w:hAnsi="Arial" w:cs="Arial"/>
                          <w:kern w:val="0"/>
                          <w:lang w:eastAsia="en-GB"/>
                          <w14:ligatures w14:val="none"/>
                        </w:rPr>
                        <w:t xml:space="preserve"> </w:t>
                      </w:r>
                      <w:r w:rsidRPr="00C14C10">
                        <w:rPr>
                          <w:rFonts w:ascii="Arial" w:hAnsi="Arial" w:cs="Arial"/>
                          <w:shd w:val="clear" w:color="auto" w:fill="FFFFFF"/>
                        </w:rPr>
                        <w:t>Howells, </w:t>
                      </w:r>
                      <w:r w:rsidRPr="00C14C10">
                        <w:rPr>
                          <w:rFonts w:ascii="Arial" w:hAnsi="Arial" w:cs="Arial"/>
                          <w:i/>
                          <w:iCs/>
                          <w:shd w:val="clear" w:color="auto" w:fill="FFFFFF"/>
                        </w:rPr>
                        <w:t>et al.,</w:t>
                      </w:r>
                      <w:r w:rsidRPr="00C14C10">
                        <w:rPr>
                          <w:rFonts w:ascii="Arial" w:hAnsi="Arial" w:cs="Arial"/>
                          <w:shd w:val="clear" w:color="auto" w:fill="FFFFFF"/>
                        </w:rPr>
                        <w:t> (2023); Miljević-Riðički, Plantak and Bouillet, (2017); Westphaln, </w:t>
                      </w:r>
                      <w:r w:rsidRPr="00C14C10">
                        <w:rPr>
                          <w:rFonts w:ascii="Arial" w:hAnsi="Arial" w:cs="Arial"/>
                          <w:i/>
                          <w:iCs/>
                          <w:shd w:val="clear" w:color="auto" w:fill="FFFFFF"/>
                        </w:rPr>
                        <w:t>et al.,</w:t>
                      </w:r>
                      <w:r w:rsidRPr="00C14C10">
                        <w:rPr>
                          <w:rFonts w:ascii="Arial" w:hAnsi="Arial" w:cs="Arial"/>
                          <w:shd w:val="clear" w:color="auto" w:fill="FFFFFF"/>
                        </w:rPr>
                        <w:t xml:space="preserve"> (2022); Oberle, </w:t>
                      </w:r>
                      <w:r w:rsidRPr="00C14C10">
                        <w:rPr>
                          <w:rFonts w:ascii="Arial" w:hAnsi="Arial" w:cs="Arial"/>
                          <w:i/>
                          <w:iCs/>
                          <w:shd w:val="clear" w:color="auto" w:fill="FFFFFF"/>
                        </w:rPr>
                        <w:t>et al.,</w:t>
                      </w:r>
                      <w:r w:rsidRPr="00C14C10">
                        <w:rPr>
                          <w:rFonts w:ascii="Arial" w:hAnsi="Arial" w:cs="Arial"/>
                          <w:shd w:val="clear" w:color="auto" w:fill="FFFFFF"/>
                        </w:rPr>
                        <w:t xml:space="preserve"> (2014) </w:t>
                      </w:r>
                      <w:r w:rsidRPr="00776E37">
                        <w:rPr>
                          <w:rFonts w:ascii="Arial" w:eastAsia="Times New Roman" w:hAnsi="Arial" w:cs="Arial"/>
                          <w:kern w:val="0"/>
                          <w:lang w:eastAsia="en-GB"/>
                          <w14:ligatures w14:val="none"/>
                        </w:rPr>
                        <w:t>highlights the role of supportive relationships in promoting resilience and emotional regulation, key aspects of well-being. Additionally, emotional well-being in early years is associated with the ability to recognize and manage feelings, skills that practitioners can foster through structured emotional literacy programs</w:t>
                      </w:r>
                      <w:r w:rsidRPr="00204C8B">
                        <w:rPr>
                          <w:rFonts w:ascii="Arial" w:eastAsia="Times New Roman" w:hAnsi="Arial" w:cs="Arial"/>
                          <w:color w:val="FF0000"/>
                          <w:kern w:val="0"/>
                          <w:lang w:eastAsia="en-GB"/>
                          <w14:ligatures w14:val="none"/>
                        </w:rPr>
                        <w:t xml:space="preserve"> </w:t>
                      </w:r>
                      <w:r w:rsidRPr="00BE5ACD">
                        <w:rPr>
                          <w:rFonts w:ascii="Arial" w:eastAsia="Times New Roman" w:hAnsi="Arial" w:cs="Arial"/>
                          <w:kern w:val="0"/>
                          <w:lang w:eastAsia="en-GB"/>
                          <w14:ligatures w14:val="none"/>
                        </w:rPr>
                        <w:t>(Schonert-Reichl and Roeser, 2016; Felver, 2016).</w:t>
                      </w:r>
                      <w:r>
                        <w:rPr>
                          <w:rFonts w:ascii="Arial" w:eastAsia="Times New Roman" w:hAnsi="Arial" w:cs="Arial"/>
                          <w:kern w:val="0"/>
                          <w:lang w:eastAsia="en-GB"/>
                          <w14:ligatures w14:val="none"/>
                        </w:rPr>
                        <w:t xml:space="preserve"> </w:t>
                      </w:r>
                      <w:r w:rsidRPr="00776E37">
                        <w:rPr>
                          <w:rFonts w:ascii="Arial" w:eastAsia="Times New Roman" w:hAnsi="Arial" w:cs="Arial"/>
                          <w:kern w:val="0"/>
                          <w:lang w:eastAsia="en-GB"/>
                          <w14:ligatures w14:val="none"/>
                        </w:rPr>
                        <w:t>Establishing these skills early enables children to navigate social complexities effectively and promotes positive peer interactions, which are foundational for long-term social success.</w:t>
                      </w:r>
                    </w:p>
                    <w:p w14:paraId="756BF8A7" w14:textId="77777777" w:rsidR="00D03FD9" w:rsidRPr="00104E44" w:rsidRDefault="00D03FD9" w:rsidP="00D03FD9">
                      <w:pPr>
                        <w:spacing w:before="100" w:beforeAutospacing="1" w:after="100" w:afterAutospacing="1" w:line="240" w:lineRule="auto"/>
                        <w:rPr>
                          <w:rFonts w:ascii="Arial" w:hAnsi="Arial" w:cs="Arial"/>
                          <w:color w:val="FF0000"/>
                          <w:shd w:val="clear" w:color="auto" w:fill="FFFFFF"/>
                        </w:rPr>
                      </w:pPr>
                      <w:r w:rsidRPr="00776E37">
                        <w:rPr>
                          <w:rFonts w:ascii="Arial" w:eastAsia="Times New Roman" w:hAnsi="Arial" w:cs="Arial"/>
                          <w:kern w:val="0"/>
                          <w:lang w:eastAsia="en-GB"/>
                          <w14:ligatures w14:val="none"/>
                        </w:rPr>
                        <w:t>Physical well-being, encompassing nutrition, sleep, and activity, is equally essential. Recent studies emphasize the impact of lifestyle habits on cognitive development and emotional stability</w:t>
                      </w:r>
                      <w:r w:rsidRPr="005B3761">
                        <w:rPr>
                          <w:rFonts w:ascii="Arial" w:hAnsi="Arial" w:cs="Arial"/>
                          <w:shd w:val="clear" w:color="auto" w:fill="FFFFFF"/>
                        </w:rPr>
                        <w:t xml:space="preserve"> (LeBlanc, </w:t>
                      </w:r>
                      <w:r w:rsidRPr="005B3761">
                        <w:rPr>
                          <w:rFonts w:ascii="Arial" w:hAnsi="Arial" w:cs="Arial"/>
                          <w:i/>
                          <w:iCs/>
                          <w:shd w:val="clear" w:color="auto" w:fill="FFFFFF"/>
                        </w:rPr>
                        <w:t>et al.</w:t>
                      </w:r>
                      <w:r w:rsidRPr="005B3761">
                        <w:rPr>
                          <w:rFonts w:ascii="Arial" w:hAnsi="Arial" w:cs="Arial"/>
                          <w:shd w:val="clear" w:color="auto" w:fill="FFFFFF"/>
                        </w:rPr>
                        <w:t xml:space="preserve">, 2012; Poitras, </w:t>
                      </w:r>
                      <w:r w:rsidRPr="005B3761">
                        <w:rPr>
                          <w:rFonts w:ascii="Arial" w:hAnsi="Arial" w:cs="Arial"/>
                          <w:i/>
                          <w:iCs/>
                          <w:shd w:val="clear" w:color="auto" w:fill="FFFFFF"/>
                        </w:rPr>
                        <w:t>et al</w:t>
                      </w:r>
                      <w:r w:rsidRPr="005B3761">
                        <w:rPr>
                          <w:rFonts w:ascii="Arial" w:hAnsi="Arial" w:cs="Arial"/>
                          <w:shd w:val="clear" w:color="auto" w:fill="FFFFFF"/>
                        </w:rPr>
                        <w:t>., 2017; Tremblay, 2017).</w:t>
                      </w:r>
                    </w:p>
                    <w:p w14:paraId="4A2F27B6" w14:textId="77777777" w:rsidR="00D03FD9" w:rsidRPr="00BA18C6" w:rsidRDefault="00D03FD9" w:rsidP="00D03FD9">
                      <w:pPr>
                        <w:spacing w:before="100" w:beforeAutospacing="1" w:after="100" w:afterAutospacing="1" w:line="240" w:lineRule="auto"/>
                        <w:rPr>
                          <w:rFonts w:ascii="Arial" w:eastAsia="Times New Roman" w:hAnsi="Arial" w:cs="Arial"/>
                          <w:kern w:val="0"/>
                          <w:lang w:eastAsia="en-GB"/>
                          <w14:ligatures w14:val="none"/>
                        </w:rPr>
                      </w:pPr>
                      <w:r w:rsidRPr="00776E37">
                        <w:rPr>
                          <w:rFonts w:ascii="Arial" w:eastAsia="Times New Roman" w:hAnsi="Arial" w:cs="Arial"/>
                          <w:color w:val="FF0000"/>
                          <w:kern w:val="0"/>
                          <w:lang w:eastAsia="en-GB"/>
                          <w14:ligatures w14:val="none"/>
                        </w:rPr>
                        <w:t xml:space="preserve"> </w:t>
                      </w:r>
                      <w:r w:rsidRPr="00776E37">
                        <w:rPr>
                          <w:rFonts w:ascii="Arial" w:eastAsia="Times New Roman" w:hAnsi="Arial" w:cs="Arial"/>
                          <w:kern w:val="0"/>
                          <w:lang w:eastAsia="en-GB"/>
                          <w14:ligatures w14:val="none"/>
                        </w:rPr>
                        <w:t>A balanced diet, regular physical activity, and adequate sleep contribute to the foundational health that supports other dimensions of well-being. For example, LeBlanc et al. (2017) highlight that children engaging in regular physical activity demonstrate enhanced cognitive function, including improved memory and attention. Similarly, consistent sleep routines have been linked to better emotional regulation and resilience, key components of overall well-being</w:t>
                      </w:r>
                      <w:r w:rsidRPr="00A83E3D">
                        <w:rPr>
                          <w:rFonts w:ascii="Arial" w:eastAsia="Times New Roman" w:hAnsi="Arial" w:cs="Arial"/>
                          <w:color w:val="FF0000"/>
                          <w:kern w:val="0"/>
                          <w:lang w:eastAsia="en-GB"/>
                          <w14:ligatures w14:val="none"/>
                        </w:rPr>
                        <w:t xml:space="preserve"> </w:t>
                      </w:r>
                      <w:r w:rsidRPr="00A83E3D">
                        <w:rPr>
                          <w:rFonts w:ascii="Arial" w:eastAsia="Times New Roman" w:hAnsi="Arial" w:cs="Arial"/>
                          <w:kern w:val="0"/>
                          <w:lang w:eastAsia="en-GB"/>
                          <w14:ligatures w14:val="none"/>
                        </w:rPr>
                        <w:t>(</w:t>
                      </w:r>
                      <w:r w:rsidRPr="00A83E3D">
                        <w:rPr>
                          <w:rFonts w:ascii="Arial" w:hAnsi="Arial" w:cs="Arial"/>
                          <w:shd w:val="clear" w:color="auto" w:fill="FFFFFF"/>
                        </w:rPr>
                        <w:t xml:space="preserve">Jusienė and Breidokienė, 2019; D’Cruz, </w:t>
                      </w:r>
                      <w:r w:rsidRPr="00A83E3D">
                        <w:rPr>
                          <w:rFonts w:ascii="Arial" w:hAnsi="Arial" w:cs="Arial"/>
                          <w:i/>
                          <w:iCs/>
                          <w:shd w:val="clear" w:color="auto" w:fill="FFFFFF"/>
                        </w:rPr>
                        <w:t>et al.,</w:t>
                      </w:r>
                      <w:r w:rsidRPr="00A83E3D">
                        <w:rPr>
                          <w:rFonts w:ascii="Arial" w:hAnsi="Arial" w:cs="Arial"/>
                          <w:shd w:val="clear" w:color="auto" w:fill="FFFFFF"/>
                        </w:rPr>
                        <w:t> 2024).</w:t>
                      </w:r>
                    </w:p>
                    <w:p w14:paraId="0E135380" w14:textId="77777777" w:rsidR="00D03FD9" w:rsidRPr="00776E37" w:rsidRDefault="00D03FD9" w:rsidP="00D03FD9">
                      <w:pPr>
                        <w:spacing w:before="100" w:beforeAutospacing="1" w:after="100" w:afterAutospacing="1" w:line="240" w:lineRule="auto"/>
                        <w:jc w:val="both"/>
                        <w:rPr>
                          <w:rFonts w:ascii="Arial" w:eastAsia="Times New Roman" w:hAnsi="Arial" w:cs="Arial"/>
                          <w:kern w:val="0"/>
                          <w:lang w:eastAsia="en-GB"/>
                          <w14:ligatures w14:val="none"/>
                        </w:rPr>
                      </w:pPr>
                    </w:p>
                    <w:p w14:paraId="16771BEF" w14:textId="77777777" w:rsidR="00D03FD9" w:rsidRPr="00776E37" w:rsidRDefault="00D03FD9" w:rsidP="00D03FD9">
                      <w:pPr>
                        <w:spacing w:before="100" w:beforeAutospacing="1" w:after="100" w:afterAutospacing="1" w:line="240" w:lineRule="auto"/>
                        <w:jc w:val="both"/>
                        <w:rPr>
                          <w:rFonts w:ascii="Arial" w:eastAsia="Times New Roman" w:hAnsi="Arial" w:cs="Arial"/>
                          <w:kern w:val="0"/>
                          <w:lang w:eastAsia="en-GB"/>
                          <w14:ligatures w14:val="none"/>
                        </w:rPr>
                      </w:pPr>
                      <w:r w:rsidRPr="00776E37">
                        <w:rPr>
                          <w:rFonts w:ascii="Arial" w:eastAsia="Times New Roman" w:hAnsi="Arial" w:cs="Arial"/>
                          <w:kern w:val="0"/>
                          <w:lang w:eastAsia="en-GB"/>
                          <w14:ligatures w14:val="none"/>
                        </w:rPr>
                        <w:t>Educational systems also play a pivotal role in nurturing well-being. The Welsh Government’s Curriculum for Wales (</w:t>
                      </w:r>
                      <w:r w:rsidRPr="00DE5B81">
                        <w:rPr>
                          <w:rFonts w:ascii="Arial" w:eastAsia="Times New Roman" w:hAnsi="Arial" w:cs="Arial"/>
                          <w:kern w:val="0"/>
                          <w:lang w:eastAsia="en-GB"/>
                          <w14:ligatures w14:val="none"/>
                        </w:rPr>
                        <w:t xml:space="preserve">2020 and </w:t>
                      </w:r>
                      <w:r w:rsidRPr="00776E37">
                        <w:rPr>
                          <w:rFonts w:ascii="Arial" w:eastAsia="Times New Roman" w:hAnsi="Arial" w:cs="Arial"/>
                          <w:kern w:val="0"/>
                          <w:lang w:eastAsia="en-GB"/>
                          <w14:ligatures w14:val="none"/>
                        </w:rPr>
                        <w:t>2022) promotes a holistic approach, integrating health, relationships, and emotional literacy within its framework. This ensures that children develop not only academically but also socially and emotionally. Moreover, embedding well-being within educational policies allows practitioners to tailor interventions that address the unique needs of children from diverse backgrounds, promoting equity and inclusivity. By prioritizing well-being, educational systems empower children to thrive academically while fostering long-term personal growth.</w:t>
                      </w:r>
                    </w:p>
                    <w:p w14:paraId="72776FC5" w14:textId="77777777" w:rsidR="00D03FD9" w:rsidRPr="00776E37" w:rsidRDefault="00D03FD9" w:rsidP="00D03FD9">
                      <w:pPr>
                        <w:spacing w:before="100" w:beforeAutospacing="1" w:after="100" w:afterAutospacing="1" w:line="240" w:lineRule="auto"/>
                        <w:jc w:val="both"/>
                        <w:rPr>
                          <w:rFonts w:ascii="Arial" w:eastAsia="Times New Roman" w:hAnsi="Arial" w:cs="Arial"/>
                          <w:kern w:val="0"/>
                          <w:lang w:eastAsia="en-GB"/>
                          <w14:ligatures w14:val="none"/>
                        </w:rPr>
                      </w:pPr>
                      <w:r w:rsidRPr="00776E37">
                        <w:rPr>
                          <w:rFonts w:ascii="Arial" w:eastAsia="Times New Roman" w:hAnsi="Arial" w:cs="Arial"/>
                          <w:kern w:val="0"/>
                          <w:lang w:eastAsia="en-GB"/>
                          <w14:ligatures w14:val="none"/>
                        </w:rPr>
                        <w:t>Well-being, particularly in childhood, is both a protective factor and a springboard for future success. A comprehensive understanding, informed by evidence-based strategies, empowers practitioners to address barriers and create opportunities for flourishing development. Practitioners play a critical role in recognizing and addressing factors that may impede well-being, such as socioeconomic inequalities or ACEs. By creating nurturing environments and fostering positive relationships, they contribute significantly to the holistic development of children, equipping them with the tools needed to succeed throughout their lives.</w:t>
                      </w:r>
                    </w:p>
                    <w:p w14:paraId="1CEB8B86" w14:textId="25D6850A" w:rsidR="008960C8" w:rsidRDefault="008960C8"/>
                  </w:txbxContent>
                </v:textbox>
                <w10:wrap type="square"/>
              </v:shape>
            </w:pict>
          </mc:Fallback>
        </mc:AlternateContent>
      </w:r>
    </w:p>
    <w:p w14:paraId="007EC245" w14:textId="4B84A354" w:rsidR="002F482A" w:rsidRDefault="00BA4177" w:rsidP="00430D51">
      <w:pPr>
        <w:jc w:val="both"/>
        <w:rPr>
          <w:rFonts w:ascii="Arial" w:hAnsi="Arial" w:cs="Arial"/>
          <w:b/>
          <w:bCs/>
        </w:rPr>
      </w:pPr>
      <w:r>
        <w:rPr>
          <w:rFonts w:ascii="Arial" w:hAnsi="Arial" w:cs="Arial"/>
          <w:b/>
          <w:bCs/>
          <w:noProof/>
        </w:rPr>
        <w:lastRenderedPageBreak/>
        <mc:AlternateContent>
          <mc:Choice Requires="wps">
            <w:drawing>
              <wp:anchor distT="0" distB="0" distL="114300" distR="114300" simplePos="0" relativeHeight="251656192" behindDoc="0" locked="0" layoutInCell="1" allowOverlap="1" wp14:anchorId="303965D9" wp14:editId="3F2149B8">
                <wp:simplePos x="0" y="0"/>
                <wp:positionH relativeFrom="column">
                  <wp:posOffset>5155835</wp:posOffset>
                </wp:positionH>
                <wp:positionV relativeFrom="paragraph">
                  <wp:posOffset>236946</wp:posOffset>
                </wp:positionV>
                <wp:extent cx="4411980" cy="4836782"/>
                <wp:effectExtent l="228600" t="228600" r="255270" b="250190"/>
                <wp:wrapNone/>
                <wp:docPr id="970952336" name="Text Box 6"/>
                <wp:cNvGraphicFramePr/>
                <a:graphic xmlns:a="http://schemas.openxmlformats.org/drawingml/2006/main">
                  <a:graphicData uri="http://schemas.microsoft.com/office/word/2010/wordprocessingShape">
                    <wps:wsp>
                      <wps:cNvSpPr txBox="1"/>
                      <wps:spPr>
                        <a:xfrm>
                          <a:off x="0" y="0"/>
                          <a:ext cx="4411980" cy="4836782"/>
                        </a:xfrm>
                        <a:prstGeom prst="rect">
                          <a:avLst/>
                        </a:prstGeom>
                        <a:solidFill>
                          <a:schemeClr val="lt1"/>
                        </a:solidFill>
                        <a:ln w="6350">
                          <a:solidFill>
                            <a:schemeClr val="accent5">
                              <a:lumMod val="60000"/>
                              <a:lumOff val="40000"/>
                            </a:schemeClr>
                          </a:solidFill>
                        </a:ln>
                        <a:effectLst>
                          <a:glow rad="228600">
                            <a:schemeClr val="accent5">
                              <a:satMod val="175000"/>
                              <a:alpha val="40000"/>
                            </a:schemeClr>
                          </a:glow>
                        </a:effectLst>
                      </wps:spPr>
                      <wps:txbx>
                        <w:txbxContent>
                          <w:p w14:paraId="4B417089" w14:textId="77777777" w:rsidR="00493E2F" w:rsidRPr="008873F6" w:rsidRDefault="00493E2F" w:rsidP="00493E2F">
                            <w:pPr>
                              <w:spacing w:before="100" w:beforeAutospacing="1" w:after="100" w:afterAutospacing="1" w:line="240" w:lineRule="auto"/>
                              <w:jc w:val="both"/>
                              <w:outlineLvl w:val="2"/>
                              <w:rPr>
                                <w:rFonts w:ascii="Arial" w:eastAsia="Times New Roman" w:hAnsi="Arial" w:cs="Arial"/>
                                <w:b/>
                                <w:bCs/>
                                <w:kern w:val="0"/>
                                <w:lang w:eastAsia="en-GB"/>
                                <w14:ligatures w14:val="none"/>
                              </w:rPr>
                            </w:pPr>
                            <w:r w:rsidRPr="008873F6">
                              <w:rPr>
                                <w:rFonts w:ascii="Arial" w:eastAsia="Times New Roman" w:hAnsi="Arial" w:cs="Arial"/>
                                <w:b/>
                                <w:bCs/>
                                <w:kern w:val="0"/>
                                <w:lang w:eastAsia="en-GB"/>
                                <w14:ligatures w14:val="none"/>
                              </w:rPr>
                              <w:t>Lifestyle and Its Impact on Development</w:t>
                            </w:r>
                          </w:p>
                          <w:p w14:paraId="28872564" w14:textId="77777777" w:rsidR="00493E2F" w:rsidRPr="008873F6" w:rsidRDefault="00493E2F" w:rsidP="00493E2F">
                            <w:pPr>
                              <w:spacing w:before="100" w:beforeAutospacing="1" w:after="100" w:afterAutospacing="1" w:line="240" w:lineRule="auto"/>
                              <w:jc w:val="both"/>
                              <w:rPr>
                                <w:rFonts w:ascii="Arial" w:eastAsia="Times New Roman" w:hAnsi="Arial" w:cs="Arial"/>
                                <w:color w:val="FF0000"/>
                                <w:kern w:val="0"/>
                                <w:lang w:eastAsia="en-GB"/>
                                <w14:ligatures w14:val="none"/>
                              </w:rPr>
                            </w:pPr>
                            <w:r w:rsidRPr="008873F6">
                              <w:rPr>
                                <w:rFonts w:ascii="Arial" w:eastAsia="Times New Roman" w:hAnsi="Arial" w:cs="Arial"/>
                                <w:kern w:val="0"/>
                                <w:lang w:eastAsia="en-GB"/>
                                <w14:ligatures w14:val="none"/>
                              </w:rPr>
                              <w:t>Lifestyle choices, including dietary habits, physical activity, sleep patterns, and hygiene, play a pivotal role in early childhood development. These habits are influenced by family, culture, and environment, shaping a child's overall health and potential. The Welsh Government (</w:t>
                            </w:r>
                            <w:r>
                              <w:rPr>
                                <w:rFonts w:ascii="Arial" w:eastAsia="Times New Roman" w:hAnsi="Arial" w:cs="Arial"/>
                                <w:kern w:val="0"/>
                                <w:lang w:eastAsia="en-GB"/>
                                <w14:ligatures w14:val="none"/>
                              </w:rPr>
                              <w:t xml:space="preserve">2020 and </w:t>
                            </w:r>
                            <w:r w:rsidRPr="008873F6">
                              <w:rPr>
                                <w:rFonts w:ascii="Arial" w:eastAsia="Times New Roman" w:hAnsi="Arial" w:cs="Arial"/>
                                <w:kern w:val="0"/>
                                <w:lang w:eastAsia="en-GB"/>
                                <w14:ligatures w14:val="none"/>
                              </w:rPr>
                              <w:t>202</w:t>
                            </w:r>
                            <w:r w:rsidRPr="00E40228">
                              <w:rPr>
                                <w:rFonts w:ascii="Arial" w:eastAsia="Times New Roman" w:hAnsi="Arial" w:cs="Arial"/>
                                <w:kern w:val="0"/>
                                <w:lang w:eastAsia="en-GB"/>
                                <w14:ligatures w14:val="none"/>
                              </w:rPr>
                              <w:t>2</w:t>
                            </w:r>
                            <w:r w:rsidRPr="008873F6">
                              <w:rPr>
                                <w:rFonts w:ascii="Arial" w:eastAsia="Times New Roman" w:hAnsi="Arial" w:cs="Arial"/>
                                <w:kern w:val="0"/>
                                <w:lang w:eastAsia="en-GB"/>
                                <w14:ligatures w14:val="none"/>
                              </w:rPr>
                              <w:t xml:space="preserve">) emphasizes that encouraging healthy routines from a young age fosters physical and emotional stability, while </w:t>
                            </w:r>
                            <w:r w:rsidRPr="00DD17D3">
                              <w:rPr>
                                <w:rFonts w:ascii="Arial" w:hAnsi="Arial" w:cs="Arial"/>
                                <w:shd w:val="clear" w:color="auto" w:fill="FFFFFF"/>
                              </w:rPr>
                              <w:t xml:space="preserve">LeBlanc, </w:t>
                            </w:r>
                            <w:r w:rsidRPr="00DD17D3">
                              <w:rPr>
                                <w:rFonts w:ascii="Arial" w:hAnsi="Arial" w:cs="Arial"/>
                                <w:i/>
                                <w:iCs/>
                                <w:shd w:val="clear" w:color="auto" w:fill="FFFFFF"/>
                              </w:rPr>
                              <w:t>et al.</w:t>
                            </w:r>
                            <w:r w:rsidRPr="00DD17D3">
                              <w:rPr>
                                <w:rFonts w:ascii="Arial" w:hAnsi="Arial" w:cs="Arial"/>
                                <w:shd w:val="clear" w:color="auto" w:fill="FFFFFF"/>
                              </w:rPr>
                              <w:t xml:space="preserve">, (2012), Poitras, </w:t>
                            </w:r>
                            <w:r w:rsidRPr="00DD17D3">
                              <w:rPr>
                                <w:rFonts w:ascii="Arial" w:hAnsi="Arial" w:cs="Arial"/>
                                <w:i/>
                                <w:iCs/>
                                <w:shd w:val="clear" w:color="auto" w:fill="FFFFFF"/>
                              </w:rPr>
                              <w:t>et al</w:t>
                            </w:r>
                            <w:r w:rsidRPr="00DD17D3">
                              <w:rPr>
                                <w:rFonts w:ascii="Arial" w:hAnsi="Arial" w:cs="Arial"/>
                                <w:shd w:val="clear" w:color="auto" w:fill="FFFFFF"/>
                              </w:rPr>
                              <w:t xml:space="preserve">., (2017) and Tremblay, (2017) </w:t>
                            </w:r>
                            <w:r w:rsidRPr="008873F6">
                              <w:rPr>
                                <w:rFonts w:ascii="Arial" w:eastAsia="Times New Roman" w:hAnsi="Arial" w:cs="Arial"/>
                                <w:kern w:val="0"/>
                                <w:lang w:eastAsia="en-GB"/>
                                <w14:ligatures w14:val="none"/>
                              </w:rPr>
                              <w:t xml:space="preserve">link regular physical activity to improved motor skills, cognitive function, and self-regulation. Similarly, Bagordo </w:t>
                            </w:r>
                            <w:r w:rsidRPr="008873F6">
                              <w:rPr>
                                <w:rFonts w:ascii="Arial" w:eastAsia="Times New Roman" w:hAnsi="Arial" w:cs="Arial"/>
                                <w:i/>
                                <w:iCs/>
                                <w:kern w:val="0"/>
                                <w:lang w:eastAsia="en-GB"/>
                                <w14:ligatures w14:val="none"/>
                              </w:rPr>
                              <w:t>et al.</w:t>
                            </w:r>
                            <w:r w:rsidRPr="008873F6">
                              <w:rPr>
                                <w:rFonts w:ascii="Arial" w:eastAsia="Times New Roman" w:hAnsi="Arial" w:cs="Arial"/>
                                <w:kern w:val="0"/>
                                <w:lang w:eastAsia="en-GB"/>
                                <w14:ligatures w14:val="none"/>
                              </w:rPr>
                              <w:t xml:space="preserve"> (2017)</w:t>
                            </w:r>
                            <w:r w:rsidRPr="00A9150E">
                              <w:rPr>
                                <w:rFonts w:ascii="Arial" w:eastAsia="Times New Roman" w:hAnsi="Arial" w:cs="Arial"/>
                                <w:kern w:val="0"/>
                                <w:lang w:eastAsia="en-GB"/>
                                <w14:ligatures w14:val="none"/>
                              </w:rPr>
                              <w:t xml:space="preserve"> and An (2017)</w:t>
                            </w:r>
                            <w:r w:rsidRPr="008873F6">
                              <w:rPr>
                                <w:rFonts w:ascii="Arial" w:eastAsia="Times New Roman" w:hAnsi="Arial" w:cs="Arial"/>
                                <w:kern w:val="0"/>
                                <w:lang w:eastAsia="en-GB"/>
                                <w14:ligatures w14:val="none"/>
                              </w:rPr>
                              <w:t xml:space="preserve"> emphasize the role of balanced nutrition in supporting brain development and energy levels necessary for learning. Sleep routines are equally critical, as </w:t>
                            </w:r>
                            <w:r w:rsidRPr="00BE64AF">
                              <w:rPr>
                                <w:rFonts w:ascii="Arial" w:hAnsi="Arial" w:cs="Arial"/>
                                <w:shd w:val="clear" w:color="auto" w:fill="FFFFFF"/>
                              </w:rPr>
                              <w:t xml:space="preserve">Jusienė and Breidokienė, (2019); D’Cruz, </w:t>
                            </w:r>
                            <w:r w:rsidRPr="00BE64AF">
                              <w:rPr>
                                <w:rFonts w:ascii="Arial" w:hAnsi="Arial" w:cs="Arial"/>
                                <w:i/>
                                <w:iCs/>
                                <w:shd w:val="clear" w:color="auto" w:fill="FFFFFF"/>
                              </w:rPr>
                              <w:t>et al.,</w:t>
                            </w:r>
                            <w:r w:rsidRPr="00BE64AF">
                              <w:rPr>
                                <w:rFonts w:ascii="Arial" w:hAnsi="Arial" w:cs="Arial"/>
                                <w:shd w:val="clear" w:color="auto" w:fill="FFFFFF"/>
                              </w:rPr>
                              <w:t> (2024)</w:t>
                            </w:r>
                            <w:r w:rsidRPr="00BE64AF">
                              <w:rPr>
                                <w:rFonts w:ascii="Arial" w:eastAsia="Times New Roman" w:hAnsi="Arial" w:cs="Arial"/>
                                <w:kern w:val="0"/>
                                <w:lang w:eastAsia="en-GB"/>
                                <w14:ligatures w14:val="none"/>
                              </w:rPr>
                              <w:t xml:space="preserve"> </w:t>
                            </w:r>
                            <w:r w:rsidRPr="008873F6">
                              <w:rPr>
                                <w:rFonts w:ascii="Arial" w:eastAsia="Times New Roman" w:hAnsi="Arial" w:cs="Arial"/>
                                <w:kern w:val="0"/>
                                <w:lang w:eastAsia="en-GB"/>
                                <w14:ligatures w14:val="none"/>
                              </w:rPr>
                              <w:t xml:space="preserve">demonstrates that adequate sleep enhances memory, concentration, and emotional regulation. Unhealthy lifestyles, however, pose significant risks. </w:t>
                            </w:r>
                            <w:r w:rsidRPr="001E382F">
                              <w:rPr>
                                <w:rFonts w:ascii="Arial" w:eastAsia="Times New Roman" w:hAnsi="Arial" w:cs="Arial"/>
                                <w:kern w:val="0"/>
                                <w:lang w:eastAsia="en-GB"/>
                                <w14:ligatures w14:val="none"/>
                              </w:rPr>
                              <w:t>Wong</w:t>
                            </w:r>
                            <w:r w:rsidRPr="008873F6">
                              <w:rPr>
                                <w:rFonts w:ascii="Arial" w:eastAsia="Times New Roman" w:hAnsi="Arial" w:cs="Arial"/>
                                <w:kern w:val="0"/>
                                <w:lang w:eastAsia="en-GB"/>
                                <w14:ligatures w14:val="none"/>
                              </w:rPr>
                              <w:t xml:space="preserve"> </w:t>
                            </w:r>
                            <w:r w:rsidRPr="008873F6">
                              <w:rPr>
                                <w:rFonts w:ascii="Arial" w:eastAsia="Times New Roman" w:hAnsi="Arial" w:cs="Arial"/>
                                <w:i/>
                                <w:iCs/>
                                <w:kern w:val="0"/>
                                <w:lang w:eastAsia="en-GB"/>
                                <w14:ligatures w14:val="none"/>
                              </w:rPr>
                              <w:t>et al</w:t>
                            </w:r>
                            <w:r w:rsidRPr="008873F6">
                              <w:rPr>
                                <w:rFonts w:ascii="Arial" w:eastAsia="Times New Roman" w:hAnsi="Arial" w:cs="Arial"/>
                                <w:kern w:val="0"/>
                                <w:lang w:eastAsia="en-GB"/>
                                <w14:ligatures w14:val="none"/>
                              </w:rPr>
                              <w:t>. (20</w:t>
                            </w:r>
                            <w:r w:rsidRPr="001E382F">
                              <w:rPr>
                                <w:rFonts w:ascii="Arial" w:eastAsia="Times New Roman" w:hAnsi="Arial" w:cs="Arial"/>
                                <w:kern w:val="0"/>
                                <w:lang w:eastAsia="en-GB"/>
                                <w14:ligatures w14:val="none"/>
                              </w:rPr>
                              <w:t>22</w:t>
                            </w:r>
                            <w:r w:rsidRPr="008873F6">
                              <w:rPr>
                                <w:rFonts w:ascii="Arial" w:eastAsia="Times New Roman" w:hAnsi="Arial" w:cs="Arial"/>
                                <w:kern w:val="0"/>
                                <w:lang w:eastAsia="en-GB"/>
                                <w14:ligatures w14:val="none"/>
                              </w:rPr>
                              <w:t>) identify poor diet, sedentary behaviour, and excessive screen time as contributors to obesity and developmental delays. Bronfenbrenner’s ecological systems theory highlights how a child's development is shaped by interactions within their immediate and broader environments, stressing the need for multi-faceted interventions. Practitioners must therefore collaborate with families and communities to promote healthy choices and ensure children have the best opportunity to thrive.</w:t>
                            </w:r>
                          </w:p>
                          <w:p w14:paraId="17207658" w14:textId="77777777" w:rsidR="00DC5131" w:rsidRDefault="00DC513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3965D9" id="Text Box 6" o:spid="_x0000_s1034" type="#_x0000_t202" style="position:absolute;left:0;text-align:left;margin-left:405.95pt;margin-top:18.65pt;width:347.4pt;height:380.8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bfjiAIAAFMFAAAOAAAAZHJzL2Uyb0RvYy54bWysVFtv2jAUfp+0/2D5fQ2hgVLUULFWnSZ1&#10;bSU69fngOCSS4+PZhqT79Tt2CNBu0qRpPBifS77znZuvrrtGsZ20rkad8/RsxJnUAotab3L+/fnu&#10;04wz50EXoFDLnL9Kx68XHz9ctWYux1ihKqRlBKLdvDU5r7w38yRxopINuDM0UpOxRNuAJ9FuksJC&#10;S+iNSsaj0TRp0RbGopDOkfa2N/JFxC9LKfxjWTrpmco5cfPxtPFchzNZXMF8Y8FUtdjTgH9g0UCt&#10;KegB6hY8sK2tf4NqamHRYenPBDYJlmUtZMyBsklH77JZVWBkzIWK48yhTO7/wYqH3co8Wea7z9hR&#10;A0NBWuPmjpQhn660TfgnpozsVMLXQ9lk55kgZZal6eWMTIJs2ex8ejEbB5zk+Lmxzn+R2LBwybml&#10;vsRywe7e+d51cAnRHKq6uKuVikKYBXmjLNsBdVH5SJLA33gpzdqcT88nowj8xhan6YgAQkjtJ9FP&#10;bZtvWPTI0xH9+okgNc1Nr84GdQg5cInZnQQhm9KBrYxDR1kFYaOwZRaKnI/HM4LvqQ0YPfwpGwf+&#10;wCa9mBzogDIV/I1NCBZpnVBIjr0MN9+tO1YTndnQ5zUWr9R+i/1mOCPuamrRPTj/BJZWgdpK6+0f&#10;6SgpQM5xf+OsQvvzT/rgTxNKVs5aWq2cux9bsJIz9VXT7F6mWRZ2MQrZ5GJMgj21rE8tetvcIPU9&#10;pYfEiHgN/l4N19Ji80KvwDJEJRNoQbFz7ofrje8Xnl4RIZfL6ETbZ8Df65URATo0Kwzgc/cC1uyn&#10;1NOAP+CwhDB/N6y9b/hS43LrsazjJIc691WlZgSBNje2Zf/KhKfhVI5ex7dw8QsAAP//AwBQSwME&#10;FAAGAAgAAAAhACLVhknfAAAACwEAAA8AAABkcnMvZG93bnJldi54bWxMj0FOwzAQRfdI3MEaJDaI&#10;2qEkaUImFULqClSJwgHceIgjYjuKndbcHncFy9F/+v9Ns41mZCea/eAsQrYSwMh2Tg22R/j82N1v&#10;gPkgrZKjs4TwQx627fVVI2vlzvadTofQs1RifS0RdAhTzbnvNBnpV24im7IvNxsZ0jn3XM3ynMrN&#10;yB+EKLiRg00LWk70oqn7PiwGgZv+NV+KPLopPu7y8Bbvur1GvL2Jz0/AAsXwB8NFP6lDm5yObrHK&#10;sxFhk2VVQhHW5RrYBchFUQI7IpRVJYC3Df//Q/sLAAD//wMAUEsBAi0AFAAGAAgAAAAhALaDOJL+&#10;AAAA4QEAABMAAAAAAAAAAAAAAAAAAAAAAFtDb250ZW50X1R5cGVzXS54bWxQSwECLQAUAAYACAAA&#10;ACEAOP0h/9YAAACUAQAACwAAAAAAAAAAAAAAAAAvAQAAX3JlbHMvLnJlbHNQSwECLQAUAAYACAAA&#10;ACEAE1m344gCAABTBQAADgAAAAAAAAAAAAAAAAAuAgAAZHJzL2Uyb0RvYy54bWxQSwECLQAUAAYA&#10;CAAAACEAItWGSd8AAAALAQAADwAAAAAAAAAAAAAAAADiBAAAZHJzL2Rvd25yZXYueG1sUEsFBgAA&#10;AAAEAAQA8wAAAO4FAAAAAA==&#10;" fillcolor="white [3201]" strokecolor="#d86dcb [1944]" strokeweight=".5pt">
                <v:textbox>
                  <w:txbxContent>
                    <w:p w14:paraId="4B417089" w14:textId="77777777" w:rsidR="00493E2F" w:rsidRPr="008873F6" w:rsidRDefault="00493E2F" w:rsidP="00493E2F">
                      <w:pPr>
                        <w:spacing w:before="100" w:beforeAutospacing="1" w:after="100" w:afterAutospacing="1" w:line="240" w:lineRule="auto"/>
                        <w:jc w:val="both"/>
                        <w:outlineLvl w:val="2"/>
                        <w:rPr>
                          <w:rFonts w:ascii="Arial" w:eastAsia="Times New Roman" w:hAnsi="Arial" w:cs="Arial"/>
                          <w:b/>
                          <w:bCs/>
                          <w:kern w:val="0"/>
                          <w:lang w:eastAsia="en-GB"/>
                          <w14:ligatures w14:val="none"/>
                        </w:rPr>
                      </w:pPr>
                      <w:r w:rsidRPr="008873F6">
                        <w:rPr>
                          <w:rFonts w:ascii="Arial" w:eastAsia="Times New Roman" w:hAnsi="Arial" w:cs="Arial"/>
                          <w:b/>
                          <w:bCs/>
                          <w:kern w:val="0"/>
                          <w:lang w:eastAsia="en-GB"/>
                          <w14:ligatures w14:val="none"/>
                        </w:rPr>
                        <w:t>Lifestyle and Its Impact on Development</w:t>
                      </w:r>
                    </w:p>
                    <w:p w14:paraId="28872564" w14:textId="77777777" w:rsidR="00493E2F" w:rsidRPr="008873F6" w:rsidRDefault="00493E2F" w:rsidP="00493E2F">
                      <w:pPr>
                        <w:spacing w:before="100" w:beforeAutospacing="1" w:after="100" w:afterAutospacing="1" w:line="240" w:lineRule="auto"/>
                        <w:jc w:val="both"/>
                        <w:rPr>
                          <w:rFonts w:ascii="Arial" w:eastAsia="Times New Roman" w:hAnsi="Arial" w:cs="Arial"/>
                          <w:color w:val="FF0000"/>
                          <w:kern w:val="0"/>
                          <w:lang w:eastAsia="en-GB"/>
                          <w14:ligatures w14:val="none"/>
                        </w:rPr>
                      </w:pPr>
                      <w:r w:rsidRPr="008873F6">
                        <w:rPr>
                          <w:rFonts w:ascii="Arial" w:eastAsia="Times New Roman" w:hAnsi="Arial" w:cs="Arial"/>
                          <w:kern w:val="0"/>
                          <w:lang w:eastAsia="en-GB"/>
                          <w14:ligatures w14:val="none"/>
                        </w:rPr>
                        <w:t>Lifestyle choices, including dietary habits, physical activity, sleep patterns, and hygiene, play a pivotal role in early childhood development. These habits are influenced by family, culture, and environment, shaping a child's overall health and potential. The Welsh Government (</w:t>
                      </w:r>
                      <w:r>
                        <w:rPr>
                          <w:rFonts w:ascii="Arial" w:eastAsia="Times New Roman" w:hAnsi="Arial" w:cs="Arial"/>
                          <w:kern w:val="0"/>
                          <w:lang w:eastAsia="en-GB"/>
                          <w14:ligatures w14:val="none"/>
                        </w:rPr>
                        <w:t xml:space="preserve">2020 and </w:t>
                      </w:r>
                      <w:r w:rsidRPr="008873F6">
                        <w:rPr>
                          <w:rFonts w:ascii="Arial" w:eastAsia="Times New Roman" w:hAnsi="Arial" w:cs="Arial"/>
                          <w:kern w:val="0"/>
                          <w:lang w:eastAsia="en-GB"/>
                          <w14:ligatures w14:val="none"/>
                        </w:rPr>
                        <w:t>202</w:t>
                      </w:r>
                      <w:r w:rsidRPr="00E40228">
                        <w:rPr>
                          <w:rFonts w:ascii="Arial" w:eastAsia="Times New Roman" w:hAnsi="Arial" w:cs="Arial"/>
                          <w:kern w:val="0"/>
                          <w:lang w:eastAsia="en-GB"/>
                          <w14:ligatures w14:val="none"/>
                        </w:rPr>
                        <w:t>2</w:t>
                      </w:r>
                      <w:r w:rsidRPr="008873F6">
                        <w:rPr>
                          <w:rFonts w:ascii="Arial" w:eastAsia="Times New Roman" w:hAnsi="Arial" w:cs="Arial"/>
                          <w:kern w:val="0"/>
                          <w:lang w:eastAsia="en-GB"/>
                          <w14:ligatures w14:val="none"/>
                        </w:rPr>
                        <w:t xml:space="preserve">) emphasizes that encouraging healthy routines from a young age fosters physical and emotional stability, while </w:t>
                      </w:r>
                      <w:r w:rsidRPr="00DD17D3">
                        <w:rPr>
                          <w:rFonts w:ascii="Arial" w:hAnsi="Arial" w:cs="Arial"/>
                          <w:shd w:val="clear" w:color="auto" w:fill="FFFFFF"/>
                        </w:rPr>
                        <w:t xml:space="preserve">LeBlanc, </w:t>
                      </w:r>
                      <w:r w:rsidRPr="00DD17D3">
                        <w:rPr>
                          <w:rFonts w:ascii="Arial" w:hAnsi="Arial" w:cs="Arial"/>
                          <w:i/>
                          <w:iCs/>
                          <w:shd w:val="clear" w:color="auto" w:fill="FFFFFF"/>
                        </w:rPr>
                        <w:t>et al.</w:t>
                      </w:r>
                      <w:r w:rsidRPr="00DD17D3">
                        <w:rPr>
                          <w:rFonts w:ascii="Arial" w:hAnsi="Arial" w:cs="Arial"/>
                          <w:shd w:val="clear" w:color="auto" w:fill="FFFFFF"/>
                        </w:rPr>
                        <w:t xml:space="preserve">, (2012), Poitras, </w:t>
                      </w:r>
                      <w:r w:rsidRPr="00DD17D3">
                        <w:rPr>
                          <w:rFonts w:ascii="Arial" w:hAnsi="Arial" w:cs="Arial"/>
                          <w:i/>
                          <w:iCs/>
                          <w:shd w:val="clear" w:color="auto" w:fill="FFFFFF"/>
                        </w:rPr>
                        <w:t>et al</w:t>
                      </w:r>
                      <w:r w:rsidRPr="00DD17D3">
                        <w:rPr>
                          <w:rFonts w:ascii="Arial" w:hAnsi="Arial" w:cs="Arial"/>
                          <w:shd w:val="clear" w:color="auto" w:fill="FFFFFF"/>
                        </w:rPr>
                        <w:t xml:space="preserve">., (2017) and Tremblay, (2017) </w:t>
                      </w:r>
                      <w:r w:rsidRPr="008873F6">
                        <w:rPr>
                          <w:rFonts w:ascii="Arial" w:eastAsia="Times New Roman" w:hAnsi="Arial" w:cs="Arial"/>
                          <w:kern w:val="0"/>
                          <w:lang w:eastAsia="en-GB"/>
                          <w14:ligatures w14:val="none"/>
                        </w:rPr>
                        <w:t xml:space="preserve">link regular physical activity to improved motor skills, cognitive function, and self-regulation. Similarly, Bagordo </w:t>
                      </w:r>
                      <w:r w:rsidRPr="008873F6">
                        <w:rPr>
                          <w:rFonts w:ascii="Arial" w:eastAsia="Times New Roman" w:hAnsi="Arial" w:cs="Arial"/>
                          <w:i/>
                          <w:iCs/>
                          <w:kern w:val="0"/>
                          <w:lang w:eastAsia="en-GB"/>
                          <w14:ligatures w14:val="none"/>
                        </w:rPr>
                        <w:t>et al.</w:t>
                      </w:r>
                      <w:r w:rsidRPr="008873F6">
                        <w:rPr>
                          <w:rFonts w:ascii="Arial" w:eastAsia="Times New Roman" w:hAnsi="Arial" w:cs="Arial"/>
                          <w:kern w:val="0"/>
                          <w:lang w:eastAsia="en-GB"/>
                          <w14:ligatures w14:val="none"/>
                        </w:rPr>
                        <w:t xml:space="preserve"> (2017)</w:t>
                      </w:r>
                      <w:r w:rsidRPr="00A9150E">
                        <w:rPr>
                          <w:rFonts w:ascii="Arial" w:eastAsia="Times New Roman" w:hAnsi="Arial" w:cs="Arial"/>
                          <w:kern w:val="0"/>
                          <w:lang w:eastAsia="en-GB"/>
                          <w14:ligatures w14:val="none"/>
                        </w:rPr>
                        <w:t xml:space="preserve"> and An (2017)</w:t>
                      </w:r>
                      <w:r w:rsidRPr="008873F6">
                        <w:rPr>
                          <w:rFonts w:ascii="Arial" w:eastAsia="Times New Roman" w:hAnsi="Arial" w:cs="Arial"/>
                          <w:kern w:val="0"/>
                          <w:lang w:eastAsia="en-GB"/>
                          <w14:ligatures w14:val="none"/>
                        </w:rPr>
                        <w:t xml:space="preserve"> emphasize the role of balanced nutrition in supporting brain development and energy levels necessary for learning. Sleep routines are equally critical, as </w:t>
                      </w:r>
                      <w:r w:rsidRPr="00BE64AF">
                        <w:rPr>
                          <w:rFonts w:ascii="Arial" w:hAnsi="Arial" w:cs="Arial"/>
                          <w:shd w:val="clear" w:color="auto" w:fill="FFFFFF"/>
                        </w:rPr>
                        <w:t xml:space="preserve">Jusienė and Breidokienė, (2019); D’Cruz, </w:t>
                      </w:r>
                      <w:r w:rsidRPr="00BE64AF">
                        <w:rPr>
                          <w:rFonts w:ascii="Arial" w:hAnsi="Arial" w:cs="Arial"/>
                          <w:i/>
                          <w:iCs/>
                          <w:shd w:val="clear" w:color="auto" w:fill="FFFFFF"/>
                        </w:rPr>
                        <w:t>et al.,</w:t>
                      </w:r>
                      <w:r w:rsidRPr="00BE64AF">
                        <w:rPr>
                          <w:rFonts w:ascii="Arial" w:hAnsi="Arial" w:cs="Arial"/>
                          <w:shd w:val="clear" w:color="auto" w:fill="FFFFFF"/>
                        </w:rPr>
                        <w:t> (2024)</w:t>
                      </w:r>
                      <w:r w:rsidRPr="00BE64AF">
                        <w:rPr>
                          <w:rFonts w:ascii="Arial" w:eastAsia="Times New Roman" w:hAnsi="Arial" w:cs="Arial"/>
                          <w:kern w:val="0"/>
                          <w:lang w:eastAsia="en-GB"/>
                          <w14:ligatures w14:val="none"/>
                        </w:rPr>
                        <w:t xml:space="preserve"> </w:t>
                      </w:r>
                      <w:r w:rsidRPr="008873F6">
                        <w:rPr>
                          <w:rFonts w:ascii="Arial" w:eastAsia="Times New Roman" w:hAnsi="Arial" w:cs="Arial"/>
                          <w:kern w:val="0"/>
                          <w:lang w:eastAsia="en-GB"/>
                          <w14:ligatures w14:val="none"/>
                        </w:rPr>
                        <w:t xml:space="preserve">demonstrates that adequate sleep enhances memory, concentration, and emotional regulation. Unhealthy lifestyles, however, pose significant risks. </w:t>
                      </w:r>
                      <w:r w:rsidRPr="001E382F">
                        <w:rPr>
                          <w:rFonts w:ascii="Arial" w:eastAsia="Times New Roman" w:hAnsi="Arial" w:cs="Arial"/>
                          <w:kern w:val="0"/>
                          <w:lang w:eastAsia="en-GB"/>
                          <w14:ligatures w14:val="none"/>
                        </w:rPr>
                        <w:t>Wong</w:t>
                      </w:r>
                      <w:r w:rsidRPr="008873F6">
                        <w:rPr>
                          <w:rFonts w:ascii="Arial" w:eastAsia="Times New Roman" w:hAnsi="Arial" w:cs="Arial"/>
                          <w:kern w:val="0"/>
                          <w:lang w:eastAsia="en-GB"/>
                          <w14:ligatures w14:val="none"/>
                        </w:rPr>
                        <w:t xml:space="preserve"> </w:t>
                      </w:r>
                      <w:r w:rsidRPr="008873F6">
                        <w:rPr>
                          <w:rFonts w:ascii="Arial" w:eastAsia="Times New Roman" w:hAnsi="Arial" w:cs="Arial"/>
                          <w:i/>
                          <w:iCs/>
                          <w:kern w:val="0"/>
                          <w:lang w:eastAsia="en-GB"/>
                          <w14:ligatures w14:val="none"/>
                        </w:rPr>
                        <w:t>et al</w:t>
                      </w:r>
                      <w:r w:rsidRPr="008873F6">
                        <w:rPr>
                          <w:rFonts w:ascii="Arial" w:eastAsia="Times New Roman" w:hAnsi="Arial" w:cs="Arial"/>
                          <w:kern w:val="0"/>
                          <w:lang w:eastAsia="en-GB"/>
                          <w14:ligatures w14:val="none"/>
                        </w:rPr>
                        <w:t>. (20</w:t>
                      </w:r>
                      <w:r w:rsidRPr="001E382F">
                        <w:rPr>
                          <w:rFonts w:ascii="Arial" w:eastAsia="Times New Roman" w:hAnsi="Arial" w:cs="Arial"/>
                          <w:kern w:val="0"/>
                          <w:lang w:eastAsia="en-GB"/>
                          <w14:ligatures w14:val="none"/>
                        </w:rPr>
                        <w:t>22</w:t>
                      </w:r>
                      <w:r w:rsidRPr="008873F6">
                        <w:rPr>
                          <w:rFonts w:ascii="Arial" w:eastAsia="Times New Roman" w:hAnsi="Arial" w:cs="Arial"/>
                          <w:kern w:val="0"/>
                          <w:lang w:eastAsia="en-GB"/>
                          <w14:ligatures w14:val="none"/>
                        </w:rPr>
                        <w:t>) identify poor diet, sedentary behaviour, and excessive screen time as contributors to obesity and developmental delays. Bronfenbrenner’s ecological systems theory highlights how a child's development is shaped by interactions within their immediate and broader environments, stressing the need for multi-faceted interventions. Practitioners must therefore collaborate with families and communities to promote healthy choices and ensure children have the best opportunity to thrive.</w:t>
                      </w:r>
                    </w:p>
                    <w:p w14:paraId="17207658" w14:textId="77777777" w:rsidR="00DC5131" w:rsidRDefault="00DC5131"/>
                  </w:txbxContent>
                </v:textbox>
              </v:shape>
            </w:pict>
          </mc:Fallback>
        </mc:AlternateContent>
      </w:r>
      <w:r w:rsidR="00242554" w:rsidRPr="00F377F1">
        <w:rPr>
          <w:rFonts w:ascii="Arial" w:hAnsi="Arial" w:cs="Arial"/>
          <w:b/>
          <w:bCs/>
          <w:noProof/>
        </w:rPr>
        <mc:AlternateContent>
          <mc:Choice Requires="wps">
            <w:drawing>
              <wp:anchor distT="45720" distB="45720" distL="114300" distR="114300" simplePos="0" relativeHeight="251650048" behindDoc="0" locked="0" layoutInCell="1" allowOverlap="1" wp14:anchorId="2562DAB4" wp14:editId="41BCCF0D">
                <wp:simplePos x="0" y="0"/>
                <wp:positionH relativeFrom="column">
                  <wp:posOffset>-501650</wp:posOffset>
                </wp:positionH>
                <wp:positionV relativeFrom="paragraph">
                  <wp:posOffset>229870</wp:posOffset>
                </wp:positionV>
                <wp:extent cx="5420360" cy="4020820"/>
                <wp:effectExtent l="228600" t="228600" r="256540" b="246380"/>
                <wp:wrapSquare wrapText="bothSides"/>
                <wp:docPr id="451049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0360" cy="4020820"/>
                        </a:xfrm>
                        <a:prstGeom prst="rect">
                          <a:avLst/>
                        </a:prstGeom>
                        <a:solidFill>
                          <a:srgbClr val="FFFFFF"/>
                        </a:solidFill>
                        <a:ln w="9525">
                          <a:solidFill>
                            <a:schemeClr val="accent4">
                              <a:lumMod val="60000"/>
                              <a:lumOff val="40000"/>
                            </a:schemeClr>
                          </a:solidFill>
                          <a:miter lim="800000"/>
                          <a:headEnd/>
                          <a:tailEnd/>
                        </a:ln>
                        <a:effectLst>
                          <a:glow rad="228600">
                            <a:schemeClr val="accent4">
                              <a:satMod val="175000"/>
                              <a:alpha val="40000"/>
                            </a:schemeClr>
                          </a:glow>
                        </a:effectLst>
                      </wps:spPr>
                      <wps:txbx>
                        <w:txbxContent>
                          <w:p w14:paraId="66F2AAB6" w14:textId="77777777" w:rsidR="00034BDC" w:rsidRPr="008873F6" w:rsidRDefault="00034BDC" w:rsidP="00034BDC">
                            <w:pPr>
                              <w:spacing w:before="100" w:beforeAutospacing="1" w:after="100" w:afterAutospacing="1" w:line="240" w:lineRule="auto"/>
                              <w:jc w:val="both"/>
                              <w:outlineLvl w:val="2"/>
                              <w:rPr>
                                <w:rFonts w:ascii="Arial" w:eastAsia="Times New Roman" w:hAnsi="Arial" w:cs="Arial"/>
                                <w:b/>
                                <w:bCs/>
                                <w:kern w:val="0"/>
                                <w:lang w:eastAsia="en-GB"/>
                                <w14:ligatures w14:val="none"/>
                              </w:rPr>
                            </w:pPr>
                            <w:r w:rsidRPr="008873F6">
                              <w:rPr>
                                <w:rFonts w:ascii="Arial" w:eastAsia="Times New Roman" w:hAnsi="Arial" w:cs="Arial"/>
                                <w:b/>
                                <w:bCs/>
                                <w:kern w:val="0"/>
                                <w:lang w:eastAsia="en-GB"/>
                                <w14:ligatures w14:val="none"/>
                              </w:rPr>
                              <w:t>The Role of Relationships in Promoting Well-Being</w:t>
                            </w:r>
                          </w:p>
                          <w:p w14:paraId="068BFA89" w14:textId="77777777" w:rsidR="00034BDC" w:rsidRPr="008873F6" w:rsidRDefault="00034BDC" w:rsidP="00034BDC">
                            <w:pPr>
                              <w:spacing w:before="100" w:beforeAutospacing="1" w:after="100" w:afterAutospacing="1" w:line="240" w:lineRule="auto"/>
                              <w:jc w:val="both"/>
                              <w:rPr>
                                <w:rFonts w:ascii="Arial" w:eastAsia="Times New Roman" w:hAnsi="Arial" w:cs="Arial"/>
                                <w:kern w:val="0"/>
                                <w:lang w:eastAsia="en-GB"/>
                                <w14:ligatures w14:val="none"/>
                              </w:rPr>
                            </w:pPr>
                            <w:r w:rsidRPr="008873F6">
                              <w:rPr>
                                <w:rFonts w:ascii="Arial" w:eastAsia="Times New Roman" w:hAnsi="Arial" w:cs="Arial"/>
                                <w:kern w:val="0"/>
                                <w:lang w:eastAsia="en-GB"/>
                                <w14:ligatures w14:val="none"/>
                              </w:rPr>
                              <w:t>Relationships are the foundation of well-being, particularly during early childhood, where secure connections with caregivers significantly shape a child's emotional and social development. Stable, loving relationships create an environment where children feel safe, valued, and confident to explore their world</w:t>
                            </w:r>
                            <w:r>
                              <w:rPr>
                                <w:rFonts w:ascii="Arial" w:eastAsia="Times New Roman" w:hAnsi="Arial" w:cs="Arial"/>
                                <w:kern w:val="0"/>
                                <w:lang w:eastAsia="en-GB"/>
                                <w14:ligatures w14:val="none"/>
                              </w:rPr>
                              <w:t xml:space="preserve">. Woolfenden </w:t>
                            </w:r>
                            <w:r w:rsidRPr="009667D2">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2013; Thai and Betts, 2021; Prins </w:t>
                            </w:r>
                            <w:r w:rsidRPr="009667D2">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2023; Cowan, 2023; Berlinski </w:t>
                            </w:r>
                            <w:r w:rsidRPr="00196516">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2015 </w:t>
                            </w:r>
                            <w:r w:rsidRPr="008873F6">
                              <w:rPr>
                                <w:rFonts w:ascii="Arial" w:eastAsia="Times New Roman" w:hAnsi="Arial" w:cs="Arial"/>
                                <w:kern w:val="0"/>
                                <w:lang w:eastAsia="en-GB"/>
                                <w14:ligatures w14:val="none"/>
                              </w:rPr>
                              <w:t>highlight that the quality of these relationships directly impacts a child’s emotional stability and readiness to learn, making them critical to early development. Bowlby’s attachment theory underscores the importance of secure attachments, explaining how consistent, nurturing care provides children with a "secure base" from which to engage in exploration and learning. Holmes (2014) elaborates that children who develop strong bonds are better equipped to navigate challenges, form positive relationships, and build resilience. Conversely, children lacking secure attachments may face difficulties in emotional regulation and social interactions, often carrying these struggles into adulthood (Goldberg, Muir, &amp; Kerr, 20</w:t>
                            </w:r>
                            <w:r w:rsidRPr="0078481F">
                              <w:rPr>
                                <w:rFonts w:ascii="Arial" w:eastAsia="Times New Roman" w:hAnsi="Arial" w:cs="Arial"/>
                                <w:kern w:val="0"/>
                                <w:lang w:eastAsia="en-GB"/>
                                <w14:ligatures w14:val="none"/>
                              </w:rPr>
                              <w:t>00</w:t>
                            </w:r>
                            <w:r w:rsidRPr="008873F6">
                              <w:rPr>
                                <w:rFonts w:ascii="Arial" w:eastAsia="Times New Roman" w:hAnsi="Arial" w:cs="Arial"/>
                                <w:kern w:val="0"/>
                                <w:lang w:eastAsia="en-GB"/>
                                <w14:ligatures w14:val="none"/>
                              </w:rPr>
                              <w:t>). Practitioners play a vital role in this context by creating emotionally supportive environments that foster trust and open communication. Through emotional coaching and relationship-building activities, educators can help children develop critical interpersonal skills, particularly for those experiencing instability or adversity at home.</w:t>
                            </w:r>
                          </w:p>
                          <w:p w14:paraId="2295B98D" w14:textId="4A466D06" w:rsidR="00F377F1" w:rsidRDefault="00F377F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62DAB4" id="_x0000_s1035" type="#_x0000_t202" style="position:absolute;left:0;text-align:left;margin-left:-39.5pt;margin-top:18.1pt;width:426.8pt;height:316.6pt;z-index:251650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GSeZgIAAPUEAAAOAAAAZHJzL2Uyb0RvYy54bWysVF1v2yAUfZ+0/4B4X+14TptYdaquXadJ&#10;3YfU7QfcYByjYS4DErv79b3gNE07TZOm8YCAC4dzLudyfjH2mu2k8wpNzWcnOWfSCGyU2dT8+7eb&#10;NwvOfADTgEYja34vPb9YvX51PthKFtihbqRjBGJ8NdiadyHYKsu86GQP/gStNBRs0fUQaOo2WeNg&#10;IPReZ0Wen2YDusY6FNJ7Wr2egnyV8NtWivClbb0MTNecuIXUu9SvY5+tzqHaOLCdEnsa8A8selCG&#10;Lj1AXUMAtnXqN6heCYce23AisM+wbZWQSQOpmeUv1Nx1YGXSQsnx9pAm//9gxefdnf3qWBjf4UgP&#10;mER4e4vih2cGrzowG3npHA6dhIYunsWUZYP11f5oTLWvfARZD5+woUeGbcAENLauj1khnYzQ6QHu&#10;D0mXY2CCFudlkb89pZCgWJkX+aJIz5JB9XjcOh8+SOxZHNTc0asmeNjd+hDpQPW4Jd7mUavmRmmd&#10;Jm6zvtKO7YAccJNaUvBimzZsqPlyXsynDDyDiGaUBxAQQppQpn1625PkCfw0pzYZipbJdtNy+bhM&#10;LJOtI1Li/IxnrwIVglZ9zRfxxB4pZv29aZJNAyg9jQlKm6hOJotTFuJko3FgDpqaF8WC2ExK/kze&#10;QziQn53ND3eCth38jXy8LKk4opBsEZ0weSKM65EporOMWYkuWWNzTz5xONUh/Rs06ND94mygGqy5&#10;/7kFJznTHw15bTkry1i0aVLOz8gYzB1H1scRMIKgah44m4ZXIRV6TI3BS/Jkq5JbnpjsnUy1laTs&#10;/4FYvMfztOvpt1o9AAAA//8DAFBLAwQUAAYACAAAACEAyUIRseIAAAAKAQAADwAAAGRycy9kb3du&#10;cmV2LnhtbEyPwU7DMBBE70j8g7VI3FqHtnJoyKYCBBIcADUFxNG1TRIRryPbacPfY05wHM1o5k25&#10;mWzPDsaHzhHCxTwDZkg53VGD8Lq7n10CC1GSlr0jg/BtAmyq05NSFtodaWsOdWxYKqFQSIQ2xqHg&#10;PKjWWBnmbjCUvE/nrYxJ+oZrL4+p3PZ8kWWCW9lRWmjlYG5bo77q0SLcPPqnB3rLXtR0Jz+Wu3rc&#10;qvdnxPOz6foKWDRT/AvDL35Chyox7d1IOrAeYZav05eIsBQLYCmQ5ysBbI8gxHoFvCr5/wvVDwAA&#10;AP//AwBQSwECLQAUAAYACAAAACEAtoM4kv4AAADhAQAAEwAAAAAAAAAAAAAAAAAAAAAAW0NvbnRl&#10;bnRfVHlwZXNdLnhtbFBLAQItABQABgAIAAAAIQA4/SH/1gAAAJQBAAALAAAAAAAAAAAAAAAAAC8B&#10;AABfcmVscy8ucmVsc1BLAQItABQABgAIAAAAIQDBQGSeZgIAAPUEAAAOAAAAAAAAAAAAAAAAAC4C&#10;AABkcnMvZTJvRG9jLnhtbFBLAQItABQABgAIAAAAIQDJQhGx4gAAAAoBAAAPAAAAAAAAAAAAAAAA&#10;AMAEAABkcnMvZG93bnJldi54bWxQSwUGAAAAAAQABADzAAAAzwUAAAAA&#10;" strokecolor="#60caf3 [1943]">
                <v:textbox>
                  <w:txbxContent>
                    <w:p w14:paraId="66F2AAB6" w14:textId="77777777" w:rsidR="00034BDC" w:rsidRPr="008873F6" w:rsidRDefault="00034BDC" w:rsidP="00034BDC">
                      <w:pPr>
                        <w:spacing w:before="100" w:beforeAutospacing="1" w:after="100" w:afterAutospacing="1" w:line="240" w:lineRule="auto"/>
                        <w:jc w:val="both"/>
                        <w:outlineLvl w:val="2"/>
                        <w:rPr>
                          <w:rFonts w:ascii="Arial" w:eastAsia="Times New Roman" w:hAnsi="Arial" w:cs="Arial"/>
                          <w:b/>
                          <w:bCs/>
                          <w:kern w:val="0"/>
                          <w:lang w:eastAsia="en-GB"/>
                          <w14:ligatures w14:val="none"/>
                        </w:rPr>
                      </w:pPr>
                      <w:r w:rsidRPr="008873F6">
                        <w:rPr>
                          <w:rFonts w:ascii="Arial" w:eastAsia="Times New Roman" w:hAnsi="Arial" w:cs="Arial"/>
                          <w:b/>
                          <w:bCs/>
                          <w:kern w:val="0"/>
                          <w:lang w:eastAsia="en-GB"/>
                          <w14:ligatures w14:val="none"/>
                        </w:rPr>
                        <w:t>The Role of Relationships in Promoting Well-Being</w:t>
                      </w:r>
                    </w:p>
                    <w:p w14:paraId="068BFA89" w14:textId="77777777" w:rsidR="00034BDC" w:rsidRPr="008873F6" w:rsidRDefault="00034BDC" w:rsidP="00034BDC">
                      <w:pPr>
                        <w:spacing w:before="100" w:beforeAutospacing="1" w:after="100" w:afterAutospacing="1" w:line="240" w:lineRule="auto"/>
                        <w:jc w:val="both"/>
                        <w:rPr>
                          <w:rFonts w:ascii="Arial" w:eastAsia="Times New Roman" w:hAnsi="Arial" w:cs="Arial"/>
                          <w:kern w:val="0"/>
                          <w:lang w:eastAsia="en-GB"/>
                          <w14:ligatures w14:val="none"/>
                        </w:rPr>
                      </w:pPr>
                      <w:r w:rsidRPr="008873F6">
                        <w:rPr>
                          <w:rFonts w:ascii="Arial" w:eastAsia="Times New Roman" w:hAnsi="Arial" w:cs="Arial"/>
                          <w:kern w:val="0"/>
                          <w:lang w:eastAsia="en-GB"/>
                          <w14:ligatures w14:val="none"/>
                        </w:rPr>
                        <w:t>Relationships are the foundation of well-being, particularly during early childhood, where secure connections with caregivers significantly shape a child's emotional and social development. Stable, loving relationships create an environment where children feel safe, valued, and confident to explore their world</w:t>
                      </w:r>
                      <w:r>
                        <w:rPr>
                          <w:rFonts w:ascii="Arial" w:eastAsia="Times New Roman" w:hAnsi="Arial" w:cs="Arial"/>
                          <w:kern w:val="0"/>
                          <w:lang w:eastAsia="en-GB"/>
                          <w14:ligatures w14:val="none"/>
                        </w:rPr>
                        <w:t xml:space="preserve">. Woolfenden </w:t>
                      </w:r>
                      <w:r w:rsidRPr="009667D2">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2013; Thai and Betts, 2021; Prins </w:t>
                      </w:r>
                      <w:r w:rsidRPr="009667D2">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2023; Cowan, 2023; Berlinski </w:t>
                      </w:r>
                      <w:r w:rsidRPr="00196516">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2015 </w:t>
                      </w:r>
                      <w:r w:rsidRPr="008873F6">
                        <w:rPr>
                          <w:rFonts w:ascii="Arial" w:eastAsia="Times New Roman" w:hAnsi="Arial" w:cs="Arial"/>
                          <w:kern w:val="0"/>
                          <w:lang w:eastAsia="en-GB"/>
                          <w14:ligatures w14:val="none"/>
                        </w:rPr>
                        <w:t>highlight that the quality of these relationships directly impacts a child’s emotional stability and readiness to learn, making them critical to early development. Bowlby’s attachment theory underscores the importance of secure attachments, explaining how consistent, nurturing care provides children with a "secure base" from which to engage in exploration and learning. Holmes (2014) elaborates that children who develop strong bonds are better equipped to navigate challenges, form positive relationships, and build resilience. Conversely, children lacking secure attachments may face difficulties in emotional regulation and social interactions, often carrying these struggles into adulthood (Goldberg, Muir, &amp; Kerr, 20</w:t>
                      </w:r>
                      <w:r w:rsidRPr="0078481F">
                        <w:rPr>
                          <w:rFonts w:ascii="Arial" w:eastAsia="Times New Roman" w:hAnsi="Arial" w:cs="Arial"/>
                          <w:kern w:val="0"/>
                          <w:lang w:eastAsia="en-GB"/>
                          <w14:ligatures w14:val="none"/>
                        </w:rPr>
                        <w:t>00</w:t>
                      </w:r>
                      <w:r w:rsidRPr="008873F6">
                        <w:rPr>
                          <w:rFonts w:ascii="Arial" w:eastAsia="Times New Roman" w:hAnsi="Arial" w:cs="Arial"/>
                          <w:kern w:val="0"/>
                          <w:lang w:eastAsia="en-GB"/>
                          <w14:ligatures w14:val="none"/>
                        </w:rPr>
                        <w:t>). Practitioners play a vital role in this context by creating emotionally supportive environments that foster trust and open communication. Through emotional coaching and relationship-building activities, educators can help children develop critical interpersonal skills, particularly for those experiencing instability or adversity at home.</w:t>
                      </w:r>
                    </w:p>
                    <w:p w14:paraId="2295B98D" w14:textId="4A466D06" w:rsidR="00F377F1" w:rsidRDefault="00F377F1"/>
                  </w:txbxContent>
                </v:textbox>
                <w10:wrap type="square"/>
              </v:shape>
            </w:pict>
          </mc:Fallback>
        </mc:AlternateContent>
      </w:r>
    </w:p>
    <w:p w14:paraId="16A54430" w14:textId="4DDC2020" w:rsidR="002F482A" w:rsidRDefault="002F482A" w:rsidP="00430D51">
      <w:pPr>
        <w:jc w:val="both"/>
        <w:rPr>
          <w:rFonts w:ascii="Arial" w:hAnsi="Arial" w:cs="Arial"/>
          <w:b/>
          <w:bCs/>
        </w:rPr>
      </w:pPr>
    </w:p>
    <w:p w14:paraId="6C5EE8EE" w14:textId="42BA91CB" w:rsidR="002F482A" w:rsidRDefault="002F482A" w:rsidP="00430D51">
      <w:pPr>
        <w:jc w:val="both"/>
        <w:rPr>
          <w:rFonts w:ascii="Arial" w:hAnsi="Arial" w:cs="Arial"/>
          <w:b/>
          <w:bCs/>
        </w:rPr>
      </w:pPr>
    </w:p>
    <w:p w14:paraId="7512D31F" w14:textId="5BF0E354" w:rsidR="002F482A" w:rsidRDefault="002F482A" w:rsidP="00430D51">
      <w:pPr>
        <w:jc w:val="both"/>
        <w:rPr>
          <w:rFonts w:ascii="Arial" w:hAnsi="Arial" w:cs="Arial"/>
          <w:b/>
          <w:bCs/>
        </w:rPr>
      </w:pPr>
    </w:p>
    <w:p w14:paraId="499D90B4" w14:textId="2D32DF7A" w:rsidR="002F482A" w:rsidRDefault="002F482A" w:rsidP="00430D51">
      <w:pPr>
        <w:jc w:val="both"/>
        <w:rPr>
          <w:rFonts w:ascii="Arial" w:hAnsi="Arial" w:cs="Arial"/>
          <w:b/>
          <w:bCs/>
        </w:rPr>
      </w:pPr>
    </w:p>
    <w:p w14:paraId="7377CDFF" w14:textId="2A0E1585" w:rsidR="002F482A" w:rsidRDefault="002F482A" w:rsidP="00430D51">
      <w:pPr>
        <w:jc w:val="both"/>
        <w:rPr>
          <w:rFonts w:ascii="Arial" w:hAnsi="Arial" w:cs="Arial"/>
          <w:b/>
          <w:bCs/>
        </w:rPr>
      </w:pPr>
    </w:p>
    <w:p w14:paraId="36B0E85F" w14:textId="66FC21B4" w:rsidR="002F482A" w:rsidRDefault="002F482A" w:rsidP="00430D51">
      <w:pPr>
        <w:jc w:val="both"/>
        <w:rPr>
          <w:rFonts w:ascii="Arial" w:hAnsi="Arial" w:cs="Arial"/>
          <w:b/>
          <w:bCs/>
        </w:rPr>
      </w:pPr>
    </w:p>
    <w:p w14:paraId="22A3892B" w14:textId="4F9DF3C5" w:rsidR="002F482A" w:rsidRDefault="002F482A" w:rsidP="00430D51">
      <w:pPr>
        <w:jc w:val="both"/>
        <w:rPr>
          <w:rFonts w:ascii="Arial" w:hAnsi="Arial" w:cs="Arial"/>
          <w:b/>
          <w:bCs/>
        </w:rPr>
      </w:pPr>
    </w:p>
    <w:p w14:paraId="72B77D15" w14:textId="4DCE4FC1" w:rsidR="002F482A" w:rsidRDefault="002F482A" w:rsidP="00430D51">
      <w:pPr>
        <w:jc w:val="both"/>
        <w:rPr>
          <w:rFonts w:ascii="Arial" w:hAnsi="Arial" w:cs="Arial"/>
          <w:b/>
          <w:bCs/>
        </w:rPr>
      </w:pPr>
    </w:p>
    <w:p w14:paraId="1E7E3A2F" w14:textId="07B3E094" w:rsidR="002F482A" w:rsidRDefault="002F482A" w:rsidP="00430D51">
      <w:pPr>
        <w:jc w:val="both"/>
        <w:rPr>
          <w:rFonts w:ascii="Arial" w:hAnsi="Arial" w:cs="Arial"/>
          <w:b/>
          <w:bCs/>
        </w:rPr>
      </w:pPr>
    </w:p>
    <w:p w14:paraId="4AF33A6A" w14:textId="0FABA421" w:rsidR="002F482A" w:rsidRDefault="002F482A" w:rsidP="00430D51">
      <w:pPr>
        <w:jc w:val="both"/>
        <w:rPr>
          <w:rFonts w:ascii="Arial" w:hAnsi="Arial" w:cs="Arial"/>
          <w:b/>
          <w:bCs/>
        </w:rPr>
      </w:pPr>
    </w:p>
    <w:p w14:paraId="6B5965B0" w14:textId="6B76F1AC" w:rsidR="002F482A" w:rsidRDefault="002F482A" w:rsidP="00430D51">
      <w:pPr>
        <w:jc w:val="both"/>
        <w:rPr>
          <w:rFonts w:ascii="Arial" w:hAnsi="Arial" w:cs="Arial"/>
          <w:b/>
          <w:bCs/>
        </w:rPr>
      </w:pPr>
    </w:p>
    <w:p w14:paraId="73367146" w14:textId="4030C9B8" w:rsidR="002F482A" w:rsidRDefault="002F482A" w:rsidP="00430D51">
      <w:pPr>
        <w:jc w:val="both"/>
        <w:rPr>
          <w:rFonts w:ascii="Arial" w:hAnsi="Arial" w:cs="Arial"/>
          <w:b/>
          <w:bCs/>
        </w:rPr>
      </w:pPr>
    </w:p>
    <w:p w14:paraId="619E8641" w14:textId="6C5FBC6F" w:rsidR="002F482A" w:rsidRDefault="002F482A" w:rsidP="00430D51">
      <w:pPr>
        <w:jc w:val="both"/>
        <w:rPr>
          <w:rFonts w:ascii="Arial" w:hAnsi="Arial" w:cs="Arial"/>
          <w:b/>
          <w:bCs/>
        </w:rPr>
      </w:pPr>
    </w:p>
    <w:p w14:paraId="3CD8E714" w14:textId="6815D6D2" w:rsidR="00E6100E" w:rsidRDefault="002D6A05" w:rsidP="00430D51">
      <w:pPr>
        <w:jc w:val="both"/>
        <w:rPr>
          <w:rFonts w:ascii="Arial" w:hAnsi="Arial" w:cs="Arial"/>
          <w:b/>
          <w:bCs/>
        </w:rPr>
      </w:pPr>
      <w:r>
        <w:rPr>
          <w:noProof/>
        </w:rPr>
        <w:drawing>
          <wp:anchor distT="0" distB="0" distL="114300" distR="114300" simplePos="0" relativeHeight="251679744" behindDoc="1" locked="0" layoutInCell="1" allowOverlap="1" wp14:anchorId="4B2C16B6" wp14:editId="34CE4BCF">
            <wp:simplePos x="0" y="0"/>
            <wp:positionH relativeFrom="column">
              <wp:posOffset>281940</wp:posOffset>
            </wp:positionH>
            <wp:positionV relativeFrom="paragraph">
              <wp:posOffset>143862</wp:posOffset>
            </wp:positionV>
            <wp:extent cx="3463290" cy="2110740"/>
            <wp:effectExtent l="0" t="0" r="3810" b="3810"/>
            <wp:wrapNone/>
            <wp:docPr id="2" name="Picture 1" descr="A diagram of people in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people in different colors&#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63290" cy="21107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8FF4CD" w14:textId="0CD57C41" w:rsidR="00326DA8" w:rsidRPr="00326DA8" w:rsidRDefault="00326DA8" w:rsidP="00326DA8">
      <w:pPr>
        <w:rPr>
          <w:rFonts w:ascii="Arial" w:hAnsi="Arial" w:cs="Arial"/>
        </w:rPr>
      </w:pPr>
    </w:p>
    <w:p w14:paraId="19FE463B" w14:textId="5D35C5FA" w:rsidR="00326DA8" w:rsidRDefault="00326DA8" w:rsidP="00326DA8">
      <w:pPr>
        <w:rPr>
          <w:rFonts w:ascii="Arial" w:hAnsi="Arial" w:cs="Arial"/>
          <w:b/>
          <w:bCs/>
        </w:rPr>
      </w:pPr>
    </w:p>
    <w:p w14:paraId="238BC63A" w14:textId="6FC0C643" w:rsidR="002D6A05" w:rsidRDefault="002D6A05" w:rsidP="00326DA8">
      <w:pPr>
        <w:rPr>
          <w:rFonts w:ascii="Arial" w:hAnsi="Arial" w:cs="Arial"/>
          <w:b/>
          <w:bCs/>
        </w:rPr>
      </w:pPr>
    </w:p>
    <w:p w14:paraId="77A7DD1C" w14:textId="1FE80AFF" w:rsidR="002D6A05" w:rsidRDefault="002D6A05" w:rsidP="00326DA8">
      <w:pPr>
        <w:rPr>
          <w:rFonts w:ascii="Arial" w:hAnsi="Arial" w:cs="Arial"/>
          <w:b/>
          <w:bCs/>
        </w:rPr>
      </w:pPr>
    </w:p>
    <w:p w14:paraId="3DAB5270" w14:textId="46560A6F" w:rsidR="002D6A05" w:rsidRDefault="002D6A05" w:rsidP="00326DA8">
      <w:pPr>
        <w:rPr>
          <w:rFonts w:ascii="Arial" w:hAnsi="Arial" w:cs="Arial"/>
          <w:b/>
          <w:bCs/>
        </w:rPr>
      </w:pPr>
    </w:p>
    <w:p w14:paraId="7FE8524E" w14:textId="6627F2C4" w:rsidR="008B46A0" w:rsidRPr="00106118" w:rsidRDefault="004524E6" w:rsidP="00106118">
      <w:pPr>
        <w:rPr>
          <w:rFonts w:ascii="Arial" w:hAnsi="Arial" w:cs="Arial"/>
          <w:b/>
          <w:bCs/>
        </w:rPr>
      </w:pPr>
      <w:r w:rsidRPr="00BE33C6">
        <w:rPr>
          <w:rFonts w:ascii="Arial" w:hAnsi="Arial" w:cs="Arial"/>
          <w:b/>
          <w:bCs/>
          <w:noProof/>
        </w:rPr>
        <mc:AlternateContent>
          <mc:Choice Requires="wps">
            <w:drawing>
              <wp:anchor distT="45720" distB="45720" distL="114300" distR="114300" simplePos="0" relativeHeight="251682816" behindDoc="1" locked="0" layoutInCell="1" allowOverlap="1" wp14:anchorId="64ADD0D8" wp14:editId="630565DC">
                <wp:simplePos x="0" y="0"/>
                <wp:positionH relativeFrom="column">
                  <wp:posOffset>249980</wp:posOffset>
                </wp:positionH>
                <wp:positionV relativeFrom="paragraph">
                  <wp:posOffset>396532</wp:posOffset>
                </wp:positionV>
                <wp:extent cx="2360930" cy="499960"/>
                <wp:effectExtent l="0" t="0" r="0" b="0"/>
                <wp:wrapNone/>
                <wp:docPr id="11718165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99960"/>
                        </a:xfrm>
                        <a:prstGeom prst="rect">
                          <a:avLst/>
                        </a:prstGeom>
                        <a:solidFill>
                          <a:srgbClr val="FFFFFF"/>
                        </a:solidFill>
                        <a:ln w="9525">
                          <a:noFill/>
                          <a:miter lim="800000"/>
                          <a:headEnd/>
                          <a:tailEnd/>
                        </a:ln>
                      </wps:spPr>
                      <wps:txbx>
                        <w:txbxContent>
                          <w:p w14:paraId="5CCC3ED8" w14:textId="61BE552D" w:rsidR="00615943" w:rsidRPr="00615943" w:rsidRDefault="00AD3059" w:rsidP="00615943">
                            <w:pPr>
                              <w:rPr>
                                <w:rFonts w:ascii="Arial" w:hAnsi="Arial" w:cs="Arial"/>
                              </w:rPr>
                            </w:pPr>
                            <w:r w:rsidRPr="00F4200E">
                              <w:rPr>
                                <w:rFonts w:ascii="Arial" w:hAnsi="Arial" w:cs="Arial"/>
                              </w:rPr>
                              <w:t xml:space="preserve">The Dahlgren and </w:t>
                            </w:r>
                            <w:r w:rsidR="00262905">
                              <w:rPr>
                                <w:rFonts w:ascii="Arial" w:hAnsi="Arial" w:cs="Arial"/>
                              </w:rPr>
                              <w:t>W</w:t>
                            </w:r>
                            <w:r w:rsidRPr="00F4200E">
                              <w:rPr>
                                <w:rFonts w:ascii="Arial" w:hAnsi="Arial" w:cs="Arial"/>
                              </w:rPr>
                              <w:t>hitehead ‘Rainbow’</w:t>
                            </w:r>
                            <w:r w:rsidR="00615943">
                              <w:t xml:space="preserve"> (</w:t>
                            </w:r>
                            <w:r w:rsidR="00615943" w:rsidRPr="00615943">
                              <w:rPr>
                                <w:rFonts w:ascii="Arial" w:hAnsi="Arial" w:cs="Arial"/>
                              </w:rPr>
                              <w:t>Source: Patient Safety Learning, 2024)</w:t>
                            </w:r>
                          </w:p>
                          <w:p w14:paraId="4D49AE03" w14:textId="2293D397" w:rsidR="00BE33C6" w:rsidRDefault="00615943">
                            <w:r>
                              <w:t xml:space="preserve">                     </w:t>
                            </w:r>
                          </w:p>
                          <w:p w14:paraId="7123D130" w14:textId="77777777" w:rsidR="00615943" w:rsidRDefault="00615943"/>
                          <w:p w14:paraId="17C6853F" w14:textId="77777777" w:rsidR="00615943" w:rsidRDefault="00615943"/>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4ADD0D8" id="_x0000_s1036" type="#_x0000_t202" style="position:absolute;margin-left:19.7pt;margin-top:31.2pt;width:185.9pt;height:39.35pt;z-index:-25163366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lkIEQIAAP4DAAAOAAAAZHJzL2Uyb0RvYy54bWysU9tu2zAMfR+wfxD0vthJk6w24hRdugwD&#10;ugvQ7QMUWY6FyaJGKbG7ry8lp2nQvQ3TgyCK5BF5eLS6GTrDjgq9Blvx6STnTFkJtbb7iv/8sX13&#10;zZkPwtbCgFUVf1Se36zfvln1rlQzaMHUChmBWF/2ruJtCK7MMi9b1Qk/AacsORvATgQycZ/VKHpC&#10;70w2y/Nl1gPWDkEq7+n2bnTydcJvGiXDt6bxKjBTcaotpB3Tvot7tl6Jco/CtVqeyhD/UEUntKVH&#10;z1B3Igh2QP0XVKclgocmTCR0GTSNlir1QN1M81fdPLTCqdQLkePdmSb//2Dl1+OD+44sDB9goAGm&#10;Jry7B/nLMwubVti9ukWEvlWipoenkbKsd748pUaqfekjyK7/AjUNWRwCJKChwS6yQn0yQqcBPJ5J&#10;V0Ngki5nV8u8uCKXJN+8KIplmkomyudshz58UtCxeKg40lATujje+xCrEeVzSHzMg9H1VhuTDNzv&#10;NgbZUZAAtmmlBl6FGcv6iheL2SIhW4j5SRudDiRQo7uKX+dxjZKJbHy0dQoJQpvxTJUYe6InMjJy&#10;E4bdwHRN3KXkSNcO6kciDGEUJH0gOrSAfzjrSYwV978PAhVn5rMl0ovpfB7Vm4z54v2MDLz07C49&#10;wkqCqnjgbDxuQlJ85MPCLQ2n0Ym3l0pONZPIEp2nDxFVfGmnqJdvu34CAAD//wMAUEsDBBQABgAI&#10;AAAAIQD6KWME3QAAAAkBAAAPAAAAZHJzL2Rvd25yZXYueG1sTI/NTsMwEITvSLyDtZW4USehKpDG&#10;qRBSBFJObXkAJ978KPE6it00vD3LCU67qxnNfpMdVzuKBWffO1IQbyMQSLUzPbUKvi7F4wsIHzQZ&#10;PTpCBd/o4Zjf32U6Ne5GJ1zOoRUcQj7VCroQplRKX3dotd+6CYm1xs1WBz7nVppZ3zjcjjKJor20&#10;uif+0OkJ3zush/PVKvgs66JJStssYYjtUJ6qj6J5Vuphs74dQARcw58ZfvEZHXJmqtyVjBejgqfX&#10;HTsV7BOerO/iOAFRsZE3kHkm/zfIfwAAAP//AwBQSwECLQAUAAYACAAAACEAtoM4kv4AAADhAQAA&#10;EwAAAAAAAAAAAAAAAAAAAAAAW0NvbnRlbnRfVHlwZXNdLnhtbFBLAQItABQABgAIAAAAIQA4/SH/&#10;1gAAAJQBAAALAAAAAAAAAAAAAAAAAC8BAABfcmVscy8ucmVsc1BLAQItABQABgAIAAAAIQCV7lkI&#10;EQIAAP4DAAAOAAAAAAAAAAAAAAAAAC4CAABkcnMvZTJvRG9jLnhtbFBLAQItABQABgAIAAAAIQD6&#10;KWME3QAAAAkBAAAPAAAAAAAAAAAAAAAAAGsEAABkcnMvZG93bnJldi54bWxQSwUGAAAAAAQABADz&#10;AAAAdQUAAAAA&#10;" stroked="f">
                <v:textbox>
                  <w:txbxContent>
                    <w:p w14:paraId="5CCC3ED8" w14:textId="61BE552D" w:rsidR="00615943" w:rsidRPr="00615943" w:rsidRDefault="00AD3059" w:rsidP="00615943">
                      <w:pPr>
                        <w:rPr>
                          <w:rFonts w:ascii="Arial" w:hAnsi="Arial" w:cs="Arial"/>
                        </w:rPr>
                      </w:pPr>
                      <w:r w:rsidRPr="00F4200E">
                        <w:rPr>
                          <w:rFonts w:ascii="Arial" w:hAnsi="Arial" w:cs="Arial"/>
                        </w:rPr>
                        <w:t xml:space="preserve">The Dahlgren and </w:t>
                      </w:r>
                      <w:r w:rsidR="00262905">
                        <w:rPr>
                          <w:rFonts w:ascii="Arial" w:hAnsi="Arial" w:cs="Arial"/>
                        </w:rPr>
                        <w:t>W</w:t>
                      </w:r>
                      <w:r w:rsidRPr="00F4200E">
                        <w:rPr>
                          <w:rFonts w:ascii="Arial" w:hAnsi="Arial" w:cs="Arial"/>
                        </w:rPr>
                        <w:t>hitehead ‘Rainbow’</w:t>
                      </w:r>
                      <w:r w:rsidR="00615943">
                        <w:t xml:space="preserve"> (</w:t>
                      </w:r>
                      <w:r w:rsidR="00615943" w:rsidRPr="00615943">
                        <w:rPr>
                          <w:rFonts w:ascii="Arial" w:hAnsi="Arial" w:cs="Arial"/>
                        </w:rPr>
                        <w:t>Source: Patient Safety Learning, 2024)</w:t>
                      </w:r>
                    </w:p>
                    <w:p w14:paraId="4D49AE03" w14:textId="2293D397" w:rsidR="00BE33C6" w:rsidRDefault="00615943">
                      <w:r>
                        <w:t xml:space="preserve">                     </w:t>
                      </w:r>
                    </w:p>
                    <w:p w14:paraId="7123D130" w14:textId="77777777" w:rsidR="00615943" w:rsidRDefault="00615943"/>
                    <w:p w14:paraId="17C6853F" w14:textId="77777777" w:rsidR="00615943" w:rsidRDefault="00615943"/>
                  </w:txbxContent>
                </v:textbox>
              </v:shape>
            </w:pict>
          </mc:Fallback>
        </mc:AlternateContent>
      </w:r>
    </w:p>
    <w:p w14:paraId="0B03BB71" w14:textId="299FDF5F" w:rsidR="00E6100E" w:rsidRDefault="003875A4" w:rsidP="00430D51">
      <w:pPr>
        <w:jc w:val="both"/>
        <w:rPr>
          <w:rFonts w:ascii="Arial" w:hAnsi="Arial" w:cs="Arial"/>
          <w:b/>
          <w:bCs/>
        </w:rPr>
      </w:pPr>
      <w:r>
        <w:rPr>
          <w:noProof/>
        </w:rPr>
        <w:lastRenderedPageBreak/>
        <w:drawing>
          <wp:anchor distT="0" distB="0" distL="114300" distR="114300" simplePos="0" relativeHeight="251703296" behindDoc="0" locked="0" layoutInCell="1" allowOverlap="1" wp14:anchorId="1D699A93" wp14:editId="61BB6570">
            <wp:simplePos x="0" y="0"/>
            <wp:positionH relativeFrom="margin">
              <wp:posOffset>5905522</wp:posOffset>
            </wp:positionH>
            <wp:positionV relativeFrom="paragraph">
              <wp:posOffset>3314883</wp:posOffset>
            </wp:positionV>
            <wp:extent cx="3643630" cy="2542540"/>
            <wp:effectExtent l="0" t="0" r="0" b="0"/>
            <wp:wrapNone/>
            <wp:docPr id="1477369896" name="Picture 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43630" cy="2542540"/>
                    </a:xfrm>
                    <a:prstGeom prst="rect">
                      <a:avLst/>
                    </a:prstGeom>
                    <a:noFill/>
                    <a:ln>
                      <a:noFill/>
                    </a:ln>
                  </pic:spPr>
                </pic:pic>
              </a:graphicData>
            </a:graphic>
            <wp14:sizeRelH relativeFrom="page">
              <wp14:pctWidth>0</wp14:pctWidth>
            </wp14:sizeRelH>
            <wp14:sizeRelV relativeFrom="page">
              <wp14:pctHeight>0</wp14:pctHeight>
            </wp14:sizeRelV>
          </wp:anchor>
        </w:drawing>
      </w:r>
      <w:r w:rsidR="00C86369" w:rsidRPr="00C86369">
        <w:rPr>
          <w:rFonts w:ascii="Arial" w:hAnsi="Arial" w:cs="Arial"/>
          <w:b/>
          <w:bCs/>
          <w:noProof/>
        </w:rPr>
        <mc:AlternateContent>
          <mc:Choice Requires="wps">
            <w:drawing>
              <wp:anchor distT="45720" distB="45720" distL="114300" distR="114300" simplePos="0" relativeHeight="251664384" behindDoc="0" locked="0" layoutInCell="1" allowOverlap="1" wp14:anchorId="4F2672A5" wp14:editId="7D621089">
                <wp:simplePos x="0" y="0"/>
                <wp:positionH relativeFrom="column">
                  <wp:posOffset>-673100</wp:posOffset>
                </wp:positionH>
                <wp:positionV relativeFrom="paragraph">
                  <wp:posOffset>3348355</wp:posOffset>
                </wp:positionV>
                <wp:extent cx="6224270" cy="2677160"/>
                <wp:effectExtent l="228600" t="228600" r="252730" b="256540"/>
                <wp:wrapSquare wrapText="bothSides"/>
                <wp:docPr id="14438413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24270" cy="2677160"/>
                        </a:xfrm>
                        <a:prstGeom prst="rect">
                          <a:avLst/>
                        </a:prstGeom>
                        <a:solidFill>
                          <a:srgbClr val="FFFFFF"/>
                        </a:solidFill>
                        <a:ln w="9525">
                          <a:solidFill>
                            <a:schemeClr val="accent5">
                              <a:lumMod val="60000"/>
                              <a:lumOff val="40000"/>
                            </a:schemeClr>
                          </a:solidFill>
                          <a:miter lim="800000"/>
                          <a:headEnd/>
                          <a:tailEnd/>
                        </a:ln>
                        <a:effectLst>
                          <a:glow rad="228600">
                            <a:schemeClr val="accent5">
                              <a:satMod val="175000"/>
                              <a:alpha val="40000"/>
                            </a:schemeClr>
                          </a:glow>
                        </a:effectLst>
                      </wps:spPr>
                      <wps:txbx>
                        <w:txbxContent>
                          <w:p w14:paraId="7B86F950" w14:textId="77777777" w:rsidR="00885CB8" w:rsidRPr="008873F6" w:rsidRDefault="00885CB8" w:rsidP="00885CB8">
                            <w:pPr>
                              <w:spacing w:before="100" w:beforeAutospacing="1" w:after="100" w:afterAutospacing="1" w:line="240" w:lineRule="auto"/>
                              <w:jc w:val="both"/>
                              <w:outlineLvl w:val="2"/>
                              <w:rPr>
                                <w:rFonts w:ascii="Arial" w:eastAsia="Times New Roman" w:hAnsi="Arial" w:cs="Arial"/>
                                <w:b/>
                                <w:bCs/>
                                <w:kern w:val="0"/>
                                <w:lang w:eastAsia="en-GB"/>
                                <w14:ligatures w14:val="none"/>
                              </w:rPr>
                            </w:pPr>
                            <w:r w:rsidRPr="008873F6">
                              <w:rPr>
                                <w:rFonts w:ascii="Arial" w:eastAsia="Times New Roman" w:hAnsi="Arial" w:cs="Arial"/>
                                <w:b/>
                                <w:bCs/>
                                <w:kern w:val="0"/>
                                <w:lang w:eastAsia="en-GB"/>
                                <w14:ligatures w14:val="none"/>
                              </w:rPr>
                              <w:t>Conclusion</w:t>
                            </w:r>
                          </w:p>
                          <w:p w14:paraId="041773FE" w14:textId="77777777" w:rsidR="00885CB8" w:rsidRPr="008873F6" w:rsidRDefault="00885CB8" w:rsidP="00885CB8">
                            <w:pPr>
                              <w:spacing w:before="100" w:beforeAutospacing="1" w:after="100" w:afterAutospacing="1" w:line="240" w:lineRule="auto"/>
                              <w:jc w:val="both"/>
                              <w:rPr>
                                <w:rFonts w:ascii="Arial" w:eastAsia="Times New Roman" w:hAnsi="Arial" w:cs="Arial"/>
                                <w:kern w:val="0"/>
                                <w:lang w:eastAsia="en-GB"/>
                                <w14:ligatures w14:val="none"/>
                              </w:rPr>
                            </w:pPr>
                            <w:r w:rsidRPr="008873F6">
                              <w:rPr>
                                <w:rFonts w:ascii="Arial" w:eastAsia="Times New Roman" w:hAnsi="Arial" w:cs="Arial"/>
                                <w:kern w:val="0"/>
                                <w:lang w:eastAsia="en-GB"/>
                                <w14:ligatures w14:val="none"/>
                              </w:rPr>
                              <w:t>Health, well-being, and lifestyle are inseparable components of early childhood development that significantly influence a child's growth, learning, and future opportunities. By addressing these aspects holistically, early years practitioners create environments that support children in building resilience, maintaining physical health, and nurturing emotional stability. Strong relationships, early interventions, and inclusive practices are essential for tackling developmental disparities and ensuring all children can thrive. The role of practitioners extends beyond immediate care to fostering long-term habits that promote health and well-being. As policies and research continue to evolve, practitioners must stay informed and collaborate across disciplines to provide the highest quality support for every child. The early years represent a unique window of opportunity, and through evidence-based approaches, we can enhance children’s lives, giving them the foundation for lifelong success and well-being.</w:t>
                            </w:r>
                          </w:p>
                          <w:p w14:paraId="0E86DAE2" w14:textId="080874C0" w:rsidR="00C86369" w:rsidRDefault="00C8636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2672A5" id="_x0000_s1037" type="#_x0000_t202" style="position:absolute;left:0;text-align:left;margin-left:-53pt;margin-top:263.65pt;width:490.1pt;height:210.8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41xMZQIAAPYEAAAOAAAAZHJzL2Uyb0RvYy54bWysVF1v2yAUfZ+0/4B4Xx1b+WitOFWXrtOk&#10;7kPq9gNuMI7RMJcBid39+l1wkqadpknT/GBxuXA453Iuy+uh02wvnVdoKp5fTDiTRmCtzLbi377e&#10;vbnkzAcwNWg0suKP0vPr1etXy96WssAWdS0dIxDjy95WvA3BllnmRSs78BdopaFkg66DQKHbZrWD&#10;ntA7nRWTyTzr0dXWoZDe0+ztmOSrhN80UoTPTeNlYLrixC2kv0v/TfxnqyWUWwe2VeJAA/6BRQfK&#10;0KEnqFsIwHZO/QbVKeHQYxMuBHYZNo0SMmkgNfnkhZqHFqxMWqg43p7K5P8frPi0f7BfHAvDWxzo&#10;ApMIb+9RfPfM4LoFs5U3zmHfSqjp4DyWLOutLw9bY6l96SPIpv+INV0y7AImoKFxXawK6WSEThfw&#10;eCq6HAITNDkvimmxoJSgXDFfLPJ5upYMyuN263x4L7FjcVBxR7ea4GF/70OkA+VxSTzNo1b1ndI6&#10;BW67WWvH9kAOuEtfUvBimTasr/jVrJiNFXgGEc0oTyAghDRhXKd3HUkewecT+kZD0TTZbpyeHqeJ&#10;ZbJ1REqcn/HsVKBG0Kqr+GXccUCKVX9n6mTTAEqPY4LSJqqTyeJUhRhsNfbMQU1lLC6Jzajkz+Q9&#10;hBP5fDE7nQnatvA38vGwpOKMQrJFdMLoiTBsBqaITp5ME22ywfqRjOJwbER6OGjQovvJWU9NWHH/&#10;YwdOcqY/GDLbVT6dxq5NwXS2KChw55nNeQaMIKiKB87G4TqkTo+1MXhDpmxUsssTk4OVqbmSlsND&#10;ELv3PE6rnp6r1S8AAAD//wMAUEsDBBQABgAIAAAAIQDo8qrZ4QAAAAwBAAAPAAAAZHJzL2Rvd25y&#10;ZXYueG1sTI/LTsMwFET3SPyDdZHYtXYepEmIUyEkJLa0PLq8jW+TqLEdxU4b/h6zguVoRjNnqu2i&#10;B3ahyfXWSIjWAhiZxqretBLe9y+rHJjzaBQO1pCEb3KwrW9vKiyVvZo3uux8y0KJcSVK6LwfS85d&#10;05FGt7YjmeCd7KTRBzm1XE14DeV64LEQGdfYm7DQ4UjPHTXn3awlpNlwUI044/xZvEaJ/nCJ+nJS&#10;3t8tT4/APC3+Lwy/+AEd6sB0tLNRjg0SVpHIwhkv4SHeJMBCJN+kMbCjhCLNC+B1xf+fqH8AAAD/&#10;/wMAUEsBAi0AFAAGAAgAAAAhALaDOJL+AAAA4QEAABMAAAAAAAAAAAAAAAAAAAAAAFtDb250ZW50&#10;X1R5cGVzXS54bWxQSwECLQAUAAYACAAAACEAOP0h/9YAAACUAQAACwAAAAAAAAAAAAAAAAAvAQAA&#10;X3JlbHMvLnJlbHNQSwECLQAUAAYACAAAACEAPeNcTGUCAAD2BAAADgAAAAAAAAAAAAAAAAAuAgAA&#10;ZHJzL2Uyb0RvYy54bWxQSwECLQAUAAYACAAAACEA6PKq2eEAAAAMAQAADwAAAAAAAAAAAAAAAAC/&#10;BAAAZHJzL2Rvd25yZXYueG1sUEsFBgAAAAAEAAQA8wAAAM0FAAAAAA==&#10;" strokecolor="#d86dcb [1944]">
                <v:textbox>
                  <w:txbxContent>
                    <w:p w14:paraId="7B86F950" w14:textId="77777777" w:rsidR="00885CB8" w:rsidRPr="008873F6" w:rsidRDefault="00885CB8" w:rsidP="00885CB8">
                      <w:pPr>
                        <w:spacing w:before="100" w:beforeAutospacing="1" w:after="100" w:afterAutospacing="1" w:line="240" w:lineRule="auto"/>
                        <w:jc w:val="both"/>
                        <w:outlineLvl w:val="2"/>
                        <w:rPr>
                          <w:rFonts w:ascii="Arial" w:eastAsia="Times New Roman" w:hAnsi="Arial" w:cs="Arial"/>
                          <w:b/>
                          <w:bCs/>
                          <w:kern w:val="0"/>
                          <w:lang w:eastAsia="en-GB"/>
                          <w14:ligatures w14:val="none"/>
                        </w:rPr>
                      </w:pPr>
                      <w:r w:rsidRPr="008873F6">
                        <w:rPr>
                          <w:rFonts w:ascii="Arial" w:eastAsia="Times New Roman" w:hAnsi="Arial" w:cs="Arial"/>
                          <w:b/>
                          <w:bCs/>
                          <w:kern w:val="0"/>
                          <w:lang w:eastAsia="en-GB"/>
                          <w14:ligatures w14:val="none"/>
                        </w:rPr>
                        <w:t>Conclusion</w:t>
                      </w:r>
                    </w:p>
                    <w:p w14:paraId="041773FE" w14:textId="77777777" w:rsidR="00885CB8" w:rsidRPr="008873F6" w:rsidRDefault="00885CB8" w:rsidP="00885CB8">
                      <w:pPr>
                        <w:spacing w:before="100" w:beforeAutospacing="1" w:after="100" w:afterAutospacing="1" w:line="240" w:lineRule="auto"/>
                        <w:jc w:val="both"/>
                        <w:rPr>
                          <w:rFonts w:ascii="Arial" w:eastAsia="Times New Roman" w:hAnsi="Arial" w:cs="Arial"/>
                          <w:kern w:val="0"/>
                          <w:lang w:eastAsia="en-GB"/>
                          <w14:ligatures w14:val="none"/>
                        </w:rPr>
                      </w:pPr>
                      <w:r w:rsidRPr="008873F6">
                        <w:rPr>
                          <w:rFonts w:ascii="Arial" w:eastAsia="Times New Roman" w:hAnsi="Arial" w:cs="Arial"/>
                          <w:kern w:val="0"/>
                          <w:lang w:eastAsia="en-GB"/>
                          <w14:ligatures w14:val="none"/>
                        </w:rPr>
                        <w:t>Health, well-being, and lifestyle are inseparable components of early childhood development that significantly influence a child's growth, learning, and future opportunities. By addressing these aspects holistically, early years practitioners create environments that support children in building resilience, maintaining physical health, and nurturing emotional stability. Strong relationships, early interventions, and inclusive practices are essential for tackling developmental disparities and ensuring all children can thrive. The role of practitioners extends beyond immediate care to fostering long-term habits that promote health and well-being. As policies and research continue to evolve, practitioners must stay informed and collaborate across disciplines to provide the highest quality support for every child. The early years represent a unique window of opportunity, and through evidence-based approaches, we can enhance children’s lives, giving them the foundation for lifelong success and well-being.</w:t>
                      </w:r>
                    </w:p>
                    <w:p w14:paraId="0E86DAE2" w14:textId="080874C0" w:rsidR="00C86369" w:rsidRDefault="00C86369"/>
                  </w:txbxContent>
                </v:textbox>
                <w10:wrap type="square"/>
              </v:shape>
            </w:pict>
          </mc:Fallback>
        </mc:AlternateContent>
      </w:r>
      <w:r w:rsidR="0004531F" w:rsidRPr="0004531F">
        <w:rPr>
          <w:rFonts w:ascii="Arial" w:hAnsi="Arial" w:cs="Arial"/>
          <w:b/>
          <w:bCs/>
          <w:noProof/>
        </w:rPr>
        <mc:AlternateContent>
          <mc:Choice Requires="wps">
            <w:drawing>
              <wp:anchor distT="45720" distB="45720" distL="114300" distR="114300" simplePos="0" relativeHeight="251661312" behindDoc="0" locked="0" layoutInCell="1" allowOverlap="1" wp14:anchorId="792C027A" wp14:editId="19EB219A">
                <wp:simplePos x="0" y="0"/>
                <wp:positionH relativeFrom="page">
                  <wp:align>right</wp:align>
                </wp:positionH>
                <wp:positionV relativeFrom="paragraph">
                  <wp:posOffset>361936</wp:posOffset>
                </wp:positionV>
                <wp:extent cx="10093325" cy="2705374"/>
                <wp:effectExtent l="228600" t="228600" r="250825" b="247650"/>
                <wp:wrapSquare wrapText="bothSides"/>
                <wp:docPr id="6186666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93325" cy="2705374"/>
                        </a:xfrm>
                        <a:prstGeom prst="rect">
                          <a:avLst/>
                        </a:prstGeom>
                        <a:solidFill>
                          <a:srgbClr val="FFFFFF"/>
                        </a:solidFill>
                        <a:ln w="9525">
                          <a:solidFill>
                            <a:srgbClr val="00B0F0"/>
                          </a:solidFill>
                          <a:miter lim="800000"/>
                          <a:headEnd/>
                          <a:tailEnd/>
                        </a:ln>
                        <a:effectLst>
                          <a:glow rad="228600">
                            <a:schemeClr val="accent4">
                              <a:satMod val="175000"/>
                              <a:alpha val="40000"/>
                            </a:schemeClr>
                          </a:glow>
                        </a:effectLst>
                      </wps:spPr>
                      <wps:txbx>
                        <w:txbxContent>
                          <w:p w14:paraId="73B70361" w14:textId="77777777" w:rsidR="00997965" w:rsidRPr="008873F6" w:rsidRDefault="00997965" w:rsidP="00997965">
                            <w:pPr>
                              <w:spacing w:before="100" w:beforeAutospacing="1" w:after="100" w:afterAutospacing="1" w:line="240" w:lineRule="auto"/>
                              <w:jc w:val="both"/>
                              <w:outlineLvl w:val="2"/>
                              <w:rPr>
                                <w:rFonts w:ascii="Arial" w:eastAsia="Times New Roman" w:hAnsi="Arial" w:cs="Arial"/>
                                <w:b/>
                                <w:bCs/>
                                <w:kern w:val="0"/>
                                <w:lang w:eastAsia="en-GB"/>
                                <w14:ligatures w14:val="none"/>
                              </w:rPr>
                            </w:pPr>
                            <w:r w:rsidRPr="008873F6">
                              <w:rPr>
                                <w:rFonts w:ascii="Arial" w:eastAsia="Times New Roman" w:hAnsi="Arial" w:cs="Arial"/>
                                <w:b/>
                                <w:bCs/>
                                <w:kern w:val="0"/>
                                <w:lang w:eastAsia="en-GB"/>
                                <w14:ligatures w14:val="none"/>
                              </w:rPr>
                              <w:t>Practical Implications for Early Years Practitioners</w:t>
                            </w:r>
                          </w:p>
                          <w:p w14:paraId="4F099C3E" w14:textId="617F7F07" w:rsidR="00997965" w:rsidRPr="00BA18C6" w:rsidRDefault="00997965" w:rsidP="00997965">
                            <w:pPr>
                              <w:spacing w:before="100" w:beforeAutospacing="1" w:after="100" w:afterAutospacing="1" w:line="240" w:lineRule="auto"/>
                              <w:jc w:val="both"/>
                              <w:rPr>
                                <w:rFonts w:ascii="Arial" w:eastAsia="Times New Roman" w:hAnsi="Arial" w:cs="Arial"/>
                                <w:kern w:val="0"/>
                                <w:lang w:eastAsia="en-GB"/>
                                <w14:ligatures w14:val="none"/>
                              </w:rPr>
                            </w:pPr>
                            <w:r w:rsidRPr="008873F6">
                              <w:rPr>
                                <w:rFonts w:ascii="Arial" w:eastAsia="Times New Roman" w:hAnsi="Arial" w:cs="Arial"/>
                                <w:kern w:val="0"/>
                                <w:lang w:eastAsia="en-GB"/>
                                <w14:ligatures w14:val="none"/>
                              </w:rPr>
                              <w:t>Early years practitioners hold a unique position to positively influence children's health, well-being, and lifestyle. Nutrition education, for instance, involves more than teaching about healthy food—it includes modelling positive habits and engaging children in hands-on experiences like meal preparation. The Welsh Government (201</w:t>
                            </w:r>
                            <w:r w:rsidRPr="004E3B6F">
                              <w:rPr>
                                <w:rFonts w:ascii="Arial" w:eastAsia="Times New Roman" w:hAnsi="Arial" w:cs="Arial"/>
                                <w:kern w:val="0"/>
                                <w:lang w:eastAsia="en-GB"/>
                                <w14:ligatures w14:val="none"/>
                              </w:rPr>
                              <w:t>5</w:t>
                            </w:r>
                            <w:r w:rsidRPr="008873F6">
                              <w:rPr>
                                <w:rFonts w:ascii="Arial" w:eastAsia="Times New Roman" w:hAnsi="Arial" w:cs="Arial"/>
                                <w:kern w:val="0"/>
                                <w:lang w:eastAsia="en-GB"/>
                                <w14:ligatures w14:val="none"/>
                              </w:rPr>
                              <w:t xml:space="preserve">) suggests integrating such education with physical activities to establish holistic routines that children and families can adopt. Outdoor activities offer unparalleled benefits, from fostering physical health to encouraging emotional regulation and creativity </w:t>
                            </w:r>
                            <w:r w:rsidR="0004321A" w:rsidRPr="0004321A">
                              <w:rPr>
                                <w:rFonts w:ascii="Arial" w:eastAsia="Times New Roman" w:hAnsi="Arial" w:cs="Arial"/>
                                <w:kern w:val="0"/>
                                <w:lang w:eastAsia="en-GB"/>
                                <w14:ligatures w14:val="none"/>
                              </w:rPr>
                              <w:t xml:space="preserve"> </w:t>
                            </w:r>
                            <w:r w:rsidR="0004321A" w:rsidRPr="00DE7C51">
                              <w:rPr>
                                <w:rFonts w:ascii="Arial" w:eastAsia="Times New Roman" w:hAnsi="Arial" w:cs="Arial"/>
                                <w:kern w:val="0"/>
                                <w:lang w:eastAsia="en-GB"/>
                                <w14:ligatures w14:val="none"/>
                              </w:rPr>
                              <w:t>(</w:t>
                            </w:r>
                            <w:r w:rsidR="0004321A" w:rsidRPr="00DE7C51">
                              <w:rPr>
                                <w:rFonts w:ascii="Arial" w:hAnsi="Arial" w:cs="Arial"/>
                                <w:shd w:val="clear" w:color="auto" w:fill="FFFFFF"/>
                              </w:rPr>
                              <w:t>Ouvry</w:t>
                            </w:r>
                            <w:r w:rsidR="001C28F9">
                              <w:rPr>
                                <w:rFonts w:ascii="Arial" w:hAnsi="Arial" w:cs="Arial"/>
                                <w:shd w:val="clear" w:color="auto" w:fill="FFFFFF"/>
                              </w:rPr>
                              <w:t xml:space="preserve"> </w:t>
                            </w:r>
                            <w:r w:rsidR="0004321A" w:rsidRPr="00DE7C51">
                              <w:rPr>
                                <w:rFonts w:ascii="Arial" w:hAnsi="Arial" w:cs="Arial"/>
                                <w:shd w:val="clear" w:color="auto" w:fill="FFFFFF"/>
                              </w:rPr>
                              <w:t>and Furtado, 2020; Knight, 2013; Broadhead, Howard and Wood, 2010; UNICEF, 2023).</w:t>
                            </w:r>
                          </w:p>
                          <w:p w14:paraId="3EBBE80A" w14:textId="77777777" w:rsidR="00997965" w:rsidRPr="00AF45F3" w:rsidRDefault="00997965" w:rsidP="00997965">
                            <w:pPr>
                              <w:spacing w:before="100" w:beforeAutospacing="1" w:after="100" w:afterAutospacing="1" w:line="240" w:lineRule="auto"/>
                              <w:jc w:val="both"/>
                              <w:rPr>
                                <w:rFonts w:ascii="Arial" w:eastAsia="Times New Roman" w:hAnsi="Arial" w:cs="Arial"/>
                                <w:color w:val="FF0000"/>
                                <w:kern w:val="0"/>
                                <w:lang w:eastAsia="en-GB"/>
                                <w14:ligatures w14:val="none"/>
                              </w:rPr>
                            </w:pPr>
                            <w:r w:rsidRPr="008873F6">
                              <w:rPr>
                                <w:rFonts w:ascii="Arial" w:eastAsia="Times New Roman" w:hAnsi="Arial" w:cs="Arial"/>
                                <w:kern w:val="0"/>
                                <w:lang w:eastAsia="en-GB"/>
                                <w14:ligatures w14:val="none"/>
                              </w:rPr>
                              <w:t xml:space="preserve">Addressing barriers like adverse childhood experiences (ACEs) is also critical, </w:t>
                            </w:r>
                            <w:r>
                              <w:rPr>
                                <w:rFonts w:ascii="Arial" w:eastAsia="Times New Roman" w:hAnsi="Arial" w:cs="Arial"/>
                                <w:kern w:val="0"/>
                                <w:lang w:eastAsia="en-GB"/>
                                <w14:ligatures w14:val="none"/>
                              </w:rPr>
                              <w:t xml:space="preserve">Boullier and Blair, (2018) and O’Neill, Boullier and Blair, (2021) </w:t>
                            </w:r>
                            <w:r w:rsidRPr="008873F6">
                              <w:rPr>
                                <w:rFonts w:ascii="Arial" w:eastAsia="Times New Roman" w:hAnsi="Arial" w:cs="Arial"/>
                                <w:kern w:val="0"/>
                                <w:lang w:eastAsia="en-GB"/>
                                <w14:ligatures w14:val="none"/>
                              </w:rPr>
                              <w:t xml:space="preserve">highlight the profound impact of trauma on brain development and emotional health. Practitioners trained in trauma-informed care </w:t>
                            </w:r>
                            <w:r w:rsidRPr="00AF45F3">
                              <w:rPr>
                                <w:rFonts w:ascii="Arial" w:hAnsi="Arial" w:cs="Arial"/>
                                <w:shd w:val="clear" w:color="auto" w:fill="FFFFFF"/>
                              </w:rPr>
                              <w:t>(Kalmakis and Chandler, 2015; Monnat and Chandler, 2015)</w:t>
                            </w:r>
                            <w:r w:rsidRPr="00AF45F3">
                              <w:rPr>
                                <w:rFonts w:ascii="Arial" w:eastAsia="Times New Roman" w:hAnsi="Arial" w:cs="Arial"/>
                                <w:kern w:val="0"/>
                                <w:lang w:eastAsia="en-GB"/>
                                <w14:ligatures w14:val="none"/>
                              </w:rPr>
                              <w:t xml:space="preserve"> </w:t>
                            </w:r>
                            <w:r w:rsidRPr="008873F6">
                              <w:rPr>
                                <w:rFonts w:ascii="Arial" w:eastAsia="Times New Roman" w:hAnsi="Arial" w:cs="Arial"/>
                                <w:kern w:val="0"/>
                                <w:lang w:eastAsia="en-GB"/>
                                <w14:ligatures w14:val="none"/>
                              </w:rPr>
                              <w:t>are better equipped to recognize and mitigate these effects. Collaboration with other professionals, such as social workers and healthcare providers, ensures a comprehensive approach to meeting children's needs. The Welsh Government’s new curriculum (20</w:t>
                            </w:r>
                            <w:r w:rsidRPr="004000DF">
                              <w:rPr>
                                <w:rFonts w:ascii="Arial" w:eastAsia="Times New Roman" w:hAnsi="Arial" w:cs="Arial"/>
                                <w:kern w:val="0"/>
                                <w:lang w:eastAsia="en-GB"/>
                                <w14:ligatures w14:val="none"/>
                              </w:rPr>
                              <w:t>20 and 2022</w:t>
                            </w:r>
                            <w:r w:rsidRPr="008873F6">
                              <w:rPr>
                                <w:rFonts w:ascii="Arial" w:eastAsia="Times New Roman" w:hAnsi="Arial" w:cs="Arial"/>
                                <w:kern w:val="0"/>
                                <w:lang w:eastAsia="en-GB"/>
                                <w14:ligatures w14:val="none"/>
                              </w:rPr>
                              <w:t>) reinforces these principles, emphasizing inclusion, child-centered practices, and the importance of cultural and social contexts. By integrating these approaches, practitioners not only address immediate challenges but also lay the groundwork for children’s long-term success.</w:t>
                            </w:r>
                          </w:p>
                          <w:p w14:paraId="071BB60F" w14:textId="29A7964A" w:rsidR="0004531F" w:rsidRDefault="0004531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2C027A" id="_x0000_s1038" type="#_x0000_t202" style="position:absolute;left:0;text-align:left;margin-left:743.55pt;margin-top:28.5pt;width:794.75pt;height:213pt;z-index:251661312;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4sWgIAALkEAAAOAAAAZHJzL2Uyb0RvYy54bWysVMtu2zAQvBfoPxC815IVO06EyEHi1EWB&#10;9AGk/YA1RVlEKS5LMpbSr8+Ssh2nBXooqgPB5ZKzM/vQ1fXQabaTzis0FZ9Ocs6kEVgrs63492/r&#10;dxec+QCmBo1GVvxJen69fPvmqrelLLBFXUvHCMT4srcVb0OwZZZ50coO/AStNORs0HUQyHTbrHbQ&#10;E3qnsyLPz7MeXW0dCuk9nd6NTr5M+E0jRfjSNF4GpitO3EJaXVo3cc2WV1BuHdhWiT0N+AcWHShD&#10;QY9QdxCAPTr1B1SnhEOPTZgI7DJsGiVk0kBqpvlvah5asDJpoeR4e0yT/3+w4vPuwX51LAy3OFAB&#10;kwhv71H88MzgqgWzlTfOYd9KqCnwNKYs660v909jqn3pI8im/4Q1FRkeAyagoXFdzArpZIROBXg6&#10;Jl0OgYkYMs8vz86KOWeCnMUin58tZikIlIf31vnwQWLH4qbijsqa8GF370PkA+XhSgznUat6rbRO&#10;httuVtqxHVALrNO3R391TRvWV/xyTkT+DpHnt/k6NQ5FfQXRqUC9rFVX8Ys8fmN3xcS9N3XqtABK&#10;j3t6rE2MJFOXko5obDX2zEFNiSguzgkhcYnDII8aQAhpwmx0QaCUj9qmi/kxJmjbwng8OzCJdA9I&#10;KWUxWNqcUEiVjcUcyxqGzcAU0ZkWUUys9AbrJ6q1w3GWaPZp06L7xVlPc1Rx//MRnORMfzTUL5fT&#10;2SwOXjJm80VBhjv1bE49YARBVTxwNm5XIQ1rTIPBG+qrRqWCvzDZdyPNxyhqnOU4gKd2uvXyx1k+&#10;AwAA//8DAFBLAwQUAAYACAAAACEATfHXLN4AAAAIAQAADwAAAGRycy9kb3ducmV2LnhtbEyPwU7D&#10;MBBE70j8g7VI3Khd2tAQ4lRVJcQVUgpXN1mSgL0OsdOGv2d7gtNqNaOZN/l6clYccQidJw3zmQKB&#10;VPm6o0bD6+7xJgURoqHaWE+o4QcDrIvLi9xktT/RCx7L2AgOoZAZDW2MfSZlqFp0Jsx8j8Tahx+c&#10;ifwOjawHc+JwZ+WtUnfSmY64oTU9blusvsrRce/ncmvV5m01zr+f9s87udiX6bvW11fT5gFExCn+&#10;meGMz+hQMNPBj1QHYTXwkKghWfE9q0l6n4A4aFimCwWyyOX/AcUvAAAA//8DAFBLAQItABQABgAI&#10;AAAAIQC2gziS/gAAAOEBAAATAAAAAAAAAAAAAAAAAAAAAABbQ29udGVudF9UeXBlc10ueG1sUEsB&#10;Ai0AFAAGAAgAAAAhADj9If/WAAAAlAEAAAsAAAAAAAAAAAAAAAAALwEAAF9yZWxzLy5yZWxzUEsB&#10;Ai0AFAAGAAgAAAAhAEz5fixaAgAAuQQAAA4AAAAAAAAAAAAAAAAALgIAAGRycy9lMm9Eb2MueG1s&#10;UEsBAi0AFAAGAAgAAAAhAE3x1yzeAAAACAEAAA8AAAAAAAAAAAAAAAAAtAQAAGRycy9kb3ducmV2&#10;LnhtbFBLBQYAAAAABAAEAPMAAAC/BQAAAAA=&#10;" strokecolor="#00b0f0">
                <v:textbox>
                  <w:txbxContent>
                    <w:p w14:paraId="73B70361" w14:textId="77777777" w:rsidR="00997965" w:rsidRPr="008873F6" w:rsidRDefault="00997965" w:rsidP="00997965">
                      <w:pPr>
                        <w:spacing w:before="100" w:beforeAutospacing="1" w:after="100" w:afterAutospacing="1" w:line="240" w:lineRule="auto"/>
                        <w:jc w:val="both"/>
                        <w:outlineLvl w:val="2"/>
                        <w:rPr>
                          <w:rFonts w:ascii="Arial" w:eastAsia="Times New Roman" w:hAnsi="Arial" w:cs="Arial"/>
                          <w:b/>
                          <w:bCs/>
                          <w:kern w:val="0"/>
                          <w:lang w:eastAsia="en-GB"/>
                          <w14:ligatures w14:val="none"/>
                        </w:rPr>
                      </w:pPr>
                      <w:r w:rsidRPr="008873F6">
                        <w:rPr>
                          <w:rFonts w:ascii="Arial" w:eastAsia="Times New Roman" w:hAnsi="Arial" w:cs="Arial"/>
                          <w:b/>
                          <w:bCs/>
                          <w:kern w:val="0"/>
                          <w:lang w:eastAsia="en-GB"/>
                          <w14:ligatures w14:val="none"/>
                        </w:rPr>
                        <w:t>Practical Implications for Early Years Practitioners</w:t>
                      </w:r>
                    </w:p>
                    <w:p w14:paraId="4F099C3E" w14:textId="617F7F07" w:rsidR="00997965" w:rsidRPr="00BA18C6" w:rsidRDefault="00997965" w:rsidP="00997965">
                      <w:pPr>
                        <w:spacing w:before="100" w:beforeAutospacing="1" w:after="100" w:afterAutospacing="1" w:line="240" w:lineRule="auto"/>
                        <w:jc w:val="both"/>
                        <w:rPr>
                          <w:rFonts w:ascii="Arial" w:eastAsia="Times New Roman" w:hAnsi="Arial" w:cs="Arial"/>
                          <w:kern w:val="0"/>
                          <w:lang w:eastAsia="en-GB"/>
                          <w14:ligatures w14:val="none"/>
                        </w:rPr>
                      </w:pPr>
                      <w:r w:rsidRPr="008873F6">
                        <w:rPr>
                          <w:rFonts w:ascii="Arial" w:eastAsia="Times New Roman" w:hAnsi="Arial" w:cs="Arial"/>
                          <w:kern w:val="0"/>
                          <w:lang w:eastAsia="en-GB"/>
                          <w14:ligatures w14:val="none"/>
                        </w:rPr>
                        <w:t>Early years practitioners hold a unique position to positively influence children's health, well-being, and lifestyle. Nutrition education, for instance, involves more than teaching about healthy food—it includes modelling positive habits and engaging children in hands-on experiences like meal preparation. The Welsh Government (201</w:t>
                      </w:r>
                      <w:r w:rsidRPr="004E3B6F">
                        <w:rPr>
                          <w:rFonts w:ascii="Arial" w:eastAsia="Times New Roman" w:hAnsi="Arial" w:cs="Arial"/>
                          <w:kern w:val="0"/>
                          <w:lang w:eastAsia="en-GB"/>
                          <w14:ligatures w14:val="none"/>
                        </w:rPr>
                        <w:t>5</w:t>
                      </w:r>
                      <w:r w:rsidRPr="008873F6">
                        <w:rPr>
                          <w:rFonts w:ascii="Arial" w:eastAsia="Times New Roman" w:hAnsi="Arial" w:cs="Arial"/>
                          <w:kern w:val="0"/>
                          <w:lang w:eastAsia="en-GB"/>
                          <w14:ligatures w14:val="none"/>
                        </w:rPr>
                        <w:t xml:space="preserve">) suggests integrating such education with physical activities to establish holistic routines that children and families can adopt. Outdoor activities offer unparalleled benefits, from fostering physical health to encouraging emotional regulation and creativity </w:t>
                      </w:r>
                      <w:r w:rsidR="0004321A" w:rsidRPr="0004321A">
                        <w:rPr>
                          <w:rFonts w:ascii="Arial" w:eastAsia="Times New Roman" w:hAnsi="Arial" w:cs="Arial"/>
                          <w:kern w:val="0"/>
                          <w:lang w:eastAsia="en-GB"/>
                          <w14:ligatures w14:val="none"/>
                        </w:rPr>
                        <w:t xml:space="preserve"> </w:t>
                      </w:r>
                      <w:r w:rsidR="0004321A" w:rsidRPr="00DE7C51">
                        <w:rPr>
                          <w:rFonts w:ascii="Arial" w:eastAsia="Times New Roman" w:hAnsi="Arial" w:cs="Arial"/>
                          <w:kern w:val="0"/>
                          <w:lang w:eastAsia="en-GB"/>
                          <w14:ligatures w14:val="none"/>
                        </w:rPr>
                        <w:t>(</w:t>
                      </w:r>
                      <w:r w:rsidR="0004321A" w:rsidRPr="00DE7C51">
                        <w:rPr>
                          <w:rFonts w:ascii="Arial" w:hAnsi="Arial" w:cs="Arial"/>
                          <w:shd w:val="clear" w:color="auto" w:fill="FFFFFF"/>
                        </w:rPr>
                        <w:t>Ouvry</w:t>
                      </w:r>
                      <w:r w:rsidR="001C28F9">
                        <w:rPr>
                          <w:rFonts w:ascii="Arial" w:hAnsi="Arial" w:cs="Arial"/>
                          <w:shd w:val="clear" w:color="auto" w:fill="FFFFFF"/>
                        </w:rPr>
                        <w:t xml:space="preserve"> </w:t>
                      </w:r>
                      <w:r w:rsidR="0004321A" w:rsidRPr="00DE7C51">
                        <w:rPr>
                          <w:rFonts w:ascii="Arial" w:hAnsi="Arial" w:cs="Arial"/>
                          <w:shd w:val="clear" w:color="auto" w:fill="FFFFFF"/>
                        </w:rPr>
                        <w:t>and Furtado, 2020; Knight, 2013; Broadhead, Howard and Wood, 2010; UNICEF, 2023).</w:t>
                      </w:r>
                    </w:p>
                    <w:p w14:paraId="3EBBE80A" w14:textId="77777777" w:rsidR="00997965" w:rsidRPr="00AF45F3" w:rsidRDefault="00997965" w:rsidP="00997965">
                      <w:pPr>
                        <w:spacing w:before="100" w:beforeAutospacing="1" w:after="100" w:afterAutospacing="1" w:line="240" w:lineRule="auto"/>
                        <w:jc w:val="both"/>
                        <w:rPr>
                          <w:rFonts w:ascii="Arial" w:eastAsia="Times New Roman" w:hAnsi="Arial" w:cs="Arial"/>
                          <w:color w:val="FF0000"/>
                          <w:kern w:val="0"/>
                          <w:lang w:eastAsia="en-GB"/>
                          <w14:ligatures w14:val="none"/>
                        </w:rPr>
                      </w:pPr>
                      <w:r w:rsidRPr="008873F6">
                        <w:rPr>
                          <w:rFonts w:ascii="Arial" w:eastAsia="Times New Roman" w:hAnsi="Arial" w:cs="Arial"/>
                          <w:kern w:val="0"/>
                          <w:lang w:eastAsia="en-GB"/>
                          <w14:ligatures w14:val="none"/>
                        </w:rPr>
                        <w:t xml:space="preserve">Addressing barriers like adverse childhood experiences (ACEs) is also critical, </w:t>
                      </w:r>
                      <w:r>
                        <w:rPr>
                          <w:rFonts w:ascii="Arial" w:eastAsia="Times New Roman" w:hAnsi="Arial" w:cs="Arial"/>
                          <w:kern w:val="0"/>
                          <w:lang w:eastAsia="en-GB"/>
                          <w14:ligatures w14:val="none"/>
                        </w:rPr>
                        <w:t xml:space="preserve">Boullier and Blair, (2018) and O’Neill, Boullier and Blair, (2021) </w:t>
                      </w:r>
                      <w:r w:rsidRPr="008873F6">
                        <w:rPr>
                          <w:rFonts w:ascii="Arial" w:eastAsia="Times New Roman" w:hAnsi="Arial" w:cs="Arial"/>
                          <w:kern w:val="0"/>
                          <w:lang w:eastAsia="en-GB"/>
                          <w14:ligatures w14:val="none"/>
                        </w:rPr>
                        <w:t xml:space="preserve">highlight the profound impact of trauma on brain development and emotional health. Practitioners trained in trauma-informed care </w:t>
                      </w:r>
                      <w:r w:rsidRPr="00AF45F3">
                        <w:rPr>
                          <w:rFonts w:ascii="Arial" w:hAnsi="Arial" w:cs="Arial"/>
                          <w:shd w:val="clear" w:color="auto" w:fill="FFFFFF"/>
                        </w:rPr>
                        <w:t>(Kalmakis and Chandler, 2015; Monnat and Chandler, 2015)</w:t>
                      </w:r>
                      <w:r w:rsidRPr="00AF45F3">
                        <w:rPr>
                          <w:rFonts w:ascii="Arial" w:eastAsia="Times New Roman" w:hAnsi="Arial" w:cs="Arial"/>
                          <w:kern w:val="0"/>
                          <w:lang w:eastAsia="en-GB"/>
                          <w14:ligatures w14:val="none"/>
                        </w:rPr>
                        <w:t xml:space="preserve"> </w:t>
                      </w:r>
                      <w:r w:rsidRPr="008873F6">
                        <w:rPr>
                          <w:rFonts w:ascii="Arial" w:eastAsia="Times New Roman" w:hAnsi="Arial" w:cs="Arial"/>
                          <w:kern w:val="0"/>
                          <w:lang w:eastAsia="en-GB"/>
                          <w14:ligatures w14:val="none"/>
                        </w:rPr>
                        <w:t>are better equipped to recognize and mitigate these effects. Collaboration with other professionals, such as social workers and healthcare providers, ensures a comprehensive approach to meeting children's needs. The Welsh Government’s new curriculum (20</w:t>
                      </w:r>
                      <w:r w:rsidRPr="004000DF">
                        <w:rPr>
                          <w:rFonts w:ascii="Arial" w:eastAsia="Times New Roman" w:hAnsi="Arial" w:cs="Arial"/>
                          <w:kern w:val="0"/>
                          <w:lang w:eastAsia="en-GB"/>
                          <w14:ligatures w14:val="none"/>
                        </w:rPr>
                        <w:t>20 and 2022</w:t>
                      </w:r>
                      <w:r w:rsidRPr="008873F6">
                        <w:rPr>
                          <w:rFonts w:ascii="Arial" w:eastAsia="Times New Roman" w:hAnsi="Arial" w:cs="Arial"/>
                          <w:kern w:val="0"/>
                          <w:lang w:eastAsia="en-GB"/>
                          <w14:ligatures w14:val="none"/>
                        </w:rPr>
                        <w:t>) reinforces these principles, emphasizing inclusion, child-centered practices, and the importance of cultural and social contexts. By integrating these approaches, practitioners not only address immediate challenges but also lay the groundwork for children’s long-term success.</w:t>
                      </w:r>
                    </w:p>
                    <w:p w14:paraId="071BB60F" w14:textId="29A7964A" w:rsidR="0004531F" w:rsidRDefault="0004531F"/>
                  </w:txbxContent>
                </v:textbox>
                <w10:wrap type="square" anchorx="page"/>
              </v:shape>
            </w:pict>
          </mc:Fallback>
        </mc:AlternateContent>
      </w:r>
    </w:p>
    <w:p w14:paraId="486C0884" w14:textId="1FDA62DD" w:rsidR="00E6100E" w:rsidRDefault="00E6100E" w:rsidP="00430D51">
      <w:pPr>
        <w:jc w:val="both"/>
        <w:rPr>
          <w:rFonts w:ascii="Arial" w:hAnsi="Arial" w:cs="Arial"/>
          <w:b/>
          <w:bCs/>
        </w:rPr>
      </w:pPr>
    </w:p>
    <w:p w14:paraId="62EE3634" w14:textId="34011C1A" w:rsidR="00E6100E" w:rsidRDefault="00E6100E" w:rsidP="00430D51">
      <w:pPr>
        <w:jc w:val="both"/>
        <w:rPr>
          <w:rFonts w:ascii="Arial" w:hAnsi="Arial" w:cs="Arial"/>
          <w:b/>
          <w:bCs/>
        </w:rPr>
      </w:pPr>
    </w:p>
    <w:p w14:paraId="59597569" w14:textId="77777777" w:rsidR="00E6100E" w:rsidRDefault="00E6100E" w:rsidP="00430D51">
      <w:pPr>
        <w:jc w:val="both"/>
        <w:rPr>
          <w:rFonts w:ascii="Arial" w:hAnsi="Arial" w:cs="Arial"/>
          <w:b/>
          <w:bCs/>
        </w:rPr>
      </w:pPr>
    </w:p>
    <w:p w14:paraId="3397ED75" w14:textId="77777777" w:rsidR="00E6100E" w:rsidRDefault="00E6100E" w:rsidP="00430D51">
      <w:pPr>
        <w:jc w:val="both"/>
        <w:rPr>
          <w:rFonts w:ascii="Arial" w:hAnsi="Arial" w:cs="Arial"/>
          <w:b/>
          <w:bCs/>
        </w:rPr>
      </w:pPr>
    </w:p>
    <w:p w14:paraId="74C409BA" w14:textId="77777777" w:rsidR="00E6100E" w:rsidRDefault="00E6100E" w:rsidP="00430D51">
      <w:pPr>
        <w:jc w:val="both"/>
        <w:rPr>
          <w:rFonts w:ascii="Arial" w:hAnsi="Arial" w:cs="Arial"/>
          <w:b/>
          <w:bCs/>
        </w:rPr>
      </w:pPr>
    </w:p>
    <w:p w14:paraId="28B09D0F" w14:textId="7E933A1B" w:rsidR="00E6100E" w:rsidRDefault="00E6100E" w:rsidP="00430D51">
      <w:pPr>
        <w:jc w:val="both"/>
        <w:rPr>
          <w:rFonts w:ascii="Arial" w:hAnsi="Arial" w:cs="Arial"/>
          <w:b/>
          <w:bCs/>
        </w:rPr>
      </w:pPr>
    </w:p>
    <w:p w14:paraId="24B37B84" w14:textId="64481686" w:rsidR="00E6100E" w:rsidRDefault="00E6100E" w:rsidP="00430D51">
      <w:pPr>
        <w:jc w:val="both"/>
        <w:rPr>
          <w:rFonts w:ascii="Arial" w:hAnsi="Arial" w:cs="Arial"/>
          <w:b/>
          <w:bCs/>
        </w:rPr>
      </w:pPr>
    </w:p>
    <w:p w14:paraId="640B3FE9" w14:textId="3C94F656" w:rsidR="00E6100E" w:rsidRDefault="00F55505" w:rsidP="00430D51">
      <w:pPr>
        <w:jc w:val="both"/>
        <w:rPr>
          <w:rFonts w:ascii="Arial" w:hAnsi="Arial" w:cs="Arial"/>
          <w:b/>
          <w:bCs/>
        </w:rPr>
      </w:pPr>
      <w:r>
        <w:rPr>
          <w:rFonts w:ascii="Arial" w:hAnsi="Arial" w:cs="Arial"/>
          <w:b/>
          <w:bCs/>
          <w:noProof/>
        </w:rPr>
        <mc:AlternateContent>
          <mc:Choice Requires="wps">
            <w:drawing>
              <wp:anchor distT="0" distB="0" distL="114300" distR="114300" simplePos="0" relativeHeight="251705344" behindDoc="0" locked="0" layoutInCell="1" allowOverlap="1" wp14:anchorId="1CBF7951" wp14:editId="3F085A72">
                <wp:simplePos x="0" y="0"/>
                <wp:positionH relativeFrom="column">
                  <wp:posOffset>6163333</wp:posOffset>
                </wp:positionH>
                <wp:positionV relativeFrom="paragraph">
                  <wp:posOffset>6807</wp:posOffset>
                </wp:positionV>
                <wp:extent cx="3144483" cy="848616"/>
                <wp:effectExtent l="0" t="0" r="0" b="8890"/>
                <wp:wrapNone/>
                <wp:docPr id="653429695" name="Text Box 10"/>
                <wp:cNvGraphicFramePr/>
                <a:graphic xmlns:a="http://schemas.openxmlformats.org/drawingml/2006/main">
                  <a:graphicData uri="http://schemas.microsoft.com/office/word/2010/wordprocessingShape">
                    <wps:wsp>
                      <wps:cNvSpPr txBox="1"/>
                      <wps:spPr>
                        <a:xfrm>
                          <a:off x="0" y="0"/>
                          <a:ext cx="3144483" cy="848616"/>
                        </a:xfrm>
                        <a:prstGeom prst="rect">
                          <a:avLst/>
                        </a:prstGeom>
                        <a:solidFill>
                          <a:schemeClr val="lt1"/>
                        </a:solidFill>
                        <a:ln w="6350">
                          <a:noFill/>
                        </a:ln>
                      </wps:spPr>
                      <wps:txbx>
                        <w:txbxContent>
                          <w:p w14:paraId="3D6EE25E" w14:textId="4A825322" w:rsidR="00F55505" w:rsidRPr="00A5359C" w:rsidRDefault="00E350DF">
                            <w:pPr>
                              <w:rPr>
                                <w:rFonts w:ascii="Arial" w:hAnsi="Arial" w:cs="Arial"/>
                              </w:rPr>
                            </w:pPr>
                            <w:r w:rsidRPr="00A5359C">
                              <w:rPr>
                                <w:rFonts w:ascii="Arial" w:hAnsi="Arial" w:cs="Arial"/>
                              </w:rPr>
                              <w:t>The Health Belief Model (Source:</w:t>
                            </w:r>
                            <w:r w:rsidR="00600500" w:rsidRPr="00A5359C">
                              <w:rPr>
                                <w:rFonts w:ascii="Arial" w:hAnsi="Arial" w:cs="Arial"/>
                              </w:rPr>
                              <w:t xml:space="preserve"> Models and Mechanisms of Public Health</w:t>
                            </w:r>
                            <w:r w:rsidR="00574488" w:rsidRPr="00A5359C">
                              <w:rPr>
                                <w:rFonts w:ascii="Arial" w:hAnsi="Arial" w:cs="Arial"/>
                              </w:rPr>
                              <w:t>,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CBF7951" id="Text Box 10" o:spid="_x0000_s1039" type="#_x0000_t202" style="position:absolute;left:0;text-align:left;margin-left:485.3pt;margin-top:.55pt;width:247.6pt;height:66.8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87A+MQIAAFwEAAAOAAAAZHJzL2Uyb0RvYy54bWysVE2P2yAQvVfqf0DcG+dr06wVZ5VmlapS&#10;tLtSttozwRAjYYYCiZ3++g44X932VPWCZ5jhMfPm4dlDW2tyEM4rMAUd9PqUCMOhVGZX0O+vq09T&#10;SnxgpmQajCjoUXj6MP/4YdbYXAyhAl0KRxDE+LyxBa1CsHmWeV6JmvkeWGEwKMHVLKDrdlnpWIPo&#10;tc6G/f4ka8CV1gEX3uPuYxek84QvpeDhWUovAtEFxdpCWl1at3HN5jOW7xyzleKnMtg/VFEzZfDS&#10;C9QjC4zsnfoDqlbcgQcZehzqDKRUXKQesJtB/103m4pZkXpBcry90OT/Hyx/OmzsiyOh/QItDjAS&#10;0life9yM/bTS1fGLlRKMI4XHC22iDYTj5mgwHo+nI0o4xqbj6WQwiTDZ9bR1PnwVUJNoFNThWBJb&#10;7LD2oUs9p8TLPGhVrpTWyYlSEEvtyIHhEHVINSL4b1nakKagk9FdPwEbiMc7ZG2wlmtP0QrttiWq&#10;xH5H54a3UB6RBwedRLzlK4XFrpkPL8yhJrB11Hl4xkVqwMvgZFFSgfv5t/2Yj6PCKCUNaqyg/see&#10;OUGJ/mZwiPdIXBRlcsZ3n4fouNvI9jZi9vUSkIEBvijLkxnzgz6b0kH9hs9hEW/FEDMc7y5oOJvL&#10;0CkfnxMXi0VKQhlaFtZmY3mEjozHUby2b8zZ07wCTvoJzmpk+buxdbnxpIHFPoBUaaaR6I7VE/8o&#10;4aSK03OLb+TWT1nXn8L8FwAAAP//AwBQSwMEFAAGAAgAAAAhAGGRiOXhAAAACgEAAA8AAABkcnMv&#10;ZG93bnJldi54bWxMj81OwzAQhO9IvIO1SFwQdUraBEKcCiGgEjcafsTNjZckIl5HsZuEt2d7gtuO&#10;vtHsTL6ZbSdGHHzrSMFyEYFAqpxpqVbwWj5eXoPwQZPRnSNU8IMeNsXpSa4z4yZ6wXEXasEh5DOt&#10;oAmhz6T0VYNW+4XrkZh9ucHqwHKopRn0xOG2k1dRlEirW+IPje7xvsHqe3ewCj4v6o9nPz+9TfE6&#10;7h+2Y5m+m1Kp87P57hZEwDn8meFYn6tDwZ327kDGi07BTRolbGWwBHHkq2TNW/Z8xasUZJHL/xOK&#10;XwAAAP//AwBQSwECLQAUAAYACAAAACEAtoM4kv4AAADhAQAAEwAAAAAAAAAAAAAAAAAAAAAAW0Nv&#10;bnRlbnRfVHlwZXNdLnhtbFBLAQItABQABgAIAAAAIQA4/SH/1gAAAJQBAAALAAAAAAAAAAAAAAAA&#10;AC8BAABfcmVscy8ucmVsc1BLAQItABQABgAIAAAAIQC487A+MQIAAFwEAAAOAAAAAAAAAAAAAAAA&#10;AC4CAABkcnMvZTJvRG9jLnhtbFBLAQItABQABgAIAAAAIQBhkYjl4QAAAAoBAAAPAAAAAAAAAAAA&#10;AAAAAIsEAABkcnMvZG93bnJldi54bWxQSwUGAAAAAAQABADzAAAAmQUAAAAA&#10;" fillcolor="white [3201]" stroked="f" strokeweight=".5pt">
                <v:textbox>
                  <w:txbxContent>
                    <w:p w14:paraId="3D6EE25E" w14:textId="4A825322" w:rsidR="00F55505" w:rsidRPr="00A5359C" w:rsidRDefault="00E350DF">
                      <w:pPr>
                        <w:rPr>
                          <w:rFonts w:ascii="Arial" w:hAnsi="Arial" w:cs="Arial"/>
                        </w:rPr>
                      </w:pPr>
                      <w:r w:rsidRPr="00A5359C">
                        <w:rPr>
                          <w:rFonts w:ascii="Arial" w:hAnsi="Arial" w:cs="Arial"/>
                        </w:rPr>
                        <w:t>The Health Belief Model (Source:</w:t>
                      </w:r>
                      <w:r w:rsidR="00600500" w:rsidRPr="00A5359C">
                        <w:rPr>
                          <w:rFonts w:ascii="Arial" w:hAnsi="Arial" w:cs="Arial"/>
                        </w:rPr>
                        <w:t xml:space="preserve"> Models and Mechanisms of Public Health</w:t>
                      </w:r>
                      <w:r w:rsidR="00574488" w:rsidRPr="00A5359C">
                        <w:rPr>
                          <w:rFonts w:ascii="Arial" w:hAnsi="Arial" w:cs="Arial"/>
                        </w:rPr>
                        <w:t>, n.d.)</w:t>
                      </w:r>
                    </w:p>
                  </w:txbxContent>
                </v:textbox>
              </v:shape>
            </w:pict>
          </mc:Fallback>
        </mc:AlternateContent>
      </w:r>
    </w:p>
    <w:p w14:paraId="6FEB9A91" w14:textId="77777777" w:rsidR="00E6100E" w:rsidRDefault="00E6100E" w:rsidP="00430D51">
      <w:pPr>
        <w:jc w:val="both"/>
        <w:rPr>
          <w:rFonts w:ascii="Arial" w:hAnsi="Arial" w:cs="Arial"/>
          <w:b/>
          <w:bCs/>
        </w:rPr>
      </w:pPr>
    </w:p>
    <w:p w14:paraId="4A24D69B" w14:textId="77777777" w:rsidR="002E4C83" w:rsidRDefault="002E4C83" w:rsidP="00430D51">
      <w:pPr>
        <w:jc w:val="both"/>
        <w:rPr>
          <w:rFonts w:ascii="Arial" w:hAnsi="Arial" w:cs="Arial"/>
          <w:b/>
          <w:bCs/>
        </w:rPr>
      </w:pPr>
    </w:p>
    <w:p w14:paraId="53B47551" w14:textId="77777777" w:rsidR="00E6100E" w:rsidRDefault="00E6100E" w:rsidP="00430D51">
      <w:pPr>
        <w:jc w:val="both"/>
        <w:rPr>
          <w:rFonts w:ascii="Arial" w:hAnsi="Arial" w:cs="Arial"/>
          <w:b/>
          <w:bCs/>
        </w:rPr>
      </w:pPr>
    </w:p>
    <w:p w14:paraId="6CDF1809" w14:textId="2010BE71" w:rsidR="00AC1C29" w:rsidRPr="00AC1C29" w:rsidRDefault="00AC1C29" w:rsidP="00AC1C29">
      <w:pPr>
        <w:spacing w:before="100" w:beforeAutospacing="1" w:after="100" w:afterAutospacing="1" w:line="240" w:lineRule="auto"/>
        <w:rPr>
          <w:rFonts w:ascii="Arial" w:eastAsia="Times New Roman" w:hAnsi="Arial" w:cs="Arial"/>
          <w:b/>
          <w:bCs/>
          <w:kern w:val="0"/>
          <w:lang w:eastAsia="en-GB"/>
          <w14:ligatures w14:val="none"/>
        </w:rPr>
      </w:pPr>
      <w:r w:rsidRPr="00AC1C29">
        <w:rPr>
          <w:rFonts w:ascii="Arial" w:eastAsia="Times New Roman" w:hAnsi="Arial" w:cs="Arial"/>
          <w:b/>
          <w:bCs/>
          <w:kern w:val="0"/>
          <w:lang w:eastAsia="en-GB"/>
          <w14:ligatures w14:val="none"/>
        </w:rPr>
        <w:t>References</w:t>
      </w:r>
      <w:r w:rsidR="00AB7285">
        <w:rPr>
          <w:rFonts w:ascii="Arial" w:eastAsia="Times New Roman" w:hAnsi="Arial" w:cs="Arial"/>
          <w:b/>
          <w:bCs/>
          <w:kern w:val="0"/>
          <w:lang w:eastAsia="en-GB"/>
          <w14:ligatures w14:val="none"/>
        </w:rPr>
        <w:t xml:space="preserve"> For </w:t>
      </w:r>
      <w:r w:rsidR="00BF1551">
        <w:rPr>
          <w:rFonts w:ascii="Arial" w:eastAsia="Times New Roman" w:hAnsi="Arial" w:cs="Arial"/>
          <w:b/>
          <w:bCs/>
          <w:kern w:val="0"/>
          <w:lang w:eastAsia="en-GB"/>
          <w14:ligatures w14:val="none"/>
        </w:rPr>
        <w:t>T</w:t>
      </w:r>
      <w:r w:rsidR="00AB7285">
        <w:rPr>
          <w:rFonts w:ascii="Arial" w:eastAsia="Times New Roman" w:hAnsi="Arial" w:cs="Arial"/>
          <w:b/>
          <w:bCs/>
          <w:kern w:val="0"/>
          <w:lang w:eastAsia="en-GB"/>
          <w14:ligatures w14:val="none"/>
        </w:rPr>
        <w:t>he Poster</w:t>
      </w:r>
    </w:p>
    <w:p w14:paraId="45A9F9F2" w14:textId="77777777" w:rsidR="00AC1C29" w:rsidRPr="00AC1C29" w:rsidRDefault="00AC1C29" w:rsidP="00AC1C29">
      <w:pPr>
        <w:rPr>
          <w:rFonts w:ascii="Arial" w:hAnsi="Arial" w:cs="Arial"/>
          <w:color w:val="FF0000"/>
        </w:rPr>
      </w:pPr>
    </w:p>
    <w:p w14:paraId="24E68950" w14:textId="77777777" w:rsidR="00AC1C29" w:rsidRPr="00AC1C29" w:rsidRDefault="00AC1C29" w:rsidP="00AC1C29">
      <w:pPr>
        <w:spacing w:before="100" w:beforeAutospacing="1" w:after="100" w:afterAutospacing="1" w:line="240" w:lineRule="auto"/>
        <w:rPr>
          <w:rFonts w:ascii="Arial" w:eastAsia="Times New Roman" w:hAnsi="Arial" w:cs="Arial"/>
          <w:kern w:val="0"/>
          <w:lang w:eastAsia="en-GB"/>
          <w14:ligatures w14:val="none"/>
        </w:rPr>
      </w:pPr>
      <w:r w:rsidRPr="00AC1C29">
        <w:rPr>
          <w:rFonts w:ascii="Arial" w:hAnsi="Arial" w:cs="Arial"/>
          <w:shd w:val="clear" w:color="auto" w:fill="FFFFFF"/>
        </w:rPr>
        <w:t>An, R. (2017) ‘Diet quality and physical activity in relation to childhood obesity’, </w:t>
      </w:r>
      <w:r w:rsidRPr="00AC1C29">
        <w:rPr>
          <w:rFonts w:ascii="Arial" w:hAnsi="Arial" w:cs="Arial"/>
          <w:i/>
          <w:iCs/>
          <w:shd w:val="clear" w:color="auto" w:fill="FFFFFF"/>
        </w:rPr>
        <w:t>International journal of adolescent medicine and health</w:t>
      </w:r>
      <w:r w:rsidRPr="00AC1C29">
        <w:rPr>
          <w:rFonts w:ascii="Arial" w:hAnsi="Arial" w:cs="Arial"/>
          <w:shd w:val="clear" w:color="auto" w:fill="FFFFFF"/>
        </w:rPr>
        <w:t xml:space="preserve">, 29(2), pp. 1999-. Available at: </w:t>
      </w:r>
      <w:hyperlink r:id="rId12" w:history="1">
        <w:r w:rsidRPr="00AC1C29">
          <w:rPr>
            <w:rFonts w:ascii="Arial" w:hAnsi="Arial" w:cs="Arial"/>
            <w:color w:val="467886" w:themeColor="hyperlink"/>
            <w:u w:val="single"/>
            <w:shd w:val="clear" w:color="auto" w:fill="FFFFFF"/>
          </w:rPr>
          <w:t>https://doi.org/10.1515/ijamh-2015-0045</w:t>
        </w:r>
      </w:hyperlink>
      <w:r w:rsidRPr="00AC1C29">
        <w:rPr>
          <w:rFonts w:ascii="Arial" w:hAnsi="Arial" w:cs="Arial"/>
          <w:color w:val="3A3A3A"/>
          <w:shd w:val="clear" w:color="auto" w:fill="FFFFFF"/>
        </w:rPr>
        <w:t xml:space="preserve">. </w:t>
      </w:r>
      <w:bookmarkStart w:id="0" w:name="_Hlk187324190"/>
      <w:r w:rsidRPr="00AC1C29">
        <w:rPr>
          <w:rFonts w:ascii="Arial" w:hAnsi="Arial" w:cs="Arial"/>
          <w:shd w:val="clear" w:color="auto" w:fill="FFFFFF"/>
        </w:rPr>
        <w:t>(Accessed: 07 January 2025)</w:t>
      </w:r>
    </w:p>
    <w:p w14:paraId="3B2E9815" w14:textId="77777777" w:rsidR="00AC1C29" w:rsidRPr="00AC1C29" w:rsidRDefault="00AC1C29" w:rsidP="00AC1C29">
      <w:pPr>
        <w:spacing w:before="100" w:beforeAutospacing="1" w:after="100" w:afterAutospacing="1" w:line="240" w:lineRule="auto"/>
        <w:rPr>
          <w:rFonts w:ascii="Arial" w:eastAsia="Times New Roman" w:hAnsi="Arial" w:cs="Arial"/>
          <w:kern w:val="0"/>
          <w:lang w:eastAsia="en-GB"/>
          <w14:ligatures w14:val="none"/>
        </w:rPr>
      </w:pPr>
      <w:bookmarkStart w:id="1" w:name="_Hlk187310885"/>
      <w:bookmarkEnd w:id="0"/>
      <w:r w:rsidRPr="00AC1C29">
        <w:rPr>
          <w:rFonts w:ascii="Arial" w:hAnsi="Arial" w:cs="Arial"/>
          <w:shd w:val="clear" w:color="auto" w:fill="FFFFFF"/>
        </w:rPr>
        <w:t>Bagordo, F. </w:t>
      </w:r>
      <w:r w:rsidRPr="00AC1C29">
        <w:rPr>
          <w:rFonts w:ascii="Arial" w:hAnsi="Arial" w:cs="Arial"/>
          <w:i/>
          <w:iCs/>
          <w:shd w:val="clear" w:color="auto" w:fill="FFFFFF"/>
        </w:rPr>
        <w:t>et al.</w:t>
      </w:r>
      <w:r w:rsidRPr="00AC1C29">
        <w:rPr>
          <w:rFonts w:ascii="Arial" w:hAnsi="Arial" w:cs="Arial"/>
          <w:shd w:val="clear" w:color="auto" w:fill="FFFFFF"/>
        </w:rPr>
        <w:t> (2017) ‘Lifestyles and socio-cultural factors among children aged 6-8 years from five Italian towns: the MAPEC_LIFE study cohort’, </w:t>
      </w:r>
      <w:r w:rsidRPr="00AC1C29">
        <w:rPr>
          <w:rFonts w:ascii="Arial" w:hAnsi="Arial" w:cs="Arial"/>
          <w:i/>
          <w:iCs/>
          <w:shd w:val="clear" w:color="auto" w:fill="FFFFFF"/>
        </w:rPr>
        <w:t>BMC public health</w:t>
      </w:r>
      <w:r w:rsidRPr="00AC1C29">
        <w:rPr>
          <w:rFonts w:ascii="Arial" w:hAnsi="Arial" w:cs="Arial"/>
          <w:shd w:val="clear" w:color="auto" w:fill="FFFFFF"/>
        </w:rPr>
        <w:t xml:space="preserve">, 17(1), pp. 233–233. Available at: </w:t>
      </w:r>
      <w:hyperlink r:id="rId13" w:history="1">
        <w:r w:rsidRPr="00AC1C29">
          <w:rPr>
            <w:rFonts w:ascii="Arial" w:hAnsi="Arial" w:cs="Arial"/>
            <w:color w:val="467886" w:themeColor="hyperlink"/>
            <w:u w:val="single"/>
            <w:shd w:val="clear" w:color="auto" w:fill="FFFFFF"/>
          </w:rPr>
          <w:t>https://doi.org/10.1186/s12889-017-4142-x</w:t>
        </w:r>
      </w:hyperlink>
      <w:r w:rsidRPr="00AC1C29">
        <w:rPr>
          <w:rFonts w:ascii="Arial" w:hAnsi="Arial" w:cs="Arial"/>
          <w:color w:val="3A3A3A"/>
          <w:shd w:val="clear" w:color="auto" w:fill="FFFFFF"/>
        </w:rPr>
        <w:t xml:space="preserve">. </w:t>
      </w:r>
      <w:r w:rsidRPr="00AC1C29">
        <w:rPr>
          <w:rFonts w:ascii="Arial" w:hAnsi="Arial" w:cs="Arial"/>
          <w:shd w:val="clear" w:color="auto" w:fill="FFFFFF"/>
        </w:rPr>
        <w:t>(Accessed: 05 January 2025)</w:t>
      </w:r>
    </w:p>
    <w:bookmarkEnd w:id="1"/>
    <w:p w14:paraId="058D2530" w14:textId="77777777" w:rsidR="00AC1C29" w:rsidRPr="00AC1C29" w:rsidRDefault="00AC1C29" w:rsidP="00AC1C29">
      <w:pPr>
        <w:spacing w:before="100" w:beforeAutospacing="1" w:after="100" w:afterAutospacing="1" w:line="240" w:lineRule="auto"/>
        <w:rPr>
          <w:rFonts w:ascii="Arial" w:eastAsia="Times New Roman" w:hAnsi="Arial" w:cs="Arial"/>
          <w:kern w:val="0"/>
          <w:lang w:eastAsia="en-GB"/>
          <w14:ligatures w14:val="none"/>
        </w:rPr>
      </w:pPr>
      <w:r w:rsidRPr="00AC1C29">
        <w:rPr>
          <w:rFonts w:ascii="Arial" w:hAnsi="Arial" w:cs="Arial"/>
          <w:shd w:val="clear" w:color="auto" w:fill="FFFFFF"/>
        </w:rPr>
        <w:t>Bammer, G. </w:t>
      </w:r>
      <w:r w:rsidRPr="00AC1C29">
        <w:rPr>
          <w:rFonts w:ascii="Arial" w:hAnsi="Arial" w:cs="Arial"/>
          <w:i/>
          <w:iCs/>
          <w:shd w:val="clear" w:color="auto" w:fill="FFFFFF"/>
        </w:rPr>
        <w:t>et al.</w:t>
      </w:r>
      <w:r w:rsidRPr="00AC1C29">
        <w:rPr>
          <w:rFonts w:ascii="Arial" w:hAnsi="Arial" w:cs="Arial"/>
          <w:shd w:val="clear" w:color="auto" w:fill="FFFFFF"/>
        </w:rPr>
        <w:t> (2010) </w:t>
      </w:r>
      <w:r w:rsidRPr="00AC1C29">
        <w:rPr>
          <w:rFonts w:ascii="Arial" w:hAnsi="Arial" w:cs="Arial"/>
          <w:i/>
          <w:iCs/>
          <w:shd w:val="clear" w:color="auto" w:fill="FFFFFF"/>
        </w:rPr>
        <w:t>Bridging the ‘Know-Do’ Gap: Knowledge brokering to improve child wellbeing</w:t>
      </w:r>
      <w:r w:rsidRPr="00AC1C29">
        <w:rPr>
          <w:rFonts w:ascii="Arial" w:hAnsi="Arial" w:cs="Arial"/>
          <w:shd w:val="clear" w:color="auto" w:fill="FFFFFF"/>
        </w:rPr>
        <w:t xml:space="preserve">. 1st edn. Canberra: ANU Press. Available at: </w:t>
      </w:r>
      <w:hyperlink r:id="rId14" w:history="1">
        <w:r w:rsidRPr="00AC1C29">
          <w:rPr>
            <w:rFonts w:ascii="Arial" w:hAnsi="Arial" w:cs="Arial"/>
            <w:color w:val="467886" w:themeColor="hyperlink"/>
            <w:u w:val="single"/>
            <w:shd w:val="clear" w:color="auto" w:fill="FFFFFF"/>
          </w:rPr>
          <w:t>https://doi.org/10.26530/OAPEN_4</w:t>
        </w:r>
      </w:hyperlink>
      <w:r w:rsidRPr="00AC1C29">
        <w:rPr>
          <w:rFonts w:ascii="Arial" w:hAnsi="Arial" w:cs="Arial"/>
          <w:color w:val="3A3A3A"/>
          <w:shd w:val="clear" w:color="auto" w:fill="FFFFFF"/>
        </w:rPr>
        <w:t xml:space="preserve"> </w:t>
      </w:r>
      <w:r w:rsidRPr="00AC1C29">
        <w:rPr>
          <w:rFonts w:ascii="Arial" w:eastAsia="Times New Roman" w:hAnsi="Arial" w:cs="Arial"/>
          <w:kern w:val="0"/>
          <w:lang w:eastAsia="en-GB"/>
          <w14:ligatures w14:val="none"/>
        </w:rPr>
        <w:t>(Accessed: 08 January 2025)</w:t>
      </w:r>
    </w:p>
    <w:p w14:paraId="12D867D3" w14:textId="77777777" w:rsidR="00AC1C29" w:rsidRPr="00AC1C29" w:rsidRDefault="00AC1C29" w:rsidP="00AC1C29">
      <w:pPr>
        <w:spacing w:before="100" w:beforeAutospacing="1" w:after="100" w:afterAutospacing="1" w:line="240" w:lineRule="auto"/>
        <w:rPr>
          <w:rFonts w:ascii="Arial" w:eastAsia="Times New Roman" w:hAnsi="Arial" w:cs="Arial"/>
          <w:kern w:val="0"/>
          <w:lang w:eastAsia="en-GB"/>
          <w14:ligatures w14:val="none"/>
        </w:rPr>
      </w:pPr>
      <w:r w:rsidRPr="00AC1C29">
        <w:rPr>
          <w:rFonts w:ascii="Arial" w:hAnsi="Arial" w:cs="Arial"/>
          <w:shd w:val="clear" w:color="auto" w:fill="FFFFFF"/>
        </w:rPr>
        <w:t>Berlinski, S. </w:t>
      </w:r>
      <w:r w:rsidRPr="00AC1C29">
        <w:rPr>
          <w:rFonts w:ascii="Arial" w:hAnsi="Arial" w:cs="Arial"/>
          <w:i/>
          <w:iCs/>
          <w:shd w:val="clear" w:color="auto" w:fill="FFFFFF"/>
        </w:rPr>
        <w:t>et al.</w:t>
      </w:r>
      <w:r w:rsidRPr="00AC1C29">
        <w:rPr>
          <w:rFonts w:ascii="Arial" w:hAnsi="Arial" w:cs="Arial"/>
          <w:shd w:val="clear" w:color="auto" w:fill="FFFFFF"/>
        </w:rPr>
        <w:t> (2015) </w:t>
      </w:r>
      <w:r w:rsidRPr="00AC1C29">
        <w:rPr>
          <w:rFonts w:ascii="Arial" w:hAnsi="Arial" w:cs="Arial"/>
          <w:i/>
          <w:iCs/>
          <w:shd w:val="clear" w:color="auto" w:fill="FFFFFF"/>
        </w:rPr>
        <w:t>The Early Years: Child Well-Being and The Role of Public Policy</w:t>
      </w:r>
      <w:r w:rsidRPr="00AC1C29">
        <w:rPr>
          <w:rFonts w:ascii="Arial" w:hAnsi="Arial" w:cs="Arial"/>
          <w:shd w:val="clear" w:color="auto" w:fill="FFFFFF"/>
        </w:rPr>
        <w:t xml:space="preserve">. 1st edn. Basingstoke: Springer Open. Available at: </w:t>
      </w:r>
      <w:hyperlink r:id="rId15" w:history="1">
        <w:r w:rsidRPr="00AC1C29">
          <w:rPr>
            <w:rFonts w:ascii="Arial" w:hAnsi="Arial" w:cs="Arial"/>
            <w:color w:val="467886" w:themeColor="hyperlink"/>
            <w:u w:val="single"/>
            <w:shd w:val="clear" w:color="auto" w:fill="FFFFFF"/>
          </w:rPr>
          <w:t>https://doi.org/10.1057/9781137536495</w:t>
        </w:r>
      </w:hyperlink>
      <w:r w:rsidRPr="00AC1C29">
        <w:rPr>
          <w:rFonts w:ascii="Arial" w:hAnsi="Arial" w:cs="Arial"/>
          <w:color w:val="3A3A3A"/>
          <w:shd w:val="clear" w:color="auto" w:fill="FFFFFF"/>
        </w:rPr>
        <w:t xml:space="preserve">. </w:t>
      </w:r>
      <w:r w:rsidRPr="00AC1C29">
        <w:rPr>
          <w:rFonts w:ascii="Arial" w:hAnsi="Arial" w:cs="Arial"/>
          <w:shd w:val="clear" w:color="auto" w:fill="FFFFFF"/>
        </w:rPr>
        <w:t>(Accessed: 07 January 2025)</w:t>
      </w:r>
    </w:p>
    <w:p w14:paraId="1313C4C6" w14:textId="77777777" w:rsidR="00AC1C29" w:rsidRPr="00AC1C29" w:rsidRDefault="00AC1C29" w:rsidP="00AC1C29">
      <w:pPr>
        <w:spacing w:before="100" w:beforeAutospacing="1" w:after="100" w:afterAutospacing="1" w:line="240" w:lineRule="auto"/>
        <w:rPr>
          <w:rFonts w:ascii="Arial" w:hAnsi="Arial" w:cs="Arial"/>
          <w:color w:val="3A3A3A"/>
          <w:shd w:val="clear" w:color="auto" w:fill="FFFFFF"/>
        </w:rPr>
      </w:pPr>
      <w:r w:rsidRPr="00AC1C29">
        <w:rPr>
          <w:rFonts w:ascii="Arial" w:hAnsi="Arial" w:cs="Arial"/>
          <w:shd w:val="clear" w:color="auto" w:fill="FFFFFF"/>
        </w:rPr>
        <w:t>Boullier, M. and Blair, M. (2018) ‘Adverse childhood experiences’, </w:t>
      </w:r>
      <w:r w:rsidRPr="00AC1C29">
        <w:rPr>
          <w:rFonts w:ascii="Arial" w:hAnsi="Arial" w:cs="Arial"/>
          <w:i/>
          <w:iCs/>
          <w:shd w:val="clear" w:color="auto" w:fill="FFFFFF"/>
        </w:rPr>
        <w:t>Paediatrics and child health</w:t>
      </w:r>
      <w:r w:rsidRPr="00AC1C29">
        <w:rPr>
          <w:rFonts w:ascii="Arial" w:hAnsi="Arial" w:cs="Arial"/>
          <w:shd w:val="clear" w:color="auto" w:fill="FFFFFF"/>
        </w:rPr>
        <w:t xml:space="preserve">, 28(3), pp. 132–137. Available at: </w:t>
      </w:r>
      <w:hyperlink r:id="rId16" w:history="1">
        <w:r w:rsidRPr="00AC1C29">
          <w:rPr>
            <w:rFonts w:ascii="Arial" w:hAnsi="Arial" w:cs="Arial"/>
            <w:color w:val="467886" w:themeColor="hyperlink"/>
            <w:u w:val="single"/>
            <w:shd w:val="clear" w:color="auto" w:fill="FFFFFF"/>
          </w:rPr>
          <w:t>https://doi.org/10.1016/j.paed.2017.12.008</w:t>
        </w:r>
      </w:hyperlink>
      <w:r w:rsidRPr="00AC1C29">
        <w:rPr>
          <w:rFonts w:ascii="Arial" w:hAnsi="Arial" w:cs="Arial"/>
          <w:color w:val="3A3A3A"/>
          <w:shd w:val="clear" w:color="auto" w:fill="FFFFFF"/>
        </w:rPr>
        <w:t xml:space="preserve">. </w:t>
      </w:r>
      <w:bookmarkStart w:id="2" w:name="_Hlk187326357"/>
      <w:r w:rsidRPr="00AC1C29">
        <w:rPr>
          <w:rFonts w:ascii="Arial" w:hAnsi="Arial" w:cs="Arial"/>
          <w:shd w:val="clear" w:color="auto" w:fill="FFFFFF"/>
        </w:rPr>
        <w:t>(Accessed 06 January 2025)</w:t>
      </w:r>
    </w:p>
    <w:bookmarkEnd w:id="2"/>
    <w:p w14:paraId="78709F77" w14:textId="77777777" w:rsidR="00AC1C29" w:rsidRPr="00AC1C29" w:rsidRDefault="00AC1C29" w:rsidP="00AC1C29">
      <w:pPr>
        <w:shd w:val="clear" w:color="auto" w:fill="FFFFFF"/>
        <w:spacing w:after="0" w:line="240" w:lineRule="auto"/>
        <w:rPr>
          <w:rFonts w:ascii="Arial" w:eastAsia="Times New Roman" w:hAnsi="Arial" w:cs="Arial"/>
          <w:spacing w:val="-6"/>
          <w:kern w:val="0"/>
          <w:lang w:eastAsia="en-GB"/>
          <w14:ligatures w14:val="none"/>
        </w:rPr>
      </w:pPr>
      <w:r w:rsidRPr="00AC1C29">
        <w:rPr>
          <w:rFonts w:ascii="Arial" w:eastAsia="Times New Roman" w:hAnsi="Arial" w:cs="Arial"/>
          <w:spacing w:val="-6"/>
          <w:kern w:val="0"/>
          <w:lang w:eastAsia="en-GB"/>
          <w14:ligatures w14:val="none"/>
        </w:rPr>
        <w:t>Bowlby, J. (1983). </w:t>
      </w:r>
      <w:r w:rsidRPr="00AC1C29">
        <w:rPr>
          <w:rFonts w:ascii="Arial" w:eastAsia="Times New Roman" w:hAnsi="Arial" w:cs="Arial"/>
          <w:i/>
          <w:iCs/>
          <w:spacing w:val="-6"/>
          <w:kern w:val="0"/>
          <w:lang w:eastAsia="en-GB"/>
          <w14:ligatures w14:val="none"/>
        </w:rPr>
        <w:t>Attachment and loss. Vol. 1: Attachment</w:t>
      </w:r>
      <w:r w:rsidRPr="00AC1C29">
        <w:rPr>
          <w:rFonts w:ascii="Arial" w:eastAsia="Times New Roman" w:hAnsi="Arial" w:cs="Arial"/>
          <w:spacing w:val="-6"/>
          <w:kern w:val="0"/>
          <w:lang w:eastAsia="en-GB"/>
          <w14:ligatures w14:val="none"/>
        </w:rPr>
        <w:t>. (2</w:t>
      </w:r>
      <w:r w:rsidRPr="00AC1C29">
        <w:rPr>
          <w:rFonts w:ascii="Arial" w:eastAsia="Times New Roman" w:hAnsi="Arial" w:cs="Arial"/>
          <w:spacing w:val="-6"/>
          <w:kern w:val="0"/>
          <w:vertAlign w:val="superscript"/>
          <w:lang w:eastAsia="en-GB"/>
          <w14:ligatures w14:val="none"/>
        </w:rPr>
        <w:t>nd</w:t>
      </w:r>
      <w:r w:rsidRPr="00AC1C29">
        <w:rPr>
          <w:rFonts w:ascii="Arial" w:eastAsia="Times New Roman" w:hAnsi="Arial" w:cs="Arial"/>
          <w:spacing w:val="-6"/>
          <w:kern w:val="0"/>
          <w:lang w:eastAsia="en-GB"/>
          <w14:ligatures w14:val="none"/>
        </w:rPr>
        <w:t xml:space="preserve"> edn.) New York: Basic Books.</w:t>
      </w:r>
    </w:p>
    <w:p w14:paraId="13A299A2" w14:textId="77777777" w:rsidR="00AC1C29" w:rsidRPr="00AC1C29" w:rsidRDefault="00AC1C29" w:rsidP="00AC1C29">
      <w:pPr>
        <w:shd w:val="clear" w:color="auto" w:fill="FFFFFF"/>
        <w:spacing w:after="0" w:line="240" w:lineRule="auto"/>
        <w:rPr>
          <w:rFonts w:ascii="Arial" w:eastAsia="Times New Roman" w:hAnsi="Arial" w:cs="Arial"/>
          <w:spacing w:val="-6"/>
          <w:kern w:val="0"/>
          <w:lang w:eastAsia="en-GB"/>
          <w14:ligatures w14:val="none"/>
        </w:rPr>
      </w:pPr>
    </w:p>
    <w:p w14:paraId="5FECAA00" w14:textId="77777777" w:rsidR="00AC1C29" w:rsidRPr="00AC1C29" w:rsidRDefault="00AC1C29" w:rsidP="00AC1C29">
      <w:pPr>
        <w:shd w:val="clear" w:color="auto" w:fill="FFFFFF"/>
        <w:spacing w:after="0" w:line="240" w:lineRule="auto"/>
        <w:rPr>
          <w:rFonts w:ascii="Arial" w:eastAsia="Times New Roman" w:hAnsi="Arial" w:cs="Arial"/>
          <w:spacing w:val="-6"/>
          <w:kern w:val="0"/>
          <w:lang w:eastAsia="en-GB"/>
          <w14:ligatures w14:val="none"/>
        </w:rPr>
      </w:pPr>
      <w:r w:rsidRPr="00AC1C29">
        <w:rPr>
          <w:rFonts w:ascii="Arial" w:eastAsia="Times New Roman" w:hAnsi="Arial" w:cs="Arial"/>
          <w:spacing w:val="-6"/>
          <w:kern w:val="0"/>
          <w:lang w:eastAsia="en-GB"/>
          <w14:ligatures w14:val="none"/>
        </w:rPr>
        <w:t>Bowlby, J. (2005) A Secure Base: Clinical Applications of Attachment Theory. New York: Routledge.</w:t>
      </w:r>
    </w:p>
    <w:p w14:paraId="1542AD26" w14:textId="77777777" w:rsidR="00AC1C29" w:rsidRPr="00AC1C29" w:rsidRDefault="00AC1C29" w:rsidP="00AC1C29">
      <w:pPr>
        <w:spacing w:before="100" w:beforeAutospacing="1" w:after="100" w:afterAutospacing="1" w:line="240" w:lineRule="auto"/>
        <w:rPr>
          <w:rFonts w:ascii="Arial" w:eastAsia="Times New Roman" w:hAnsi="Arial" w:cs="Arial"/>
          <w:kern w:val="0"/>
          <w:lang w:eastAsia="en-GB"/>
          <w14:ligatures w14:val="none"/>
        </w:rPr>
      </w:pPr>
      <w:r w:rsidRPr="00AC1C29">
        <w:rPr>
          <w:rFonts w:ascii="Arial" w:hAnsi="Arial" w:cs="Arial"/>
          <w:shd w:val="clear" w:color="auto" w:fill="FFFFFF"/>
        </w:rPr>
        <w:t>Broadhead, P., Howard, J. and Wood, E. (2010) </w:t>
      </w:r>
      <w:r w:rsidRPr="00AC1C29">
        <w:rPr>
          <w:rFonts w:ascii="Arial" w:hAnsi="Arial" w:cs="Arial"/>
          <w:i/>
          <w:iCs/>
          <w:shd w:val="clear" w:color="auto" w:fill="FFFFFF"/>
        </w:rPr>
        <w:t>Play and learning in the early years: from research to practice</w:t>
      </w:r>
      <w:r w:rsidRPr="00AC1C29">
        <w:rPr>
          <w:rFonts w:ascii="Arial" w:hAnsi="Arial" w:cs="Arial"/>
          <w:shd w:val="clear" w:color="auto" w:fill="FFFFFF"/>
        </w:rPr>
        <w:t xml:space="preserve">. London: SAGE. </w:t>
      </w:r>
    </w:p>
    <w:p w14:paraId="39F95AE7" w14:textId="77777777" w:rsidR="00AC1C29" w:rsidRPr="00AC1C29" w:rsidRDefault="00AC1C29" w:rsidP="00AC1C29">
      <w:pPr>
        <w:spacing w:before="100" w:beforeAutospacing="1" w:after="100" w:afterAutospacing="1" w:line="240" w:lineRule="auto"/>
        <w:rPr>
          <w:rFonts w:ascii="Arial" w:eastAsia="Times New Roman" w:hAnsi="Arial" w:cs="Arial"/>
          <w:kern w:val="0"/>
          <w:lang w:eastAsia="en-GB"/>
          <w14:ligatures w14:val="none"/>
        </w:rPr>
      </w:pPr>
      <w:r w:rsidRPr="00AC1C29">
        <w:rPr>
          <w:rFonts w:ascii="Arial" w:eastAsia="Times New Roman" w:hAnsi="Arial" w:cs="Arial"/>
          <w:kern w:val="0"/>
          <w:lang w:eastAsia="en-GB"/>
          <w14:ligatures w14:val="none"/>
        </w:rPr>
        <w:t xml:space="preserve">Bronfenbrenner, U., 1979. </w:t>
      </w:r>
      <w:r w:rsidRPr="00AC1C29">
        <w:rPr>
          <w:rFonts w:ascii="Arial" w:eastAsia="Times New Roman" w:hAnsi="Arial" w:cs="Arial"/>
          <w:i/>
          <w:iCs/>
          <w:kern w:val="0"/>
          <w:lang w:eastAsia="en-GB"/>
          <w14:ligatures w14:val="none"/>
        </w:rPr>
        <w:t>The ecology of human development: Experiments by nature and design</w:t>
      </w:r>
      <w:r w:rsidRPr="00AC1C29">
        <w:rPr>
          <w:rFonts w:ascii="Arial" w:eastAsia="Times New Roman" w:hAnsi="Arial" w:cs="Arial"/>
          <w:kern w:val="0"/>
          <w:lang w:eastAsia="en-GB"/>
          <w14:ligatures w14:val="none"/>
        </w:rPr>
        <w:t>. Cambridge, MA: Harvard University Press.</w:t>
      </w:r>
    </w:p>
    <w:p w14:paraId="4DE07E6F" w14:textId="41C16C60" w:rsidR="00AC1C29" w:rsidRPr="00AC1C29" w:rsidRDefault="00AC1C29" w:rsidP="00AC1C29">
      <w:pPr>
        <w:spacing w:before="100" w:beforeAutospacing="1" w:after="100" w:afterAutospacing="1" w:line="240" w:lineRule="auto"/>
        <w:rPr>
          <w:rFonts w:ascii="Arial" w:eastAsia="Times New Roman" w:hAnsi="Arial" w:cs="Arial"/>
          <w:kern w:val="0"/>
          <w:lang w:eastAsia="en-GB"/>
          <w14:ligatures w14:val="none"/>
        </w:rPr>
      </w:pPr>
      <w:r w:rsidRPr="00AC1C29">
        <w:rPr>
          <w:rFonts w:ascii="Arial" w:eastAsia="Times New Roman" w:hAnsi="Arial" w:cs="Arial"/>
          <w:kern w:val="0"/>
          <w:lang w:eastAsia="en-GB"/>
          <w14:ligatures w14:val="none"/>
        </w:rPr>
        <w:lastRenderedPageBreak/>
        <w:t>Cheung, R</w:t>
      </w:r>
      <w:r w:rsidRPr="00AC1C29">
        <w:rPr>
          <w:rFonts w:ascii="Arial" w:eastAsia="Times New Roman" w:hAnsi="Arial" w:cs="Arial"/>
          <w:color w:val="FF0000"/>
          <w:kern w:val="0"/>
          <w:lang w:eastAsia="en-GB"/>
          <w14:ligatures w14:val="none"/>
        </w:rPr>
        <w:t xml:space="preserve">. </w:t>
      </w:r>
      <w:r w:rsidRPr="00AC1C29">
        <w:rPr>
          <w:rFonts w:ascii="Arial" w:eastAsia="Times New Roman" w:hAnsi="Arial" w:cs="Arial"/>
          <w:kern w:val="0"/>
          <w:lang w:eastAsia="en-GB"/>
          <w14:ligatures w14:val="none"/>
        </w:rPr>
        <w:t xml:space="preserve">(2018) </w:t>
      </w:r>
      <w:r w:rsidRPr="00AC1C29">
        <w:rPr>
          <w:rFonts w:ascii="Arial" w:eastAsia="Times New Roman" w:hAnsi="Arial" w:cs="Arial"/>
          <w:i/>
          <w:iCs/>
          <w:kern w:val="0"/>
          <w:lang w:eastAsia="en-GB"/>
          <w14:ligatures w14:val="none"/>
        </w:rPr>
        <w:t>International comparisons of health and wellbeing in early childhood.</w:t>
      </w:r>
      <w:r w:rsidRPr="00AC1C29">
        <w:rPr>
          <w:rFonts w:ascii="Arial" w:eastAsia="Times New Roman" w:hAnsi="Arial" w:cs="Arial"/>
          <w:kern w:val="0"/>
          <w:lang w:eastAsia="en-GB"/>
          <w14:ligatures w14:val="none"/>
        </w:rPr>
        <w:t xml:space="preserve"> Available at: </w:t>
      </w:r>
      <w:hyperlink r:id="rId17" w:history="1">
        <w:r w:rsidRPr="00AC1C29">
          <w:rPr>
            <w:rFonts w:ascii="Arial" w:eastAsia="Times New Roman" w:hAnsi="Arial" w:cs="Arial"/>
            <w:color w:val="467886" w:themeColor="hyperlink"/>
            <w:kern w:val="0"/>
            <w:u w:val="single"/>
            <w:lang w:eastAsia="en-GB"/>
            <w14:ligatures w14:val="none"/>
          </w:rPr>
          <w:t>https://www.nuffieldtrust.org.uk/sites/default/files/2018-03/1521031084_child-health-international-comparisons-report-web.pdf</w:t>
        </w:r>
      </w:hyperlink>
      <w:r w:rsidRPr="00AC1C29">
        <w:rPr>
          <w:rFonts w:ascii="Arial" w:eastAsia="Times New Roman" w:hAnsi="Arial" w:cs="Arial"/>
          <w:kern w:val="0"/>
          <w:lang w:eastAsia="en-GB"/>
          <w14:ligatures w14:val="none"/>
        </w:rPr>
        <w:t xml:space="preserve"> </w:t>
      </w:r>
      <w:bookmarkStart w:id="3" w:name="_Hlk187309081"/>
      <w:r w:rsidRPr="00AC1C29">
        <w:rPr>
          <w:rFonts w:ascii="Arial" w:eastAsia="Times New Roman" w:hAnsi="Arial" w:cs="Arial"/>
          <w:kern w:val="0"/>
          <w:lang w:eastAsia="en-GB"/>
          <w14:ligatures w14:val="none"/>
        </w:rPr>
        <w:t>(Accessed: 08 January 2025)</w:t>
      </w:r>
      <w:bookmarkEnd w:id="3"/>
    </w:p>
    <w:p w14:paraId="385F53EC" w14:textId="77777777" w:rsidR="00AC1C29" w:rsidRPr="00AC1C29" w:rsidRDefault="00AC1C29" w:rsidP="00AC1C29">
      <w:pPr>
        <w:spacing w:before="100" w:beforeAutospacing="1" w:after="100" w:afterAutospacing="1" w:line="240" w:lineRule="auto"/>
        <w:rPr>
          <w:rFonts w:ascii="Arial" w:eastAsia="Times New Roman" w:hAnsi="Arial" w:cs="Arial"/>
          <w:kern w:val="0"/>
          <w:lang w:eastAsia="en-GB"/>
          <w14:ligatures w14:val="none"/>
        </w:rPr>
      </w:pPr>
      <w:r w:rsidRPr="00AC1C29">
        <w:rPr>
          <w:rFonts w:ascii="Arial" w:hAnsi="Arial" w:cs="Arial"/>
          <w:shd w:val="clear" w:color="auto" w:fill="FFFFFF"/>
        </w:rPr>
        <w:t>Cowan, R. (2023) ‘The importance of play in early childhood education: Psychoanalytic, attachment and development perspectives The importance of play in early childhood education: Psychoanalytic, attachment and development perspectives , edited by Marilyn Charles and Jill Bellinson. New York: Routledge, 2019,252pp: edited by Marilyn Charles and Jill Bellinson. New York: Routledge, 2019, 252pp’, </w:t>
      </w:r>
      <w:r w:rsidRPr="00AC1C29">
        <w:rPr>
          <w:rFonts w:ascii="Arial" w:hAnsi="Arial" w:cs="Arial"/>
          <w:i/>
          <w:iCs/>
          <w:shd w:val="clear" w:color="auto" w:fill="FFFFFF"/>
        </w:rPr>
        <w:t>International journal of psychoanalysis</w:t>
      </w:r>
      <w:r w:rsidRPr="00AC1C29">
        <w:rPr>
          <w:rFonts w:ascii="Arial" w:hAnsi="Arial" w:cs="Arial"/>
          <w:shd w:val="clear" w:color="auto" w:fill="FFFFFF"/>
        </w:rPr>
        <w:t xml:space="preserve">, 104(6), pp. 1132–1135. Available at: </w:t>
      </w:r>
      <w:hyperlink r:id="rId18" w:history="1">
        <w:r w:rsidRPr="00AC1C29">
          <w:rPr>
            <w:rFonts w:ascii="Arial" w:hAnsi="Arial" w:cs="Arial"/>
            <w:color w:val="467886" w:themeColor="hyperlink"/>
            <w:u w:val="single"/>
            <w:shd w:val="clear" w:color="auto" w:fill="FFFFFF"/>
          </w:rPr>
          <w:t>https://doi.org/10.1080/00207578.2023.2191681</w:t>
        </w:r>
      </w:hyperlink>
      <w:r w:rsidRPr="00AC1C29">
        <w:rPr>
          <w:rFonts w:ascii="Arial" w:hAnsi="Arial" w:cs="Arial"/>
          <w:color w:val="3A3A3A"/>
          <w:shd w:val="clear" w:color="auto" w:fill="FFFFFF"/>
        </w:rPr>
        <w:t xml:space="preserve">. </w:t>
      </w:r>
      <w:r w:rsidRPr="00AC1C29">
        <w:rPr>
          <w:rFonts w:ascii="Arial" w:hAnsi="Arial" w:cs="Arial"/>
          <w:shd w:val="clear" w:color="auto" w:fill="FFFFFF"/>
        </w:rPr>
        <w:t>(Accessed: 07 January 2025)</w:t>
      </w:r>
    </w:p>
    <w:p w14:paraId="3C235848" w14:textId="77777777" w:rsidR="00AC1C29" w:rsidRPr="00AC1C29" w:rsidRDefault="00AC1C29" w:rsidP="00AC1C29">
      <w:pPr>
        <w:spacing w:before="100" w:beforeAutospacing="1" w:after="100" w:afterAutospacing="1" w:line="240" w:lineRule="auto"/>
        <w:rPr>
          <w:rFonts w:ascii="Arial" w:hAnsi="Arial" w:cs="Arial"/>
          <w:shd w:val="clear" w:color="auto" w:fill="FFFFFF"/>
        </w:rPr>
      </w:pPr>
      <w:r w:rsidRPr="00AC1C29">
        <w:rPr>
          <w:rFonts w:ascii="Arial" w:hAnsi="Arial" w:cs="Arial"/>
          <w:shd w:val="clear" w:color="auto" w:fill="FFFFFF"/>
        </w:rPr>
        <w:t>D’Cruz, A.F.L. </w:t>
      </w:r>
      <w:r w:rsidRPr="00AC1C29">
        <w:rPr>
          <w:rFonts w:ascii="Arial" w:hAnsi="Arial" w:cs="Arial"/>
          <w:i/>
          <w:iCs/>
          <w:shd w:val="clear" w:color="auto" w:fill="FFFFFF"/>
        </w:rPr>
        <w:t>et al.</w:t>
      </w:r>
      <w:r w:rsidRPr="00AC1C29">
        <w:rPr>
          <w:rFonts w:ascii="Arial" w:hAnsi="Arial" w:cs="Arial"/>
          <w:shd w:val="clear" w:color="auto" w:fill="FFFFFF"/>
        </w:rPr>
        <w:t> (2024) ‘Are physical activity and sleep associated with emotional self-regulation in toddlers? a cross-sectional study’, </w:t>
      </w:r>
      <w:r w:rsidRPr="00AC1C29">
        <w:rPr>
          <w:rFonts w:ascii="Arial" w:hAnsi="Arial" w:cs="Arial"/>
          <w:i/>
          <w:iCs/>
          <w:shd w:val="clear" w:color="auto" w:fill="FFFFFF"/>
        </w:rPr>
        <w:t>BMC public health</w:t>
      </w:r>
      <w:r w:rsidRPr="00AC1C29">
        <w:rPr>
          <w:rFonts w:ascii="Arial" w:hAnsi="Arial" w:cs="Arial"/>
          <w:shd w:val="clear" w:color="auto" w:fill="FFFFFF"/>
        </w:rPr>
        <w:t xml:space="preserve">, 24(1), pp. 61–8. Available at: </w:t>
      </w:r>
      <w:hyperlink r:id="rId19" w:history="1">
        <w:r w:rsidRPr="00AC1C29">
          <w:rPr>
            <w:rFonts w:ascii="Arial" w:hAnsi="Arial" w:cs="Arial"/>
            <w:color w:val="467886" w:themeColor="hyperlink"/>
            <w:u w:val="single"/>
            <w:shd w:val="clear" w:color="auto" w:fill="FFFFFF"/>
          </w:rPr>
          <w:t>https://doi.org/10.1186/s12889-023-17588-2</w:t>
        </w:r>
      </w:hyperlink>
      <w:r w:rsidRPr="00AC1C29">
        <w:rPr>
          <w:rFonts w:ascii="Arial" w:hAnsi="Arial" w:cs="Arial"/>
          <w:color w:val="3A3A3A"/>
          <w:shd w:val="clear" w:color="auto" w:fill="FFFFFF"/>
        </w:rPr>
        <w:t xml:space="preserve">. </w:t>
      </w:r>
      <w:r w:rsidRPr="00AC1C29">
        <w:rPr>
          <w:rFonts w:ascii="Arial" w:hAnsi="Arial" w:cs="Arial"/>
          <w:shd w:val="clear" w:color="auto" w:fill="FFFFFF"/>
        </w:rPr>
        <w:t>(Accessed: 09 January 2025)</w:t>
      </w:r>
    </w:p>
    <w:p w14:paraId="32FE89F0" w14:textId="77777777" w:rsidR="00AC1C29" w:rsidRPr="00AC1C29" w:rsidRDefault="00AC1C29" w:rsidP="00AC1C29">
      <w:pPr>
        <w:keepNext/>
        <w:keepLines/>
        <w:shd w:val="clear" w:color="auto" w:fill="FFFFFF"/>
        <w:spacing w:after="0" w:line="270" w:lineRule="atLeast"/>
        <w:outlineLvl w:val="3"/>
        <w:rPr>
          <w:rFonts w:ascii="Arial" w:eastAsia="Times New Roman" w:hAnsi="Arial" w:cs="Arial"/>
          <w:kern w:val="0"/>
          <w:lang w:eastAsia="en-GB"/>
          <w14:ligatures w14:val="none"/>
        </w:rPr>
      </w:pPr>
      <w:r w:rsidRPr="00AC1C29">
        <w:rPr>
          <w:rFonts w:ascii="Arial" w:eastAsia="Times New Roman" w:hAnsi="Arial" w:cs="Arial"/>
          <w:kern w:val="0"/>
          <w:lang w:eastAsia="en-GB"/>
          <w14:ligatures w14:val="none"/>
        </w:rPr>
        <w:t>Davis, M., Costigan, T. and Schubert, K. (2017)</w:t>
      </w:r>
      <w:r w:rsidRPr="00AC1C29">
        <w:rPr>
          <w:rFonts w:ascii="Arial" w:eastAsia="Times New Roman" w:hAnsi="Arial" w:cs="Arial"/>
          <w:i/>
          <w:iCs/>
          <w:kern w:val="0"/>
          <w:lang w:eastAsia="en-GB"/>
          <w14:ligatures w14:val="none"/>
        </w:rPr>
        <w:t xml:space="preserve"> Promoting Lifelong Health and Well-being: Staying the Course to Promote Health and Prevent the Effects of Adverse Childhood and Community Experiences. </w:t>
      </w:r>
      <w:r w:rsidRPr="00AC1C29">
        <w:rPr>
          <w:rFonts w:ascii="Arial" w:eastAsia="Times New Roman" w:hAnsi="Arial" w:cs="Arial"/>
          <w:kern w:val="0"/>
          <w:lang w:eastAsia="en-GB"/>
          <w14:ligatures w14:val="none"/>
        </w:rPr>
        <w:t xml:space="preserve">The Official Journal of the Academic Paediatric Association,17(7), pp. 4-6 Available at: </w:t>
      </w:r>
      <w:hyperlink r:id="rId20" w:history="1">
        <w:r w:rsidRPr="00AC1C29">
          <w:rPr>
            <w:rFonts w:ascii="Arial" w:eastAsia="Times New Roman" w:hAnsi="Arial" w:cs="Arial"/>
            <w:color w:val="467886" w:themeColor="hyperlink"/>
            <w:kern w:val="0"/>
            <w:u w:val="single"/>
            <w:lang w:eastAsia="en-GB"/>
            <w14:ligatures w14:val="none"/>
          </w:rPr>
          <w:t>https://www.academicpedsjnl.net/action/showPdf?pii=S1876-2859%2816%2930532-0</w:t>
        </w:r>
      </w:hyperlink>
      <w:r w:rsidRPr="00AC1C29">
        <w:rPr>
          <w:rFonts w:ascii="Arial" w:eastAsia="Times New Roman" w:hAnsi="Arial" w:cs="Arial"/>
          <w:kern w:val="0"/>
          <w:lang w:eastAsia="en-GB"/>
          <w14:ligatures w14:val="none"/>
        </w:rPr>
        <w:t xml:space="preserve"> </w:t>
      </w:r>
      <w:bookmarkStart w:id="4" w:name="_Hlk187310582"/>
      <w:r w:rsidRPr="00AC1C29">
        <w:rPr>
          <w:rFonts w:ascii="Arial" w:eastAsia="Times New Roman" w:hAnsi="Arial" w:cs="Arial"/>
          <w:kern w:val="0"/>
          <w:lang w:eastAsia="en-GB"/>
          <w14:ligatures w14:val="none"/>
        </w:rPr>
        <w:t>(Accessed: 08 January 2025)</w:t>
      </w:r>
    </w:p>
    <w:p w14:paraId="69FE9679" w14:textId="77777777" w:rsidR="00AC1C29" w:rsidRPr="00AC1C29" w:rsidRDefault="00AC1C29" w:rsidP="00AC1C29">
      <w:pPr>
        <w:rPr>
          <w:lang w:eastAsia="en-GB"/>
        </w:rPr>
      </w:pPr>
    </w:p>
    <w:bookmarkEnd w:id="4"/>
    <w:p w14:paraId="66DF9B70" w14:textId="77777777" w:rsidR="00AC1C29" w:rsidRPr="00AC1C29" w:rsidRDefault="00AC1C29" w:rsidP="00AC1C29">
      <w:pPr>
        <w:keepNext/>
        <w:keepLines/>
        <w:shd w:val="clear" w:color="auto" w:fill="FFFFFF"/>
        <w:spacing w:after="0" w:line="270" w:lineRule="atLeast"/>
        <w:outlineLvl w:val="3"/>
        <w:rPr>
          <w:rFonts w:ascii="Arial" w:eastAsia="Times New Roman" w:hAnsi="Arial" w:cs="Arial"/>
          <w:kern w:val="0"/>
          <w:lang w:eastAsia="en-GB"/>
          <w14:ligatures w14:val="none"/>
        </w:rPr>
      </w:pPr>
      <w:r w:rsidRPr="00AC1C29">
        <w:rPr>
          <w:rFonts w:ascii="Arial" w:eastAsiaTheme="majorEastAsia" w:hAnsi="Arial" w:cs="Arial"/>
          <w:shd w:val="clear" w:color="auto" w:fill="FFFFFF"/>
        </w:rPr>
        <w:t>Disabato, D.J. et al. (2016)</w:t>
      </w:r>
      <w:r w:rsidRPr="00AC1C29">
        <w:rPr>
          <w:rFonts w:ascii="Arial" w:eastAsiaTheme="majorEastAsia" w:hAnsi="Arial" w:cs="Arial"/>
          <w:i/>
          <w:iCs/>
          <w:shd w:val="clear" w:color="auto" w:fill="FFFFFF"/>
        </w:rPr>
        <w:t xml:space="preserve"> ‘Different Types of Well-Being? A Cross-Cultural Examination of Hedonic and Eudaimonic Well-Being’, </w:t>
      </w:r>
      <w:r w:rsidRPr="00AC1C29">
        <w:rPr>
          <w:rFonts w:ascii="Arial" w:eastAsiaTheme="majorEastAsia" w:hAnsi="Arial" w:cs="Arial"/>
          <w:shd w:val="clear" w:color="auto" w:fill="FFFFFF"/>
        </w:rPr>
        <w:t>Psychological assessment</w:t>
      </w:r>
      <w:r w:rsidRPr="00AC1C29">
        <w:rPr>
          <w:rFonts w:ascii="Arial" w:eastAsiaTheme="majorEastAsia" w:hAnsi="Arial" w:cs="Arial"/>
          <w:i/>
          <w:iCs/>
          <w:shd w:val="clear" w:color="auto" w:fill="FFFFFF"/>
        </w:rPr>
        <w:t xml:space="preserve">, 28(5), pp. 471–482. </w:t>
      </w:r>
      <w:r w:rsidRPr="00AC1C29">
        <w:rPr>
          <w:rFonts w:ascii="Arial" w:eastAsiaTheme="majorEastAsia" w:hAnsi="Arial" w:cs="Arial"/>
          <w:shd w:val="clear" w:color="auto" w:fill="FFFFFF"/>
        </w:rPr>
        <w:t xml:space="preserve">Available at: </w:t>
      </w:r>
      <w:hyperlink r:id="rId21" w:history="1">
        <w:r w:rsidRPr="00AC1C29">
          <w:rPr>
            <w:rFonts w:ascii="Arial" w:eastAsiaTheme="majorEastAsia" w:hAnsi="Arial" w:cs="Arial"/>
            <w:color w:val="467886" w:themeColor="hyperlink"/>
            <w:u w:val="single"/>
            <w:shd w:val="clear" w:color="auto" w:fill="FFFFFF"/>
          </w:rPr>
          <w:t>https://doi.org/10.1037/pas0000209</w:t>
        </w:r>
      </w:hyperlink>
      <w:r w:rsidRPr="00AC1C29">
        <w:rPr>
          <w:rFonts w:ascii="Arial" w:eastAsiaTheme="majorEastAsia" w:hAnsi="Arial" w:cs="Arial"/>
          <w:color w:val="3A3A3A"/>
          <w:shd w:val="clear" w:color="auto" w:fill="FFFFFF"/>
        </w:rPr>
        <w:t>.</w:t>
      </w:r>
      <w:r w:rsidRPr="00AC1C29">
        <w:rPr>
          <w:rFonts w:ascii="Arial" w:eastAsiaTheme="majorEastAsia" w:hAnsi="Arial" w:cs="Arial"/>
          <w:i/>
          <w:iCs/>
          <w:color w:val="3A3A3A"/>
          <w:shd w:val="clear" w:color="auto" w:fill="FFFFFF"/>
        </w:rPr>
        <w:t xml:space="preserve"> </w:t>
      </w:r>
      <w:r w:rsidRPr="00AC1C29">
        <w:rPr>
          <w:rFonts w:ascii="Arial" w:eastAsia="Times New Roman" w:hAnsi="Arial" w:cs="Arial"/>
          <w:kern w:val="0"/>
          <w:lang w:eastAsia="en-GB"/>
          <w14:ligatures w14:val="none"/>
        </w:rPr>
        <w:t>(Accessed: 08 January 2025)</w:t>
      </w:r>
    </w:p>
    <w:p w14:paraId="2B5AFEB7" w14:textId="77777777" w:rsidR="00AC1C29" w:rsidRPr="00AC1C29" w:rsidRDefault="00AC1C29" w:rsidP="00AC1C29">
      <w:pPr>
        <w:spacing w:before="100" w:beforeAutospacing="1" w:after="100" w:afterAutospacing="1" w:line="240" w:lineRule="auto"/>
        <w:rPr>
          <w:rFonts w:ascii="Arial" w:eastAsia="Times New Roman" w:hAnsi="Arial" w:cs="Arial"/>
          <w:kern w:val="0"/>
          <w:lang w:eastAsia="en-GB"/>
          <w14:ligatures w14:val="none"/>
        </w:rPr>
      </w:pPr>
      <w:r w:rsidRPr="00AC1C29">
        <w:rPr>
          <w:rFonts w:ascii="Arial" w:hAnsi="Arial" w:cs="Arial"/>
        </w:rPr>
        <w:t>Dodge, R., Daly, A., Huyton, J., &amp; Sanders, L. (2012</w:t>
      </w:r>
      <w:r w:rsidRPr="00AC1C29">
        <w:rPr>
          <w:rFonts w:ascii="Arial" w:hAnsi="Arial" w:cs="Arial"/>
          <w:i/>
          <w:iCs/>
        </w:rPr>
        <w:t xml:space="preserve">). The challenge of defining wellbeing. International Journal of Wellbeing, </w:t>
      </w:r>
      <w:r w:rsidRPr="00AC1C29">
        <w:rPr>
          <w:rFonts w:ascii="Arial" w:hAnsi="Arial" w:cs="Arial"/>
        </w:rPr>
        <w:t xml:space="preserve">2(3), pp. 222-235. Available at: </w:t>
      </w:r>
      <w:hyperlink r:id="rId22" w:history="1">
        <w:r w:rsidRPr="00AC1C29">
          <w:rPr>
            <w:rFonts w:ascii="Arial" w:hAnsi="Arial" w:cs="Arial"/>
            <w:color w:val="467886" w:themeColor="hyperlink"/>
            <w:u w:val="single"/>
          </w:rPr>
          <w:t>file:///C:/Users/kater/Downloads/89-Article%20Text-954-1-10-20120828.pdf</w:t>
        </w:r>
      </w:hyperlink>
      <w:r w:rsidRPr="00AC1C29">
        <w:rPr>
          <w:rFonts w:ascii="Arial" w:hAnsi="Arial" w:cs="Arial"/>
        </w:rPr>
        <w:t xml:space="preserve">  (Accessed: 09 January 2025)</w:t>
      </w:r>
    </w:p>
    <w:p w14:paraId="5CEA82F4" w14:textId="77777777" w:rsidR="00AC1C29" w:rsidRPr="00AC1C29" w:rsidRDefault="00AC1C29" w:rsidP="00AC1C29">
      <w:pPr>
        <w:spacing w:before="100" w:beforeAutospacing="1" w:after="100" w:afterAutospacing="1" w:line="240" w:lineRule="auto"/>
        <w:rPr>
          <w:rFonts w:ascii="Arial" w:hAnsi="Arial" w:cs="Arial"/>
          <w:color w:val="3A3A3A"/>
          <w:shd w:val="clear" w:color="auto" w:fill="FFFFFF"/>
        </w:rPr>
      </w:pPr>
      <w:r w:rsidRPr="00AC1C29">
        <w:rPr>
          <w:rFonts w:ascii="Arial" w:hAnsi="Arial" w:cs="Arial"/>
          <w:shd w:val="clear" w:color="auto" w:fill="FFFFFF"/>
        </w:rPr>
        <w:t>Felver, J.C. (2016) ‘Kimberly A. Schonert-Reichl and Robert W. Roeser: Handbook of Mindfulness in Education: Integrating Theory and Research into Practice. Springer, New York, NY, 2016, 394 pp’, </w:t>
      </w:r>
      <w:r w:rsidRPr="00AC1C29">
        <w:rPr>
          <w:rFonts w:ascii="Arial" w:hAnsi="Arial" w:cs="Arial"/>
          <w:i/>
          <w:iCs/>
          <w:shd w:val="clear" w:color="auto" w:fill="FFFFFF"/>
        </w:rPr>
        <w:t>Mindfulness</w:t>
      </w:r>
      <w:r w:rsidRPr="00AC1C29">
        <w:rPr>
          <w:rFonts w:ascii="Arial" w:hAnsi="Arial" w:cs="Arial"/>
          <w:shd w:val="clear" w:color="auto" w:fill="FFFFFF"/>
        </w:rPr>
        <w:t xml:space="preserve">. New York: Springer US, pp. 1445–1447. Available at: </w:t>
      </w:r>
      <w:hyperlink r:id="rId23" w:history="1">
        <w:r w:rsidRPr="00AC1C29">
          <w:rPr>
            <w:rFonts w:ascii="Arial" w:hAnsi="Arial" w:cs="Arial"/>
            <w:color w:val="467886" w:themeColor="hyperlink"/>
            <w:u w:val="single"/>
            <w:shd w:val="clear" w:color="auto" w:fill="FFFFFF"/>
          </w:rPr>
          <w:t>https://doi.org/10.1007/s12671-016-0622-9</w:t>
        </w:r>
      </w:hyperlink>
      <w:r w:rsidRPr="00AC1C29">
        <w:rPr>
          <w:rFonts w:ascii="Arial" w:hAnsi="Arial" w:cs="Arial"/>
          <w:color w:val="3A3A3A"/>
          <w:shd w:val="clear" w:color="auto" w:fill="FFFFFF"/>
        </w:rPr>
        <w:t>.</w:t>
      </w:r>
      <w:r w:rsidRPr="00AC1C29">
        <w:rPr>
          <w:rFonts w:ascii="Source Sans Pro" w:hAnsi="Source Sans Pro"/>
          <w:color w:val="3A3A3A"/>
          <w:sz w:val="23"/>
          <w:szCs w:val="23"/>
          <w:shd w:val="clear" w:color="auto" w:fill="FFFFFF"/>
        </w:rPr>
        <w:t xml:space="preserve"> </w:t>
      </w:r>
      <w:r w:rsidRPr="00AC1C29">
        <w:rPr>
          <w:rFonts w:ascii="Arial" w:hAnsi="Arial" w:cs="Arial"/>
          <w:color w:val="3A3A3A"/>
          <w:shd w:val="clear" w:color="auto" w:fill="FFFFFF"/>
        </w:rPr>
        <w:t>(</w:t>
      </w:r>
      <w:r w:rsidRPr="00AC1C29">
        <w:rPr>
          <w:rFonts w:ascii="Arial" w:hAnsi="Arial" w:cs="Arial"/>
          <w:shd w:val="clear" w:color="auto" w:fill="FFFFFF"/>
        </w:rPr>
        <w:t>Accessed: 09 January 2025)</w:t>
      </w:r>
    </w:p>
    <w:p w14:paraId="2BAEA7A1" w14:textId="77777777" w:rsidR="00AC1C29" w:rsidRPr="00AC1C29" w:rsidRDefault="00AC1C29" w:rsidP="00AC1C29">
      <w:pPr>
        <w:spacing w:before="100" w:beforeAutospacing="1" w:after="100" w:afterAutospacing="1" w:line="240" w:lineRule="auto"/>
        <w:rPr>
          <w:rFonts w:ascii="Arial" w:eastAsia="Times New Roman" w:hAnsi="Arial" w:cs="Arial"/>
          <w:kern w:val="0"/>
          <w:lang w:eastAsia="en-GB"/>
          <w14:ligatures w14:val="none"/>
        </w:rPr>
      </w:pPr>
      <w:r w:rsidRPr="00AC1C29">
        <w:rPr>
          <w:rFonts w:ascii="Arial" w:eastAsia="Times New Roman" w:hAnsi="Arial" w:cs="Arial"/>
          <w:kern w:val="0"/>
          <w:lang w:eastAsia="en-GB"/>
          <w14:ligatures w14:val="none"/>
        </w:rPr>
        <w:t xml:space="preserve">Goldberg, S., Muir, R. and Kerr, J., (2000). </w:t>
      </w:r>
      <w:r w:rsidRPr="00AC1C29">
        <w:rPr>
          <w:rFonts w:ascii="Arial" w:eastAsia="Times New Roman" w:hAnsi="Arial" w:cs="Arial"/>
          <w:i/>
          <w:iCs/>
          <w:kern w:val="0"/>
          <w:lang w:eastAsia="en-GB"/>
          <w14:ligatures w14:val="none"/>
        </w:rPr>
        <w:t>Attachment theory: Social, developmental, and clinical perspectives</w:t>
      </w:r>
      <w:r w:rsidRPr="00AC1C29">
        <w:rPr>
          <w:rFonts w:ascii="Arial" w:eastAsia="Times New Roman" w:hAnsi="Arial" w:cs="Arial"/>
          <w:kern w:val="0"/>
          <w:lang w:eastAsia="en-GB"/>
          <w14:ligatures w14:val="none"/>
        </w:rPr>
        <w:t>. New York: Routledge.</w:t>
      </w:r>
    </w:p>
    <w:p w14:paraId="66618EEC" w14:textId="77777777" w:rsidR="00AC1C29" w:rsidRPr="00AC1C29" w:rsidRDefault="00AC1C29" w:rsidP="00AC1C29">
      <w:pPr>
        <w:spacing w:before="100" w:beforeAutospacing="1" w:after="100" w:afterAutospacing="1" w:line="240" w:lineRule="auto"/>
        <w:rPr>
          <w:rFonts w:ascii="Arial" w:eastAsia="Times New Roman" w:hAnsi="Arial" w:cs="Arial"/>
          <w:kern w:val="0"/>
          <w:lang w:eastAsia="en-GB"/>
          <w14:ligatures w14:val="none"/>
        </w:rPr>
      </w:pPr>
      <w:r w:rsidRPr="00AC1C29">
        <w:rPr>
          <w:rFonts w:ascii="Arial" w:hAnsi="Arial" w:cs="Arial"/>
          <w:shd w:val="clear" w:color="auto" w:fill="FFFFFF"/>
        </w:rPr>
        <w:lastRenderedPageBreak/>
        <w:t>Gross-Manos, D. and Bradshaw, J. (2022) ‘The Association Between the Material Well-Being and the Subjective Well-Being of Children in 35 Countries’, </w:t>
      </w:r>
      <w:r w:rsidRPr="00AC1C29">
        <w:rPr>
          <w:rFonts w:ascii="Arial" w:hAnsi="Arial" w:cs="Arial"/>
          <w:i/>
          <w:iCs/>
          <w:shd w:val="clear" w:color="auto" w:fill="FFFFFF"/>
        </w:rPr>
        <w:t>Child indicators research</w:t>
      </w:r>
      <w:r w:rsidRPr="00AC1C29">
        <w:rPr>
          <w:rFonts w:ascii="Arial" w:hAnsi="Arial" w:cs="Arial"/>
          <w:shd w:val="clear" w:color="auto" w:fill="FFFFFF"/>
        </w:rPr>
        <w:t xml:space="preserve">, 15(1), pp. 1–33. Available at: </w:t>
      </w:r>
      <w:hyperlink r:id="rId24" w:history="1">
        <w:r w:rsidRPr="00AC1C29">
          <w:rPr>
            <w:rFonts w:ascii="Arial" w:hAnsi="Arial" w:cs="Arial"/>
            <w:color w:val="467886" w:themeColor="hyperlink"/>
            <w:u w:val="single"/>
            <w:shd w:val="clear" w:color="auto" w:fill="FFFFFF"/>
          </w:rPr>
          <w:t>https://doi.org/10.1007/s12187-021-09860-x</w:t>
        </w:r>
      </w:hyperlink>
      <w:r w:rsidRPr="00AC1C29">
        <w:rPr>
          <w:rFonts w:ascii="Arial" w:hAnsi="Arial" w:cs="Arial"/>
          <w:color w:val="3A3A3A"/>
          <w:shd w:val="clear" w:color="auto" w:fill="FFFFFF"/>
        </w:rPr>
        <w:t xml:space="preserve">. </w:t>
      </w:r>
      <w:r w:rsidRPr="00AC1C29">
        <w:rPr>
          <w:rFonts w:ascii="Arial" w:eastAsia="Times New Roman" w:hAnsi="Arial" w:cs="Arial"/>
          <w:kern w:val="0"/>
          <w:lang w:eastAsia="en-GB"/>
          <w14:ligatures w14:val="none"/>
        </w:rPr>
        <w:t>(Accessed: 08 January 2025)</w:t>
      </w:r>
    </w:p>
    <w:p w14:paraId="47B4DFDB" w14:textId="77777777" w:rsidR="00AC1C29" w:rsidRPr="00AC1C29" w:rsidRDefault="00AC1C29" w:rsidP="00AC1C29">
      <w:pPr>
        <w:spacing w:before="100" w:beforeAutospacing="1" w:after="100" w:afterAutospacing="1" w:line="240" w:lineRule="auto"/>
        <w:rPr>
          <w:rFonts w:ascii="Arial" w:eastAsia="Times New Roman" w:hAnsi="Arial" w:cs="Arial"/>
          <w:kern w:val="0"/>
          <w:lang w:eastAsia="en-GB"/>
          <w14:ligatures w14:val="none"/>
        </w:rPr>
      </w:pPr>
      <w:r w:rsidRPr="00AC1C29">
        <w:rPr>
          <w:rFonts w:ascii="Arial" w:eastAsia="Times New Roman" w:hAnsi="Arial" w:cs="Arial"/>
          <w:kern w:val="0"/>
          <w:lang w:eastAsia="en-GB"/>
          <w14:ligatures w14:val="none"/>
        </w:rPr>
        <w:t xml:space="preserve">Holmes, J., (2014). </w:t>
      </w:r>
      <w:r w:rsidRPr="00AC1C29">
        <w:rPr>
          <w:rFonts w:ascii="Arial" w:eastAsia="Times New Roman" w:hAnsi="Arial" w:cs="Arial"/>
          <w:i/>
          <w:iCs/>
          <w:kern w:val="0"/>
          <w:lang w:eastAsia="en-GB"/>
          <w14:ligatures w14:val="none"/>
        </w:rPr>
        <w:t>John Bowlby and attachment theory</w:t>
      </w:r>
      <w:r w:rsidRPr="00AC1C29">
        <w:rPr>
          <w:rFonts w:ascii="Arial" w:eastAsia="Times New Roman" w:hAnsi="Arial" w:cs="Arial"/>
          <w:kern w:val="0"/>
          <w:lang w:eastAsia="en-GB"/>
          <w14:ligatures w14:val="none"/>
        </w:rPr>
        <w:t>. 2nd ed. Hove, East Sussex: Routledge.</w:t>
      </w:r>
    </w:p>
    <w:p w14:paraId="00FCB286" w14:textId="77777777" w:rsidR="00AC1C29" w:rsidRPr="00AC1C29" w:rsidRDefault="00AC1C29" w:rsidP="00AC1C29">
      <w:pPr>
        <w:spacing w:before="100" w:beforeAutospacing="1" w:after="100" w:afterAutospacing="1" w:line="240" w:lineRule="auto"/>
        <w:rPr>
          <w:rFonts w:ascii="Arial" w:hAnsi="Arial" w:cs="Arial"/>
          <w:shd w:val="clear" w:color="auto" w:fill="FFFFFF"/>
        </w:rPr>
      </w:pPr>
      <w:r w:rsidRPr="00AC1C29">
        <w:rPr>
          <w:rFonts w:ascii="Arial" w:hAnsi="Arial" w:cs="Arial"/>
          <w:shd w:val="clear" w:color="auto" w:fill="FFFFFF"/>
        </w:rPr>
        <w:t>Howells, K. </w:t>
      </w:r>
      <w:r w:rsidRPr="00AC1C29">
        <w:rPr>
          <w:rFonts w:ascii="Arial" w:hAnsi="Arial" w:cs="Arial"/>
          <w:i/>
          <w:iCs/>
          <w:shd w:val="clear" w:color="auto" w:fill="FFFFFF"/>
        </w:rPr>
        <w:t>et al.</w:t>
      </w:r>
      <w:r w:rsidRPr="00AC1C29">
        <w:rPr>
          <w:rFonts w:ascii="Arial" w:hAnsi="Arial" w:cs="Arial"/>
          <w:shd w:val="clear" w:color="auto" w:fill="FFFFFF"/>
        </w:rPr>
        <w:t> (2023) ‘Physical play - How do we inspire and motivate young children to be physically active through play?: An international analysis of twelve countries’ national early years curriculum policies and practices for physical activity and physical play’, </w:t>
      </w:r>
      <w:r w:rsidRPr="00AC1C29">
        <w:rPr>
          <w:rFonts w:ascii="Arial" w:hAnsi="Arial" w:cs="Arial"/>
          <w:i/>
          <w:iCs/>
          <w:shd w:val="clear" w:color="auto" w:fill="FFFFFF"/>
        </w:rPr>
        <w:t>Journal of Early Childhood Education Research</w:t>
      </w:r>
      <w:r w:rsidRPr="00AC1C29">
        <w:rPr>
          <w:rFonts w:ascii="Arial" w:hAnsi="Arial" w:cs="Arial"/>
          <w:shd w:val="clear" w:color="auto" w:fill="FFFFFF"/>
        </w:rPr>
        <w:t xml:space="preserve">, 12(1), pp. 253-. </w:t>
      </w:r>
    </w:p>
    <w:p w14:paraId="7959699C" w14:textId="77777777" w:rsidR="00AC1C29" w:rsidRPr="00AC1C29" w:rsidRDefault="00AC1C29" w:rsidP="00AC1C29">
      <w:pPr>
        <w:spacing w:before="100" w:beforeAutospacing="1" w:after="100" w:afterAutospacing="1" w:line="240" w:lineRule="auto"/>
        <w:rPr>
          <w:rFonts w:ascii="Arial" w:eastAsia="Times New Roman" w:hAnsi="Arial" w:cs="Arial"/>
          <w:kern w:val="0"/>
          <w:lang w:eastAsia="en-GB"/>
          <w14:ligatures w14:val="none"/>
        </w:rPr>
      </w:pPr>
      <w:r w:rsidRPr="00AC1C29">
        <w:rPr>
          <w:rFonts w:ascii="Arial" w:hAnsi="Arial" w:cs="Arial"/>
          <w:shd w:val="clear" w:color="auto" w:fill="FFFFFF"/>
        </w:rPr>
        <w:t>Hughes, J.N. </w:t>
      </w:r>
      <w:r w:rsidRPr="00AC1C29">
        <w:rPr>
          <w:rFonts w:ascii="Arial" w:hAnsi="Arial" w:cs="Arial"/>
          <w:i/>
          <w:iCs/>
          <w:shd w:val="clear" w:color="auto" w:fill="FFFFFF"/>
        </w:rPr>
        <w:t>et al.</w:t>
      </w:r>
      <w:r w:rsidRPr="00AC1C29">
        <w:rPr>
          <w:rFonts w:ascii="Arial" w:hAnsi="Arial" w:cs="Arial"/>
          <w:shd w:val="clear" w:color="auto" w:fill="FFFFFF"/>
        </w:rPr>
        <w:t> (2012) ‘Indirect Effects of Child Reports of Teacher-Student Relationship on Achievement’, </w:t>
      </w:r>
      <w:r w:rsidRPr="00AC1C29">
        <w:rPr>
          <w:rFonts w:ascii="Arial" w:hAnsi="Arial" w:cs="Arial"/>
          <w:i/>
          <w:iCs/>
          <w:shd w:val="clear" w:color="auto" w:fill="FFFFFF"/>
        </w:rPr>
        <w:t>Journal of educational psychology</w:t>
      </w:r>
      <w:r w:rsidRPr="00AC1C29">
        <w:rPr>
          <w:rFonts w:ascii="Arial" w:hAnsi="Arial" w:cs="Arial"/>
          <w:shd w:val="clear" w:color="auto" w:fill="FFFFFF"/>
        </w:rPr>
        <w:t xml:space="preserve">, 104(2), pp. 350–365. Available at: </w:t>
      </w:r>
      <w:hyperlink r:id="rId25" w:history="1">
        <w:r w:rsidRPr="00AC1C29">
          <w:rPr>
            <w:rFonts w:ascii="Arial" w:hAnsi="Arial" w:cs="Arial"/>
            <w:color w:val="467886" w:themeColor="hyperlink"/>
            <w:u w:val="single"/>
            <w:shd w:val="clear" w:color="auto" w:fill="FFFFFF"/>
          </w:rPr>
          <w:t>https://doi.org/10.1037/a0026339</w:t>
        </w:r>
      </w:hyperlink>
      <w:r w:rsidRPr="00AC1C29">
        <w:rPr>
          <w:rFonts w:ascii="Arial" w:hAnsi="Arial" w:cs="Arial"/>
          <w:color w:val="3A3A3A"/>
          <w:shd w:val="clear" w:color="auto" w:fill="FFFFFF"/>
        </w:rPr>
        <w:t xml:space="preserve">. </w:t>
      </w:r>
      <w:bookmarkStart w:id="5" w:name="_Hlk187323861"/>
      <w:r w:rsidRPr="00AC1C29">
        <w:rPr>
          <w:rFonts w:ascii="Arial" w:hAnsi="Arial" w:cs="Arial"/>
          <w:shd w:val="clear" w:color="auto" w:fill="FFFFFF"/>
        </w:rPr>
        <w:t>(Accessed: 05 January 2025)</w:t>
      </w:r>
    </w:p>
    <w:bookmarkEnd w:id="5"/>
    <w:p w14:paraId="763588F2" w14:textId="77777777" w:rsidR="00AC1C29" w:rsidRPr="00AC1C29" w:rsidRDefault="00AC1C29" w:rsidP="00AC1C29">
      <w:pPr>
        <w:spacing w:before="100" w:beforeAutospacing="1" w:after="100" w:afterAutospacing="1" w:line="240" w:lineRule="auto"/>
        <w:rPr>
          <w:rFonts w:ascii="Arial" w:hAnsi="Arial" w:cs="Arial"/>
          <w:shd w:val="clear" w:color="auto" w:fill="FFFFFF"/>
        </w:rPr>
      </w:pPr>
      <w:r w:rsidRPr="00AC1C29">
        <w:rPr>
          <w:rFonts w:ascii="Arial" w:hAnsi="Arial" w:cs="Arial"/>
          <w:shd w:val="clear" w:color="auto" w:fill="FFFFFF"/>
        </w:rPr>
        <w:t>Huta, V. and Waterman, A.S. (2014</w:t>
      </w:r>
      <w:r w:rsidRPr="00AC1C29">
        <w:rPr>
          <w:rFonts w:ascii="Arial" w:hAnsi="Arial" w:cs="Arial"/>
          <w:i/>
          <w:iCs/>
          <w:shd w:val="clear" w:color="auto" w:fill="FFFFFF"/>
        </w:rPr>
        <w:t>) ‘Eudaimonia and Its Distinction from Hedonia: Developing a Classification and Terminology for Understanding Conceptual and Operational Definitions’</w:t>
      </w:r>
      <w:r w:rsidRPr="00AC1C29">
        <w:rPr>
          <w:rFonts w:ascii="Arial" w:hAnsi="Arial" w:cs="Arial"/>
          <w:shd w:val="clear" w:color="auto" w:fill="FFFFFF"/>
        </w:rPr>
        <w:t xml:space="preserve">, Journal of happiness studies, 15(6), pp. 1425–1456. Available at: </w:t>
      </w:r>
      <w:hyperlink r:id="rId26" w:history="1">
        <w:r w:rsidRPr="00AC1C29">
          <w:rPr>
            <w:rFonts w:ascii="Arial" w:hAnsi="Arial" w:cs="Arial"/>
            <w:color w:val="467886" w:themeColor="hyperlink"/>
            <w:u w:val="single"/>
            <w:shd w:val="clear" w:color="auto" w:fill="FFFFFF"/>
          </w:rPr>
          <w:t>https://doi.org/10.1007/s10902-013-9485-0</w:t>
        </w:r>
      </w:hyperlink>
      <w:r w:rsidRPr="00AC1C29">
        <w:rPr>
          <w:rFonts w:ascii="Arial" w:hAnsi="Arial" w:cs="Arial"/>
          <w:shd w:val="clear" w:color="auto" w:fill="FFFFFF"/>
        </w:rPr>
        <w:t>. (Accessed: 09 January 2025)</w:t>
      </w:r>
    </w:p>
    <w:p w14:paraId="7ED39A48" w14:textId="77777777" w:rsidR="00AC1C29" w:rsidRPr="00AC1C29" w:rsidRDefault="00AC1C29" w:rsidP="00AC1C29">
      <w:pPr>
        <w:spacing w:before="100" w:beforeAutospacing="1" w:after="100" w:afterAutospacing="1" w:line="240" w:lineRule="auto"/>
        <w:rPr>
          <w:rFonts w:ascii="Arial" w:hAnsi="Arial" w:cs="Arial"/>
          <w:shd w:val="clear" w:color="auto" w:fill="FFFFFF"/>
        </w:rPr>
      </w:pPr>
      <w:bookmarkStart w:id="6" w:name="_Hlk187318073"/>
      <w:r w:rsidRPr="00AC1C29">
        <w:rPr>
          <w:rFonts w:ascii="Arial" w:hAnsi="Arial" w:cs="Arial"/>
          <w:shd w:val="clear" w:color="auto" w:fill="FFFFFF"/>
        </w:rPr>
        <w:t xml:space="preserve">Jusienė, R. and Breidokienė, R. (2019) </w:t>
      </w:r>
      <w:bookmarkEnd w:id="6"/>
      <w:r w:rsidRPr="00AC1C29">
        <w:rPr>
          <w:rFonts w:ascii="Arial" w:hAnsi="Arial" w:cs="Arial"/>
          <w:shd w:val="clear" w:color="auto" w:fill="FFFFFF"/>
        </w:rPr>
        <w:t>‘Preschoolers’ self</w:t>
      </w:r>
      <w:r w:rsidRPr="00AC1C29">
        <w:rPr>
          <w:rFonts w:ascii="Cambria Math" w:hAnsi="Cambria Math" w:cs="Cambria Math"/>
          <w:shd w:val="clear" w:color="auto" w:fill="FFFFFF"/>
        </w:rPr>
        <w:t>‐</w:t>
      </w:r>
      <w:r w:rsidRPr="00AC1C29">
        <w:rPr>
          <w:rFonts w:ascii="Arial" w:hAnsi="Arial" w:cs="Arial"/>
          <w:shd w:val="clear" w:color="auto" w:fill="FFFFFF"/>
        </w:rPr>
        <w:t>regulation and developmental trajectories of sleep problems in early childhood’, </w:t>
      </w:r>
      <w:r w:rsidRPr="00AC1C29">
        <w:rPr>
          <w:rFonts w:ascii="Arial" w:hAnsi="Arial" w:cs="Arial"/>
          <w:i/>
          <w:iCs/>
          <w:shd w:val="clear" w:color="auto" w:fill="FFFFFF"/>
        </w:rPr>
        <w:t>Infant and child development</w:t>
      </w:r>
      <w:r w:rsidRPr="00AC1C29">
        <w:rPr>
          <w:rFonts w:ascii="Arial" w:hAnsi="Arial" w:cs="Arial"/>
          <w:shd w:val="clear" w:color="auto" w:fill="FFFFFF"/>
        </w:rPr>
        <w:t>, 28(6). Available at</w:t>
      </w:r>
      <w:r w:rsidRPr="00AC1C29">
        <w:rPr>
          <w:rFonts w:ascii="Arial" w:hAnsi="Arial" w:cs="Arial"/>
          <w:color w:val="3A3A3A"/>
          <w:shd w:val="clear" w:color="auto" w:fill="FFFFFF"/>
        </w:rPr>
        <w:t xml:space="preserve">: </w:t>
      </w:r>
      <w:hyperlink r:id="rId27" w:history="1">
        <w:r w:rsidRPr="00AC1C29">
          <w:rPr>
            <w:rFonts w:ascii="Arial" w:hAnsi="Arial" w:cs="Arial"/>
            <w:color w:val="467886" w:themeColor="hyperlink"/>
            <w:u w:val="single"/>
            <w:shd w:val="clear" w:color="auto" w:fill="FFFFFF"/>
          </w:rPr>
          <w:t>https://doi.org/10.1002/icd.2158</w:t>
        </w:r>
      </w:hyperlink>
      <w:r w:rsidRPr="00AC1C29">
        <w:rPr>
          <w:rFonts w:ascii="Arial" w:hAnsi="Arial" w:cs="Arial"/>
          <w:color w:val="3A3A3A"/>
          <w:shd w:val="clear" w:color="auto" w:fill="FFFFFF"/>
        </w:rPr>
        <w:t xml:space="preserve">. </w:t>
      </w:r>
      <w:r w:rsidRPr="00AC1C29">
        <w:rPr>
          <w:rFonts w:ascii="Arial" w:hAnsi="Arial" w:cs="Arial"/>
          <w:shd w:val="clear" w:color="auto" w:fill="FFFFFF"/>
        </w:rPr>
        <w:t>(Accessed: 09 January 2025)</w:t>
      </w:r>
    </w:p>
    <w:p w14:paraId="16D2AB6D" w14:textId="77777777" w:rsidR="00AC1C29" w:rsidRPr="00AC1C29" w:rsidRDefault="00AC1C29" w:rsidP="00AC1C29">
      <w:pPr>
        <w:spacing w:before="100" w:beforeAutospacing="1" w:after="100" w:afterAutospacing="1" w:line="240" w:lineRule="auto"/>
        <w:rPr>
          <w:rFonts w:ascii="Arial" w:eastAsia="Times New Roman" w:hAnsi="Arial" w:cs="Arial"/>
          <w:kern w:val="0"/>
          <w:lang w:eastAsia="en-GB"/>
          <w14:ligatures w14:val="none"/>
        </w:rPr>
      </w:pPr>
      <w:r w:rsidRPr="00AC1C29">
        <w:rPr>
          <w:rFonts w:ascii="Arial" w:eastAsia="Times New Roman" w:hAnsi="Arial" w:cs="Arial"/>
          <w:kern w:val="0"/>
          <w:lang w:eastAsia="en-GB"/>
          <w14:ligatures w14:val="none"/>
        </w:rPr>
        <w:t xml:space="preserve">Kalmakis, K.A. and Chandler, G.E., (2015). </w:t>
      </w:r>
      <w:r w:rsidRPr="00AC1C29">
        <w:rPr>
          <w:rFonts w:ascii="Arial" w:eastAsia="Times New Roman" w:hAnsi="Arial" w:cs="Arial"/>
          <w:i/>
          <w:iCs/>
          <w:kern w:val="0"/>
          <w:lang w:eastAsia="en-GB"/>
          <w14:ligatures w14:val="none"/>
        </w:rPr>
        <w:t>Health consequences of adverse childhood experiences: A systematic review</w:t>
      </w:r>
      <w:r w:rsidRPr="00AC1C29">
        <w:rPr>
          <w:rFonts w:ascii="Arial" w:eastAsia="Times New Roman" w:hAnsi="Arial" w:cs="Arial"/>
          <w:kern w:val="0"/>
          <w:lang w:eastAsia="en-GB"/>
          <w14:ligatures w14:val="none"/>
        </w:rPr>
        <w:t xml:space="preserve">. Journal of the American Association of Nurse Practitioners, 27(8), pp.457-465. </w:t>
      </w:r>
    </w:p>
    <w:p w14:paraId="2B074466" w14:textId="77777777" w:rsidR="00AC1C29" w:rsidRPr="00AC1C29" w:rsidRDefault="00AC1C29" w:rsidP="00AC1C29">
      <w:pPr>
        <w:spacing w:before="100" w:beforeAutospacing="1" w:after="100" w:afterAutospacing="1" w:line="240" w:lineRule="auto"/>
        <w:rPr>
          <w:rFonts w:ascii="Arial" w:hAnsi="Arial" w:cs="Arial"/>
          <w:color w:val="3A3A3A"/>
          <w:shd w:val="clear" w:color="auto" w:fill="FFFFFF"/>
        </w:rPr>
      </w:pPr>
      <w:r w:rsidRPr="00AC1C29">
        <w:rPr>
          <w:rFonts w:ascii="Arial" w:hAnsi="Arial" w:cs="Arial"/>
          <w:shd w:val="clear" w:color="auto" w:fill="FFFFFF"/>
        </w:rPr>
        <w:t>Kim, Y. </w:t>
      </w:r>
      <w:r w:rsidRPr="00AC1C29">
        <w:rPr>
          <w:rFonts w:ascii="Arial" w:hAnsi="Arial" w:cs="Arial"/>
          <w:i/>
          <w:iCs/>
          <w:shd w:val="clear" w:color="auto" w:fill="FFFFFF"/>
        </w:rPr>
        <w:t>et al.</w:t>
      </w:r>
      <w:r w:rsidRPr="00AC1C29">
        <w:rPr>
          <w:rFonts w:ascii="Arial" w:hAnsi="Arial" w:cs="Arial"/>
          <w:shd w:val="clear" w:color="auto" w:fill="FFFFFF"/>
        </w:rPr>
        <w:t> (2024) ‘Neighbourhood Social and Physical Environments and Sedentary Behaviours: Importance of Early Childhood in Shaping Health Behaviours: Neighbourhood Environments and Sedentary Behaviours’, </w:t>
      </w:r>
      <w:r w:rsidRPr="00AC1C29">
        <w:rPr>
          <w:rFonts w:ascii="Arial" w:hAnsi="Arial" w:cs="Arial"/>
          <w:i/>
          <w:iCs/>
          <w:shd w:val="clear" w:color="auto" w:fill="FFFFFF"/>
        </w:rPr>
        <w:t>Journal of urban health</w:t>
      </w:r>
      <w:r w:rsidRPr="00AC1C29">
        <w:rPr>
          <w:rFonts w:ascii="Arial" w:hAnsi="Arial" w:cs="Arial"/>
          <w:shd w:val="clear" w:color="auto" w:fill="FFFFFF"/>
        </w:rPr>
        <w:t>, 101(6), pp. 1104–1112. Available at</w:t>
      </w:r>
      <w:r w:rsidRPr="00AC1C29">
        <w:rPr>
          <w:rFonts w:ascii="Arial" w:hAnsi="Arial" w:cs="Arial"/>
          <w:color w:val="3A3A3A"/>
          <w:shd w:val="clear" w:color="auto" w:fill="FFFFFF"/>
        </w:rPr>
        <w:t xml:space="preserve">: </w:t>
      </w:r>
      <w:hyperlink r:id="rId28" w:history="1">
        <w:r w:rsidRPr="00AC1C29">
          <w:rPr>
            <w:rFonts w:ascii="Arial" w:hAnsi="Arial" w:cs="Arial"/>
            <w:color w:val="467886" w:themeColor="hyperlink"/>
            <w:u w:val="single"/>
            <w:shd w:val="clear" w:color="auto" w:fill="FFFFFF"/>
          </w:rPr>
          <w:t>https://doi.org/10.1007/s11524-024-00929-w</w:t>
        </w:r>
      </w:hyperlink>
      <w:r w:rsidRPr="00AC1C29">
        <w:rPr>
          <w:rFonts w:ascii="Arial" w:hAnsi="Arial" w:cs="Arial"/>
          <w:color w:val="3A3A3A"/>
          <w:shd w:val="clear" w:color="auto" w:fill="FFFFFF"/>
        </w:rPr>
        <w:t>. (</w:t>
      </w:r>
      <w:r w:rsidRPr="00AC1C29">
        <w:rPr>
          <w:rFonts w:ascii="Arial" w:hAnsi="Arial" w:cs="Arial"/>
          <w:shd w:val="clear" w:color="auto" w:fill="FFFFFF"/>
        </w:rPr>
        <w:t>Accessed: 09 January 2025)</w:t>
      </w:r>
    </w:p>
    <w:p w14:paraId="50D7C1B0" w14:textId="77777777" w:rsidR="00AC1C29" w:rsidRPr="00AC1C29" w:rsidRDefault="00AC1C29" w:rsidP="00AC1C29">
      <w:pPr>
        <w:spacing w:before="100" w:beforeAutospacing="1" w:after="100" w:afterAutospacing="1" w:line="240" w:lineRule="auto"/>
        <w:rPr>
          <w:rFonts w:ascii="Arial" w:hAnsi="Arial" w:cs="Arial"/>
          <w:shd w:val="clear" w:color="auto" w:fill="FFFFFF"/>
        </w:rPr>
      </w:pPr>
      <w:r w:rsidRPr="00AC1C29">
        <w:rPr>
          <w:rFonts w:ascii="Arial" w:hAnsi="Arial" w:cs="Arial"/>
          <w:shd w:val="clear" w:color="auto" w:fill="FFFFFF"/>
        </w:rPr>
        <w:t>Knight, S. (ed.) (2013) </w:t>
      </w:r>
      <w:r w:rsidRPr="00AC1C29">
        <w:rPr>
          <w:rFonts w:ascii="Arial" w:hAnsi="Arial" w:cs="Arial"/>
          <w:i/>
          <w:iCs/>
          <w:shd w:val="clear" w:color="auto" w:fill="FFFFFF"/>
        </w:rPr>
        <w:t>International perspectives on Forest School: natural spaces to play and learn</w:t>
      </w:r>
      <w:r w:rsidRPr="00AC1C29">
        <w:rPr>
          <w:rFonts w:ascii="Arial" w:hAnsi="Arial" w:cs="Arial"/>
          <w:shd w:val="clear" w:color="auto" w:fill="FFFFFF"/>
        </w:rPr>
        <w:t>. Los Angeles, California: SAGE.</w:t>
      </w:r>
    </w:p>
    <w:p w14:paraId="002E6577" w14:textId="77777777" w:rsidR="00AC1C29" w:rsidRPr="00AC1C29" w:rsidRDefault="00AC1C29" w:rsidP="00AC1C29">
      <w:pPr>
        <w:spacing w:before="100" w:beforeAutospacing="1" w:after="100" w:afterAutospacing="1" w:line="240" w:lineRule="auto"/>
        <w:rPr>
          <w:rFonts w:ascii="Arial" w:hAnsi="Arial" w:cs="Arial"/>
          <w:color w:val="3A3A3A"/>
          <w:shd w:val="clear" w:color="auto" w:fill="FFFFFF"/>
        </w:rPr>
      </w:pPr>
      <w:r w:rsidRPr="00AC1C29">
        <w:rPr>
          <w:rFonts w:ascii="Arial" w:hAnsi="Arial" w:cs="Arial"/>
          <w:shd w:val="clear" w:color="auto" w:fill="FFFFFF"/>
        </w:rPr>
        <w:t>LeBlanc, A.G. </w:t>
      </w:r>
      <w:r w:rsidRPr="00AC1C29">
        <w:rPr>
          <w:rFonts w:ascii="Arial" w:hAnsi="Arial" w:cs="Arial"/>
          <w:i/>
          <w:iCs/>
          <w:shd w:val="clear" w:color="auto" w:fill="FFFFFF"/>
        </w:rPr>
        <w:t>et al.</w:t>
      </w:r>
      <w:r w:rsidRPr="00AC1C29">
        <w:rPr>
          <w:rFonts w:ascii="Arial" w:hAnsi="Arial" w:cs="Arial"/>
          <w:shd w:val="clear" w:color="auto" w:fill="FFFFFF"/>
        </w:rPr>
        <w:t> (2012) ‘Systematic review of sedentary behaviour and health indicators in the early years (aged 0–4 years)’, </w:t>
      </w:r>
      <w:r w:rsidRPr="00AC1C29">
        <w:rPr>
          <w:rFonts w:ascii="Arial" w:hAnsi="Arial" w:cs="Arial"/>
          <w:i/>
          <w:iCs/>
          <w:shd w:val="clear" w:color="auto" w:fill="FFFFFF"/>
        </w:rPr>
        <w:t>Applied physiology, nutrition, and metabolism</w:t>
      </w:r>
      <w:r w:rsidRPr="00AC1C29">
        <w:rPr>
          <w:rFonts w:ascii="Arial" w:hAnsi="Arial" w:cs="Arial"/>
          <w:shd w:val="clear" w:color="auto" w:fill="FFFFFF"/>
        </w:rPr>
        <w:t xml:space="preserve">, 37(4), pp. 753–772. Available at: </w:t>
      </w:r>
      <w:hyperlink r:id="rId29" w:history="1">
        <w:r w:rsidRPr="00AC1C29">
          <w:rPr>
            <w:rFonts w:ascii="Arial" w:hAnsi="Arial" w:cs="Arial"/>
            <w:color w:val="467886" w:themeColor="hyperlink"/>
            <w:u w:val="single"/>
            <w:shd w:val="clear" w:color="auto" w:fill="FFFFFF"/>
          </w:rPr>
          <w:t>https://doi.org/10.1139/h2012-063</w:t>
        </w:r>
      </w:hyperlink>
      <w:r w:rsidRPr="00AC1C29">
        <w:rPr>
          <w:rFonts w:ascii="Arial" w:hAnsi="Arial" w:cs="Arial"/>
          <w:color w:val="3A3A3A"/>
          <w:shd w:val="clear" w:color="auto" w:fill="FFFFFF"/>
        </w:rPr>
        <w:t>. (</w:t>
      </w:r>
      <w:r w:rsidRPr="00AC1C29">
        <w:rPr>
          <w:rFonts w:ascii="Arial" w:hAnsi="Arial" w:cs="Arial"/>
          <w:shd w:val="clear" w:color="auto" w:fill="FFFFFF"/>
        </w:rPr>
        <w:t>Accessed; 09 January 2025)</w:t>
      </w:r>
    </w:p>
    <w:p w14:paraId="0EF7489F" w14:textId="77777777" w:rsidR="00AC1C29" w:rsidRPr="00AC1C29" w:rsidRDefault="00AC1C29" w:rsidP="00AC1C29">
      <w:pPr>
        <w:spacing w:before="100" w:beforeAutospacing="1" w:after="100" w:afterAutospacing="1" w:line="240" w:lineRule="auto"/>
        <w:rPr>
          <w:rFonts w:ascii="Arial" w:eastAsia="Times New Roman" w:hAnsi="Arial" w:cs="Arial"/>
          <w:kern w:val="0"/>
          <w:lang w:eastAsia="en-GB"/>
          <w14:ligatures w14:val="none"/>
        </w:rPr>
      </w:pPr>
      <w:r w:rsidRPr="00AC1C29">
        <w:rPr>
          <w:rFonts w:ascii="Arial" w:hAnsi="Arial" w:cs="Arial"/>
          <w:shd w:val="clear" w:color="auto" w:fill="FFFFFF"/>
        </w:rPr>
        <w:lastRenderedPageBreak/>
        <w:t>Maslow, A.H. (1943) ‘A theory of human motivation’, </w:t>
      </w:r>
      <w:r w:rsidRPr="00AC1C29">
        <w:rPr>
          <w:rFonts w:ascii="Arial" w:hAnsi="Arial" w:cs="Arial"/>
          <w:i/>
          <w:iCs/>
          <w:shd w:val="clear" w:color="auto" w:fill="FFFFFF"/>
        </w:rPr>
        <w:t>Psychological review</w:t>
      </w:r>
      <w:r w:rsidRPr="00AC1C29">
        <w:rPr>
          <w:rFonts w:ascii="Arial" w:hAnsi="Arial" w:cs="Arial"/>
          <w:shd w:val="clear" w:color="auto" w:fill="FFFFFF"/>
        </w:rPr>
        <w:t xml:space="preserve">, 50(4), pp. 370–396. Available at: </w:t>
      </w:r>
      <w:hyperlink r:id="rId30" w:history="1">
        <w:r w:rsidRPr="00AC1C29">
          <w:rPr>
            <w:rFonts w:ascii="Arial" w:hAnsi="Arial" w:cs="Arial"/>
            <w:color w:val="467886" w:themeColor="hyperlink"/>
            <w:u w:val="single"/>
            <w:shd w:val="clear" w:color="auto" w:fill="FFFFFF"/>
          </w:rPr>
          <w:t>https://doi.org/10.1037/h0054346</w:t>
        </w:r>
      </w:hyperlink>
      <w:r w:rsidRPr="00AC1C29">
        <w:rPr>
          <w:rFonts w:ascii="Arial" w:hAnsi="Arial" w:cs="Arial"/>
          <w:color w:val="3A3A3A"/>
          <w:shd w:val="clear" w:color="auto" w:fill="FFFFFF"/>
        </w:rPr>
        <w:t xml:space="preserve">. </w:t>
      </w:r>
      <w:bookmarkStart w:id="7" w:name="_Hlk187314522"/>
      <w:r w:rsidRPr="00AC1C29">
        <w:rPr>
          <w:rFonts w:ascii="Arial" w:hAnsi="Arial" w:cs="Arial"/>
          <w:color w:val="3A3A3A"/>
          <w:shd w:val="clear" w:color="auto" w:fill="FFFFFF"/>
        </w:rPr>
        <w:t>(</w:t>
      </w:r>
      <w:r w:rsidRPr="00AC1C29">
        <w:rPr>
          <w:rFonts w:ascii="Arial" w:hAnsi="Arial" w:cs="Arial"/>
          <w:shd w:val="clear" w:color="auto" w:fill="FFFFFF"/>
        </w:rPr>
        <w:t>Accessed: 09 January 2025)</w:t>
      </w:r>
      <w:bookmarkEnd w:id="7"/>
    </w:p>
    <w:p w14:paraId="3FA9ACB1" w14:textId="77777777" w:rsidR="00AC1C29" w:rsidRPr="00AC1C29" w:rsidRDefault="00AC1C29" w:rsidP="00AC1C29">
      <w:pPr>
        <w:spacing w:before="100" w:beforeAutospacing="1" w:after="100" w:afterAutospacing="1" w:line="240" w:lineRule="auto"/>
        <w:rPr>
          <w:rFonts w:ascii="Arial" w:eastAsia="Times New Roman" w:hAnsi="Arial" w:cs="Arial"/>
          <w:kern w:val="0"/>
          <w:lang w:eastAsia="en-GB"/>
          <w14:ligatures w14:val="none"/>
        </w:rPr>
      </w:pPr>
      <w:r w:rsidRPr="00AC1C29">
        <w:rPr>
          <w:rFonts w:ascii="Arial" w:eastAsia="Times New Roman" w:hAnsi="Arial" w:cs="Arial"/>
          <w:kern w:val="0"/>
          <w:lang w:eastAsia="en-GB"/>
          <w14:ligatures w14:val="none"/>
        </w:rPr>
        <w:t xml:space="preserve">McLeod, S., (2024). </w:t>
      </w:r>
      <w:r w:rsidRPr="00AC1C29">
        <w:rPr>
          <w:rFonts w:ascii="Arial" w:eastAsia="Times New Roman" w:hAnsi="Arial" w:cs="Arial"/>
          <w:i/>
          <w:iCs/>
          <w:kern w:val="0"/>
          <w:lang w:eastAsia="en-GB"/>
          <w14:ligatures w14:val="none"/>
        </w:rPr>
        <w:t>Maslow’s hierarchy of needs</w:t>
      </w:r>
      <w:r w:rsidRPr="00AC1C29">
        <w:rPr>
          <w:rFonts w:ascii="Arial" w:eastAsia="Times New Roman" w:hAnsi="Arial" w:cs="Arial"/>
          <w:kern w:val="0"/>
          <w:lang w:eastAsia="en-GB"/>
          <w14:ligatures w14:val="none"/>
        </w:rPr>
        <w:t xml:space="preserve">. Available at: </w:t>
      </w:r>
      <w:hyperlink r:id="rId31" w:tgtFrame="_new" w:history="1">
        <w:r w:rsidRPr="00AC1C29">
          <w:rPr>
            <w:rFonts w:ascii="Arial" w:eastAsia="Times New Roman" w:hAnsi="Arial" w:cs="Arial"/>
            <w:color w:val="0000FF"/>
            <w:kern w:val="0"/>
            <w:u w:val="single"/>
            <w:lang w:eastAsia="en-GB"/>
            <w14:ligatures w14:val="none"/>
          </w:rPr>
          <w:t>https://www.simplypsychology.org/maslow.html</w:t>
        </w:r>
      </w:hyperlink>
      <w:r w:rsidRPr="00AC1C29">
        <w:rPr>
          <w:rFonts w:ascii="Arial" w:eastAsia="Times New Roman" w:hAnsi="Arial" w:cs="Arial"/>
          <w:kern w:val="0"/>
          <w:lang w:eastAsia="en-GB"/>
          <w14:ligatures w14:val="none"/>
        </w:rPr>
        <w:t xml:space="preserve"> </w:t>
      </w:r>
      <w:r w:rsidRPr="00AC1C29">
        <w:rPr>
          <w:rFonts w:ascii="Arial" w:hAnsi="Arial" w:cs="Arial"/>
          <w:color w:val="3A3A3A"/>
          <w:shd w:val="clear" w:color="auto" w:fill="FFFFFF"/>
        </w:rPr>
        <w:t>(</w:t>
      </w:r>
      <w:r w:rsidRPr="00AC1C29">
        <w:rPr>
          <w:rFonts w:ascii="Arial" w:hAnsi="Arial" w:cs="Arial"/>
          <w:shd w:val="clear" w:color="auto" w:fill="FFFFFF"/>
        </w:rPr>
        <w:t>Accessed: 09 January 2025)</w:t>
      </w:r>
    </w:p>
    <w:p w14:paraId="6B52DB98" w14:textId="77777777" w:rsidR="00AC1C29" w:rsidRPr="00AC1C29" w:rsidRDefault="00AC1C29" w:rsidP="00AC1C29">
      <w:pPr>
        <w:spacing w:before="100" w:beforeAutospacing="1" w:after="100" w:afterAutospacing="1" w:line="240" w:lineRule="auto"/>
        <w:rPr>
          <w:rFonts w:ascii="Arial" w:hAnsi="Arial" w:cs="Arial"/>
          <w:shd w:val="clear" w:color="auto" w:fill="FFFFFF"/>
        </w:rPr>
      </w:pPr>
      <w:r w:rsidRPr="00AC1C29">
        <w:rPr>
          <w:rFonts w:ascii="Arial" w:hAnsi="Arial" w:cs="Arial"/>
          <w:shd w:val="clear" w:color="auto" w:fill="FFFFFF"/>
        </w:rPr>
        <w:t>Miljević-Riðički, R., Plantak, K. and Bouillet, D. (2017) ‘Resilience in Preschool Children – The Perspectives of Teachers, Parents and Children’, </w:t>
      </w:r>
      <w:r w:rsidRPr="00AC1C29">
        <w:rPr>
          <w:rFonts w:ascii="Arial" w:hAnsi="Arial" w:cs="Arial"/>
          <w:i/>
          <w:iCs/>
          <w:shd w:val="clear" w:color="auto" w:fill="FFFFFF"/>
        </w:rPr>
        <w:t>The international journal of emotional education</w:t>
      </w:r>
      <w:r w:rsidRPr="00AC1C29">
        <w:rPr>
          <w:rFonts w:ascii="Arial" w:hAnsi="Arial" w:cs="Arial"/>
          <w:shd w:val="clear" w:color="auto" w:fill="FFFFFF"/>
        </w:rPr>
        <w:t xml:space="preserve">, 9(2), pp. 31–43. </w:t>
      </w:r>
    </w:p>
    <w:p w14:paraId="64BF4BB4" w14:textId="77777777" w:rsidR="00AC1C29" w:rsidRPr="00AC1C29" w:rsidRDefault="00AC1C29" w:rsidP="00AC1C29">
      <w:pPr>
        <w:spacing w:before="100" w:beforeAutospacing="1" w:after="100" w:afterAutospacing="1" w:line="240" w:lineRule="auto"/>
        <w:rPr>
          <w:rFonts w:ascii="Arial" w:hAnsi="Arial" w:cs="Arial"/>
          <w:shd w:val="clear" w:color="auto" w:fill="FFFFFF"/>
        </w:rPr>
      </w:pPr>
      <w:r w:rsidRPr="00AC1C29">
        <w:rPr>
          <w:rFonts w:ascii="Arial" w:hAnsi="Arial" w:cs="Arial"/>
          <w:shd w:val="clear" w:color="auto" w:fill="FFFFFF"/>
        </w:rPr>
        <w:t>Monnat, S.M. and Chandler, R.F. (2015) ‘Long-Term Physical Health Consequences of Adverse Childhood Experiences’, </w:t>
      </w:r>
      <w:r w:rsidRPr="00AC1C29">
        <w:rPr>
          <w:rFonts w:ascii="Arial" w:hAnsi="Arial" w:cs="Arial"/>
          <w:i/>
          <w:iCs/>
          <w:shd w:val="clear" w:color="auto" w:fill="FFFFFF"/>
        </w:rPr>
        <w:t>Sociological quarterly</w:t>
      </w:r>
      <w:r w:rsidRPr="00AC1C29">
        <w:rPr>
          <w:rFonts w:ascii="Arial" w:hAnsi="Arial" w:cs="Arial"/>
          <w:shd w:val="clear" w:color="auto" w:fill="FFFFFF"/>
        </w:rPr>
        <w:t xml:space="preserve">, 56(4), pp. 723–752. Available at: </w:t>
      </w:r>
      <w:hyperlink r:id="rId32" w:history="1">
        <w:r w:rsidRPr="00AC1C29">
          <w:rPr>
            <w:rFonts w:ascii="Arial" w:hAnsi="Arial" w:cs="Arial"/>
            <w:color w:val="467886" w:themeColor="hyperlink"/>
            <w:u w:val="single"/>
            <w:shd w:val="clear" w:color="auto" w:fill="FFFFFF"/>
          </w:rPr>
          <w:t>https://doi.org/10.1111/tsq.12107</w:t>
        </w:r>
      </w:hyperlink>
      <w:r w:rsidRPr="00AC1C29">
        <w:rPr>
          <w:rFonts w:ascii="Arial" w:hAnsi="Arial" w:cs="Arial"/>
          <w:color w:val="3A3A3A"/>
          <w:shd w:val="clear" w:color="auto" w:fill="FFFFFF"/>
        </w:rPr>
        <w:t xml:space="preserve">. </w:t>
      </w:r>
      <w:bookmarkStart w:id="8" w:name="_Hlk187312816"/>
      <w:r w:rsidRPr="00AC1C29">
        <w:rPr>
          <w:rFonts w:ascii="Arial" w:hAnsi="Arial" w:cs="Arial"/>
          <w:color w:val="3A3A3A"/>
          <w:shd w:val="clear" w:color="auto" w:fill="FFFFFF"/>
        </w:rPr>
        <w:t>(</w:t>
      </w:r>
      <w:r w:rsidRPr="00AC1C29">
        <w:rPr>
          <w:rFonts w:ascii="Arial" w:hAnsi="Arial" w:cs="Arial"/>
          <w:shd w:val="clear" w:color="auto" w:fill="FFFFFF"/>
        </w:rPr>
        <w:t>Accessed; 09 January 2025)</w:t>
      </w:r>
      <w:bookmarkEnd w:id="8"/>
    </w:p>
    <w:p w14:paraId="301BFD4F" w14:textId="5EB76817" w:rsidR="00AC1C29" w:rsidRPr="00AC1C29" w:rsidRDefault="00AC1C29" w:rsidP="00AC1C29">
      <w:pPr>
        <w:spacing w:before="100" w:beforeAutospacing="1" w:after="100" w:afterAutospacing="1" w:line="240" w:lineRule="auto"/>
        <w:rPr>
          <w:rFonts w:ascii="Arial" w:hAnsi="Arial" w:cs="Arial"/>
          <w:color w:val="3A3A3A"/>
          <w:shd w:val="clear" w:color="auto" w:fill="FFFFFF"/>
        </w:rPr>
      </w:pPr>
      <w:r w:rsidRPr="00AC1C29">
        <w:rPr>
          <w:rFonts w:ascii="Arial" w:hAnsi="Arial" w:cs="Arial"/>
          <w:shd w:val="clear" w:color="auto" w:fill="FFFFFF"/>
        </w:rPr>
        <w:t>O’Neill, R.S., Boullier, M. and Blair, M. (2021) ‘Adverse childhood experiences’, </w:t>
      </w:r>
      <w:r w:rsidRPr="00AC1C29">
        <w:rPr>
          <w:rFonts w:ascii="Arial" w:hAnsi="Arial" w:cs="Arial"/>
          <w:i/>
          <w:iCs/>
          <w:shd w:val="clear" w:color="auto" w:fill="FFFFFF"/>
        </w:rPr>
        <w:t>Clinics in Integrated Care</w:t>
      </w:r>
      <w:r w:rsidRPr="00AC1C29">
        <w:rPr>
          <w:rFonts w:ascii="Arial" w:hAnsi="Arial" w:cs="Arial"/>
          <w:shd w:val="clear" w:color="auto" w:fill="FFFFFF"/>
        </w:rPr>
        <w:t>, 7, pp. 100062-. Available at</w:t>
      </w:r>
      <w:r w:rsidRPr="00AC1C29">
        <w:rPr>
          <w:rFonts w:ascii="Arial" w:hAnsi="Arial" w:cs="Arial"/>
          <w:color w:val="3A3A3A"/>
          <w:shd w:val="clear" w:color="auto" w:fill="FFFFFF"/>
        </w:rPr>
        <w:t xml:space="preserve">: </w:t>
      </w:r>
      <w:hyperlink r:id="rId33" w:history="1">
        <w:r w:rsidRPr="00AC1C29">
          <w:rPr>
            <w:rFonts w:ascii="Arial" w:hAnsi="Arial" w:cs="Arial"/>
            <w:color w:val="467886" w:themeColor="hyperlink"/>
            <w:u w:val="single"/>
            <w:shd w:val="clear" w:color="auto" w:fill="FFFFFF"/>
          </w:rPr>
          <w:t>https://doi.org/10.1016/j.intcar.2021.100062</w:t>
        </w:r>
      </w:hyperlink>
      <w:r w:rsidRPr="00AC1C29">
        <w:rPr>
          <w:rFonts w:ascii="Arial" w:hAnsi="Arial" w:cs="Arial"/>
          <w:color w:val="3A3A3A"/>
          <w:shd w:val="clear" w:color="auto" w:fill="FFFFFF"/>
        </w:rPr>
        <w:t xml:space="preserve">. </w:t>
      </w:r>
      <w:r w:rsidRPr="00AC1C29">
        <w:rPr>
          <w:rFonts w:ascii="Arial" w:hAnsi="Arial" w:cs="Arial"/>
          <w:shd w:val="clear" w:color="auto" w:fill="FFFFFF"/>
        </w:rPr>
        <w:t>(Accessed 06 January 2025)</w:t>
      </w:r>
      <w:bookmarkStart w:id="9" w:name="_Hlk187315384"/>
    </w:p>
    <w:p w14:paraId="3CD17EB7" w14:textId="77777777" w:rsidR="00AC1C29" w:rsidRPr="00AC1C29" w:rsidRDefault="00AC1C29" w:rsidP="00AC1C29">
      <w:pPr>
        <w:spacing w:before="100" w:beforeAutospacing="1" w:after="100" w:afterAutospacing="1" w:line="240" w:lineRule="auto"/>
        <w:rPr>
          <w:rFonts w:ascii="Arial" w:hAnsi="Arial" w:cs="Arial"/>
          <w:color w:val="3A3A3A"/>
          <w:shd w:val="clear" w:color="auto" w:fill="FFFFFF"/>
        </w:rPr>
      </w:pPr>
      <w:r w:rsidRPr="00AC1C29">
        <w:rPr>
          <w:rFonts w:ascii="Arial" w:hAnsi="Arial" w:cs="Arial"/>
          <w:shd w:val="clear" w:color="auto" w:fill="FFFFFF"/>
        </w:rPr>
        <w:t>Oberle, E. </w:t>
      </w:r>
      <w:r w:rsidRPr="00AC1C29">
        <w:rPr>
          <w:rFonts w:ascii="Arial" w:hAnsi="Arial" w:cs="Arial"/>
          <w:i/>
          <w:iCs/>
          <w:shd w:val="clear" w:color="auto" w:fill="FFFFFF"/>
        </w:rPr>
        <w:t>et al.</w:t>
      </w:r>
      <w:r w:rsidRPr="00AC1C29">
        <w:rPr>
          <w:rFonts w:ascii="Arial" w:hAnsi="Arial" w:cs="Arial"/>
          <w:shd w:val="clear" w:color="auto" w:fill="FFFFFF"/>
        </w:rPr>
        <w:t xml:space="preserve"> (2014) </w:t>
      </w:r>
      <w:bookmarkEnd w:id="9"/>
      <w:r w:rsidRPr="00AC1C29">
        <w:rPr>
          <w:rFonts w:ascii="Arial" w:hAnsi="Arial" w:cs="Arial"/>
          <w:shd w:val="clear" w:color="auto" w:fill="FFFFFF"/>
        </w:rPr>
        <w:t>‘The Role of Supportive Adults in Promoting Positive Development in Middle Childhood: A Population-Based Study’, </w:t>
      </w:r>
      <w:r w:rsidRPr="00AC1C29">
        <w:rPr>
          <w:rFonts w:ascii="Arial" w:hAnsi="Arial" w:cs="Arial"/>
          <w:i/>
          <w:iCs/>
          <w:shd w:val="clear" w:color="auto" w:fill="FFFFFF"/>
        </w:rPr>
        <w:t>Canadian journal of school psychology</w:t>
      </w:r>
      <w:r w:rsidRPr="00AC1C29">
        <w:rPr>
          <w:rFonts w:ascii="Arial" w:hAnsi="Arial" w:cs="Arial"/>
          <w:shd w:val="clear" w:color="auto" w:fill="FFFFFF"/>
        </w:rPr>
        <w:t xml:space="preserve">, 29(4), pp. 296–316. Available at: </w:t>
      </w:r>
      <w:hyperlink r:id="rId34" w:history="1">
        <w:r w:rsidRPr="00AC1C29">
          <w:rPr>
            <w:rFonts w:ascii="Arial" w:hAnsi="Arial" w:cs="Arial"/>
            <w:color w:val="467886" w:themeColor="hyperlink"/>
            <w:u w:val="single"/>
            <w:shd w:val="clear" w:color="auto" w:fill="FFFFFF"/>
          </w:rPr>
          <w:t>https://doi.org/10.1177/0829573514540116</w:t>
        </w:r>
      </w:hyperlink>
      <w:r w:rsidRPr="00AC1C29">
        <w:rPr>
          <w:rFonts w:ascii="Arial" w:hAnsi="Arial" w:cs="Arial"/>
          <w:color w:val="3A3A3A"/>
          <w:shd w:val="clear" w:color="auto" w:fill="FFFFFF"/>
        </w:rPr>
        <w:t>. (</w:t>
      </w:r>
      <w:r w:rsidRPr="00AC1C29">
        <w:rPr>
          <w:rFonts w:ascii="Arial" w:hAnsi="Arial" w:cs="Arial"/>
          <w:shd w:val="clear" w:color="auto" w:fill="FFFFFF"/>
        </w:rPr>
        <w:t>Accessed: 09 January 2025)</w:t>
      </w:r>
    </w:p>
    <w:p w14:paraId="4BF7031A" w14:textId="77777777" w:rsidR="00AC1C29" w:rsidRDefault="00AC1C29" w:rsidP="00AC1C29">
      <w:pPr>
        <w:spacing w:before="100" w:beforeAutospacing="1" w:after="100" w:afterAutospacing="1" w:line="240" w:lineRule="auto"/>
        <w:rPr>
          <w:rFonts w:ascii="Arial" w:hAnsi="Arial" w:cs="Arial"/>
          <w:shd w:val="clear" w:color="auto" w:fill="FFFFFF"/>
        </w:rPr>
      </w:pPr>
      <w:r w:rsidRPr="00AC1C29">
        <w:rPr>
          <w:rFonts w:ascii="Arial" w:hAnsi="Arial" w:cs="Arial"/>
          <w:shd w:val="clear" w:color="auto" w:fill="FFFFFF"/>
        </w:rPr>
        <w:t>Ouvry, M. and Furtado, A. (2020) </w:t>
      </w:r>
      <w:r w:rsidRPr="00AC1C29">
        <w:rPr>
          <w:rFonts w:ascii="Arial" w:hAnsi="Arial" w:cs="Arial"/>
          <w:i/>
          <w:iCs/>
          <w:shd w:val="clear" w:color="auto" w:fill="FFFFFF"/>
        </w:rPr>
        <w:t>Exercising muscles and minds: outdoor play and the early years curriculum</w:t>
      </w:r>
      <w:r w:rsidRPr="00AC1C29">
        <w:rPr>
          <w:rFonts w:ascii="Arial" w:hAnsi="Arial" w:cs="Arial"/>
          <w:shd w:val="clear" w:color="auto" w:fill="FFFFFF"/>
        </w:rPr>
        <w:t xml:space="preserve">. Second edition. London, England; Jessica Kingsley Publishers. </w:t>
      </w:r>
    </w:p>
    <w:p w14:paraId="4481B094" w14:textId="76D45067" w:rsidR="0011466B" w:rsidRPr="00AC1C29" w:rsidRDefault="0011466B" w:rsidP="00CA5CCD">
      <w:pPr>
        <w:rPr>
          <w:rFonts w:ascii="Arial" w:hAnsi="Arial" w:cs="Arial"/>
        </w:rPr>
      </w:pPr>
      <w:r w:rsidRPr="0022283E">
        <w:rPr>
          <w:rFonts w:ascii="Arial" w:hAnsi="Arial" w:cs="Arial"/>
        </w:rPr>
        <w:t xml:space="preserve">Patient Safety Learning – </w:t>
      </w:r>
      <w:r>
        <w:rPr>
          <w:rFonts w:ascii="Arial" w:hAnsi="Arial" w:cs="Arial"/>
        </w:rPr>
        <w:t>The</w:t>
      </w:r>
      <w:r w:rsidRPr="0022283E">
        <w:rPr>
          <w:rFonts w:ascii="Arial" w:hAnsi="Arial" w:cs="Arial"/>
        </w:rPr>
        <w:t xml:space="preserve"> Hub (2024) </w:t>
      </w:r>
      <w:r w:rsidRPr="00553B37">
        <w:rPr>
          <w:rFonts w:ascii="Arial" w:hAnsi="Arial" w:cs="Arial"/>
          <w:i/>
          <w:iCs/>
        </w:rPr>
        <w:t>The Dahlgren and Whitehead Rainbow.</w:t>
      </w:r>
      <w:r w:rsidRPr="0022283E">
        <w:rPr>
          <w:rFonts w:ascii="Arial" w:hAnsi="Arial" w:cs="Arial"/>
        </w:rPr>
        <w:t xml:space="preserve"> Available at: </w:t>
      </w:r>
      <w:hyperlink r:id="rId35" w:history="1">
        <w:r w:rsidRPr="00AC5E42">
          <w:rPr>
            <w:rStyle w:val="Hyperlink"/>
            <w:rFonts w:ascii="Arial" w:hAnsi="Arial" w:cs="Arial"/>
          </w:rPr>
          <w:t>https://www.pslhub.org/learn/improving-patient-safety/health-inequalities/the-dahlgren-whitehead-rainbow-1991-r5870/</w:t>
        </w:r>
      </w:hyperlink>
      <w:r w:rsidRPr="00654D9D">
        <w:rPr>
          <w:rFonts w:ascii="Arial" w:hAnsi="Arial" w:cs="Arial"/>
        </w:rPr>
        <w:t xml:space="preserve"> </w:t>
      </w:r>
      <w:r>
        <w:rPr>
          <w:rFonts w:ascii="Arial" w:hAnsi="Arial" w:cs="Arial"/>
        </w:rPr>
        <w:t>(Accessed: 13 January 2025)</w:t>
      </w:r>
    </w:p>
    <w:p w14:paraId="5E3EE75E" w14:textId="77777777" w:rsidR="00AC1C29" w:rsidRPr="00AC1C29" w:rsidRDefault="00AC1C29" w:rsidP="00AC1C29">
      <w:pPr>
        <w:spacing w:before="100" w:beforeAutospacing="1" w:after="100" w:afterAutospacing="1" w:line="240" w:lineRule="auto"/>
        <w:rPr>
          <w:rFonts w:ascii="Arial" w:hAnsi="Arial" w:cs="Arial"/>
          <w:shd w:val="clear" w:color="auto" w:fill="FFFFFF"/>
        </w:rPr>
      </w:pPr>
      <w:r w:rsidRPr="00AC1C29">
        <w:rPr>
          <w:rFonts w:ascii="Arial" w:hAnsi="Arial" w:cs="Arial"/>
          <w:shd w:val="clear" w:color="auto" w:fill="FFFFFF"/>
        </w:rPr>
        <w:t>Poitras, V.J. </w:t>
      </w:r>
      <w:r w:rsidRPr="00AC1C29">
        <w:rPr>
          <w:rFonts w:ascii="Arial" w:hAnsi="Arial" w:cs="Arial"/>
          <w:i/>
          <w:iCs/>
          <w:shd w:val="clear" w:color="auto" w:fill="FFFFFF"/>
        </w:rPr>
        <w:t>et al.</w:t>
      </w:r>
      <w:r w:rsidRPr="00AC1C29">
        <w:rPr>
          <w:rFonts w:ascii="Arial" w:hAnsi="Arial" w:cs="Arial"/>
          <w:shd w:val="clear" w:color="auto" w:fill="FFFFFF"/>
        </w:rPr>
        <w:t> (2017) ‘Systematic review of the relationships between sedentary behaviour and health indicators in the early years (0-4 years)’, </w:t>
      </w:r>
      <w:r w:rsidRPr="00AC1C29">
        <w:rPr>
          <w:rFonts w:ascii="Arial" w:hAnsi="Arial" w:cs="Arial"/>
          <w:i/>
          <w:iCs/>
          <w:shd w:val="clear" w:color="auto" w:fill="FFFFFF"/>
        </w:rPr>
        <w:t>BMC public health</w:t>
      </w:r>
      <w:r w:rsidRPr="00AC1C29">
        <w:rPr>
          <w:rFonts w:ascii="Arial" w:hAnsi="Arial" w:cs="Arial"/>
          <w:shd w:val="clear" w:color="auto" w:fill="FFFFFF"/>
        </w:rPr>
        <w:t xml:space="preserve">, 17(Suppl 5), pp. 868–868. Available at: </w:t>
      </w:r>
      <w:hyperlink r:id="rId36" w:history="1">
        <w:r w:rsidRPr="00AC1C29">
          <w:rPr>
            <w:rFonts w:ascii="Arial" w:hAnsi="Arial" w:cs="Arial"/>
            <w:color w:val="467886" w:themeColor="hyperlink"/>
            <w:u w:val="single"/>
            <w:shd w:val="clear" w:color="auto" w:fill="FFFFFF"/>
          </w:rPr>
          <w:t>https://doi.org/10.1186/s12889-017-4849-8</w:t>
        </w:r>
      </w:hyperlink>
      <w:r w:rsidRPr="00AC1C29">
        <w:rPr>
          <w:rFonts w:ascii="Arial" w:hAnsi="Arial" w:cs="Arial"/>
          <w:color w:val="3A3A3A"/>
          <w:shd w:val="clear" w:color="auto" w:fill="FFFFFF"/>
        </w:rPr>
        <w:t>. (</w:t>
      </w:r>
      <w:r w:rsidRPr="00AC1C29">
        <w:rPr>
          <w:rFonts w:ascii="Arial" w:hAnsi="Arial" w:cs="Arial"/>
          <w:shd w:val="clear" w:color="auto" w:fill="FFFFFF"/>
        </w:rPr>
        <w:t>Accessed; 09 January 2025)</w:t>
      </w:r>
    </w:p>
    <w:p w14:paraId="2E3EE2B5" w14:textId="77777777" w:rsidR="00AC1C29" w:rsidRDefault="00AC1C29" w:rsidP="00AC1C29">
      <w:pPr>
        <w:spacing w:before="100" w:beforeAutospacing="1" w:after="100" w:afterAutospacing="1" w:line="240" w:lineRule="auto"/>
        <w:rPr>
          <w:rFonts w:ascii="Arial" w:hAnsi="Arial" w:cs="Arial"/>
          <w:shd w:val="clear" w:color="auto" w:fill="FFFFFF"/>
        </w:rPr>
      </w:pPr>
      <w:r w:rsidRPr="00AC1C29">
        <w:rPr>
          <w:rFonts w:ascii="Arial" w:hAnsi="Arial" w:cs="Arial"/>
          <w:shd w:val="clear" w:color="auto" w:fill="FFFFFF"/>
        </w:rPr>
        <w:t>Prins, J. </w:t>
      </w:r>
      <w:r w:rsidRPr="00AC1C29">
        <w:rPr>
          <w:rFonts w:ascii="Arial" w:hAnsi="Arial" w:cs="Arial"/>
          <w:i/>
          <w:iCs/>
          <w:shd w:val="clear" w:color="auto" w:fill="FFFFFF"/>
        </w:rPr>
        <w:t>et al.</w:t>
      </w:r>
      <w:r w:rsidRPr="00AC1C29">
        <w:rPr>
          <w:rFonts w:ascii="Arial" w:hAnsi="Arial" w:cs="Arial"/>
          <w:shd w:val="clear" w:color="auto" w:fill="FFFFFF"/>
        </w:rPr>
        <w:t> (2023) ‘The importance of play in natural environments for children’s language development: an explorative study in early childhood education’, </w:t>
      </w:r>
      <w:r w:rsidRPr="00AC1C29">
        <w:rPr>
          <w:rFonts w:ascii="Arial" w:hAnsi="Arial" w:cs="Arial"/>
          <w:i/>
          <w:iCs/>
          <w:shd w:val="clear" w:color="auto" w:fill="FFFFFF"/>
        </w:rPr>
        <w:t>International journal of early years education</w:t>
      </w:r>
      <w:r w:rsidRPr="00AC1C29">
        <w:rPr>
          <w:rFonts w:ascii="Arial" w:hAnsi="Arial" w:cs="Arial"/>
          <w:shd w:val="clear" w:color="auto" w:fill="FFFFFF"/>
        </w:rPr>
        <w:t xml:space="preserve">, 31(2), pp. 450–466. Available at: </w:t>
      </w:r>
      <w:hyperlink r:id="rId37" w:history="1">
        <w:r w:rsidRPr="00AC1C29">
          <w:rPr>
            <w:rFonts w:ascii="Arial" w:hAnsi="Arial" w:cs="Arial"/>
            <w:color w:val="467886" w:themeColor="hyperlink"/>
            <w:u w:val="single"/>
            <w:shd w:val="clear" w:color="auto" w:fill="FFFFFF"/>
          </w:rPr>
          <w:t>https://doi.org/10.1080/09669760.2022.2144147</w:t>
        </w:r>
      </w:hyperlink>
      <w:r w:rsidRPr="00AC1C29">
        <w:rPr>
          <w:rFonts w:ascii="Arial" w:hAnsi="Arial" w:cs="Arial"/>
          <w:color w:val="3A3A3A"/>
          <w:shd w:val="clear" w:color="auto" w:fill="FFFFFF"/>
        </w:rPr>
        <w:t xml:space="preserve">. </w:t>
      </w:r>
      <w:r w:rsidRPr="00AC1C29">
        <w:rPr>
          <w:rFonts w:ascii="Arial" w:hAnsi="Arial" w:cs="Arial"/>
          <w:shd w:val="clear" w:color="auto" w:fill="FFFFFF"/>
        </w:rPr>
        <w:t>(Accessed: 07 January 2025)</w:t>
      </w:r>
    </w:p>
    <w:p w14:paraId="780B6EE6" w14:textId="7E8D70E3" w:rsidR="007E37CB" w:rsidRPr="00AC1C29" w:rsidRDefault="007E37CB" w:rsidP="007E37CB">
      <w:pPr>
        <w:rPr>
          <w:rFonts w:ascii="Arial" w:hAnsi="Arial" w:cs="Arial"/>
        </w:rPr>
      </w:pPr>
      <w:r w:rsidRPr="00273A9A">
        <w:rPr>
          <w:rFonts w:ascii="Arial" w:hAnsi="Arial" w:cs="Arial"/>
          <w:shd w:val="clear" w:color="auto" w:fill="FFFFFF"/>
        </w:rPr>
        <w:lastRenderedPageBreak/>
        <w:t>Roth, B., Park, E., Helen, Prentice, M., and Fleurisma, V. (n.d.) Health belief Model. Available at:</w:t>
      </w:r>
      <w:r w:rsidRPr="00273A9A">
        <w:rPr>
          <w:rFonts w:ascii="Arial" w:hAnsi="Arial" w:cs="Arial"/>
        </w:rPr>
        <w:t xml:space="preserve"> </w:t>
      </w:r>
      <w:hyperlink r:id="rId38" w:history="1">
        <w:r w:rsidRPr="00AC5E42">
          <w:rPr>
            <w:rStyle w:val="Hyperlink"/>
            <w:rFonts w:ascii="Arial" w:hAnsi="Arial" w:cs="Arial"/>
          </w:rPr>
          <w:t>https://courses.lumenlearning.com/suny-buffalo-environmentalhealth/part/chapter-7-health-belief-model/</w:t>
        </w:r>
      </w:hyperlink>
      <w:r>
        <w:rPr>
          <w:rFonts w:ascii="Arial" w:hAnsi="Arial" w:cs="Arial"/>
        </w:rPr>
        <w:t xml:space="preserve"> (Accessed: 14 January 2025)</w:t>
      </w:r>
    </w:p>
    <w:p w14:paraId="3D8C0043" w14:textId="77777777" w:rsidR="00AC1C29" w:rsidRPr="00AC1C29" w:rsidRDefault="00AC1C29" w:rsidP="00AC1C29">
      <w:pPr>
        <w:spacing w:before="100" w:beforeAutospacing="1" w:after="100" w:afterAutospacing="1" w:line="240" w:lineRule="auto"/>
        <w:rPr>
          <w:rFonts w:ascii="Arial" w:hAnsi="Arial" w:cs="Arial"/>
          <w:color w:val="3A3A3A"/>
          <w:shd w:val="clear" w:color="auto" w:fill="FFFFFF"/>
        </w:rPr>
      </w:pPr>
      <w:r w:rsidRPr="00AC1C29">
        <w:rPr>
          <w:rFonts w:ascii="Arial" w:hAnsi="Arial" w:cs="Arial"/>
          <w:shd w:val="clear" w:color="auto" w:fill="FFFFFF"/>
        </w:rPr>
        <w:t>Sanders, M.R. </w:t>
      </w:r>
      <w:r w:rsidRPr="00AC1C29">
        <w:rPr>
          <w:rFonts w:ascii="Arial" w:hAnsi="Arial" w:cs="Arial"/>
          <w:i/>
          <w:iCs/>
          <w:shd w:val="clear" w:color="auto" w:fill="FFFFFF"/>
        </w:rPr>
        <w:t>et al.</w:t>
      </w:r>
      <w:r w:rsidRPr="00AC1C29">
        <w:rPr>
          <w:rFonts w:ascii="Arial" w:hAnsi="Arial" w:cs="Arial"/>
          <w:shd w:val="clear" w:color="auto" w:fill="FFFFFF"/>
        </w:rPr>
        <w:t> (2008) ‘Triple P-Positive Parenting Program as a Public Health Approach to Strengthening Parenting’, </w:t>
      </w:r>
      <w:r w:rsidRPr="00AC1C29">
        <w:rPr>
          <w:rFonts w:ascii="Arial" w:hAnsi="Arial" w:cs="Arial"/>
          <w:i/>
          <w:iCs/>
          <w:shd w:val="clear" w:color="auto" w:fill="FFFFFF"/>
        </w:rPr>
        <w:t>Journal of family psychology</w:t>
      </w:r>
      <w:r w:rsidRPr="00AC1C29">
        <w:rPr>
          <w:rFonts w:ascii="Arial" w:hAnsi="Arial" w:cs="Arial"/>
          <w:shd w:val="clear" w:color="auto" w:fill="FFFFFF"/>
        </w:rPr>
        <w:t xml:space="preserve">, 22(4), pp. 506–517. Available at: </w:t>
      </w:r>
      <w:hyperlink r:id="rId39" w:history="1">
        <w:r w:rsidRPr="00AC1C29">
          <w:rPr>
            <w:rFonts w:ascii="Arial" w:hAnsi="Arial" w:cs="Arial"/>
            <w:color w:val="467886" w:themeColor="hyperlink"/>
            <w:u w:val="single"/>
            <w:shd w:val="clear" w:color="auto" w:fill="FFFFFF"/>
          </w:rPr>
          <w:t>https://doi.org/10.1037/0893-3200.22.3.506</w:t>
        </w:r>
      </w:hyperlink>
      <w:r w:rsidRPr="00AC1C29">
        <w:rPr>
          <w:rFonts w:ascii="Arial" w:hAnsi="Arial" w:cs="Arial"/>
          <w:color w:val="3A3A3A"/>
          <w:shd w:val="clear" w:color="auto" w:fill="FFFFFF"/>
        </w:rPr>
        <w:t>. (</w:t>
      </w:r>
      <w:r w:rsidRPr="00AC1C29">
        <w:rPr>
          <w:rFonts w:ascii="Arial" w:hAnsi="Arial" w:cs="Arial"/>
          <w:shd w:val="clear" w:color="auto" w:fill="FFFFFF"/>
        </w:rPr>
        <w:t>Accessed: 09 January 2025)</w:t>
      </w:r>
    </w:p>
    <w:p w14:paraId="3EF2E142" w14:textId="77777777" w:rsidR="00AC1C29" w:rsidRPr="00AC1C29" w:rsidRDefault="00AC1C29" w:rsidP="00AC1C29">
      <w:pPr>
        <w:spacing w:before="100" w:beforeAutospacing="1" w:after="100" w:afterAutospacing="1" w:line="240" w:lineRule="auto"/>
        <w:rPr>
          <w:rFonts w:ascii="Arial" w:eastAsia="Times New Roman" w:hAnsi="Arial" w:cs="Arial"/>
          <w:kern w:val="0"/>
          <w:lang w:eastAsia="en-GB"/>
          <w14:ligatures w14:val="none"/>
        </w:rPr>
      </w:pPr>
      <w:r w:rsidRPr="00AC1C29">
        <w:rPr>
          <w:rFonts w:ascii="Arial" w:hAnsi="Arial" w:cs="Arial"/>
          <w:shd w:val="clear" w:color="auto" w:fill="FFFFFF"/>
        </w:rPr>
        <w:t>Schelbe, L. </w:t>
      </w:r>
      <w:r w:rsidRPr="00AC1C29">
        <w:rPr>
          <w:rFonts w:ascii="Arial" w:hAnsi="Arial" w:cs="Arial"/>
          <w:i/>
          <w:iCs/>
          <w:shd w:val="clear" w:color="auto" w:fill="FFFFFF"/>
        </w:rPr>
        <w:t>et al.</w:t>
      </w:r>
      <w:r w:rsidRPr="00AC1C29">
        <w:rPr>
          <w:rFonts w:ascii="Arial" w:hAnsi="Arial" w:cs="Arial"/>
          <w:shd w:val="clear" w:color="auto" w:fill="FFFFFF"/>
        </w:rPr>
        <w:t> (2020) ‘Bridging the Gaps Among Research, Policy, and Practice in the Field of Child Maltreatment Through Cross-Sector Training and Innovation’, </w:t>
      </w:r>
      <w:r w:rsidRPr="00AC1C29">
        <w:rPr>
          <w:rFonts w:ascii="Arial" w:hAnsi="Arial" w:cs="Arial"/>
          <w:i/>
          <w:iCs/>
          <w:shd w:val="clear" w:color="auto" w:fill="FFFFFF"/>
        </w:rPr>
        <w:t>International journal on child maltreatment : research, policy and practice</w:t>
      </w:r>
      <w:r w:rsidRPr="00AC1C29">
        <w:rPr>
          <w:rFonts w:ascii="Arial" w:hAnsi="Arial" w:cs="Arial"/>
          <w:shd w:val="clear" w:color="auto" w:fill="FFFFFF"/>
        </w:rPr>
        <w:t>, 3(3), pp. 293–305. Available at</w:t>
      </w:r>
      <w:r w:rsidRPr="00AC1C29">
        <w:rPr>
          <w:rFonts w:ascii="Arial" w:hAnsi="Arial" w:cs="Arial"/>
          <w:color w:val="3A3A3A"/>
          <w:shd w:val="clear" w:color="auto" w:fill="FFFFFF"/>
        </w:rPr>
        <w:t xml:space="preserve">: </w:t>
      </w:r>
      <w:hyperlink r:id="rId40" w:history="1">
        <w:r w:rsidRPr="00AC1C29">
          <w:rPr>
            <w:rFonts w:ascii="Arial" w:hAnsi="Arial" w:cs="Arial"/>
            <w:color w:val="467886" w:themeColor="hyperlink"/>
            <w:u w:val="single"/>
            <w:shd w:val="clear" w:color="auto" w:fill="FFFFFF"/>
          </w:rPr>
          <w:t>https://doi.org/10.1007/s42448-020-00054-6</w:t>
        </w:r>
      </w:hyperlink>
      <w:r w:rsidRPr="00AC1C29">
        <w:rPr>
          <w:rFonts w:ascii="Arial" w:hAnsi="Arial" w:cs="Arial"/>
          <w:color w:val="3A3A3A"/>
          <w:shd w:val="clear" w:color="auto" w:fill="FFFFFF"/>
        </w:rPr>
        <w:t xml:space="preserve">. </w:t>
      </w:r>
      <w:r w:rsidRPr="00AC1C29">
        <w:rPr>
          <w:rFonts w:ascii="Arial" w:eastAsia="Times New Roman" w:hAnsi="Arial" w:cs="Arial"/>
          <w:kern w:val="0"/>
          <w:lang w:eastAsia="en-GB"/>
          <w14:ligatures w14:val="none"/>
        </w:rPr>
        <w:t>(Accessed: 08 January 2025)</w:t>
      </w:r>
    </w:p>
    <w:p w14:paraId="06B86F6E" w14:textId="77777777" w:rsidR="00AC1C29" w:rsidRPr="00AC1C29" w:rsidRDefault="00AC1C29" w:rsidP="00AC1C29">
      <w:pPr>
        <w:spacing w:before="100" w:beforeAutospacing="1" w:after="100" w:afterAutospacing="1" w:line="240" w:lineRule="auto"/>
        <w:rPr>
          <w:rFonts w:ascii="Arial" w:eastAsia="Times New Roman" w:hAnsi="Arial" w:cs="Arial"/>
          <w:kern w:val="0"/>
          <w:lang w:eastAsia="en-GB"/>
          <w14:ligatures w14:val="none"/>
        </w:rPr>
      </w:pPr>
      <w:r w:rsidRPr="00AC1C29">
        <w:rPr>
          <w:rFonts w:ascii="Arial" w:eastAsia="Times New Roman" w:hAnsi="Arial" w:cs="Arial"/>
          <w:kern w:val="0"/>
          <w:lang w:eastAsia="en-GB"/>
          <w14:ligatures w14:val="none"/>
        </w:rPr>
        <w:t xml:space="preserve">Schonert-Reichl, K.A. and Roeser, R.W., (2016). </w:t>
      </w:r>
      <w:r w:rsidRPr="00AC1C29">
        <w:rPr>
          <w:rFonts w:ascii="Arial" w:eastAsia="Times New Roman" w:hAnsi="Arial" w:cs="Arial"/>
          <w:i/>
          <w:iCs/>
          <w:kern w:val="0"/>
          <w:lang w:eastAsia="en-GB"/>
          <w14:ligatures w14:val="none"/>
        </w:rPr>
        <w:t>Handbook of mindfulness in education</w:t>
      </w:r>
      <w:r w:rsidRPr="00AC1C29">
        <w:rPr>
          <w:rFonts w:ascii="Arial" w:eastAsia="Times New Roman" w:hAnsi="Arial" w:cs="Arial"/>
          <w:kern w:val="0"/>
          <w:lang w:eastAsia="en-GB"/>
          <w14:ligatures w14:val="none"/>
        </w:rPr>
        <w:t>. New York: Springer.</w:t>
      </w:r>
    </w:p>
    <w:p w14:paraId="6C978941" w14:textId="77777777" w:rsidR="00AC1C29" w:rsidRPr="00AC1C29" w:rsidRDefault="00AC1C29" w:rsidP="00AC1C29">
      <w:pPr>
        <w:spacing w:before="100" w:beforeAutospacing="1" w:after="100" w:afterAutospacing="1" w:line="240" w:lineRule="auto"/>
        <w:rPr>
          <w:rFonts w:ascii="Arial" w:hAnsi="Arial" w:cs="Arial"/>
          <w:color w:val="3A3A3A"/>
          <w:shd w:val="clear" w:color="auto" w:fill="FFFFFF"/>
        </w:rPr>
      </w:pPr>
      <w:r w:rsidRPr="00AC1C29">
        <w:rPr>
          <w:rFonts w:ascii="Arial" w:eastAsia="Times New Roman" w:hAnsi="Arial" w:cs="Arial"/>
          <w:kern w:val="0"/>
          <w:lang w:eastAsia="en-GB"/>
          <w14:ligatures w14:val="none"/>
        </w:rPr>
        <w:t xml:space="preserve">Shonkoff, J.P. and Phillips, D.A., (2000). </w:t>
      </w:r>
      <w:r w:rsidRPr="00AC1C29">
        <w:rPr>
          <w:rFonts w:ascii="Arial" w:eastAsia="Times New Roman" w:hAnsi="Arial" w:cs="Arial"/>
          <w:i/>
          <w:iCs/>
          <w:kern w:val="0"/>
          <w:lang w:eastAsia="en-GB"/>
          <w14:ligatures w14:val="none"/>
        </w:rPr>
        <w:t>From neurons to neighbourhoods: The science of early childhood development</w:t>
      </w:r>
      <w:r w:rsidRPr="00AC1C29">
        <w:rPr>
          <w:rFonts w:ascii="Arial" w:eastAsia="Times New Roman" w:hAnsi="Arial" w:cs="Arial"/>
          <w:kern w:val="0"/>
          <w:lang w:eastAsia="en-GB"/>
          <w14:ligatures w14:val="none"/>
        </w:rPr>
        <w:t xml:space="preserve">. Washington, DC: National Academies Press. Available at: </w:t>
      </w:r>
      <w:hyperlink r:id="rId41" w:history="1">
        <w:r w:rsidRPr="00AC1C29">
          <w:rPr>
            <w:rFonts w:ascii="Arial" w:eastAsia="Times New Roman" w:hAnsi="Arial" w:cs="Arial"/>
            <w:color w:val="467886" w:themeColor="hyperlink"/>
            <w:kern w:val="0"/>
            <w:u w:val="single"/>
            <w:lang w:eastAsia="en-GB"/>
            <w14:ligatures w14:val="none"/>
          </w:rPr>
          <w:t>file:///C:/Users/kater/Downloads/9824.pdf</w:t>
        </w:r>
      </w:hyperlink>
      <w:r w:rsidRPr="00AC1C29">
        <w:rPr>
          <w:rFonts w:ascii="Arial" w:eastAsia="Times New Roman" w:hAnsi="Arial" w:cs="Arial"/>
          <w:kern w:val="0"/>
          <w:lang w:eastAsia="en-GB"/>
          <w14:ligatures w14:val="none"/>
        </w:rPr>
        <w:t xml:space="preserve"> </w:t>
      </w:r>
      <w:r w:rsidRPr="00AC1C29">
        <w:rPr>
          <w:rFonts w:ascii="Arial" w:hAnsi="Arial" w:cs="Arial"/>
          <w:color w:val="3A3A3A"/>
          <w:shd w:val="clear" w:color="auto" w:fill="FFFFFF"/>
        </w:rPr>
        <w:t>(</w:t>
      </w:r>
      <w:r w:rsidRPr="00AC1C29">
        <w:rPr>
          <w:rFonts w:ascii="Arial" w:hAnsi="Arial" w:cs="Arial"/>
          <w:shd w:val="clear" w:color="auto" w:fill="FFFFFF"/>
        </w:rPr>
        <w:t>Accessed: 09 January 2025)</w:t>
      </w:r>
    </w:p>
    <w:p w14:paraId="0C796898" w14:textId="77777777" w:rsidR="00AC1C29" w:rsidRDefault="00AC1C29" w:rsidP="00AC1C29">
      <w:pPr>
        <w:spacing w:before="100" w:beforeAutospacing="1" w:after="100" w:afterAutospacing="1" w:line="240" w:lineRule="auto"/>
        <w:rPr>
          <w:rFonts w:ascii="Arial" w:hAnsi="Arial" w:cs="Arial"/>
          <w:shd w:val="clear" w:color="auto" w:fill="FFFFFF"/>
        </w:rPr>
      </w:pPr>
      <w:r w:rsidRPr="00AC1C29">
        <w:rPr>
          <w:rFonts w:ascii="Arial" w:hAnsi="Arial" w:cs="Arial"/>
          <w:shd w:val="clear" w:color="auto" w:fill="FFFFFF"/>
        </w:rPr>
        <w:t>Thai, K.-P. and Betts, A.L. (eds) (2021) </w:t>
      </w:r>
      <w:r w:rsidRPr="00AC1C29">
        <w:rPr>
          <w:rFonts w:ascii="Arial" w:hAnsi="Arial" w:cs="Arial"/>
          <w:i/>
          <w:iCs/>
          <w:shd w:val="clear" w:color="auto" w:fill="FFFFFF"/>
        </w:rPr>
        <w:t>Handbook of research on innovative approaches to early childhood development and school readiness</w:t>
      </w:r>
      <w:r w:rsidRPr="00AC1C29">
        <w:rPr>
          <w:rFonts w:ascii="Arial" w:hAnsi="Arial" w:cs="Arial"/>
          <w:shd w:val="clear" w:color="auto" w:fill="FFFFFF"/>
        </w:rPr>
        <w:t xml:space="preserve">. Hershey, Pennsylvania: IGI Global. Available at: </w:t>
      </w:r>
      <w:hyperlink r:id="rId42" w:history="1">
        <w:r w:rsidRPr="00AC1C29">
          <w:rPr>
            <w:rFonts w:ascii="Arial" w:hAnsi="Arial" w:cs="Arial"/>
            <w:color w:val="467886" w:themeColor="hyperlink"/>
            <w:u w:val="single"/>
            <w:shd w:val="clear" w:color="auto" w:fill="FFFFFF"/>
          </w:rPr>
          <w:t>https://doi.org/10.4018/978-1-7998-8649-5</w:t>
        </w:r>
      </w:hyperlink>
      <w:r w:rsidRPr="00AC1C29">
        <w:rPr>
          <w:rFonts w:ascii="Arial" w:hAnsi="Arial" w:cs="Arial"/>
          <w:color w:val="3A3A3A"/>
          <w:shd w:val="clear" w:color="auto" w:fill="FFFFFF"/>
        </w:rPr>
        <w:t xml:space="preserve">. </w:t>
      </w:r>
      <w:r w:rsidRPr="00AC1C29">
        <w:rPr>
          <w:rFonts w:ascii="Arial" w:hAnsi="Arial" w:cs="Arial"/>
          <w:shd w:val="clear" w:color="auto" w:fill="FFFFFF"/>
        </w:rPr>
        <w:t>(Accessed: 07 January 2025)</w:t>
      </w:r>
    </w:p>
    <w:p w14:paraId="39935133" w14:textId="77777777" w:rsidR="0011466B" w:rsidRPr="00F24C48" w:rsidRDefault="0011466B" w:rsidP="0011466B">
      <w:pPr>
        <w:jc w:val="both"/>
        <w:rPr>
          <w:rFonts w:ascii="Arial" w:hAnsi="Arial" w:cs="Arial"/>
        </w:rPr>
      </w:pPr>
      <w:r w:rsidRPr="00BD4443">
        <w:rPr>
          <w:rFonts w:ascii="Arial" w:hAnsi="Arial" w:cs="Arial"/>
        </w:rPr>
        <w:t xml:space="preserve">ThoughtCo (2020) </w:t>
      </w:r>
      <w:r w:rsidRPr="00BD4443">
        <w:rPr>
          <w:rFonts w:ascii="Arial" w:hAnsi="Arial" w:cs="Arial"/>
          <w:i/>
          <w:iCs/>
        </w:rPr>
        <w:t>Maslow’s Hierarchy of Needs Explained</w:t>
      </w:r>
      <w:r>
        <w:rPr>
          <w:rFonts w:ascii="Arial" w:hAnsi="Arial" w:cs="Arial"/>
        </w:rPr>
        <w:t xml:space="preserve">. Available at: </w:t>
      </w:r>
      <w:hyperlink r:id="rId43" w:history="1">
        <w:r w:rsidRPr="00AC5E42">
          <w:rPr>
            <w:rStyle w:val="Hyperlink"/>
            <w:rFonts w:ascii="Arial" w:hAnsi="Arial" w:cs="Arial"/>
          </w:rPr>
          <w:t>https://www.thoughtco.com/thmb/NOQGnIm-cyu7HJMsvWjwCIElM3E=/4911x3472/filters:fill(auto,1)/maslow-s-hierarchy-of-needs--scalable-vector-illustration-655400474-5c6a47f246e0fb000165cb0a.jpg</w:t>
        </w:r>
      </w:hyperlink>
      <w:r w:rsidRPr="00F24C48">
        <w:rPr>
          <w:rFonts w:ascii="Arial" w:hAnsi="Arial" w:cs="Arial"/>
        </w:rPr>
        <w:t xml:space="preserve"> </w:t>
      </w:r>
      <w:r>
        <w:rPr>
          <w:rFonts w:ascii="Arial" w:hAnsi="Arial" w:cs="Arial"/>
        </w:rPr>
        <w:t>(Accessed: 13 January 2025)</w:t>
      </w:r>
    </w:p>
    <w:p w14:paraId="28AE4AF0" w14:textId="77777777" w:rsidR="00AC1C29" w:rsidRPr="00AC1C29" w:rsidRDefault="00AC1C29" w:rsidP="00AC1C29">
      <w:pPr>
        <w:spacing w:before="100" w:beforeAutospacing="1" w:after="100" w:afterAutospacing="1" w:line="240" w:lineRule="auto"/>
        <w:rPr>
          <w:rFonts w:ascii="Arial" w:eastAsia="Times New Roman" w:hAnsi="Arial" w:cs="Arial"/>
          <w:kern w:val="0"/>
          <w:lang w:eastAsia="en-GB"/>
          <w14:ligatures w14:val="none"/>
        </w:rPr>
      </w:pPr>
      <w:r w:rsidRPr="00AC1C29">
        <w:rPr>
          <w:rFonts w:ascii="Arial" w:hAnsi="Arial" w:cs="Arial"/>
          <w:shd w:val="clear" w:color="auto" w:fill="FFFFFF"/>
        </w:rPr>
        <w:t>Tremblay, M.S. </w:t>
      </w:r>
      <w:r w:rsidRPr="00AC1C29">
        <w:rPr>
          <w:rFonts w:ascii="Arial" w:hAnsi="Arial" w:cs="Arial"/>
          <w:i/>
          <w:iCs/>
          <w:shd w:val="clear" w:color="auto" w:fill="FFFFFF"/>
        </w:rPr>
        <w:t>et al.</w:t>
      </w:r>
      <w:r w:rsidRPr="00AC1C29">
        <w:rPr>
          <w:rFonts w:ascii="Arial" w:hAnsi="Arial" w:cs="Arial"/>
          <w:shd w:val="clear" w:color="auto" w:fill="FFFFFF"/>
        </w:rPr>
        <w:t> (2017) ‘Canadian 24-Hour Movement Guidelines for the Early Years (0-4 years): An Integration of Physical Activity, Sedentary Behaviour, and Sleep’, </w:t>
      </w:r>
      <w:r w:rsidRPr="00AC1C29">
        <w:rPr>
          <w:rFonts w:ascii="Arial" w:hAnsi="Arial" w:cs="Arial"/>
          <w:i/>
          <w:iCs/>
          <w:shd w:val="clear" w:color="auto" w:fill="FFFFFF"/>
        </w:rPr>
        <w:t>BMC public health</w:t>
      </w:r>
      <w:r w:rsidRPr="00AC1C29">
        <w:rPr>
          <w:rFonts w:ascii="Arial" w:hAnsi="Arial" w:cs="Arial"/>
          <w:shd w:val="clear" w:color="auto" w:fill="FFFFFF"/>
        </w:rPr>
        <w:t xml:space="preserve">, 17(Suppl 5), pp. 874–874. Available at: </w:t>
      </w:r>
      <w:hyperlink r:id="rId44" w:history="1">
        <w:r w:rsidRPr="00AC1C29">
          <w:rPr>
            <w:rFonts w:ascii="Arial" w:hAnsi="Arial" w:cs="Arial"/>
            <w:color w:val="467886" w:themeColor="hyperlink"/>
            <w:u w:val="single"/>
            <w:shd w:val="clear" w:color="auto" w:fill="FFFFFF"/>
          </w:rPr>
          <w:t>https://doi.org/10.1186/s12889-017-4859-6</w:t>
        </w:r>
      </w:hyperlink>
      <w:r w:rsidRPr="00AC1C29">
        <w:rPr>
          <w:rFonts w:ascii="Arial" w:hAnsi="Arial" w:cs="Arial"/>
          <w:color w:val="3A3A3A"/>
          <w:shd w:val="clear" w:color="auto" w:fill="FFFFFF"/>
        </w:rPr>
        <w:t xml:space="preserve">. </w:t>
      </w:r>
      <w:bookmarkStart w:id="10" w:name="_Hlk187314066"/>
      <w:r w:rsidRPr="00AC1C29">
        <w:rPr>
          <w:rFonts w:ascii="Arial" w:hAnsi="Arial" w:cs="Arial"/>
          <w:color w:val="3A3A3A"/>
          <w:shd w:val="clear" w:color="auto" w:fill="FFFFFF"/>
        </w:rPr>
        <w:t>(</w:t>
      </w:r>
      <w:r w:rsidRPr="00AC1C29">
        <w:rPr>
          <w:rFonts w:ascii="Arial" w:hAnsi="Arial" w:cs="Arial"/>
          <w:shd w:val="clear" w:color="auto" w:fill="FFFFFF"/>
        </w:rPr>
        <w:t>Accessed: 09 January 2025)</w:t>
      </w:r>
    </w:p>
    <w:bookmarkEnd w:id="10"/>
    <w:p w14:paraId="417DAA1C" w14:textId="77777777" w:rsidR="00AC1C29" w:rsidRPr="00AC1C29" w:rsidRDefault="00AC1C29" w:rsidP="00AC1C29">
      <w:pPr>
        <w:spacing w:before="100" w:beforeAutospacing="1" w:after="100" w:afterAutospacing="1" w:line="240" w:lineRule="auto"/>
        <w:rPr>
          <w:rFonts w:ascii="Arial" w:hAnsi="Arial" w:cs="Arial"/>
          <w:shd w:val="clear" w:color="auto" w:fill="FFFFFF"/>
        </w:rPr>
      </w:pPr>
      <w:r w:rsidRPr="00AC1C29">
        <w:rPr>
          <w:rFonts w:ascii="Arial" w:hAnsi="Arial" w:cs="Arial"/>
        </w:rPr>
        <w:t>United Nations Children’s Fund (UNICEF) (2023)</w:t>
      </w:r>
      <w:r w:rsidRPr="00AC1C29">
        <w:rPr>
          <w:rFonts w:ascii="Arial" w:hAnsi="Arial" w:cs="Arial"/>
          <w:i/>
          <w:iCs/>
        </w:rPr>
        <w:t xml:space="preserve"> Early Childhood Development. UNICEF Vision for Every Child.</w:t>
      </w:r>
      <w:r w:rsidRPr="00AC1C29">
        <w:rPr>
          <w:rFonts w:ascii="Arial" w:hAnsi="Arial" w:cs="Arial"/>
        </w:rPr>
        <w:t xml:space="preserve">  New York, UNICEF Publications. Available at: </w:t>
      </w:r>
      <w:hyperlink r:id="rId45" w:history="1">
        <w:r w:rsidRPr="00AC1C29">
          <w:rPr>
            <w:rFonts w:ascii="Arial" w:hAnsi="Arial" w:cs="Arial"/>
            <w:color w:val="467886" w:themeColor="hyperlink"/>
            <w:u w:val="single"/>
          </w:rPr>
          <w:t>https://www.unicef.org/media/145336/file/Early_Childhood_Development_-_UNICEF_Vision_for_Every_Child.pdf</w:t>
        </w:r>
      </w:hyperlink>
      <w:r w:rsidRPr="00AC1C29">
        <w:rPr>
          <w:rFonts w:ascii="Arial" w:hAnsi="Arial" w:cs="Arial"/>
        </w:rPr>
        <w:t xml:space="preserve"> </w:t>
      </w:r>
      <w:r w:rsidRPr="00AC1C29">
        <w:rPr>
          <w:rFonts w:ascii="Arial" w:hAnsi="Arial" w:cs="Arial"/>
          <w:shd w:val="clear" w:color="auto" w:fill="FFFFFF"/>
        </w:rPr>
        <w:t>(Accessed: 09 January 2025)</w:t>
      </w:r>
    </w:p>
    <w:p w14:paraId="0CF3D49C" w14:textId="77777777" w:rsidR="00AC1C29" w:rsidRPr="00AC1C29" w:rsidRDefault="00AC1C29" w:rsidP="00AC1C29">
      <w:pPr>
        <w:spacing w:before="100" w:beforeAutospacing="1" w:after="100" w:afterAutospacing="1" w:line="240" w:lineRule="auto"/>
        <w:rPr>
          <w:rFonts w:ascii="Arial" w:eastAsia="Times New Roman" w:hAnsi="Arial" w:cs="Arial"/>
          <w:kern w:val="0"/>
          <w:lang w:eastAsia="en-GB"/>
          <w14:ligatures w14:val="none"/>
        </w:rPr>
      </w:pPr>
      <w:r w:rsidRPr="00AC1C29">
        <w:rPr>
          <w:rFonts w:ascii="Arial" w:hAnsi="Arial" w:cs="Arial"/>
          <w:shd w:val="clear" w:color="auto" w:fill="FFFFFF"/>
        </w:rPr>
        <w:lastRenderedPageBreak/>
        <w:t>Walker, S.P. </w:t>
      </w:r>
      <w:r w:rsidRPr="00AC1C29">
        <w:rPr>
          <w:rFonts w:ascii="Arial" w:hAnsi="Arial" w:cs="Arial"/>
          <w:i/>
          <w:iCs/>
          <w:shd w:val="clear" w:color="auto" w:fill="FFFFFF"/>
        </w:rPr>
        <w:t>et al.</w:t>
      </w:r>
      <w:r w:rsidRPr="00AC1C29">
        <w:rPr>
          <w:rFonts w:ascii="Arial" w:hAnsi="Arial" w:cs="Arial"/>
          <w:shd w:val="clear" w:color="auto" w:fill="FFFFFF"/>
        </w:rPr>
        <w:t> (2011) ‘Child Development 1: Inequality in early childhood: risk and protective factors for early child development’, </w:t>
      </w:r>
      <w:r w:rsidRPr="00AC1C29">
        <w:rPr>
          <w:rFonts w:ascii="Arial" w:hAnsi="Arial" w:cs="Arial"/>
          <w:i/>
          <w:iCs/>
          <w:shd w:val="clear" w:color="auto" w:fill="FFFFFF"/>
        </w:rPr>
        <w:t>The Lancet (British edition)</w:t>
      </w:r>
      <w:r w:rsidRPr="00AC1C29">
        <w:rPr>
          <w:rFonts w:ascii="Arial" w:hAnsi="Arial" w:cs="Arial"/>
          <w:shd w:val="clear" w:color="auto" w:fill="FFFFFF"/>
        </w:rPr>
        <w:t xml:space="preserve">, 378(9799), pp. 1325-. Available at: </w:t>
      </w:r>
      <w:hyperlink r:id="rId46" w:history="1">
        <w:r w:rsidRPr="00AC1C29">
          <w:rPr>
            <w:rFonts w:ascii="Arial" w:hAnsi="Arial" w:cs="Arial"/>
            <w:color w:val="467886" w:themeColor="hyperlink"/>
            <w:u w:val="single"/>
            <w:shd w:val="clear" w:color="auto" w:fill="FFFFFF"/>
          </w:rPr>
          <w:t>https://doi.org/10.1016/S0140-6736(11)60555-2</w:t>
        </w:r>
      </w:hyperlink>
      <w:r w:rsidRPr="00AC1C29">
        <w:rPr>
          <w:rFonts w:ascii="Arial" w:hAnsi="Arial" w:cs="Arial"/>
          <w:color w:val="3A3A3A"/>
          <w:shd w:val="clear" w:color="auto" w:fill="FFFFFF"/>
        </w:rPr>
        <w:t xml:space="preserve">. </w:t>
      </w:r>
      <w:bookmarkStart w:id="11" w:name="_Hlk187317691"/>
      <w:r w:rsidRPr="00AC1C29">
        <w:rPr>
          <w:rFonts w:ascii="Arial" w:hAnsi="Arial" w:cs="Arial"/>
          <w:shd w:val="clear" w:color="auto" w:fill="FFFFFF"/>
        </w:rPr>
        <w:t>(Accessed: 09 January 2025)</w:t>
      </w:r>
      <w:bookmarkEnd w:id="11"/>
    </w:p>
    <w:p w14:paraId="01300F63" w14:textId="6830905B" w:rsidR="00AC1C29" w:rsidRPr="00AC1C29" w:rsidRDefault="00AC1C29" w:rsidP="00AC1C29">
      <w:pPr>
        <w:spacing w:before="100" w:beforeAutospacing="1" w:after="100" w:afterAutospacing="1" w:line="240" w:lineRule="auto"/>
        <w:rPr>
          <w:rFonts w:ascii="Arial" w:eastAsia="Times New Roman" w:hAnsi="Arial" w:cs="Arial"/>
          <w:color w:val="FF0000"/>
          <w:kern w:val="0"/>
          <w:lang w:eastAsia="en-GB"/>
          <w14:ligatures w14:val="none"/>
        </w:rPr>
      </w:pPr>
      <w:r w:rsidRPr="00AC1C29">
        <w:rPr>
          <w:rFonts w:ascii="Arial" w:hAnsi="Arial" w:cs="Arial"/>
          <w:spacing w:val="-6"/>
        </w:rPr>
        <w:t xml:space="preserve">Welsh Government. (2015). </w:t>
      </w:r>
      <w:r w:rsidRPr="00AC1C29">
        <w:rPr>
          <w:rFonts w:ascii="Arial" w:hAnsi="Arial" w:cs="Arial"/>
          <w:i/>
          <w:iCs/>
          <w:spacing w:val="-6"/>
        </w:rPr>
        <w:t>The Well- Being of Future Generations (Wales) Act</w:t>
      </w:r>
      <w:r w:rsidR="00A44BA1">
        <w:rPr>
          <w:rFonts w:ascii="Arial" w:hAnsi="Arial" w:cs="Arial"/>
          <w:i/>
          <w:iCs/>
          <w:spacing w:val="-6"/>
        </w:rPr>
        <w:t>, anaw 2</w:t>
      </w:r>
      <w:r w:rsidR="00130217">
        <w:rPr>
          <w:rFonts w:ascii="Arial" w:hAnsi="Arial" w:cs="Arial"/>
          <w:i/>
          <w:iCs/>
          <w:spacing w:val="-6"/>
        </w:rPr>
        <w:t>.</w:t>
      </w:r>
      <w:r w:rsidRPr="00AC1C29">
        <w:rPr>
          <w:rFonts w:ascii="Arial" w:hAnsi="Arial" w:cs="Arial"/>
          <w:spacing w:val="-6"/>
        </w:rPr>
        <w:t xml:space="preserve"> Cardiff, Wales. Available at:</w:t>
      </w:r>
      <w:r w:rsidRPr="00AC1C29">
        <w:t xml:space="preserve"> </w:t>
      </w:r>
      <w:hyperlink r:id="rId47" w:history="1">
        <w:r w:rsidRPr="00AC1C29">
          <w:rPr>
            <w:rFonts w:ascii="Arial" w:hAnsi="Arial" w:cs="Arial"/>
            <w:color w:val="467886" w:themeColor="hyperlink"/>
            <w:spacing w:val="-6"/>
            <w:u w:val="single"/>
          </w:rPr>
          <w:t>https://www.futuregenerations.wales/about-us/future-generations-act/</w:t>
        </w:r>
      </w:hyperlink>
      <w:r w:rsidRPr="00AC1C29">
        <w:rPr>
          <w:rFonts w:ascii="Arial" w:hAnsi="Arial" w:cs="Arial"/>
          <w:spacing w:val="-6"/>
        </w:rPr>
        <w:t xml:space="preserve"> </w:t>
      </w:r>
      <w:r w:rsidRPr="00AC1C29">
        <w:rPr>
          <w:rFonts w:ascii="Arial" w:eastAsia="Times New Roman" w:hAnsi="Arial" w:cs="Arial"/>
          <w:kern w:val="0"/>
          <w:lang w:eastAsia="en-GB"/>
          <w14:ligatures w14:val="none"/>
        </w:rPr>
        <w:t>(Accessed 12 December 2024)</w:t>
      </w:r>
    </w:p>
    <w:p w14:paraId="2BCAEA9C" w14:textId="77777777" w:rsidR="00AC1C29" w:rsidRPr="00AC1C29" w:rsidRDefault="00AC1C29" w:rsidP="00AC1C29">
      <w:pPr>
        <w:spacing w:before="100" w:beforeAutospacing="1" w:after="100" w:afterAutospacing="1" w:line="240" w:lineRule="auto"/>
        <w:rPr>
          <w:rFonts w:ascii="Arial" w:eastAsia="Times New Roman" w:hAnsi="Arial" w:cs="Arial"/>
          <w:kern w:val="0"/>
          <w:lang w:eastAsia="en-GB"/>
          <w14:ligatures w14:val="none"/>
        </w:rPr>
      </w:pPr>
      <w:r w:rsidRPr="00AC1C29">
        <w:rPr>
          <w:rFonts w:ascii="Arial" w:eastAsia="Times New Roman" w:hAnsi="Arial" w:cs="Arial"/>
          <w:kern w:val="0"/>
          <w:lang w:eastAsia="en-GB"/>
          <w14:ligatures w14:val="none"/>
        </w:rPr>
        <w:t xml:space="preserve">Welsh Government. (2020) </w:t>
      </w:r>
      <w:r w:rsidRPr="00AC1C29">
        <w:rPr>
          <w:rFonts w:ascii="Arial" w:eastAsia="Times New Roman" w:hAnsi="Arial" w:cs="Arial"/>
          <w:i/>
          <w:iCs/>
          <w:kern w:val="0"/>
          <w:lang w:eastAsia="en-GB"/>
          <w14:ligatures w14:val="none"/>
        </w:rPr>
        <w:t>Curriculum for Wales, Health and Wellbeing.</w:t>
      </w:r>
      <w:r w:rsidRPr="00AC1C29">
        <w:rPr>
          <w:rFonts w:ascii="Arial" w:eastAsia="Times New Roman" w:hAnsi="Arial" w:cs="Arial"/>
          <w:kern w:val="0"/>
          <w:lang w:eastAsia="en-GB"/>
          <w14:ligatures w14:val="none"/>
        </w:rPr>
        <w:t xml:space="preserve"> Cardiff, Wales. Available at:</w:t>
      </w:r>
      <w:r w:rsidRPr="00AC1C29">
        <w:t xml:space="preserve"> </w:t>
      </w:r>
      <w:hyperlink r:id="rId48" w:history="1">
        <w:r w:rsidRPr="00AC1C29">
          <w:rPr>
            <w:rFonts w:ascii="Arial" w:eastAsia="Times New Roman" w:hAnsi="Arial" w:cs="Arial"/>
            <w:color w:val="467886" w:themeColor="hyperlink"/>
            <w:kern w:val="0"/>
            <w:u w:val="single"/>
            <w:lang w:eastAsia="en-GB"/>
            <w14:ligatures w14:val="none"/>
          </w:rPr>
          <w:t>https://hwb.gov.wales/curriculum-for-wales/health-and-well-being/</w:t>
        </w:r>
      </w:hyperlink>
      <w:r w:rsidRPr="00AC1C29">
        <w:rPr>
          <w:rFonts w:ascii="Arial" w:eastAsia="Times New Roman" w:hAnsi="Arial" w:cs="Arial"/>
          <w:color w:val="FF0000"/>
          <w:kern w:val="0"/>
          <w:lang w:eastAsia="en-GB"/>
          <w14:ligatures w14:val="none"/>
        </w:rPr>
        <w:t xml:space="preserve"> </w:t>
      </w:r>
      <w:r w:rsidRPr="00AC1C29">
        <w:rPr>
          <w:rFonts w:ascii="Arial" w:eastAsia="Times New Roman" w:hAnsi="Arial" w:cs="Arial"/>
          <w:kern w:val="0"/>
          <w:lang w:eastAsia="en-GB"/>
          <w14:ligatures w14:val="none"/>
        </w:rPr>
        <w:t>(Accessed 12 December 2024)</w:t>
      </w:r>
    </w:p>
    <w:p w14:paraId="22972B81" w14:textId="77777777" w:rsidR="00AC1C29" w:rsidRPr="00AC1C29" w:rsidRDefault="00AC1C29" w:rsidP="00AC1C29">
      <w:pPr>
        <w:shd w:val="clear" w:color="auto" w:fill="FFFFFF"/>
        <w:spacing w:after="0" w:line="240" w:lineRule="auto"/>
        <w:rPr>
          <w:rFonts w:ascii="Arial" w:eastAsia="Times New Roman" w:hAnsi="Arial" w:cs="Arial"/>
          <w:spacing w:val="-6"/>
          <w:kern w:val="0"/>
          <w:lang w:eastAsia="en-GB"/>
          <w14:ligatures w14:val="none"/>
        </w:rPr>
      </w:pPr>
      <w:r w:rsidRPr="00AC1C29">
        <w:rPr>
          <w:rFonts w:ascii="Arial" w:eastAsia="Times New Roman" w:hAnsi="Arial" w:cs="Arial"/>
          <w:spacing w:val="-6"/>
          <w:kern w:val="0"/>
          <w:lang w:eastAsia="en-GB"/>
          <w14:ligatures w14:val="none"/>
        </w:rPr>
        <w:t xml:space="preserve">Welsh Government. (2022). Play for Wales: </w:t>
      </w:r>
      <w:r w:rsidRPr="00AC1C29">
        <w:rPr>
          <w:rFonts w:ascii="Arial" w:eastAsia="Times New Roman" w:hAnsi="Arial" w:cs="Arial"/>
          <w:i/>
          <w:iCs/>
          <w:spacing w:val="-6"/>
          <w:kern w:val="0"/>
          <w:lang w:eastAsia="en-GB"/>
          <w14:ligatures w14:val="none"/>
        </w:rPr>
        <w:t>What Children Say about play in Wales</w:t>
      </w:r>
      <w:r w:rsidRPr="00AC1C29">
        <w:rPr>
          <w:rFonts w:ascii="Arial" w:eastAsia="Times New Roman" w:hAnsi="Arial" w:cs="Arial"/>
          <w:spacing w:val="-6"/>
          <w:kern w:val="0"/>
          <w:lang w:eastAsia="en-GB"/>
          <w14:ligatures w14:val="none"/>
        </w:rPr>
        <w:t xml:space="preserve"> Cardiff, Wales. Available at: </w:t>
      </w:r>
      <w:hyperlink r:id="rId49" w:history="1">
        <w:r w:rsidRPr="00AC1C29">
          <w:rPr>
            <w:rFonts w:ascii="Arial" w:eastAsia="Times New Roman" w:hAnsi="Arial" w:cs="Arial"/>
            <w:color w:val="467886" w:themeColor="hyperlink"/>
            <w:spacing w:val="-6"/>
            <w:kern w:val="0"/>
            <w:u w:val="single"/>
            <w:lang w:eastAsia="en-GB"/>
            <w14:ligatures w14:val="none"/>
          </w:rPr>
          <w:t>https://play.wales/wp-content/uploads/2023/09/What-children-say-about-play-in-Wales-2022.pdf</w:t>
        </w:r>
      </w:hyperlink>
      <w:r w:rsidRPr="00AC1C29">
        <w:rPr>
          <w:rFonts w:ascii="Arial" w:eastAsia="Times New Roman" w:hAnsi="Arial" w:cs="Arial"/>
          <w:spacing w:val="-6"/>
          <w:kern w:val="0"/>
          <w:lang w:eastAsia="en-GB"/>
          <w14:ligatures w14:val="none"/>
        </w:rPr>
        <w:t xml:space="preserve"> (</w:t>
      </w:r>
      <w:r w:rsidRPr="00AC1C29">
        <w:rPr>
          <w:rFonts w:ascii="Arial" w:eastAsia="Times New Roman" w:hAnsi="Arial" w:cs="Arial"/>
          <w:kern w:val="0"/>
          <w:lang w:eastAsia="en-GB"/>
          <w14:ligatures w14:val="none"/>
        </w:rPr>
        <w:t>Accessed 12 December 2024)</w:t>
      </w:r>
    </w:p>
    <w:p w14:paraId="1C6CC81F" w14:textId="77777777" w:rsidR="00AC1C29" w:rsidRPr="00AC1C29" w:rsidRDefault="00AC1C29" w:rsidP="00AC1C29">
      <w:pPr>
        <w:spacing w:before="100" w:beforeAutospacing="1" w:after="100" w:afterAutospacing="1" w:line="240" w:lineRule="auto"/>
        <w:rPr>
          <w:rFonts w:ascii="Arial" w:hAnsi="Arial" w:cs="Arial"/>
          <w:color w:val="3A3A3A"/>
          <w:shd w:val="clear" w:color="auto" w:fill="FFFFFF"/>
        </w:rPr>
      </w:pPr>
      <w:r w:rsidRPr="00AC1C29">
        <w:rPr>
          <w:rFonts w:ascii="Arial" w:hAnsi="Arial" w:cs="Arial"/>
          <w:shd w:val="clear" w:color="auto" w:fill="FFFFFF"/>
        </w:rPr>
        <w:t>Westphaln, K.K. </w:t>
      </w:r>
      <w:r w:rsidRPr="00AC1C29">
        <w:rPr>
          <w:rFonts w:ascii="Arial" w:hAnsi="Arial" w:cs="Arial"/>
          <w:i/>
          <w:iCs/>
          <w:shd w:val="clear" w:color="auto" w:fill="FFFFFF"/>
        </w:rPr>
        <w:t>et al.</w:t>
      </w:r>
      <w:r w:rsidRPr="00AC1C29">
        <w:rPr>
          <w:rFonts w:ascii="Arial" w:hAnsi="Arial" w:cs="Arial"/>
          <w:shd w:val="clear" w:color="auto" w:fill="FFFFFF"/>
        </w:rPr>
        <w:t> (2022) ‘Examining child flourishing, family resilience, and adversity in the 2016 National Survey of Children’s Health’, </w:t>
      </w:r>
      <w:r w:rsidRPr="00AC1C29">
        <w:rPr>
          <w:rFonts w:ascii="Arial" w:hAnsi="Arial" w:cs="Arial"/>
          <w:i/>
          <w:iCs/>
          <w:shd w:val="clear" w:color="auto" w:fill="FFFFFF"/>
        </w:rPr>
        <w:t>Journal of paediatric nursing</w:t>
      </w:r>
      <w:r w:rsidRPr="00AC1C29">
        <w:rPr>
          <w:rFonts w:ascii="Arial" w:hAnsi="Arial" w:cs="Arial"/>
          <w:shd w:val="clear" w:color="auto" w:fill="FFFFFF"/>
        </w:rPr>
        <w:t xml:space="preserve">, 66, pp. 57–63. Available at: </w:t>
      </w:r>
      <w:hyperlink r:id="rId50" w:history="1">
        <w:r w:rsidRPr="00AC1C29">
          <w:rPr>
            <w:rFonts w:ascii="Arial" w:hAnsi="Arial" w:cs="Arial"/>
            <w:color w:val="467886" w:themeColor="hyperlink"/>
            <w:u w:val="single"/>
            <w:shd w:val="clear" w:color="auto" w:fill="FFFFFF"/>
          </w:rPr>
          <w:t>https://doi.org/10.1016/j.pedn.2022.05.014</w:t>
        </w:r>
      </w:hyperlink>
      <w:r w:rsidRPr="00AC1C29">
        <w:rPr>
          <w:rFonts w:ascii="Arial" w:hAnsi="Arial" w:cs="Arial"/>
          <w:color w:val="3A3A3A"/>
          <w:shd w:val="clear" w:color="auto" w:fill="FFFFFF"/>
        </w:rPr>
        <w:t>. (</w:t>
      </w:r>
      <w:r w:rsidRPr="00AC1C29">
        <w:rPr>
          <w:rFonts w:ascii="Arial" w:hAnsi="Arial" w:cs="Arial"/>
          <w:shd w:val="clear" w:color="auto" w:fill="FFFFFF"/>
        </w:rPr>
        <w:t>Accessed: 09 January 2025)</w:t>
      </w:r>
    </w:p>
    <w:p w14:paraId="14461DB3" w14:textId="77777777" w:rsidR="00AC1C29" w:rsidRPr="00AC1C29" w:rsidRDefault="00AC1C29" w:rsidP="00AC1C29">
      <w:pPr>
        <w:spacing w:before="100" w:beforeAutospacing="1" w:after="100" w:afterAutospacing="1" w:line="240" w:lineRule="auto"/>
        <w:rPr>
          <w:rFonts w:ascii="Arial" w:eastAsia="Times New Roman" w:hAnsi="Arial" w:cs="Arial"/>
          <w:kern w:val="0"/>
          <w:lang w:eastAsia="en-GB"/>
          <w14:ligatures w14:val="none"/>
        </w:rPr>
      </w:pPr>
      <w:r w:rsidRPr="00AC1C29">
        <w:rPr>
          <w:rFonts w:ascii="Arial" w:eastAsia="Times New Roman" w:hAnsi="Arial" w:cs="Arial"/>
          <w:kern w:val="0"/>
          <w:lang w:eastAsia="en-GB"/>
          <w14:ligatures w14:val="none"/>
        </w:rPr>
        <w:t xml:space="preserve">Wilkinson, R.G. and Marmot, M., 2003. </w:t>
      </w:r>
      <w:r w:rsidRPr="00AC1C29">
        <w:rPr>
          <w:rFonts w:ascii="Arial" w:eastAsia="Times New Roman" w:hAnsi="Arial" w:cs="Arial"/>
          <w:i/>
          <w:iCs/>
          <w:kern w:val="0"/>
          <w:lang w:eastAsia="en-GB"/>
          <w14:ligatures w14:val="none"/>
        </w:rPr>
        <w:t>Social determinants of health: The solid facts</w:t>
      </w:r>
      <w:r w:rsidRPr="00AC1C29">
        <w:rPr>
          <w:rFonts w:ascii="Arial" w:eastAsia="Times New Roman" w:hAnsi="Arial" w:cs="Arial"/>
          <w:kern w:val="0"/>
          <w:lang w:eastAsia="en-GB"/>
          <w14:ligatures w14:val="none"/>
        </w:rPr>
        <w:t>. 2nd ed. Copenhagen: World Health Organization.</w:t>
      </w:r>
    </w:p>
    <w:p w14:paraId="60EE2259" w14:textId="77777777" w:rsidR="00AC1C29" w:rsidRPr="00AC1C29" w:rsidRDefault="00AC1C29" w:rsidP="00AC1C29">
      <w:pPr>
        <w:spacing w:before="100" w:beforeAutospacing="1" w:after="100" w:afterAutospacing="1" w:line="240" w:lineRule="auto"/>
        <w:rPr>
          <w:rFonts w:ascii="Arial" w:eastAsia="Times New Roman" w:hAnsi="Arial" w:cs="Arial"/>
          <w:kern w:val="0"/>
          <w:lang w:eastAsia="en-GB"/>
          <w14:ligatures w14:val="none"/>
        </w:rPr>
      </w:pPr>
      <w:r w:rsidRPr="00AC1C29">
        <w:rPr>
          <w:rFonts w:ascii="Arial" w:hAnsi="Arial" w:cs="Arial"/>
          <w:shd w:val="clear" w:color="auto" w:fill="FFFFFF"/>
        </w:rPr>
        <w:t>Wong, R.S. </w:t>
      </w:r>
      <w:r w:rsidRPr="00AC1C29">
        <w:rPr>
          <w:rFonts w:ascii="Arial" w:hAnsi="Arial" w:cs="Arial"/>
          <w:i/>
          <w:iCs/>
          <w:shd w:val="clear" w:color="auto" w:fill="FFFFFF"/>
        </w:rPr>
        <w:t>et al.</w:t>
      </w:r>
      <w:r w:rsidRPr="00AC1C29">
        <w:rPr>
          <w:rFonts w:ascii="Arial" w:hAnsi="Arial" w:cs="Arial"/>
          <w:shd w:val="clear" w:color="auto" w:fill="FFFFFF"/>
        </w:rPr>
        <w:t> (2022) ‘Early-life activities mediate the association between family socioeconomic status in early childhood and physical fitness in early adolescence’, </w:t>
      </w:r>
      <w:r w:rsidRPr="00AC1C29">
        <w:rPr>
          <w:rFonts w:ascii="Arial" w:hAnsi="Arial" w:cs="Arial"/>
          <w:i/>
          <w:iCs/>
          <w:shd w:val="clear" w:color="auto" w:fill="FFFFFF"/>
        </w:rPr>
        <w:t>Scientific reports</w:t>
      </w:r>
      <w:r w:rsidRPr="00AC1C29">
        <w:rPr>
          <w:rFonts w:ascii="Arial" w:hAnsi="Arial" w:cs="Arial"/>
          <w:shd w:val="clear" w:color="auto" w:fill="FFFFFF"/>
        </w:rPr>
        <w:t xml:space="preserve">, 12(1), pp. 81–81. Available at: </w:t>
      </w:r>
      <w:hyperlink r:id="rId51" w:history="1">
        <w:r w:rsidRPr="00AC1C29">
          <w:rPr>
            <w:rFonts w:ascii="Arial" w:hAnsi="Arial" w:cs="Arial"/>
            <w:color w:val="467886" w:themeColor="hyperlink"/>
            <w:u w:val="single"/>
            <w:shd w:val="clear" w:color="auto" w:fill="FFFFFF"/>
          </w:rPr>
          <w:t>https://doi.org/10.1038/s41598-021-03883-8</w:t>
        </w:r>
      </w:hyperlink>
      <w:r w:rsidRPr="00AC1C29">
        <w:rPr>
          <w:rFonts w:ascii="Arial" w:hAnsi="Arial" w:cs="Arial"/>
          <w:color w:val="3A3A3A"/>
          <w:shd w:val="clear" w:color="auto" w:fill="FFFFFF"/>
        </w:rPr>
        <w:t>. (</w:t>
      </w:r>
      <w:r w:rsidRPr="00AC1C29">
        <w:rPr>
          <w:rFonts w:ascii="Arial" w:hAnsi="Arial" w:cs="Arial"/>
          <w:shd w:val="clear" w:color="auto" w:fill="FFFFFF"/>
        </w:rPr>
        <w:t>Accessed: 09 January 2025)</w:t>
      </w:r>
    </w:p>
    <w:p w14:paraId="2AA88903" w14:textId="77777777" w:rsidR="00AC1C29" w:rsidRPr="00AC1C29" w:rsidRDefault="00AC1C29" w:rsidP="00AC1C29">
      <w:pPr>
        <w:spacing w:before="100" w:beforeAutospacing="1" w:after="100" w:afterAutospacing="1" w:line="240" w:lineRule="auto"/>
        <w:rPr>
          <w:rFonts w:ascii="Arial" w:eastAsia="Times New Roman" w:hAnsi="Arial" w:cs="Arial"/>
          <w:kern w:val="0"/>
          <w:lang w:eastAsia="en-GB"/>
          <w14:ligatures w14:val="none"/>
        </w:rPr>
      </w:pPr>
      <w:r w:rsidRPr="00AC1C29">
        <w:rPr>
          <w:rFonts w:ascii="Arial" w:hAnsi="Arial" w:cs="Arial"/>
          <w:shd w:val="clear" w:color="auto" w:fill="FFFFFF"/>
        </w:rPr>
        <w:t>Woolfenden, S. </w:t>
      </w:r>
      <w:r w:rsidRPr="00AC1C29">
        <w:rPr>
          <w:rFonts w:ascii="Arial" w:hAnsi="Arial" w:cs="Arial"/>
          <w:i/>
          <w:iCs/>
          <w:shd w:val="clear" w:color="auto" w:fill="FFFFFF"/>
        </w:rPr>
        <w:t>et al.</w:t>
      </w:r>
      <w:r w:rsidRPr="00AC1C29">
        <w:rPr>
          <w:rFonts w:ascii="Arial" w:hAnsi="Arial" w:cs="Arial"/>
          <w:shd w:val="clear" w:color="auto" w:fill="FFFFFF"/>
        </w:rPr>
        <w:t> (2013) ‘Inequity in child health: The importance of early childhood development’, </w:t>
      </w:r>
      <w:r w:rsidRPr="00AC1C29">
        <w:rPr>
          <w:rFonts w:ascii="Arial" w:hAnsi="Arial" w:cs="Arial"/>
          <w:i/>
          <w:iCs/>
          <w:shd w:val="clear" w:color="auto" w:fill="FFFFFF"/>
        </w:rPr>
        <w:t>Journal of paediatrics and child health</w:t>
      </w:r>
      <w:r w:rsidRPr="00AC1C29">
        <w:rPr>
          <w:rFonts w:ascii="Arial" w:hAnsi="Arial" w:cs="Arial"/>
          <w:shd w:val="clear" w:color="auto" w:fill="FFFFFF"/>
        </w:rPr>
        <w:t xml:space="preserve">, 49(9), pp. E365–E369. Available at: </w:t>
      </w:r>
      <w:hyperlink r:id="rId52" w:history="1">
        <w:r w:rsidRPr="00AC1C29">
          <w:rPr>
            <w:rFonts w:ascii="Arial" w:hAnsi="Arial" w:cs="Arial"/>
            <w:color w:val="467886" w:themeColor="hyperlink"/>
            <w:u w:val="single"/>
            <w:shd w:val="clear" w:color="auto" w:fill="FFFFFF"/>
          </w:rPr>
          <w:t>https://doi.org/10.1111/jpc.12171</w:t>
        </w:r>
      </w:hyperlink>
      <w:r w:rsidRPr="00AC1C29">
        <w:rPr>
          <w:rFonts w:ascii="Arial" w:hAnsi="Arial" w:cs="Arial"/>
          <w:color w:val="3A3A3A"/>
          <w:shd w:val="clear" w:color="auto" w:fill="FFFFFF"/>
        </w:rPr>
        <w:t xml:space="preserve">. </w:t>
      </w:r>
      <w:r w:rsidRPr="00AC1C29">
        <w:rPr>
          <w:rFonts w:ascii="Arial" w:hAnsi="Arial" w:cs="Arial"/>
          <w:shd w:val="clear" w:color="auto" w:fill="FFFFFF"/>
        </w:rPr>
        <w:t>(Accessed: 07 January 2025)</w:t>
      </w:r>
    </w:p>
    <w:p w14:paraId="1E9CFDA0" w14:textId="77777777" w:rsidR="00AC1C29" w:rsidRPr="00AC1C29" w:rsidRDefault="00AC1C29" w:rsidP="00AC1C29">
      <w:pPr>
        <w:shd w:val="clear" w:color="auto" w:fill="FFFFFF"/>
        <w:spacing w:after="0" w:line="240" w:lineRule="auto"/>
        <w:rPr>
          <w:rFonts w:ascii="Arial" w:hAnsi="Arial" w:cs="Arial"/>
        </w:rPr>
      </w:pPr>
      <w:r w:rsidRPr="00AC1C29">
        <w:rPr>
          <w:rFonts w:ascii="Arial" w:hAnsi="Arial" w:cs="Arial"/>
        </w:rPr>
        <w:t xml:space="preserve">World Health Organization (WHO).  (2023). </w:t>
      </w:r>
      <w:r w:rsidRPr="00AC1C29">
        <w:rPr>
          <w:rFonts w:ascii="Arial" w:hAnsi="Arial" w:cs="Arial"/>
          <w:i/>
          <w:iCs/>
        </w:rPr>
        <w:t>Achieving well-being: a global framework for integrating well-being into public health utilizing a health promotion approach</w:t>
      </w:r>
      <w:r w:rsidRPr="00AC1C29">
        <w:rPr>
          <w:rFonts w:ascii="Arial" w:hAnsi="Arial" w:cs="Arial"/>
        </w:rPr>
        <w:t xml:space="preserve">. Geneva: World Health Organization. Available at: </w:t>
      </w:r>
      <w:hyperlink r:id="rId53" w:history="1">
        <w:r w:rsidRPr="00AC1C29">
          <w:rPr>
            <w:rFonts w:ascii="Arial" w:hAnsi="Arial" w:cs="Arial"/>
            <w:color w:val="467886" w:themeColor="hyperlink"/>
            <w:u w:val="single"/>
          </w:rPr>
          <w:t>https://iris.who.int/bitstream/handle/10665/376200/9789240084858-eng.pdf?sequence=1</w:t>
        </w:r>
      </w:hyperlink>
      <w:r w:rsidRPr="00AC1C29">
        <w:rPr>
          <w:rFonts w:ascii="Arial" w:hAnsi="Arial" w:cs="Arial"/>
        </w:rPr>
        <w:t xml:space="preserve"> (Accessed: 12 December 2024)</w:t>
      </w:r>
    </w:p>
    <w:p w14:paraId="07BAAC2F" w14:textId="77777777" w:rsidR="00AC1C29" w:rsidRPr="00AC1C29" w:rsidRDefault="00AC1C29" w:rsidP="00AC1C29">
      <w:pPr>
        <w:shd w:val="clear" w:color="auto" w:fill="FFFFFF"/>
        <w:spacing w:after="0" w:line="240" w:lineRule="auto"/>
        <w:rPr>
          <w:rFonts w:ascii="Arial" w:hAnsi="Arial" w:cs="Arial"/>
        </w:rPr>
      </w:pPr>
    </w:p>
    <w:p w14:paraId="1F6C3E60" w14:textId="77777777" w:rsidR="00AC1C29" w:rsidRPr="00AC1C29" w:rsidRDefault="00AC1C29" w:rsidP="00AC1C29">
      <w:pPr>
        <w:shd w:val="clear" w:color="auto" w:fill="FFFFFF"/>
        <w:spacing w:after="0" w:line="240" w:lineRule="auto"/>
        <w:rPr>
          <w:rFonts w:ascii="Arial" w:hAnsi="Arial" w:cs="Arial"/>
        </w:rPr>
      </w:pPr>
      <w:r w:rsidRPr="00AC1C29">
        <w:rPr>
          <w:rFonts w:ascii="Arial" w:eastAsia="Times New Roman" w:hAnsi="Arial" w:cs="Arial"/>
          <w:spacing w:val="-6"/>
          <w:kern w:val="0"/>
          <w:lang w:eastAsia="en-GB"/>
          <w14:ligatures w14:val="none"/>
        </w:rPr>
        <w:t>World Health Organization (WHO). (2024). </w:t>
      </w:r>
      <w:r w:rsidRPr="00AC1C29">
        <w:rPr>
          <w:rFonts w:ascii="Arial" w:eastAsia="Times New Roman" w:hAnsi="Arial" w:cs="Arial"/>
          <w:i/>
          <w:iCs/>
          <w:spacing w:val="-6"/>
          <w:kern w:val="0"/>
          <w:lang w:eastAsia="en-GB"/>
          <w14:ligatures w14:val="none"/>
        </w:rPr>
        <w:t xml:space="preserve">Constitution of the World Health Organization. </w:t>
      </w:r>
      <w:r w:rsidRPr="00AC1C29">
        <w:rPr>
          <w:rFonts w:ascii="Arial" w:eastAsia="Times New Roman" w:hAnsi="Arial" w:cs="Arial"/>
          <w:spacing w:val="-6"/>
          <w:kern w:val="0"/>
          <w:lang w:eastAsia="en-GB"/>
          <w14:ligatures w14:val="none"/>
        </w:rPr>
        <w:t xml:space="preserve">Available at: </w:t>
      </w:r>
      <w:hyperlink r:id="rId54" w:history="1">
        <w:r w:rsidRPr="00AC1C29">
          <w:rPr>
            <w:rFonts w:ascii="Arial" w:hAnsi="Arial" w:cs="Arial"/>
            <w:color w:val="467886" w:themeColor="hyperlink"/>
            <w:u w:val="single"/>
          </w:rPr>
          <w:t>https://www.who.int/about/governance/constitution</w:t>
        </w:r>
      </w:hyperlink>
      <w:r w:rsidRPr="00AC1C29">
        <w:rPr>
          <w:rFonts w:ascii="Arial" w:hAnsi="Arial" w:cs="Arial"/>
          <w:color w:val="FF0000"/>
        </w:rPr>
        <w:t xml:space="preserve"> </w:t>
      </w:r>
      <w:r w:rsidRPr="00AC1C29">
        <w:rPr>
          <w:rFonts w:ascii="Arial" w:hAnsi="Arial" w:cs="Arial"/>
        </w:rPr>
        <w:t>(Accessed: 12 December 2024)</w:t>
      </w:r>
    </w:p>
    <w:p w14:paraId="67F1DB0D" w14:textId="77777777" w:rsidR="00E6100E" w:rsidRDefault="00E6100E" w:rsidP="00430D51">
      <w:pPr>
        <w:jc w:val="both"/>
        <w:rPr>
          <w:rFonts w:ascii="Arial" w:hAnsi="Arial" w:cs="Arial"/>
          <w:b/>
          <w:bCs/>
        </w:rPr>
      </w:pPr>
    </w:p>
    <w:p w14:paraId="6B88B552" w14:textId="77777777" w:rsidR="00E6100E" w:rsidRDefault="00E6100E" w:rsidP="00430D51">
      <w:pPr>
        <w:jc w:val="both"/>
        <w:rPr>
          <w:rFonts w:ascii="Arial" w:hAnsi="Arial" w:cs="Arial"/>
          <w:b/>
          <w:bCs/>
        </w:rPr>
      </w:pPr>
    </w:p>
    <w:p w14:paraId="19E1E15D" w14:textId="3DBDBF98" w:rsidR="00E6100E" w:rsidRDefault="00E6100E" w:rsidP="00430D51">
      <w:pPr>
        <w:jc w:val="both"/>
        <w:rPr>
          <w:rFonts w:ascii="Arial" w:hAnsi="Arial" w:cs="Arial"/>
          <w:color w:val="FF0000"/>
        </w:rPr>
      </w:pPr>
    </w:p>
    <w:p w14:paraId="7C6FA78C" w14:textId="77777777" w:rsidR="00600A40" w:rsidRDefault="00600A40" w:rsidP="00430D51">
      <w:pPr>
        <w:jc w:val="both"/>
        <w:rPr>
          <w:rFonts w:ascii="Arial" w:hAnsi="Arial" w:cs="Arial"/>
          <w:b/>
          <w:bCs/>
        </w:rPr>
      </w:pPr>
    </w:p>
    <w:p w14:paraId="5C69DC24" w14:textId="336C03E9" w:rsidR="00E6100E" w:rsidRDefault="008B46A0" w:rsidP="00430D51">
      <w:pPr>
        <w:jc w:val="both"/>
        <w:rPr>
          <w:rFonts w:ascii="Arial" w:hAnsi="Arial" w:cs="Arial"/>
          <w:b/>
          <w:bCs/>
        </w:rPr>
      </w:pPr>
      <w:r>
        <w:rPr>
          <w:noProof/>
        </w:rPr>
        <w:drawing>
          <wp:anchor distT="0" distB="0" distL="114300" distR="114300" simplePos="0" relativeHeight="251715584" behindDoc="0" locked="0" layoutInCell="1" allowOverlap="1" wp14:anchorId="770B6349" wp14:editId="52BFECE1">
            <wp:simplePos x="0" y="0"/>
            <wp:positionH relativeFrom="margin">
              <wp:posOffset>4597854</wp:posOffset>
            </wp:positionH>
            <wp:positionV relativeFrom="paragraph">
              <wp:posOffset>52202</wp:posOffset>
            </wp:positionV>
            <wp:extent cx="4398821" cy="2927396"/>
            <wp:effectExtent l="0" t="0" r="1905" b="6350"/>
            <wp:wrapNone/>
            <wp:docPr id="5" name="Picture 4" descr="Children practicing yo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Children practicing yoga."/>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4402192" cy="2929639"/>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23776" behindDoc="0" locked="0" layoutInCell="1" allowOverlap="1" wp14:anchorId="4EB9CC31" wp14:editId="72153BF3">
            <wp:simplePos x="0" y="0"/>
            <wp:positionH relativeFrom="margin">
              <wp:align>left</wp:align>
            </wp:positionH>
            <wp:positionV relativeFrom="paragraph">
              <wp:posOffset>77977</wp:posOffset>
            </wp:positionV>
            <wp:extent cx="4339509" cy="2887925"/>
            <wp:effectExtent l="0" t="0" r="4445" b="8255"/>
            <wp:wrapNone/>
            <wp:docPr id="7" name="Picture 6" descr="A front view little boy in white t-shirt sitting on the flower made stand on the yellow de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front view little boy in white t-shirt sitting on the flower made stand on the yellow desk"/>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4339509" cy="28879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11B24B6" w14:textId="3BE06450" w:rsidR="00E6100E" w:rsidRDefault="00E6100E" w:rsidP="00430D51">
      <w:pPr>
        <w:jc w:val="both"/>
        <w:rPr>
          <w:rFonts w:ascii="Arial" w:hAnsi="Arial" w:cs="Arial"/>
          <w:b/>
          <w:bCs/>
        </w:rPr>
      </w:pPr>
    </w:p>
    <w:p w14:paraId="702CCF79" w14:textId="706B0034" w:rsidR="009C49EB" w:rsidRDefault="009C49EB" w:rsidP="00430D51">
      <w:pPr>
        <w:jc w:val="both"/>
        <w:rPr>
          <w:rFonts w:ascii="Arial" w:hAnsi="Arial" w:cs="Arial"/>
          <w:b/>
          <w:bCs/>
        </w:rPr>
      </w:pPr>
    </w:p>
    <w:p w14:paraId="2A847945" w14:textId="5690B683" w:rsidR="009C49EB" w:rsidRDefault="009C49EB" w:rsidP="00430D51">
      <w:pPr>
        <w:jc w:val="both"/>
        <w:rPr>
          <w:rFonts w:ascii="Arial" w:hAnsi="Arial" w:cs="Arial"/>
          <w:b/>
          <w:bCs/>
        </w:rPr>
      </w:pPr>
    </w:p>
    <w:p w14:paraId="54E6F993" w14:textId="32C53E54" w:rsidR="009C49EB" w:rsidRDefault="009C49EB" w:rsidP="00430D51">
      <w:pPr>
        <w:jc w:val="both"/>
        <w:rPr>
          <w:rFonts w:ascii="Arial" w:hAnsi="Arial" w:cs="Arial"/>
          <w:b/>
          <w:bCs/>
        </w:rPr>
      </w:pPr>
    </w:p>
    <w:p w14:paraId="394BF43C" w14:textId="1937A169" w:rsidR="005D7EF2" w:rsidRDefault="005D7EF2" w:rsidP="00430D51">
      <w:pPr>
        <w:jc w:val="both"/>
        <w:rPr>
          <w:rFonts w:ascii="Arial" w:hAnsi="Arial" w:cs="Arial"/>
          <w:b/>
          <w:bCs/>
        </w:rPr>
      </w:pPr>
    </w:p>
    <w:p w14:paraId="4B96EFF5" w14:textId="4F4B1146" w:rsidR="005D7EF2" w:rsidRDefault="005D7EF2" w:rsidP="00430D51">
      <w:pPr>
        <w:jc w:val="both"/>
        <w:rPr>
          <w:rFonts w:ascii="Arial" w:hAnsi="Arial" w:cs="Arial"/>
          <w:b/>
          <w:bCs/>
        </w:rPr>
      </w:pPr>
    </w:p>
    <w:p w14:paraId="29ED0421" w14:textId="791FBF42" w:rsidR="00E6100E" w:rsidRDefault="00E6100E" w:rsidP="00430D51">
      <w:pPr>
        <w:jc w:val="both"/>
        <w:rPr>
          <w:rFonts w:ascii="Arial" w:hAnsi="Arial" w:cs="Arial"/>
          <w:b/>
          <w:bCs/>
        </w:rPr>
      </w:pPr>
    </w:p>
    <w:p w14:paraId="74914F20" w14:textId="0EC23A5A" w:rsidR="00E6100E" w:rsidRDefault="00E6100E" w:rsidP="00430D51">
      <w:pPr>
        <w:jc w:val="both"/>
        <w:rPr>
          <w:rFonts w:ascii="Arial" w:hAnsi="Arial" w:cs="Arial"/>
          <w:b/>
          <w:bCs/>
        </w:rPr>
      </w:pPr>
    </w:p>
    <w:p w14:paraId="50CF6814" w14:textId="591E7CAB" w:rsidR="00E6100E" w:rsidRDefault="00E6100E" w:rsidP="00430D51">
      <w:pPr>
        <w:jc w:val="both"/>
        <w:rPr>
          <w:rFonts w:ascii="Arial" w:hAnsi="Arial" w:cs="Arial"/>
          <w:b/>
          <w:bCs/>
        </w:rPr>
      </w:pPr>
    </w:p>
    <w:p w14:paraId="738147CC" w14:textId="01233878" w:rsidR="00E6100E" w:rsidRDefault="00E6100E" w:rsidP="00430D51">
      <w:pPr>
        <w:jc w:val="both"/>
        <w:rPr>
          <w:rFonts w:ascii="Arial" w:hAnsi="Arial" w:cs="Arial"/>
          <w:b/>
          <w:bCs/>
        </w:rPr>
      </w:pPr>
    </w:p>
    <w:p w14:paraId="0CD23465" w14:textId="0DE296C8" w:rsidR="00E6100E" w:rsidRDefault="008B46A0" w:rsidP="00430D51">
      <w:pPr>
        <w:jc w:val="both"/>
        <w:rPr>
          <w:rFonts w:ascii="Arial" w:hAnsi="Arial" w:cs="Arial"/>
          <w:b/>
          <w:bCs/>
        </w:rPr>
      </w:pPr>
      <w:r>
        <w:rPr>
          <w:rFonts w:ascii="Arial" w:hAnsi="Arial" w:cs="Arial"/>
          <w:b/>
          <w:bCs/>
          <w:noProof/>
        </w:rPr>
        <w:drawing>
          <wp:anchor distT="0" distB="0" distL="114300" distR="114300" simplePos="0" relativeHeight="251728896" behindDoc="1" locked="0" layoutInCell="1" allowOverlap="1" wp14:anchorId="41B25108" wp14:editId="3ECB0A5A">
            <wp:simplePos x="0" y="0"/>
            <wp:positionH relativeFrom="column">
              <wp:posOffset>2037838</wp:posOffset>
            </wp:positionH>
            <wp:positionV relativeFrom="paragraph">
              <wp:posOffset>240259</wp:posOffset>
            </wp:positionV>
            <wp:extent cx="4709449" cy="2839604"/>
            <wp:effectExtent l="0" t="0" r="0" b="0"/>
            <wp:wrapNone/>
            <wp:docPr id="277108004" name="Picture 11" descr="A child and child doing yog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108004" name="Picture 11" descr="A child and child doing yoga&#10;&#10;Description automatically generated"/>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709449" cy="2839604"/>
                    </a:xfrm>
                    <a:prstGeom prst="rect">
                      <a:avLst/>
                    </a:prstGeom>
                    <a:noFill/>
                  </pic:spPr>
                </pic:pic>
              </a:graphicData>
            </a:graphic>
            <wp14:sizeRelH relativeFrom="margin">
              <wp14:pctWidth>0</wp14:pctWidth>
            </wp14:sizeRelH>
            <wp14:sizeRelV relativeFrom="margin">
              <wp14:pctHeight>0</wp14:pctHeight>
            </wp14:sizeRelV>
          </wp:anchor>
        </w:drawing>
      </w:r>
    </w:p>
    <w:p w14:paraId="25FAD76C" w14:textId="77777777" w:rsidR="00E6100E" w:rsidRDefault="00E6100E" w:rsidP="00430D51">
      <w:pPr>
        <w:jc w:val="both"/>
        <w:rPr>
          <w:rFonts w:ascii="Arial" w:hAnsi="Arial" w:cs="Arial"/>
          <w:b/>
          <w:bCs/>
        </w:rPr>
      </w:pPr>
    </w:p>
    <w:p w14:paraId="2AE2B527" w14:textId="77777777" w:rsidR="00E6100E" w:rsidRDefault="00E6100E" w:rsidP="00430D51">
      <w:pPr>
        <w:jc w:val="both"/>
        <w:rPr>
          <w:rFonts w:ascii="Arial" w:hAnsi="Arial" w:cs="Arial"/>
          <w:b/>
          <w:bCs/>
        </w:rPr>
      </w:pPr>
    </w:p>
    <w:p w14:paraId="49FC9267" w14:textId="77777777" w:rsidR="00E6100E" w:rsidRDefault="00E6100E" w:rsidP="00430D51">
      <w:pPr>
        <w:jc w:val="both"/>
        <w:rPr>
          <w:rFonts w:ascii="Arial" w:hAnsi="Arial" w:cs="Arial"/>
          <w:b/>
          <w:bCs/>
        </w:rPr>
      </w:pPr>
    </w:p>
    <w:p w14:paraId="266E0414" w14:textId="77777777" w:rsidR="00E6100E" w:rsidRDefault="00E6100E" w:rsidP="00430D51">
      <w:pPr>
        <w:jc w:val="both"/>
        <w:rPr>
          <w:rFonts w:ascii="Arial" w:hAnsi="Arial" w:cs="Arial"/>
          <w:b/>
          <w:bCs/>
        </w:rPr>
      </w:pPr>
    </w:p>
    <w:p w14:paraId="28F0F26B" w14:textId="77777777" w:rsidR="00E6100E" w:rsidRDefault="00E6100E" w:rsidP="00430D51">
      <w:pPr>
        <w:jc w:val="both"/>
        <w:rPr>
          <w:rFonts w:ascii="Arial" w:hAnsi="Arial" w:cs="Arial"/>
          <w:b/>
          <w:bCs/>
        </w:rPr>
      </w:pPr>
    </w:p>
    <w:p w14:paraId="4F642954" w14:textId="77777777" w:rsidR="00E6100E" w:rsidRDefault="00E6100E" w:rsidP="00430D51">
      <w:pPr>
        <w:jc w:val="both"/>
        <w:rPr>
          <w:rFonts w:ascii="Arial" w:hAnsi="Arial" w:cs="Arial"/>
          <w:b/>
          <w:bCs/>
        </w:rPr>
      </w:pPr>
    </w:p>
    <w:p w14:paraId="1B87B736" w14:textId="77777777" w:rsidR="00E6100E" w:rsidRDefault="00E6100E" w:rsidP="00430D51">
      <w:pPr>
        <w:jc w:val="both"/>
        <w:rPr>
          <w:rFonts w:ascii="Arial" w:hAnsi="Arial" w:cs="Arial"/>
          <w:b/>
          <w:bCs/>
        </w:rPr>
      </w:pPr>
    </w:p>
    <w:p w14:paraId="4D0F811E" w14:textId="77777777" w:rsidR="00CF15B6" w:rsidRDefault="00CF15B6" w:rsidP="00430D51">
      <w:pPr>
        <w:jc w:val="both"/>
        <w:rPr>
          <w:rFonts w:ascii="Arial" w:hAnsi="Arial" w:cs="Arial"/>
          <w:b/>
          <w:bCs/>
        </w:rPr>
      </w:pPr>
    </w:p>
    <w:p w14:paraId="2899517A" w14:textId="77777777" w:rsidR="00AB57B5" w:rsidRDefault="00AB57B5" w:rsidP="00430D51">
      <w:pPr>
        <w:jc w:val="both"/>
        <w:rPr>
          <w:rFonts w:ascii="Arial" w:hAnsi="Arial" w:cs="Arial"/>
          <w:b/>
          <w:bCs/>
        </w:rPr>
      </w:pPr>
    </w:p>
    <w:p w14:paraId="7568C2F5" w14:textId="7EDABD33" w:rsidR="004B0ACB" w:rsidRDefault="001D20F7" w:rsidP="00430D51">
      <w:pPr>
        <w:jc w:val="both"/>
        <w:rPr>
          <w:rFonts w:ascii="Arial" w:hAnsi="Arial" w:cs="Arial"/>
          <w:b/>
          <w:bCs/>
        </w:rPr>
      </w:pPr>
      <w:r>
        <w:rPr>
          <w:rFonts w:ascii="Arial" w:hAnsi="Arial" w:cs="Arial"/>
          <w:b/>
          <w:bCs/>
        </w:rPr>
        <w:t>References For The Presentation</w:t>
      </w:r>
    </w:p>
    <w:p w14:paraId="0330FC33" w14:textId="77777777" w:rsidR="000A0A6A" w:rsidRDefault="000A0A6A" w:rsidP="00430D51">
      <w:pPr>
        <w:jc w:val="both"/>
        <w:rPr>
          <w:rFonts w:ascii="Arial" w:hAnsi="Arial" w:cs="Arial"/>
          <w:b/>
          <w:bCs/>
        </w:rPr>
      </w:pPr>
    </w:p>
    <w:p w14:paraId="637EB43E" w14:textId="77777777" w:rsidR="00F65CFD" w:rsidRPr="00F65CFD" w:rsidRDefault="00F65CFD" w:rsidP="00F65CFD">
      <w:pPr>
        <w:spacing w:after="0" w:line="240" w:lineRule="auto"/>
        <w:rPr>
          <w:rFonts w:ascii="Arial" w:eastAsia="Times New Roman" w:hAnsi="Arial" w:cs="Arial"/>
          <w:spacing w:val="-6"/>
          <w:kern w:val="0"/>
          <w:lang w:eastAsia="en-GB"/>
          <w14:ligatures w14:val="none"/>
        </w:rPr>
      </w:pPr>
      <w:r w:rsidRPr="00F65CFD">
        <w:rPr>
          <w:rFonts w:ascii="Arial" w:eastAsia="Times New Roman" w:hAnsi="Arial" w:cs="Arial"/>
          <w:spacing w:val="-6"/>
          <w:kern w:val="0"/>
          <w:lang w:eastAsia="en-GB"/>
          <w14:ligatures w14:val="none"/>
        </w:rPr>
        <w:t>Ainsworth, M. D. S., Blehar, M. C., Waters, E., &amp; Wall, S. (2015). </w:t>
      </w:r>
      <w:r w:rsidRPr="00F65CFD">
        <w:rPr>
          <w:rFonts w:ascii="Arial" w:eastAsia="Times New Roman" w:hAnsi="Arial" w:cs="Arial"/>
          <w:i/>
          <w:iCs/>
          <w:spacing w:val="-6"/>
          <w:kern w:val="0"/>
          <w:lang w:eastAsia="en-GB"/>
          <w14:ligatures w14:val="none"/>
        </w:rPr>
        <w:t>Patterns of attachment: A psychological study of the strange situation</w:t>
      </w:r>
      <w:r w:rsidRPr="00F65CFD">
        <w:rPr>
          <w:rFonts w:ascii="Arial" w:eastAsia="Times New Roman" w:hAnsi="Arial" w:cs="Arial"/>
          <w:spacing w:val="-6"/>
          <w:kern w:val="0"/>
          <w:lang w:eastAsia="en-GB"/>
          <w14:ligatures w14:val="none"/>
        </w:rPr>
        <w:t>. Hove, East Sussex: Psychology Press and Routledge Classic</w:t>
      </w:r>
    </w:p>
    <w:p w14:paraId="0ED5A19E" w14:textId="77777777" w:rsidR="00F65CFD" w:rsidRPr="00F65CFD" w:rsidRDefault="00F65CFD" w:rsidP="00F65CFD">
      <w:pPr>
        <w:spacing w:after="0" w:line="240" w:lineRule="auto"/>
        <w:rPr>
          <w:rFonts w:ascii="Arial" w:eastAsia="Times New Roman" w:hAnsi="Arial" w:cs="Arial"/>
          <w:spacing w:val="-6"/>
          <w:kern w:val="0"/>
          <w:lang w:eastAsia="en-GB"/>
          <w14:ligatures w14:val="none"/>
        </w:rPr>
      </w:pPr>
    </w:p>
    <w:p w14:paraId="34A5DDE0"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r w:rsidRPr="00F65CFD">
        <w:rPr>
          <w:rFonts w:ascii="Arial" w:eastAsia="Times New Roman" w:hAnsi="Arial" w:cs="Arial"/>
          <w:kern w:val="0"/>
          <w:shd w:val="clear" w:color="auto" w:fill="FFFFFF"/>
          <w:lang w:eastAsia="en-GB"/>
          <w14:ligatures w14:val="none"/>
        </w:rPr>
        <w:t>Anda, R.F. </w:t>
      </w:r>
      <w:r w:rsidRPr="00F65CFD">
        <w:rPr>
          <w:rFonts w:ascii="Arial" w:eastAsia="Times New Roman" w:hAnsi="Arial" w:cs="Arial"/>
          <w:i/>
          <w:iCs/>
          <w:kern w:val="0"/>
          <w:shd w:val="clear" w:color="auto" w:fill="FFFFFF"/>
          <w:lang w:eastAsia="en-GB"/>
          <w14:ligatures w14:val="none"/>
        </w:rPr>
        <w:t>et al.</w:t>
      </w:r>
      <w:r w:rsidRPr="00F65CFD">
        <w:rPr>
          <w:rFonts w:ascii="Arial" w:eastAsia="Times New Roman" w:hAnsi="Arial" w:cs="Arial"/>
          <w:kern w:val="0"/>
          <w:shd w:val="clear" w:color="auto" w:fill="FFFFFF"/>
          <w:lang w:eastAsia="en-GB"/>
          <w14:ligatures w14:val="none"/>
        </w:rPr>
        <w:t> (2006) ‘The enduring effects of abuse and related adverse experiences in childhood. A convergence of evidence from neurobiology and epidemiology’, </w:t>
      </w:r>
      <w:r w:rsidRPr="00F65CFD">
        <w:rPr>
          <w:rFonts w:ascii="Arial" w:eastAsia="Times New Roman" w:hAnsi="Arial" w:cs="Arial"/>
          <w:i/>
          <w:iCs/>
          <w:kern w:val="0"/>
          <w:shd w:val="clear" w:color="auto" w:fill="FFFFFF"/>
          <w:lang w:eastAsia="en-GB"/>
          <w14:ligatures w14:val="none"/>
        </w:rPr>
        <w:t>European archives of psychiatry and clinical neuroscience</w:t>
      </w:r>
      <w:r w:rsidRPr="00F65CFD">
        <w:rPr>
          <w:rFonts w:ascii="Arial" w:eastAsia="Times New Roman" w:hAnsi="Arial" w:cs="Arial"/>
          <w:kern w:val="0"/>
          <w:shd w:val="clear" w:color="auto" w:fill="FFFFFF"/>
          <w:lang w:eastAsia="en-GB"/>
          <w14:ligatures w14:val="none"/>
        </w:rPr>
        <w:t xml:space="preserve">, 256(3), pp. 174–186. Available at: </w:t>
      </w:r>
      <w:hyperlink r:id="rId58" w:history="1">
        <w:r w:rsidRPr="00F65CFD">
          <w:rPr>
            <w:rFonts w:ascii="Arial" w:eastAsia="Times New Roman" w:hAnsi="Arial" w:cs="Arial"/>
            <w:color w:val="467886" w:themeColor="hyperlink"/>
            <w:kern w:val="0"/>
            <w:u w:val="single"/>
            <w:shd w:val="clear" w:color="auto" w:fill="FFFFFF"/>
            <w:lang w:eastAsia="en-GB"/>
            <w14:ligatures w14:val="none"/>
          </w:rPr>
          <w:t>https://doi.org/10.1007/s00406-005-0624-4</w:t>
        </w:r>
      </w:hyperlink>
      <w:r w:rsidRPr="00F65CFD">
        <w:rPr>
          <w:rFonts w:ascii="Arial" w:eastAsia="Times New Roman" w:hAnsi="Arial" w:cs="Arial"/>
          <w:color w:val="3A3A3A"/>
          <w:kern w:val="0"/>
          <w:shd w:val="clear" w:color="auto" w:fill="FFFFFF"/>
          <w:lang w:eastAsia="en-GB"/>
          <w14:ligatures w14:val="none"/>
        </w:rPr>
        <w:t>.</w:t>
      </w:r>
      <w:r w:rsidRPr="00F65CFD">
        <w:rPr>
          <w:rFonts w:ascii="Source Sans Pro" w:eastAsia="Times New Roman" w:hAnsi="Source Sans Pro" w:cs="Times New Roman"/>
          <w:color w:val="3A3A3A"/>
          <w:kern w:val="0"/>
          <w:sz w:val="23"/>
          <w:szCs w:val="23"/>
          <w:shd w:val="clear" w:color="auto" w:fill="FFFFFF"/>
          <w:lang w:eastAsia="en-GB"/>
          <w14:ligatures w14:val="none"/>
        </w:rPr>
        <w:t xml:space="preserve"> </w:t>
      </w:r>
      <w:r w:rsidRPr="00F65CFD">
        <w:rPr>
          <w:rFonts w:ascii="Arial" w:eastAsia="Times New Roman" w:hAnsi="Arial" w:cs="Arial"/>
          <w:kern w:val="0"/>
          <w:shd w:val="clear" w:color="auto" w:fill="FFFFFF"/>
          <w:lang w:eastAsia="en-GB"/>
          <w14:ligatures w14:val="none"/>
        </w:rPr>
        <w:t>(Accessed 14 January 2025)</w:t>
      </w:r>
    </w:p>
    <w:p w14:paraId="5A3DAC0C"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p>
    <w:p w14:paraId="0AFE21C1"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r w:rsidRPr="00F65CFD">
        <w:rPr>
          <w:rFonts w:ascii="Arial" w:eastAsia="Times New Roman" w:hAnsi="Arial" w:cs="Arial"/>
          <w:kern w:val="0"/>
          <w:shd w:val="clear" w:color="auto" w:fill="FFFFFF"/>
          <w:lang w:eastAsia="en-GB"/>
          <w14:ligatures w14:val="none"/>
        </w:rPr>
        <w:t>Anda, R.F. </w:t>
      </w:r>
      <w:r w:rsidRPr="00F65CFD">
        <w:rPr>
          <w:rFonts w:ascii="Arial" w:eastAsia="Times New Roman" w:hAnsi="Arial" w:cs="Arial"/>
          <w:i/>
          <w:iCs/>
          <w:kern w:val="0"/>
          <w:shd w:val="clear" w:color="auto" w:fill="FFFFFF"/>
          <w:lang w:eastAsia="en-GB"/>
          <w14:ligatures w14:val="none"/>
        </w:rPr>
        <w:t>et al.</w:t>
      </w:r>
      <w:r w:rsidRPr="00F65CFD">
        <w:rPr>
          <w:rFonts w:ascii="Arial" w:eastAsia="Times New Roman" w:hAnsi="Arial" w:cs="Arial"/>
          <w:kern w:val="0"/>
          <w:shd w:val="clear" w:color="auto" w:fill="FFFFFF"/>
          <w:lang w:eastAsia="en-GB"/>
          <w14:ligatures w14:val="none"/>
        </w:rPr>
        <w:t> (2010) ‘Building a Framework for Global Surveillance of the Public Health Implications of Adverse Childhood Experiences’, </w:t>
      </w:r>
      <w:r w:rsidRPr="00F65CFD">
        <w:rPr>
          <w:rFonts w:ascii="Arial" w:eastAsia="Times New Roman" w:hAnsi="Arial" w:cs="Arial"/>
          <w:i/>
          <w:iCs/>
          <w:kern w:val="0"/>
          <w:shd w:val="clear" w:color="auto" w:fill="FFFFFF"/>
          <w:lang w:eastAsia="en-GB"/>
          <w14:ligatures w14:val="none"/>
        </w:rPr>
        <w:t>American journal of preventive medicine</w:t>
      </w:r>
      <w:r w:rsidRPr="00F65CFD">
        <w:rPr>
          <w:rFonts w:ascii="Arial" w:eastAsia="Times New Roman" w:hAnsi="Arial" w:cs="Arial"/>
          <w:kern w:val="0"/>
          <w:shd w:val="clear" w:color="auto" w:fill="FFFFFF"/>
          <w:lang w:eastAsia="en-GB"/>
          <w14:ligatures w14:val="none"/>
        </w:rPr>
        <w:t xml:space="preserve">, 39(1), pp. 93–98. Available at: </w:t>
      </w:r>
      <w:hyperlink r:id="rId59" w:history="1">
        <w:r w:rsidRPr="00F65CFD">
          <w:rPr>
            <w:rFonts w:ascii="Arial" w:eastAsia="Times New Roman" w:hAnsi="Arial" w:cs="Arial"/>
            <w:color w:val="467886" w:themeColor="hyperlink"/>
            <w:kern w:val="0"/>
            <w:u w:val="single"/>
            <w:shd w:val="clear" w:color="auto" w:fill="FFFFFF"/>
            <w:lang w:eastAsia="en-GB"/>
            <w14:ligatures w14:val="none"/>
          </w:rPr>
          <w:t>https://doi.org/10.1016/j.amepre.2010.03.015</w:t>
        </w:r>
      </w:hyperlink>
      <w:r w:rsidRPr="00F65CFD">
        <w:rPr>
          <w:rFonts w:ascii="Arial" w:eastAsia="Times New Roman" w:hAnsi="Arial" w:cs="Arial"/>
          <w:color w:val="3A3A3A"/>
          <w:kern w:val="0"/>
          <w:shd w:val="clear" w:color="auto" w:fill="FFFFFF"/>
          <w:lang w:eastAsia="en-GB"/>
          <w14:ligatures w14:val="none"/>
        </w:rPr>
        <w:t xml:space="preserve">. </w:t>
      </w:r>
      <w:r w:rsidRPr="00F65CFD">
        <w:rPr>
          <w:rFonts w:ascii="Arial" w:eastAsia="Times New Roman" w:hAnsi="Arial" w:cs="Arial"/>
          <w:kern w:val="0"/>
          <w:shd w:val="clear" w:color="auto" w:fill="FFFFFF"/>
          <w:lang w:eastAsia="en-GB"/>
          <w14:ligatures w14:val="none"/>
        </w:rPr>
        <w:t>(Accessed 14 January 2025)</w:t>
      </w:r>
    </w:p>
    <w:p w14:paraId="526190F9"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p>
    <w:p w14:paraId="04039294"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bookmarkStart w:id="12" w:name="_Hlk187751314"/>
      <w:r w:rsidRPr="00F65CFD">
        <w:rPr>
          <w:rFonts w:ascii="Arial" w:eastAsia="Times New Roman" w:hAnsi="Arial" w:cs="Arial"/>
          <w:kern w:val="0"/>
          <w:shd w:val="clear" w:color="auto" w:fill="FFFFFF"/>
          <w:lang w:eastAsia="en-GB"/>
          <w14:ligatures w14:val="none"/>
        </w:rPr>
        <w:t>Asmundson, G.J.G. and Afifi, T.O. (eds) (2020) </w:t>
      </w:r>
      <w:bookmarkEnd w:id="12"/>
      <w:r w:rsidRPr="00F65CFD">
        <w:rPr>
          <w:rFonts w:ascii="Arial" w:eastAsia="Times New Roman" w:hAnsi="Arial" w:cs="Arial"/>
          <w:i/>
          <w:iCs/>
          <w:kern w:val="0"/>
          <w:shd w:val="clear" w:color="auto" w:fill="FFFFFF"/>
          <w:lang w:eastAsia="en-GB"/>
          <w14:ligatures w14:val="none"/>
        </w:rPr>
        <w:t>Adverse childhood experiences: using evidence to advance research, practice, policy, and prevention</w:t>
      </w:r>
      <w:r w:rsidRPr="00F65CFD">
        <w:rPr>
          <w:rFonts w:ascii="Arial" w:eastAsia="Times New Roman" w:hAnsi="Arial" w:cs="Arial"/>
          <w:kern w:val="0"/>
          <w:shd w:val="clear" w:color="auto" w:fill="FFFFFF"/>
          <w:lang w:eastAsia="en-GB"/>
          <w14:ligatures w14:val="none"/>
        </w:rPr>
        <w:t xml:space="preserve">. London, England: Academic Press. </w:t>
      </w:r>
    </w:p>
    <w:p w14:paraId="181ADD62" w14:textId="77777777" w:rsidR="00F65CFD" w:rsidRPr="00F65CFD" w:rsidRDefault="00F65CFD" w:rsidP="00F65CFD">
      <w:pPr>
        <w:spacing w:after="0" w:line="240" w:lineRule="auto"/>
        <w:rPr>
          <w:rFonts w:ascii="Arial" w:eastAsia="Times New Roman" w:hAnsi="Arial" w:cs="Arial"/>
          <w:spacing w:val="-6"/>
          <w:kern w:val="0"/>
          <w:lang w:eastAsia="en-GB"/>
          <w14:ligatures w14:val="none"/>
        </w:rPr>
      </w:pPr>
    </w:p>
    <w:p w14:paraId="59ABB31F" w14:textId="77777777" w:rsidR="00F65CFD" w:rsidRPr="00F65CFD" w:rsidRDefault="00F65CFD" w:rsidP="00F65CFD">
      <w:pPr>
        <w:jc w:val="both"/>
        <w:rPr>
          <w:rFonts w:ascii="Arial" w:hAnsi="Arial" w:cs="Arial"/>
          <w:shd w:val="clear" w:color="auto" w:fill="FFFFFF"/>
        </w:rPr>
      </w:pPr>
      <w:r w:rsidRPr="00F65CFD">
        <w:rPr>
          <w:rFonts w:ascii="Arial" w:hAnsi="Arial" w:cs="Arial"/>
          <w:shd w:val="clear" w:color="auto" w:fill="FFFFFF"/>
        </w:rPr>
        <w:t>Asmundson, G.J.G. and Afifi, T.O. (eds) (2020) </w:t>
      </w:r>
      <w:r w:rsidRPr="00F65CFD">
        <w:rPr>
          <w:rFonts w:ascii="Arial" w:hAnsi="Arial" w:cs="Arial"/>
          <w:i/>
          <w:iCs/>
          <w:shd w:val="clear" w:color="auto" w:fill="FFFFFF"/>
        </w:rPr>
        <w:t>Adverse childhood experiences: using evidence to advance research, practice, policy, and prevention</w:t>
      </w:r>
      <w:r w:rsidRPr="00F65CFD">
        <w:rPr>
          <w:rFonts w:ascii="Arial" w:hAnsi="Arial" w:cs="Arial"/>
          <w:shd w:val="clear" w:color="auto" w:fill="FFFFFF"/>
        </w:rPr>
        <w:t>. London, England: Academic Press.</w:t>
      </w:r>
    </w:p>
    <w:p w14:paraId="2B0380C8" w14:textId="77777777" w:rsidR="00F65CFD" w:rsidRPr="00F65CFD" w:rsidRDefault="00F65CFD" w:rsidP="00F65CFD">
      <w:pPr>
        <w:spacing w:after="0" w:line="240" w:lineRule="auto"/>
        <w:rPr>
          <w:rFonts w:ascii="Arial" w:eastAsia="Times New Roman" w:hAnsi="Arial" w:cs="Arial"/>
          <w:kern w:val="0"/>
          <w:lang w:eastAsia="en-GB"/>
          <w14:ligatures w14:val="none"/>
        </w:rPr>
      </w:pPr>
      <w:r w:rsidRPr="00F65CFD">
        <w:rPr>
          <w:rFonts w:ascii="Arial" w:eastAsia="Times New Roman" w:hAnsi="Arial" w:cs="Arial"/>
          <w:kern w:val="0"/>
          <w:lang w:eastAsia="en-GB"/>
          <w14:ligatures w14:val="none"/>
        </w:rPr>
        <w:t xml:space="preserve">Bangor University, Public Health Wales NHS Trust. (2024) </w:t>
      </w:r>
      <w:r w:rsidRPr="00F65CFD">
        <w:rPr>
          <w:rFonts w:ascii="Arial" w:eastAsia="Times New Roman" w:hAnsi="Arial" w:cs="Arial"/>
          <w:i/>
          <w:iCs/>
          <w:kern w:val="0"/>
          <w:lang w:eastAsia="en-GB"/>
          <w14:ligatures w14:val="none"/>
        </w:rPr>
        <w:t>Adverse childhood experiences and engagement with healthcare services Findings from a survey of adults in Wales and England.</w:t>
      </w:r>
      <w:r w:rsidRPr="00F65CFD">
        <w:rPr>
          <w:rFonts w:ascii="Arial" w:eastAsia="Times New Roman" w:hAnsi="Arial" w:cs="Arial"/>
          <w:kern w:val="0"/>
          <w:lang w:eastAsia="en-GB"/>
          <w14:ligatures w14:val="none"/>
        </w:rPr>
        <w:t xml:space="preserve"> Available at:</w:t>
      </w:r>
      <w:r w:rsidRPr="00F65CFD">
        <w:rPr>
          <w:rFonts w:ascii="Times New Roman" w:eastAsia="Times New Roman" w:hAnsi="Times New Roman" w:cs="Times New Roman"/>
          <w:kern w:val="0"/>
          <w:lang w:eastAsia="en-GB"/>
          <w14:ligatures w14:val="none"/>
        </w:rPr>
        <w:t xml:space="preserve"> </w:t>
      </w:r>
      <w:hyperlink r:id="rId60" w:history="1">
        <w:r w:rsidRPr="00F65CFD">
          <w:rPr>
            <w:rFonts w:ascii="Arial" w:eastAsia="Times New Roman" w:hAnsi="Arial" w:cs="Arial"/>
            <w:color w:val="467886" w:themeColor="hyperlink"/>
            <w:kern w:val="0"/>
            <w:u w:val="single"/>
            <w:lang w:eastAsia="en-GB"/>
            <w14:ligatures w14:val="none"/>
          </w:rPr>
          <w:t>https://phw.nhs.wales/news/childhood-adversity-linked-to-how-we-engage-with-healthcare-services/adverse-childhood-experiences-and-engagement-with-healthcare-services/</w:t>
        </w:r>
      </w:hyperlink>
      <w:r w:rsidRPr="00F65CFD">
        <w:rPr>
          <w:rFonts w:ascii="Arial" w:eastAsia="Times New Roman" w:hAnsi="Arial" w:cs="Arial"/>
          <w:kern w:val="0"/>
          <w:lang w:eastAsia="en-GB"/>
          <w14:ligatures w14:val="none"/>
        </w:rPr>
        <w:t xml:space="preserve"> (Accessed 10 January 2025)</w:t>
      </w:r>
    </w:p>
    <w:p w14:paraId="40704E4D" w14:textId="77777777" w:rsidR="00F65CFD" w:rsidRPr="00F65CFD" w:rsidRDefault="00F65CFD" w:rsidP="00F65CFD">
      <w:pPr>
        <w:spacing w:after="0" w:line="240" w:lineRule="auto"/>
        <w:rPr>
          <w:rFonts w:ascii="Arial" w:eastAsia="Times New Roman" w:hAnsi="Arial" w:cs="Arial"/>
          <w:color w:val="FF0000"/>
          <w:spacing w:val="-6"/>
          <w:kern w:val="0"/>
          <w:lang w:eastAsia="en-GB"/>
          <w14:ligatures w14:val="none"/>
        </w:rPr>
      </w:pPr>
    </w:p>
    <w:p w14:paraId="2F78AB0D" w14:textId="77777777" w:rsidR="00F65CFD" w:rsidRPr="00F65CFD" w:rsidRDefault="00F65CFD" w:rsidP="00F65CFD">
      <w:pPr>
        <w:spacing w:after="0" w:line="240" w:lineRule="auto"/>
        <w:jc w:val="both"/>
        <w:rPr>
          <w:rFonts w:ascii="Arial" w:eastAsia="Times New Roman" w:hAnsi="Arial" w:cs="Arial"/>
          <w:spacing w:val="-6"/>
          <w:kern w:val="0"/>
          <w:lang w:eastAsia="en-GB"/>
          <w14:ligatures w14:val="none"/>
        </w:rPr>
      </w:pPr>
      <w:r w:rsidRPr="00F65CFD">
        <w:rPr>
          <w:rFonts w:ascii="Arial" w:eastAsia="Times New Roman" w:hAnsi="Arial" w:cs="Arial"/>
          <w:spacing w:val="-6"/>
          <w:kern w:val="0"/>
          <w:lang w:eastAsia="en-GB"/>
          <w14:ligatures w14:val="none"/>
        </w:rPr>
        <w:t>Bateson, G. (2000). </w:t>
      </w:r>
      <w:r w:rsidRPr="00F65CFD">
        <w:rPr>
          <w:rFonts w:ascii="Arial" w:eastAsia="Times New Roman" w:hAnsi="Arial" w:cs="Arial"/>
          <w:i/>
          <w:iCs/>
          <w:spacing w:val="-6"/>
          <w:kern w:val="0"/>
          <w:lang w:eastAsia="en-GB"/>
          <w14:ligatures w14:val="none"/>
        </w:rPr>
        <w:t>Steps to an ecology of mind: Collected essays in anthropology, psychiatry, evolution, and epistemology.</w:t>
      </w:r>
      <w:r w:rsidRPr="00F65CFD">
        <w:rPr>
          <w:rFonts w:ascii="Arial" w:eastAsia="Times New Roman" w:hAnsi="Arial" w:cs="Arial"/>
          <w:spacing w:val="-6"/>
          <w:kern w:val="0"/>
          <w:lang w:eastAsia="en-GB"/>
          <w14:ligatures w14:val="none"/>
        </w:rPr>
        <w:t> Chicago, IL: University of Chicago Press.</w:t>
      </w:r>
    </w:p>
    <w:p w14:paraId="4346EBB6" w14:textId="77777777" w:rsidR="00F65CFD" w:rsidRPr="00F65CFD" w:rsidRDefault="00F65CFD" w:rsidP="00F65CFD">
      <w:pPr>
        <w:spacing w:after="0" w:line="240" w:lineRule="auto"/>
        <w:jc w:val="both"/>
        <w:rPr>
          <w:rFonts w:ascii="Arial" w:hAnsi="Arial" w:cs="Arial"/>
        </w:rPr>
      </w:pPr>
      <w:bookmarkStart w:id="13" w:name="_Hlk187681055"/>
      <w:r w:rsidRPr="00F65CFD">
        <w:rPr>
          <w:rFonts w:ascii="Arial" w:hAnsi="Arial" w:cs="Arial"/>
          <w:shd w:val="clear" w:color="auto" w:fill="FFFFFF"/>
        </w:rPr>
        <w:t>Beresin, A. and Bishop, J. (2023) </w:t>
      </w:r>
      <w:bookmarkEnd w:id="13"/>
      <w:r w:rsidRPr="00F65CFD">
        <w:rPr>
          <w:rFonts w:ascii="Arial" w:hAnsi="Arial" w:cs="Arial"/>
          <w:i/>
          <w:iCs/>
          <w:shd w:val="clear" w:color="auto" w:fill="FFFFFF"/>
        </w:rPr>
        <w:t>Play in a Covid Frame: Everyday Pandemic Creativity in a Time of Isolation</w:t>
      </w:r>
      <w:r w:rsidRPr="00F65CFD">
        <w:rPr>
          <w:rFonts w:ascii="Arial" w:hAnsi="Arial" w:cs="Arial"/>
          <w:shd w:val="clear" w:color="auto" w:fill="FFFFFF"/>
        </w:rPr>
        <w:t xml:space="preserve">. Cambridge: Open Book Publishers. Available at: </w:t>
      </w:r>
      <w:hyperlink r:id="rId61" w:history="1">
        <w:r w:rsidRPr="00F65CFD">
          <w:rPr>
            <w:rFonts w:ascii="Arial" w:hAnsi="Arial" w:cs="Arial"/>
            <w:color w:val="467886" w:themeColor="hyperlink"/>
            <w:u w:val="single"/>
            <w:shd w:val="clear" w:color="auto" w:fill="FFFFFF"/>
          </w:rPr>
          <w:t>https://doi.org/10.11647/OBP.0326</w:t>
        </w:r>
      </w:hyperlink>
      <w:r w:rsidRPr="00F65CFD">
        <w:rPr>
          <w:rFonts w:ascii="Arial" w:hAnsi="Arial" w:cs="Arial"/>
          <w:color w:val="3A3A3A"/>
          <w:shd w:val="clear" w:color="auto" w:fill="FFFFFF"/>
        </w:rPr>
        <w:t xml:space="preserve">. </w:t>
      </w:r>
      <w:r w:rsidRPr="00F65CFD">
        <w:rPr>
          <w:rFonts w:ascii="Arial" w:hAnsi="Arial" w:cs="Arial"/>
        </w:rPr>
        <w:t>(Accessed: 19 December 2024)</w:t>
      </w:r>
    </w:p>
    <w:p w14:paraId="12CD84BB" w14:textId="77777777" w:rsidR="00F65CFD" w:rsidRDefault="00F65CFD" w:rsidP="00F65CFD">
      <w:pPr>
        <w:spacing w:after="0" w:line="240" w:lineRule="auto"/>
        <w:jc w:val="both"/>
        <w:rPr>
          <w:rFonts w:ascii="Arial" w:hAnsi="Arial" w:cs="Arial"/>
          <w:color w:val="3A3A3A"/>
          <w:shd w:val="clear" w:color="auto" w:fill="FFFFFF"/>
        </w:rPr>
      </w:pPr>
    </w:p>
    <w:p w14:paraId="55AF8803" w14:textId="77777777" w:rsidR="00B9679F" w:rsidRDefault="00B9679F" w:rsidP="00F65CFD">
      <w:pPr>
        <w:spacing w:after="0" w:line="240" w:lineRule="auto"/>
        <w:jc w:val="both"/>
        <w:rPr>
          <w:rFonts w:ascii="Arial" w:hAnsi="Arial" w:cs="Arial"/>
          <w:color w:val="3A3A3A"/>
          <w:shd w:val="clear" w:color="auto" w:fill="FFFFFF"/>
        </w:rPr>
      </w:pPr>
    </w:p>
    <w:p w14:paraId="357553BE" w14:textId="77777777" w:rsidR="00691EB2" w:rsidRDefault="00691EB2" w:rsidP="00F65CFD">
      <w:pPr>
        <w:spacing w:after="0" w:line="240" w:lineRule="auto"/>
        <w:jc w:val="both"/>
        <w:rPr>
          <w:rFonts w:ascii="Arial" w:hAnsi="Arial" w:cs="Arial"/>
          <w:color w:val="3A3A3A"/>
          <w:shd w:val="clear" w:color="auto" w:fill="FFFFFF"/>
        </w:rPr>
      </w:pPr>
    </w:p>
    <w:p w14:paraId="2103D67A" w14:textId="77777777" w:rsidR="00691EB2" w:rsidRDefault="00691EB2" w:rsidP="00F65CFD">
      <w:pPr>
        <w:spacing w:after="0" w:line="240" w:lineRule="auto"/>
        <w:jc w:val="both"/>
        <w:rPr>
          <w:rFonts w:ascii="Arial" w:hAnsi="Arial" w:cs="Arial"/>
          <w:color w:val="3A3A3A"/>
          <w:shd w:val="clear" w:color="auto" w:fill="FFFFFF"/>
        </w:rPr>
      </w:pPr>
    </w:p>
    <w:p w14:paraId="3EF41B38" w14:textId="77777777" w:rsidR="00B9679F" w:rsidRPr="00F65CFD" w:rsidRDefault="00B9679F" w:rsidP="00F65CFD">
      <w:pPr>
        <w:spacing w:after="0" w:line="240" w:lineRule="auto"/>
        <w:jc w:val="both"/>
        <w:rPr>
          <w:rFonts w:ascii="Arial" w:hAnsi="Arial" w:cs="Arial"/>
          <w:color w:val="3A3A3A"/>
          <w:shd w:val="clear" w:color="auto" w:fill="FFFFFF"/>
        </w:rPr>
      </w:pPr>
    </w:p>
    <w:p w14:paraId="7169A4B7" w14:textId="77777777" w:rsidR="00F65CFD" w:rsidRPr="00F65CFD" w:rsidRDefault="00F65CFD" w:rsidP="00F65CFD">
      <w:pPr>
        <w:spacing w:after="0" w:line="240" w:lineRule="auto"/>
        <w:jc w:val="both"/>
        <w:rPr>
          <w:rFonts w:ascii="Arial" w:hAnsi="Arial" w:cs="Arial"/>
        </w:rPr>
      </w:pPr>
      <w:bookmarkStart w:id="14" w:name="_Hlk187692489"/>
      <w:r w:rsidRPr="00F65CFD">
        <w:rPr>
          <w:rFonts w:ascii="Arial" w:hAnsi="Arial" w:cs="Arial"/>
          <w:shd w:val="clear" w:color="auto" w:fill="FFFFFF"/>
        </w:rPr>
        <w:t>Blewitt, C. </w:t>
      </w:r>
      <w:r w:rsidRPr="00F65CFD">
        <w:rPr>
          <w:rFonts w:ascii="Arial" w:hAnsi="Arial" w:cs="Arial"/>
          <w:i/>
          <w:iCs/>
          <w:shd w:val="clear" w:color="auto" w:fill="FFFFFF"/>
        </w:rPr>
        <w:t>et al.</w:t>
      </w:r>
      <w:r w:rsidRPr="00F65CFD">
        <w:rPr>
          <w:rFonts w:ascii="Arial" w:hAnsi="Arial" w:cs="Arial"/>
          <w:shd w:val="clear" w:color="auto" w:fill="FFFFFF"/>
        </w:rPr>
        <w:t xml:space="preserve"> (2021) </w:t>
      </w:r>
      <w:bookmarkEnd w:id="14"/>
      <w:r w:rsidRPr="00F65CFD">
        <w:rPr>
          <w:rFonts w:ascii="Arial" w:hAnsi="Arial" w:cs="Arial"/>
          <w:shd w:val="clear" w:color="auto" w:fill="FFFFFF"/>
        </w:rPr>
        <w:t>‘Strengthening the social and emotional skills of pre-schoolers with mental health and developmental challenges in inclusive early childhood education and care settings: a narrative review of educator-led interventions’, </w:t>
      </w:r>
      <w:r w:rsidRPr="00F65CFD">
        <w:rPr>
          <w:rFonts w:ascii="Arial" w:hAnsi="Arial" w:cs="Arial"/>
          <w:i/>
          <w:iCs/>
          <w:shd w:val="clear" w:color="auto" w:fill="FFFFFF"/>
        </w:rPr>
        <w:t>Early child development and care</w:t>
      </w:r>
      <w:r w:rsidRPr="00F65CFD">
        <w:rPr>
          <w:rFonts w:ascii="Arial" w:hAnsi="Arial" w:cs="Arial"/>
          <w:shd w:val="clear" w:color="auto" w:fill="FFFFFF"/>
        </w:rPr>
        <w:t xml:space="preserve">, 191(15), pp. 2311–2332. Available at: </w:t>
      </w:r>
      <w:hyperlink r:id="rId62" w:history="1">
        <w:r w:rsidRPr="00F65CFD">
          <w:rPr>
            <w:rFonts w:ascii="Arial" w:hAnsi="Arial" w:cs="Arial"/>
            <w:color w:val="467886" w:themeColor="hyperlink"/>
            <w:u w:val="single"/>
            <w:shd w:val="clear" w:color="auto" w:fill="FFFFFF"/>
          </w:rPr>
          <w:t>https://doi.org/10.1080/03004430.2019.1704283</w:t>
        </w:r>
      </w:hyperlink>
      <w:r w:rsidRPr="00F65CFD">
        <w:rPr>
          <w:rFonts w:ascii="Arial" w:hAnsi="Arial" w:cs="Arial"/>
          <w:color w:val="3A3A3A"/>
          <w:shd w:val="clear" w:color="auto" w:fill="FFFFFF"/>
        </w:rPr>
        <w:t xml:space="preserve">. </w:t>
      </w:r>
      <w:r w:rsidRPr="00F65CFD">
        <w:rPr>
          <w:rFonts w:ascii="Arial" w:hAnsi="Arial" w:cs="Arial"/>
        </w:rPr>
        <w:t>(Accessed: 12 January 2025)</w:t>
      </w:r>
    </w:p>
    <w:p w14:paraId="7CE0F5D1" w14:textId="77777777" w:rsidR="00F65CFD" w:rsidRPr="00F65CFD" w:rsidRDefault="00F65CFD" w:rsidP="00F65CFD">
      <w:pPr>
        <w:spacing w:after="0" w:line="240" w:lineRule="auto"/>
        <w:jc w:val="both"/>
        <w:rPr>
          <w:rFonts w:ascii="Arial" w:hAnsi="Arial" w:cs="Arial"/>
          <w:color w:val="3A3A3A"/>
          <w:shd w:val="clear" w:color="auto" w:fill="FFFFFF"/>
        </w:rPr>
      </w:pPr>
    </w:p>
    <w:p w14:paraId="5D433E26" w14:textId="77777777" w:rsidR="00F65CFD" w:rsidRPr="00F65CFD" w:rsidRDefault="00F65CFD" w:rsidP="00F65CFD">
      <w:pPr>
        <w:spacing w:after="0" w:line="240" w:lineRule="auto"/>
        <w:rPr>
          <w:rFonts w:ascii="Arial" w:eastAsia="Times New Roman" w:hAnsi="Arial" w:cs="Arial"/>
          <w:spacing w:val="-6"/>
          <w:kern w:val="0"/>
          <w:lang w:eastAsia="en-GB"/>
          <w14:ligatures w14:val="none"/>
        </w:rPr>
      </w:pPr>
      <w:r w:rsidRPr="00F65CFD">
        <w:rPr>
          <w:rFonts w:ascii="Arial" w:eastAsia="Times New Roman" w:hAnsi="Arial" w:cs="Arial"/>
          <w:spacing w:val="-6"/>
          <w:kern w:val="0"/>
          <w:lang w:eastAsia="en-GB"/>
          <w14:ligatures w14:val="none"/>
        </w:rPr>
        <w:t>Bowlby, J. (2005). </w:t>
      </w:r>
      <w:r w:rsidRPr="00F65CFD">
        <w:rPr>
          <w:rFonts w:ascii="Arial" w:eastAsia="Times New Roman" w:hAnsi="Arial" w:cs="Arial"/>
          <w:i/>
          <w:iCs/>
          <w:spacing w:val="-6"/>
          <w:kern w:val="0"/>
          <w:lang w:eastAsia="en-GB"/>
          <w14:ligatures w14:val="none"/>
        </w:rPr>
        <w:t>A secure base: Clinical applications of attachment theory</w:t>
      </w:r>
      <w:r w:rsidRPr="00F65CFD">
        <w:rPr>
          <w:rFonts w:ascii="Arial" w:eastAsia="Times New Roman" w:hAnsi="Arial" w:cs="Arial"/>
          <w:spacing w:val="-6"/>
          <w:kern w:val="0"/>
          <w:lang w:eastAsia="en-GB"/>
          <w14:ligatures w14:val="none"/>
        </w:rPr>
        <w:t>. Abingdon, Oxon: Routledge.</w:t>
      </w:r>
    </w:p>
    <w:p w14:paraId="77B40EF1" w14:textId="77777777" w:rsidR="00F65CFD" w:rsidRPr="00F65CFD" w:rsidRDefault="00F65CFD" w:rsidP="00F65CFD">
      <w:pPr>
        <w:spacing w:after="0" w:line="240" w:lineRule="auto"/>
        <w:rPr>
          <w:rFonts w:ascii="Arial" w:eastAsia="Times New Roman" w:hAnsi="Arial" w:cs="Arial"/>
          <w:spacing w:val="-6"/>
          <w:kern w:val="0"/>
          <w:lang w:eastAsia="en-GB"/>
          <w14:ligatures w14:val="none"/>
        </w:rPr>
      </w:pPr>
    </w:p>
    <w:p w14:paraId="51AE3D45" w14:textId="77777777" w:rsidR="00F65CFD" w:rsidRPr="00F65CFD" w:rsidRDefault="00F65CFD" w:rsidP="00F65CFD">
      <w:pPr>
        <w:jc w:val="both"/>
        <w:rPr>
          <w:rFonts w:ascii="Arial" w:hAnsi="Arial" w:cs="Arial"/>
          <w:color w:val="00B0F0"/>
        </w:rPr>
      </w:pPr>
      <w:bookmarkStart w:id="15" w:name="_Hlk187695878"/>
      <w:r w:rsidRPr="00F65CFD">
        <w:rPr>
          <w:rFonts w:ascii="Arial" w:hAnsi="Arial" w:cs="Arial"/>
          <w:shd w:val="clear" w:color="auto" w:fill="FFFFFF"/>
        </w:rPr>
        <w:t>Britto, P.R. </w:t>
      </w:r>
      <w:r w:rsidRPr="00F65CFD">
        <w:rPr>
          <w:rFonts w:ascii="Arial" w:hAnsi="Arial" w:cs="Arial"/>
          <w:i/>
          <w:iCs/>
          <w:shd w:val="clear" w:color="auto" w:fill="FFFFFF"/>
        </w:rPr>
        <w:t>et al.</w:t>
      </w:r>
      <w:r w:rsidRPr="00F65CFD">
        <w:rPr>
          <w:rFonts w:ascii="Arial" w:hAnsi="Arial" w:cs="Arial"/>
          <w:shd w:val="clear" w:color="auto" w:fill="FFFFFF"/>
        </w:rPr>
        <w:t xml:space="preserve"> (2017) </w:t>
      </w:r>
      <w:bookmarkEnd w:id="15"/>
      <w:r w:rsidRPr="00F65CFD">
        <w:rPr>
          <w:rFonts w:ascii="Arial" w:hAnsi="Arial" w:cs="Arial"/>
          <w:shd w:val="clear" w:color="auto" w:fill="FFFFFF"/>
        </w:rPr>
        <w:t>‘Nurturing care: promoting early childhood development’, </w:t>
      </w:r>
      <w:r w:rsidRPr="00F65CFD">
        <w:rPr>
          <w:rFonts w:ascii="Arial" w:hAnsi="Arial" w:cs="Arial"/>
          <w:i/>
          <w:iCs/>
          <w:shd w:val="clear" w:color="auto" w:fill="FFFFFF"/>
        </w:rPr>
        <w:t>The Lancet (British edition)</w:t>
      </w:r>
      <w:r w:rsidRPr="00F65CFD">
        <w:rPr>
          <w:rFonts w:ascii="Arial" w:hAnsi="Arial" w:cs="Arial"/>
          <w:shd w:val="clear" w:color="auto" w:fill="FFFFFF"/>
        </w:rPr>
        <w:t xml:space="preserve">, 389(10064), pp. 91–102. Available at: </w:t>
      </w:r>
      <w:hyperlink r:id="rId63" w:history="1">
        <w:r w:rsidRPr="00F65CFD">
          <w:rPr>
            <w:rFonts w:ascii="Arial" w:hAnsi="Arial" w:cs="Arial"/>
            <w:color w:val="467886" w:themeColor="hyperlink"/>
            <w:u w:val="single"/>
            <w:shd w:val="clear" w:color="auto" w:fill="FFFFFF"/>
          </w:rPr>
          <w:t>https://doi.org/10.1016/S0140-6736(16)31390-3</w:t>
        </w:r>
      </w:hyperlink>
      <w:r w:rsidRPr="00F65CFD">
        <w:rPr>
          <w:rFonts w:ascii="Arial" w:hAnsi="Arial" w:cs="Arial"/>
          <w:color w:val="3A3A3A"/>
          <w:shd w:val="clear" w:color="auto" w:fill="FFFFFF"/>
        </w:rPr>
        <w:t>.</w:t>
      </w:r>
      <w:r w:rsidRPr="00F65CFD">
        <w:rPr>
          <w:rFonts w:ascii="Arial" w:hAnsi="Arial" w:cs="Arial"/>
          <w:shd w:val="clear" w:color="auto" w:fill="FFFFFF"/>
        </w:rPr>
        <w:t xml:space="preserve"> (Accessed 13 January 2025)</w:t>
      </w:r>
    </w:p>
    <w:p w14:paraId="24715483" w14:textId="77777777" w:rsidR="00F65CFD" w:rsidRPr="00F65CFD" w:rsidRDefault="00F65CFD" w:rsidP="00F65CFD">
      <w:pPr>
        <w:spacing w:after="0" w:line="240" w:lineRule="auto"/>
        <w:rPr>
          <w:rFonts w:ascii="Arial" w:eastAsia="Times New Roman" w:hAnsi="Arial" w:cs="Arial"/>
          <w:spacing w:val="-6"/>
          <w:kern w:val="0"/>
          <w:lang w:eastAsia="en-GB"/>
          <w14:ligatures w14:val="none"/>
        </w:rPr>
      </w:pPr>
      <w:r w:rsidRPr="00F65CFD">
        <w:rPr>
          <w:rFonts w:ascii="Arial" w:eastAsia="Times New Roman" w:hAnsi="Arial" w:cs="Arial"/>
          <w:spacing w:val="-6"/>
          <w:kern w:val="0"/>
          <w:lang w:eastAsia="en-GB"/>
          <w14:ligatures w14:val="none"/>
        </w:rPr>
        <w:t>Bronfenbrenner, U. (1979). </w:t>
      </w:r>
      <w:r w:rsidRPr="00F65CFD">
        <w:rPr>
          <w:rFonts w:ascii="Arial" w:eastAsia="Times New Roman" w:hAnsi="Arial" w:cs="Arial"/>
          <w:i/>
          <w:iCs/>
          <w:spacing w:val="-6"/>
          <w:kern w:val="0"/>
          <w:lang w:eastAsia="en-GB"/>
          <w14:ligatures w14:val="none"/>
        </w:rPr>
        <w:t>The ecology of human development: Experiments by nature and design</w:t>
      </w:r>
      <w:r w:rsidRPr="00F65CFD">
        <w:rPr>
          <w:rFonts w:ascii="Arial" w:eastAsia="Times New Roman" w:hAnsi="Arial" w:cs="Arial"/>
          <w:spacing w:val="-6"/>
          <w:kern w:val="0"/>
          <w:lang w:eastAsia="en-GB"/>
          <w14:ligatures w14:val="none"/>
        </w:rPr>
        <w:t>. Cambridge, Massachusetts: Harvard University Press.</w:t>
      </w:r>
    </w:p>
    <w:p w14:paraId="2AC3F444"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r w:rsidRPr="00F65CFD">
        <w:rPr>
          <w:rFonts w:ascii="Arial" w:eastAsia="Times New Roman" w:hAnsi="Arial" w:cs="Arial"/>
          <w:spacing w:val="-6"/>
          <w:kern w:val="0"/>
          <w:lang w:eastAsia="en-GB"/>
          <w14:ligatures w14:val="none"/>
        </w:rPr>
        <w:t xml:space="preserve">Brummer, J., Thorsborne, M. (2024) </w:t>
      </w:r>
      <w:r w:rsidRPr="00F65CFD">
        <w:rPr>
          <w:rFonts w:ascii="Arial" w:eastAsia="Times New Roman" w:hAnsi="Arial" w:cs="Arial"/>
          <w:i/>
          <w:iCs/>
          <w:kern w:val="36"/>
          <w:lang w:eastAsia="en-GB"/>
          <w14:ligatures w14:val="none"/>
        </w:rPr>
        <w:t>Becoming a Trauma-informed Restorative Educator: Practical Skills to Change Culture and Behaviour.</w:t>
      </w:r>
      <w:r w:rsidRPr="00F65CFD">
        <w:rPr>
          <w:rFonts w:ascii="Arial" w:eastAsia="Times New Roman" w:hAnsi="Arial" w:cs="Arial"/>
          <w:kern w:val="36"/>
          <w:lang w:eastAsia="en-GB"/>
          <w14:ligatures w14:val="none"/>
        </w:rPr>
        <w:t xml:space="preserve"> London:</w:t>
      </w:r>
      <w:r w:rsidRPr="00F65CFD">
        <w:rPr>
          <w:rFonts w:ascii="Arial" w:eastAsia="Times New Roman" w:hAnsi="Arial" w:cs="Arial"/>
          <w:i/>
          <w:iCs/>
          <w:kern w:val="36"/>
          <w:lang w:eastAsia="en-GB"/>
          <w14:ligatures w14:val="none"/>
        </w:rPr>
        <w:t> </w:t>
      </w:r>
      <w:r w:rsidRPr="00F65CFD">
        <w:rPr>
          <w:rFonts w:ascii="Arial" w:eastAsia="Times New Roman" w:hAnsi="Arial" w:cs="Arial"/>
          <w:kern w:val="0"/>
          <w:shd w:val="clear" w:color="auto" w:fill="FFFFFF"/>
          <w:lang w:eastAsia="en-GB"/>
          <w14:ligatures w14:val="none"/>
        </w:rPr>
        <w:t>Jessica Kingsley Publishers</w:t>
      </w:r>
    </w:p>
    <w:p w14:paraId="3A7EA3E7" w14:textId="77777777" w:rsidR="00F65CFD" w:rsidRPr="00F65CFD" w:rsidRDefault="00F65CFD" w:rsidP="00F65CFD">
      <w:pPr>
        <w:spacing w:after="0" w:line="240" w:lineRule="auto"/>
        <w:rPr>
          <w:rFonts w:ascii="Arial" w:eastAsia="Times New Roman" w:hAnsi="Arial" w:cs="Arial"/>
          <w:spacing w:val="-6"/>
          <w:kern w:val="0"/>
          <w:lang w:eastAsia="en-GB"/>
          <w14:ligatures w14:val="none"/>
        </w:rPr>
      </w:pPr>
    </w:p>
    <w:p w14:paraId="2762AE89" w14:textId="77777777" w:rsidR="00F65CFD" w:rsidRPr="00F65CFD" w:rsidRDefault="00F65CFD" w:rsidP="00F65CFD">
      <w:pPr>
        <w:spacing w:after="0" w:line="240" w:lineRule="auto"/>
        <w:jc w:val="both"/>
        <w:rPr>
          <w:rFonts w:ascii="Arial" w:hAnsi="Arial" w:cs="Arial"/>
          <w:shd w:val="clear" w:color="auto" w:fill="FFFFFF"/>
        </w:rPr>
      </w:pPr>
      <w:r w:rsidRPr="00F65CFD">
        <w:rPr>
          <w:rFonts w:ascii="Arial" w:hAnsi="Arial" w:cs="Arial"/>
          <w:shd w:val="clear" w:color="auto" w:fill="FFFFFF"/>
        </w:rPr>
        <w:t>Burghardt, G.M. (2006) </w:t>
      </w:r>
      <w:r w:rsidRPr="00F65CFD">
        <w:rPr>
          <w:rFonts w:ascii="Arial" w:hAnsi="Arial" w:cs="Arial"/>
          <w:i/>
          <w:iCs/>
          <w:shd w:val="clear" w:color="auto" w:fill="FFFFFF"/>
        </w:rPr>
        <w:t>The Genesis of Animal Play: Testing the Limits</w:t>
      </w:r>
      <w:r w:rsidRPr="00F65CFD">
        <w:rPr>
          <w:rFonts w:ascii="Arial" w:hAnsi="Arial" w:cs="Arial"/>
          <w:shd w:val="clear" w:color="auto" w:fill="FFFFFF"/>
        </w:rPr>
        <w:t xml:space="preserve">. Cambridge: The MIT Press. Available at: </w:t>
      </w:r>
      <w:hyperlink r:id="rId64" w:history="1">
        <w:r w:rsidRPr="00F65CFD">
          <w:rPr>
            <w:rFonts w:ascii="Arial" w:hAnsi="Arial" w:cs="Arial"/>
            <w:color w:val="467886" w:themeColor="hyperlink"/>
            <w:u w:val="single"/>
            <w:shd w:val="clear" w:color="auto" w:fill="FFFFFF"/>
          </w:rPr>
          <w:t>https://doi.org/10.7551/mitpress/3229.001.0001</w:t>
        </w:r>
      </w:hyperlink>
      <w:r w:rsidRPr="00F65CFD">
        <w:rPr>
          <w:rFonts w:ascii="Arial" w:hAnsi="Arial" w:cs="Arial"/>
          <w:color w:val="3A3A3A"/>
          <w:shd w:val="clear" w:color="auto" w:fill="FFFFFF"/>
        </w:rPr>
        <w:t xml:space="preserve">. </w:t>
      </w:r>
      <w:r w:rsidRPr="00F65CFD">
        <w:rPr>
          <w:rFonts w:ascii="Arial" w:hAnsi="Arial" w:cs="Arial"/>
          <w:shd w:val="clear" w:color="auto" w:fill="FFFFFF"/>
        </w:rPr>
        <w:t>(Accessed 13 January 2025)</w:t>
      </w:r>
    </w:p>
    <w:p w14:paraId="0FCE7A8A" w14:textId="77777777" w:rsidR="00F65CFD" w:rsidRPr="00F65CFD" w:rsidRDefault="00F65CFD" w:rsidP="00F65CFD">
      <w:pPr>
        <w:spacing w:after="0" w:line="240" w:lineRule="auto"/>
        <w:jc w:val="both"/>
        <w:rPr>
          <w:rFonts w:ascii="Arial" w:eastAsia="Times New Roman" w:hAnsi="Arial" w:cs="Arial"/>
          <w:color w:val="111111"/>
          <w:spacing w:val="-6"/>
          <w:kern w:val="0"/>
          <w:lang w:eastAsia="en-GB"/>
          <w14:ligatures w14:val="none"/>
        </w:rPr>
      </w:pPr>
    </w:p>
    <w:p w14:paraId="7F3FBF85"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r w:rsidRPr="00F65CFD">
        <w:rPr>
          <w:rFonts w:ascii="Arial" w:eastAsia="Times New Roman" w:hAnsi="Arial" w:cs="Arial"/>
          <w:spacing w:val="-6"/>
          <w:kern w:val="0"/>
          <w:lang w:eastAsia="en-GB"/>
          <w14:ligatures w14:val="none"/>
        </w:rPr>
        <w:t xml:space="preserve">Care Inspectorate Wales, (2024) </w:t>
      </w:r>
      <w:r w:rsidRPr="00F65CFD">
        <w:rPr>
          <w:rFonts w:ascii="Arial" w:eastAsia="Times New Roman" w:hAnsi="Arial" w:cs="Arial"/>
          <w:i/>
          <w:iCs/>
          <w:color w:val="111111"/>
          <w:kern w:val="36"/>
          <w:lang w:eastAsia="en-GB"/>
          <w14:ligatures w14:val="none"/>
        </w:rPr>
        <w:t>Action Needed to Improve Mental Health Support for Children and Young People</w:t>
      </w:r>
      <w:r w:rsidRPr="00F65CFD">
        <w:rPr>
          <w:rFonts w:ascii="Arial" w:eastAsia="Times New Roman" w:hAnsi="Arial" w:cs="Arial"/>
          <w:color w:val="111111"/>
          <w:kern w:val="36"/>
          <w:lang w:eastAsia="en-GB"/>
          <w14:ligatures w14:val="none"/>
        </w:rPr>
        <w:t xml:space="preserve">, Available at: </w:t>
      </w:r>
      <w:hyperlink r:id="rId65" w:history="1">
        <w:r w:rsidRPr="00F65CFD">
          <w:rPr>
            <w:rFonts w:ascii="Arial" w:eastAsia="Times New Roman" w:hAnsi="Arial" w:cs="Arial"/>
            <w:color w:val="467886" w:themeColor="hyperlink"/>
            <w:kern w:val="36"/>
            <w:u w:val="single"/>
            <w:lang w:eastAsia="en-GB"/>
            <w14:ligatures w14:val="none"/>
          </w:rPr>
          <w:t>https://www.careinspectorate.wales/241121-urgent-action-needed-improve-young-peoples-mental-health-support-wales</w:t>
        </w:r>
      </w:hyperlink>
      <w:r w:rsidRPr="00F65CFD">
        <w:rPr>
          <w:rFonts w:ascii="Arial" w:eastAsia="Times New Roman" w:hAnsi="Arial" w:cs="Arial"/>
          <w:color w:val="111111"/>
          <w:kern w:val="36"/>
          <w:lang w:eastAsia="en-GB"/>
          <w14:ligatures w14:val="none"/>
        </w:rPr>
        <w:t xml:space="preserve"> </w:t>
      </w:r>
      <w:r w:rsidRPr="00F65CFD">
        <w:rPr>
          <w:rFonts w:ascii="Arial" w:eastAsia="Times New Roman" w:hAnsi="Arial" w:cs="Arial"/>
          <w:color w:val="3A3A3A"/>
          <w:kern w:val="0"/>
          <w:shd w:val="clear" w:color="auto" w:fill="FFFFFF"/>
          <w:lang w:eastAsia="en-GB"/>
          <w14:ligatures w14:val="none"/>
        </w:rPr>
        <w:t xml:space="preserve"> </w:t>
      </w:r>
      <w:bookmarkStart w:id="16" w:name="_Hlk187682359"/>
      <w:r w:rsidRPr="00F65CFD">
        <w:rPr>
          <w:rFonts w:ascii="Arial" w:eastAsia="Times New Roman" w:hAnsi="Arial" w:cs="Arial"/>
          <w:kern w:val="0"/>
          <w:shd w:val="clear" w:color="auto" w:fill="FFFFFF"/>
          <w:lang w:eastAsia="en-GB"/>
          <w14:ligatures w14:val="none"/>
        </w:rPr>
        <w:t>(Accessed 14 January 2025)</w:t>
      </w:r>
    </w:p>
    <w:p w14:paraId="4BA344C8" w14:textId="77777777" w:rsidR="00F65CFD" w:rsidRPr="00F65CFD" w:rsidRDefault="00F65CFD" w:rsidP="00F65CFD">
      <w:pPr>
        <w:spacing w:after="0" w:line="240" w:lineRule="auto"/>
        <w:rPr>
          <w:rFonts w:ascii="Arial" w:eastAsia="Times New Roman" w:hAnsi="Arial" w:cs="Arial"/>
          <w:color w:val="111111"/>
          <w:spacing w:val="-6"/>
          <w:kern w:val="0"/>
          <w:lang w:eastAsia="en-GB"/>
          <w14:ligatures w14:val="none"/>
        </w:rPr>
      </w:pPr>
    </w:p>
    <w:bookmarkEnd w:id="16"/>
    <w:p w14:paraId="5192830C" w14:textId="77777777" w:rsidR="00F65CFD" w:rsidRPr="00F65CFD" w:rsidRDefault="00F65CFD" w:rsidP="00F65CFD">
      <w:pPr>
        <w:spacing w:after="0" w:line="240" w:lineRule="auto"/>
        <w:rPr>
          <w:rFonts w:ascii="Arial" w:hAnsi="Arial" w:cs="Arial"/>
        </w:rPr>
      </w:pPr>
      <w:r w:rsidRPr="00F65CFD">
        <w:rPr>
          <w:rFonts w:ascii="Arial" w:eastAsia="Times New Roman" w:hAnsi="Arial" w:cs="Arial"/>
          <w:spacing w:val="-6"/>
          <w:kern w:val="0"/>
          <w:lang w:eastAsia="en-GB"/>
          <w14:ligatures w14:val="none"/>
        </w:rPr>
        <w:t>Care Inspectorate Wales. (2021-22). </w:t>
      </w:r>
      <w:r w:rsidRPr="00F65CFD">
        <w:rPr>
          <w:rFonts w:ascii="Arial" w:eastAsia="Times New Roman" w:hAnsi="Arial" w:cs="Arial"/>
          <w:i/>
          <w:iCs/>
          <w:spacing w:val="-6"/>
          <w:kern w:val="0"/>
          <w:lang w:eastAsia="en-GB"/>
          <w14:ligatures w14:val="none"/>
        </w:rPr>
        <w:t xml:space="preserve"> </w:t>
      </w:r>
      <w:r w:rsidRPr="00F65CFD">
        <w:rPr>
          <w:rFonts w:ascii="Arial" w:hAnsi="Arial" w:cs="Arial"/>
          <w:i/>
          <w:iCs/>
        </w:rPr>
        <w:t xml:space="preserve">Improving social care and childcare in Wales, Chief Inspector’s Annual Report. </w:t>
      </w:r>
      <w:r w:rsidRPr="00F65CFD">
        <w:rPr>
          <w:rFonts w:ascii="Arial" w:hAnsi="Arial" w:cs="Arial"/>
        </w:rPr>
        <w:t xml:space="preserve">Available at: </w:t>
      </w:r>
      <w:hyperlink r:id="rId66" w:history="1">
        <w:r w:rsidRPr="00F65CFD">
          <w:rPr>
            <w:rFonts w:ascii="Arial" w:hAnsi="Arial" w:cs="Arial"/>
            <w:color w:val="467886" w:themeColor="hyperlink"/>
            <w:u w:val="single"/>
          </w:rPr>
          <w:t>https://www.careinspectorate.wales/sites/default/files/2022-10/221020-annual-Report-2021-22-EN.pdf</w:t>
        </w:r>
      </w:hyperlink>
      <w:r w:rsidRPr="00F65CFD">
        <w:rPr>
          <w:rFonts w:ascii="Arial" w:hAnsi="Arial" w:cs="Arial"/>
        </w:rPr>
        <w:t xml:space="preserve"> (Accessed: 19 December 2024)</w:t>
      </w:r>
    </w:p>
    <w:p w14:paraId="7CBA4DC1" w14:textId="77777777" w:rsidR="00F65CFD" w:rsidRPr="00F65CFD" w:rsidRDefault="00F65CFD" w:rsidP="00F65CFD">
      <w:pPr>
        <w:spacing w:after="0" w:line="240" w:lineRule="auto"/>
        <w:rPr>
          <w:rFonts w:ascii="Arial" w:eastAsia="Times New Roman" w:hAnsi="Arial" w:cs="Arial"/>
          <w:color w:val="00B0F0"/>
          <w:spacing w:val="-6"/>
          <w:kern w:val="0"/>
          <w:lang w:eastAsia="en-GB"/>
          <w14:ligatures w14:val="none"/>
        </w:rPr>
      </w:pPr>
    </w:p>
    <w:p w14:paraId="1245E29F" w14:textId="77777777" w:rsidR="00F65CFD" w:rsidRPr="00F65CFD" w:rsidRDefault="00F65CFD" w:rsidP="00F65CFD">
      <w:pPr>
        <w:jc w:val="both"/>
        <w:rPr>
          <w:rFonts w:ascii="Arial" w:hAnsi="Arial" w:cs="Arial"/>
          <w:color w:val="3A3A3A"/>
          <w:shd w:val="clear" w:color="auto" w:fill="FFFFFF"/>
        </w:rPr>
      </w:pPr>
      <w:r w:rsidRPr="00F65CFD">
        <w:rPr>
          <w:rFonts w:ascii="Arial" w:hAnsi="Arial" w:cs="Arial"/>
          <w:shd w:val="clear" w:color="auto" w:fill="FFFFFF"/>
        </w:rPr>
        <w:t>Cassidy, J. </w:t>
      </w:r>
      <w:r w:rsidRPr="00F65CFD">
        <w:rPr>
          <w:rFonts w:ascii="Arial" w:hAnsi="Arial" w:cs="Arial"/>
          <w:i/>
          <w:iCs/>
          <w:shd w:val="clear" w:color="auto" w:fill="FFFFFF"/>
        </w:rPr>
        <w:t>et al.</w:t>
      </w:r>
      <w:r w:rsidRPr="00F65CFD">
        <w:rPr>
          <w:rFonts w:ascii="Arial" w:hAnsi="Arial" w:cs="Arial"/>
          <w:shd w:val="clear" w:color="auto" w:fill="FFFFFF"/>
        </w:rPr>
        <w:t> (2017) ‘Circle of Security–Parenting: A randomized controlled trial in Head Start’, </w:t>
      </w:r>
      <w:r w:rsidRPr="00F65CFD">
        <w:rPr>
          <w:rFonts w:ascii="Arial" w:hAnsi="Arial" w:cs="Arial"/>
          <w:i/>
          <w:iCs/>
          <w:shd w:val="clear" w:color="auto" w:fill="FFFFFF"/>
        </w:rPr>
        <w:t>Development and psychopathology</w:t>
      </w:r>
      <w:r w:rsidRPr="00F65CFD">
        <w:rPr>
          <w:rFonts w:ascii="Arial" w:hAnsi="Arial" w:cs="Arial"/>
          <w:shd w:val="clear" w:color="auto" w:fill="FFFFFF"/>
        </w:rPr>
        <w:t xml:space="preserve">, 29(2), pp. 651–673. Available at: </w:t>
      </w:r>
      <w:hyperlink r:id="rId67" w:history="1">
        <w:r w:rsidRPr="00F65CFD">
          <w:rPr>
            <w:rFonts w:ascii="Arial" w:hAnsi="Arial" w:cs="Arial"/>
            <w:color w:val="467886" w:themeColor="hyperlink"/>
            <w:u w:val="single"/>
            <w:shd w:val="clear" w:color="auto" w:fill="FFFFFF"/>
          </w:rPr>
          <w:t>https://doi.org/10.1017/S0954579417000244</w:t>
        </w:r>
      </w:hyperlink>
      <w:r w:rsidRPr="00F65CFD">
        <w:rPr>
          <w:rFonts w:ascii="Arial" w:hAnsi="Arial" w:cs="Arial"/>
          <w:color w:val="3A3A3A"/>
          <w:shd w:val="clear" w:color="auto" w:fill="FFFFFF"/>
        </w:rPr>
        <w:t xml:space="preserve">. </w:t>
      </w:r>
      <w:r w:rsidRPr="00F65CFD">
        <w:rPr>
          <w:rFonts w:ascii="Arial" w:hAnsi="Arial" w:cs="Arial"/>
          <w:shd w:val="clear" w:color="auto" w:fill="FFFFFF"/>
        </w:rPr>
        <w:t>(Accessed 12 January 2025)</w:t>
      </w:r>
    </w:p>
    <w:p w14:paraId="1E13AAD5" w14:textId="77777777" w:rsidR="00F65CFD" w:rsidRPr="00F65CFD" w:rsidRDefault="00F65CFD" w:rsidP="00F65CFD">
      <w:pPr>
        <w:spacing w:after="0" w:line="240" w:lineRule="auto"/>
        <w:rPr>
          <w:rFonts w:ascii="Arial" w:hAnsi="Arial" w:cs="Arial"/>
        </w:rPr>
      </w:pPr>
      <w:r w:rsidRPr="00F65CFD">
        <w:rPr>
          <w:rFonts w:ascii="Arial" w:eastAsia="Times New Roman" w:hAnsi="Arial" w:cs="Arial"/>
          <w:spacing w:val="-6"/>
          <w:kern w:val="0"/>
          <w:lang w:eastAsia="en-GB"/>
          <w14:ligatures w14:val="none"/>
        </w:rPr>
        <w:t>Children and Families (Wales) Measure. (2010).</w:t>
      </w:r>
      <w:r w:rsidRPr="00F65CFD">
        <w:rPr>
          <w:rFonts w:ascii="Arial" w:hAnsi="Arial" w:cs="Arial"/>
        </w:rPr>
        <w:t xml:space="preserve"> </w:t>
      </w:r>
      <w:r w:rsidRPr="00F65CFD">
        <w:rPr>
          <w:rFonts w:ascii="Arial" w:hAnsi="Arial" w:cs="Arial"/>
          <w:i/>
          <w:iCs/>
        </w:rPr>
        <w:t>Local authority duties in respect of play opportunities for children</w:t>
      </w:r>
      <w:r w:rsidRPr="00F65CFD">
        <w:rPr>
          <w:rFonts w:ascii="Arial" w:eastAsia="Times New Roman" w:hAnsi="Arial" w:cs="Arial"/>
          <w:i/>
          <w:iCs/>
          <w:spacing w:val="-6"/>
          <w:kern w:val="0"/>
          <w:lang w:eastAsia="en-GB"/>
          <w14:ligatures w14:val="none"/>
        </w:rPr>
        <w:t xml:space="preserve">. </w:t>
      </w:r>
      <w:r w:rsidRPr="00F65CFD">
        <w:rPr>
          <w:rFonts w:ascii="Arial" w:eastAsia="Times New Roman" w:hAnsi="Arial" w:cs="Arial"/>
          <w:spacing w:val="-6"/>
          <w:kern w:val="0"/>
          <w:lang w:eastAsia="en-GB"/>
          <w14:ligatures w14:val="none"/>
        </w:rPr>
        <w:t xml:space="preserve">Available at:  </w:t>
      </w:r>
      <w:hyperlink r:id="rId68" w:history="1">
        <w:r w:rsidRPr="00F65CFD">
          <w:rPr>
            <w:rFonts w:ascii="Arial" w:eastAsia="Times New Roman" w:hAnsi="Arial" w:cs="Arial"/>
            <w:color w:val="467886" w:themeColor="hyperlink"/>
            <w:spacing w:val="-6"/>
            <w:kern w:val="0"/>
            <w:u w:val="single"/>
            <w:lang w:eastAsia="en-GB"/>
            <w14:ligatures w14:val="none"/>
          </w:rPr>
          <w:t>https://www.legislation.gov.uk/mwa/2010/1/pdfs/mwaen_20100001_en.pdf</w:t>
        </w:r>
      </w:hyperlink>
      <w:r w:rsidRPr="00F65CFD">
        <w:rPr>
          <w:rFonts w:ascii="Arial" w:eastAsia="Times New Roman" w:hAnsi="Arial" w:cs="Arial"/>
          <w:color w:val="00B0F0"/>
          <w:spacing w:val="-6"/>
          <w:kern w:val="0"/>
          <w:lang w:eastAsia="en-GB"/>
          <w14:ligatures w14:val="none"/>
        </w:rPr>
        <w:t xml:space="preserve"> </w:t>
      </w:r>
      <w:r w:rsidRPr="00F65CFD">
        <w:rPr>
          <w:rFonts w:ascii="Arial" w:hAnsi="Arial" w:cs="Arial"/>
        </w:rPr>
        <w:t>(Accessed: 19 December 2024)</w:t>
      </w:r>
    </w:p>
    <w:p w14:paraId="738D6247" w14:textId="77777777" w:rsidR="00F65CFD" w:rsidRPr="00F65CFD" w:rsidRDefault="00F65CFD" w:rsidP="00F65CFD">
      <w:pPr>
        <w:spacing w:after="0" w:line="240" w:lineRule="auto"/>
        <w:rPr>
          <w:rFonts w:ascii="Arial" w:eastAsia="Times New Roman" w:hAnsi="Arial" w:cs="Arial"/>
          <w:color w:val="00B0F0"/>
          <w:spacing w:val="-6"/>
          <w:kern w:val="0"/>
          <w:lang w:eastAsia="en-GB"/>
          <w14:ligatures w14:val="none"/>
        </w:rPr>
      </w:pPr>
    </w:p>
    <w:p w14:paraId="120020C7"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bookmarkStart w:id="17" w:name="_Hlk187682439"/>
      <w:r w:rsidRPr="00F65CFD">
        <w:rPr>
          <w:rFonts w:ascii="Arial" w:eastAsia="Times New Roman" w:hAnsi="Arial" w:cs="Arial"/>
          <w:spacing w:val="-6"/>
          <w:kern w:val="0"/>
          <w:lang w:eastAsia="en-GB"/>
          <w14:ligatures w14:val="none"/>
        </w:rPr>
        <w:t xml:space="preserve">Children’s Commissioner for Wales, </w:t>
      </w:r>
      <w:bookmarkEnd w:id="17"/>
      <w:r w:rsidRPr="00F65CFD">
        <w:rPr>
          <w:rFonts w:ascii="Arial" w:eastAsia="Times New Roman" w:hAnsi="Arial" w:cs="Arial"/>
          <w:spacing w:val="-6"/>
          <w:kern w:val="0"/>
          <w:lang w:eastAsia="en-GB"/>
          <w14:ligatures w14:val="none"/>
        </w:rPr>
        <w:t>(2020) </w:t>
      </w:r>
      <w:r w:rsidRPr="00F65CFD">
        <w:rPr>
          <w:rFonts w:ascii="Arial" w:eastAsia="Times New Roman" w:hAnsi="Arial" w:cs="Arial"/>
          <w:i/>
          <w:iCs/>
          <w:spacing w:val="-6"/>
          <w:kern w:val="0"/>
          <w:lang w:eastAsia="en-GB"/>
          <w14:ligatures w14:val="none"/>
        </w:rPr>
        <w:t>No Wrong Door: Bringing Services Together to Meet Children’s Needs.</w:t>
      </w:r>
      <w:r w:rsidRPr="00F65CFD">
        <w:rPr>
          <w:rFonts w:ascii="Arial" w:eastAsia="Times New Roman" w:hAnsi="Arial" w:cs="Arial"/>
          <w:spacing w:val="-6"/>
          <w:kern w:val="0"/>
          <w:lang w:eastAsia="en-GB"/>
          <w14:ligatures w14:val="none"/>
        </w:rPr>
        <w:t xml:space="preserve"> Available at:</w:t>
      </w:r>
      <w:r w:rsidRPr="00F65CFD">
        <w:rPr>
          <w:rFonts w:ascii="Times New Roman" w:eastAsia="Times New Roman" w:hAnsi="Times New Roman" w:cs="Times New Roman"/>
          <w:kern w:val="0"/>
          <w:lang w:eastAsia="en-GB"/>
          <w14:ligatures w14:val="none"/>
        </w:rPr>
        <w:t xml:space="preserve"> </w:t>
      </w:r>
      <w:hyperlink r:id="rId69" w:history="1">
        <w:r w:rsidRPr="00F65CFD">
          <w:rPr>
            <w:rFonts w:ascii="Arial" w:eastAsia="Times New Roman" w:hAnsi="Arial" w:cs="Arial"/>
            <w:color w:val="467886" w:themeColor="hyperlink"/>
            <w:spacing w:val="-6"/>
            <w:kern w:val="0"/>
            <w:u w:val="single"/>
            <w:lang w:eastAsia="en-GB"/>
            <w14:ligatures w14:val="none"/>
          </w:rPr>
          <w:t>https://www.childcomwales.org.uk/wp-content/uploads/2020/06/NoWrongDoor_FINAL_EN230620.pdf</w:t>
        </w:r>
      </w:hyperlink>
      <w:r w:rsidRPr="00F65CFD">
        <w:rPr>
          <w:rFonts w:ascii="Arial" w:eastAsia="Times New Roman" w:hAnsi="Arial" w:cs="Arial"/>
          <w:color w:val="00B0F0"/>
          <w:spacing w:val="-6"/>
          <w:kern w:val="0"/>
          <w:lang w:eastAsia="en-GB"/>
          <w14:ligatures w14:val="none"/>
        </w:rPr>
        <w:t xml:space="preserve"> </w:t>
      </w:r>
      <w:r w:rsidRPr="00F65CFD">
        <w:rPr>
          <w:rFonts w:ascii="Arial" w:eastAsia="Times New Roman" w:hAnsi="Arial" w:cs="Arial"/>
          <w:kern w:val="0"/>
          <w:shd w:val="clear" w:color="auto" w:fill="FFFFFF"/>
          <w:lang w:eastAsia="en-GB"/>
          <w14:ligatures w14:val="none"/>
        </w:rPr>
        <w:t>(Accessed 14 January 2025)</w:t>
      </w:r>
    </w:p>
    <w:p w14:paraId="29F623D2"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p>
    <w:p w14:paraId="62C90B99"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p>
    <w:p w14:paraId="55CEE464"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p>
    <w:p w14:paraId="7D1CBB2C"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r w:rsidRPr="00F65CFD">
        <w:rPr>
          <w:rFonts w:ascii="Arial" w:eastAsia="Times New Roman" w:hAnsi="Arial" w:cs="Arial"/>
          <w:spacing w:val="-6"/>
          <w:kern w:val="0"/>
          <w:lang w:eastAsia="en-GB"/>
          <w14:ligatures w14:val="none"/>
        </w:rPr>
        <w:t>Children’s Commissioner for Wales, (2022)</w:t>
      </w:r>
      <w:r w:rsidRPr="00F65CFD">
        <w:rPr>
          <w:rFonts w:ascii="Arial" w:eastAsia="Times New Roman" w:hAnsi="Arial" w:cs="Arial"/>
          <w:i/>
          <w:iCs/>
          <w:spacing w:val="-6"/>
          <w:kern w:val="0"/>
          <w:lang w:eastAsia="en-GB"/>
          <w14:ligatures w14:val="none"/>
        </w:rPr>
        <w:t xml:space="preserve"> </w:t>
      </w:r>
      <w:r w:rsidRPr="00F65CFD">
        <w:rPr>
          <w:rFonts w:ascii="Arial" w:eastAsia="Times New Roman" w:hAnsi="Arial" w:cs="Arial"/>
          <w:i/>
          <w:iCs/>
          <w:kern w:val="0"/>
          <w:lang w:eastAsia="en-GB"/>
          <w14:ligatures w14:val="none"/>
        </w:rPr>
        <w:t>Making Wales a No Wrong Door Nation - how are we doing?</w:t>
      </w:r>
      <w:r w:rsidRPr="00F65CFD">
        <w:rPr>
          <w:rFonts w:ascii="Arial" w:eastAsia="Times New Roman" w:hAnsi="Arial" w:cs="Arial"/>
          <w:kern w:val="0"/>
          <w:lang w:eastAsia="en-GB"/>
          <w14:ligatures w14:val="none"/>
        </w:rPr>
        <w:t xml:space="preserve"> Available at: </w:t>
      </w:r>
      <w:hyperlink r:id="rId70" w:history="1">
        <w:r w:rsidRPr="00F65CFD">
          <w:rPr>
            <w:rFonts w:ascii="Arial" w:eastAsia="Times New Roman" w:hAnsi="Arial" w:cs="Arial"/>
            <w:color w:val="467886" w:themeColor="hyperlink"/>
            <w:kern w:val="0"/>
            <w:u w:val="single"/>
            <w:lang w:eastAsia="en-GB"/>
            <w14:ligatures w14:val="none"/>
          </w:rPr>
          <w:t>https://www.childcomwales.org.uk/wp-content/uploads/2022/02/No-Wrong-Door-Report-February-2022.pdf</w:t>
        </w:r>
      </w:hyperlink>
      <w:r w:rsidRPr="00F65CFD">
        <w:rPr>
          <w:rFonts w:ascii="Arial" w:eastAsia="Times New Roman" w:hAnsi="Arial" w:cs="Arial"/>
          <w:kern w:val="0"/>
          <w:lang w:eastAsia="en-GB"/>
          <w14:ligatures w14:val="none"/>
        </w:rPr>
        <w:t xml:space="preserve"> </w:t>
      </w:r>
      <w:r w:rsidRPr="00F65CFD">
        <w:rPr>
          <w:rFonts w:ascii="Arial" w:eastAsia="Times New Roman" w:hAnsi="Arial" w:cs="Arial"/>
          <w:kern w:val="0"/>
          <w:shd w:val="clear" w:color="auto" w:fill="FFFFFF"/>
          <w:lang w:eastAsia="en-GB"/>
          <w14:ligatures w14:val="none"/>
        </w:rPr>
        <w:t>(Accessed 14 January 2025)</w:t>
      </w:r>
    </w:p>
    <w:p w14:paraId="524587EF" w14:textId="77777777" w:rsidR="00F65CFD" w:rsidRPr="00F65CFD" w:rsidRDefault="00F65CFD" w:rsidP="00F65CFD">
      <w:pPr>
        <w:spacing w:after="0" w:line="240" w:lineRule="auto"/>
        <w:rPr>
          <w:rFonts w:ascii="Arial" w:eastAsia="Times New Roman" w:hAnsi="Arial" w:cs="Arial"/>
          <w:color w:val="111111"/>
          <w:spacing w:val="-6"/>
          <w:kern w:val="0"/>
          <w:lang w:eastAsia="en-GB"/>
          <w14:ligatures w14:val="none"/>
        </w:rPr>
      </w:pPr>
    </w:p>
    <w:p w14:paraId="507CCCE4" w14:textId="77777777" w:rsidR="00F65CFD" w:rsidRPr="00F65CFD" w:rsidRDefault="00F65CFD" w:rsidP="00F65CFD">
      <w:pPr>
        <w:rPr>
          <w:rFonts w:ascii="Arial" w:hAnsi="Arial" w:cs="Arial"/>
          <w:shd w:val="clear" w:color="auto" w:fill="FFFFFF"/>
        </w:rPr>
      </w:pPr>
      <w:r w:rsidRPr="00F65CFD">
        <w:rPr>
          <w:rFonts w:ascii="Arial" w:eastAsia="Times New Roman" w:hAnsi="Arial" w:cs="Arial"/>
          <w:kern w:val="0"/>
          <w:lang w:eastAsia="en-GB"/>
          <w14:ligatures w14:val="none"/>
        </w:rPr>
        <w:t xml:space="preserve">Clybiau Plant Cymru Kids’ Clubs (2025) Available at: </w:t>
      </w:r>
      <w:hyperlink r:id="rId71" w:history="1">
        <w:r w:rsidRPr="00F65CFD">
          <w:rPr>
            <w:rFonts w:ascii="Arial" w:hAnsi="Arial" w:cs="Arial"/>
            <w:color w:val="467886" w:themeColor="hyperlink"/>
            <w:u w:val="single"/>
          </w:rPr>
          <w:t>https://clybiauplantcymru.org/about-us/</w:t>
        </w:r>
      </w:hyperlink>
      <w:r w:rsidRPr="00F65CFD">
        <w:rPr>
          <w:rFonts w:ascii="Arial" w:hAnsi="Arial" w:cs="Arial"/>
          <w:color w:val="00B0F0"/>
        </w:rPr>
        <w:t xml:space="preserve"> </w:t>
      </w:r>
      <w:r w:rsidRPr="00F65CFD">
        <w:rPr>
          <w:rFonts w:ascii="Arial" w:hAnsi="Arial" w:cs="Arial"/>
          <w:color w:val="3A3A3A"/>
          <w:shd w:val="clear" w:color="auto" w:fill="FFFFFF"/>
        </w:rPr>
        <w:t xml:space="preserve"> </w:t>
      </w:r>
      <w:r w:rsidRPr="00F65CFD">
        <w:rPr>
          <w:rFonts w:ascii="Arial" w:hAnsi="Arial" w:cs="Arial"/>
          <w:shd w:val="clear" w:color="auto" w:fill="FFFFFF"/>
        </w:rPr>
        <w:t>(Accessed 14 January 2025)</w:t>
      </w:r>
    </w:p>
    <w:p w14:paraId="5ECD2456" w14:textId="77777777" w:rsidR="00F65CFD" w:rsidRPr="00F65CFD" w:rsidRDefault="00F65CFD" w:rsidP="00F65CFD">
      <w:pPr>
        <w:spacing w:after="0" w:line="240" w:lineRule="auto"/>
        <w:jc w:val="both"/>
        <w:rPr>
          <w:rFonts w:ascii="Arial" w:hAnsi="Arial" w:cs="Arial"/>
        </w:rPr>
      </w:pPr>
      <w:bookmarkStart w:id="18" w:name="_Hlk187692471"/>
      <w:r w:rsidRPr="00F65CFD">
        <w:rPr>
          <w:rFonts w:ascii="Arial" w:hAnsi="Arial" w:cs="Arial"/>
          <w:shd w:val="clear" w:color="auto" w:fill="FFFFFF"/>
        </w:rPr>
        <w:t xml:space="preserve">Coggins, K., Carnes-Holt, K. and Hudspeth, F. (2021) </w:t>
      </w:r>
      <w:bookmarkEnd w:id="18"/>
      <w:r w:rsidRPr="00F65CFD">
        <w:rPr>
          <w:rFonts w:ascii="Arial" w:hAnsi="Arial" w:cs="Arial"/>
          <w:shd w:val="clear" w:color="auto" w:fill="FFFFFF"/>
        </w:rPr>
        <w:t>‘The Efficacy of Child-Teacher Relationship Training as an Early Childhood Mental Health Intervention in Head Start Programs’, </w:t>
      </w:r>
      <w:r w:rsidRPr="00F65CFD">
        <w:rPr>
          <w:rFonts w:ascii="Arial" w:hAnsi="Arial" w:cs="Arial"/>
          <w:i/>
          <w:iCs/>
          <w:shd w:val="clear" w:color="auto" w:fill="FFFFFF"/>
        </w:rPr>
        <w:t>International journal of play therapy</w:t>
      </w:r>
      <w:r w:rsidRPr="00F65CFD">
        <w:rPr>
          <w:rFonts w:ascii="Arial" w:hAnsi="Arial" w:cs="Arial"/>
          <w:shd w:val="clear" w:color="auto" w:fill="FFFFFF"/>
        </w:rPr>
        <w:t xml:space="preserve">, 30(2), pp. 112–124. Available at: </w:t>
      </w:r>
      <w:hyperlink r:id="rId72" w:history="1">
        <w:r w:rsidRPr="00F65CFD">
          <w:rPr>
            <w:rFonts w:ascii="Arial" w:hAnsi="Arial" w:cs="Arial"/>
            <w:color w:val="467886" w:themeColor="hyperlink"/>
            <w:u w:val="single"/>
            <w:shd w:val="clear" w:color="auto" w:fill="FFFFFF"/>
          </w:rPr>
          <w:t>https://doi.org/10.1037/pla0000154</w:t>
        </w:r>
      </w:hyperlink>
      <w:r w:rsidRPr="00F65CFD">
        <w:rPr>
          <w:rFonts w:ascii="Arial" w:hAnsi="Arial" w:cs="Arial"/>
          <w:color w:val="3A3A3A"/>
          <w:shd w:val="clear" w:color="auto" w:fill="FFFFFF"/>
        </w:rPr>
        <w:t xml:space="preserve">. </w:t>
      </w:r>
      <w:r w:rsidRPr="00F65CFD">
        <w:rPr>
          <w:rFonts w:ascii="Arial" w:hAnsi="Arial" w:cs="Arial"/>
        </w:rPr>
        <w:t>(Accessed: 12 January 2025)</w:t>
      </w:r>
    </w:p>
    <w:p w14:paraId="7EF7EB74" w14:textId="77777777" w:rsidR="00F65CFD" w:rsidRPr="00F65CFD" w:rsidRDefault="00F65CFD" w:rsidP="00F65CFD">
      <w:pPr>
        <w:spacing w:after="0" w:line="240" w:lineRule="auto"/>
        <w:jc w:val="both"/>
        <w:rPr>
          <w:rFonts w:ascii="Arial" w:hAnsi="Arial" w:cs="Arial"/>
          <w:color w:val="3A3A3A"/>
          <w:shd w:val="clear" w:color="auto" w:fill="FFFFFF"/>
        </w:rPr>
      </w:pPr>
    </w:p>
    <w:p w14:paraId="0810B6C8" w14:textId="77777777" w:rsidR="00F65CFD" w:rsidRPr="00F65CFD" w:rsidRDefault="00F65CFD" w:rsidP="00F65CFD">
      <w:pPr>
        <w:jc w:val="both"/>
        <w:rPr>
          <w:rFonts w:ascii="Arial" w:hAnsi="Arial" w:cs="Arial"/>
          <w:shd w:val="clear" w:color="auto" w:fill="FFFFFF"/>
        </w:rPr>
      </w:pPr>
      <w:bookmarkStart w:id="19" w:name="_Hlk187691025"/>
      <w:r w:rsidRPr="00F65CFD">
        <w:rPr>
          <w:rFonts w:ascii="Arial" w:hAnsi="Arial" w:cs="Arial"/>
          <w:shd w:val="clear" w:color="auto" w:fill="FFFFFF"/>
        </w:rPr>
        <w:t xml:space="preserve">Cowie, H. (2022) </w:t>
      </w:r>
      <w:bookmarkEnd w:id="19"/>
      <w:r w:rsidRPr="00F65CFD">
        <w:rPr>
          <w:rFonts w:ascii="Arial" w:hAnsi="Arial" w:cs="Arial"/>
          <w:shd w:val="clear" w:color="auto" w:fill="FFFFFF"/>
        </w:rPr>
        <w:t>‘Pastoral care in education today: its continuing role in promoting mental health in children and young people’, </w:t>
      </w:r>
      <w:r w:rsidRPr="00F65CFD">
        <w:rPr>
          <w:rFonts w:ascii="Arial" w:hAnsi="Arial" w:cs="Arial"/>
          <w:i/>
          <w:iCs/>
          <w:shd w:val="clear" w:color="auto" w:fill="FFFFFF"/>
        </w:rPr>
        <w:t>Pastoral care in education</w:t>
      </w:r>
      <w:r w:rsidRPr="00F65CFD">
        <w:rPr>
          <w:rFonts w:ascii="Arial" w:hAnsi="Arial" w:cs="Arial"/>
          <w:shd w:val="clear" w:color="auto" w:fill="FFFFFF"/>
        </w:rPr>
        <w:t>, 40(3), pp. 321–327. Available at</w:t>
      </w:r>
      <w:r w:rsidRPr="00F65CFD">
        <w:rPr>
          <w:rFonts w:ascii="Arial" w:hAnsi="Arial" w:cs="Arial"/>
          <w:color w:val="3A3A3A"/>
          <w:shd w:val="clear" w:color="auto" w:fill="FFFFFF"/>
        </w:rPr>
        <w:t xml:space="preserve">: </w:t>
      </w:r>
      <w:hyperlink r:id="rId73" w:history="1">
        <w:r w:rsidRPr="00F65CFD">
          <w:rPr>
            <w:rFonts w:ascii="Arial" w:hAnsi="Arial" w:cs="Arial"/>
            <w:color w:val="467886" w:themeColor="hyperlink"/>
            <w:u w:val="single"/>
            <w:shd w:val="clear" w:color="auto" w:fill="FFFFFF"/>
          </w:rPr>
          <w:t>https://doi.org/10.1080/02643944.2022.2093955</w:t>
        </w:r>
      </w:hyperlink>
      <w:r w:rsidRPr="00F65CFD">
        <w:rPr>
          <w:rFonts w:ascii="Arial" w:hAnsi="Arial" w:cs="Arial"/>
          <w:color w:val="3A3A3A"/>
          <w:shd w:val="clear" w:color="auto" w:fill="FFFFFF"/>
        </w:rPr>
        <w:t xml:space="preserve">. </w:t>
      </w:r>
      <w:r w:rsidRPr="00F65CFD">
        <w:rPr>
          <w:rFonts w:ascii="Arial" w:hAnsi="Arial" w:cs="Arial"/>
          <w:shd w:val="clear" w:color="auto" w:fill="FFFFFF"/>
        </w:rPr>
        <w:t>(Accessed 13 January 2025)</w:t>
      </w:r>
    </w:p>
    <w:p w14:paraId="0440D108" w14:textId="77777777" w:rsidR="00F65CFD" w:rsidRPr="00F65CFD" w:rsidRDefault="00F65CFD" w:rsidP="00F65CFD">
      <w:pPr>
        <w:jc w:val="both"/>
        <w:rPr>
          <w:rFonts w:ascii="Arial" w:hAnsi="Arial" w:cs="Arial"/>
        </w:rPr>
      </w:pPr>
    </w:p>
    <w:p w14:paraId="459FC020"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bookmarkStart w:id="20" w:name="_Hlk187668563"/>
      <w:r w:rsidRPr="00F65CFD">
        <w:rPr>
          <w:rFonts w:ascii="Arial" w:eastAsia="Times New Roman" w:hAnsi="Arial" w:cs="Arial"/>
          <w:kern w:val="0"/>
          <w:shd w:val="clear" w:color="auto" w:fill="FFFFFF"/>
          <w:lang w:eastAsia="en-GB"/>
          <w14:ligatures w14:val="none"/>
        </w:rPr>
        <w:t xml:space="preserve">Domitrovich, </w:t>
      </w:r>
      <w:bookmarkEnd w:id="20"/>
      <w:r w:rsidRPr="00F65CFD">
        <w:rPr>
          <w:rFonts w:ascii="Arial" w:eastAsia="Times New Roman" w:hAnsi="Arial" w:cs="Arial"/>
          <w:kern w:val="0"/>
          <w:shd w:val="clear" w:color="auto" w:fill="FFFFFF"/>
          <w:lang w:eastAsia="en-GB"/>
          <w14:ligatures w14:val="none"/>
        </w:rPr>
        <w:t>C.E. </w:t>
      </w:r>
      <w:r w:rsidRPr="00F65CFD">
        <w:rPr>
          <w:rFonts w:ascii="Arial" w:eastAsia="Times New Roman" w:hAnsi="Arial" w:cs="Arial"/>
          <w:i/>
          <w:iCs/>
          <w:kern w:val="0"/>
          <w:shd w:val="clear" w:color="auto" w:fill="FFFFFF"/>
          <w:lang w:eastAsia="en-GB"/>
          <w14:ligatures w14:val="none"/>
        </w:rPr>
        <w:t>et al.</w:t>
      </w:r>
      <w:r w:rsidRPr="00F65CFD">
        <w:rPr>
          <w:rFonts w:ascii="Arial" w:eastAsia="Times New Roman" w:hAnsi="Arial" w:cs="Arial"/>
          <w:kern w:val="0"/>
          <w:shd w:val="clear" w:color="auto" w:fill="FFFFFF"/>
          <w:lang w:eastAsia="en-GB"/>
          <w14:ligatures w14:val="none"/>
        </w:rPr>
        <w:t> (2017) ‘Social-Emotional Competence: An Essential Factor for Promoting Positive Adjustment and Reducing Risk in School Children’, </w:t>
      </w:r>
      <w:r w:rsidRPr="00F65CFD">
        <w:rPr>
          <w:rFonts w:ascii="Arial" w:eastAsia="Times New Roman" w:hAnsi="Arial" w:cs="Arial"/>
          <w:i/>
          <w:iCs/>
          <w:kern w:val="0"/>
          <w:shd w:val="clear" w:color="auto" w:fill="FFFFFF"/>
          <w:lang w:eastAsia="en-GB"/>
          <w14:ligatures w14:val="none"/>
        </w:rPr>
        <w:t>Child development</w:t>
      </w:r>
      <w:r w:rsidRPr="00F65CFD">
        <w:rPr>
          <w:rFonts w:ascii="Arial" w:eastAsia="Times New Roman" w:hAnsi="Arial" w:cs="Arial"/>
          <w:kern w:val="0"/>
          <w:shd w:val="clear" w:color="auto" w:fill="FFFFFF"/>
          <w:lang w:eastAsia="en-GB"/>
          <w14:ligatures w14:val="none"/>
        </w:rPr>
        <w:t xml:space="preserve">, 88(2), pp. 408–416. Available at: </w:t>
      </w:r>
      <w:hyperlink r:id="rId74" w:history="1">
        <w:r w:rsidRPr="00F65CFD">
          <w:rPr>
            <w:rFonts w:ascii="Arial" w:eastAsia="Times New Roman" w:hAnsi="Arial" w:cs="Arial"/>
            <w:color w:val="467886" w:themeColor="hyperlink"/>
            <w:kern w:val="0"/>
            <w:u w:val="single"/>
            <w:shd w:val="clear" w:color="auto" w:fill="FFFFFF"/>
            <w:lang w:eastAsia="en-GB"/>
            <w14:ligatures w14:val="none"/>
          </w:rPr>
          <w:t>https://doi.org/10.1111/cdev.12739</w:t>
        </w:r>
      </w:hyperlink>
      <w:r w:rsidRPr="00F65CFD">
        <w:rPr>
          <w:rFonts w:ascii="Arial" w:eastAsia="Times New Roman" w:hAnsi="Arial" w:cs="Arial"/>
          <w:color w:val="3A3A3A"/>
          <w:kern w:val="0"/>
          <w:shd w:val="clear" w:color="auto" w:fill="FFFFFF"/>
          <w:lang w:eastAsia="en-GB"/>
          <w14:ligatures w14:val="none"/>
        </w:rPr>
        <w:t xml:space="preserve">. </w:t>
      </w:r>
      <w:r w:rsidRPr="00F65CFD">
        <w:rPr>
          <w:rFonts w:ascii="Arial" w:eastAsia="Times New Roman" w:hAnsi="Arial" w:cs="Arial"/>
          <w:kern w:val="0"/>
          <w:shd w:val="clear" w:color="auto" w:fill="FFFFFF"/>
          <w:lang w:eastAsia="en-GB"/>
          <w14:ligatures w14:val="none"/>
        </w:rPr>
        <w:t>(Accessed 10 January 2025)</w:t>
      </w:r>
    </w:p>
    <w:p w14:paraId="1C9A6983"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p>
    <w:p w14:paraId="6ACE90EB"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r w:rsidRPr="00F65CFD">
        <w:rPr>
          <w:rFonts w:ascii="Arial" w:eastAsia="Times New Roman" w:hAnsi="Arial" w:cs="Arial"/>
          <w:kern w:val="0"/>
          <w:shd w:val="clear" w:color="auto" w:fill="FFFFFF"/>
          <w:lang w:eastAsia="en-GB"/>
          <w14:ligatures w14:val="none"/>
        </w:rPr>
        <w:t>Eisenberg, N., Spinrad, T. L., &amp; Eggum, N. D. (2010). Emotion-related self-regulation and its relation to children's maladjustment. </w:t>
      </w:r>
      <w:r w:rsidRPr="00F65CFD">
        <w:rPr>
          <w:rFonts w:ascii="Arial" w:eastAsia="Times New Roman" w:hAnsi="Arial" w:cs="Arial"/>
          <w:i/>
          <w:iCs/>
          <w:kern w:val="0"/>
          <w:shd w:val="clear" w:color="auto" w:fill="FFFFFF"/>
          <w:lang w:eastAsia="en-GB"/>
          <w14:ligatures w14:val="none"/>
        </w:rPr>
        <w:t>Annual review of clinical psychology</w:t>
      </w:r>
      <w:r w:rsidRPr="00F65CFD">
        <w:rPr>
          <w:rFonts w:ascii="Arial" w:eastAsia="Times New Roman" w:hAnsi="Arial" w:cs="Arial"/>
          <w:kern w:val="0"/>
          <w:shd w:val="clear" w:color="auto" w:fill="FFFFFF"/>
          <w:lang w:eastAsia="en-GB"/>
          <w14:ligatures w14:val="none"/>
        </w:rPr>
        <w:t>, </w:t>
      </w:r>
      <w:r w:rsidRPr="00F65CFD">
        <w:rPr>
          <w:rFonts w:ascii="Arial" w:eastAsia="Times New Roman" w:hAnsi="Arial" w:cs="Arial"/>
          <w:i/>
          <w:iCs/>
          <w:kern w:val="0"/>
          <w:shd w:val="clear" w:color="auto" w:fill="FFFFFF"/>
          <w:lang w:eastAsia="en-GB"/>
          <w14:ligatures w14:val="none"/>
        </w:rPr>
        <w:t>6</w:t>
      </w:r>
      <w:r w:rsidRPr="00F65CFD">
        <w:rPr>
          <w:rFonts w:ascii="Arial" w:eastAsia="Times New Roman" w:hAnsi="Arial" w:cs="Arial"/>
          <w:kern w:val="0"/>
          <w:shd w:val="clear" w:color="auto" w:fill="FFFFFF"/>
          <w:lang w:eastAsia="en-GB"/>
          <w14:ligatures w14:val="none"/>
        </w:rPr>
        <w:t xml:space="preserve">, 495–525. </w:t>
      </w:r>
      <w:hyperlink r:id="rId75" w:history="1">
        <w:r w:rsidRPr="00F65CFD">
          <w:rPr>
            <w:rFonts w:ascii="Arial" w:eastAsia="Times New Roman" w:hAnsi="Arial" w:cs="Arial"/>
            <w:color w:val="467886" w:themeColor="hyperlink"/>
            <w:kern w:val="0"/>
            <w:u w:val="single"/>
            <w:shd w:val="clear" w:color="auto" w:fill="FFFFFF"/>
            <w:lang w:eastAsia="en-GB"/>
            <w14:ligatures w14:val="none"/>
          </w:rPr>
          <w:t>https://doi.org/10.1146/annurev.clinpsy.121208.13120</w:t>
        </w:r>
      </w:hyperlink>
      <w:r w:rsidRPr="00F65CFD">
        <w:rPr>
          <w:rFonts w:ascii="Arial" w:eastAsia="Times New Roman" w:hAnsi="Arial" w:cs="Arial"/>
          <w:color w:val="1B1B1B"/>
          <w:kern w:val="0"/>
          <w:shd w:val="clear" w:color="auto" w:fill="FFFFFF"/>
          <w:lang w:eastAsia="en-GB"/>
          <w14:ligatures w14:val="none"/>
        </w:rPr>
        <w:t xml:space="preserve"> </w:t>
      </w:r>
      <w:r w:rsidRPr="00F65CFD">
        <w:rPr>
          <w:rFonts w:ascii="Arial" w:eastAsia="Times New Roman" w:hAnsi="Arial" w:cs="Arial"/>
          <w:color w:val="3A3A3A"/>
          <w:kern w:val="0"/>
          <w:shd w:val="clear" w:color="auto" w:fill="FFFFFF"/>
          <w:lang w:eastAsia="en-GB"/>
          <w14:ligatures w14:val="none"/>
        </w:rPr>
        <w:t xml:space="preserve">. </w:t>
      </w:r>
      <w:r w:rsidRPr="00F65CFD">
        <w:rPr>
          <w:rFonts w:ascii="Arial" w:eastAsia="Times New Roman" w:hAnsi="Arial" w:cs="Arial"/>
          <w:kern w:val="0"/>
          <w:shd w:val="clear" w:color="auto" w:fill="FFFFFF"/>
          <w:lang w:eastAsia="en-GB"/>
          <w14:ligatures w14:val="none"/>
        </w:rPr>
        <w:t>(Accessed 12 January 2025)</w:t>
      </w:r>
    </w:p>
    <w:p w14:paraId="119A6868" w14:textId="77777777" w:rsidR="00F65CFD" w:rsidRPr="00F65CFD" w:rsidRDefault="00F65CFD" w:rsidP="00F65CFD">
      <w:pPr>
        <w:spacing w:after="0" w:line="240" w:lineRule="auto"/>
        <w:rPr>
          <w:rFonts w:ascii="Arial" w:eastAsia="Times New Roman" w:hAnsi="Arial" w:cs="Arial"/>
          <w:spacing w:val="-6"/>
          <w:kern w:val="0"/>
          <w:lang w:eastAsia="en-GB"/>
          <w14:ligatures w14:val="none"/>
        </w:rPr>
      </w:pPr>
    </w:p>
    <w:p w14:paraId="6BA419F2" w14:textId="77777777" w:rsidR="00F65CFD" w:rsidRPr="00F65CFD" w:rsidRDefault="00F65CFD" w:rsidP="00F65CFD">
      <w:pPr>
        <w:spacing w:after="0" w:line="240" w:lineRule="auto"/>
        <w:jc w:val="both"/>
        <w:rPr>
          <w:rFonts w:ascii="Arial" w:eastAsia="Times New Roman" w:hAnsi="Arial" w:cs="Arial"/>
          <w:spacing w:val="-6"/>
          <w:kern w:val="0"/>
          <w:lang w:eastAsia="en-GB"/>
          <w14:ligatures w14:val="none"/>
        </w:rPr>
      </w:pPr>
      <w:r w:rsidRPr="00F65CFD">
        <w:rPr>
          <w:rFonts w:ascii="Arial" w:eastAsia="Times New Roman" w:hAnsi="Arial" w:cs="Arial"/>
          <w:spacing w:val="-6"/>
          <w:kern w:val="0"/>
          <w:lang w:eastAsia="en-GB"/>
          <w14:ligatures w14:val="none"/>
        </w:rPr>
        <w:t>Else, P. (2014). </w:t>
      </w:r>
      <w:r w:rsidRPr="00F65CFD">
        <w:rPr>
          <w:rFonts w:ascii="Arial" w:eastAsia="Times New Roman" w:hAnsi="Arial" w:cs="Arial"/>
          <w:i/>
          <w:iCs/>
          <w:spacing w:val="-6"/>
          <w:kern w:val="0"/>
          <w:lang w:eastAsia="en-GB"/>
          <w14:ligatures w14:val="none"/>
        </w:rPr>
        <w:t>Making sense of play: Supporting children in their play.</w:t>
      </w:r>
      <w:r w:rsidRPr="00F65CFD">
        <w:rPr>
          <w:rFonts w:ascii="Arial" w:eastAsia="Times New Roman" w:hAnsi="Arial" w:cs="Arial"/>
          <w:spacing w:val="-6"/>
          <w:kern w:val="0"/>
          <w:lang w:eastAsia="en-GB"/>
          <w14:ligatures w14:val="none"/>
        </w:rPr>
        <w:t> Maidenhead, Berkshire, UK: Open University Press.</w:t>
      </w:r>
    </w:p>
    <w:p w14:paraId="118453A6" w14:textId="77777777" w:rsidR="00F65CFD" w:rsidRPr="00F65CFD" w:rsidRDefault="00F65CFD" w:rsidP="00F65CFD">
      <w:pPr>
        <w:jc w:val="both"/>
        <w:rPr>
          <w:rFonts w:ascii="Arial" w:hAnsi="Arial" w:cs="Arial"/>
          <w:color w:val="00B050"/>
          <w:shd w:val="clear" w:color="auto" w:fill="FFFFFF"/>
        </w:rPr>
      </w:pPr>
    </w:p>
    <w:p w14:paraId="1C89CF2A" w14:textId="77777777" w:rsidR="00F65CFD" w:rsidRPr="00F65CFD" w:rsidRDefault="00F65CFD" w:rsidP="00F65CFD">
      <w:pPr>
        <w:jc w:val="both"/>
        <w:rPr>
          <w:rFonts w:ascii="Arial" w:hAnsi="Arial" w:cs="Arial"/>
          <w:shd w:val="clear" w:color="auto" w:fill="FFFFFF"/>
        </w:rPr>
      </w:pPr>
      <w:r w:rsidRPr="00F65CFD">
        <w:rPr>
          <w:rFonts w:ascii="Arial" w:hAnsi="Arial" w:cs="Arial"/>
          <w:shd w:val="clear" w:color="auto" w:fill="FFFFFF"/>
        </w:rPr>
        <w:t>Evans, A. and Coccoma, P. (2014) </w:t>
      </w:r>
      <w:r w:rsidRPr="00F65CFD">
        <w:rPr>
          <w:rFonts w:ascii="Arial" w:hAnsi="Arial" w:cs="Arial"/>
          <w:i/>
          <w:iCs/>
          <w:shd w:val="clear" w:color="auto" w:fill="FFFFFF"/>
        </w:rPr>
        <w:t>Trauma-informed care: how neuroscience influences practice</w:t>
      </w:r>
      <w:r w:rsidRPr="00F65CFD">
        <w:rPr>
          <w:rFonts w:ascii="Arial" w:hAnsi="Arial" w:cs="Arial"/>
          <w:shd w:val="clear" w:color="auto" w:fill="FFFFFF"/>
        </w:rPr>
        <w:t xml:space="preserve">. 1st ed. London; Routledge. Available at: </w:t>
      </w:r>
      <w:hyperlink r:id="rId76" w:history="1">
        <w:r w:rsidRPr="00F65CFD">
          <w:rPr>
            <w:rFonts w:ascii="Arial" w:hAnsi="Arial" w:cs="Arial"/>
            <w:color w:val="467886" w:themeColor="hyperlink"/>
            <w:u w:val="single"/>
            <w:shd w:val="clear" w:color="auto" w:fill="FFFFFF"/>
          </w:rPr>
          <w:t>https://doi.org/10.4324/9781315815572</w:t>
        </w:r>
      </w:hyperlink>
      <w:r w:rsidRPr="00F65CFD">
        <w:rPr>
          <w:rFonts w:ascii="Arial" w:hAnsi="Arial" w:cs="Arial"/>
          <w:color w:val="3A3A3A"/>
          <w:shd w:val="clear" w:color="auto" w:fill="FFFFFF"/>
        </w:rPr>
        <w:t>. (</w:t>
      </w:r>
      <w:r w:rsidRPr="00F65CFD">
        <w:rPr>
          <w:rFonts w:ascii="Arial" w:hAnsi="Arial" w:cs="Arial"/>
          <w:shd w:val="clear" w:color="auto" w:fill="FFFFFF"/>
        </w:rPr>
        <w:t>Accessed 6 January 2025)</w:t>
      </w:r>
    </w:p>
    <w:p w14:paraId="023EA435" w14:textId="77777777" w:rsidR="008B4692" w:rsidRPr="00F65CFD" w:rsidRDefault="008B4692" w:rsidP="00F65CFD">
      <w:pPr>
        <w:jc w:val="both"/>
        <w:rPr>
          <w:rFonts w:ascii="Arial" w:hAnsi="Arial" w:cs="Arial"/>
          <w:color w:val="3A3A3A"/>
          <w:shd w:val="clear" w:color="auto" w:fill="FFFFFF"/>
        </w:rPr>
      </w:pPr>
    </w:p>
    <w:p w14:paraId="630BE89F" w14:textId="77777777" w:rsidR="00485EF7" w:rsidRDefault="00485EF7" w:rsidP="00F65CFD">
      <w:pPr>
        <w:spacing w:after="0" w:line="240" w:lineRule="auto"/>
        <w:rPr>
          <w:rFonts w:ascii="Arial" w:eastAsia="Times New Roman" w:hAnsi="Arial" w:cs="Arial"/>
          <w:spacing w:val="-6"/>
          <w:kern w:val="0"/>
          <w:lang w:eastAsia="en-GB"/>
          <w14:ligatures w14:val="none"/>
        </w:rPr>
      </w:pPr>
    </w:p>
    <w:p w14:paraId="1346BE45" w14:textId="77777777" w:rsidR="00485EF7" w:rsidRDefault="00485EF7" w:rsidP="00F65CFD">
      <w:pPr>
        <w:spacing w:after="0" w:line="240" w:lineRule="auto"/>
        <w:rPr>
          <w:rFonts w:ascii="Arial" w:eastAsia="Times New Roman" w:hAnsi="Arial" w:cs="Arial"/>
          <w:spacing w:val="-6"/>
          <w:kern w:val="0"/>
          <w:lang w:eastAsia="en-GB"/>
          <w14:ligatures w14:val="none"/>
        </w:rPr>
      </w:pPr>
    </w:p>
    <w:p w14:paraId="5AE65E2A" w14:textId="5AE80CFA"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r w:rsidRPr="00F65CFD">
        <w:rPr>
          <w:rFonts w:ascii="Arial" w:eastAsia="Times New Roman" w:hAnsi="Arial" w:cs="Arial"/>
          <w:spacing w:val="-6"/>
          <w:kern w:val="0"/>
          <w:lang w:eastAsia="en-GB"/>
          <w14:ligatures w14:val="none"/>
        </w:rPr>
        <w:lastRenderedPageBreak/>
        <w:t xml:space="preserve">Felitti, V. J., Anda, R. F., Nordenberg, D., Williamson, D. F., Spitz, A. M., Edwards, V., Koss, M. P., &amp; Marks, J. S. </w:t>
      </w:r>
      <w:r w:rsidRPr="00F65CFD">
        <w:rPr>
          <w:rFonts w:ascii="Arial" w:eastAsia="Times New Roman" w:hAnsi="Arial" w:cs="Arial"/>
          <w:kern w:val="0"/>
          <w:shd w:val="clear" w:color="auto" w:fill="FFFFFF"/>
          <w:lang w:eastAsia="en-GB"/>
          <w14:ligatures w14:val="none"/>
        </w:rPr>
        <w:t>(1998) ‘Relationship of Childhood Abuse and Household Dysfunction to Many of the Leading Causes of Death in Adults: The Adverse Childhood Experiences (ACE) Study’, </w:t>
      </w:r>
      <w:r w:rsidRPr="00F65CFD">
        <w:rPr>
          <w:rFonts w:ascii="Arial" w:eastAsia="Times New Roman" w:hAnsi="Arial" w:cs="Arial"/>
          <w:i/>
          <w:iCs/>
          <w:kern w:val="0"/>
          <w:shd w:val="clear" w:color="auto" w:fill="FFFFFF"/>
          <w:lang w:eastAsia="en-GB"/>
          <w14:ligatures w14:val="none"/>
        </w:rPr>
        <w:t>American journal of preventive medicine</w:t>
      </w:r>
      <w:r w:rsidRPr="00F65CFD">
        <w:rPr>
          <w:rFonts w:ascii="Arial" w:eastAsia="Times New Roman" w:hAnsi="Arial" w:cs="Arial"/>
          <w:kern w:val="0"/>
          <w:shd w:val="clear" w:color="auto" w:fill="FFFFFF"/>
          <w:lang w:eastAsia="en-GB"/>
          <w14:ligatures w14:val="none"/>
        </w:rPr>
        <w:t xml:space="preserve">, 14(4), pp. 245–258. Available at: </w:t>
      </w:r>
      <w:hyperlink r:id="rId77" w:history="1">
        <w:r w:rsidRPr="00F65CFD">
          <w:rPr>
            <w:rFonts w:ascii="Arial" w:eastAsia="Times New Roman" w:hAnsi="Arial" w:cs="Arial"/>
            <w:color w:val="467886" w:themeColor="hyperlink"/>
            <w:kern w:val="0"/>
            <w:u w:val="single"/>
            <w:shd w:val="clear" w:color="auto" w:fill="FFFFFF"/>
            <w:lang w:eastAsia="en-GB"/>
            <w14:ligatures w14:val="none"/>
          </w:rPr>
          <w:t>https://doi.org/10.1016/S0749-3797(98)00017-8</w:t>
        </w:r>
      </w:hyperlink>
      <w:r w:rsidRPr="00F65CFD">
        <w:rPr>
          <w:rFonts w:ascii="Arial" w:eastAsia="Times New Roman" w:hAnsi="Arial" w:cs="Arial"/>
          <w:color w:val="3A3A3A"/>
          <w:kern w:val="0"/>
          <w:shd w:val="clear" w:color="auto" w:fill="FFFFFF"/>
          <w:lang w:eastAsia="en-GB"/>
          <w14:ligatures w14:val="none"/>
        </w:rPr>
        <w:t xml:space="preserve">. </w:t>
      </w:r>
      <w:r w:rsidRPr="00F65CFD">
        <w:rPr>
          <w:rFonts w:ascii="Arial" w:eastAsia="Times New Roman" w:hAnsi="Arial" w:cs="Arial"/>
          <w:kern w:val="0"/>
          <w:shd w:val="clear" w:color="auto" w:fill="FFFFFF"/>
          <w:lang w:eastAsia="en-GB"/>
          <w14:ligatures w14:val="none"/>
        </w:rPr>
        <w:t>(Accessed 10 January 2025)</w:t>
      </w:r>
    </w:p>
    <w:p w14:paraId="04E6409B"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p>
    <w:p w14:paraId="10493FFF"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p>
    <w:p w14:paraId="6528CA43"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r w:rsidRPr="00F65CFD">
        <w:rPr>
          <w:rFonts w:ascii="Arial" w:eastAsia="Times New Roman" w:hAnsi="Arial" w:cs="Arial"/>
          <w:kern w:val="0"/>
          <w:shd w:val="clear" w:color="auto" w:fill="FFFFFF"/>
          <w:lang w:eastAsia="en-GB"/>
          <w14:ligatures w14:val="none"/>
        </w:rPr>
        <w:t>Felitti, V.J. </w:t>
      </w:r>
      <w:r w:rsidRPr="00F65CFD">
        <w:rPr>
          <w:rFonts w:ascii="Arial" w:eastAsia="Times New Roman" w:hAnsi="Arial" w:cs="Arial"/>
          <w:i/>
          <w:iCs/>
          <w:kern w:val="0"/>
          <w:shd w:val="clear" w:color="auto" w:fill="FFFFFF"/>
          <w:lang w:eastAsia="en-GB"/>
          <w14:ligatures w14:val="none"/>
        </w:rPr>
        <w:t>et al.</w:t>
      </w:r>
      <w:r w:rsidRPr="00F65CFD">
        <w:rPr>
          <w:rFonts w:ascii="Arial" w:eastAsia="Times New Roman" w:hAnsi="Arial" w:cs="Arial"/>
          <w:kern w:val="0"/>
          <w:shd w:val="clear" w:color="auto" w:fill="FFFFFF"/>
          <w:lang w:eastAsia="en-GB"/>
          <w14:ligatures w14:val="none"/>
        </w:rPr>
        <w:t> (2019) ‘REPRINT OF: Relationship of Childhood Abuse and Household Dysfunction to Many of the Leading Causes of Death in Adults: The Adverse Childhood Experiences (ACE) Study’, </w:t>
      </w:r>
      <w:r w:rsidRPr="00F65CFD">
        <w:rPr>
          <w:rFonts w:ascii="Arial" w:eastAsia="Times New Roman" w:hAnsi="Arial" w:cs="Arial"/>
          <w:i/>
          <w:iCs/>
          <w:kern w:val="0"/>
          <w:shd w:val="clear" w:color="auto" w:fill="FFFFFF"/>
          <w:lang w:eastAsia="en-GB"/>
          <w14:ligatures w14:val="none"/>
        </w:rPr>
        <w:t>American journal of preventive medicine</w:t>
      </w:r>
      <w:r w:rsidRPr="00F65CFD">
        <w:rPr>
          <w:rFonts w:ascii="Arial" w:eastAsia="Times New Roman" w:hAnsi="Arial" w:cs="Arial"/>
          <w:kern w:val="0"/>
          <w:shd w:val="clear" w:color="auto" w:fill="FFFFFF"/>
          <w:lang w:eastAsia="en-GB"/>
          <w14:ligatures w14:val="none"/>
        </w:rPr>
        <w:t xml:space="preserve">, 56(6), pp. 774–786. Available at: </w:t>
      </w:r>
      <w:hyperlink r:id="rId78" w:history="1">
        <w:r w:rsidRPr="00F65CFD">
          <w:rPr>
            <w:rFonts w:ascii="Arial" w:eastAsia="Times New Roman" w:hAnsi="Arial" w:cs="Arial"/>
            <w:color w:val="467886" w:themeColor="hyperlink"/>
            <w:kern w:val="0"/>
            <w:u w:val="single"/>
            <w:shd w:val="clear" w:color="auto" w:fill="FFFFFF"/>
            <w:lang w:eastAsia="en-GB"/>
            <w14:ligatures w14:val="none"/>
          </w:rPr>
          <w:t>https://doi.org/10.1016/j.amepre.2019.04.001</w:t>
        </w:r>
      </w:hyperlink>
      <w:r w:rsidRPr="00F65CFD">
        <w:rPr>
          <w:rFonts w:ascii="Arial" w:eastAsia="Times New Roman" w:hAnsi="Arial" w:cs="Arial"/>
          <w:color w:val="3A3A3A"/>
          <w:kern w:val="0"/>
          <w:shd w:val="clear" w:color="auto" w:fill="FFFFFF"/>
          <w:lang w:eastAsia="en-GB"/>
          <w14:ligatures w14:val="none"/>
        </w:rPr>
        <w:t xml:space="preserve">. </w:t>
      </w:r>
      <w:r w:rsidRPr="00F65CFD">
        <w:rPr>
          <w:rFonts w:ascii="Arial" w:eastAsia="Times New Roman" w:hAnsi="Arial" w:cs="Arial"/>
          <w:kern w:val="0"/>
          <w:shd w:val="clear" w:color="auto" w:fill="FFFFFF"/>
          <w:lang w:eastAsia="en-GB"/>
          <w14:ligatures w14:val="none"/>
        </w:rPr>
        <w:t>(Accessed 10 January 2025)</w:t>
      </w:r>
    </w:p>
    <w:p w14:paraId="68E4681F"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p>
    <w:p w14:paraId="1D7B49CD"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r w:rsidRPr="00F65CFD">
        <w:rPr>
          <w:rFonts w:ascii="Arial" w:eastAsia="Times New Roman" w:hAnsi="Arial" w:cs="Arial"/>
          <w:kern w:val="0"/>
          <w:shd w:val="clear" w:color="auto" w:fill="FFFFFF"/>
          <w:lang w:eastAsia="en-GB"/>
          <w14:ligatures w14:val="none"/>
        </w:rPr>
        <w:t>Fergus, S. and Zimmerman, M.A. (2005) ‘Adolescent resilience: a framework for understanding healthy development in the face of risk’, </w:t>
      </w:r>
      <w:r w:rsidRPr="00F65CFD">
        <w:rPr>
          <w:rFonts w:ascii="Arial" w:eastAsia="Times New Roman" w:hAnsi="Arial" w:cs="Arial"/>
          <w:i/>
          <w:iCs/>
          <w:kern w:val="0"/>
          <w:shd w:val="clear" w:color="auto" w:fill="FFFFFF"/>
          <w:lang w:eastAsia="en-GB"/>
          <w14:ligatures w14:val="none"/>
        </w:rPr>
        <w:t>Annual review of public health</w:t>
      </w:r>
      <w:r w:rsidRPr="00F65CFD">
        <w:rPr>
          <w:rFonts w:ascii="Arial" w:eastAsia="Times New Roman" w:hAnsi="Arial" w:cs="Arial"/>
          <w:kern w:val="0"/>
          <w:shd w:val="clear" w:color="auto" w:fill="FFFFFF"/>
          <w:lang w:eastAsia="en-GB"/>
          <w14:ligatures w14:val="none"/>
        </w:rPr>
        <w:t xml:space="preserve">, 26(1), pp. 399–419. Available at: </w:t>
      </w:r>
      <w:hyperlink r:id="rId79" w:history="1">
        <w:r w:rsidRPr="00F65CFD">
          <w:rPr>
            <w:rFonts w:ascii="Arial" w:eastAsia="Times New Roman" w:hAnsi="Arial" w:cs="Arial"/>
            <w:color w:val="467886" w:themeColor="hyperlink"/>
            <w:kern w:val="0"/>
            <w:u w:val="single"/>
            <w:shd w:val="clear" w:color="auto" w:fill="FFFFFF"/>
            <w:lang w:eastAsia="en-GB"/>
            <w14:ligatures w14:val="none"/>
          </w:rPr>
          <w:t>https://doi.org/10.1146/annurev.publhealth.26.021304.144357</w:t>
        </w:r>
      </w:hyperlink>
      <w:r w:rsidRPr="00F65CFD">
        <w:rPr>
          <w:rFonts w:ascii="Arial" w:eastAsia="Times New Roman" w:hAnsi="Arial" w:cs="Arial"/>
          <w:color w:val="3A3A3A"/>
          <w:kern w:val="0"/>
          <w:shd w:val="clear" w:color="auto" w:fill="FFFFFF"/>
          <w:lang w:eastAsia="en-GB"/>
          <w14:ligatures w14:val="none"/>
        </w:rPr>
        <w:t xml:space="preserve">. </w:t>
      </w:r>
      <w:r w:rsidRPr="00F65CFD">
        <w:rPr>
          <w:rFonts w:ascii="Arial" w:eastAsia="Times New Roman" w:hAnsi="Arial" w:cs="Arial"/>
          <w:kern w:val="0"/>
          <w:shd w:val="clear" w:color="auto" w:fill="FFFFFF"/>
          <w:lang w:eastAsia="en-GB"/>
          <w14:ligatures w14:val="none"/>
        </w:rPr>
        <w:t>(Accessed 17 January 2025)</w:t>
      </w:r>
    </w:p>
    <w:p w14:paraId="1DCAFD77" w14:textId="77777777" w:rsidR="00F65CFD" w:rsidRPr="00F65CFD" w:rsidRDefault="00F65CFD" w:rsidP="00F65CFD">
      <w:pPr>
        <w:spacing w:after="0" w:line="240" w:lineRule="auto"/>
        <w:rPr>
          <w:rFonts w:ascii="Arial" w:eastAsia="Times New Roman" w:hAnsi="Arial" w:cs="Arial"/>
          <w:color w:val="111111"/>
          <w:spacing w:val="-6"/>
          <w:kern w:val="0"/>
          <w:lang w:eastAsia="en-GB"/>
          <w14:ligatures w14:val="none"/>
        </w:rPr>
      </w:pPr>
    </w:p>
    <w:p w14:paraId="0F6A765B" w14:textId="77777777" w:rsidR="00F65CFD" w:rsidRPr="00F65CFD" w:rsidRDefault="00F65CFD" w:rsidP="00F65CFD">
      <w:pPr>
        <w:spacing w:after="0" w:line="240" w:lineRule="auto"/>
        <w:jc w:val="both"/>
        <w:rPr>
          <w:rFonts w:ascii="Arial" w:hAnsi="Arial" w:cs="Arial"/>
          <w:shd w:val="clear" w:color="auto" w:fill="FFFFFF"/>
        </w:rPr>
      </w:pPr>
      <w:r w:rsidRPr="00F65CFD">
        <w:rPr>
          <w:rFonts w:ascii="Arial" w:hAnsi="Arial" w:cs="Arial"/>
          <w:shd w:val="clear" w:color="auto" w:fill="FFFFFF"/>
        </w:rPr>
        <w:t>Fincham, K. and Berton-Hunter, B. (2003) </w:t>
      </w:r>
      <w:r w:rsidRPr="00F65CFD">
        <w:rPr>
          <w:rFonts w:ascii="Arial" w:hAnsi="Arial" w:cs="Arial"/>
          <w:i/>
          <w:iCs/>
          <w:shd w:val="clear" w:color="auto" w:fill="FFFFFF"/>
        </w:rPr>
        <w:t>State of the World’s Children 2003 [United Nations Special Session on Children]</w:t>
      </w:r>
      <w:r w:rsidRPr="00F65CFD">
        <w:rPr>
          <w:rFonts w:ascii="Arial" w:hAnsi="Arial" w:cs="Arial"/>
          <w:shd w:val="clear" w:color="auto" w:fill="FFFFFF"/>
        </w:rPr>
        <w:t>, </w:t>
      </w:r>
      <w:r w:rsidRPr="00F65CFD">
        <w:rPr>
          <w:rFonts w:ascii="Arial" w:hAnsi="Arial" w:cs="Arial"/>
          <w:i/>
          <w:iCs/>
          <w:shd w:val="clear" w:color="auto" w:fill="FFFFFF"/>
        </w:rPr>
        <w:t>Teach (Toronto)</w:t>
      </w:r>
      <w:r w:rsidRPr="00F65CFD">
        <w:rPr>
          <w:rFonts w:ascii="Arial" w:hAnsi="Arial" w:cs="Arial"/>
          <w:shd w:val="clear" w:color="auto" w:fill="FFFFFF"/>
        </w:rPr>
        <w:t xml:space="preserve">. 1454119 Ontario Ltd. DBA Teach Magazine. </w:t>
      </w:r>
    </w:p>
    <w:p w14:paraId="024B3669" w14:textId="77777777" w:rsidR="00F65CFD" w:rsidRPr="00F65CFD" w:rsidRDefault="00F65CFD" w:rsidP="00F65CFD">
      <w:pPr>
        <w:spacing w:after="0" w:line="240" w:lineRule="auto"/>
        <w:jc w:val="both"/>
        <w:rPr>
          <w:rFonts w:ascii="Arial" w:hAnsi="Arial" w:cs="Arial"/>
        </w:rPr>
      </w:pPr>
    </w:p>
    <w:p w14:paraId="1A731A36" w14:textId="77777777" w:rsidR="00F65CFD" w:rsidRPr="00F65CFD" w:rsidRDefault="00F65CFD" w:rsidP="00F65CFD">
      <w:pPr>
        <w:spacing w:after="0" w:line="240" w:lineRule="auto"/>
        <w:rPr>
          <w:rFonts w:ascii="Arial" w:eastAsia="Times New Roman" w:hAnsi="Arial" w:cs="Arial"/>
          <w:color w:val="3A3A3A"/>
          <w:kern w:val="0"/>
          <w:shd w:val="clear" w:color="auto" w:fill="FFFFFF"/>
          <w:lang w:eastAsia="en-GB"/>
          <w14:ligatures w14:val="none"/>
        </w:rPr>
      </w:pPr>
      <w:r w:rsidRPr="00F65CFD">
        <w:rPr>
          <w:rFonts w:ascii="Arial" w:eastAsia="Times New Roman" w:hAnsi="Arial" w:cs="Arial"/>
          <w:kern w:val="0"/>
          <w:shd w:val="clear" w:color="auto" w:fill="FFFFFF"/>
          <w:lang w:eastAsia="en-GB"/>
          <w14:ligatures w14:val="none"/>
        </w:rPr>
        <w:t>Garmezy, N. (1991) ‘Resilience in children’s adaptation to negative life events and stressed environments’, </w:t>
      </w:r>
      <w:r w:rsidRPr="00F65CFD">
        <w:rPr>
          <w:rFonts w:ascii="Arial" w:eastAsia="Times New Roman" w:hAnsi="Arial" w:cs="Arial"/>
          <w:i/>
          <w:iCs/>
          <w:kern w:val="0"/>
          <w:shd w:val="clear" w:color="auto" w:fill="FFFFFF"/>
          <w:lang w:eastAsia="en-GB"/>
          <w14:ligatures w14:val="none"/>
        </w:rPr>
        <w:t>Paediatric annals</w:t>
      </w:r>
      <w:r w:rsidRPr="00F65CFD">
        <w:rPr>
          <w:rFonts w:ascii="Arial" w:eastAsia="Times New Roman" w:hAnsi="Arial" w:cs="Arial"/>
          <w:kern w:val="0"/>
          <w:shd w:val="clear" w:color="auto" w:fill="FFFFFF"/>
          <w:lang w:eastAsia="en-GB"/>
          <w14:ligatures w14:val="none"/>
        </w:rPr>
        <w:t xml:space="preserve">, 20(9), pp. 459–466. Available at: </w:t>
      </w:r>
      <w:hyperlink r:id="rId80" w:history="1">
        <w:r w:rsidRPr="00F65CFD">
          <w:rPr>
            <w:rFonts w:ascii="Arial" w:eastAsia="Times New Roman" w:hAnsi="Arial" w:cs="Arial"/>
            <w:color w:val="467886" w:themeColor="hyperlink"/>
            <w:kern w:val="0"/>
            <w:u w:val="single"/>
            <w:shd w:val="clear" w:color="auto" w:fill="FFFFFF"/>
            <w:lang w:eastAsia="en-GB"/>
            <w14:ligatures w14:val="none"/>
          </w:rPr>
          <w:t>https://doi.org/10.3928/0090-4481-19910901-05</w:t>
        </w:r>
      </w:hyperlink>
      <w:r w:rsidRPr="00F65CFD">
        <w:rPr>
          <w:rFonts w:ascii="Arial" w:eastAsia="Times New Roman" w:hAnsi="Arial" w:cs="Arial"/>
          <w:color w:val="3A3A3A"/>
          <w:kern w:val="0"/>
          <w:shd w:val="clear" w:color="auto" w:fill="FFFFFF"/>
          <w:lang w:eastAsia="en-GB"/>
          <w14:ligatures w14:val="none"/>
        </w:rPr>
        <w:t>. (Accessed 16 January 2025)</w:t>
      </w:r>
    </w:p>
    <w:p w14:paraId="4CC148B5" w14:textId="77777777" w:rsidR="00F65CFD" w:rsidRPr="00F65CFD" w:rsidRDefault="00F65CFD" w:rsidP="00F65CFD">
      <w:pPr>
        <w:spacing w:after="0" w:line="240" w:lineRule="auto"/>
        <w:rPr>
          <w:rFonts w:ascii="Arial" w:eastAsia="Times New Roman" w:hAnsi="Arial" w:cs="Arial"/>
          <w:color w:val="111111"/>
          <w:spacing w:val="-6"/>
          <w:kern w:val="0"/>
          <w:lang w:eastAsia="en-GB"/>
          <w14:ligatures w14:val="none"/>
        </w:rPr>
      </w:pPr>
    </w:p>
    <w:p w14:paraId="2E0F3659" w14:textId="77777777" w:rsidR="00F65CFD" w:rsidRPr="00F65CFD" w:rsidRDefault="00F65CFD" w:rsidP="00F65CFD">
      <w:pPr>
        <w:jc w:val="both"/>
        <w:rPr>
          <w:rFonts w:ascii="Arial" w:hAnsi="Arial" w:cs="Arial"/>
        </w:rPr>
      </w:pPr>
      <w:r w:rsidRPr="00F65CFD">
        <w:rPr>
          <w:rFonts w:ascii="Arial" w:hAnsi="Arial" w:cs="Arial"/>
          <w:shd w:val="clear" w:color="auto" w:fill="FFFFFF"/>
        </w:rPr>
        <w:t>Gerdts-Andresen, T., (2021) ‘Circle of Security - Parenting: A Systematic review on Effectiveness of use of the parent training program within Multi-problem Families’, </w:t>
      </w:r>
      <w:r w:rsidRPr="00F65CFD">
        <w:rPr>
          <w:rFonts w:ascii="Arial" w:hAnsi="Arial" w:cs="Arial"/>
          <w:i/>
          <w:iCs/>
          <w:shd w:val="clear" w:color="auto" w:fill="FFFFFF"/>
        </w:rPr>
        <w:t>Nordic journal of social research</w:t>
      </w:r>
      <w:r w:rsidRPr="00F65CFD">
        <w:rPr>
          <w:rFonts w:ascii="Arial" w:hAnsi="Arial" w:cs="Arial"/>
          <w:shd w:val="clear" w:color="auto" w:fill="FFFFFF"/>
        </w:rPr>
        <w:t xml:space="preserve">, 12(1). </w:t>
      </w:r>
    </w:p>
    <w:p w14:paraId="18A4D212" w14:textId="77777777" w:rsidR="00F65CFD" w:rsidRPr="00F65CFD" w:rsidRDefault="00F65CFD" w:rsidP="00F65CFD">
      <w:pPr>
        <w:shd w:val="clear" w:color="auto" w:fill="FFFFFF"/>
        <w:spacing w:after="0" w:line="240" w:lineRule="auto"/>
        <w:rPr>
          <w:rFonts w:ascii="Arial" w:eastAsia="Times New Roman" w:hAnsi="Arial" w:cs="Arial"/>
          <w:kern w:val="36"/>
          <w:lang w:eastAsia="en-GB"/>
          <w14:ligatures w14:val="none"/>
        </w:rPr>
      </w:pPr>
      <w:r w:rsidRPr="00F65CFD">
        <w:rPr>
          <w:rFonts w:ascii="Arial" w:eastAsia="Times New Roman" w:hAnsi="Arial" w:cs="Arial"/>
          <w:kern w:val="36"/>
          <w:lang w:eastAsia="en-GB"/>
          <w14:ligatures w14:val="none"/>
        </w:rPr>
        <w:t xml:space="preserve">Gov. U.K., (2015), </w:t>
      </w:r>
      <w:r w:rsidRPr="00F65CFD">
        <w:rPr>
          <w:rFonts w:ascii="Arial" w:eastAsia="Times New Roman" w:hAnsi="Arial" w:cs="Arial"/>
          <w:i/>
          <w:iCs/>
          <w:kern w:val="36"/>
          <w:lang w:eastAsia="en-GB"/>
          <w14:ligatures w14:val="none"/>
        </w:rPr>
        <w:t>Well-being of Future Generations (Wales) Act</w:t>
      </w:r>
      <w:r w:rsidRPr="00F65CFD">
        <w:rPr>
          <w:rFonts w:ascii="Arial" w:eastAsia="Times New Roman" w:hAnsi="Arial" w:cs="Arial"/>
          <w:kern w:val="36"/>
          <w:lang w:eastAsia="en-GB"/>
          <w14:ligatures w14:val="none"/>
        </w:rPr>
        <w:t xml:space="preserve">, </w:t>
      </w:r>
      <w:hyperlink r:id="rId81" w:history="1">
        <w:r w:rsidRPr="00F65CFD">
          <w:rPr>
            <w:rFonts w:ascii="Roboto" w:eastAsia="Times New Roman" w:hAnsi="Roboto" w:cs="Times New Roman"/>
            <w:kern w:val="0"/>
            <w:lang w:eastAsia="en-GB"/>
            <w14:ligatures w14:val="none"/>
          </w:rPr>
          <w:t>Acts of the National Assembly for Wales</w:t>
        </w:r>
      </w:hyperlink>
      <w:r w:rsidRPr="00F65CFD">
        <w:rPr>
          <w:rFonts w:ascii="Roboto" w:eastAsia="Times New Roman" w:hAnsi="Roboto" w:cs="Times New Roman"/>
          <w:kern w:val="0"/>
          <w:lang w:eastAsia="en-GB"/>
          <w14:ligatures w14:val="none"/>
        </w:rPr>
        <w:t xml:space="preserve"> </w:t>
      </w:r>
      <w:r w:rsidRPr="00F65CFD">
        <w:rPr>
          <w:rFonts w:ascii="Arial" w:eastAsia="Times New Roman" w:hAnsi="Arial" w:cs="Arial"/>
          <w:kern w:val="36"/>
          <w:lang w:eastAsia="en-GB"/>
          <w14:ligatures w14:val="none"/>
        </w:rPr>
        <w:t>anaw 2. Available at</w:t>
      </w:r>
      <w:r w:rsidRPr="00F65CFD">
        <w:rPr>
          <w:rFonts w:ascii="Arial" w:eastAsia="Times New Roman" w:hAnsi="Arial" w:cs="Arial"/>
          <w:color w:val="1E1E1E"/>
          <w:kern w:val="36"/>
          <w:lang w:eastAsia="en-GB"/>
          <w14:ligatures w14:val="none"/>
        </w:rPr>
        <w:t xml:space="preserve">: </w:t>
      </w:r>
      <w:hyperlink r:id="rId82" w:history="1">
        <w:r w:rsidRPr="00F65CFD">
          <w:rPr>
            <w:rFonts w:ascii="Arial" w:eastAsia="Times New Roman" w:hAnsi="Arial" w:cs="Arial"/>
            <w:color w:val="467886" w:themeColor="hyperlink"/>
            <w:kern w:val="36"/>
            <w:u w:val="single"/>
            <w:lang w:eastAsia="en-GB"/>
            <w14:ligatures w14:val="none"/>
          </w:rPr>
          <w:t>https://www.legislation.gov.uk/anaw/2015/2/contents</w:t>
        </w:r>
      </w:hyperlink>
      <w:r w:rsidRPr="00F65CFD">
        <w:rPr>
          <w:rFonts w:ascii="Arial" w:eastAsia="Times New Roman" w:hAnsi="Arial" w:cs="Arial"/>
          <w:color w:val="1E1E1E"/>
          <w:kern w:val="36"/>
          <w:lang w:eastAsia="en-GB"/>
          <w14:ligatures w14:val="none"/>
        </w:rPr>
        <w:t xml:space="preserve"> </w:t>
      </w:r>
      <w:r w:rsidRPr="00F65CFD">
        <w:rPr>
          <w:rFonts w:ascii="Arial" w:eastAsia="Times New Roman" w:hAnsi="Arial" w:cs="Arial"/>
          <w:kern w:val="36"/>
          <w:lang w:eastAsia="en-GB"/>
          <w14:ligatures w14:val="none"/>
        </w:rPr>
        <w:t>(Accessed 15 January 2025)</w:t>
      </w:r>
    </w:p>
    <w:p w14:paraId="061BB8EF" w14:textId="77777777" w:rsidR="00F65CFD" w:rsidRPr="00F65CFD" w:rsidRDefault="00F65CFD" w:rsidP="00F65CFD">
      <w:pPr>
        <w:shd w:val="clear" w:color="auto" w:fill="FFFFFF"/>
        <w:spacing w:after="0" w:line="240" w:lineRule="auto"/>
        <w:rPr>
          <w:rFonts w:ascii="Roboto" w:eastAsia="Times New Roman" w:hAnsi="Roboto" w:cs="Times New Roman"/>
          <w:kern w:val="0"/>
          <w:lang w:eastAsia="en-GB"/>
          <w14:ligatures w14:val="none"/>
        </w:rPr>
      </w:pPr>
    </w:p>
    <w:p w14:paraId="70926BBC"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bookmarkStart w:id="21" w:name="_Hlk187668707"/>
      <w:r w:rsidRPr="00F65CFD">
        <w:rPr>
          <w:rFonts w:ascii="Arial" w:eastAsia="Times New Roman" w:hAnsi="Arial" w:cs="Arial"/>
          <w:kern w:val="0"/>
          <w:shd w:val="clear" w:color="auto" w:fill="FFFFFF"/>
          <w:lang w:eastAsia="en-GB"/>
          <w14:ligatures w14:val="none"/>
        </w:rPr>
        <w:t>Grady, A. </w:t>
      </w:r>
      <w:r w:rsidRPr="00F65CFD">
        <w:rPr>
          <w:rFonts w:ascii="Arial" w:eastAsia="Times New Roman" w:hAnsi="Arial" w:cs="Arial"/>
          <w:i/>
          <w:iCs/>
          <w:kern w:val="0"/>
          <w:shd w:val="clear" w:color="auto" w:fill="FFFFFF"/>
          <w:lang w:eastAsia="en-GB"/>
          <w14:ligatures w14:val="none"/>
        </w:rPr>
        <w:t>et al.</w:t>
      </w:r>
      <w:r w:rsidRPr="00F65CFD">
        <w:rPr>
          <w:rFonts w:ascii="Arial" w:eastAsia="Times New Roman" w:hAnsi="Arial" w:cs="Arial"/>
          <w:kern w:val="0"/>
          <w:shd w:val="clear" w:color="auto" w:fill="FFFFFF"/>
          <w:lang w:eastAsia="en-GB"/>
          <w14:ligatures w14:val="none"/>
        </w:rPr>
        <w:t xml:space="preserve"> (2024) </w:t>
      </w:r>
      <w:bookmarkEnd w:id="21"/>
      <w:r w:rsidRPr="00F65CFD">
        <w:rPr>
          <w:rFonts w:ascii="Arial" w:eastAsia="Times New Roman" w:hAnsi="Arial" w:cs="Arial"/>
          <w:kern w:val="0"/>
          <w:shd w:val="clear" w:color="auto" w:fill="FFFFFF"/>
          <w:lang w:eastAsia="en-GB"/>
          <w14:ligatures w14:val="none"/>
        </w:rPr>
        <w:t>‘The impact of early childhood education and care-based interventions on child physical activity, anthropometrics, fundamental movement skills, cognitive functioning, and social-emotional wellbeing: A systematic review and meta-analysis’, </w:t>
      </w:r>
      <w:r w:rsidRPr="00F65CFD">
        <w:rPr>
          <w:rFonts w:ascii="Arial" w:eastAsia="Times New Roman" w:hAnsi="Arial" w:cs="Arial"/>
          <w:i/>
          <w:iCs/>
          <w:kern w:val="0"/>
          <w:shd w:val="clear" w:color="auto" w:fill="FFFFFF"/>
          <w:lang w:eastAsia="en-GB"/>
          <w14:ligatures w14:val="none"/>
        </w:rPr>
        <w:t>Obesity reviews</w:t>
      </w:r>
      <w:r w:rsidRPr="00F65CFD">
        <w:rPr>
          <w:rFonts w:ascii="Arial" w:eastAsia="Times New Roman" w:hAnsi="Arial" w:cs="Arial"/>
          <w:kern w:val="0"/>
          <w:shd w:val="clear" w:color="auto" w:fill="FFFFFF"/>
          <w:lang w:eastAsia="en-GB"/>
          <w14:ligatures w14:val="none"/>
        </w:rPr>
        <w:t xml:space="preserve">, pp. e13852-. Available at: </w:t>
      </w:r>
      <w:hyperlink r:id="rId83" w:history="1">
        <w:r w:rsidRPr="00F65CFD">
          <w:rPr>
            <w:rFonts w:ascii="Arial" w:eastAsia="Times New Roman" w:hAnsi="Arial" w:cs="Arial"/>
            <w:color w:val="467886" w:themeColor="hyperlink"/>
            <w:kern w:val="0"/>
            <w:u w:val="single"/>
            <w:shd w:val="clear" w:color="auto" w:fill="FFFFFF"/>
            <w:lang w:eastAsia="en-GB"/>
            <w14:ligatures w14:val="none"/>
          </w:rPr>
          <w:t>https://doi.org/10.1111/obr.13852</w:t>
        </w:r>
      </w:hyperlink>
      <w:r w:rsidRPr="00F65CFD">
        <w:rPr>
          <w:rFonts w:ascii="Arial" w:eastAsia="Times New Roman" w:hAnsi="Arial" w:cs="Arial"/>
          <w:color w:val="3A3A3A"/>
          <w:kern w:val="0"/>
          <w:shd w:val="clear" w:color="auto" w:fill="FFFFFF"/>
          <w:lang w:eastAsia="en-GB"/>
          <w14:ligatures w14:val="none"/>
        </w:rPr>
        <w:t xml:space="preserve">. </w:t>
      </w:r>
      <w:r w:rsidRPr="00F65CFD">
        <w:rPr>
          <w:rFonts w:ascii="Arial" w:eastAsia="Times New Roman" w:hAnsi="Arial" w:cs="Arial"/>
          <w:kern w:val="0"/>
          <w:shd w:val="clear" w:color="auto" w:fill="FFFFFF"/>
          <w:lang w:eastAsia="en-GB"/>
          <w14:ligatures w14:val="none"/>
        </w:rPr>
        <w:t>(Accessed 10 January 2025)</w:t>
      </w:r>
    </w:p>
    <w:p w14:paraId="3C3BED01"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p>
    <w:p w14:paraId="620013CE"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r w:rsidRPr="00F65CFD">
        <w:rPr>
          <w:rFonts w:ascii="Arial" w:eastAsia="Times New Roman" w:hAnsi="Arial" w:cs="Arial"/>
          <w:kern w:val="0"/>
          <w:shd w:val="clear" w:color="auto" w:fill="FFFFFF"/>
          <w:lang w:eastAsia="en-GB"/>
          <w14:ligatures w14:val="none"/>
        </w:rPr>
        <w:t>Guldeste, G., Van der Kaap-Deeder, J. and Mouratidis, A. (2024) ‘Between Rock and a Hard Place: Internal and External Psychological Control and Preschoolers’ Social-Emotional Adjustment’, </w:t>
      </w:r>
      <w:r w:rsidRPr="00F65CFD">
        <w:rPr>
          <w:rFonts w:ascii="Arial" w:eastAsia="Times New Roman" w:hAnsi="Arial" w:cs="Arial"/>
          <w:i/>
          <w:iCs/>
          <w:kern w:val="0"/>
          <w:shd w:val="clear" w:color="auto" w:fill="FFFFFF"/>
          <w:lang w:eastAsia="en-GB"/>
          <w14:ligatures w14:val="none"/>
        </w:rPr>
        <w:t>Journal of child and family studies</w:t>
      </w:r>
      <w:r w:rsidRPr="00F65CFD">
        <w:rPr>
          <w:rFonts w:ascii="Arial" w:eastAsia="Times New Roman" w:hAnsi="Arial" w:cs="Arial"/>
          <w:kern w:val="0"/>
          <w:shd w:val="clear" w:color="auto" w:fill="FFFFFF"/>
          <w:lang w:eastAsia="en-GB"/>
          <w14:ligatures w14:val="none"/>
        </w:rPr>
        <w:t xml:space="preserve">, 33(10), pp. 3258–3271. Available at: </w:t>
      </w:r>
      <w:hyperlink r:id="rId84" w:history="1">
        <w:r w:rsidRPr="00F65CFD">
          <w:rPr>
            <w:rFonts w:ascii="Arial" w:eastAsia="Times New Roman" w:hAnsi="Arial" w:cs="Arial"/>
            <w:color w:val="467886" w:themeColor="hyperlink"/>
            <w:kern w:val="0"/>
            <w:u w:val="single"/>
            <w:shd w:val="clear" w:color="auto" w:fill="FFFFFF"/>
            <w:lang w:eastAsia="en-GB"/>
            <w14:ligatures w14:val="none"/>
          </w:rPr>
          <w:t>https://doi.org/10.1007/s10826-024-02901-3</w:t>
        </w:r>
      </w:hyperlink>
      <w:r w:rsidRPr="00F65CFD">
        <w:rPr>
          <w:rFonts w:ascii="Arial" w:eastAsia="Times New Roman" w:hAnsi="Arial" w:cs="Arial"/>
          <w:color w:val="3A3A3A"/>
          <w:kern w:val="0"/>
          <w:shd w:val="clear" w:color="auto" w:fill="FFFFFF"/>
          <w:lang w:eastAsia="en-GB"/>
          <w14:ligatures w14:val="none"/>
        </w:rPr>
        <w:t xml:space="preserve">. </w:t>
      </w:r>
      <w:bookmarkStart w:id="22" w:name="_Hlk187672254"/>
      <w:r w:rsidRPr="00F65CFD">
        <w:rPr>
          <w:rFonts w:ascii="Arial" w:eastAsia="Times New Roman" w:hAnsi="Arial" w:cs="Arial"/>
          <w:kern w:val="0"/>
          <w:shd w:val="clear" w:color="auto" w:fill="FFFFFF"/>
          <w:lang w:eastAsia="en-GB"/>
          <w14:ligatures w14:val="none"/>
        </w:rPr>
        <w:t>(Accessed 10 January 2025)</w:t>
      </w:r>
    </w:p>
    <w:p w14:paraId="3804BAE0" w14:textId="77777777" w:rsidR="00F65CFD" w:rsidRDefault="00F65CFD" w:rsidP="00F65CFD">
      <w:pPr>
        <w:spacing w:after="0" w:line="240" w:lineRule="auto"/>
        <w:rPr>
          <w:rFonts w:ascii="Arial" w:eastAsia="Times New Roman" w:hAnsi="Arial" w:cs="Arial"/>
          <w:kern w:val="0"/>
          <w:shd w:val="clear" w:color="auto" w:fill="FFFFFF"/>
          <w:lang w:eastAsia="en-GB"/>
          <w14:ligatures w14:val="none"/>
        </w:rPr>
      </w:pPr>
    </w:p>
    <w:p w14:paraId="79761B5D" w14:textId="77777777" w:rsidR="00691EB2" w:rsidRDefault="00691EB2" w:rsidP="00F65CFD">
      <w:pPr>
        <w:spacing w:after="0" w:line="240" w:lineRule="auto"/>
        <w:rPr>
          <w:rFonts w:ascii="Arial" w:eastAsia="Times New Roman" w:hAnsi="Arial" w:cs="Arial"/>
          <w:kern w:val="0"/>
          <w:shd w:val="clear" w:color="auto" w:fill="FFFFFF"/>
          <w:lang w:eastAsia="en-GB"/>
          <w14:ligatures w14:val="none"/>
        </w:rPr>
      </w:pPr>
    </w:p>
    <w:p w14:paraId="29733A48" w14:textId="77777777" w:rsidR="00691EB2" w:rsidRPr="00F65CFD" w:rsidRDefault="00691EB2" w:rsidP="00F65CFD">
      <w:pPr>
        <w:spacing w:after="0" w:line="240" w:lineRule="auto"/>
        <w:rPr>
          <w:rFonts w:ascii="Arial" w:eastAsia="Times New Roman" w:hAnsi="Arial" w:cs="Arial"/>
          <w:kern w:val="0"/>
          <w:shd w:val="clear" w:color="auto" w:fill="FFFFFF"/>
          <w:lang w:eastAsia="en-GB"/>
          <w14:ligatures w14:val="none"/>
        </w:rPr>
      </w:pPr>
    </w:p>
    <w:p w14:paraId="2881F293" w14:textId="77777777" w:rsidR="00F65CFD" w:rsidRPr="00F65CFD" w:rsidRDefault="00F65CFD" w:rsidP="00F65CFD">
      <w:pPr>
        <w:spacing w:after="0" w:line="240" w:lineRule="auto"/>
        <w:jc w:val="both"/>
        <w:rPr>
          <w:rFonts w:ascii="Arial" w:hAnsi="Arial" w:cs="Arial"/>
        </w:rPr>
      </w:pPr>
      <w:bookmarkStart w:id="23" w:name="_Hlk187692590"/>
      <w:bookmarkEnd w:id="22"/>
      <w:r w:rsidRPr="00F65CFD">
        <w:rPr>
          <w:rFonts w:ascii="Arial" w:hAnsi="Arial" w:cs="Arial"/>
          <w:color w:val="212529"/>
          <w:shd w:val="clear" w:color="auto" w:fill="FFFFFF"/>
        </w:rPr>
        <w:t>Hammond, J., Hallingberg, B., Moore, G.F., (2020</w:t>
      </w:r>
      <w:bookmarkEnd w:id="23"/>
      <w:r w:rsidRPr="00F65CFD">
        <w:rPr>
          <w:rFonts w:ascii="Arial" w:hAnsi="Arial" w:cs="Arial"/>
          <w:i/>
          <w:iCs/>
          <w:color w:val="212529"/>
          <w:shd w:val="clear" w:color="auto" w:fill="FFFFFF"/>
        </w:rPr>
        <w:t>) Student Health and Well-being in Wales: Report of the 2019/20 School Health Research Network Student Health and Well-being Survey.</w:t>
      </w:r>
      <w:r w:rsidRPr="00F65CFD">
        <w:rPr>
          <w:rFonts w:ascii="Arial" w:hAnsi="Arial" w:cs="Arial"/>
          <w:color w:val="212529"/>
          <w:shd w:val="clear" w:color="auto" w:fill="FFFFFF"/>
        </w:rPr>
        <w:t xml:space="preserve"> Cardiff University, School Health Research Network. Available at:</w:t>
      </w:r>
      <w:r w:rsidRPr="00F65CFD">
        <w:rPr>
          <w:rFonts w:ascii="Arial" w:hAnsi="Arial" w:cs="Arial"/>
          <w:color w:val="212529"/>
        </w:rPr>
        <w:br/>
      </w:r>
      <w:hyperlink r:id="rId85" w:tgtFrame="_blank" w:history="1">
        <w:r w:rsidRPr="00F65CFD">
          <w:rPr>
            <w:rFonts w:ascii="Arial" w:hAnsi="Arial" w:cs="Arial"/>
            <w:color w:val="1978A3"/>
            <w:u w:val="single"/>
            <w:shd w:val="clear" w:color="auto" w:fill="FFFFFF"/>
          </w:rPr>
          <w:t>https://www.shrn.org.uk/wp-content/uploads/2021/08/SHRN-NR-FINAL-23_03_21-en-AMENDED06.08.21.pdf </w:t>
        </w:r>
      </w:hyperlink>
      <w:r w:rsidRPr="00F65CFD">
        <w:rPr>
          <w:rFonts w:ascii="Arial" w:hAnsi="Arial" w:cs="Arial"/>
        </w:rPr>
        <w:t xml:space="preserve"> </w:t>
      </w:r>
      <w:bookmarkStart w:id="24" w:name="_Hlk187692400"/>
      <w:r w:rsidRPr="00F65CFD">
        <w:rPr>
          <w:rFonts w:ascii="Arial" w:hAnsi="Arial" w:cs="Arial"/>
        </w:rPr>
        <w:t>(Accessed: 12 January 2025)</w:t>
      </w:r>
      <w:bookmarkEnd w:id="24"/>
    </w:p>
    <w:p w14:paraId="1C43CB05" w14:textId="77777777" w:rsidR="00F65CFD" w:rsidRPr="00F65CFD" w:rsidRDefault="00F65CFD" w:rsidP="00F65CFD">
      <w:pPr>
        <w:spacing w:after="0" w:line="240" w:lineRule="auto"/>
        <w:jc w:val="both"/>
        <w:rPr>
          <w:rFonts w:ascii="Arial" w:eastAsia="Times New Roman" w:hAnsi="Arial" w:cs="Arial"/>
          <w:color w:val="00B0F0"/>
          <w:spacing w:val="-6"/>
          <w:kern w:val="0"/>
          <w:lang w:eastAsia="en-GB"/>
          <w14:ligatures w14:val="none"/>
        </w:rPr>
      </w:pPr>
    </w:p>
    <w:p w14:paraId="6FD03B95" w14:textId="77777777" w:rsidR="00F65CFD" w:rsidRPr="00F65CFD" w:rsidRDefault="00F65CFD" w:rsidP="00F65CFD">
      <w:pPr>
        <w:spacing w:after="0" w:line="240" w:lineRule="auto"/>
        <w:rPr>
          <w:rFonts w:ascii="Arial" w:eastAsia="Times New Roman" w:hAnsi="Arial" w:cs="Arial"/>
          <w:color w:val="3A3A3A"/>
          <w:kern w:val="0"/>
          <w:shd w:val="clear" w:color="auto" w:fill="FFFFFF"/>
          <w:lang w:eastAsia="en-GB"/>
          <w14:ligatures w14:val="none"/>
        </w:rPr>
      </w:pPr>
      <w:bookmarkStart w:id="25" w:name="_Hlk187741557"/>
      <w:r w:rsidRPr="00F65CFD">
        <w:rPr>
          <w:rFonts w:ascii="Arial" w:eastAsia="Times New Roman" w:hAnsi="Arial" w:cs="Arial"/>
          <w:spacing w:val="-6"/>
          <w:kern w:val="0"/>
          <w:lang w:eastAsia="en-GB"/>
          <w14:ligatures w14:val="none"/>
        </w:rPr>
        <w:t>Harvard Centre on the Developing Child. (2017). </w:t>
      </w:r>
      <w:bookmarkEnd w:id="25"/>
      <w:r w:rsidRPr="00F65CFD">
        <w:rPr>
          <w:rFonts w:ascii="Arial" w:eastAsia="Times New Roman" w:hAnsi="Arial" w:cs="Arial"/>
          <w:i/>
          <w:iCs/>
          <w:spacing w:val="-6"/>
          <w:kern w:val="0"/>
          <w:lang w:eastAsia="en-GB"/>
          <w14:ligatures w14:val="none"/>
        </w:rPr>
        <w:t>Building core capabilities for life: The science behind the skills adults need to succeed in parenting and the workplace</w:t>
      </w:r>
      <w:r w:rsidRPr="00F65CFD">
        <w:rPr>
          <w:rFonts w:ascii="Arial" w:eastAsia="Times New Roman" w:hAnsi="Arial" w:cs="Arial"/>
          <w:spacing w:val="-6"/>
          <w:kern w:val="0"/>
          <w:lang w:eastAsia="en-GB"/>
          <w14:ligatures w14:val="none"/>
        </w:rPr>
        <w:t xml:space="preserve">. Available at: </w:t>
      </w:r>
      <w:hyperlink r:id="rId86" w:history="1">
        <w:r w:rsidRPr="00F65CFD">
          <w:rPr>
            <w:rFonts w:ascii="Arial" w:eastAsia="Times New Roman" w:hAnsi="Arial" w:cs="Arial"/>
            <w:color w:val="467886" w:themeColor="hyperlink"/>
            <w:spacing w:val="-6"/>
            <w:kern w:val="0"/>
            <w:u w:val="single"/>
            <w:lang w:eastAsia="en-GB"/>
            <w14:ligatures w14:val="none"/>
          </w:rPr>
          <w:t>https://developingchild.harvard.edu/wp-content/uploads/2024/10/Building-Core-Capabilities-for-Life.pdf</w:t>
        </w:r>
      </w:hyperlink>
      <w:r w:rsidRPr="00F65CFD">
        <w:rPr>
          <w:rFonts w:ascii="Arial" w:eastAsia="Times New Roman" w:hAnsi="Arial" w:cs="Arial"/>
          <w:color w:val="00B0F0"/>
          <w:spacing w:val="-6"/>
          <w:kern w:val="0"/>
          <w:lang w:eastAsia="en-GB"/>
          <w14:ligatures w14:val="none"/>
        </w:rPr>
        <w:t xml:space="preserve"> </w:t>
      </w:r>
      <w:r w:rsidRPr="00F65CFD">
        <w:rPr>
          <w:rFonts w:ascii="Arial" w:eastAsia="Times New Roman" w:hAnsi="Arial" w:cs="Arial"/>
          <w:color w:val="3A3A3A"/>
          <w:kern w:val="0"/>
          <w:shd w:val="clear" w:color="auto" w:fill="FFFFFF"/>
          <w:lang w:eastAsia="en-GB"/>
          <w14:ligatures w14:val="none"/>
        </w:rPr>
        <w:t>(Accessed 16 January 2025)</w:t>
      </w:r>
    </w:p>
    <w:p w14:paraId="228AA8E2" w14:textId="77777777" w:rsidR="00F65CFD" w:rsidRPr="00F65CFD" w:rsidRDefault="00F65CFD" w:rsidP="00F65CFD">
      <w:pPr>
        <w:spacing w:after="0" w:line="240" w:lineRule="auto"/>
        <w:rPr>
          <w:rFonts w:ascii="Arial" w:eastAsia="Times New Roman" w:hAnsi="Arial" w:cs="Arial"/>
          <w:color w:val="3A3A3A"/>
          <w:kern w:val="0"/>
          <w:shd w:val="clear" w:color="auto" w:fill="FFFFFF"/>
          <w:lang w:eastAsia="en-GB"/>
          <w14:ligatures w14:val="none"/>
        </w:rPr>
      </w:pPr>
    </w:p>
    <w:p w14:paraId="3C7DB35A" w14:textId="77777777" w:rsidR="00F65CFD" w:rsidRPr="00F65CFD" w:rsidRDefault="00F65CFD" w:rsidP="00F65CFD">
      <w:pPr>
        <w:spacing w:after="0" w:line="240" w:lineRule="auto"/>
        <w:jc w:val="both"/>
        <w:rPr>
          <w:rFonts w:ascii="Arial" w:hAnsi="Arial" w:cs="Arial"/>
        </w:rPr>
      </w:pPr>
      <w:bookmarkStart w:id="26" w:name="_Hlk187692451"/>
      <w:r w:rsidRPr="00F65CFD">
        <w:rPr>
          <w:rFonts w:ascii="Arial" w:hAnsi="Arial" w:cs="Arial"/>
          <w:shd w:val="clear" w:color="auto" w:fill="FFFFFF"/>
        </w:rPr>
        <w:t>Horen, N.M. </w:t>
      </w:r>
      <w:r w:rsidRPr="00F65CFD">
        <w:rPr>
          <w:rFonts w:ascii="Arial" w:hAnsi="Arial" w:cs="Arial"/>
          <w:i/>
          <w:iCs/>
          <w:shd w:val="clear" w:color="auto" w:fill="FFFFFF"/>
        </w:rPr>
        <w:t>et al.</w:t>
      </w:r>
      <w:r w:rsidRPr="00F65CFD">
        <w:rPr>
          <w:rFonts w:ascii="Arial" w:hAnsi="Arial" w:cs="Arial"/>
          <w:shd w:val="clear" w:color="auto" w:fill="FFFFFF"/>
        </w:rPr>
        <w:t> (2024</w:t>
      </w:r>
      <w:bookmarkEnd w:id="26"/>
      <w:r w:rsidRPr="00F65CFD">
        <w:rPr>
          <w:rFonts w:ascii="Arial" w:hAnsi="Arial" w:cs="Arial"/>
          <w:shd w:val="clear" w:color="auto" w:fill="FFFFFF"/>
        </w:rPr>
        <w:t>) ‘Infant and Early Childhood Mental Health (IECMH) and Early Childhood Intervention: Intentional Integration’, </w:t>
      </w:r>
      <w:r w:rsidRPr="00F65CFD">
        <w:rPr>
          <w:rFonts w:ascii="Arial" w:hAnsi="Arial" w:cs="Arial"/>
          <w:i/>
          <w:iCs/>
          <w:shd w:val="clear" w:color="auto" w:fill="FFFFFF"/>
        </w:rPr>
        <w:t>International journal of environmental research and public health</w:t>
      </w:r>
      <w:r w:rsidRPr="00F65CFD">
        <w:rPr>
          <w:rFonts w:ascii="Arial" w:hAnsi="Arial" w:cs="Arial"/>
          <w:shd w:val="clear" w:color="auto" w:fill="FFFFFF"/>
        </w:rPr>
        <w:t xml:space="preserve">, 21(7), pp. 870-. Available at: </w:t>
      </w:r>
      <w:hyperlink r:id="rId87" w:history="1">
        <w:r w:rsidRPr="00F65CFD">
          <w:rPr>
            <w:rFonts w:ascii="Arial" w:hAnsi="Arial" w:cs="Arial"/>
            <w:color w:val="467886" w:themeColor="hyperlink"/>
            <w:u w:val="single"/>
            <w:shd w:val="clear" w:color="auto" w:fill="FFFFFF"/>
          </w:rPr>
          <w:t>https://doi.org/10.3390/ijerph21070870</w:t>
        </w:r>
      </w:hyperlink>
      <w:r w:rsidRPr="00F65CFD">
        <w:rPr>
          <w:rFonts w:ascii="Arial" w:hAnsi="Arial" w:cs="Arial"/>
          <w:color w:val="3A3A3A"/>
          <w:shd w:val="clear" w:color="auto" w:fill="FFFFFF"/>
        </w:rPr>
        <w:t xml:space="preserve">. </w:t>
      </w:r>
      <w:r w:rsidRPr="00F65CFD">
        <w:rPr>
          <w:rFonts w:ascii="Arial" w:hAnsi="Arial" w:cs="Arial"/>
        </w:rPr>
        <w:t>(Accessed: 12 January 2025)</w:t>
      </w:r>
    </w:p>
    <w:p w14:paraId="3D5667F3" w14:textId="77777777" w:rsidR="00F65CFD" w:rsidRPr="00F65CFD" w:rsidRDefault="00F65CFD" w:rsidP="00F65CFD">
      <w:pPr>
        <w:spacing w:after="0" w:line="240" w:lineRule="auto"/>
        <w:jc w:val="both"/>
        <w:rPr>
          <w:rFonts w:ascii="Arial" w:hAnsi="Arial" w:cs="Arial"/>
          <w:color w:val="3A3A3A"/>
          <w:shd w:val="clear" w:color="auto" w:fill="FFFFFF"/>
        </w:rPr>
      </w:pPr>
    </w:p>
    <w:p w14:paraId="36DEB077"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r w:rsidRPr="00F65CFD">
        <w:rPr>
          <w:rFonts w:ascii="Arial" w:eastAsia="Times New Roman" w:hAnsi="Arial" w:cs="Arial"/>
          <w:kern w:val="0"/>
          <w:shd w:val="clear" w:color="auto" w:fill="FFFFFF"/>
          <w:lang w:eastAsia="en-GB"/>
          <w14:ligatures w14:val="none"/>
        </w:rPr>
        <w:t>Hosokawa, R. </w:t>
      </w:r>
      <w:r w:rsidRPr="00F65CFD">
        <w:rPr>
          <w:rFonts w:ascii="Arial" w:eastAsia="Times New Roman" w:hAnsi="Arial" w:cs="Arial"/>
          <w:i/>
          <w:iCs/>
          <w:kern w:val="0"/>
          <w:shd w:val="clear" w:color="auto" w:fill="FFFFFF"/>
          <w:lang w:eastAsia="en-GB"/>
          <w14:ligatures w14:val="none"/>
        </w:rPr>
        <w:t>et al.</w:t>
      </w:r>
      <w:r w:rsidRPr="00F65CFD">
        <w:rPr>
          <w:rFonts w:ascii="Arial" w:eastAsia="Times New Roman" w:hAnsi="Arial" w:cs="Arial"/>
          <w:kern w:val="0"/>
          <w:shd w:val="clear" w:color="auto" w:fill="FFFFFF"/>
          <w:lang w:eastAsia="en-GB"/>
          <w14:ligatures w14:val="none"/>
        </w:rPr>
        <w:t> (2024) ‘Enhancing social-emotional skills in early childhood: intervention study on the effectiveness of social and emotional learning’, </w:t>
      </w:r>
      <w:r w:rsidRPr="00F65CFD">
        <w:rPr>
          <w:rFonts w:ascii="Arial" w:eastAsia="Times New Roman" w:hAnsi="Arial" w:cs="Arial"/>
          <w:i/>
          <w:iCs/>
          <w:kern w:val="0"/>
          <w:shd w:val="clear" w:color="auto" w:fill="FFFFFF"/>
          <w:lang w:eastAsia="en-GB"/>
          <w14:ligatures w14:val="none"/>
        </w:rPr>
        <w:t>BMC Psychology</w:t>
      </w:r>
      <w:r w:rsidRPr="00F65CFD">
        <w:rPr>
          <w:rFonts w:ascii="Arial" w:eastAsia="Times New Roman" w:hAnsi="Arial" w:cs="Arial"/>
          <w:kern w:val="0"/>
          <w:shd w:val="clear" w:color="auto" w:fill="FFFFFF"/>
          <w:lang w:eastAsia="en-GB"/>
          <w14:ligatures w14:val="none"/>
        </w:rPr>
        <w:t xml:space="preserve">, 12(1), pp. 761–19. Available at: </w:t>
      </w:r>
      <w:hyperlink r:id="rId88" w:history="1">
        <w:r w:rsidRPr="00F65CFD">
          <w:rPr>
            <w:rFonts w:ascii="Arial" w:eastAsia="Times New Roman" w:hAnsi="Arial" w:cs="Arial"/>
            <w:color w:val="467886" w:themeColor="hyperlink"/>
            <w:kern w:val="0"/>
            <w:u w:val="single"/>
            <w:shd w:val="clear" w:color="auto" w:fill="FFFFFF"/>
            <w:lang w:eastAsia="en-GB"/>
            <w14:ligatures w14:val="none"/>
          </w:rPr>
          <w:t>https://doi.org/10.1186/s40359-024-02280-w</w:t>
        </w:r>
      </w:hyperlink>
      <w:r w:rsidRPr="00F65CFD">
        <w:rPr>
          <w:rFonts w:ascii="Arial" w:eastAsia="Times New Roman" w:hAnsi="Arial" w:cs="Arial"/>
          <w:color w:val="3A3A3A"/>
          <w:kern w:val="0"/>
          <w:shd w:val="clear" w:color="auto" w:fill="FFFFFF"/>
          <w:lang w:eastAsia="en-GB"/>
          <w14:ligatures w14:val="none"/>
        </w:rPr>
        <w:t xml:space="preserve">. </w:t>
      </w:r>
      <w:r w:rsidRPr="00F65CFD">
        <w:rPr>
          <w:rFonts w:ascii="Arial" w:eastAsia="Times New Roman" w:hAnsi="Arial" w:cs="Arial"/>
          <w:kern w:val="0"/>
          <w:shd w:val="clear" w:color="auto" w:fill="FFFFFF"/>
          <w:lang w:eastAsia="en-GB"/>
          <w14:ligatures w14:val="none"/>
        </w:rPr>
        <w:t>(Accessed 12 January 2025)</w:t>
      </w:r>
    </w:p>
    <w:p w14:paraId="1824A13F" w14:textId="77777777" w:rsidR="00F65CFD" w:rsidRPr="00F65CFD" w:rsidRDefault="00F65CFD" w:rsidP="00F65CFD">
      <w:pPr>
        <w:spacing w:after="0" w:line="240" w:lineRule="auto"/>
        <w:rPr>
          <w:rFonts w:ascii="Arial" w:eastAsia="Times New Roman" w:hAnsi="Arial" w:cs="Arial"/>
          <w:spacing w:val="-6"/>
          <w:kern w:val="0"/>
          <w:lang w:eastAsia="en-GB"/>
          <w14:ligatures w14:val="none"/>
        </w:rPr>
      </w:pPr>
    </w:p>
    <w:p w14:paraId="504AA376"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p>
    <w:p w14:paraId="5A6DBAD6" w14:textId="77777777" w:rsidR="00F65CFD" w:rsidRPr="00F65CFD" w:rsidRDefault="00F65CFD" w:rsidP="00F65CFD">
      <w:pPr>
        <w:spacing w:after="0" w:line="240" w:lineRule="auto"/>
        <w:jc w:val="both"/>
        <w:rPr>
          <w:rFonts w:ascii="Arial" w:eastAsia="Times New Roman" w:hAnsi="Arial" w:cs="Arial"/>
          <w:spacing w:val="-6"/>
          <w:kern w:val="0"/>
          <w:lang w:eastAsia="en-GB"/>
          <w14:ligatures w14:val="none"/>
        </w:rPr>
      </w:pPr>
      <w:r w:rsidRPr="00F65CFD">
        <w:rPr>
          <w:rFonts w:ascii="Arial" w:eastAsia="Times New Roman" w:hAnsi="Arial" w:cs="Arial"/>
          <w:spacing w:val="-6"/>
          <w:kern w:val="0"/>
          <w:lang w:eastAsia="en-GB"/>
          <w14:ligatures w14:val="none"/>
        </w:rPr>
        <w:t>Hughes, B. (2012). </w:t>
      </w:r>
      <w:r w:rsidRPr="00F65CFD">
        <w:rPr>
          <w:rFonts w:ascii="Arial" w:eastAsia="Times New Roman" w:hAnsi="Arial" w:cs="Arial"/>
          <w:i/>
          <w:iCs/>
          <w:spacing w:val="-6"/>
          <w:kern w:val="0"/>
          <w:lang w:eastAsia="en-GB"/>
          <w14:ligatures w14:val="none"/>
        </w:rPr>
        <w:t>Evolutionary play work and reflective analytic practice.</w:t>
      </w:r>
      <w:r w:rsidRPr="00F65CFD">
        <w:rPr>
          <w:rFonts w:ascii="Arial" w:eastAsia="Times New Roman" w:hAnsi="Arial" w:cs="Arial"/>
          <w:spacing w:val="-6"/>
          <w:kern w:val="0"/>
          <w:lang w:eastAsia="en-GB"/>
          <w14:ligatures w14:val="none"/>
        </w:rPr>
        <w:t xml:space="preserve"> (2</w:t>
      </w:r>
      <w:r w:rsidRPr="00F65CFD">
        <w:rPr>
          <w:rFonts w:ascii="Arial" w:eastAsia="Times New Roman" w:hAnsi="Arial" w:cs="Arial"/>
          <w:spacing w:val="-6"/>
          <w:kern w:val="0"/>
          <w:vertAlign w:val="superscript"/>
          <w:lang w:eastAsia="en-GB"/>
          <w14:ligatures w14:val="none"/>
        </w:rPr>
        <w:t>nd</w:t>
      </w:r>
      <w:r w:rsidRPr="00F65CFD">
        <w:rPr>
          <w:rFonts w:ascii="Arial" w:eastAsia="Times New Roman" w:hAnsi="Arial" w:cs="Arial"/>
          <w:spacing w:val="-6"/>
          <w:kern w:val="0"/>
          <w:lang w:eastAsia="en-GB"/>
          <w14:ligatures w14:val="none"/>
        </w:rPr>
        <w:t xml:space="preserve"> edn.) Abingdon, Oxon, UK: Routledge.</w:t>
      </w:r>
    </w:p>
    <w:p w14:paraId="3EA57CD5" w14:textId="77777777" w:rsidR="00F65CFD" w:rsidRPr="00F65CFD" w:rsidRDefault="00F65CFD" w:rsidP="00F65CFD">
      <w:pPr>
        <w:spacing w:after="0" w:line="240" w:lineRule="auto"/>
        <w:jc w:val="both"/>
        <w:rPr>
          <w:rFonts w:ascii="Arial" w:eastAsia="Times New Roman" w:hAnsi="Arial" w:cs="Arial"/>
          <w:spacing w:val="-6"/>
          <w:kern w:val="0"/>
          <w:lang w:eastAsia="en-GB"/>
          <w14:ligatures w14:val="none"/>
        </w:rPr>
      </w:pPr>
    </w:p>
    <w:p w14:paraId="6DB2D017"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r w:rsidRPr="00F65CFD">
        <w:rPr>
          <w:rFonts w:ascii="Arial" w:eastAsia="Times New Roman" w:hAnsi="Arial" w:cs="Arial"/>
          <w:kern w:val="0"/>
          <w:shd w:val="clear" w:color="auto" w:fill="FFFFFF"/>
          <w:lang w:eastAsia="en-GB"/>
          <w14:ligatures w14:val="none"/>
        </w:rPr>
        <w:t>Jack, G. and Gill, O. (2010) ‘The role of communities in safeguarding children and young people’, </w:t>
      </w:r>
      <w:r w:rsidRPr="00F65CFD">
        <w:rPr>
          <w:rFonts w:ascii="Arial" w:eastAsia="Times New Roman" w:hAnsi="Arial" w:cs="Arial"/>
          <w:i/>
          <w:iCs/>
          <w:kern w:val="0"/>
          <w:shd w:val="clear" w:color="auto" w:fill="FFFFFF"/>
          <w:lang w:eastAsia="en-GB"/>
          <w14:ligatures w14:val="none"/>
        </w:rPr>
        <w:t>Child abuse review (Chichester, England : 1992)</w:t>
      </w:r>
      <w:r w:rsidRPr="00F65CFD">
        <w:rPr>
          <w:rFonts w:ascii="Arial" w:eastAsia="Times New Roman" w:hAnsi="Arial" w:cs="Arial"/>
          <w:kern w:val="0"/>
          <w:shd w:val="clear" w:color="auto" w:fill="FFFFFF"/>
          <w:lang w:eastAsia="en-GB"/>
          <w14:ligatures w14:val="none"/>
        </w:rPr>
        <w:t xml:space="preserve">, 19(2), pp. 82–96. Available at: </w:t>
      </w:r>
      <w:hyperlink r:id="rId89" w:history="1">
        <w:r w:rsidRPr="00F65CFD">
          <w:rPr>
            <w:rFonts w:ascii="Arial" w:eastAsia="Times New Roman" w:hAnsi="Arial" w:cs="Arial"/>
            <w:color w:val="467886" w:themeColor="hyperlink"/>
            <w:kern w:val="0"/>
            <w:u w:val="single"/>
            <w:shd w:val="clear" w:color="auto" w:fill="FFFFFF"/>
            <w:lang w:eastAsia="en-GB"/>
            <w14:ligatures w14:val="none"/>
          </w:rPr>
          <w:t>https://doi.org/10.1002/car.1077</w:t>
        </w:r>
      </w:hyperlink>
      <w:r w:rsidRPr="00F65CFD">
        <w:rPr>
          <w:rFonts w:ascii="Arial" w:eastAsia="Times New Roman" w:hAnsi="Arial" w:cs="Arial"/>
          <w:color w:val="3A3A3A"/>
          <w:kern w:val="0"/>
          <w:shd w:val="clear" w:color="auto" w:fill="FFFFFF"/>
          <w:lang w:eastAsia="en-GB"/>
          <w14:ligatures w14:val="none"/>
        </w:rPr>
        <w:t xml:space="preserve">. </w:t>
      </w:r>
      <w:bookmarkStart w:id="27" w:name="_Hlk187668530"/>
      <w:r w:rsidRPr="00F65CFD">
        <w:rPr>
          <w:rFonts w:ascii="Arial" w:eastAsia="Times New Roman" w:hAnsi="Arial" w:cs="Arial"/>
          <w:kern w:val="0"/>
          <w:shd w:val="clear" w:color="auto" w:fill="FFFFFF"/>
          <w:lang w:eastAsia="en-GB"/>
          <w14:ligatures w14:val="none"/>
        </w:rPr>
        <w:t>(Accessed 10 January 2025)</w:t>
      </w:r>
    </w:p>
    <w:p w14:paraId="7FE604F4"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p>
    <w:bookmarkEnd w:id="27"/>
    <w:p w14:paraId="3658F58F"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r w:rsidRPr="00F65CFD">
        <w:rPr>
          <w:rFonts w:ascii="Arial" w:eastAsia="Times New Roman" w:hAnsi="Arial" w:cs="Arial"/>
          <w:kern w:val="0"/>
          <w:shd w:val="clear" w:color="auto" w:fill="FFFFFF"/>
          <w:lang w:eastAsia="en-GB"/>
          <w14:ligatures w14:val="none"/>
        </w:rPr>
        <w:t>Jack, G. and Gill, O. (2013) ‘Developing cultural competence for social work with families living in poverty’, </w:t>
      </w:r>
      <w:r w:rsidRPr="00F65CFD">
        <w:rPr>
          <w:rFonts w:ascii="Arial" w:eastAsia="Times New Roman" w:hAnsi="Arial" w:cs="Arial"/>
          <w:i/>
          <w:iCs/>
          <w:kern w:val="0"/>
          <w:shd w:val="clear" w:color="auto" w:fill="FFFFFF"/>
          <w:lang w:eastAsia="en-GB"/>
          <w14:ligatures w14:val="none"/>
        </w:rPr>
        <w:t>European journal of social work</w:t>
      </w:r>
      <w:r w:rsidRPr="00F65CFD">
        <w:rPr>
          <w:rFonts w:ascii="Arial" w:eastAsia="Times New Roman" w:hAnsi="Arial" w:cs="Arial"/>
          <w:kern w:val="0"/>
          <w:shd w:val="clear" w:color="auto" w:fill="FFFFFF"/>
          <w:lang w:eastAsia="en-GB"/>
          <w14:ligatures w14:val="none"/>
        </w:rPr>
        <w:t xml:space="preserve">, 16(2), pp. 220–234. Available at: </w:t>
      </w:r>
      <w:hyperlink r:id="rId90" w:history="1">
        <w:r w:rsidRPr="00F65CFD">
          <w:rPr>
            <w:rFonts w:ascii="Arial" w:eastAsia="Times New Roman" w:hAnsi="Arial" w:cs="Arial"/>
            <w:color w:val="467886" w:themeColor="hyperlink"/>
            <w:kern w:val="0"/>
            <w:u w:val="single"/>
            <w:shd w:val="clear" w:color="auto" w:fill="FFFFFF"/>
            <w:lang w:eastAsia="en-GB"/>
            <w14:ligatures w14:val="none"/>
          </w:rPr>
          <w:t>https://doi.org/10.1080/13691457.2011.649347</w:t>
        </w:r>
      </w:hyperlink>
      <w:r w:rsidRPr="00F65CFD">
        <w:rPr>
          <w:rFonts w:ascii="Arial" w:eastAsia="Times New Roman" w:hAnsi="Arial" w:cs="Arial"/>
          <w:color w:val="3A3A3A"/>
          <w:kern w:val="0"/>
          <w:shd w:val="clear" w:color="auto" w:fill="FFFFFF"/>
          <w:lang w:eastAsia="en-GB"/>
          <w14:ligatures w14:val="none"/>
        </w:rPr>
        <w:t xml:space="preserve">. </w:t>
      </w:r>
      <w:r w:rsidRPr="00F65CFD">
        <w:rPr>
          <w:rFonts w:ascii="Arial" w:eastAsia="Times New Roman" w:hAnsi="Arial" w:cs="Arial"/>
          <w:kern w:val="0"/>
          <w:shd w:val="clear" w:color="auto" w:fill="FFFFFF"/>
          <w:lang w:eastAsia="en-GB"/>
          <w14:ligatures w14:val="none"/>
        </w:rPr>
        <w:t>(Accessed 10 January 2025)</w:t>
      </w:r>
    </w:p>
    <w:p w14:paraId="5D319458"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p>
    <w:p w14:paraId="5214DBF8"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r w:rsidRPr="00F65CFD">
        <w:rPr>
          <w:rFonts w:ascii="Arial" w:eastAsia="Times New Roman" w:hAnsi="Arial" w:cs="Arial"/>
          <w:kern w:val="0"/>
          <w:shd w:val="clear" w:color="auto" w:fill="FFFFFF"/>
          <w:lang w:eastAsia="en-GB"/>
          <w14:ligatures w14:val="none"/>
        </w:rPr>
        <w:t>Kelly, C.L., Slicker, G. and Hustedt, J.T. (2024) ‘Family Experiences, Parenting Behaviours, and Infants’ and Toddlers’ Social-Emotional Skills’, </w:t>
      </w:r>
      <w:r w:rsidRPr="00F65CFD">
        <w:rPr>
          <w:rFonts w:ascii="Arial" w:eastAsia="Times New Roman" w:hAnsi="Arial" w:cs="Arial"/>
          <w:i/>
          <w:iCs/>
          <w:kern w:val="0"/>
          <w:shd w:val="clear" w:color="auto" w:fill="FFFFFF"/>
          <w:lang w:eastAsia="en-GB"/>
          <w14:ligatures w14:val="none"/>
        </w:rPr>
        <w:t>Early childhood education journal</w:t>
      </w:r>
      <w:r w:rsidRPr="00F65CFD">
        <w:rPr>
          <w:rFonts w:ascii="Arial" w:eastAsia="Times New Roman" w:hAnsi="Arial" w:cs="Arial"/>
          <w:kern w:val="0"/>
          <w:shd w:val="clear" w:color="auto" w:fill="FFFFFF"/>
          <w:lang w:eastAsia="en-GB"/>
          <w14:ligatures w14:val="none"/>
        </w:rPr>
        <w:t xml:space="preserve">, 52(3), pp. 603–615. Available at: </w:t>
      </w:r>
      <w:hyperlink r:id="rId91" w:history="1">
        <w:r w:rsidRPr="00F65CFD">
          <w:rPr>
            <w:rFonts w:ascii="Arial" w:eastAsia="Times New Roman" w:hAnsi="Arial" w:cs="Arial"/>
            <w:color w:val="467886" w:themeColor="hyperlink"/>
            <w:kern w:val="0"/>
            <w:u w:val="single"/>
            <w:shd w:val="clear" w:color="auto" w:fill="FFFFFF"/>
            <w:lang w:eastAsia="en-GB"/>
            <w14:ligatures w14:val="none"/>
          </w:rPr>
          <w:t>https://doi.org/10.1007/s10643-022-01425-z</w:t>
        </w:r>
      </w:hyperlink>
      <w:r w:rsidRPr="00F65CFD">
        <w:rPr>
          <w:rFonts w:ascii="Arial" w:eastAsia="Times New Roman" w:hAnsi="Arial" w:cs="Arial"/>
          <w:color w:val="3A3A3A"/>
          <w:kern w:val="0"/>
          <w:shd w:val="clear" w:color="auto" w:fill="FFFFFF"/>
          <w:lang w:eastAsia="en-GB"/>
          <w14:ligatures w14:val="none"/>
        </w:rPr>
        <w:t xml:space="preserve">. </w:t>
      </w:r>
      <w:r w:rsidRPr="00F65CFD">
        <w:rPr>
          <w:rFonts w:ascii="Arial" w:eastAsia="Times New Roman" w:hAnsi="Arial" w:cs="Arial"/>
          <w:kern w:val="0"/>
          <w:shd w:val="clear" w:color="auto" w:fill="FFFFFF"/>
          <w:lang w:eastAsia="en-GB"/>
          <w14:ligatures w14:val="none"/>
        </w:rPr>
        <w:t>(Accessed 10 January 2025)</w:t>
      </w:r>
    </w:p>
    <w:p w14:paraId="0547976F"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p>
    <w:p w14:paraId="76532EF7" w14:textId="4E6549A2" w:rsidR="00F65CFD" w:rsidRPr="00F65CFD" w:rsidRDefault="00F65CFD" w:rsidP="00F65CFD">
      <w:pPr>
        <w:jc w:val="both"/>
        <w:rPr>
          <w:rFonts w:ascii="Arial" w:hAnsi="Arial" w:cs="Arial"/>
          <w:shd w:val="clear" w:color="auto" w:fill="FFFFFF"/>
        </w:rPr>
      </w:pPr>
      <w:r w:rsidRPr="00F65CFD">
        <w:rPr>
          <w:rFonts w:ascii="Arial" w:hAnsi="Arial" w:cs="Arial"/>
          <w:shd w:val="clear" w:color="auto" w:fill="FFFFFF"/>
        </w:rPr>
        <w:t>Lai, N.K. </w:t>
      </w:r>
      <w:r w:rsidRPr="00F65CFD">
        <w:rPr>
          <w:rFonts w:ascii="Arial" w:hAnsi="Arial" w:cs="Arial"/>
          <w:i/>
          <w:iCs/>
          <w:shd w:val="clear" w:color="auto" w:fill="FFFFFF"/>
        </w:rPr>
        <w:t>et al.</w:t>
      </w:r>
      <w:r w:rsidRPr="00F65CFD">
        <w:rPr>
          <w:rFonts w:ascii="Arial" w:hAnsi="Arial" w:cs="Arial"/>
          <w:shd w:val="clear" w:color="auto" w:fill="FFFFFF"/>
        </w:rPr>
        <w:t> (2018) ‘The impact of play on child development - a literature review’, </w:t>
      </w:r>
      <w:r w:rsidRPr="00F65CFD">
        <w:rPr>
          <w:rFonts w:ascii="Arial" w:hAnsi="Arial" w:cs="Arial"/>
          <w:i/>
          <w:iCs/>
          <w:shd w:val="clear" w:color="auto" w:fill="FFFFFF"/>
        </w:rPr>
        <w:t>European early childhood education research journal</w:t>
      </w:r>
      <w:r w:rsidRPr="00F65CFD">
        <w:rPr>
          <w:rFonts w:ascii="Arial" w:hAnsi="Arial" w:cs="Arial"/>
          <w:shd w:val="clear" w:color="auto" w:fill="FFFFFF"/>
        </w:rPr>
        <w:t xml:space="preserve">, 26(5), pp. 625–643. Available at: </w:t>
      </w:r>
      <w:hyperlink r:id="rId92" w:history="1">
        <w:r w:rsidRPr="00F65CFD">
          <w:rPr>
            <w:rFonts w:ascii="Arial" w:hAnsi="Arial" w:cs="Arial"/>
            <w:color w:val="467886" w:themeColor="hyperlink"/>
            <w:u w:val="single"/>
            <w:shd w:val="clear" w:color="auto" w:fill="FFFFFF"/>
          </w:rPr>
          <w:t>https://doi.org/10.1080/1350293X.2018.1522479</w:t>
        </w:r>
      </w:hyperlink>
      <w:r w:rsidRPr="00F65CFD">
        <w:rPr>
          <w:rFonts w:ascii="Arial" w:hAnsi="Arial" w:cs="Arial"/>
          <w:color w:val="3A3A3A"/>
          <w:shd w:val="clear" w:color="auto" w:fill="FFFFFF"/>
        </w:rPr>
        <w:t xml:space="preserve">. </w:t>
      </w:r>
      <w:r w:rsidRPr="00F65CFD">
        <w:rPr>
          <w:rFonts w:ascii="Arial" w:hAnsi="Arial" w:cs="Arial"/>
          <w:shd w:val="clear" w:color="auto" w:fill="FFFFFF"/>
        </w:rPr>
        <w:t>(Accessed 13 January 2025)</w:t>
      </w:r>
    </w:p>
    <w:p w14:paraId="703D9E6E" w14:textId="77777777" w:rsidR="00F65CFD" w:rsidRPr="00F65CFD" w:rsidRDefault="00F65CFD" w:rsidP="00F65CFD">
      <w:pPr>
        <w:jc w:val="both"/>
        <w:rPr>
          <w:rFonts w:ascii="Arial" w:hAnsi="Arial" w:cs="Arial"/>
          <w:shd w:val="clear" w:color="auto" w:fill="FFFFFF"/>
        </w:rPr>
      </w:pPr>
      <w:r w:rsidRPr="00F65CFD">
        <w:rPr>
          <w:rFonts w:ascii="Arial" w:hAnsi="Arial" w:cs="Arial"/>
        </w:rPr>
        <w:lastRenderedPageBreak/>
        <w:t xml:space="preserve">Lake, A. (2016)  </w:t>
      </w:r>
      <w:r w:rsidRPr="00F65CFD">
        <w:rPr>
          <w:rFonts w:ascii="Arial" w:hAnsi="Arial" w:cs="Arial"/>
          <w:i/>
          <w:iCs/>
        </w:rPr>
        <w:t>‘Applying the Science: How what we are learning about brain development should shape policies, practical action, and public advocacy,</w:t>
      </w:r>
      <w:r w:rsidRPr="00F65CFD">
        <w:rPr>
          <w:rFonts w:ascii="Arial" w:hAnsi="Arial" w:cs="Arial"/>
        </w:rPr>
        <w:t xml:space="preserve">’ in Early Childhood Matters: Advances in early childhood development, Bernhard van Leer Foundation, The Hague, no. 125 p. 13. 130. Available at: </w:t>
      </w:r>
      <w:hyperlink r:id="rId93" w:history="1">
        <w:r w:rsidRPr="00F65CFD">
          <w:rPr>
            <w:rFonts w:ascii="Arial" w:hAnsi="Arial" w:cs="Arial"/>
            <w:color w:val="467886" w:themeColor="hyperlink"/>
            <w:u w:val="single"/>
          </w:rPr>
          <w:t>https://earlychildhoodmatters.online/wp-content/uploads/2019/05/ECM125-2016_Early-Childhood-Matters.pdf</w:t>
        </w:r>
      </w:hyperlink>
      <w:r w:rsidRPr="00F65CFD">
        <w:rPr>
          <w:rFonts w:ascii="Arial" w:hAnsi="Arial" w:cs="Arial"/>
        </w:rPr>
        <w:t xml:space="preserve"> </w:t>
      </w:r>
      <w:r w:rsidRPr="00F65CFD">
        <w:rPr>
          <w:rFonts w:ascii="Arial" w:hAnsi="Arial" w:cs="Arial"/>
          <w:shd w:val="clear" w:color="auto" w:fill="FFFFFF"/>
        </w:rPr>
        <w:t>(Accessed 13 January 2025)</w:t>
      </w:r>
    </w:p>
    <w:p w14:paraId="06F3E6F6" w14:textId="77777777" w:rsidR="00F65CFD" w:rsidRPr="00F65CFD" w:rsidRDefault="00F65CFD" w:rsidP="00F65CFD">
      <w:pPr>
        <w:jc w:val="both"/>
        <w:rPr>
          <w:rFonts w:ascii="Arial" w:hAnsi="Arial" w:cs="Arial"/>
        </w:rPr>
      </w:pPr>
    </w:p>
    <w:p w14:paraId="55F02EBA" w14:textId="77777777" w:rsidR="00F65CFD" w:rsidRPr="00F65CFD" w:rsidRDefault="00F65CFD" w:rsidP="00F65CFD">
      <w:pPr>
        <w:jc w:val="both"/>
        <w:rPr>
          <w:rFonts w:ascii="Arial" w:hAnsi="Arial" w:cs="Arial"/>
        </w:rPr>
      </w:pPr>
      <w:r w:rsidRPr="00F65CFD">
        <w:rPr>
          <w:rFonts w:ascii="Arial" w:hAnsi="Arial" w:cs="Arial"/>
          <w:shd w:val="clear" w:color="auto" w:fill="FFFFFF"/>
        </w:rPr>
        <w:t>Lara, F.A., (2021) ‘Building Resilience and Mitigating the Impact of Toxic Stress in Young Children: A Model for Transforming Parenting and Male Caregiving in El Salvador’, </w:t>
      </w:r>
      <w:r w:rsidRPr="00F65CFD">
        <w:rPr>
          <w:rFonts w:ascii="Arial" w:hAnsi="Arial" w:cs="Arial"/>
          <w:i/>
          <w:iCs/>
          <w:shd w:val="clear" w:color="auto" w:fill="FFFFFF"/>
        </w:rPr>
        <w:t>Journal on education in emergencies</w:t>
      </w:r>
      <w:r w:rsidRPr="00F65CFD">
        <w:rPr>
          <w:rFonts w:ascii="Arial" w:hAnsi="Arial" w:cs="Arial"/>
          <w:shd w:val="clear" w:color="auto" w:fill="FFFFFF"/>
        </w:rPr>
        <w:t xml:space="preserve">, 7(1), pp. 58-. Available at: </w:t>
      </w:r>
      <w:hyperlink r:id="rId94" w:history="1">
        <w:r w:rsidRPr="00F65CFD">
          <w:rPr>
            <w:rFonts w:ascii="Arial" w:hAnsi="Arial" w:cs="Arial"/>
            <w:color w:val="467886" w:themeColor="hyperlink"/>
            <w:u w:val="single"/>
            <w:shd w:val="clear" w:color="auto" w:fill="FFFFFF"/>
          </w:rPr>
          <w:t>https://doi.org/10.33682/29xd-8cq5</w:t>
        </w:r>
      </w:hyperlink>
      <w:r w:rsidRPr="00F65CFD">
        <w:rPr>
          <w:rFonts w:ascii="Arial" w:hAnsi="Arial" w:cs="Arial"/>
          <w:color w:val="3A3A3A"/>
          <w:shd w:val="clear" w:color="auto" w:fill="FFFFFF"/>
        </w:rPr>
        <w:t xml:space="preserve">. </w:t>
      </w:r>
      <w:r w:rsidRPr="00F65CFD">
        <w:rPr>
          <w:rFonts w:ascii="Arial" w:hAnsi="Arial" w:cs="Arial"/>
          <w:shd w:val="clear" w:color="auto" w:fill="FFFFFF"/>
        </w:rPr>
        <w:t>(Accessed 13 January 2025)</w:t>
      </w:r>
    </w:p>
    <w:p w14:paraId="7A3D7AB8"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r w:rsidRPr="00F65CFD">
        <w:rPr>
          <w:rFonts w:ascii="Arial" w:eastAsia="Times New Roman" w:hAnsi="Arial" w:cs="Arial"/>
          <w:kern w:val="0"/>
          <w:shd w:val="clear" w:color="auto" w:fill="FFFFFF"/>
          <w:lang w:eastAsia="en-GB"/>
          <w14:ligatures w14:val="none"/>
        </w:rPr>
        <w:t>Laver-Bradbury, C. </w:t>
      </w:r>
      <w:r w:rsidRPr="00F65CFD">
        <w:rPr>
          <w:rFonts w:ascii="Arial" w:eastAsia="Times New Roman" w:hAnsi="Arial" w:cs="Arial"/>
          <w:i/>
          <w:iCs/>
          <w:kern w:val="0"/>
          <w:shd w:val="clear" w:color="auto" w:fill="FFFFFF"/>
          <w:lang w:eastAsia="en-GB"/>
          <w14:ligatures w14:val="none"/>
        </w:rPr>
        <w:t>et al.</w:t>
      </w:r>
      <w:r w:rsidRPr="00F65CFD">
        <w:rPr>
          <w:rFonts w:ascii="Arial" w:eastAsia="Times New Roman" w:hAnsi="Arial" w:cs="Arial"/>
          <w:kern w:val="0"/>
          <w:shd w:val="clear" w:color="auto" w:fill="FFFFFF"/>
          <w:lang w:eastAsia="en-GB"/>
          <w14:ligatures w14:val="none"/>
        </w:rPr>
        <w:t> (eds) (2021) </w:t>
      </w:r>
      <w:r w:rsidRPr="00F65CFD">
        <w:rPr>
          <w:rFonts w:ascii="Arial" w:eastAsia="Times New Roman" w:hAnsi="Arial" w:cs="Arial"/>
          <w:i/>
          <w:iCs/>
          <w:kern w:val="0"/>
          <w:shd w:val="clear" w:color="auto" w:fill="FFFFFF"/>
          <w:lang w:eastAsia="en-GB"/>
          <w14:ligatures w14:val="none"/>
        </w:rPr>
        <w:t>Child and Adolescent Mental Health: theory and practice</w:t>
      </w:r>
      <w:r w:rsidRPr="00F65CFD">
        <w:rPr>
          <w:rFonts w:ascii="Arial" w:eastAsia="Times New Roman" w:hAnsi="Arial" w:cs="Arial"/>
          <w:kern w:val="0"/>
          <w:shd w:val="clear" w:color="auto" w:fill="FFFFFF"/>
          <w:lang w:eastAsia="en-GB"/>
          <w14:ligatures w14:val="none"/>
        </w:rPr>
        <w:t xml:space="preserve">. 3rd edition. London: CRC PRESS. </w:t>
      </w:r>
    </w:p>
    <w:p w14:paraId="2399ED4A"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p>
    <w:p w14:paraId="633100E1" w14:textId="77777777" w:rsidR="00F65CFD" w:rsidRPr="00F65CFD" w:rsidRDefault="00F65CFD" w:rsidP="00F65CFD">
      <w:pPr>
        <w:spacing w:after="0" w:line="240" w:lineRule="auto"/>
        <w:rPr>
          <w:rFonts w:ascii="Arial" w:eastAsia="Times New Roman" w:hAnsi="Arial" w:cs="Arial"/>
          <w:kern w:val="0"/>
          <w:lang w:eastAsia="en-GB"/>
          <w14:ligatures w14:val="none"/>
        </w:rPr>
      </w:pPr>
      <w:r w:rsidRPr="00F65CFD">
        <w:rPr>
          <w:rFonts w:ascii="Arial" w:eastAsia="Times New Roman" w:hAnsi="Arial" w:cs="Arial"/>
          <w:kern w:val="0"/>
          <w:lang w:eastAsia="en-GB"/>
          <w14:ligatures w14:val="none"/>
        </w:rPr>
        <w:t xml:space="preserve">Lester, S. and Russell, W. (2010) Children’s right to play: An examination of the importance of play in the lives of children worldwide. Working Paper No. 57. The Hague, The Netherlands: Bernard van Leer Foundation </w:t>
      </w:r>
    </w:p>
    <w:p w14:paraId="69FB9F23" w14:textId="77777777" w:rsidR="00F65CFD" w:rsidRPr="00F65CFD" w:rsidRDefault="00F65CFD" w:rsidP="00F65CFD">
      <w:pPr>
        <w:spacing w:after="0" w:line="240" w:lineRule="auto"/>
        <w:rPr>
          <w:rFonts w:ascii="Arial" w:eastAsia="Times New Roman" w:hAnsi="Arial" w:cs="Arial"/>
          <w:kern w:val="0"/>
          <w:lang w:eastAsia="en-GB"/>
          <w14:ligatures w14:val="none"/>
        </w:rPr>
      </w:pPr>
    </w:p>
    <w:p w14:paraId="7514F507" w14:textId="77777777" w:rsidR="00F65CFD" w:rsidRPr="00F65CFD" w:rsidRDefault="00F65CFD" w:rsidP="00F65CFD">
      <w:pPr>
        <w:spacing w:after="0" w:line="240" w:lineRule="auto"/>
        <w:jc w:val="both"/>
        <w:rPr>
          <w:rFonts w:ascii="Arial" w:hAnsi="Arial" w:cs="Arial"/>
        </w:rPr>
      </w:pPr>
      <w:r w:rsidRPr="00F65CFD">
        <w:rPr>
          <w:rFonts w:ascii="Arial" w:hAnsi="Arial" w:cs="Arial"/>
          <w:shd w:val="clear" w:color="auto" w:fill="FFFFFF"/>
        </w:rPr>
        <w:t>Liu, J. </w:t>
      </w:r>
      <w:r w:rsidRPr="00F65CFD">
        <w:rPr>
          <w:rFonts w:ascii="Arial" w:hAnsi="Arial" w:cs="Arial"/>
          <w:i/>
          <w:iCs/>
          <w:shd w:val="clear" w:color="auto" w:fill="FFFFFF"/>
        </w:rPr>
        <w:t>et al.</w:t>
      </w:r>
      <w:r w:rsidRPr="00F65CFD">
        <w:rPr>
          <w:rFonts w:ascii="Arial" w:hAnsi="Arial" w:cs="Arial"/>
          <w:shd w:val="clear" w:color="auto" w:fill="FFFFFF"/>
        </w:rPr>
        <w:t> (2023) ‘Outdoor Time, Space, and Restrictions Imposed on Children’s Play in Australian Early Childhood Education and Care Settings during the COVID Pandemic: A Cross-Sectional Survey from Educators’ Perspective’, </w:t>
      </w:r>
      <w:r w:rsidRPr="00F65CFD">
        <w:rPr>
          <w:rFonts w:ascii="Arial" w:hAnsi="Arial" w:cs="Arial"/>
          <w:i/>
          <w:iCs/>
          <w:shd w:val="clear" w:color="auto" w:fill="FFFFFF"/>
        </w:rPr>
        <w:t>International journal of environmental research and public health</w:t>
      </w:r>
      <w:r w:rsidRPr="00F65CFD">
        <w:rPr>
          <w:rFonts w:ascii="Arial" w:hAnsi="Arial" w:cs="Arial"/>
          <w:shd w:val="clear" w:color="auto" w:fill="FFFFFF"/>
        </w:rPr>
        <w:t xml:space="preserve">, 20(18), pp. 6779-. Available at: </w:t>
      </w:r>
      <w:hyperlink r:id="rId95" w:history="1">
        <w:r w:rsidRPr="00F65CFD">
          <w:rPr>
            <w:rFonts w:ascii="Arial" w:hAnsi="Arial" w:cs="Arial"/>
            <w:color w:val="467886" w:themeColor="hyperlink"/>
            <w:u w:val="single"/>
            <w:shd w:val="clear" w:color="auto" w:fill="FFFFFF"/>
          </w:rPr>
          <w:t>https://doi.org/10.3390/ijerph20186779</w:t>
        </w:r>
      </w:hyperlink>
      <w:r w:rsidRPr="00F65CFD">
        <w:rPr>
          <w:rFonts w:ascii="Arial" w:hAnsi="Arial" w:cs="Arial"/>
          <w:color w:val="3A3A3A"/>
          <w:shd w:val="clear" w:color="auto" w:fill="FFFFFF"/>
        </w:rPr>
        <w:t xml:space="preserve">. </w:t>
      </w:r>
      <w:r w:rsidRPr="00F65CFD">
        <w:rPr>
          <w:rFonts w:ascii="Arial" w:hAnsi="Arial" w:cs="Arial"/>
        </w:rPr>
        <w:t>(Accessed: 19 December 2024)</w:t>
      </w:r>
    </w:p>
    <w:p w14:paraId="4008FC4A" w14:textId="77777777" w:rsidR="00F65CFD" w:rsidRPr="00F65CFD" w:rsidRDefault="00F65CFD" w:rsidP="00F65CFD">
      <w:pPr>
        <w:spacing w:after="0" w:line="240" w:lineRule="auto"/>
        <w:jc w:val="both"/>
        <w:rPr>
          <w:rFonts w:ascii="Arial" w:hAnsi="Arial" w:cs="Arial"/>
        </w:rPr>
      </w:pPr>
    </w:p>
    <w:p w14:paraId="33C36858"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r w:rsidRPr="00F65CFD">
        <w:rPr>
          <w:rFonts w:ascii="Arial" w:eastAsia="Times New Roman" w:hAnsi="Arial" w:cs="Arial"/>
          <w:kern w:val="0"/>
          <w:shd w:val="clear" w:color="auto" w:fill="FFFFFF"/>
          <w:lang w:eastAsia="en-GB"/>
          <w14:ligatures w14:val="none"/>
        </w:rPr>
        <w:t>Luthar, S.S. and Cicchetti, D. (2000) ‘The construct of resilience: Implications for interventions and social policies’, </w:t>
      </w:r>
      <w:r w:rsidRPr="00F65CFD">
        <w:rPr>
          <w:rFonts w:ascii="Arial" w:eastAsia="Times New Roman" w:hAnsi="Arial" w:cs="Arial"/>
          <w:i/>
          <w:iCs/>
          <w:kern w:val="0"/>
          <w:shd w:val="clear" w:color="auto" w:fill="FFFFFF"/>
          <w:lang w:eastAsia="en-GB"/>
          <w14:ligatures w14:val="none"/>
        </w:rPr>
        <w:t>Development and psychopathology</w:t>
      </w:r>
      <w:r w:rsidRPr="00F65CFD">
        <w:rPr>
          <w:rFonts w:ascii="Arial" w:eastAsia="Times New Roman" w:hAnsi="Arial" w:cs="Arial"/>
          <w:kern w:val="0"/>
          <w:shd w:val="clear" w:color="auto" w:fill="FFFFFF"/>
          <w:lang w:eastAsia="en-GB"/>
          <w14:ligatures w14:val="none"/>
        </w:rPr>
        <w:t xml:space="preserve">, 12(4), pp. 857–885. Available at: </w:t>
      </w:r>
      <w:hyperlink r:id="rId96" w:history="1">
        <w:r w:rsidRPr="00F65CFD">
          <w:rPr>
            <w:rFonts w:ascii="Arial" w:eastAsia="Times New Roman" w:hAnsi="Arial" w:cs="Arial"/>
            <w:color w:val="467886" w:themeColor="hyperlink"/>
            <w:kern w:val="0"/>
            <w:u w:val="single"/>
            <w:shd w:val="clear" w:color="auto" w:fill="FFFFFF"/>
            <w:lang w:eastAsia="en-GB"/>
            <w14:ligatures w14:val="none"/>
          </w:rPr>
          <w:t>https://doi.org/10.1017/S0954579400004156</w:t>
        </w:r>
      </w:hyperlink>
      <w:r w:rsidRPr="00F65CFD">
        <w:rPr>
          <w:rFonts w:ascii="Arial" w:eastAsia="Times New Roman" w:hAnsi="Arial" w:cs="Arial"/>
          <w:color w:val="3A3A3A"/>
          <w:kern w:val="0"/>
          <w:shd w:val="clear" w:color="auto" w:fill="FFFFFF"/>
          <w:lang w:eastAsia="en-GB"/>
          <w14:ligatures w14:val="none"/>
        </w:rPr>
        <w:t xml:space="preserve">. </w:t>
      </w:r>
      <w:bookmarkStart w:id="28" w:name="_Hlk187666991"/>
      <w:r w:rsidRPr="00F65CFD">
        <w:rPr>
          <w:rFonts w:ascii="Arial" w:eastAsia="Times New Roman" w:hAnsi="Arial" w:cs="Arial"/>
          <w:kern w:val="0"/>
          <w:shd w:val="clear" w:color="auto" w:fill="FFFFFF"/>
          <w:lang w:eastAsia="en-GB"/>
          <w14:ligatures w14:val="none"/>
        </w:rPr>
        <w:t>(Accessed 12 January 2025)</w:t>
      </w:r>
    </w:p>
    <w:p w14:paraId="6A86BA0E" w14:textId="77777777" w:rsidR="00F65CFD" w:rsidRPr="00F65CFD" w:rsidRDefault="00F65CFD" w:rsidP="00F65CFD">
      <w:pPr>
        <w:spacing w:after="0" w:line="240" w:lineRule="auto"/>
        <w:rPr>
          <w:rFonts w:ascii="Arial" w:eastAsia="Times New Roman" w:hAnsi="Arial" w:cs="Arial"/>
          <w:color w:val="111111"/>
          <w:spacing w:val="-6"/>
          <w:kern w:val="0"/>
          <w:lang w:eastAsia="en-GB"/>
          <w14:ligatures w14:val="none"/>
        </w:rPr>
      </w:pPr>
    </w:p>
    <w:bookmarkEnd w:id="28"/>
    <w:p w14:paraId="4D9C8CDE" w14:textId="77777777" w:rsidR="00F65CFD" w:rsidRPr="00F65CFD" w:rsidRDefault="00F65CFD" w:rsidP="00F65CFD">
      <w:pPr>
        <w:jc w:val="both"/>
        <w:rPr>
          <w:rFonts w:ascii="Arial" w:hAnsi="Arial" w:cs="Arial"/>
        </w:rPr>
      </w:pPr>
      <w:r w:rsidRPr="00F65CFD">
        <w:rPr>
          <w:rFonts w:ascii="Arial" w:hAnsi="Arial" w:cs="Arial"/>
          <w:shd w:val="clear" w:color="auto" w:fill="FFFFFF"/>
        </w:rPr>
        <w:t>Luthar, S.S. and Cicchetti, D. (2000) ‘The construct of resilience: Implications for interventions and social policies’, </w:t>
      </w:r>
      <w:r w:rsidRPr="00F65CFD">
        <w:rPr>
          <w:rFonts w:ascii="Arial" w:hAnsi="Arial" w:cs="Arial"/>
          <w:i/>
          <w:iCs/>
          <w:shd w:val="clear" w:color="auto" w:fill="FFFFFF"/>
        </w:rPr>
        <w:t>Development and psychopathology</w:t>
      </w:r>
      <w:r w:rsidRPr="00F65CFD">
        <w:rPr>
          <w:rFonts w:ascii="Arial" w:hAnsi="Arial" w:cs="Arial"/>
          <w:shd w:val="clear" w:color="auto" w:fill="FFFFFF"/>
        </w:rPr>
        <w:t xml:space="preserve">, 12(4), pp. 857–885. Available at: </w:t>
      </w:r>
      <w:hyperlink r:id="rId97" w:history="1">
        <w:r w:rsidRPr="00F65CFD">
          <w:rPr>
            <w:rFonts w:ascii="Arial" w:hAnsi="Arial" w:cs="Arial"/>
            <w:color w:val="467886" w:themeColor="hyperlink"/>
            <w:u w:val="single"/>
            <w:shd w:val="clear" w:color="auto" w:fill="FFFFFF"/>
          </w:rPr>
          <w:t>https://doi.org/10.1017/S0954579400004156</w:t>
        </w:r>
      </w:hyperlink>
      <w:r w:rsidRPr="00F65CFD">
        <w:rPr>
          <w:rFonts w:ascii="Arial" w:hAnsi="Arial" w:cs="Arial"/>
          <w:color w:val="3A3A3A"/>
          <w:shd w:val="clear" w:color="auto" w:fill="FFFFFF"/>
        </w:rPr>
        <w:t xml:space="preserve">. </w:t>
      </w:r>
      <w:bookmarkStart w:id="29" w:name="_Hlk187685604"/>
      <w:r w:rsidRPr="00F65CFD">
        <w:rPr>
          <w:rFonts w:ascii="Arial" w:hAnsi="Arial" w:cs="Arial"/>
          <w:color w:val="3A3A3A"/>
          <w:shd w:val="clear" w:color="auto" w:fill="FFFFFF"/>
        </w:rPr>
        <w:t>(</w:t>
      </w:r>
      <w:r w:rsidRPr="00F65CFD">
        <w:rPr>
          <w:rFonts w:ascii="Arial" w:hAnsi="Arial" w:cs="Arial"/>
          <w:shd w:val="clear" w:color="auto" w:fill="FFFFFF"/>
        </w:rPr>
        <w:t>Accessed 13 January 2025)</w:t>
      </w:r>
    </w:p>
    <w:bookmarkEnd w:id="29"/>
    <w:p w14:paraId="09D4FC11" w14:textId="77777777" w:rsidR="00F65CFD" w:rsidRPr="00F65CFD" w:rsidRDefault="00F65CFD" w:rsidP="00F65CFD">
      <w:pPr>
        <w:spacing w:after="0" w:line="240" w:lineRule="auto"/>
        <w:rPr>
          <w:rFonts w:ascii="Arial" w:eastAsia="Times New Roman" w:hAnsi="Arial" w:cs="Arial"/>
          <w:color w:val="3A3A3A"/>
          <w:kern w:val="0"/>
          <w:shd w:val="clear" w:color="auto" w:fill="FFFFFF"/>
          <w:lang w:eastAsia="en-GB"/>
          <w14:ligatures w14:val="none"/>
        </w:rPr>
      </w:pPr>
      <w:r w:rsidRPr="00F65CFD">
        <w:rPr>
          <w:rFonts w:ascii="Arial" w:eastAsia="Times New Roman" w:hAnsi="Arial" w:cs="Arial"/>
          <w:kern w:val="0"/>
          <w:shd w:val="clear" w:color="auto" w:fill="FFFFFF"/>
          <w:lang w:eastAsia="en-GB"/>
          <w14:ligatures w14:val="none"/>
        </w:rPr>
        <w:t>Masten, A.S. and Fowler, R.D. (2001) ‘Ordinary Magic: Resilience Processes in Development’, </w:t>
      </w:r>
      <w:r w:rsidRPr="00F65CFD">
        <w:rPr>
          <w:rFonts w:ascii="Arial" w:eastAsia="Times New Roman" w:hAnsi="Arial" w:cs="Arial"/>
          <w:i/>
          <w:iCs/>
          <w:kern w:val="0"/>
          <w:shd w:val="clear" w:color="auto" w:fill="FFFFFF"/>
          <w:lang w:eastAsia="en-GB"/>
          <w14:ligatures w14:val="none"/>
        </w:rPr>
        <w:t>The American psychologist</w:t>
      </w:r>
      <w:r w:rsidRPr="00F65CFD">
        <w:rPr>
          <w:rFonts w:ascii="Arial" w:eastAsia="Times New Roman" w:hAnsi="Arial" w:cs="Arial"/>
          <w:kern w:val="0"/>
          <w:shd w:val="clear" w:color="auto" w:fill="FFFFFF"/>
          <w:lang w:eastAsia="en-GB"/>
          <w14:ligatures w14:val="none"/>
        </w:rPr>
        <w:t xml:space="preserve">, 56(3), pp. 227–238. Available at: </w:t>
      </w:r>
      <w:hyperlink r:id="rId98" w:history="1">
        <w:r w:rsidRPr="00F65CFD">
          <w:rPr>
            <w:rFonts w:ascii="Arial" w:eastAsia="Times New Roman" w:hAnsi="Arial" w:cs="Arial"/>
            <w:color w:val="467886" w:themeColor="hyperlink"/>
            <w:kern w:val="0"/>
            <w:u w:val="single"/>
            <w:shd w:val="clear" w:color="auto" w:fill="FFFFFF"/>
            <w:lang w:eastAsia="en-GB"/>
            <w14:ligatures w14:val="none"/>
          </w:rPr>
          <w:t>https://doi.org/10.1037/0003-066X.56.3.227</w:t>
        </w:r>
      </w:hyperlink>
      <w:r w:rsidRPr="00F65CFD">
        <w:rPr>
          <w:rFonts w:ascii="Arial" w:eastAsia="Times New Roman" w:hAnsi="Arial" w:cs="Arial"/>
          <w:color w:val="3A3A3A"/>
          <w:kern w:val="0"/>
          <w:shd w:val="clear" w:color="auto" w:fill="FFFFFF"/>
          <w:lang w:eastAsia="en-GB"/>
          <w14:ligatures w14:val="none"/>
        </w:rPr>
        <w:t xml:space="preserve">. </w:t>
      </w:r>
      <w:bookmarkStart w:id="30" w:name="_Hlk187670826"/>
      <w:r w:rsidRPr="00F65CFD">
        <w:rPr>
          <w:rFonts w:ascii="Arial" w:eastAsia="Times New Roman" w:hAnsi="Arial" w:cs="Arial"/>
          <w:color w:val="3A3A3A"/>
          <w:kern w:val="0"/>
          <w:shd w:val="clear" w:color="auto" w:fill="FFFFFF"/>
          <w:lang w:eastAsia="en-GB"/>
          <w14:ligatures w14:val="none"/>
        </w:rPr>
        <w:t>(Accessed 12 January 2025)</w:t>
      </w:r>
      <w:bookmarkEnd w:id="30"/>
    </w:p>
    <w:p w14:paraId="4AD6BC5E" w14:textId="77777777" w:rsidR="00F65CFD" w:rsidRPr="00F65CFD" w:rsidRDefault="00F65CFD" w:rsidP="00F65CFD">
      <w:pPr>
        <w:spacing w:after="0" w:line="240" w:lineRule="auto"/>
        <w:rPr>
          <w:rFonts w:ascii="Arial" w:eastAsia="Times New Roman" w:hAnsi="Arial" w:cs="Arial"/>
          <w:color w:val="111111"/>
          <w:spacing w:val="-6"/>
          <w:kern w:val="0"/>
          <w:lang w:eastAsia="en-GB"/>
          <w14:ligatures w14:val="none"/>
        </w:rPr>
      </w:pPr>
    </w:p>
    <w:p w14:paraId="2B0531B9" w14:textId="77777777" w:rsidR="00F65CFD" w:rsidRPr="00F65CFD" w:rsidRDefault="00F65CFD" w:rsidP="00F65CFD">
      <w:pPr>
        <w:jc w:val="both"/>
        <w:rPr>
          <w:rFonts w:ascii="Arial" w:hAnsi="Arial" w:cs="Arial"/>
        </w:rPr>
      </w:pPr>
      <w:r w:rsidRPr="00F65CFD">
        <w:rPr>
          <w:rFonts w:ascii="Arial" w:hAnsi="Arial" w:cs="Arial"/>
          <w:shd w:val="clear" w:color="auto" w:fill="FFFFFF"/>
        </w:rPr>
        <w:t>Maxwell, A. </w:t>
      </w:r>
      <w:r w:rsidRPr="00F65CFD">
        <w:rPr>
          <w:rFonts w:ascii="Arial" w:hAnsi="Arial" w:cs="Arial"/>
          <w:i/>
          <w:iCs/>
          <w:shd w:val="clear" w:color="auto" w:fill="FFFFFF"/>
        </w:rPr>
        <w:t>et al.</w:t>
      </w:r>
      <w:r w:rsidRPr="00F65CFD">
        <w:rPr>
          <w:rFonts w:ascii="Arial" w:hAnsi="Arial" w:cs="Arial"/>
          <w:shd w:val="clear" w:color="auto" w:fill="FFFFFF"/>
        </w:rPr>
        <w:t> (2021) ‘Parent and practitioner perspectives on Circle of Security Parenting (COS</w:t>
      </w:r>
      <w:r w:rsidRPr="00F65CFD">
        <w:rPr>
          <w:rFonts w:ascii="Cambria Math" w:hAnsi="Cambria Math" w:cs="Cambria Math"/>
          <w:shd w:val="clear" w:color="auto" w:fill="FFFFFF"/>
        </w:rPr>
        <w:t>‐</w:t>
      </w:r>
      <w:r w:rsidRPr="00F65CFD">
        <w:rPr>
          <w:rFonts w:ascii="Arial" w:hAnsi="Arial" w:cs="Arial"/>
          <w:shd w:val="clear" w:color="auto" w:fill="FFFFFF"/>
        </w:rPr>
        <w:t>P): A qualitative study’, </w:t>
      </w:r>
      <w:r w:rsidRPr="00F65CFD">
        <w:rPr>
          <w:rFonts w:ascii="Arial" w:hAnsi="Arial" w:cs="Arial"/>
          <w:i/>
          <w:iCs/>
          <w:shd w:val="clear" w:color="auto" w:fill="FFFFFF"/>
        </w:rPr>
        <w:t>Infant mental health journal</w:t>
      </w:r>
      <w:r w:rsidRPr="00F65CFD">
        <w:rPr>
          <w:rFonts w:ascii="Arial" w:hAnsi="Arial" w:cs="Arial"/>
          <w:shd w:val="clear" w:color="auto" w:fill="FFFFFF"/>
        </w:rPr>
        <w:t xml:space="preserve">, 42(3), pp. 452–468. Available at: </w:t>
      </w:r>
      <w:hyperlink r:id="rId99" w:history="1">
        <w:r w:rsidRPr="00F65CFD">
          <w:rPr>
            <w:rFonts w:ascii="Arial" w:hAnsi="Arial" w:cs="Arial"/>
            <w:color w:val="467886" w:themeColor="hyperlink"/>
            <w:u w:val="single"/>
            <w:shd w:val="clear" w:color="auto" w:fill="FFFFFF"/>
          </w:rPr>
          <w:t>https://doi.org/10.1002/imhj.21916</w:t>
        </w:r>
      </w:hyperlink>
      <w:r w:rsidRPr="00F65CFD">
        <w:rPr>
          <w:rFonts w:ascii="Arial" w:hAnsi="Arial" w:cs="Arial"/>
          <w:color w:val="3A3A3A"/>
          <w:shd w:val="clear" w:color="auto" w:fill="FFFFFF"/>
        </w:rPr>
        <w:t xml:space="preserve">. </w:t>
      </w:r>
      <w:r w:rsidRPr="00F65CFD">
        <w:rPr>
          <w:rFonts w:ascii="Arial" w:hAnsi="Arial" w:cs="Arial"/>
          <w:shd w:val="clear" w:color="auto" w:fill="FFFFFF"/>
        </w:rPr>
        <w:t>(Accessed 12 January 2025)</w:t>
      </w:r>
    </w:p>
    <w:p w14:paraId="01515C4E" w14:textId="77777777" w:rsidR="00F65CFD" w:rsidRPr="00F65CFD" w:rsidRDefault="00F65CFD" w:rsidP="00F65CFD">
      <w:pPr>
        <w:jc w:val="both"/>
        <w:rPr>
          <w:rFonts w:ascii="Arial" w:hAnsi="Arial" w:cs="Arial"/>
        </w:rPr>
      </w:pPr>
      <w:r w:rsidRPr="00F65CFD">
        <w:rPr>
          <w:rFonts w:ascii="Arial" w:hAnsi="Arial" w:cs="Arial"/>
          <w:shd w:val="clear" w:color="auto" w:fill="FFFFFF"/>
        </w:rPr>
        <w:lastRenderedPageBreak/>
        <w:t>Maxwell, A.-M. </w:t>
      </w:r>
      <w:r w:rsidRPr="00F65CFD">
        <w:rPr>
          <w:rFonts w:ascii="Arial" w:hAnsi="Arial" w:cs="Arial"/>
          <w:i/>
          <w:iCs/>
          <w:shd w:val="clear" w:color="auto" w:fill="FFFFFF"/>
        </w:rPr>
        <w:t>et al.</w:t>
      </w:r>
      <w:r w:rsidRPr="00F65CFD">
        <w:rPr>
          <w:rFonts w:ascii="Arial" w:hAnsi="Arial" w:cs="Arial"/>
          <w:shd w:val="clear" w:color="auto" w:fill="FFFFFF"/>
        </w:rPr>
        <w:t> (2021) ‘Examining the Effectiveness of Circle of Security Parenting (COS-P): A Multi-Site Non-Randomized Study with Waitlist Control’, </w:t>
      </w:r>
      <w:r w:rsidRPr="00F65CFD">
        <w:rPr>
          <w:rFonts w:ascii="Arial" w:hAnsi="Arial" w:cs="Arial"/>
          <w:i/>
          <w:iCs/>
          <w:shd w:val="clear" w:color="auto" w:fill="FFFFFF"/>
        </w:rPr>
        <w:t>Journal of child and family studies</w:t>
      </w:r>
      <w:r w:rsidRPr="00F65CFD">
        <w:rPr>
          <w:rFonts w:ascii="Arial" w:hAnsi="Arial" w:cs="Arial"/>
          <w:shd w:val="clear" w:color="auto" w:fill="FFFFFF"/>
        </w:rPr>
        <w:t xml:space="preserve">, 30(5), pp. 1123–1140. Available at: </w:t>
      </w:r>
      <w:hyperlink r:id="rId100" w:history="1">
        <w:r w:rsidRPr="00F65CFD">
          <w:rPr>
            <w:rFonts w:ascii="Arial" w:hAnsi="Arial" w:cs="Arial"/>
            <w:color w:val="467886" w:themeColor="hyperlink"/>
            <w:u w:val="single"/>
            <w:shd w:val="clear" w:color="auto" w:fill="FFFFFF"/>
          </w:rPr>
          <w:t>https://doi.org/10.1007/s10826-021-01932-4</w:t>
        </w:r>
      </w:hyperlink>
      <w:r w:rsidRPr="00F65CFD">
        <w:rPr>
          <w:rFonts w:ascii="Arial" w:hAnsi="Arial" w:cs="Arial"/>
          <w:color w:val="3A3A3A"/>
          <w:shd w:val="clear" w:color="auto" w:fill="FFFFFF"/>
        </w:rPr>
        <w:t xml:space="preserve">. </w:t>
      </w:r>
      <w:r w:rsidRPr="00F65CFD">
        <w:rPr>
          <w:rFonts w:ascii="Arial" w:hAnsi="Arial" w:cs="Arial"/>
          <w:shd w:val="clear" w:color="auto" w:fill="FFFFFF"/>
        </w:rPr>
        <w:t>(Accessed 12 January 2025)</w:t>
      </w:r>
    </w:p>
    <w:p w14:paraId="294EC480" w14:textId="77777777" w:rsidR="00F65CFD" w:rsidRPr="00F65CFD" w:rsidRDefault="00F65CFD" w:rsidP="00F65CFD">
      <w:pPr>
        <w:spacing w:after="0" w:line="240" w:lineRule="auto"/>
        <w:jc w:val="both"/>
        <w:rPr>
          <w:rFonts w:ascii="Arial" w:hAnsi="Arial" w:cs="Arial"/>
          <w:shd w:val="clear" w:color="auto" w:fill="FFFFFF"/>
        </w:rPr>
      </w:pPr>
      <w:r w:rsidRPr="00F65CFD">
        <w:rPr>
          <w:rFonts w:ascii="Arial" w:hAnsi="Arial" w:cs="Arial"/>
          <w:shd w:val="clear" w:color="auto" w:fill="FFFFFF"/>
        </w:rPr>
        <w:t>McEntire, N. (2009) ‘The Importance of Play in Promoting Healthy Child Development and Maintaining Strong Parent-Child Bonds’, </w:t>
      </w:r>
      <w:r w:rsidRPr="00F65CFD">
        <w:rPr>
          <w:rFonts w:ascii="Arial" w:hAnsi="Arial" w:cs="Arial"/>
          <w:i/>
          <w:iCs/>
          <w:shd w:val="clear" w:color="auto" w:fill="FFFFFF"/>
        </w:rPr>
        <w:t>Childhood education</w:t>
      </w:r>
      <w:r w:rsidRPr="00F65CFD">
        <w:rPr>
          <w:rFonts w:ascii="Arial" w:hAnsi="Arial" w:cs="Arial"/>
          <w:shd w:val="clear" w:color="auto" w:fill="FFFFFF"/>
        </w:rPr>
        <w:t xml:space="preserve">, 85(3), pp. 208-. </w:t>
      </w:r>
    </w:p>
    <w:p w14:paraId="4DD523C3" w14:textId="77777777" w:rsidR="00F65CFD" w:rsidRPr="00F65CFD" w:rsidRDefault="00F65CFD" w:rsidP="00F65CFD">
      <w:pPr>
        <w:spacing w:after="0" w:line="240" w:lineRule="auto"/>
        <w:jc w:val="both"/>
        <w:rPr>
          <w:rFonts w:ascii="Arial" w:eastAsia="Times New Roman" w:hAnsi="Arial" w:cs="Arial"/>
          <w:spacing w:val="-6"/>
          <w:kern w:val="0"/>
          <w:lang w:eastAsia="en-GB"/>
          <w14:ligatures w14:val="none"/>
        </w:rPr>
      </w:pPr>
    </w:p>
    <w:p w14:paraId="4F37B828" w14:textId="0B578DBA" w:rsidR="00F65CFD" w:rsidRPr="00F65CFD" w:rsidRDefault="00F65CFD" w:rsidP="00F65CFD">
      <w:pPr>
        <w:jc w:val="both"/>
        <w:rPr>
          <w:rFonts w:ascii="Arial" w:hAnsi="Arial" w:cs="Arial"/>
          <w:shd w:val="clear" w:color="auto" w:fill="FFFFFF"/>
        </w:rPr>
      </w:pPr>
      <w:r w:rsidRPr="00F65CFD">
        <w:rPr>
          <w:rFonts w:ascii="Arial" w:hAnsi="Arial" w:cs="Arial"/>
          <w:shd w:val="clear" w:color="auto" w:fill="FFFFFF"/>
        </w:rPr>
        <w:t>Naish, S. </w:t>
      </w:r>
      <w:r w:rsidRPr="00F65CFD">
        <w:rPr>
          <w:rFonts w:ascii="Arial" w:hAnsi="Arial" w:cs="Arial"/>
          <w:i/>
          <w:iCs/>
          <w:shd w:val="clear" w:color="auto" w:fill="FFFFFF"/>
        </w:rPr>
        <w:t>et al.</w:t>
      </w:r>
      <w:r w:rsidRPr="00F65CFD">
        <w:rPr>
          <w:rFonts w:ascii="Arial" w:hAnsi="Arial" w:cs="Arial"/>
          <w:shd w:val="clear" w:color="auto" w:fill="FFFFFF"/>
        </w:rPr>
        <w:t> (2023) </w:t>
      </w:r>
      <w:r w:rsidRPr="00F65CFD">
        <w:rPr>
          <w:rFonts w:ascii="Arial" w:hAnsi="Arial" w:cs="Arial"/>
          <w:i/>
          <w:iCs/>
          <w:shd w:val="clear" w:color="auto" w:fill="FFFFFF"/>
        </w:rPr>
        <w:t>The a-Z of Trauma-Informed Teaching: Strategies and Solutions to Help with Behaviour and Support for Children Aged 3-11.</w:t>
      </w:r>
      <w:r w:rsidRPr="00F65CFD">
        <w:rPr>
          <w:rFonts w:ascii="Arial" w:hAnsi="Arial" w:cs="Arial"/>
          <w:shd w:val="clear" w:color="auto" w:fill="FFFFFF"/>
        </w:rPr>
        <w:t> 1st ed. London: Jessica Kingsley Publishers.</w:t>
      </w:r>
    </w:p>
    <w:p w14:paraId="27A0AD13" w14:textId="77777777" w:rsidR="00F65CFD" w:rsidRPr="00F65CFD" w:rsidRDefault="00F65CFD" w:rsidP="00F65CFD">
      <w:pPr>
        <w:jc w:val="both"/>
        <w:rPr>
          <w:rFonts w:ascii="Arial" w:hAnsi="Arial" w:cs="Arial"/>
          <w:shd w:val="clear" w:color="auto" w:fill="FFFFFF"/>
        </w:rPr>
      </w:pPr>
    </w:p>
    <w:p w14:paraId="5A1C83DF"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r w:rsidRPr="00F65CFD">
        <w:rPr>
          <w:rFonts w:ascii="Arial" w:eastAsia="Times New Roman" w:hAnsi="Arial" w:cs="Arial"/>
          <w:spacing w:val="-6"/>
          <w:kern w:val="0"/>
          <w:lang w:eastAsia="en-GB"/>
          <w14:ligatures w14:val="none"/>
        </w:rPr>
        <w:t>National Youth Advocacy Service (NYAS), (2023)</w:t>
      </w:r>
      <w:r w:rsidRPr="00F65CFD">
        <w:rPr>
          <w:rFonts w:ascii="Times New Roman" w:eastAsia="Times New Roman" w:hAnsi="Times New Roman" w:cs="Times New Roman"/>
          <w:kern w:val="0"/>
          <w:lang w:eastAsia="en-GB"/>
          <w14:ligatures w14:val="none"/>
        </w:rPr>
        <w:t xml:space="preserve"> </w:t>
      </w:r>
      <w:r w:rsidRPr="00F65CFD">
        <w:rPr>
          <w:rFonts w:ascii="Arial" w:eastAsia="Times New Roman" w:hAnsi="Arial" w:cs="Arial"/>
          <w:i/>
          <w:iCs/>
          <w:kern w:val="0"/>
          <w:lang w:eastAsia="en-GB"/>
          <w14:ligatures w14:val="none"/>
        </w:rPr>
        <w:t>Are looked after minds really looked after?</w:t>
      </w:r>
      <w:r w:rsidRPr="00F65CFD">
        <w:rPr>
          <w:rFonts w:ascii="Arial" w:eastAsia="Times New Roman" w:hAnsi="Arial" w:cs="Arial"/>
          <w:i/>
          <w:iCs/>
          <w:spacing w:val="-6"/>
          <w:kern w:val="0"/>
          <w:lang w:eastAsia="en-GB"/>
          <w14:ligatures w14:val="none"/>
        </w:rPr>
        <w:t> </w:t>
      </w:r>
      <w:r w:rsidRPr="00F65CFD">
        <w:rPr>
          <w:rFonts w:ascii="Arial" w:eastAsia="Times New Roman" w:hAnsi="Arial" w:cs="Arial"/>
          <w:i/>
          <w:iCs/>
          <w:kern w:val="0"/>
          <w:lang w:eastAsia="en-GB"/>
          <w14:ligatures w14:val="none"/>
        </w:rPr>
        <w:t xml:space="preserve">Comparing mental health support for care-experienced young people in England and Wales. </w:t>
      </w:r>
      <w:r w:rsidRPr="00F65CFD">
        <w:rPr>
          <w:rFonts w:ascii="Arial" w:eastAsia="Times New Roman" w:hAnsi="Arial" w:cs="Arial"/>
          <w:kern w:val="0"/>
          <w:lang w:eastAsia="en-GB"/>
          <w14:ligatures w14:val="none"/>
        </w:rPr>
        <w:t>Available at:</w:t>
      </w:r>
      <w:r w:rsidRPr="00F65CFD">
        <w:rPr>
          <w:rFonts w:ascii="Arial" w:eastAsia="Times New Roman" w:hAnsi="Arial" w:cs="Arial"/>
          <w:spacing w:val="-6"/>
          <w:kern w:val="0"/>
          <w:lang w:eastAsia="en-GB"/>
          <w14:ligatures w14:val="none"/>
        </w:rPr>
        <w:t xml:space="preserve"> </w:t>
      </w:r>
      <w:hyperlink r:id="rId101" w:history="1">
        <w:r w:rsidRPr="00F65CFD">
          <w:rPr>
            <w:rFonts w:ascii="Arial" w:eastAsia="Times New Roman" w:hAnsi="Arial" w:cs="Arial"/>
            <w:color w:val="215E99" w:themeColor="text2" w:themeTint="BF"/>
            <w:spacing w:val="-6"/>
            <w:kern w:val="0"/>
            <w:u w:val="single"/>
            <w:lang w:eastAsia="en-GB"/>
            <w14:ligatures w14:val="none"/>
          </w:rPr>
          <w:t>https://nyas.s3.eu-west-1.amazonaws.com/NewsCampaigns/News/2022/12/AtB%20Child%20Poverty%20Winter%202022%20English%20(4).pdf</w:t>
        </w:r>
      </w:hyperlink>
      <w:r w:rsidRPr="00F65CFD">
        <w:rPr>
          <w:rFonts w:ascii="Arial" w:eastAsia="Times New Roman" w:hAnsi="Arial" w:cs="Arial"/>
          <w:color w:val="215E99" w:themeColor="text2" w:themeTint="BF"/>
          <w:spacing w:val="-6"/>
          <w:kern w:val="0"/>
          <w:lang w:eastAsia="en-GB"/>
          <w14:ligatures w14:val="none"/>
        </w:rPr>
        <w:t xml:space="preserve"> </w:t>
      </w:r>
      <w:r w:rsidRPr="00F65CFD">
        <w:rPr>
          <w:rFonts w:ascii="Arial" w:eastAsia="Times New Roman" w:hAnsi="Arial" w:cs="Arial"/>
          <w:kern w:val="0"/>
          <w:shd w:val="clear" w:color="auto" w:fill="FFFFFF"/>
          <w:lang w:eastAsia="en-GB"/>
          <w14:ligatures w14:val="none"/>
        </w:rPr>
        <w:t>(Accessed 11 January 2025)</w:t>
      </w:r>
    </w:p>
    <w:p w14:paraId="12FBF747" w14:textId="77777777" w:rsidR="00F65CFD" w:rsidRPr="00F65CFD" w:rsidRDefault="00F65CFD" w:rsidP="00F65CFD">
      <w:pPr>
        <w:spacing w:after="0" w:line="240" w:lineRule="auto"/>
        <w:jc w:val="both"/>
        <w:rPr>
          <w:rFonts w:ascii="Arial" w:eastAsia="Times New Roman" w:hAnsi="Arial" w:cs="Arial"/>
          <w:color w:val="FF0000"/>
          <w:kern w:val="0"/>
          <w:lang w:eastAsia="en-GB"/>
          <w14:ligatures w14:val="none"/>
        </w:rPr>
      </w:pPr>
    </w:p>
    <w:p w14:paraId="674A1C88" w14:textId="77777777" w:rsidR="00F65CFD" w:rsidRPr="00F65CFD" w:rsidRDefault="00F65CFD" w:rsidP="00F65CFD">
      <w:pPr>
        <w:spacing w:after="0" w:line="240" w:lineRule="auto"/>
        <w:jc w:val="both"/>
        <w:rPr>
          <w:rFonts w:ascii="Arial" w:eastAsia="Times New Roman" w:hAnsi="Arial" w:cs="Arial"/>
          <w:color w:val="FF0000"/>
          <w:spacing w:val="-6"/>
          <w:kern w:val="0"/>
          <w:lang w:eastAsia="en-GB"/>
          <w14:ligatures w14:val="none"/>
        </w:rPr>
      </w:pPr>
    </w:p>
    <w:p w14:paraId="21358106" w14:textId="77777777" w:rsidR="00F65CFD" w:rsidRPr="00F65CFD" w:rsidRDefault="00F65CFD" w:rsidP="00F65CFD">
      <w:pPr>
        <w:spacing w:after="0" w:line="240" w:lineRule="auto"/>
        <w:rPr>
          <w:rFonts w:ascii="Arial" w:eastAsia="Times New Roman" w:hAnsi="Arial" w:cs="Arial"/>
          <w:color w:val="3A3A3A"/>
          <w:kern w:val="0"/>
          <w:shd w:val="clear" w:color="auto" w:fill="FFFFFF"/>
          <w:lang w:eastAsia="en-GB"/>
          <w14:ligatures w14:val="none"/>
        </w:rPr>
      </w:pPr>
      <w:r w:rsidRPr="00F65CFD">
        <w:rPr>
          <w:rFonts w:ascii="Arial" w:eastAsia="Times New Roman" w:hAnsi="Arial" w:cs="Arial"/>
          <w:kern w:val="0"/>
          <w:shd w:val="clear" w:color="auto" w:fill="FFFFFF"/>
          <w:lang w:eastAsia="en-GB"/>
          <w14:ligatures w14:val="none"/>
        </w:rPr>
        <w:t>Pechtel, P. and Pizzagalli, D.A. (2011) ‘Effects of early life stress on cognitive and affective function: an integrated review of human literature’, </w:t>
      </w:r>
      <w:r w:rsidRPr="00F65CFD">
        <w:rPr>
          <w:rFonts w:ascii="Arial" w:eastAsia="Times New Roman" w:hAnsi="Arial" w:cs="Arial"/>
          <w:i/>
          <w:iCs/>
          <w:kern w:val="0"/>
          <w:shd w:val="clear" w:color="auto" w:fill="FFFFFF"/>
          <w:lang w:eastAsia="en-GB"/>
          <w14:ligatures w14:val="none"/>
        </w:rPr>
        <w:t>Psychopharmacology</w:t>
      </w:r>
      <w:r w:rsidRPr="00F65CFD">
        <w:rPr>
          <w:rFonts w:ascii="Arial" w:eastAsia="Times New Roman" w:hAnsi="Arial" w:cs="Arial"/>
          <w:kern w:val="0"/>
          <w:shd w:val="clear" w:color="auto" w:fill="FFFFFF"/>
          <w:lang w:eastAsia="en-GB"/>
          <w14:ligatures w14:val="none"/>
        </w:rPr>
        <w:t xml:space="preserve">, 214(1), pp. 55–70. Available at: </w:t>
      </w:r>
      <w:hyperlink r:id="rId102" w:history="1">
        <w:r w:rsidRPr="00F65CFD">
          <w:rPr>
            <w:rFonts w:ascii="Arial" w:eastAsia="Times New Roman" w:hAnsi="Arial" w:cs="Arial"/>
            <w:color w:val="467886" w:themeColor="hyperlink"/>
            <w:kern w:val="0"/>
            <w:u w:val="single"/>
            <w:shd w:val="clear" w:color="auto" w:fill="FFFFFF"/>
            <w:lang w:eastAsia="en-GB"/>
            <w14:ligatures w14:val="none"/>
          </w:rPr>
          <w:t>https://doi.org/10.1007/s00213-010-2009-2</w:t>
        </w:r>
      </w:hyperlink>
      <w:r w:rsidRPr="00F65CFD">
        <w:rPr>
          <w:rFonts w:ascii="Arial" w:eastAsia="Times New Roman" w:hAnsi="Arial" w:cs="Arial"/>
          <w:color w:val="3A3A3A"/>
          <w:kern w:val="0"/>
          <w:shd w:val="clear" w:color="auto" w:fill="FFFFFF"/>
          <w:lang w:eastAsia="en-GB"/>
          <w14:ligatures w14:val="none"/>
        </w:rPr>
        <w:t xml:space="preserve">. </w:t>
      </w:r>
      <w:bookmarkStart w:id="31" w:name="_Hlk187682781"/>
      <w:r w:rsidRPr="00F65CFD">
        <w:rPr>
          <w:rFonts w:ascii="Arial" w:eastAsia="Times New Roman" w:hAnsi="Arial" w:cs="Arial"/>
          <w:kern w:val="0"/>
          <w:shd w:val="clear" w:color="auto" w:fill="FFFFFF"/>
          <w:lang w:eastAsia="en-GB"/>
          <w14:ligatures w14:val="none"/>
        </w:rPr>
        <w:t>(Accessed 16 January 2025)</w:t>
      </w:r>
      <w:bookmarkEnd w:id="31"/>
    </w:p>
    <w:p w14:paraId="1CA38113" w14:textId="77777777" w:rsidR="00F65CFD" w:rsidRPr="00F65CFD" w:rsidRDefault="00F65CFD" w:rsidP="00F65CFD">
      <w:pPr>
        <w:spacing w:after="0" w:line="240" w:lineRule="auto"/>
        <w:rPr>
          <w:rFonts w:ascii="Arial" w:eastAsia="Times New Roman" w:hAnsi="Arial" w:cs="Arial"/>
          <w:color w:val="111111"/>
          <w:spacing w:val="-6"/>
          <w:kern w:val="0"/>
          <w:lang w:eastAsia="en-GB"/>
          <w14:ligatures w14:val="none"/>
        </w:rPr>
      </w:pPr>
    </w:p>
    <w:p w14:paraId="479B6ABA" w14:textId="77777777" w:rsidR="00F65CFD" w:rsidRPr="00F65CFD" w:rsidRDefault="00F65CFD" w:rsidP="00F65CFD">
      <w:pPr>
        <w:spacing w:after="0" w:line="240" w:lineRule="auto"/>
        <w:jc w:val="both"/>
        <w:rPr>
          <w:rFonts w:ascii="Arial" w:eastAsia="Times New Roman" w:hAnsi="Arial" w:cs="Arial"/>
          <w:spacing w:val="-6"/>
          <w:kern w:val="0"/>
          <w:lang w:eastAsia="en-GB"/>
          <w14:ligatures w14:val="none"/>
        </w:rPr>
      </w:pPr>
      <w:r w:rsidRPr="00F65CFD">
        <w:rPr>
          <w:rFonts w:ascii="Arial" w:eastAsia="Times New Roman" w:hAnsi="Arial" w:cs="Arial"/>
          <w:spacing w:val="-6"/>
          <w:kern w:val="0"/>
          <w:lang w:eastAsia="en-GB"/>
          <w14:ligatures w14:val="none"/>
        </w:rPr>
        <w:t>Perry, B. D., &amp; Szalavitz, M. (2017). </w:t>
      </w:r>
      <w:r w:rsidRPr="00F65CFD">
        <w:rPr>
          <w:rFonts w:ascii="Arial" w:eastAsia="Times New Roman" w:hAnsi="Arial" w:cs="Arial"/>
          <w:i/>
          <w:iCs/>
          <w:spacing w:val="-6"/>
          <w:kern w:val="0"/>
          <w:lang w:eastAsia="en-GB"/>
          <w14:ligatures w14:val="none"/>
        </w:rPr>
        <w:t>The boy who was raised as a dog: And other stories from a child psychiatrist’s notebook—What traumatized children can teach us about loss, love, and healing.</w:t>
      </w:r>
      <w:r w:rsidRPr="00F65CFD">
        <w:rPr>
          <w:rFonts w:ascii="Arial" w:eastAsia="Times New Roman" w:hAnsi="Arial" w:cs="Arial"/>
          <w:spacing w:val="-6"/>
          <w:kern w:val="0"/>
          <w:lang w:eastAsia="en-GB"/>
          <w14:ligatures w14:val="none"/>
        </w:rPr>
        <w:t> New York, NY: Basic Books.</w:t>
      </w:r>
    </w:p>
    <w:p w14:paraId="305A3D95" w14:textId="77777777" w:rsidR="00F65CFD" w:rsidRPr="00F65CFD" w:rsidRDefault="00F65CFD" w:rsidP="00F65CFD">
      <w:pPr>
        <w:spacing w:after="0" w:line="240" w:lineRule="auto"/>
        <w:jc w:val="both"/>
        <w:rPr>
          <w:rFonts w:ascii="Arial" w:eastAsia="Times New Roman" w:hAnsi="Arial" w:cs="Arial"/>
          <w:spacing w:val="-6"/>
          <w:kern w:val="0"/>
          <w:lang w:eastAsia="en-GB"/>
          <w14:ligatures w14:val="none"/>
        </w:rPr>
      </w:pPr>
    </w:p>
    <w:p w14:paraId="10F95912"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r w:rsidRPr="00F65CFD">
        <w:rPr>
          <w:rFonts w:ascii="Arial" w:eastAsia="Times New Roman" w:hAnsi="Arial" w:cs="Arial"/>
          <w:kern w:val="0"/>
          <w:shd w:val="clear" w:color="auto" w:fill="FFFFFF"/>
          <w:lang w:eastAsia="en-GB"/>
          <w14:ligatures w14:val="none"/>
        </w:rPr>
        <w:t>Perry, D.L. and Daniels, M.L. (2016) ‘Implementing Trauma—Informed Practices in the School Setting: A Pilot Study’, </w:t>
      </w:r>
      <w:r w:rsidRPr="00F65CFD">
        <w:rPr>
          <w:rFonts w:ascii="Arial" w:eastAsia="Times New Roman" w:hAnsi="Arial" w:cs="Arial"/>
          <w:i/>
          <w:iCs/>
          <w:kern w:val="0"/>
          <w:shd w:val="clear" w:color="auto" w:fill="FFFFFF"/>
          <w:lang w:eastAsia="en-GB"/>
          <w14:ligatures w14:val="none"/>
        </w:rPr>
        <w:t>School mental health</w:t>
      </w:r>
      <w:r w:rsidRPr="00F65CFD">
        <w:rPr>
          <w:rFonts w:ascii="Arial" w:eastAsia="Times New Roman" w:hAnsi="Arial" w:cs="Arial"/>
          <w:kern w:val="0"/>
          <w:shd w:val="clear" w:color="auto" w:fill="FFFFFF"/>
          <w:lang w:eastAsia="en-GB"/>
          <w14:ligatures w14:val="none"/>
        </w:rPr>
        <w:t xml:space="preserve">, 8(1), pp. 177–188. Available at: </w:t>
      </w:r>
      <w:hyperlink r:id="rId103" w:history="1">
        <w:r w:rsidRPr="00F65CFD">
          <w:rPr>
            <w:rFonts w:ascii="Arial" w:eastAsia="Times New Roman" w:hAnsi="Arial" w:cs="Arial"/>
            <w:color w:val="467886" w:themeColor="hyperlink"/>
            <w:kern w:val="0"/>
            <w:u w:val="single"/>
            <w:shd w:val="clear" w:color="auto" w:fill="FFFFFF"/>
            <w:lang w:eastAsia="en-GB"/>
            <w14:ligatures w14:val="none"/>
          </w:rPr>
          <w:t>https://doi.org/10.1007/s12310-016-9182-3</w:t>
        </w:r>
      </w:hyperlink>
      <w:r w:rsidRPr="00F65CFD">
        <w:rPr>
          <w:rFonts w:ascii="Arial" w:eastAsia="Times New Roman" w:hAnsi="Arial" w:cs="Arial"/>
          <w:color w:val="3A3A3A"/>
          <w:kern w:val="0"/>
          <w:shd w:val="clear" w:color="auto" w:fill="FFFFFF"/>
          <w:lang w:eastAsia="en-GB"/>
          <w14:ligatures w14:val="none"/>
        </w:rPr>
        <w:t xml:space="preserve"> </w:t>
      </w:r>
      <w:r w:rsidRPr="00F65CFD">
        <w:rPr>
          <w:rFonts w:ascii="Arial" w:eastAsia="Times New Roman" w:hAnsi="Arial" w:cs="Arial"/>
          <w:kern w:val="0"/>
          <w:shd w:val="clear" w:color="auto" w:fill="FFFFFF"/>
          <w:lang w:eastAsia="en-GB"/>
          <w14:ligatures w14:val="none"/>
        </w:rPr>
        <w:t>(Accessed 11 January 2025)</w:t>
      </w:r>
    </w:p>
    <w:p w14:paraId="48DAB625" w14:textId="77777777" w:rsidR="00F65CFD" w:rsidRPr="00F65CFD" w:rsidRDefault="00F65CFD" w:rsidP="00F65CFD">
      <w:pPr>
        <w:spacing w:after="0" w:line="240" w:lineRule="auto"/>
        <w:rPr>
          <w:rFonts w:ascii="Arial" w:eastAsia="Times New Roman" w:hAnsi="Arial" w:cs="Arial"/>
          <w:color w:val="111111"/>
          <w:spacing w:val="-6"/>
          <w:kern w:val="0"/>
          <w:lang w:eastAsia="en-GB"/>
          <w14:ligatures w14:val="none"/>
        </w:rPr>
      </w:pPr>
    </w:p>
    <w:p w14:paraId="098A8289" w14:textId="77777777" w:rsidR="00F65CFD" w:rsidRPr="00F65CFD" w:rsidRDefault="00F65CFD" w:rsidP="00F65CFD">
      <w:pPr>
        <w:spacing w:after="0" w:line="240" w:lineRule="auto"/>
        <w:rPr>
          <w:rFonts w:ascii="Arial" w:eastAsia="Times New Roman" w:hAnsi="Arial" w:cs="Arial"/>
          <w:color w:val="111111"/>
          <w:spacing w:val="-6"/>
          <w:kern w:val="0"/>
          <w:lang w:eastAsia="en-GB"/>
          <w14:ligatures w14:val="none"/>
        </w:rPr>
      </w:pPr>
      <w:r w:rsidRPr="00F65CFD">
        <w:rPr>
          <w:rFonts w:ascii="Arial" w:eastAsia="Times New Roman" w:hAnsi="Arial" w:cs="Arial"/>
          <w:color w:val="111111"/>
          <w:spacing w:val="-6"/>
          <w:kern w:val="0"/>
          <w:lang w:eastAsia="en-GB"/>
          <w14:ligatures w14:val="none"/>
        </w:rPr>
        <w:t xml:space="preserve">Play Wales (2022) </w:t>
      </w:r>
      <w:r w:rsidRPr="00F65CFD">
        <w:rPr>
          <w:rFonts w:ascii="Arial" w:eastAsia="Times New Roman" w:hAnsi="Arial" w:cs="Arial"/>
          <w:i/>
          <w:iCs/>
          <w:color w:val="111111"/>
          <w:spacing w:val="-6"/>
          <w:kern w:val="0"/>
          <w:lang w:eastAsia="en-GB"/>
          <w14:ligatures w14:val="none"/>
        </w:rPr>
        <w:t>Play Sufficiency</w:t>
      </w:r>
      <w:r w:rsidRPr="00F65CFD">
        <w:rPr>
          <w:rFonts w:ascii="Arial" w:eastAsia="Times New Roman" w:hAnsi="Arial" w:cs="Arial"/>
          <w:color w:val="111111"/>
          <w:spacing w:val="-6"/>
          <w:kern w:val="0"/>
          <w:lang w:eastAsia="en-GB"/>
          <w14:ligatures w14:val="none"/>
        </w:rPr>
        <w:t xml:space="preserve">. Available at: </w:t>
      </w:r>
      <w:hyperlink r:id="rId104" w:history="1">
        <w:r w:rsidRPr="00F65CFD">
          <w:rPr>
            <w:rFonts w:ascii="Arial" w:eastAsia="Times New Roman" w:hAnsi="Arial" w:cs="Arial"/>
            <w:color w:val="467886" w:themeColor="hyperlink"/>
            <w:spacing w:val="-6"/>
            <w:kern w:val="0"/>
            <w:u w:val="single"/>
            <w:lang w:eastAsia="en-GB"/>
            <w14:ligatures w14:val="none"/>
          </w:rPr>
          <w:t>https://play.wales/play-policy-legislation/play-sufficiency/</w:t>
        </w:r>
      </w:hyperlink>
      <w:r w:rsidRPr="00F65CFD">
        <w:rPr>
          <w:rFonts w:ascii="Arial" w:eastAsia="Times New Roman" w:hAnsi="Arial" w:cs="Arial"/>
          <w:color w:val="111111"/>
          <w:spacing w:val="-6"/>
          <w:kern w:val="0"/>
          <w:lang w:eastAsia="en-GB"/>
          <w14:ligatures w14:val="none"/>
        </w:rPr>
        <w:t xml:space="preserve"> (Accessed at : 13 January 2025)</w:t>
      </w:r>
    </w:p>
    <w:p w14:paraId="21BE7420" w14:textId="77777777" w:rsidR="00F65CFD" w:rsidRPr="00F65CFD" w:rsidRDefault="00F65CFD" w:rsidP="00F65CFD">
      <w:pPr>
        <w:spacing w:after="0" w:line="240" w:lineRule="auto"/>
        <w:rPr>
          <w:rFonts w:ascii="Arial" w:eastAsia="Times New Roman" w:hAnsi="Arial" w:cs="Arial"/>
          <w:color w:val="111111"/>
          <w:spacing w:val="-6"/>
          <w:kern w:val="0"/>
          <w:lang w:eastAsia="en-GB"/>
          <w14:ligatures w14:val="none"/>
        </w:rPr>
      </w:pPr>
    </w:p>
    <w:p w14:paraId="2279A580" w14:textId="77777777" w:rsidR="00F65CFD" w:rsidRPr="00F65CFD" w:rsidRDefault="00F65CFD" w:rsidP="00F65CFD">
      <w:pPr>
        <w:jc w:val="both"/>
        <w:rPr>
          <w:rFonts w:ascii="Arial" w:hAnsi="Arial" w:cs="Arial"/>
          <w:color w:val="00B0F0"/>
        </w:rPr>
      </w:pPr>
      <w:r w:rsidRPr="00F65CFD">
        <w:rPr>
          <w:rFonts w:ascii="Arial" w:hAnsi="Arial" w:cs="Arial"/>
        </w:rPr>
        <w:t xml:space="preserve">Play Wales (2024) </w:t>
      </w:r>
      <w:r w:rsidRPr="00F65CFD">
        <w:rPr>
          <w:rFonts w:ascii="Arial" w:hAnsi="Arial" w:cs="Arial"/>
          <w:i/>
          <w:iCs/>
        </w:rPr>
        <w:t xml:space="preserve">The Play Sufficiency Duty and the roles of playworkers. </w:t>
      </w:r>
      <w:r w:rsidRPr="00F65CFD">
        <w:rPr>
          <w:rFonts w:ascii="Arial" w:hAnsi="Arial" w:cs="Arial"/>
        </w:rPr>
        <w:t xml:space="preserve">Available at: </w:t>
      </w:r>
      <w:hyperlink r:id="rId105" w:history="1">
        <w:r w:rsidRPr="00F65CFD">
          <w:rPr>
            <w:rFonts w:ascii="Arial" w:hAnsi="Arial" w:cs="Arial"/>
            <w:color w:val="467886" w:themeColor="hyperlink"/>
            <w:u w:val="single"/>
          </w:rPr>
          <w:t>https://play.wales/wp-content/uploads/2024/11/The-Play-Sufficiency-Duty-and-the-roles-of-playworkers_2024.pdf</w:t>
        </w:r>
      </w:hyperlink>
      <w:r w:rsidRPr="00F65CFD">
        <w:rPr>
          <w:rFonts w:ascii="Arial" w:hAnsi="Arial" w:cs="Arial"/>
        </w:rPr>
        <w:t xml:space="preserve"> </w:t>
      </w:r>
      <w:r w:rsidRPr="00F65CFD">
        <w:rPr>
          <w:rFonts w:ascii="Arial" w:hAnsi="Arial" w:cs="Arial"/>
          <w:color w:val="3A3A3A"/>
          <w:shd w:val="clear" w:color="auto" w:fill="FFFFFF"/>
        </w:rPr>
        <w:t>(Accessed 13 January 2025)</w:t>
      </w:r>
    </w:p>
    <w:p w14:paraId="2FCEE9FB" w14:textId="77777777" w:rsidR="00F65CFD" w:rsidRPr="00F65CFD" w:rsidRDefault="00F65CFD" w:rsidP="00F65CFD">
      <w:pPr>
        <w:spacing w:after="0" w:line="240" w:lineRule="auto"/>
        <w:jc w:val="both"/>
        <w:rPr>
          <w:rFonts w:ascii="Arial" w:eastAsia="Times New Roman" w:hAnsi="Arial" w:cs="Arial"/>
          <w:spacing w:val="-6"/>
          <w:kern w:val="0"/>
          <w:lang w:eastAsia="en-GB"/>
          <w14:ligatures w14:val="none"/>
        </w:rPr>
      </w:pPr>
      <w:r w:rsidRPr="00F65CFD">
        <w:rPr>
          <w:rFonts w:ascii="Arial" w:eastAsia="Times New Roman" w:hAnsi="Arial" w:cs="Arial"/>
          <w:spacing w:val="-6"/>
          <w:kern w:val="0"/>
          <w:lang w:eastAsia="en-GB"/>
          <w14:ligatures w14:val="none"/>
        </w:rPr>
        <w:t>Porges, S. W. (2017). </w:t>
      </w:r>
      <w:r w:rsidRPr="00F65CFD">
        <w:rPr>
          <w:rFonts w:ascii="Arial" w:eastAsia="Times New Roman" w:hAnsi="Arial" w:cs="Arial"/>
          <w:i/>
          <w:iCs/>
          <w:spacing w:val="-6"/>
          <w:kern w:val="0"/>
          <w:lang w:eastAsia="en-GB"/>
          <w14:ligatures w14:val="none"/>
        </w:rPr>
        <w:t>The pocket guide to the polyvagal theory: The transformative power of feeling safe.</w:t>
      </w:r>
      <w:r w:rsidRPr="00F65CFD">
        <w:rPr>
          <w:rFonts w:ascii="Arial" w:eastAsia="Times New Roman" w:hAnsi="Arial" w:cs="Arial"/>
          <w:spacing w:val="-6"/>
          <w:kern w:val="0"/>
          <w:lang w:eastAsia="en-GB"/>
          <w14:ligatures w14:val="none"/>
        </w:rPr>
        <w:t> New York, NY: W. W. Norton &amp; Company.</w:t>
      </w:r>
    </w:p>
    <w:p w14:paraId="2FF30ACA" w14:textId="77777777" w:rsidR="00F65CFD" w:rsidRPr="00F65CFD" w:rsidRDefault="00F65CFD" w:rsidP="00F65CFD">
      <w:pPr>
        <w:spacing w:after="0" w:line="240" w:lineRule="auto"/>
        <w:jc w:val="both"/>
        <w:rPr>
          <w:rFonts w:ascii="Arial" w:eastAsia="Times New Roman" w:hAnsi="Arial" w:cs="Arial"/>
          <w:spacing w:val="-6"/>
          <w:kern w:val="0"/>
          <w:lang w:eastAsia="en-GB"/>
          <w14:ligatures w14:val="none"/>
        </w:rPr>
      </w:pPr>
    </w:p>
    <w:p w14:paraId="19F1C199" w14:textId="77777777" w:rsidR="00F65CFD" w:rsidRPr="00F65CFD" w:rsidRDefault="00F65CFD" w:rsidP="00F65CFD">
      <w:pPr>
        <w:spacing w:after="0" w:line="240" w:lineRule="auto"/>
        <w:rPr>
          <w:rFonts w:ascii="Arial" w:eastAsia="Times New Roman" w:hAnsi="Arial" w:cs="Arial"/>
          <w:kern w:val="36"/>
          <w:lang w:eastAsia="en-GB"/>
          <w14:ligatures w14:val="none"/>
        </w:rPr>
      </w:pPr>
      <w:r w:rsidRPr="00F65CFD">
        <w:rPr>
          <w:rFonts w:ascii="Arial" w:eastAsia="Times New Roman" w:hAnsi="Arial" w:cs="Arial"/>
          <w:spacing w:val="-6"/>
          <w:kern w:val="0"/>
          <w:lang w:eastAsia="en-GB"/>
          <w14:ligatures w14:val="none"/>
        </w:rPr>
        <w:lastRenderedPageBreak/>
        <w:t xml:space="preserve">Powell, B., Cooper, G., Hoffman. K., Marvin, B. (2016) </w:t>
      </w:r>
      <w:r w:rsidRPr="00F65CFD">
        <w:rPr>
          <w:rFonts w:ascii="Arial" w:eastAsia="Times New Roman" w:hAnsi="Arial" w:cs="Arial"/>
          <w:i/>
          <w:iCs/>
          <w:kern w:val="36"/>
          <w:lang w:eastAsia="en-GB"/>
          <w14:ligatures w14:val="none"/>
        </w:rPr>
        <w:t>The Circle of Security Intervention: Enhancing Attachment in Early Parent-Child</w:t>
      </w:r>
      <w:bookmarkStart w:id="32" w:name="_Hlk187667887"/>
      <w:r w:rsidRPr="00F65CFD">
        <w:rPr>
          <w:rFonts w:ascii="Arial" w:eastAsia="Times New Roman" w:hAnsi="Arial" w:cs="Arial"/>
          <w:i/>
          <w:iCs/>
          <w:kern w:val="36"/>
          <w:lang w:eastAsia="en-GB"/>
          <w14:ligatures w14:val="none"/>
        </w:rPr>
        <w:t xml:space="preserve">. </w:t>
      </w:r>
      <w:r w:rsidRPr="00F65CFD">
        <w:rPr>
          <w:rFonts w:ascii="Arial" w:eastAsia="Times New Roman" w:hAnsi="Arial" w:cs="Arial"/>
          <w:kern w:val="36"/>
          <w:lang w:eastAsia="en-GB"/>
          <w14:ligatures w14:val="none"/>
        </w:rPr>
        <w:t>New York: Guilford Press</w:t>
      </w:r>
    </w:p>
    <w:p w14:paraId="6A9CD8BB" w14:textId="77777777" w:rsidR="00F65CFD" w:rsidRPr="00F65CFD" w:rsidRDefault="00F65CFD" w:rsidP="00F65CFD">
      <w:pPr>
        <w:spacing w:after="0" w:line="240" w:lineRule="auto"/>
        <w:rPr>
          <w:rFonts w:ascii="Arial" w:eastAsia="Times New Roman" w:hAnsi="Arial" w:cs="Arial"/>
          <w:spacing w:val="-6"/>
          <w:kern w:val="0"/>
          <w:lang w:eastAsia="en-GB"/>
          <w14:ligatures w14:val="none"/>
        </w:rPr>
      </w:pPr>
    </w:p>
    <w:bookmarkEnd w:id="32"/>
    <w:p w14:paraId="1E336915" w14:textId="77777777" w:rsidR="00F65CFD" w:rsidRPr="00F65CFD" w:rsidRDefault="00F65CFD" w:rsidP="00F65CFD">
      <w:pPr>
        <w:spacing w:after="0" w:line="240" w:lineRule="auto"/>
        <w:rPr>
          <w:rFonts w:ascii="Arial" w:eastAsia="Times New Roman" w:hAnsi="Arial" w:cs="Arial"/>
          <w:kern w:val="36"/>
          <w:lang w:eastAsia="en-GB"/>
          <w14:ligatures w14:val="none"/>
        </w:rPr>
      </w:pPr>
      <w:r w:rsidRPr="00F65CFD">
        <w:rPr>
          <w:rFonts w:ascii="Arial" w:eastAsia="Times New Roman" w:hAnsi="Arial" w:cs="Arial"/>
          <w:spacing w:val="-6"/>
          <w:kern w:val="0"/>
          <w:lang w:eastAsia="en-GB"/>
          <w14:ligatures w14:val="none"/>
        </w:rPr>
        <w:t xml:space="preserve">Powell, B., Cooper, G., Hoffman. K., Marvin, B. (2017) </w:t>
      </w:r>
      <w:r w:rsidRPr="00F65CFD">
        <w:rPr>
          <w:rFonts w:ascii="Arial" w:eastAsia="Times New Roman" w:hAnsi="Arial" w:cs="Arial"/>
          <w:i/>
          <w:iCs/>
          <w:kern w:val="36"/>
          <w:lang w:eastAsia="en-GB"/>
          <w14:ligatures w14:val="none"/>
        </w:rPr>
        <w:t xml:space="preserve">Raising a Secure Child: How Circle of Security Parenting Can Help You Nurture Your Child's Attachment, Emotional Resilience, and Freedom to Explore.  </w:t>
      </w:r>
      <w:r w:rsidRPr="00F65CFD">
        <w:rPr>
          <w:rFonts w:ascii="Arial" w:eastAsia="Times New Roman" w:hAnsi="Arial" w:cs="Arial"/>
          <w:kern w:val="36"/>
          <w:lang w:eastAsia="en-GB"/>
          <w14:ligatures w14:val="none"/>
        </w:rPr>
        <w:t>New York: Guilford Press</w:t>
      </w:r>
    </w:p>
    <w:p w14:paraId="35531ABA" w14:textId="77777777" w:rsidR="00F65CFD" w:rsidRPr="00F65CFD" w:rsidRDefault="00F65CFD" w:rsidP="00F65CFD">
      <w:pPr>
        <w:spacing w:after="0" w:line="240" w:lineRule="auto"/>
        <w:rPr>
          <w:rFonts w:ascii="Arial" w:eastAsia="Times New Roman" w:hAnsi="Arial" w:cs="Arial"/>
          <w:kern w:val="36"/>
          <w:lang w:eastAsia="en-GB"/>
          <w14:ligatures w14:val="none"/>
        </w:rPr>
      </w:pPr>
    </w:p>
    <w:p w14:paraId="50353214"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r w:rsidRPr="00F65CFD">
        <w:rPr>
          <w:rFonts w:ascii="Arial" w:eastAsia="Times New Roman" w:hAnsi="Arial" w:cs="Arial"/>
          <w:kern w:val="0"/>
          <w:shd w:val="clear" w:color="auto" w:fill="FFFFFF"/>
          <w:lang w:eastAsia="en-GB"/>
          <w14:ligatures w14:val="none"/>
        </w:rPr>
        <w:t>Randell, E. </w:t>
      </w:r>
      <w:r w:rsidRPr="00F65CFD">
        <w:rPr>
          <w:rFonts w:ascii="Arial" w:eastAsia="Times New Roman" w:hAnsi="Arial" w:cs="Arial"/>
          <w:i/>
          <w:iCs/>
          <w:kern w:val="0"/>
          <w:shd w:val="clear" w:color="auto" w:fill="FFFFFF"/>
          <w:lang w:eastAsia="en-GB"/>
          <w14:ligatures w14:val="none"/>
        </w:rPr>
        <w:t>et al.</w:t>
      </w:r>
      <w:r w:rsidRPr="00F65CFD">
        <w:rPr>
          <w:rFonts w:ascii="Arial" w:eastAsia="Times New Roman" w:hAnsi="Arial" w:cs="Arial"/>
          <w:kern w:val="0"/>
          <w:shd w:val="clear" w:color="auto" w:fill="FFFFFF"/>
          <w:lang w:eastAsia="en-GB"/>
          <w14:ligatures w14:val="none"/>
        </w:rPr>
        <w:t> (2024) ‘Watch Me Play!: protocol for a feasibility study of a remotely delivered intervention to promote mental health resilience for children (ages 0-8) across UK early years and children’s services’, </w:t>
      </w:r>
      <w:r w:rsidRPr="00F65CFD">
        <w:rPr>
          <w:rFonts w:ascii="Arial" w:eastAsia="Times New Roman" w:hAnsi="Arial" w:cs="Arial"/>
          <w:i/>
          <w:iCs/>
          <w:kern w:val="0"/>
          <w:shd w:val="clear" w:color="auto" w:fill="FFFFFF"/>
          <w:lang w:eastAsia="en-GB"/>
          <w14:ligatures w14:val="none"/>
        </w:rPr>
        <w:t>Pilot and feasibility studies</w:t>
      </w:r>
      <w:r w:rsidRPr="00F65CFD">
        <w:rPr>
          <w:rFonts w:ascii="Arial" w:eastAsia="Times New Roman" w:hAnsi="Arial" w:cs="Arial"/>
          <w:kern w:val="0"/>
          <w:shd w:val="clear" w:color="auto" w:fill="FFFFFF"/>
          <w:lang w:eastAsia="en-GB"/>
          <w14:ligatures w14:val="none"/>
        </w:rPr>
        <w:t xml:space="preserve">, 10(1), pp. 55–55. Available at: </w:t>
      </w:r>
      <w:hyperlink r:id="rId106" w:history="1">
        <w:r w:rsidRPr="00F65CFD">
          <w:rPr>
            <w:rFonts w:ascii="Arial" w:eastAsia="Times New Roman" w:hAnsi="Arial" w:cs="Arial"/>
            <w:color w:val="467886" w:themeColor="hyperlink"/>
            <w:kern w:val="0"/>
            <w:u w:val="single"/>
            <w:shd w:val="clear" w:color="auto" w:fill="FFFFFF"/>
            <w:lang w:eastAsia="en-GB"/>
            <w14:ligatures w14:val="none"/>
          </w:rPr>
          <w:t>https://doi.org/10.1186/s40814-024-01491-7</w:t>
        </w:r>
      </w:hyperlink>
      <w:r w:rsidRPr="00F65CFD">
        <w:rPr>
          <w:rFonts w:ascii="Arial" w:eastAsia="Times New Roman" w:hAnsi="Arial" w:cs="Arial"/>
          <w:color w:val="3A3A3A"/>
          <w:kern w:val="0"/>
          <w:shd w:val="clear" w:color="auto" w:fill="FFFFFF"/>
          <w:lang w:eastAsia="en-GB"/>
          <w14:ligatures w14:val="none"/>
        </w:rPr>
        <w:t xml:space="preserve">. </w:t>
      </w:r>
      <w:bookmarkStart w:id="33" w:name="_Hlk187668281"/>
      <w:r w:rsidRPr="00F65CFD">
        <w:rPr>
          <w:rFonts w:ascii="Arial" w:eastAsia="Times New Roman" w:hAnsi="Arial" w:cs="Arial"/>
          <w:kern w:val="0"/>
          <w:shd w:val="clear" w:color="auto" w:fill="FFFFFF"/>
          <w:lang w:eastAsia="en-GB"/>
          <w14:ligatures w14:val="none"/>
        </w:rPr>
        <w:t>(Accessed 10 January</w:t>
      </w:r>
    </w:p>
    <w:bookmarkEnd w:id="33"/>
    <w:p w14:paraId="23CF014F" w14:textId="77777777" w:rsidR="00F65CFD" w:rsidRPr="00F65CFD" w:rsidRDefault="00F65CFD" w:rsidP="00F65CFD">
      <w:pPr>
        <w:shd w:val="clear" w:color="auto" w:fill="FFFFFF"/>
        <w:spacing w:after="0" w:line="240" w:lineRule="auto"/>
        <w:jc w:val="both"/>
        <w:rPr>
          <w:rFonts w:ascii="Arial" w:eastAsia="Times New Roman" w:hAnsi="Arial" w:cs="Arial"/>
          <w:b/>
          <w:bCs/>
          <w:color w:val="111111"/>
          <w:spacing w:val="-6"/>
          <w:kern w:val="0"/>
          <w:lang w:eastAsia="en-GB"/>
          <w14:ligatures w14:val="none"/>
        </w:rPr>
      </w:pPr>
    </w:p>
    <w:p w14:paraId="5771F795" w14:textId="77777777" w:rsidR="00F65CFD" w:rsidRPr="00F65CFD" w:rsidRDefault="00F65CFD" w:rsidP="00F65CFD">
      <w:pPr>
        <w:jc w:val="both"/>
        <w:rPr>
          <w:rFonts w:ascii="Arial" w:hAnsi="Arial" w:cs="Arial"/>
        </w:rPr>
      </w:pPr>
      <w:r w:rsidRPr="00F65CFD">
        <w:rPr>
          <w:rFonts w:ascii="Arial" w:hAnsi="Arial" w:cs="Arial"/>
          <w:shd w:val="clear" w:color="auto" w:fill="FFFFFF"/>
        </w:rPr>
        <w:t>Risholm Mothander, P., Furmark, C. and Neander, K. (2018) ‘Adding “Circle of Security – Parenting” to treatment as usual in three Swedish infant mental health clinics. Effects on parents’ internal representations and quality of parent</w:t>
      </w:r>
      <w:r w:rsidRPr="00F65CFD">
        <w:rPr>
          <w:rFonts w:ascii="Cambria Math" w:hAnsi="Cambria Math" w:cs="Cambria Math"/>
          <w:shd w:val="clear" w:color="auto" w:fill="FFFFFF"/>
        </w:rPr>
        <w:t>‐</w:t>
      </w:r>
      <w:r w:rsidRPr="00F65CFD">
        <w:rPr>
          <w:rFonts w:ascii="Arial" w:hAnsi="Arial" w:cs="Arial"/>
          <w:shd w:val="clear" w:color="auto" w:fill="FFFFFF"/>
        </w:rPr>
        <w:t>infant interaction’, </w:t>
      </w:r>
      <w:r w:rsidRPr="00F65CFD">
        <w:rPr>
          <w:rFonts w:ascii="Arial" w:hAnsi="Arial" w:cs="Arial"/>
          <w:i/>
          <w:iCs/>
          <w:shd w:val="clear" w:color="auto" w:fill="FFFFFF"/>
        </w:rPr>
        <w:t>Scandinavian journal of psychology</w:t>
      </w:r>
      <w:r w:rsidRPr="00F65CFD">
        <w:rPr>
          <w:rFonts w:ascii="Arial" w:hAnsi="Arial" w:cs="Arial"/>
          <w:shd w:val="clear" w:color="auto" w:fill="FFFFFF"/>
        </w:rPr>
        <w:t xml:space="preserve">, 59(3), pp. 262–272. Available at: </w:t>
      </w:r>
      <w:hyperlink r:id="rId107" w:history="1">
        <w:r w:rsidRPr="00F65CFD">
          <w:rPr>
            <w:rFonts w:ascii="Arial" w:hAnsi="Arial" w:cs="Arial"/>
            <w:color w:val="467886" w:themeColor="hyperlink"/>
            <w:u w:val="single"/>
            <w:shd w:val="clear" w:color="auto" w:fill="FFFFFF"/>
          </w:rPr>
          <w:t>https://doi.org/10.1111/sjop.12419</w:t>
        </w:r>
      </w:hyperlink>
      <w:r w:rsidRPr="00F65CFD">
        <w:rPr>
          <w:rFonts w:ascii="Arial" w:hAnsi="Arial" w:cs="Arial"/>
          <w:color w:val="3A3A3A"/>
          <w:shd w:val="clear" w:color="auto" w:fill="FFFFFF"/>
        </w:rPr>
        <w:t xml:space="preserve">. </w:t>
      </w:r>
      <w:r w:rsidRPr="00F65CFD">
        <w:rPr>
          <w:rFonts w:ascii="Arial" w:hAnsi="Arial" w:cs="Arial"/>
          <w:shd w:val="clear" w:color="auto" w:fill="FFFFFF"/>
        </w:rPr>
        <w:t>(Accessed 12 January 2025)</w:t>
      </w:r>
    </w:p>
    <w:p w14:paraId="4A33FEB2"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r w:rsidRPr="00F65CFD">
        <w:rPr>
          <w:rFonts w:ascii="Arial" w:eastAsia="Times New Roman" w:hAnsi="Arial" w:cs="Arial"/>
          <w:kern w:val="0"/>
          <w:shd w:val="clear" w:color="auto" w:fill="FFFFFF"/>
          <w:lang w:eastAsia="en-GB"/>
          <w14:ligatures w14:val="none"/>
        </w:rPr>
        <w:t>Robertson, H., Goodall, K. and Kay, D. (2021) ‘Teachers’ attitudes toward trauma-informed practice: Associations with attachment and adverse childhood experiences (ACEs)’, </w:t>
      </w:r>
      <w:r w:rsidRPr="00F65CFD">
        <w:rPr>
          <w:rFonts w:ascii="Arial" w:eastAsia="Times New Roman" w:hAnsi="Arial" w:cs="Arial"/>
          <w:i/>
          <w:iCs/>
          <w:kern w:val="0"/>
          <w:shd w:val="clear" w:color="auto" w:fill="FFFFFF"/>
          <w:lang w:eastAsia="en-GB"/>
          <w14:ligatures w14:val="none"/>
        </w:rPr>
        <w:t>The psychology of education review (Online)</w:t>
      </w:r>
      <w:r w:rsidRPr="00F65CFD">
        <w:rPr>
          <w:rFonts w:ascii="Arial" w:eastAsia="Times New Roman" w:hAnsi="Arial" w:cs="Arial"/>
          <w:kern w:val="0"/>
          <w:shd w:val="clear" w:color="auto" w:fill="FFFFFF"/>
          <w:lang w:eastAsia="en-GB"/>
          <w14:ligatures w14:val="none"/>
        </w:rPr>
        <w:t xml:space="preserve">, 45(2), pp. 62–74. Available at: </w:t>
      </w:r>
      <w:hyperlink r:id="rId108" w:history="1">
        <w:r w:rsidRPr="00F65CFD">
          <w:rPr>
            <w:rFonts w:ascii="Arial" w:eastAsia="Times New Roman" w:hAnsi="Arial" w:cs="Arial"/>
            <w:color w:val="467886" w:themeColor="hyperlink"/>
            <w:kern w:val="0"/>
            <w:u w:val="single"/>
            <w:shd w:val="clear" w:color="auto" w:fill="FFFFFF"/>
            <w:lang w:eastAsia="en-GB"/>
            <w14:ligatures w14:val="none"/>
          </w:rPr>
          <w:t>https://doi.org/10.53841/bpsper.2021.45.2.62</w:t>
        </w:r>
      </w:hyperlink>
      <w:r w:rsidRPr="00F65CFD">
        <w:rPr>
          <w:rFonts w:ascii="Arial" w:eastAsia="Times New Roman" w:hAnsi="Arial" w:cs="Arial"/>
          <w:color w:val="3A3A3A"/>
          <w:kern w:val="0"/>
          <w:shd w:val="clear" w:color="auto" w:fill="FFFFFF"/>
          <w:lang w:eastAsia="en-GB"/>
          <w14:ligatures w14:val="none"/>
        </w:rPr>
        <w:t xml:space="preserve">. </w:t>
      </w:r>
      <w:r w:rsidRPr="00F65CFD">
        <w:rPr>
          <w:rFonts w:ascii="Arial" w:eastAsia="Times New Roman" w:hAnsi="Arial" w:cs="Arial"/>
          <w:kern w:val="0"/>
          <w:shd w:val="clear" w:color="auto" w:fill="FFFFFF"/>
          <w:lang w:eastAsia="en-GB"/>
          <w14:ligatures w14:val="none"/>
        </w:rPr>
        <w:t>(Accessed 11 January 2025)</w:t>
      </w:r>
    </w:p>
    <w:p w14:paraId="47BEDE43" w14:textId="77777777" w:rsidR="00F65CFD" w:rsidRPr="00F65CFD" w:rsidRDefault="00F65CFD" w:rsidP="00F65CFD">
      <w:pPr>
        <w:spacing w:after="0" w:line="240" w:lineRule="auto"/>
        <w:rPr>
          <w:rFonts w:ascii="Arial" w:eastAsia="Times New Roman" w:hAnsi="Arial" w:cs="Arial"/>
          <w:color w:val="111111"/>
          <w:spacing w:val="-6"/>
          <w:kern w:val="0"/>
          <w:lang w:eastAsia="en-GB"/>
          <w14:ligatures w14:val="none"/>
        </w:rPr>
      </w:pPr>
    </w:p>
    <w:p w14:paraId="006183E4" w14:textId="77777777" w:rsidR="00F65CFD" w:rsidRPr="00F65CFD" w:rsidRDefault="00F65CFD" w:rsidP="00F65CFD">
      <w:pPr>
        <w:jc w:val="both"/>
        <w:rPr>
          <w:rFonts w:ascii="Arial" w:hAnsi="Arial" w:cs="Arial"/>
          <w:shd w:val="clear" w:color="auto" w:fill="FFFFFF"/>
        </w:rPr>
      </w:pPr>
      <w:r w:rsidRPr="00F65CFD">
        <w:rPr>
          <w:rFonts w:ascii="Arial" w:hAnsi="Arial" w:cs="Arial"/>
          <w:shd w:val="clear" w:color="auto" w:fill="FFFFFF"/>
        </w:rPr>
        <w:t>Rosan, C. </w:t>
      </w:r>
      <w:r w:rsidRPr="00F65CFD">
        <w:rPr>
          <w:rFonts w:ascii="Arial" w:hAnsi="Arial" w:cs="Arial"/>
          <w:i/>
          <w:iCs/>
          <w:shd w:val="clear" w:color="auto" w:fill="FFFFFF"/>
        </w:rPr>
        <w:t>et al.</w:t>
      </w:r>
      <w:r w:rsidRPr="00F65CFD">
        <w:rPr>
          <w:rFonts w:ascii="Arial" w:hAnsi="Arial" w:cs="Arial"/>
          <w:shd w:val="clear" w:color="auto" w:fill="FFFFFF"/>
        </w:rPr>
        <w:t> (2023) ‘The COSI trial: a study protocol for a multi-centre, randomised controlled trial to explore the clinical and cost-effectiveness of the Circle of Security-Parenting Intervention in community perinatal mental health services in England’, </w:t>
      </w:r>
      <w:r w:rsidRPr="00F65CFD">
        <w:rPr>
          <w:rFonts w:ascii="Arial" w:hAnsi="Arial" w:cs="Arial"/>
          <w:i/>
          <w:iCs/>
          <w:shd w:val="clear" w:color="auto" w:fill="FFFFFF"/>
        </w:rPr>
        <w:t>Current controlled trials in cardiovascular medicine</w:t>
      </w:r>
      <w:r w:rsidRPr="00F65CFD">
        <w:rPr>
          <w:rFonts w:ascii="Arial" w:hAnsi="Arial" w:cs="Arial"/>
          <w:shd w:val="clear" w:color="auto" w:fill="FFFFFF"/>
        </w:rPr>
        <w:t xml:space="preserve">, 24(1), pp. 188–188. Available at: </w:t>
      </w:r>
      <w:hyperlink r:id="rId109" w:history="1">
        <w:r w:rsidRPr="00F65CFD">
          <w:rPr>
            <w:rFonts w:ascii="Arial" w:hAnsi="Arial" w:cs="Arial"/>
            <w:color w:val="467886" w:themeColor="hyperlink"/>
            <w:u w:val="single"/>
            <w:shd w:val="clear" w:color="auto" w:fill="FFFFFF"/>
          </w:rPr>
          <w:t>https://doi.org/10.1186/s13063-023-07194-3</w:t>
        </w:r>
      </w:hyperlink>
      <w:r w:rsidRPr="00F65CFD">
        <w:rPr>
          <w:rFonts w:ascii="Arial" w:hAnsi="Arial" w:cs="Arial"/>
          <w:color w:val="3A3A3A"/>
          <w:shd w:val="clear" w:color="auto" w:fill="FFFFFF"/>
        </w:rPr>
        <w:t xml:space="preserve">. </w:t>
      </w:r>
      <w:r w:rsidRPr="00F65CFD">
        <w:rPr>
          <w:rFonts w:ascii="Arial" w:hAnsi="Arial" w:cs="Arial"/>
          <w:shd w:val="clear" w:color="auto" w:fill="FFFFFF"/>
        </w:rPr>
        <w:t>(Accessed 12 January 2025)</w:t>
      </w:r>
    </w:p>
    <w:p w14:paraId="380D633F"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r w:rsidRPr="00F65CFD">
        <w:rPr>
          <w:rFonts w:ascii="Arial" w:eastAsia="Times New Roman" w:hAnsi="Arial" w:cs="Arial"/>
          <w:kern w:val="0"/>
          <w:shd w:val="clear" w:color="auto" w:fill="FFFFFF"/>
          <w:lang w:eastAsia="en-GB"/>
          <w14:ligatures w14:val="none"/>
        </w:rPr>
        <w:t>Rutter, M. (1987) ‘Psychosocial Resilience and Protective Mechanisms, </w:t>
      </w:r>
      <w:r w:rsidRPr="00F65CFD">
        <w:rPr>
          <w:rFonts w:ascii="Arial" w:eastAsia="Times New Roman" w:hAnsi="Arial" w:cs="Arial"/>
          <w:i/>
          <w:iCs/>
          <w:kern w:val="0"/>
          <w:shd w:val="clear" w:color="auto" w:fill="FFFFFF"/>
          <w:lang w:eastAsia="en-GB"/>
          <w14:ligatures w14:val="none"/>
        </w:rPr>
        <w:t>American journal of orthopsychiatry</w:t>
      </w:r>
      <w:r w:rsidRPr="00F65CFD">
        <w:rPr>
          <w:rFonts w:ascii="Arial" w:eastAsia="Times New Roman" w:hAnsi="Arial" w:cs="Arial"/>
          <w:kern w:val="0"/>
          <w:shd w:val="clear" w:color="auto" w:fill="FFFFFF"/>
          <w:lang w:eastAsia="en-GB"/>
          <w14:ligatures w14:val="none"/>
        </w:rPr>
        <w:t xml:space="preserve">, 57(3), pp. 316–331. Available at: </w:t>
      </w:r>
      <w:hyperlink r:id="rId110" w:history="1">
        <w:r w:rsidRPr="00F65CFD">
          <w:rPr>
            <w:rFonts w:ascii="Arial" w:eastAsia="Times New Roman" w:hAnsi="Arial" w:cs="Arial"/>
            <w:color w:val="467886" w:themeColor="hyperlink"/>
            <w:kern w:val="0"/>
            <w:u w:val="single"/>
            <w:shd w:val="clear" w:color="auto" w:fill="FFFFFF"/>
            <w:lang w:eastAsia="en-GB"/>
            <w14:ligatures w14:val="none"/>
          </w:rPr>
          <w:t>https://doi.org/10.1111/j.1939-0025.1987.tb03541.x</w:t>
        </w:r>
      </w:hyperlink>
      <w:r w:rsidRPr="00F65CFD">
        <w:rPr>
          <w:rFonts w:ascii="Source Sans Pro" w:eastAsia="Times New Roman" w:hAnsi="Source Sans Pro" w:cs="Times New Roman"/>
          <w:color w:val="3A3A3A"/>
          <w:kern w:val="0"/>
          <w:sz w:val="23"/>
          <w:szCs w:val="23"/>
          <w:shd w:val="clear" w:color="auto" w:fill="FFFFFF"/>
          <w:lang w:eastAsia="en-GB"/>
          <w14:ligatures w14:val="none"/>
        </w:rPr>
        <w:t xml:space="preserve">. </w:t>
      </w:r>
      <w:r w:rsidRPr="00F65CFD">
        <w:rPr>
          <w:rFonts w:ascii="Arial" w:eastAsia="Times New Roman" w:hAnsi="Arial" w:cs="Arial"/>
          <w:kern w:val="0"/>
          <w:shd w:val="clear" w:color="auto" w:fill="FFFFFF"/>
          <w:lang w:eastAsia="en-GB"/>
          <w14:ligatures w14:val="none"/>
        </w:rPr>
        <w:t>(Accessed 11 January 2025)</w:t>
      </w:r>
    </w:p>
    <w:p w14:paraId="74A5422D" w14:textId="77777777" w:rsidR="00F65CFD" w:rsidRPr="00F65CFD" w:rsidRDefault="00F65CFD" w:rsidP="00F65CFD">
      <w:pPr>
        <w:spacing w:after="0" w:line="240" w:lineRule="auto"/>
        <w:rPr>
          <w:rFonts w:ascii="Arial" w:eastAsia="Times New Roman" w:hAnsi="Arial" w:cs="Arial"/>
          <w:spacing w:val="-6"/>
          <w:kern w:val="0"/>
          <w:lang w:eastAsia="en-GB"/>
          <w14:ligatures w14:val="none"/>
        </w:rPr>
      </w:pPr>
    </w:p>
    <w:p w14:paraId="02E89BDB"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r w:rsidRPr="00F65CFD">
        <w:rPr>
          <w:rFonts w:ascii="Arial" w:eastAsia="Times New Roman" w:hAnsi="Arial" w:cs="Arial"/>
          <w:kern w:val="0"/>
          <w:shd w:val="clear" w:color="auto" w:fill="FFFFFF"/>
          <w:lang w:eastAsia="en-GB"/>
          <w14:ligatures w14:val="none"/>
        </w:rPr>
        <w:t xml:space="preserve">Rutter, M. (1990). </w:t>
      </w:r>
      <w:bookmarkStart w:id="34" w:name="_Hlk187664226"/>
      <w:r w:rsidRPr="00F65CFD">
        <w:rPr>
          <w:rFonts w:ascii="Arial" w:eastAsia="Times New Roman" w:hAnsi="Arial" w:cs="Arial"/>
          <w:kern w:val="0"/>
          <w:shd w:val="clear" w:color="auto" w:fill="FFFFFF"/>
          <w:lang w:eastAsia="en-GB"/>
          <w14:ligatures w14:val="none"/>
        </w:rPr>
        <w:t>Psychosocial Resilience and Protective Mechanisms</w:t>
      </w:r>
      <w:bookmarkEnd w:id="34"/>
      <w:r w:rsidRPr="00F65CFD">
        <w:rPr>
          <w:rFonts w:ascii="Arial" w:eastAsia="Times New Roman" w:hAnsi="Arial" w:cs="Arial"/>
          <w:kern w:val="0"/>
          <w:shd w:val="clear" w:color="auto" w:fill="FFFFFF"/>
          <w:lang w:eastAsia="en-GB"/>
          <w14:ligatures w14:val="none"/>
        </w:rPr>
        <w:t>. In J. Rolf, A. S. Masten, D. Cicchetti, K. H. Nuechterlein, &amp; S. Weintraub (Eds.), Risk and Protective Factors in the Development of Psychopathology (pp. 181-214). New York: Cambridge University Press.</w:t>
      </w:r>
      <w:r w:rsidRPr="00F65CFD">
        <w:rPr>
          <w:rFonts w:ascii="Arial" w:eastAsia="Times New Roman" w:hAnsi="Arial" w:cs="Arial"/>
          <w:color w:val="232323"/>
          <w:kern w:val="0"/>
          <w:lang w:eastAsia="en-GB"/>
          <w14:ligatures w14:val="none"/>
        </w:rPr>
        <w:br/>
      </w:r>
      <w:hyperlink r:id="rId111" w:history="1">
        <w:r w:rsidRPr="00F65CFD">
          <w:rPr>
            <w:rFonts w:ascii="Arial" w:eastAsia="Times New Roman" w:hAnsi="Arial" w:cs="Arial"/>
            <w:color w:val="467886" w:themeColor="hyperlink"/>
            <w:kern w:val="0"/>
            <w:u w:val="single"/>
            <w:shd w:val="clear" w:color="auto" w:fill="FFFFFF"/>
            <w:lang w:eastAsia="en-GB"/>
            <w14:ligatures w14:val="none"/>
          </w:rPr>
          <w:t>https://doi.org/10.1017/CBO9780511752872.013</w:t>
        </w:r>
      </w:hyperlink>
      <w:r w:rsidRPr="00F65CFD">
        <w:rPr>
          <w:rFonts w:ascii="Arial" w:eastAsia="Times New Roman" w:hAnsi="Arial" w:cs="Arial"/>
          <w:color w:val="232323"/>
          <w:kern w:val="0"/>
          <w:shd w:val="clear" w:color="auto" w:fill="FFFFFF"/>
          <w:lang w:eastAsia="en-GB"/>
          <w14:ligatures w14:val="none"/>
        </w:rPr>
        <w:t xml:space="preserve"> </w:t>
      </w:r>
      <w:bookmarkStart w:id="35" w:name="_Hlk187664411"/>
      <w:r w:rsidRPr="00F65CFD">
        <w:rPr>
          <w:rFonts w:ascii="Arial" w:eastAsia="Times New Roman" w:hAnsi="Arial" w:cs="Arial"/>
          <w:kern w:val="0"/>
          <w:shd w:val="clear" w:color="auto" w:fill="FFFFFF"/>
          <w:lang w:eastAsia="en-GB"/>
          <w14:ligatures w14:val="none"/>
        </w:rPr>
        <w:t>(Accessed 11 January 2025)</w:t>
      </w:r>
      <w:bookmarkEnd w:id="35"/>
    </w:p>
    <w:p w14:paraId="30AFDC6D" w14:textId="77777777" w:rsidR="00F65CFD" w:rsidRPr="00F65CFD" w:rsidRDefault="00F65CFD" w:rsidP="00F65CFD">
      <w:pPr>
        <w:spacing w:after="0" w:line="240" w:lineRule="auto"/>
        <w:rPr>
          <w:rFonts w:ascii="Arial" w:eastAsia="Times New Roman" w:hAnsi="Arial" w:cs="Arial"/>
          <w:spacing w:val="-6"/>
          <w:kern w:val="0"/>
          <w:lang w:eastAsia="en-GB"/>
          <w14:ligatures w14:val="none"/>
        </w:rPr>
      </w:pPr>
    </w:p>
    <w:p w14:paraId="65A82075"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r w:rsidRPr="00F65CFD">
        <w:rPr>
          <w:rFonts w:ascii="Arial" w:eastAsia="Times New Roman" w:hAnsi="Arial" w:cs="Arial"/>
          <w:kern w:val="0"/>
          <w:shd w:val="clear" w:color="auto" w:fill="FFFFFF"/>
          <w:lang w:eastAsia="en-GB"/>
          <w14:ligatures w14:val="none"/>
        </w:rPr>
        <w:t>Sanders, M.T. </w:t>
      </w:r>
      <w:r w:rsidRPr="00F65CFD">
        <w:rPr>
          <w:rFonts w:ascii="Arial" w:eastAsia="Times New Roman" w:hAnsi="Arial" w:cs="Arial"/>
          <w:i/>
          <w:iCs/>
          <w:kern w:val="0"/>
          <w:shd w:val="clear" w:color="auto" w:fill="FFFFFF"/>
          <w:lang w:eastAsia="en-GB"/>
          <w14:ligatures w14:val="none"/>
        </w:rPr>
        <w:t>et al.</w:t>
      </w:r>
      <w:r w:rsidRPr="00F65CFD">
        <w:rPr>
          <w:rFonts w:ascii="Arial" w:eastAsia="Times New Roman" w:hAnsi="Arial" w:cs="Arial"/>
          <w:kern w:val="0"/>
          <w:shd w:val="clear" w:color="auto" w:fill="FFFFFF"/>
          <w:lang w:eastAsia="en-GB"/>
          <w14:ligatures w14:val="none"/>
        </w:rPr>
        <w:t> (2020) ‘Promoting Resilience: A Preschool Intervention Enhances the Adolescent Adjustment of Children Exposed to Early Adversity’, </w:t>
      </w:r>
      <w:r w:rsidRPr="00F65CFD">
        <w:rPr>
          <w:rFonts w:ascii="Arial" w:eastAsia="Times New Roman" w:hAnsi="Arial" w:cs="Arial"/>
          <w:i/>
          <w:iCs/>
          <w:kern w:val="0"/>
          <w:shd w:val="clear" w:color="auto" w:fill="FFFFFF"/>
          <w:lang w:eastAsia="en-GB"/>
          <w14:ligatures w14:val="none"/>
        </w:rPr>
        <w:t>School psychology</w:t>
      </w:r>
      <w:r w:rsidRPr="00F65CFD">
        <w:rPr>
          <w:rFonts w:ascii="Arial" w:eastAsia="Times New Roman" w:hAnsi="Arial" w:cs="Arial"/>
          <w:kern w:val="0"/>
          <w:shd w:val="clear" w:color="auto" w:fill="FFFFFF"/>
          <w:lang w:eastAsia="en-GB"/>
          <w14:ligatures w14:val="none"/>
        </w:rPr>
        <w:t xml:space="preserve">, 35(5), pp. 285–298. Available at: </w:t>
      </w:r>
      <w:hyperlink r:id="rId112" w:history="1">
        <w:r w:rsidRPr="00F65CFD">
          <w:rPr>
            <w:rFonts w:ascii="Arial" w:eastAsia="Times New Roman" w:hAnsi="Arial" w:cs="Arial"/>
            <w:color w:val="467886" w:themeColor="hyperlink"/>
            <w:kern w:val="0"/>
            <w:u w:val="single"/>
            <w:shd w:val="clear" w:color="auto" w:fill="FFFFFF"/>
            <w:lang w:eastAsia="en-GB"/>
            <w14:ligatures w14:val="none"/>
          </w:rPr>
          <w:t>https://doi.org/10.1037/spq0000406</w:t>
        </w:r>
      </w:hyperlink>
      <w:r w:rsidRPr="00F65CFD">
        <w:rPr>
          <w:rFonts w:ascii="Arial" w:eastAsia="Times New Roman" w:hAnsi="Arial" w:cs="Arial"/>
          <w:color w:val="3A3A3A"/>
          <w:kern w:val="0"/>
          <w:shd w:val="clear" w:color="auto" w:fill="FFFFFF"/>
          <w:lang w:eastAsia="en-GB"/>
          <w14:ligatures w14:val="none"/>
        </w:rPr>
        <w:t xml:space="preserve">. </w:t>
      </w:r>
      <w:r w:rsidRPr="00F65CFD">
        <w:rPr>
          <w:rFonts w:ascii="Arial" w:eastAsia="Times New Roman" w:hAnsi="Arial" w:cs="Arial"/>
          <w:kern w:val="0"/>
          <w:shd w:val="clear" w:color="auto" w:fill="FFFFFF"/>
          <w:lang w:eastAsia="en-GB"/>
          <w14:ligatures w14:val="none"/>
        </w:rPr>
        <w:t>(Accessed 12 January 2025)</w:t>
      </w:r>
    </w:p>
    <w:p w14:paraId="7DF217B2" w14:textId="77777777" w:rsidR="00F65CFD" w:rsidRPr="00F65CFD" w:rsidRDefault="00F65CFD" w:rsidP="00F65CFD">
      <w:pPr>
        <w:spacing w:after="0" w:line="240" w:lineRule="auto"/>
        <w:rPr>
          <w:rFonts w:ascii="Arial" w:eastAsia="Times New Roman" w:hAnsi="Arial" w:cs="Arial"/>
          <w:spacing w:val="-6"/>
          <w:kern w:val="0"/>
          <w:lang w:eastAsia="en-GB"/>
          <w14:ligatures w14:val="none"/>
        </w:rPr>
      </w:pPr>
    </w:p>
    <w:p w14:paraId="4B83F6C8" w14:textId="77777777" w:rsidR="00F65CFD" w:rsidRPr="00F65CFD" w:rsidRDefault="00F65CFD" w:rsidP="00F65CFD">
      <w:pPr>
        <w:spacing w:after="0" w:line="240" w:lineRule="auto"/>
        <w:jc w:val="both"/>
        <w:rPr>
          <w:rFonts w:ascii="Arial" w:eastAsia="Times New Roman" w:hAnsi="Arial" w:cs="Arial"/>
          <w:spacing w:val="-6"/>
          <w:kern w:val="0"/>
          <w:lang w:eastAsia="en-GB"/>
          <w14:ligatures w14:val="none"/>
        </w:rPr>
      </w:pPr>
      <w:r w:rsidRPr="00F65CFD">
        <w:rPr>
          <w:rFonts w:ascii="Arial" w:eastAsia="Times New Roman" w:hAnsi="Arial" w:cs="Arial"/>
          <w:spacing w:val="-6"/>
          <w:kern w:val="0"/>
          <w:lang w:eastAsia="en-GB"/>
          <w14:ligatures w14:val="none"/>
        </w:rPr>
        <w:lastRenderedPageBreak/>
        <w:t>Shonkoff, J. P., &amp; Phillips, D. A. (2000). </w:t>
      </w:r>
      <w:r w:rsidRPr="00F65CFD">
        <w:rPr>
          <w:rFonts w:ascii="Arial" w:eastAsia="Times New Roman" w:hAnsi="Arial" w:cs="Arial"/>
          <w:i/>
          <w:iCs/>
          <w:spacing w:val="-6"/>
          <w:kern w:val="0"/>
          <w:lang w:eastAsia="en-GB"/>
          <w14:ligatures w14:val="none"/>
        </w:rPr>
        <w:t>From neurons to neighbourhoods: The science of early childhood development.</w:t>
      </w:r>
      <w:r w:rsidRPr="00F65CFD">
        <w:rPr>
          <w:rFonts w:ascii="Arial" w:eastAsia="Times New Roman" w:hAnsi="Arial" w:cs="Arial"/>
          <w:spacing w:val="-6"/>
          <w:kern w:val="0"/>
          <w:lang w:eastAsia="en-GB"/>
          <w14:ligatures w14:val="none"/>
        </w:rPr>
        <w:t> Washington, DC: National Academies Press.</w:t>
      </w:r>
    </w:p>
    <w:p w14:paraId="209F3EE2" w14:textId="77777777" w:rsidR="00F65CFD" w:rsidRPr="00F65CFD" w:rsidRDefault="00F65CFD" w:rsidP="00F65CFD">
      <w:pPr>
        <w:spacing w:after="0" w:line="240" w:lineRule="auto"/>
        <w:jc w:val="both"/>
        <w:rPr>
          <w:rFonts w:ascii="Arial" w:eastAsia="Times New Roman" w:hAnsi="Arial" w:cs="Arial"/>
          <w:spacing w:val="-6"/>
          <w:kern w:val="0"/>
          <w:lang w:eastAsia="en-GB"/>
          <w14:ligatures w14:val="none"/>
        </w:rPr>
      </w:pPr>
    </w:p>
    <w:p w14:paraId="183C30FB"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r w:rsidRPr="00F65CFD">
        <w:rPr>
          <w:rFonts w:ascii="Arial" w:eastAsia="Times New Roman" w:hAnsi="Arial" w:cs="Arial"/>
          <w:kern w:val="0"/>
          <w:shd w:val="clear" w:color="auto" w:fill="FFFFFF"/>
          <w:lang w:eastAsia="en-GB"/>
          <w14:ligatures w14:val="none"/>
        </w:rPr>
        <w:t>Shonkoff, J.P. and</w:t>
      </w:r>
      <w:bookmarkStart w:id="36" w:name="_Hlk187741037"/>
      <w:r w:rsidRPr="00F65CFD">
        <w:rPr>
          <w:rFonts w:ascii="Arial" w:eastAsia="Times New Roman" w:hAnsi="Arial" w:cs="Arial"/>
          <w:kern w:val="0"/>
          <w:shd w:val="clear" w:color="auto" w:fill="FFFFFF"/>
          <w:lang w:eastAsia="en-GB"/>
          <w14:ligatures w14:val="none"/>
        </w:rPr>
        <w:t xml:space="preserve"> Levitt</w:t>
      </w:r>
      <w:bookmarkEnd w:id="36"/>
      <w:r w:rsidRPr="00F65CFD">
        <w:rPr>
          <w:rFonts w:ascii="Arial" w:eastAsia="Times New Roman" w:hAnsi="Arial" w:cs="Arial"/>
          <w:kern w:val="0"/>
          <w:shd w:val="clear" w:color="auto" w:fill="FFFFFF"/>
          <w:lang w:eastAsia="en-GB"/>
          <w14:ligatures w14:val="none"/>
        </w:rPr>
        <w:t>, P. (2010) ‘Neuroscience and the Future of Early Childhood Policy: Moving from Why to What and How’, </w:t>
      </w:r>
      <w:r w:rsidRPr="00F65CFD">
        <w:rPr>
          <w:rFonts w:ascii="Arial" w:eastAsia="Times New Roman" w:hAnsi="Arial" w:cs="Arial"/>
          <w:i/>
          <w:iCs/>
          <w:kern w:val="0"/>
          <w:shd w:val="clear" w:color="auto" w:fill="FFFFFF"/>
          <w:lang w:eastAsia="en-GB"/>
          <w14:ligatures w14:val="none"/>
        </w:rPr>
        <w:t>Neuron (Cambridge, Mass.)</w:t>
      </w:r>
      <w:r w:rsidRPr="00F65CFD">
        <w:rPr>
          <w:rFonts w:ascii="Arial" w:eastAsia="Times New Roman" w:hAnsi="Arial" w:cs="Arial"/>
          <w:kern w:val="0"/>
          <w:shd w:val="clear" w:color="auto" w:fill="FFFFFF"/>
          <w:lang w:eastAsia="en-GB"/>
          <w14:ligatures w14:val="none"/>
        </w:rPr>
        <w:t xml:space="preserve">, 67(5), pp. 689–691. Available at: </w:t>
      </w:r>
      <w:hyperlink r:id="rId113" w:history="1">
        <w:r w:rsidRPr="00F65CFD">
          <w:rPr>
            <w:rFonts w:ascii="Arial" w:eastAsia="Times New Roman" w:hAnsi="Arial" w:cs="Arial"/>
            <w:color w:val="467886" w:themeColor="hyperlink"/>
            <w:kern w:val="0"/>
            <w:u w:val="single"/>
            <w:shd w:val="clear" w:color="auto" w:fill="FFFFFF"/>
            <w:lang w:eastAsia="en-GB"/>
            <w14:ligatures w14:val="none"/>
          </w:rPr>
          <w:t>https://doi.org/10.1016/j.neuron.2010.08.032</w:t>
        </w:r>
      </w:hyperlink>
      <w:r w:rsidRPr="00F65CFD">
        <w:rPr>
          <w:rFonts w:ascii="Arial" w:eastAsia="Times New Roman" w:hAnsi="Arial" w:cs="Arial"/>
          <w:kern w:val="0"/>
          <w:shd w:val="clear" w:color="auto" w:fill="FFFFFF"/>
          <w:lang w:eastAsia="en-GB"/>
          <w14:ligatures w14:val="none"/>
        </w:rPr>
        <w:t xml:space="preserve">. </w:t>
      </w:r>
      <w:bookmarkStart w:id="37" w:name="_Hlk187664255"/>
      <w:r w:rsidRPr="00F65CFD">
        <w:rPr>
          <w:rFonts w:ascii="Arial" w:eastAsia="Times New Roman" w:hAnsi="Arial" w:cs="Arial"/>
          <w:kern w:val="0"/>
          <w:shd w:val="clear" w:color="auto" w:fill="FFFFFF"/>
          <w:lang w:eastAsia="en-GB"/>
          <w14:ligatures w14:val="none"/>
        </w:rPr>
        <w:t>(Accessed 11 January 2025)</w:t>
      </w:r>
    </w:p>
    <w:p w14:paraId="582FCE98" w14:textId="77777777" w:rsidR="00F65CFD" w:rsidRPr="00F65CFD" w:rsidRDefault="00F65CFD" w:rsidP="00F65CFD">
      <w:pPr>
        <w:spacing w:after="0" w:line="240" w:lineRule="auto"/>
        <w:rPr>
          <w:rFonts w:ascii="Arial" w:eastAsia="Times New Roman" w:hAnsi="Arial" w:cs="Arial"/>
          <w:spacing w:val="-6"/>
          <w:kern w:val="0"/>
          <w:lang w:eastAsia="en-GB"/>
          <w14:ligatures w14:val="none"/>
        </w:rPr>
      </w:pPr>
    </w:p>
    <w:bookmarkEnd w:id="37"/>
    <w:p w14:paraId="3D158D03" w14:textId="77777777" w:rsidR="00F65CFD" w:rsidRPr="00F65CFD" w:rsidRDefault="00F65CFD" w:rsidP="00F65CFD">
      <w:pPr>
        <w:spacing w:after="0" w:line="240" w:lineRule="auto"/>
        <w:jc w:val="both"/>
        <w:rPr>
          <w:rFonts w:ascii="Arial" w:hAnsi="Arial" w:cs="Arial"/>
          <w:shd w:val="clear" w:color="auto" w:fill="FFFFFF"/>
        </w:rPr>
      </w:pPr>
      <w:r w:rsidRPr="00F65CFD">
        <w:rPr>
          <w:rFonts w:ascii="Arial" w:hAnsi="Arial" w:cs="Arial"/>
          <w:shd w:val="clear" w:color="auto" w:fill="FFFFFF"/>
        </w:rPr>
        <w:t>Stone, M.K. (2000) </w:t>
      </w:r>
      <w:r w:rsidRPr="00F65CFD">
        <w:rPr>
          <w:rFonts w:ascii="Arial" w:hAnsi="Arial" w:cs="Arial"/>
          <w:i/>
          <w:iCs/>
          <w:shd w:val="clear" w:color="auto" w:fill="FFFFFF"/>
        </w:rPr>
        <w:t>Steps to an ecology of mind: Collected Essays in Anthropology, Psychiatry, Evolution, and Epistemology</w:t>
      </w:r>
      <w:r w:rsidRPr="00F65CFD">
        <w:rPr>
          <w:rFonts w:ascii="Arial" w:hAnsi="Arial" w:cs="Arial"/>
          <w:shd w:val="clear" w:color="auto" w:fill="FFFFFF"/>
        </w:rPr>
        <w:t>, </w:t>
      </w:r>
      <w:r w:rsidRPr="00F65CFD">
        <w:rPr>
          <w:rFonts w:ascii="Arial" w:hAnsi="Arial" w:cs="Arial"/>
          <w:i/>
          <w:iCs/>
          <w:shd w:val="clear" w:color="auto" w:fill="FFFFFF"/>
        </w:rPr>
        <w:t>Whole earth (San Rafael, Calif.)</w:t>
      </w:r>
      <w:r w:rsidRPr="00F65CFD">
        <w:rPr>
          <w:rFonts w:ascii="Arial" w:hAnsi="Arial" w:cs="Arial"/>
          <w:shd w:val="clear" w:color="auto" w:fill="FFFFFF"/>
        </w:rPr>
        <w:t xml:space="preserve">. Sausalito: New Whole Earth, LLC, pp. 100-. </w:t>
      </w:r>
    </w:p>
    <w:p w14:paraId="7ECF863A" w14:textId="77777777" w:rsidR="00F65CFD" w:rsidRPr="00F65CFD" w:rsidRDefault="00F65CFD" w:rsidP="00F65CFD">
      <w:pPr>
        <w:spacing w:after="0" w:line="240" w:lineRule="auto"/>
        <w:jc w:val="both"/>
        <w:rPr>
          <w:rFonts w:ascii="Arial" w:eastAsia="Times New Roman" w:hAnsi="Arial" w:cs="Arial"/>
          <w:spacing w:val="-6"/>
          <w:kern w:val="0"/>
          <w:lang w:eastAsia="en-GB"/>
          <w14:ligatures w14:val="none"/>
        </w:rPr>
      </w:pPr>
    </w:p>
    <w:p w14:paraId="7A5D4C9D"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r w:rsidRPr="00F65CFD">
        <w:rPr>
          <w:rFonts w:ascii="Arial" w:eastAsia="Times New Roman" w:hAnsi="Arial" w:cs="Arial"/>
          <w:kern w:val="0"/>
          <w:shd w:val="clear" w:color="auto" w:fill="FFFFFF"/>
          <w:lang w:eastAsia="en-GB"/>
          <w14:ligatures w14:val="none"/>
        </w:rPr>
        <w:t>Sun, Y., Blewitt, C., Minson, V., Bajayo, R., Cameron, L., &amp; Skouteris, H. (2024). Trauma-informed Interventions in Early Childhood Education and Care Settings: A Scoping Review. </w:t>
      </w:r>
      <w:r w:rsidRPr="00F65CFD">
        <w:rPr>
          <w:rFonts w:ascii="Arial" w:eastAsia="Times New Roman" w:hAnsi="Arial" w:cs="Arial"/>
          <w:i/>
          <w:iCs/>
          <w:kern w:val="0"/>
          <w:shd w:val="clear" w:color="auto" w:fill="FFFFFF"/>
          <w:lang w:eastAsia="en-GB"/>
          <w14:ligatures w14:val="none"/>
        </w:rPr>
        <w:t>Trauma, violence &amp; abuse</w:t>
      </w:r>
      <w:r w:rsidRPr="00F65CFD">
        <w:rPr>
          <w:rFonts w:ascii="Arial" w:eastAsia="Times New Roman" w:hAnsi="Arial" w:cs="Arial"/>
          <w:kern w:val="0"/>
          <w:shd w:val="clear" w:color="auto" w:fill="FFFFFF"/>
          <w:lang w:eastAsia="en-GB"/>
          <w14:ligatures w14:val="none"/>
        </w:rPr>
        <w:t>, </w:t>
      </w:r>
      <w:r w:rsidRPr="00F65CFD">
        <w:rPr>
          <w:rFonts w:ascii="Arial" w:eastAsia="Times New Roman" w:hAnsi="Arial" w:cs="Arial"/>
          <w:i/>
          <w:iCs/>
          <w:kern w:val="0"/>
          <w:shd w:val="clear" w:color="auto" w:fill="FFFFFF"/>
          <w:lang w:eastAsia="en-GB"/>
          <w14:ligatures w14:val="none"/>
        </w:rPr>
        <w:t>25</w:t>
      </w:r>
      <w:r w:rsidRPr="00F65CFD">
        <w:rPr>
          <w:rFonts w:ascii="Arial" w:eastAsia="Times New Roman" w:hAnsi="Arial" w:cs="Arial"/>
          <w:kern w:val="0"/>
          <w:shd w:val="clear" w:color="auto" w:fill="FFFFFF"/>
          <w:lang w:eastAsia="en-GB"/>
          <w14:ligatures w14:val="none"/>
        </w:rPr>
        <w:t xml:space="preserve">(1), 648–662. </w:t>
      </w:r>
      <w:hyperlink r:id="rId114" w:history="1">
        <w:r w:rsidRPr="00F65CFD">
          <w:rPr>
            <w:rFonts w:ascii="Arial" w:eastAsia="Times New Roman" w:hAnsi="Arial" w:cs="Arial"/>
            <w:color w:val="467886" w:themeColor="hyperlink"/>
            <w:kern w:val="0"/>
            <w:u w:val="single"/>
            <w:shd w:val="clear" w:color="auto" w:fill="FFFFFF"/>
            <w:lang w:eastAsia="en-GB"/>
            <w14:ligatures w14:val="none"/>
          </w:rPr>
          <w:t>https://doi.org/10.1177/15248380231162967</w:t>
        </w:r>
      </w:hyperlink>
      <w:r w:rsidRPr="00F65CFD">
        <w:rPr>
          <w:rFonts w:ascii="Arial" w:eastAsia="Times New Roman" w:hAnsi="Arial" w:cs="Arial"/>
          <w:color w:val="1B1B1B"/>
          <w:kern w:val="0"/>
          <w:shd w:val="clear" w:color="auto" w:fill="FFFFFF"/>
          <w:lang w:eastAsia="en-GB"/>
          <w14:ligatures w14:val="none"/>
        </w:rPr>
        <w:t xml:space="preserve"> </w:t>
      </w:r>
      <w:r w:rsidRPr="00F65CFD">
        <w:rPr>
          <w:rFonts w:ascii="Arial" w:eastAsia="Times New Roman" w:hAnsi="Arial" w:cs="Arial"/>
          <w:kern w:val="0"/>
          <w:shd w:val="clear" w:color="auto" w:fill="FFFFFF"/>
          <w:lang w:eastAsia="en-GB"/>
          <w14:ligatures w14:val="none"/>
        </w:rPr>
        <w:t>(Accessed 11 January 2025)</w:t>
      </w:r>
    </w:p>
    <w:p w14:paraId="68511274"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p>
    <w:p w14:paraId="093DC9E1" w14:textId="77777777" w:rsidR="00F65CFD" w:rsidRPr="00F65CFD" w:rsidRDefault="00F65CFD" w:rsidP="00F65CFD">
      <w:pPr>
        <w:spacing w:after="0" w:line="240" w:lineRule="auto"/>
        <w:jc w:val="both"/>
        <w:rPr>
          <w:rFonts w:ascii="Arial" w:hAnsi="Arial" w:cs="Arial"/>
          <w:shd w:val="clear" w:color="auto" w:fill="FFFFFF"/>
        </w:rPr>
      </w:pPr>
      <w:r w:rsidRPr="00F65CFD">
        <w:rPr>
          <w:rFonts w:ascii="Arial" w:hAnsi="Arial" w:cs="Arial"/>
          <w:shd w:val="clear" w:color="auto" w:fill="FFFFFF"/>
        </w:rPr>
        <w:t>Thompson, R.A. (2016) </w:t>
      </w:r>
      <w:r w:rsidRPr="00F65CFD">
        <w:rPr>
          <w:rFonts w:ascii="Arial" w:hAnsi="Arial" w:cs="Arial"/>
          <w:i/>
          <w:iCs/>
          <w:shd w:val="clear" w:color="auto" w:fill="FFFFFF"/>
        </w:rPr>
        <w:t>What More Has Been Learned? the Science of Early Childhood Development 15 Years after ‘Neurons to Neighbourhoods’</w:t>
      </w:r>
      <w:r w:rsidRPr="00F65CFD">
        <w:rPr>
          <w:rFonts w:ascii="Arial" w:hAnsi="Arial" w:cs="Arial"/>
          <w:shd w:val="clear" w:color="auto" w:fill="FFFFFF"/>
        </w:rPr>
        <w:t>, </w:t>
      </w:r>
      <w:r w:rsidRPr="00F65CFD">
        <w:rPr>
          <w:rFonts w:ascii="Arial" w:hAnsi="Arial" w:cs="Arial"/>
          <w:i/>
          <w:iCs/>
          <w:shd w:val="clear" w:color="auto" w:fill="FFFFFF"/>
        </w:rPr>
        <w:t>Zero to three</w:t>
      </w:r>
      <w:r w:rsidRPr="00F65CFD">
        <w:rPr>
          <w:rFonts w:ascii="Arial" w:hAnsi="Arial" w:cs="Arial"/>
          <w:shd w:val="clear" w:color="auto" w:fill="FFFFFF"/>
        </w:rPr>
        <w:t xml:space="preserve">. ZERO TO THREE, pp. 18 </w:t>
      </w:r>
    </w:p>
    <w:p w14:paraId="22767922" w14:textId="77777777" w:rsidR="00F65CFD" w:rsidRPr="00F65CFD" w:rsidRDefault="00F65CFD" w:rsidP="00F65CFD">
      <w:pPr>
        <w:spacing w:after="0" w:line="240" w:lineRule="auto"/>
        <w:jc w:val="both"/>
        <w:rPr>
          <w:rFonts w:ascii="Arial" w:hAnsi="Arial" w:cs="Arial"/>
          <w:shd w:val="clear" w:color="auto" w:fill="FFFFFF"/>
        </w:rPr>
      </w:pPr>
    </w:p>
    <w:p w14:paraId="3611D043" w14:textId="77777777" w:rsidR="00F65CFD" w:rsidRPr="00F65CFD" w:rsidRDefault="00F65CFD" w:rsidP="00F65CFD">
      <w:pPr>
        <w:spacing w:after="0" w:line="240" w:lineRule="auto"/>
        <w:jc w:val="both"/>
        <w:rPr>
          <w:rFonts w:ascii="Arial" w:hAnsi="Arial" w:cs="Arial"/>
          <w:shd w:val="clear" w:color="auto" w:fill="FFFFFF"/>
        </w:rPr>
      </w:pPr>
      <w:r w:rsidRPr="00F65CFD">
        <w:rPr>
          <w:rFonts w:ascii="Arial" w:hAnsi="Arial" w:cs="Arial"/>
          <w:shd w:val="clear" w:color="auto" w:fill="FFFFFF"/>
        </w:rPr>
        <w:t>Tikkanen, R., Livari, N., and Paananen, P., (2023) ‘Play—An essential part of children’s lives and their computational empowerment’, </w:t>
      </w:r>
      <w:r w:rsidRPr="00F65CFD">
        <w:rPr>
          <w:rFonts w:ascii="Arial" w:hAnsi="Arial" w:cs="Arial"/>
          <w:i/>
          <w:iCs/>
          <w:shd w:val="clear" w:color="auto" w:fill="FFFFFF"/>
        </w:rPr>
        <w:t>Frontiers in education (Lausanne)</w:t>
      </w:r>
      <w:r w:rsidRPr="00F65CFD">
        <w:rPr>
          <w:rFonts w:ascii="Arial" w:hAnsi="Arial" w:cs="Arial"/>
          <w:shd w:val="clear" w:color="auto" w:fill="FFFFFF"/>
        </w:rPr>
        <w:t xml:space="preserve">, 7. Available at: </w:t>
      </w:r>
      <w:hyperlink r:id="rId115" w:history="1">
        <w:r w:rsidRPr="00F65CFD">
          <w:rPr>
            <w:rFonts w:ascii="Arial" w:hAnsi="Arial" w:cs="Arial"/>
            <w:color w:val="467886" w:themeColor="hyperlink"/>
            <w:u w:val="single"/>
            <w:shd w:val="clear" w:color="auto" w:fill="FFFFFF"/>
          </w:rPr>
          <w:t>https://doi.org/10.3389/feduc.2022.1088716</w:t>
        </w:r>
      </w:hyperlink>
      <w:r w:rsidRPr="00F65CFD">
        <w:rPr>
          <w:rFonts w:ascii="Arial" w:hAnsi="Arial" w:cs="Arial"/>
          <w:color w:val="3A3A3A"/>
          <w:shd w:val="clear" w:color="auto" w:fill="FFFFFF"/>
        </w:rPr>
        <w:t xml:space="preserve">. </w:t>
      </w:r>
      <w:r w:rsidRPr="00F65CFD">
        <w:rPr>
          <w:rFonts w:ascii="Arial" w:hAnsi="Arial" w:cs="Arial"/>
          <w:shd w:val="clear" w:color="auto" w:fill="FFFFFF"/>
        </w:rPr>
        <w:t>(Accessed 29 December 2024)</w:t>
      </w:r>
    </w:p>
    <w:p w14:paraId="646F7C0B" w14:textId="77777777" w:rsidR="00F65CFD" w:rsidRPr="00F65CFD" w:rsidRDefault="00F65CFD" w:rsidP="00F65CFD">
      <w:pPr>
        <w:spacing w:after="0" w:line="240" w:lineRule="auto"/>
        <w:jc w:val="both"/>
        <w:rPr>
          <w:rFonts w:ascii="Arial" w:hAnsi="Arial" w:cs="Arial"/>
          <w:shd w:val="clear" w:color="auto" w:fill="FFFFFF"/>
        </w:rPr>
      </w:pPr>
    </w:p>
    <w:p w14:paraId="23F6ACCE"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r w:rsidRPr="00F65CFD">
        <w:rPr>
          <w:rFonts w:ascii="Arial" w:eastAsia="Times New Roman" w:hAnsi="Arial" w:cs="Arial"/>
          <w:kern w:val="0"/>
          <w:shd w:val="clear" w:color="auto" w:fill="FFFFFF"/>
          <w:lang w:eastAsia="en-GB"/>
          <w14:ligatures w14:val="none"/>
        </w:rPr>
        <w:t>Ungar, M. (2008) ‘Resilience across Cultures’, </w:t>
      </w:r>
      <w:r w:rsidRPr="00F65CFD">
        <w:rPr>
          <w:rFonts w:ascii="Arial" w:eastAsia="Times New Roman" w:hAnsi="Arial" w:cs="Arial"/>
          <w:i/>
          <w:iCs/>
          <w:kern w:val="0"/>
          <w:shd w:val="clear" w:color="auto" w:fill="FFFFFF"/>
          <w:lang w:eastAsia="en-GB"/>
          <w14:ligatures w14:val="none"/>
        </w:rPr>
        <w:t>The British journal of social work</w:t>
      </w:r>
      <w:r w:rsidRPr="00F65CFD">
        <w:rPr>
          <w:rFonts w:ascii="Arial" w:eastAsia="Times New Roman" w:hAnsi="Arial" w:cs="Arial"/>
          <w:kern w:val="0"/>
          <w:shd w:val="clear" w:color="auto" w:fill="FFFFFF"/>
          <w:lang w:eastAsia="en-GB"/>
          <w14:ligatures w14:val="none"/>
        </w:rPr>
        <w:t xml:space="preserve">, 38(2), pp. 218–235. Available at: </w:t>
      </w:r>
      <w:hyperlink r:id="rId116" w:history="1">
        <w:r w:rsidRPr="00F65CFD">
          <w:rPr>
            <w:rFonts w:ascii="Arial" w:eastAsia="Times New Roman" w:hAnsi="Arial" w:cs="Arial"/>
            <w:color w:val="467886" w:themeColor="hyperlink"/>
            <w:kern w:val="0"/>
            <w:u w:val="single"/>
            <w:shd w:val="clear" w:color="auto" w:fill="FFFFFF"/>
            <w:lang w:eastAsia="en-GB"/>
            <w14:ligatures w14:val="none"/>
          </w:rPr>
          <w:t>https://doi.org/10.1093/bjsw/bcl343</w:t>
        </w:r>
      </w:hyperlink>
      <w:r w:rsidRPr="00F65CFD">
        <w:rPr>
          <w:rFonts w:ascii="Arial" w:eastAsia="Times New Roman" w:hAnsi="Arial" w:cs="Arial"/>
          <w:color w:val="3A3A3A"/>
          <w:kern w:val="0"/>
          <w:shd w:val="clear" w:color="auto" w:fill="FFFFFF"/>
          <w:lang w:eastAsia="en-GB"/>
          <w14:ligatures w14:val="none"/>
        </w:rPr>
        <w:t xml:space="preserve">. </w:t>
      </w:r>
      <w:r w:rsidRPr="00F65CFD">
        <w:rPr>
          <w:rFonts w:ascii="Arial" w:eastAsia="Times New Roman" w:hAnsi="Arial" w:cs="Arial"/>
          <w:kern w:val="0"/>
          <w:shd w:val="clear" w:color="auto" w:fill="FFFFFF"/>
          <w:lang w:eastAsia="en-GB"/>
          <w14:ligatures w14:val="none"/>
        </w:rPr>
        <w:t>(Accessed 12 January 2025)</w:t>
      </w:r>
    </w:p>
    <w:p w14:paraId="49502983" w14:textId="77777777" w:rsidR="00F65CFD" w:rsidRPr="00F65CFD" w:rsidRDefault="00F65CFD" w:rsidP="00F65CFD">
      <w:pPr>
        <w:spacing w:after="0" w:line="240" w:lineRule="auto"/>
        <w:rPr>
          <w:rFonts w:ascii="Arial" w:eastAsia="Times New Roman" w:hAnsi="Arial" w:cs="Arial"/>
          <w:spacing w:val="-6"/>
          <w:kern w:val="0"/>
          <w:lang w:eastAsia="en-GB"/>
          <w14:ligatures w14:val="none"/>
        </w:rPr>
      </w:pPr>
    </w:p>
    <w:p w14:paraId="235555CB"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r w:rsidRPr="00F65CFD">
        <w:rPr>
          <w:rFonts w:ascii="Arial" w:eastAsia="Times New Roman" w:hAnsi="Arial" w:cs="Arial"/>
          <w:spacing w:val="-6"/>
          <w:kern w:val="0"/>
          <w:lang w:eastAsia="en-GB"/>
          <w14:ligatures w14:val="none"/>
        </w:rPr>
        <w:t>UNICEF. (2017). </w:t>
      </w:r>
      <w:r w:rsidRPr="00F65CFD">
        <w:rPr>
          <w:rFonts w:ascii="Arial" w:eastAsia="Times New Roman" w:hAnsi="Arial" w:cs="Arial"/>
          <w:i/>
          <w:iCs/>
          <w:spacing w:val="-6"/>
          <w:kern w:val="0"/>
          <w:lang w:eastAsia="en-GB"/>
          <w14:ligatures w14:val="none"/>
        </w:rPr>
        <w:t>Early moments matter for every child</w:t>
      </w:r>
      <w:r w:rsidRPr="00F65CFD">
        <w:rPr>
          <w:rFonts w:ascii="Arial" w:eastAsia="Times New Roman" w:hAnsi="Arial" w:cs="Arial"/>
          <w:spacing w:val="-6"/>
          <w:kern w:val="0"/>
          <w:lang w:eastAsia="en-GB"/>
          <w14:ligatures w14:val="none"/>
        </w:rPr>
        <w:t xml:space="preserve">. Available at: </w:t>
      </w:r>
      <w:hyperlink r:id="rId117" w:history="1">
        <w:r w:rsidRPr="00F65CFD">
          <w:rPr>
            <w:rFonts w:ascii="Arial" w:eastAsia="Times New Roman" w:hAnsi="Arial" w:cs="Arial"/>
            <w:color w:val="467886" w:themeColor="hyperlink"/>
            <w:spacing w:val="-6"/>
            <w:kern w:val="0"/>
            <w:u w:val="single"/>
            <w:lang w:eastAsia="en-GB"/>
            <w14:ligatures w14:val="none"/>
          </w:rPr>
          <w:t>https://www.unicef.org/sites/default/files/press-releases/glo-media-UNICEF_Early_Moments_Matter_for_Every_Child_report.pdf</w:t>
        </w:r>
      </w:hyperlink>
      <w:r w:rsidRPr="00F65CFD">
        <w:rPr>
          <w:rFonts w:ascii="Arial" w:eastAsia="Times New Roman" w:hAnsi="Arial" w:cs="Arial"/>
          <w:color w:val="00B0F0"/>
          <w:spacing w:val="-6"/>
          <w:kern w:val="0"/>
          <w:lang w:eastAsia="en-GB"/>
          <w14:ligatures w14:val="none"/>
        </w:rPr>
        <w:t xml:space="preserve"> </w:t>
      </w:r>
      <w:r w:rsidRPr="00F65CFD">
        <w:rPr>
          <w:rFonts w:ascii="Arial" w:eastAsia="Times New Roman" w:hAnsi="Arial" w:cs="Arial"/>
          <w:kern w:val="0"/>
          <w:shd w:val="clear" w:color="auto" w:fill="FFFFFF"/>
          <w:lang w:eastAsia="en-GB"/>
          <w14:ligatures w14:val="none"/>
        </w:rPr>
        <w:t>(Accessed 12 January 2025)</w:t>
      </w:r>
    </w:p>
    <w:p w14:paraId="1BC90000" w14:textId="77777777" w:rsidR="00F65CFD" w:rsidRPr="00F65CFD" w:rsidRDefault="00F65CFD" w:rsidP="00F65CFD">
      <w:pPr>
        <w:spacing w:after="0" w:line="240" w:lineRule="auto"/>
        <w:rPr>
          <w:rFonts w:ascii="Arial" w:eastAsia="Times New Roman" w:hAnsi="Arial" w:cs="Arial"/>
          <w:spacing w:val="-6"/>
          <w:kern w:val="0"/>
          <w:lang w:eastAsia="en-GB"/>
          <w14:ligatures w14:val="none"/>
        </w:rPr>
      </w:pPr>
    </w:p>
    <w:p w14:paraId="0911BCC5" w14:textId="77777777" w:rsidR="00F65CFD" w:rsidRPr="00F65CFD" w:rsidRDefault="00F65CFD" w:rsidP="00F65CFD">
      <w:pPr>
        <w:spacing w:after="0" w:line="240" w:lineRule="auto"/>
        <w:jc w:val="both"/>
        <w:rPr>
          <w:rFonts w:ascii="Arial" w:hAnsi="Arial" w:cs="Arial"/>
        </w:rPr>
      </w:pPr>
      <w:bookmarkStart w:id="38" w:name="_Hlk187695844"/>
      <w:r w:rsidRPr="00F65CFD">
        <w:rPr>
          <w:rFonts w:ascii="Arial" w:hAnsi="Arial" w:cs="Arial"/>
        </w:rPr>
        <w:t xml:space="preserve">United Nations Children’s Fund (UNICEF), (2016) </w:t>
      </w:r>
      <w:bookmarkEnd w:id="38"/>
      <w:r w:rsidRPr="00F65CFD">
        <w:rPr>
          <w:rFonts w:ascii="Arial" w:hAnsi="Arial" w:cs="Arial"/>
          <w:i/>
          <w:iCs/>
        </w:rPr>
        <w:t>The State of the World’s Children: A fair chance for every child</w:t>
      </w:r>
      <w:r w:rsidRPr="00F65CFD">
        <w:rPr>
          <w:rFonts w:ascii="Arial" w:hAnsi="Arial" w:cs="Arial"/>
        </w:rPr>
        <w:t>, New York: UNICEF.</w:t>
      </w:r>
    </w:p>
    <w:p w14:paraId="3A5CD41B" w14:textId="1112961D" w:rsidR="00F65CFD" w:rsidRPr="00F65CFD" w:rsidRDefault="00F65CFD" w:rsidP="00F65CFD">
      <w:pPr>
        <w:rPr>
          <w:rFonts w:ascii="Arial" w:hAnsi="Arial" w:cs="Arial"/>
          <w:shd w:val="clear" w:color="auto" w:fill="FFFFFF"/>
        </w:rPr>
      </w:pPr>
      <w:r w:rsidRPr="00F65CFD">
        <w:rPr>
          <w:rFonts w:ascii="Arial" w:hAnsi="Arial" w:cs="Arial"/>
        </w:rPr>
        <w:t>United Nations General Assembly</w:t>
      </w:r>
      <w:r w:rsidRPr="00F65CFD">
        <w:rPr>
          <w:rFonts w:ascii="Arial" w:hAnsi="Arial" w:cs="Arial"/>
          <w:shd w:val="clear" w:color="auto" w:fill="FFFFFF"/>
        </w:rPr>
        <w:t xml:space="preserve">, Department of Economic and Social Affairs </w:t>
      </w:r>
      <w:r w:rsidRPr="00F65CFD">
        <w:rPr>
          <w:rFonts w:ascii="Arial" w:hAnsi="Arial" w:cs="Arial"/>
          <w:bdr w:val="none" w:sz="0" w:space="0" w:color="auto" w:frame="1"/>
          <w:shd w:val="clear" w:color="auto" w:fill="FFFFFF"/>
        </w:rPr>
        <w:t xml:space="preserve">Sustainable Development (2015) </w:t>
      </w:r>
      <w:r w:rsidRPr="00F65CFD">
        <w:rPr>
          <w:rFonts w:ascii="Arial" w:hAnsi="Arial" w:cs="Arial"/>
          <w:i/>
          <w:iCs/>
        </w:rPr>
        <w:t>Transforming Our World: The 2030 Agenda for Sustainable Development’</w:t>
      </w:r>
      <w:r w:rsidRPr="00F65CFD">
        <w:rPr>
          <w:rFonts w:ascii="Arial" w:hAnsi="Arial" w:cs="Arial"/>
        </w:rPr>
        <w:t xml:space="preserve"> Available at: </w:t>
      </w:r>
      <w:hyperlink r:id="rId118" w:history="1">
        <w:r w:rsidRPr="00F65CFD">
          <w:rPr>
            <w:rFonts w:ascii="Arial" w:hAnsi="Arial" w:cs="Arial"/>
            <w:color w:val="467886" w:themeColor="hyperlink"/>
            <w:u w:val="single"/>
          </w:rPr>
          <w:t>https://sdgs.un.org/2030agenda#:~:text=We%20resolve%2C%20between%20now%20and,protection%20of%20the%20planet%20and</w:t>
        </w:r>
      </w:hyperlink>
      <w:r w:rsidRPr="00F65CFD">
        <w:rPr>
          <w:rFonts w:ascii="Arial" w:hAnsi="Arial" w:cs="Arial"/>
        </w:rPr>
        <w:t xml:space="preserve"> </w:t>
      </w:r>
      <w:r w:rsidRPr="00F65CFD">
        <w:rPr>
          <w:rFonts w:ascii="Arial" w:hAnsi="Arial" w:cs="Arial"/>
          <w:shd w:val="clear" w:color="auto" w:fill="FFFFFF"/>
        </w:rPr>
        <w:t>(Accessed 13 January 2025)</w:t>
      </w:r>
    </w:p>
    <w:p w14:paraId="1641E621" w14:textId="77777777" w:rsidR="00F65CFD" w:rsidRPr="00F65CFD" w:rsidRDefault="00F65CFD" w:rsidP="00F65CFD">
      <w:pPr>
        <w:jc w:val="both"/>
        <w:rPr>
          <w:rFonts w:ascii="Arial" w:hAnsi="Arial" w:cs="Arial"/>
          <w:shd w:val="clear" w:color="auto" w:fill="FFFFFF"/>
        </w:rPr>
      </w:pPr>
      <w:bookmarkStart w:id="39" w:name="_Hlk187740447"/>
      <w:r w:rsidRPr="00F65CFD">
        <w:rPr>
          <w:rFonts w:ascii="Arial" w:hAnsi="Arial" w:cs="Arial"/>
          <w:shd w:val="clear" w:color="auto" w:fill="FFFFFF"/>
        </w:rPr>
        <w:lastRenderedPageBreak/>
        <w:t xml:space="preserve">Vannorsdall, T.D. and Munro, C.A. (2017) </w:t>
      </w:r>
      <w:bookmarkEnd w:id="39"/>
      <w:r w:rsidRPr="00F65CFD">
        <w:rPr>
          <w:rFonts w:ascii="Arial" w:hAnsi="Arial" w:cs="Arial"/>
          <w:shd w:val="clear" w:color="auto" w:fill="FFFFFF"/>
        </w:rPr>
        <w:t>‘The link between childhood adversity and late-life mental health: evidence for the influence of early-life experiences or illusory correlations?’, </w:t>
      </w:r>
      <w:r w:rsidRPr="00F65CFD">
        <w:rPr>
          <w:rFonts w:ascii="Arial" w:hAnsi="Arial" w:cs="Arial"/>
          <w:i/>
          <w:iCs/>
          <w:shd w:val="clear" w:color="auto" w:fill="FFFFFF"/>
        </w:rPr>
        <w:t>International psychogeriatrics</w:t>
      </w:r>
      <w:r w:rsidRPr="00F65CFD">
        <w:rPr>
          <w:rFonts w:ascii="Arial" w:hAnsi="Arial" w:cs="Arial"/>
          <w:shd w:val="clear" w:color="auto" w:fill="FFFFFF"/>
        </w:rPr>
        <w:t xml:space="preserve">, 29(3), pp. 357–358. Available at: </w:t>
      </w:r>
      <w:hyperlink r:id="rId119" w:history="1">
        <w:r w:rsidRPr="00F65CFD">
          <w:rPr>
            <w:rFonts w:ascii="Arial" w:hAnsi="Arial" w:cs="Arial"/>
            <w:color w:val="467886" w:themeColor="hyperlink"/>
            <w:u w:val="single"/>
            <w:shd w:val="clear" w:color="auto" w:fill="FFFFFF"/>
          </w:rPr>
          <w:t>https://doi.org/10.1017/S1041610216002416</w:t>
        </w:r>
      </w:hyperlink>
      <w:r w:rsidRPr="00F65CFD">
        <w:rPr>
          <w:rFonts w:ascii="Arial" w:hAnsi="Arial" w:cs="Arial"/>
          <w:color w:val="3A3A3A"/>
          <w:shd w:val="clear" w:color="auto" w:fill="FFFFFF"/>
        </w:rPr>
        <w:t xml:space="preserve">. </w:t>
      </w:r>
      <w:r w:rsidRPr="00F65CFD">
        <w:rPr>
          <w:rFonts w:ascii="Arial" w:hAnsi="Arial" w:cs="Arial"/>
          <w:shd w:val="clear" w:color="auto" w:fill="FFFFFF"/>
        </w:rPr>
        <w:t>(Accessed 14 January 2025)</w:t>
      </w:r>
    </w:p>
    <w:p w14:paraId="79263D0D" w14:textId="77777777" w:rsidR="00F65CFD" w:rsidRPr="00F65CFD" w:rsidRDefault="00F65CFD" w:rsidP="00F65CFD">
      <w:pPr>
        <w:jc w:val="both"/>
        <w:rPr>
          <w:rFonts w:ascii="Arial" w:hAnsi="Arial" w:cs="Arial"/>
          <w:shd w:val="clear" w:color="auto" w:fill="FFFFFF"/>
        </w:rPr>
      </w:pPr>
    </w:p>
    <w:p w14:paraId="4B011D59" w14:textId="77777777" w:rsidR="00F65CFD" w:rsidRPr="00F65CFD" w:rsidRDefault="00F65CFD" w:rsidP="00F65CFD">
      <w:pPr>
        <w:jc w:val="both"/>
        <w:rPr>
          <w:rFonts w:ascii="Arial" w:hAnsi="Arial" w:cs="Arial"/>
          <w:shd w:val="clear" w:color="auto" w:fill="FFFFFF"/>
        </w:rPr>
      </w:pPr>
      <w:r w:rsidRPr="00F65CFD">
        <w:rPr>
          <w:rFonts w:ascii="Arial" w:hAnsi="Arial" w:cs="Arial"/>
          <w:shd w:val="clear" w:color="auto" w:fill="FFFFFF"/>
        </w:rPr>
        <w:t>Waghorn, E., (2022) ‘Practical strategies for meeting children’s need for connection’, </w:t>
      </w:r>
      <w:r w:rsidRPr="00F65CFD">
        <w:rPr>
          <w:rFonts w:ascii="Arial" w:hAnsi="Arial" w:cs="Arial"/>
          <w:i/>
          <w:iCs/>
          <w:shd w:val="clear" w:color="auto" w:fill="FFFFFF"/>
        </w:rPr>
        <w:t>Educating young children learning and teaching in the early childhood years</w:t>
      </w:r>
      <w:r w:rsidRPr="00F65CFD">
        <w:rPr>
          <w:rFonts w:ascii="Arial" w:hAnsi="Arial" w:cs="Arial"/>
          <w:shd w:val="clear" w:color="auto" w:fill="FFFFFF"/>
        </w:rPr>
        <w:t xml:space="preserve">, 28(1), pp. 21–23. </w:t>
      </w:r>
    </w:p>
    <w:p w14:paraId="04CFC277" w14:textId="77777777" w:rsidR="00F65CFD" w:rsidRPr="00F65CFD" w:rsidRDefault="00F65CFD" w:rsidP="00F65CFD">
      <w:pPr>
        <w:jc w:val="both"/>
        <w:rPr>
          <w:rFonts w:ascii="Arial" w:hAnsi="Arial" w:cs="Arial"/>
        </w:rPr>
      </w:pPr>
    </w:p>
    <w:p w14:paraId="31640E9F" w14:textId="77777777" w:rsidR="00F65CFD" w:rsidRPr="00F65CFD" w:rsidRDefault="00F65CFD" w:rsidP="00F65CFD">
      <w:pPr>
        <w:spacing w:after="0" w:line="240" w:lineRule="auto"/>
        <w:jc w:val="both"/>
        <w:rPr>
          <w:rFonts w:ascii="Arial" w:hAnsi="Arial" w:cs="Arial"/>
          <w:shd w:val="clear" w:color="auto" w:fill="FFFFFF"/>
        </w:rPr>
      </w:pPr>
      <w:r w:rsidRPr="00F65CFD">
        <w:rPr>
          <w:rFonts w:ascii="Arial" w:hAnsi="Arial" w:cs="Arial"/>
          <w:shd w:val="clear" w:color="auto" w:fill="FFFFFF"/>
        </w:rPr>
        <w:t>Waters-Davies, J. (2022) </w:t>
      </w:r>
      <w:r w:rsidRPr="00F65CFD">
        <w:rPr>
          <w:rFonts w:ascii="Arial" w:hAnsi="Arial" w:cs="Arial"/>
          <w:i/>
          <w:iCs/>
          <w:shd w:val="clear" w:color="auto" w:fill="FFFFFF"/>
        </w:rPr>
        <w:t>Children’s Right to Play</w:t>
      </w:r>
      <w:r w:rsidRPr="00F65CFD">
        <w:rPr>
          <w:rFonts w:ascii="Arial" w:hAnsi="Arial" w:cs="Arial"/>
          <w:shd w:val="clear" w:color="auto" w:fill="FFFFFF"/>
        </w:rPr>
        <w:t>. SAGE</w:t>
      </w:r>
    </w:p>
    <w:p w14:paraId="6691B6DC" w14:textId="77777777" w:rsidR="00F65CFD" w:rsidRPr="00F65CFD" w:rsidRDefault="00F65CFD" w:rsidP="00F65CFD">
      <w:pPr>
        <w:spacing w:after="0" w:line="240" w:lineRule="auto"/>
        <w:jc w:val="both"/>
        <w:rPr>
          <w:rFonts w:ascii="Arial" w:hAnsi="Arial" w:cs="Arial"/>
          <w:shd w:val="clear" w:color="auto" w:fill="FFFFFF"/>
        </w:rPr>
      </w:pPr>
    </w:p>
    <w:p w14:paraId="7F211299" w14:textId="77777777" w:rsidR="00F65CFD" w:rsidRPr="00F65CFD" w:rsidRDefault="00F65CFD" w:rsidP="00F65CFD">
      <w:pPr>
        <w:spacing w:after="0" w:line="240" w:lineRule="auto"/>
        <w:rPr>
          <w:rFonts w:ascii="Arial" w:hAnsi="Arial" w:cs="Arial"/>
        </w:rPr>
      </w:pPr>
      <w:bookmarkStart w:id="40" w:name="_Hlk187692605"/>
      <w:r w:rsidRPr="00F65CFD">
        <w:rPr>
          <w:rFonts w:ascii="Arial" w:hAnsi="Arial" w:cs="Arial"/>
          <w:color w:val="212529"/>
          <w:shd w:val="clear" w:color="auto" w:fill="FFFFFF"/>
        </w:rPr>
        <w:t>Weare, K., (2017)</w:t>
      </w:r>
      <w:r w:rsidRPr="00F65CFD">
        <w:rPr>
          <w:rFonts w:ascii="Arial" w:hAnsi="Arial" w:cs="Arial"/>
          <w:i/>
          <w:iCs/>
          <w:color w:val="212529"/>
          <w:shd w:val="clear" w:color="auto" w:fill="FFFFFF"/>
        </w:rPr>
        <w:t xml:space="preserve"> </w:t>
      </w:r>
      <w:bookmarkEnd w:id="40"/>
      <w:r w:rsidRPr="00F65CFD">
        <w:rPr>
          <w:rFonts w:ascii="Arial" w:hAnsi="Arial" w:cs="Arial"/>
          <w:i/>
          <w:iCs/>
          <w:color w:val="212529"/>
          <w:shd w:val="clear" w:color="auto" w:fill="FFFFFF"/>
        </w:rPr>
        <w:t>Promoting Social and Emotional Well-being and Responding to Mental Health Problems in Schools.</w:t>
      </w:r>
      <w:r w:rsidRPr="00F65CFD">
        <w:rPr>
          <w:rFonts w:ascii="Arial" w:hAnsi="Arial" w:cs="Arial"/>
          <w:color w:val="212529"/>
          <w:shd w:val="clear" w:color="auto" w:fill="FFFFFF"/>
        </w:rPr>
        <w:t xml:space="preserve"> In: Bährer-Kohler, S., Carod-Artal, FJ., eds. Global Mental Health: Prevention and Promotion. Springer International Publishing. Available at:</w:t>
      </w:r>
      <w:r w:rsidRPr="00F65CFD">
        <w:rPr>
          <w:rFonts w:ascii="Arial" w:hAnsi="Arial" w:cs="Arial"/>
          <w:color w:val="212529"/>
        </w:rPr>
        <w:br/>
      </w:r>
      <w:hyperlink r:id="rId120" w:tgtFrame="_blank" w:history="1">
        <w:r w:rsidRPr="00F65CFD">
          <w:rPr>
            <w:rFonts w:ascii="Arial" w:hAnsi="Arial" w:cs="Arial"/>
            <w:color w:val="1978A3"/>
            <w:u w:val="single"/>
            <w:shd w:val="clear" w:color="auto" w:fill="FFFFFF"/>
          </w:rPr>
          <w:t>https://www.ncb.org.uk/sites/default/files/uploads/files/ncb_framework_for_promoting_well-being_and_responding_to_mental_health_in_schools_0.pdf </w:t>
        </w:r>
      </w:hyperlink>
      <w:r w:rsidRPr="00F65CFD">
        <w:rPr>
          <w:rFonts w:ascii="Arial" w:hAnsi="Arial" w:cs="Arial"/>
        </w:rPr>
        <w:t>(Accessed: 12 January 2025)</w:t>
      </w:r>
    </w:p>
    <w:p w14:paraId="77171B36" w14:textId="77777777" w:rsidR="00F65CFD" w:rsidRPr="00F65CFD" w:rsidRDefault="00F65CFD" w:rsidP="00F65CFD">
      <w:pPr>
        <w:spacing w:after="0" w:line="240" w:lineRule="auto"/>
        <w:rPr>
          <w:rFonts w:ascii="Arial" w:eastAsia="Times New Roman" w:hAnsi="Arial" w:cs="Arial"/>
          <w:color w:val="111111"/>
          <w:spacing w:val="-6"/>
          <w:kern w:val="0"/>
          <w:lang w:eastAsia="en-GB"/>
          <w14:ligatures w14:val="none"/>
        </w:rPr>
      </w:pPr>
    </w:p>
    <w:p w14:paraId="4C7BD091" w14:textId="77777777" w:rsidR="00F65CFD" w:rsidRPr="00F65CFD" w:rsidRDefault="00F65CFD" w:rsidP="00F65CFD">
      <w:pPr>
        <w:spacing w:after="0" w:line="240" w:lineRule="auto"/>
        <w:rPr>
          <w:rFonts w:ascii="Arial" w:eastAsia="Times New Roman" w:hAnsi="Arial" w:cs="Arial"/>
          <w:color w:val="111111"/>
          <w:spacing w:val="-6"/>
          <w:kern w:val="0"/>
          <w:lang w:eastAsia="en-GB"/>
          <w14:ligatures w14:val="none"/>
        </w:rPr>
      </w:pPr>
    </w:p>
    <w:p w14:paraId="44FD1E85" w14:textId="77777777" w:rsidR="00F65CFD" w:rsidRPr="00F65CFD" w:rsidRDefault="00F65CFD" w:rsidP="00F65CFD">
      <w:pPr>
        <w:rPr>
          <w:rFonts w:ascii="Arial" w:hAnsi="Arial" w:cs="Arial"/>
        </w:rPr>
      </w:pPr>
      <w:r w:rsidRPr="00F65CFD">
        <w:rPr>
          <w:rFonts w:ascii="Arial" w:hAnsi="Arial" w:cs="Arial"/>
        </w:rPr>
        <w:t xml:space="preserve">Welsh Government (2020) </w:t>
      </w:r>
      <w:r w:rsidRPr="00F65CFD">
        <w:rPr>
          <w:rFonts w:ascii="Arial" w:hAnsi="Arial" w:cs="Arial"/>
          <w:i/>
          <w:iCs/>
        </w:rPr>
        <w:t xml:space="preserve">Wellbeing of Wales. </w:t>
      </w:r>
      <w:r w:rsidRPr="00F65CFD">
        <w:rPr>
          <w:rFonts w:ascii="Arial" w:hAnsi="Arial" w:cs="Arial"/>
        </w:rPr>
        <w:t xml:space="preserve">Available at: </w:t>
      </w:r>
      <w:hyperlink r:id="rId121" w:history="1">
        <w:r w:rsidRPr="00F65CFD">
          <w:rPr>
            <w:rFonts w:ascii="Arial" w:hAnsi="Arial" w:cs="Arial"/>
            <w:color w:val="467886" w:themeColor="hyperlink"/>
            <w:u w:val="single"/>
          </w:rPr>
          <w:t>https://www.gov.wales/sites/default/files/pdf-versions/2021/8/4/1628759389/wellbeing-wales-2020.pdf</w:t>
        </w:r>
      </w:hyperlink>
      <w:r w:rsidRPr="00F65CFD">
        <w:rPr>
          <w:rFonts w:ascii="Arial" w:hAnsi="Arial" w:cs="Arial"/>
          <w:color w:val="00B0F0"/>
        </w:rPr>
        <w:t xml:space="preserve"> </w:t>
      </w:r>
      <w:r w:rsidRPr="00F65CFD">
        <w:rPr>
          <w:rFonts w:ascii="Arial" w:eastAsia="Times New Roman" w:hAnsi="Arial" w:cs="Arial"/>
          <w:kern w:val="36"/>
          <w:lang w:eastAsia="en-GB"/>
          <w14:ligatures w14:val="none"/>
        </w:rPr>
        <w:t>(Accessed 15 January 2025)</w:t>
      </w:r>
    </w:p>
    <w:p w14:paraId="3D88B7F9" w14:textId="77777777" w:rsidR="00F65CFD" w:rsidRPr="00F65CFD" w:rsidRDefault="00F65CFD" w:rsidP="00F65CFD">
      <w:pPr>
        <w:spacing w:after="0" w:line="240" w:lineRule="auto"/>
        <w:jc w:val="both"/>
        <w:rPr>
          <w:rFonts w:ascii="Arial" w:hAnsi="Arial" w:cs="Arial"/>
        </w:rPr>
      </w:pPr>
      <w:r w:rsidRPr="00F65CFD">
        <w:rPr>
          <w:rFonts w:ascii="Arial" w:eastAsia="Times New Roman" w:hAnsi="Arial" w:cs="Arial"/>
          <w:spacing w:val="-6"/>
          <w:kern w:val="0"/>
          <w:lang w:eastAsia="en-GB"/>
          <w14:ligatures w14:val="none"/>
        </w:rPr>
        <w:t>Welsh Government. (2024). </w:t>
      </w:r>
      <w:r w:rsidRPr="00F65CFD">
        <w:rPr>
          <w:rFonts w:ascii="Arial" w:hAnsi="Arial" w:cs="Arial"/>
          <w:i/>
          <w:iCs/>
        </w:rPr>
        <w:t>Early Childhood Play, Learning and Care Plan in Wales</w:t>
      </w:r>
      <w:r w:rsidRPr="00F65CFD">
        <w:rPr>
          <w:rFonts w:ascii="Arial" w:hAnsi="Arial" w:cs="Arial"/>
        </w:rPr>
        <w:t xml:space="preserve">. Available at: </w:t>
      </w:r>
      <w:hyperlink r:id="rId122" w:history="1">
        <w:r w:rsidRPr="00F65CFD">
          <w:rPr>
            <w:rFonts w:ascii="Arial" w:hAnsi="Arial" w:cs="Arial"/>
            <w:color w:val="467886" w:themeColor="hyperlink"/>
            <w:u w:val="single"/>
          </w:rPr>
          <w:t>https://www.gov.wales/sites/default/files/publications/2024-03/early-childhood-play-learning-care-plan.pdf</w:t>
        </w:r>
      </w:hyperlink>
      <w:r w:rsidRPr="00F65CFD">
        <w:rPr>
          <w:rFonts w:ascii="Arial" w:hAnsi="Arial" w:cs="Arial"/>
        </w:rPr>
        <w:t xml:space="preserve"> (Accessed: 15 January 2025)</w:t>
      </w:r>
    </w:p>
    <w:p w14:paraId="41069543" w14:textId="77777777" w:rsidR="00F65CFD" w:rsidRPr="00F65CFD" w:rsidRDefault="00F65CFD" w:rsidP="00F65CFD">
      <w:pPr>
        <w:spacing w:after="0" w:line="240" w:lineRule="auto"/>
        <w:jc w:val="both"/>
        <w:rPr>
          <w:rFonts w:ascii="Arial" w:eastAsia="Times New Roman" w:hAnsi="Arial" w:cs="Arial"/>
          <w:spacing w:val="-6"/>
          <w:kern w:val="0"/>
          <w:lang w:eastAsia="en-GB"/>
          <w14:ligatures w14:val="none"/>
        </w:rPr>
      </w:pPr>
    </w:p>
    <w:p w14:paraId="349901F5" w14:textId="77777777" w:rsidR="00F65CFD" w:rsidRPr="00F65CFD" w:rsidRDefault="00F65CFD" w:rsidP="00F65CFD">
      <w:pPr>
        <w:jc w:val="both"/>
        <w:rPr>
          <w:rFonts w:ascii="Arial" w:hAnsi="Arial" w:cs="Arial"/>
        </w:rPr>
      </w:pPr>
      <w:r w:rsidRPr="00F65CFD">
        <w:rPr>
          <w:rFonts w:ascii="Arial" w:hAnsi="Arial" w:cs="Arial"/>
          <w:shd w:val="clear" w:color="auto" w:fill="FFFFFF"/>
        </w:rPr>
        <w:t>Wilson, N.C. and Jones, K.D. (2023) ‘Trauma-Informed Integrated Care Settings: The Role of the Mental Health Counsellor’, </w:t>
      </w:r>
      <w:r w:rsidRPr="00F65CFD">
        <w:rPr>
          <w:rFonts w:ascii="Arial" w:hAnsi="Arial" w:cs="Arial"/>
          <w:i/>
          <w:iCs/>
          <w:shd w:val="clear" w:color="auto" w:fill="FFFFFF"/>
        </w:rPr>
        <w:t>Journal of Mental Health Counselling</w:t>
      </w:r>
      <w:r w:rsidRPr="00F65CFD">
        <w:rPr>
          <w:rFonts w:ascii="Arial" w:hAnsi="Arial" w:cs="Arial"/>
          <w:shd w:val="clear" w:color="auto" w:fill="FFFFFF"/>
        </w:rPr>
        <w:t xml:space="preserve">, 45(2), pp. 93–108. Available at: </w:t>
      </w:r>
      <w:hyperlink r:id="rId123" w:history="1">
        <w:r w:rsidRPr="00F65CFD">
          <w:rPr>
            <w:rFonts w:ascii="Arial" w:hAnsi="Arial" w:cs="Arial"/>
            <w:color w:val="467886" w:themeColor="hyperlink"/>
            <w:u w:val="single"/>
            <w:shd w:val="clear" w:color="auto" w:fill="FFFFFF"/>
          </w:rPr>
          <w:t>https://doi.org/10.17744/mehc.45.2.01</w:t>
        </w:r>
      </w:hyperlink>
      <w:r w:rsidRPr="00F65CFD">
        <w:rPr>
          <w:rFonts w:ascii="Arial" w:hAnsi="Arial" w:cs="Arial"/>
          <w:color w:val="3A3A3A"/>
          <w:shd w:val="clear" w:color="auto" w:fill="FFFFFF"/>
        </w:rPr>
        <w:t xml:space="preserve">. </w:t>
      </w:r>
      <w:r w:rsidRPr="00F65CFD">
        <w:rPr>
          <w:rFonts w:ascii="Arial" w:hAnsi="Arial" w:cs="Arial"/>
          <w:shd w:val="clear" w:color="auto" w:fill="FFFFFF"/>
        </w:rPr>
        <w:t>(Accessed 30 December 2024)</w:t>
      </w:r>
    </w:p>
    <w:p w14:paraId="6CECECF1" w14:textId="77777777" w:rsidR="00F65CFD" w:rsidRPr="00F65CFD" w:rsidRDefault="00F65CFD" w:rsidP="00F65CFD">
      <w:pPr>
        <w:spacing w:after="0" w:line="240" w:lineRule="auto"/>
        <w:rPr>
          <w:rFonts w:ascii="Arial" w:eastAsia="Times New Roman" w:hAnsi="Arial" w:cs="Arial"/>
          <w:kern w:val="0"/>
          <w:shd w:val="clear" w:color="auto" w:fill="FFFFFF"/>
          <w:lang w:eastAsia="en-GB"/>
          <w14:ligatures w14:val="none"/>
        </w:rPr>
      </w:pPr>
      <w:r w:rsidRPr="00F65CFD">
        <w:rPr>
          <w:rFonts w:ascii="Arial" w:eastAsia="Times New Roman" w:hAnsi="Arial" w:cs="Arial"/>
          <w:kern w:val="0"/>
          <w:shd w:val="clear" w:color="auto" w:fill="FFFFFF"/>
          <w:lang w:eastAsia="en-GB"/>
          <w14:ligatures w14:val="none"/>
        </w:rPr>
        <w:t>Wilson, N.C. and Jones, K.D. (2023) ‘Trauma-Informed Integrated Care Settings: The Role of the Mental Health Counsellor’, </w:t>
      </w:r>
      <w:r w:rsidRPr="00F65CFD">
        <w:rPr>
          <w:rFonts w:ascii="Arial" w:eastAsia="Times New Roman" w:hAnsi="Arial" w:cs="Arial"/>
          <w:i/>
          <w:iCs/>
          <w:kern w:val="0"/>
          <w:shd w:val="clear" w:color="auto" w:fill="FFFFFF"/>
          <w:lang w:eastAsia="en-GB"/>
          <w14:ligatures w14:val="none"/>
        </w:rPr>
        <w:t>Journal of Mental Health Counselling</w:t>
      </w:r>
      <w:r w:rsidRPr="00F65CFD">
        <w:rPr>
          <w:rFonts w:ascii="Arial" w:eastAsia="Times New Roman" w:hAnsi="Arial" w:cs="Arial"/>
          <w:kern w:val="0"/>
          <w:shd w:val="clear" w:color="auto" w:fill="FFFFFF"/>
          <w:lang w:eastAsia="en-GB"/>
          <w14:ligatures w14:val="none"/>
        </w:rPr>
        <w:t xml:space="preserve">, 45(2), pp. 93–108. Available at: </w:t>
      </w:r>
      <w:hyperlink r:id="rId124" w:history="1">
        <w:r w:rsidRPr="00F65CFD">
          <w:rPr>
            <w:rFonts w:ascii="Arial" w:eastAsia="Times New Roman" w:hAnsi="Arial" w:cs="Arial"/>
            <w:color w:val="467886" w:themeColor="hyperlink"/>
            <w:kern w:val="0"/>
            <w:u w:val="single"/>
            <w:shd w:val="clear" w:color="auto" w:fill="FFFFFF"/>
            <w:lang w:eastAsia="en-GB"/>
            <w14:ligatures w14:val="none"/>
          </w:rPr>
          <w:t>https://doi.org/10.17744/mehc.45.2.01</w:t>
        </w:r>
      </w:hyperlink>
      <w:r w:rsidRPr="00F65CFD">
        <w:rPr>
          <w:rFonts w:ascii="Arial" w:eastAsia="Times New Roman" w:hAnsi="Arial" w:cs="Arial"/>
          <w:color w:val="3A3A3A"/>
          <w:kern w:val="0"/>
          <w:shd w:val="clear" w:color="auto" w:fill="FFFFFF"/>
          <w:lang w:eastAsia="en-GB"/>
          <w14:ligatures w14:val="none"/>
        </w:rPr>
        <w:t xml:space="preserve">. </w:t>
      </w:r>
      <w:r w:rsidRPr="00F65CFD">
        <w:rPr>
          <w:rFonts w:ascii="Arial" w:eastAsia="Times New Roman" w:hAnsi="Arial" w:cs="Arial"/>
          <w:kern w:val="0"/>
          <w:shd w:val="clear" w:color="auto" w:fill="FFFFFF"/>
          <w:lang w:eastAsia="en-GB"/>
          <w14:ligatures w14:val="none"/>
        </w:rPr>
        <w:t>(Accessed 13 January 2025)</w:t>
      </w:r>
    </w:p>
    <w:p w14:paraId="584ACAB1" w14:textId="77777777" w:rsidR="00F65CFD" w:rsidRPr="00F65CFD" w:rsidRDefault="00F65CFD" w:rsidP="00F65CFD">
      <w:pPr>
        <w:spacing w:after="0" w:line="240" w:lineRule="auto"/>
        <w:rPr>
          <w:rFonts w:ascii="Arial" w:eastAsia="Times New Roman" w:hAnsi="Arial" w:cs="Arial"/>
          <w:spacing w:val="-6"/>
          <w:kern w:val="0"/>
          <w:lang w:eastAsia="en-GB"/>
          <w14:ligatures w14:val="none"/>
        </w:rPr>
      </w:pPr>
    </w:p>
    <w:p w14:paraId="484ECCEE" w14:textId="77777777" w:rsidR="00F65CFD" w:rsidRPr="00F65CFD" w:rsidRDefault="00F65CFD" w:rsidP="00F65CFD">
      <w:pPr>
        <w:jc w:val="both"/>
        <w:rPr>
          <w:rFonts w:ascii="Arial" w:hAnsi="Arial" w:cs="Arial"/>
          <w:shd w:val="clear" w:color="auto" w:fill="FFFFFF"/>
        </w:rPr>
      </w:pPr>
      <w:r w:rsidRPr="00F65CFD">
        <w:rPr>
          <w:rFonts w:ascii="Arial" w:hAnsi="Arial" w:cs="Arial"/>
          <w:shd w:val="clear" w:color="auto" w:fill="FFFFFF"/>
        </w:rPr>
        <w:t>Wood, E.A. (2014) ‘Free choice and free play in early childhood education: troubling the discourse’, </w:t>
      </w:r>
      <w:r w:rsidRPr="00F65CFD">
        <w:rPr>
          <w:rFonts w:ascii="Arial" w:hAnsi="Arial" w:cs="Arial"/>
          <w:i/>
          <w:iCs/>
          <w:shd w:val="clear" w:color="auto" w:fill="FFFFFF"/>
        </w:rPr>
        <w:t>International journal of early years education</w:t>
      </w:r>
      <w:r w:rsidRPr="00F65CFD">
        <w:rPr>
          <w:rFonts w:ascii="Arial" w:hAnsi="Arial" w:cs="Arial"/>
          <w:shd w:val="clear" w:color="auto" w:fill="FFFFFF"/>
        </w:rPr>
        <w:t xml:space="preserve">, 22(1), pp. 4–18. Available at: </w:t>
      </w:r>
      <w:hyperlink r:id="rId125" w:history="1">
        <w:r w:rsidRPr="00F65CFD">
          <w:rPr>
            <w:rFonts w:ascii="Arial" w:hAnsi="Arial" w:cs="Arial"/>
            <w:color w:val="467886" w:themeColor="hyperlink"/>
            <w:u w:val="single"/>
            <w:shd w:val="clear" w:color="auto" w:fill="FFFFFF"/>
          </w:rPr>
          <w:t>https://doi.org/10.1080/09669760.2013.830562</w:t>
        </w:r>
      </w:hyperlink>
      <w:r w:rsidRPr="00F65CFD">
        <w:rPr>
          <w:rFonts w:ascii="Arial" w:hAnsi="Arial" w:cs="Arial"/>
          <w:color w:val="3A3A3A"/>
          <w:shd w:val="clear" w:color="auto" w:fill="FFFFFF"/>
        </w:rPr>
        <w:t xml:space="preserve">. </w:t>
      </w:r>
      <w:r w:rsidRPr="00F65CFD">
        <w:rPr>
          <w:rFonts w:ascii="Arial" w:hAnsi="Arial" w:cs="Arial"/>
          <w:shd w:val="clear" w:color="auto" w:fill="FFFFFF"/>
        </w:rPr>
        <w:t>(Accessed 14 January 2025)</w:t>
      </w:r>
    </w:p>
    <w:p w14:paraId="2650688C" w14:textId="77777777" w:rsidR="000A0A6A" w:rsidRDefault="000A0A6A" w:rsidP="00430D51">
      <w:pPr>
        <w:jc w:val="both"/>
        <w:rPr>
          <w:rFonts w:ascii="Arial" w:hAnsi="Arial" w:cs="Arial"/>
          <w:b/>
          <w:bCs/>
        </w:rPr>
      </w:pPr>
    </w:p>
    <w:p w14:paraId="561D6D32" w14:textId="77777777" w:rsidR="001D20F7" w:rsidRDefault="001D20F7" w:rsidP="00430D51">
      <w:pPr>
        <w:jc w:val="both"/>
        <w:rPr>
          <w:rFonts w:ascii="Arial" w:hAnsi="Arial" w:cs="Arial"/>
          <w:b/>
          <w:bCs/>
        </w:rPr>
      </w:pPr>
    </w:p>
    <w:p w14:paraId="1F486E38" w14:textId="77777777" w:rsidR="001D20F7" w:rsidRDefault="001D20F7" w:rsidP="00430D51">
      <w:pPr>
        <w:jc w:val="both"/>
        <w:rPr>
          <w:rFonts w:ascii="Arial" w:hAnsi="Arial" w:cs="Arial"/>
          <w:b/>
          <w:bCs/>
        </w:rPr>
      </w:pPr>
    </w:p>
    <w:p w14:paraId="2180B350" w14:textId="77777777" w:rsidR="004B0ACB" w:rsidRDefault="004B0ACB" w:rsidP="00430D51">
      <w:pPr>
        <w:jc w:val="both"/>
        <w:rPr>
          <w:rFonts w:ascii="Arial" w:hAnsi="Arial" w:cs="Arial"/>
          <w:b/>
          <w:bCs/>
        </w:rPr>
      </w:pPr>
    </w:p>
    <w:p w14:paraId="7CA39858" w14:textId="77777777" w:rsidR="004B0ACB" w:rsidRDefault="004B0ACB" w:rsidP="00430D51">
      <w:pPr>
        <w:jc w:val="both"/>
        <w:rPr>
          <w:rFonts w:ascii="Arial" w:hAnsi="Arial" w:cs="Arial"/>
          <w:b/>
          <w:bCs/>
        </w:rPr>
      </w:pPr>
    </w:p>
    <w:p w14:paraId="62139525" w14:textId="77777777" w:rsidR="004B0ACB" w:rsidRDefault="004B0ACB" w:rsidP="00430D51">
      <w:pPr>
        <w:jc w:val="both"/>
        <w:rPr>
          <w:rFonts w:ascii="Arial" w:hAnsi="Arial" w:cs="Arial"/>
          <w:b/>
          <w:bCs/>
        </w:rPr>
      </w:pPr>
    </w:p>
    <w:p w14:paraId="52412EFC" w14:textId="77777777" w:rsidR="004B0ACB" w:rsidRDefault="004B0ACB" w:rsidP="00430D51">
      <w:pPr>
        <w:jc w:val="both"/>
        <w:rPr>
          <w:rFonts w:ascii="Arial" w:hAnsi="Arial" w:cs="Arial"/>
          <w:b/>
          <w:bCs/>
        </w:rPr>
      </w:pPr>
    </w:p>
    <w:p w14:paraId="0693A745" w14:textId="77777777" w:rsidR="004B0ACB" w:rsidRDefault="004B0ACB" w:rsidP="00430D51">
      <w:pPr>
        <w:jc w:val="both"/>
        <w:rPr>
          <w:rFonts w:ascii="Arial" w:hAnsi="Arial" w:cs="Arial"/>
          <w:b/>
          <w:bCs/>
        </w:rPr>
      </w:pPr>
    </w:p>
    <w:p w14:paraId="226F1018" w14:textId="77777777" w:rsidR="004B0ACB" w:rsidRDefault="004B0ACB" w:rsidP="00430D51">
      <w:pPr>
        <w:jc w:val="both"/>
        <w:rPr>
          <w:rFonts w:ascii="Arial" w:hAnsi="Arial" w:cs="Arial"/>
          <w:b/>
          <w:bCs/>
        </w:rPr>
      </w:pPr>
    </w:p>
    <w:p w14:paraId="5598C153" w14:textId="77777777" w:rsidR="004B0ACB" w:rsidRDefault="004B0ACB" w:rsidP="00430D51">
      <w:pPr>
        <w:jc w:val="both"/>
        <w:rPr>
          <w:rFonts w:ascii="Arial" w:hAnsi="Arial" w:cs="Arial"/>
          <w:b/>
          <w:bCs/>
        </w:rPr>
      </w:pPr>
    </w:p>
    <w:p w14:paraId="2E741225" w14:textId="77777777" w:rsidR="004B0ACB" w:rsidRDefault="004B0ACB" w:rsidP="00430D51">
      <w:pPr>
        <w:jc w:val="both"/>
        <w:rPr>
          <w:rFonts w:ascii="Arial" w:hAnsi="Arial" w:cs="Arial"/>
          <w:b/>
          <w:bCs/>
        </w:rPr>
      </w:pPr>
    </w:p>
    <w:p w14:paraId="431F5B1D" w14:textId="77777777" w:rsidR="004B0ACB" w:rsidRDefault="004B0ACB" w:rsidP="00430D51">
      <w:pPr>
        <w:jc w:val="both"/>
        <w:rPr>
          <w:rFonts w:ascii="Arial" w:hAnsi="Arial" w:cs="Arial"/>
          <w:b/>
          <w:bCs/>
        </w:rPr>
      </w:pPr>
    </w:p>
    <w:p w14:paraId="467509AB" w14:textId="77777777" w:rsidR="004B0ACB" w:rsidRDefault="004B0ACB" w:rsidP="00430D51">
      <w:pPr>
        <w:jc w:val="both"/>
        <w:rPr>
          <w:rFonts w:ascii="Arial" w:hAnsi="Arial" w:cs="Arial"/>
          <w:b/>
          <w:bCs/>
        </w:rPr>
      </w:pPr>
    </w:p>
    <w:p w14:paraId="076A4A41" w14:textId="77777777" w:rsidR="00E6100E" w:rsidRPr="00E961E2" w:rsidRDefault="00E6100E" w:rsidP="00430D51">
      <w:pPr>
        <w:jc w:val="both"/>
        <w:rPr>
          <w:rFonts w:ascii="Arial" w:hAnsi="Arial" w:cs="Arial"/>
          <w:b/>
          <w:bCs/>
        </w:rPr>
      </w:pPr>
    </w:p>
    <w:sectPr w:rsidR="00E6100E" w:rsidRPr="00E961E2" w:rsidSect="00C66F72">
      <w:pgSz w:w="16838" w:h="11906" w:orient="landscape"/>
      <w:pgMar w:top="567" w:right="1440" w:bottom="1440" w:left="1440" w:header="567"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2D8EF6" w14:textId="77777777" w:rsidR="002130D7" w:rsidRDefault="002130D7" w:rsidP="00E6100E">
      <w:pPr>
        <w:spacing w:after="0" w:line="240" w:lineRule="auto"/>
      </w:pPr>
      <w:r>
        <w:separator/>
      </w:r>
    </w:p>
  </w:endnote>
  <w:endnote w:type="continuationSeparator" w:id="0">
    <w:p w14:paraId="41AC079F" w14:textId="77777777" w:rsidR="002130D7" w:rsidRDefault="002130D7" w:rsidP="00E610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60B70E" w14:textId="77777777" w:rsidR="002130D7" w:rsidRDefault="002130D7" w:rsidP="00E6100E">
      <w:pPr>
        <w:spacing w:after="0" w:line="240" w:lineRule="auto"/>
      </w:pPr>
      <w:r>
        <w:separator/>
      </w:r>
    </w:p>
  </w:footnote>
  <w:footnote w:type="continuationSeparator" w:id="0">
    <w:p w14:paraId="568EAC7F" w14:textId="77777777" w:rsidR="002130D7" w:rsidRDefault="002130D7" w:rsidP="00E610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07D1028"/>
    <w:multiLevelType w:val="multilevel"/>
    <w:tmpl w:val="2780A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C1548D6"/>
    <w:multiLevelType w:val="multilevel"/>
    <w:tmpl w:val="1F0A2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9224196">
    <w:abstractNumId w:val="1"/>
  </w:num>
  <w:num w:numId="2" w16cid:durableId="7094944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6"/>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1E2"/>
    <w:rsid w:val="000247FB"/>
    <w:rsid w:val="00031DC1"/>
    <w:rsid w:val="00034BDC"/>
    <w:rsid w:val="0004321A"/>
    <w:rsid w:val="0004531F"/>
    <w:rsid w:val="000674AE"/>
    <w:rsid w:val="000A0A6A"/>
    <w:rsid w:val="000B365E"/>
    <w:rsid w:val="000B4B70"/>
    <w:rsid w:val="000F42C8"/>
    <w:rsid w:val="00106118"/>
    <w:rsid w:val="0011466B"/>
    <w:rsid w:val="00120C32"/>
    <w:rsid w:val="001269BF"/>
    <w:rsid w:val="00130217"/>
    <w:rsid w:val="00147305"/>
    <w:rsid w:val="00172643"/>
    <w:rsid w:val="00195686"/>
    <w:rsid w:val="001A005D"/>
    <w:rsid w:val="001C28F9"/>
    <w:rsid w:val="001D20F7"/>
    <w:rsid w:val="00207765"/>
    <w:rsid w:val="00210E47"/>
    <w:rsid w:val="0021299D"/>
    <w:rsid w:val="002130D7"/>
    <w:rsid w:val="0022283E"/>
    <w:rsid w:val="00242554"/>
    <w:rsid w:val="00262905"/>
    <w:rsid w:val="00273A9A"/>
    <w:rsid w:val="00290E17"/>
    <w:rsid w:val="002B6178"/>
    <w:rsid w:val="002D128F"/>
    <w:rsid w:val="002D2748"/>
    <w:rsid w:val="002D6A05"/>
    <w:rsid w:val="002E4C83"/>
    <w:rsid w:val="002F482A"/>
    <w:rsid w:val="00314F1F"/>
    <w:rsid w:val="00326DA8"/>
    <w:rsid w:val="00334793"/>
    <w:rsid w:val="003359FB"/>
    <w:rsid w:val="00351681"/>
    <w:rsid w:val="00366883"/>
    <w:rsid w:val="003875A4"/>
    <w:rsid w:val="00400AF0"/>
    <w:rsid w:val="00404939"/>
    <w:rsid w:val="00430D51"/>
    <w:rsid w:val="00440C1B"/>
    <w:rsid w:val="004476D1"/>
    <w:rsid w:val="004524E6"/>
    <w:rsid w:val="004610CA"/>
    <w:rsid w:val="00477605"/>
    <w:rsid w:val="00485EF7"/>
    <w:rsid w:val="00491538"/>
    <w:rsid w:val="00493E2F"/>
    <w:rsid w:val="004A7D80"/>
    <w:rsid w:val="004B0ACB"/>
    <w:rsid w:val="004B0B54"/>
    <w:rsid w:val="004D0D8F"/>
    <w:rsid w:val="004E091F"/>
    <w:rsid w:val="004E1EAC"/>
    <w:rsid w:val="005140F4"/>
    <w:rsid w:val="00553B37"/>
    <w:rsid w:val="00561D44"/>
    <w:rsid w:val="00562D7F"/>
    <w:rsid w:val="00572C55"/>
    <w:rsid w:val="00574488"/>
    <w:rsid w:val="00591599"/>
    <w:rsid w:val="00592099"/>
    <w:rsid w:val="005B4DAB"/>
    <w:rsid w:val="005B753D"/>
    <w:rsid w:val="005D44C6"/>
    <w:rsid w:val="005D59EA"/>
    <w:rsid w:val="005D6270"/>
    <w:rsid w:val="005D7E2F"/>
    <w:rsid w:val="005D7EF2"/>
    <w:rsid w:val="005F3816"/>
    <w:rsid w:val="00600500"/>
    <w:rsid w:val="00600A40"/>
    <w:rsid w:val="006057B7"/>
    <w:rsid w:val="00615943"/>
    <w:rsid w:val="00641422"/>
    <w:rsid w:val="00642705"/>
    <w:rsid w:val="00652F6B"/>
    <w:rsid w:val="00654D9D"/>
    <w:rsid w:val="00661B10"/>
    <w:rsid w:val="006915D4"/>
    <w:rsid w:val="00691EB2"/>
    <w:rsid w:val="006B5A6E"/>
    <w:rsid w:val="006E6AF7"/>
    <w:rsid w:val="006F082E"/>
    <w:rsid w:val="00700B6B"/>
    <w:rsid w:val="00701117"/>
    <w:rsid w:val="007472FC"/>
    <w:rsid w:val="007665E4"/>
    <w:rsid w:val="007C6A47"/>
    <w:rsid w:val="007E37CB"/>
    <w:rsid w:val="00804D0B"/>
    <w:rsid w:val="00825E58"/>
    <w:rsid w:val="008379FF"/>
    <w:rsid w:val="0085455E"/>
    <w:rsid w:val="0088400C"/>
    <w:rsid w:val="00885CB8"/>
    <w:rsid w:val="008960C8"/>
    <w:rsid w:val="008B4692"/>
    <w:rsid w:val="008B46A0"/>
    <w:rsid w:val="008D33F5"/>
    <w:rsid w:val="008E381B"/>
    <w:rsid w:val="00930469"/>
    <w:rsid w:val="0094037A"/>
    <w:rsid w:val="00946903"/>
    <w:rsid w:val="00952C83"/>
    <w:rsid w:val="00952D50"/>
    <w:rsid w:val="00990B42"/>
    <w:rsid w:val="00990D9D"/>
    <w:rsid w:val="009937F5"/>
    <w:rsid w:val="00993B22"/>
    <w:rsid w:val="00997965"/>
    <w:rsid w:val="009A395E"/>
    <w:rsid w:val="009C49EB"/>
    <w:rsid w:val="009E1B5C"/>
    <w:rsid w:val="009E3C8D"/>
    <w:rsid w:val="009F46A1"/>
    <w:rsid w:val="00A44BA1"/>
    <w:rsid w:val="00A5359C"/>
    <w:rsid w:val="00A579C4"/>
    <w:rsid w:val="00A778EE"/>
    <w:rsid w:val="00A91423"/>
    <w:rsid w:val="00AA44D8"/>
    <w:rsid w:val="00AB57B5"/>
    <w:rsid w:val="00AB7285"/>
    <w:rsid w:val="00AC1C29"/>
    <w:rsid w:val="00AD3059"/>
    <w:rsid w:val="00AD5E28"/>
    <w:rsid w:val="00AF4BCC"/>
    <w:rsid w:val="00B61CA5"/>
    <w:rsid w:val="00B723E3"/>
    <w:rsid w:val="00B9679F"/>
    <w:rsid w:val="00BA0E1A"/>
    <w:rsid w:val="00BA4177"/>
    <w:rsid w:val="00BB127E"/>
    <w:rsid w:val="00BB58B0"/>
    <w:rsid w:val="00BD4443"/>
    <w:rsid w:val="00BE33C6"/>
    <w:rsid w:val="00BF1551"/>
    <w:rsid w:val="00BF5E9D"/>
    <w:rsid w:val="00C5422D"/>
    <w:rsid w:val="00C56458"/>
    <w:rsid w:val="00C66F72"/>
    <w:rsid w:val="00C71C93"/>
    <w:rsid w:val="00C86369"/>
    <w:rsid w:val="00C86757"/>
    <w:rsid w:val="00C9414D"/>
    <w:rsid w:val="00CA5CCD"/>
    <w:rsid w:val="00CB4CB4"/>
    <w:rsid w:val="00CE3CFB"/>
    <w:rsid w:val="00CF15B6"/>
    <w:rsid w:val="00D03FD9"/>
    <w:rsid w:val="00D12387"/>
    <w:rsid w:val="00D52833"/>
    <w:rsid w:val="00D62FD4"/>
    <w:rsid w:val="00D93C7C"/>
    <w:rsid w:val="00DA7231"/>
    <w:rsid w:val="00DC5131"/>
    <w:rsid w:val="00DC575F"/>
    <w:rsid w:val="00DE4052"/>
    <w:rsid w:val="00E34391"/>
    <w:rsid w:val="00E350DF"/>
    <w:rsid w:val="00E56264"/>
    <w:rsid w:val="00E6100E"/>
    <w:rsid w:val="00E777AC"/>
    <w:rsid w:val="00E83924"/>
    <w:rsid w:val="00E961E2"/>
    <w:rsid w:val="00E96484"/>
    <w:rsid w:val="00EB3CD9"/>
    <w:rsid w:val="00ED045E"/>
    <w:rsid w:val="00F00230"/>
    <w:rsid w:val="00F24C48"/>
    <w:rsid w:val="00F377F1"/>
    <w:rsid w:val="00F4200E"/>
    <w:rsid w:val="00F55505"/>
    <w:rsid w:val="00F619F4"/>
    <w:rsid w:val="00F65CFD"/>
    <w:rsid w:val="00F7320C"/>
    <w:rsid w:val="00F7615C"/>
    <w:rsid w:val="00F96AA5"/>
    <w:rsid w:val="00FA0F3B"/>
    <w:rsid w:val="00FC6EC6"/>
    <w:rsid w:val="00FD0B36"/>
    <w:rsid w:val="00FD7F83"/>
    <w:rsid w:val="00FF5C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EFA627"/>
  <w15:chartTrackingRefBased/>
  <w15:docId w15:val="{B94B17CE-B4D6-448A-8F27-9890BAC96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61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61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61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61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61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61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61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61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61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1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61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61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61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61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61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61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61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61E2"/>
    <w:rPr>
      <w:rFonts w:eastAsiaTheme="majorEastAsia" w:cstheme="majorBidi"/>
      <w:color w:val="272727" w:themeColor="text1" w:themeTint="D8"/>
    </w:rPr>
  </w:style>
  <w:style w:type="paragraph" w:styleId="Title">
    <w:name w:val="Title"/>
    <w:basedOn w:val="Normal"/>
    <w:next w:val="Normal"/>
    <w:link w:val="TitleChar"/>
    <w:uiPriority w:val="10"/>
    <w:qFormat/>
    <w:rsid w:val="00E961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61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61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61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61E2"/>
    <w:pPr>
      <w:spacing w:before="160"/>
      <w:jc w:val="center"/>
    </w:pPr>
    <w:rPr>
      <w:i/>
      <w:iCs/>
      <w:color w:val="404040" w:themeColor="text1" w:themeTint="BF"/>
    </w:rPr>
  </w:style>
  <w:style w:type="character" w:customStyle="1" w:styleId="QuoteChar">
    <w:name w:val="Quote Char"/>
    <w:basedOn w:val="DefaultParagraphFont"/>
    <w:link w:val="Quote"/>
    <w:uiPriority w:val="29"/>
    <w:rsid w:val="00E961E2"/>
    <w:rPr>
      <w:i/>
      <w:iCs/>
      <w:color w:val="404040" w:themeColor="text1" w:themeTint="BF"/>
    </w:rPr>
  </w:style>
  <w:style w:type="paragraph" w:styleId="ListParagraph">
    <w:name w:val="List Paragraph"/>
    <w:basedOn w:val="Normal"/>
    <w:uiPriority w:val="34"/>
    <w:qFormat/>
    <w:rsid w:val="00E961E2"/>
    <w:pPr>
      <w:ind w:left="720"/>
      <w:contextualSpacing/>
    </w:pPr>
  </w:style>
  <w:style w:type="character" w:styleId="IntenseEmphasis">
    <w:name w:val="Intense Emphasis"/>
    <w:basedOn w:val="DefaultParagraphFont"/>
    <w:uiPriority w:val="21"/>
    <w:qFormat/>
    <w:rsid w:val="00E961E2"/>
    <w:rPr>
      <w:i/>
      <w:iCs/>
      <w:color w:val="0F4761" w:themeColor="accent1" w:themeShade="BF"/>
    </w:rPr>
  </w:style>
  <w:style w:type="paragraph" w:styleId="IntenseQuote">
    <w:name w:val="Intense Quote"/>
    <w:basedOn w:val="Normal"/>
    <w:next w:val="Normal"/>
    <w:link w:val="IntenseQuoteChar"/>
    <w:uiPriority w:val="30"/>
    <w:qFormat/>
    <w:rsid w:val="00E961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61E2"/>
    <w:rPr>
      <w:i/>
      <w:iCs/>
      <w:color w:val="0F4761" w:themeColor="accent1" w:themeShade="BF"/>
    </w:rPr>
  </w:style>
  <w:style w:type="character" w:styleId="IntenseReference">
    <w:name w:val="Intense Reference"/>
    <w:basedOn w:val="DefaultParagraphFont"/>
    <w:uiPriority w:val="32"/>
    <w:qFormat/>
    <w:rsid w:val="00E961E2"/>
    <w:rPr>
      <w:b/>
      <w:bCs/>
      <w:smallCaps/>
      <w:color w:val="0F4761" w:themeColor="accent1" w:themeShade="BF"/>
      <w:spacing w:val="5"/>
    </w:rPr>
  </w:style>
  <w:style w:type="paragraph" w:styleId="NormalWeb">
    <w:name w:val="Normal (Web)"/>
    <w:basedOn w:val="Normal"/>
    <w:uiPriority w:val="99"/>
    <w:unhideWhenUsed/>
    <w:rsid w:val="0059209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E610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100E"/>
  </w:style>
  <w:style w:type="paragraph" w:styleId="Footer">
    <w:name w:val="footer"/>
    <w:basedOn w:val="Normal"/>
    <w:link w:val="FooterChar"/>
    <w:uiPriority w:val="99"/>
    <w:unhideWhenUsed/>
    <w:rsid w:val="00E610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00E"/>
  </w:style>
  <w:style w:type="character" w:styleId="Hyperlink">
    <w:name w:val="Hyperlink"/>
    <w:basedOn w:val="DefaultParagraphFont"/>
    <w:uiPriority w:val="99"/>
    <w:unhideWhenUsed/>
    <w:rsid w:val="00F24C48"/>
    <w:rPr>
      <w:color w:val="467886" w:themeColor="hyperlink"/>
      <w:u w:val="single"/>
    </w:rPr>
  </w:style>
  <w:style w:type="character" w:styleId="UnresolvedMention">
    <w:name w:val="Unresolved Mention"/>
    <w:basedOn w:val="DefaultParagraphFont"/>
    <w:uiPriority w:val="99"/>
    <w:semiHidden/>
    <w:unhideWhenUsed/>
    <w:rsid w:val="00F24C48"/>
    <w:rPr>
      <w:color w:val="605E5C"/>
      <w:shd w:val="clear" w:color="auto" w:fill="E1DFDD"/>
    </w:rPr>
  </w:style>
  <w:style w:type="paragraph" w:customStyle="1" w:styleId="first">
    <w:name w:val="first"/>
    <w:basedOn w:val="Normal"/>
    <w:rsid w:val="00F65CFD"/>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7/s10902-013-9485-0" TargetMode="External"/><Relationship Id="rId117" Type="http://schemas.openxmlformats.org/officeDocument/2006/relationships/hyperlink" Target="https://www.unicef.org/sites/default/files/press-releases/glo-media-UNICEF_Early_Moments_Matter_for_Every_Child_report.pdf" TargetMode="External"/><Relationship Id="rId21" Type="http://schemas.openxmlformats.org/officeDocument/2006/relationships/hyperlink" Target="https://doi.org/10.1037/pas0000209" TargetMode="External"/><Relationship Id="rId42" Type="http://schemas.openxmlformats.org/officeDocument/2006/relationships/hyperlink" Target="https://doi.org/10.4018/978-1-7998-8649-5" TargetMode="External"/><Relationship Id="rId47" Type="http://schemas.openxmlformats.org/officeDocument/2006/relationships/hyperlink" Target="https://www.futuregenerations.wales/about-us/future-generations-act/" TargetMode="External"/><Relationship Id="rId63" Type="http://schemas.openxmlformats.org/officeDocument/2006/relationships/hyperlink" Target="https://doi.org/10.1016/S0140-6736(16)31390-3" TargetMode="External"/><Relationship Id="rId68" Type="http://schemas.openxmlformats.org/officeDocument/2006/relationships/hyperlink" Target="https://www.legislation.gov.uk/mwa/2010/1/pdfs/mwaen_20100001_en.pdf" TargetMode="External"/><Relationship Id="rId84" Type="http://schemas.openxmlformats.org/officeDocument/2006/relationships/hyperlink" Target="https://doi.org/10.1007/s10826-024-02901-3" TargetMode="External"/><Relationship Id="rId89" Type="http://schemas.openxmlformats.org/officeDocument/2006/relationships/hyperlink" Target="https://doi.org/10.1002/car.1077" TargetMode="External"/><Relationship Id="rId112" Type="http://schemas.openxmlformats.org/officeDocument/2006/relationships/hyperlink" Target="https://doi.org/10.1037/spq0000406" TargetMode="External"/><Relationship Id="rId16" Type="http://schemas.openxmlformats.org/officeDocument/2006/relationships/hyperlink" Target="https://doi.org/10.1016/j.paed.2017.12.008" TargetMode="External"/><Relationship Id="rId107" Type="http://schemas.openxmlformats.org/officeDocument/2006/relationships/hyperlink" Target="https://doi.org/10.1111/sjop.12419" TargetMode="External"/><Relationship Id="rId11" Type="http://schemas.openxmlformats.org/officeDocument/2006/relationships/image" Target="media/image4.png"/><Relationship Id="rId32" Type="http://schemas.openxmlformats.org/officeDocument/2006/relationships/hyperlink" Target="https://doi.org/10.1111/tsq.12107" TargetMode="External"/><Relationship Id="rId37" Type="http://schemas.openxmlformats.org/officeDocument/2006/relationships/hyperlink" Target="https://doi.org/10.1080/09669760.2022.2144147" TargetMode="External"/><Relationship Id="rId53" Type="http://schemas.openxmlformats.org/officeDocument/2006/relationships/hyperlink" Target="https://iris.who.int/bitstream/handle/10665/376200/9789240084858-eng.pdf?sequence=1" TargetMode="External"/><Relationship Id="rId58" Type="http://schemas.openxmlformats.org/officeDocument/2006/relationships/hyperlink" Target="https://doi.org/10.1007/s00406-005-0624-4" TargetMode="External"/><Relationship Id="rId74" Type="http://schemas.openxmlformats.org/officeDocument/2006/relationships/hyperlink" Target="https://doi.org/10.1111/cdev.12739" TargetMode="External"/><Relationship Id="rId79" Type="http://schemas.openxmlformats.org/officeDocument/2006/relationships/hyperlink" Target="https://doi.org/10.1146/annurev.publhealth.26.021304.144357" TargetMode="External"/><Relationship Id="rId102" Type="http://schemas.openxmlformats.org/officeDocument/2006/relationships/hyperlink" Target="https://doi.org/10.1007/s00213-010-2009-2" TargetMode="External"/><Relationship Id="rId123" Type="http://schemas.openxmlformats.org/officeDocument/2006/relationships/hyperlink" Target="https://doi.org/10.17744/mehc.45.2.01" TargetMode="External"/><Relationship Id="rId5" Type="http://schemas.openxmlformats.org/officeDocument/2006/relationships/webSettings" Target="webSettings.xml"/><Relationship Id="rId90" Type="http://schemas.openxmlformats.org/officeDocument/2006/relationships/hyperlink" Target="https://doi.org/10.1080/13691457.2011.649347" TargetMode="External"/><Relationship Id="rId95" Type="http://schemas.openxmlformats.org/officeDocument/2006/relationships/hyperlink" Target="https://doi.org/10.3390/ijerph20186779" TargetMode="External"/><Relationship Id="rId22" Type="http://schemas.openxmlformats.org/officeDocument/2006/relationships/hyperlink" Target="file:///C:/Users/kater/Downloads/89-Article%20Text-954-1-10-20120828.pdf" TargetMode="External"/><Relationship Id="rId27" Type="http://schemas.openxmlformats.org/officeDocument/2006/relationships/hyperlink" Target="https://doi.org/10.1002/icd.2158" TargetMode="External"/><Relationship Id="rId43" Type="http://schemas.openxmlformats.org/officeDocument/2006/relationships/hyperlink" Target="https://www.thoughtco.com/thmb/NOQGnIm-cyu7HJMsvWjwCIElM3E=/4911x3472/filters:fill(auto,1)/maslow-s-hierarchy-of-needs--scalable-vector-illustration-655400474-5c6a47f246e0fb000165cb0a.jpg" TargetMode="External"/><Relationship Id="rId48" Type="http://schemas.openxmlformats.org/officeDocument/2006/relationships/hyperlink" Target="https://hwb.gov.wales/curriculum-for-wales/health-and-well-being/" TargetMode="External"/><Relationship Id="rId64" Type="http://schemas.openxmlformats.org/officeDocument/2006/relationships/hyperlink" Target="https://doi.org/10.7551/mitpress/3229.001.0001" TargetMode="External"/><Relationship Id="rId69" Type="http://schemas.openxmlformats.org/officeDocument/2006/relationships/hyperlink" Target="https://www.childcomwales.org.uk/wp-content/uploads/2020/06/NoWrongDoor_FINAL_EN230620.pdf" TargetMode="External"/><Relationship Id="rId113" Type="http://schemas.openxmlformats.org/officeDocument/2006/relationships/hyperlink" Target="https://doi.org/10.1016/j.neuron.2010.08.032" TargetMode="External"/><Relationship Id="rId118" Type="http://schemas.openxmlformats.org/officeDocument/2006/relationships/hyperlink" Target="https://sdgs.un.org/2030agenda#:~:text=We%20resolve%2C%20between%20now%20and,protection%20of%20the%20planet%20and" TargetMode="External"/><Relationship Id="rId80" Type="http://schemas.openxmlformats.org/officeDocument/2006/relationships/hyperlink" Target="https://doi.org/10.3928/0090-4481-19910901-05" TargetMode="External"/><Relationship Id="rId85" Type="http://schemas.openxmlformats.org/officeDocument/2006/relationships/hyperlink" Target="https://www.shrn.org.uk/wp-content/uploads/2021/08/SHRN-NR-FINAL-23_03_21-en-AMENDED06.08.21.pdf%C2%A0" TargetMode="External"/><Relationship Id="rId12" Type="http://schemas.openxmlformats.org/officeDocument/2006/relationships/hyperlink" Target="https://doi.org/10.1515/ijamh-2015-0045" TargetMode="External"/><Relationship Id="rId17" Type="http://schemas.openxmlformats.org/officeDocument/2006/relationships/hyperlink" Target="https://www.nuffieldtrust.org.uk/sites/default/files/2018-03/1521031084_child-health-international-comparisons-report-web.pdf" TargetMode="External"/><Relationship Id="rId33" Type="http://schemas.openxmlformats.org/officeDocument/2006/relationships/hyperlink" Target="https://doi.org/10.1016/j.intcar.2021.100062" TargetMode="External"/><Relationship Id="rId38" Type="http://schemas.openxmlformats.org/officeDocument/2006/relationships/hyperlink" Target="https://courses.lumenlearning.com/suny-buffalo-environmentalhealth/part/chapter-7-health-belief-model/" TargetMode="External"/><Relationship Id="rId59" Type="http://schemas.openxmlformats.org/officeDocument/2006/relationships/hyperlink" Target="https://doi.org/10.1016/j.amepre.2010.03.015" TargetMode="External"/><Relationship Id="rId103" Type="http://schemas.openxmlformats.org/officeDocument/2006/relationships/hyperlink" Target="https://doi.org/10.1007/s12310-016-9182-3" TargetMode="External"/><Relationship Id="rId108" Type="http://schemas.openxmlformats.org/officeDocument/2006/relationships/hyperlink" Target="https://doi.org/10.53841/bpsper.2021.45.2.62" TargetMode="External"/><Relationship Id="rId124" Type="http://schemas.openxmlformats.org/officeDocument/2006/relationships/hyperlink" Target="https://doi.org/10.17744/mehc.45.2.01" TargetMode="External"/><Relationship Id="rId54" Type="http://schemas.openxmlformats.org/officeDocument/2006/relationships/hyperlink" Target="https://www.who.int/about/governance/constitution" TargetMode="External"/><Relationship Id="rId70" Type="http://schemas.openxmlformats.org/officeDocument/2006/relationships/hyperlink" Target="https://www.childcomwales.org.uk/wp-content/uploads/2022/02/No-Wrong-Door-Report-February-2022.pdf" TargetMode="External"/><Relationship Id="rId75" Type="http://schemas.openxmlformats.org/officeDocument/2006/relationships/hyperlink" Target="https://doi.org/10.1146/annurev.clinpsy.121208.13120" TargetMode="External"/><Relationship Id="rId91" Type="http://schemas.openxmlformats.org/officeDocument/2006/relationships/hyperlink" Target="https://doi.org/10.1007/s10643-022-01425-z" TargetMode="External"/><Relationship Id="rId96" Type="http://schemas.openxmlformats.org/officeDocument/2006/relationships/hyperlink" Target="https://doi.org/10.1017/S0954579400004156"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doi.org/10.1007/s12671-016-0622-9" TargetMode="External"/><Relationship Id="rId28" Type="http://schemas.openxmlformats.org/officeDocument/2006/relationships/hyperlink" Target="https://doi.org/10.1007/s11524-024-00929-w" TargetMode="External"/><Relationship Id="rId49" Type="http://schemas.openxmlformats.org/officeDocument/2006/relationships/hyperlink" Target="https://play.wales/wp-content/uploads/2023/09/What-children-say-about-play-in-Wales-2022.pdf" TargetMode="External"/><Relationship Id="rId114" Type="http://schemas.openxmlformats.org/officeDocument/2006/relationships/hyperlink" Target="https://doi.org/10.1177/15248380231162967" TargetMode="External"/><Relationship Id="rId119" Type="http://schemas.openxmlformats.org/officeDocument/2006/relationships/hyperlink" Target="https://doi.org/10.1017/S1041610216002416" TargetMode="External"/><Relationship Id="rId44" Type="http://schemas.openxmlformats.org/officeDocument/2006/relationships/hyperlink" Target="https://doi.org/10.1186/s12889-017-4859-6" TargetMode="External"/><Relationship Id="rId60" Type="http://schemas.openxmlformats.org/officeDocument/2006/relationships/hyperlink" Target="https://phw.nhs.wales/news/childhood-adversity-linked-to-how-we-engage-with-healthcare-services/adverse-childhood-experiences-and-engagement-with-healthcare-services/" TargetMode="External"/><Relationship Id="rId65" Type="http://schemas.openxmlformats.org/officeDocument/2006/relationships/hyperlink" Target="https://www.careinspectorate.wales/241121-urgent-action-needed-improve-young-peoples-mental-health-support-wales" TargetMode="External"/><Relationship Id="rId81" Type="http://schemas.openxmlformats.org/officeDocument/2006/relationships/hyperlink" Target="https://www.legislation.gov.uk/anaw" TargetMode="External"/><Relationship Id="rId86" Type="http://schemas.openxmlformats.org/officeDocument/2006/relationships/hyperlink" Target="https://developingchild.harvard.edu/wp-content/uploads/2024/10/Building-Core-Capabilities-for-Life.pdf" TargetMode="External"/><Relationship Id="rId13" Type="http://schemas.openxmlformats.org/officeDocument/2006/relationships/hyperlink" Target="https://doi.org/10.1186/s12889-017-4142-x" TargetMode="External"/><Relationship Id="rId18" Type="http://schemas.openxmlformats.org/officeDocument/2006/relationships/hyperlink" Target="https://doi.org/10.1080/00207578.2023.2191681" TargetMode="External"/><Relationship Id="rId39" Type="http://schemas.openxmlformats.org/officeDocument/2006/relationships/hyperlink" Target="https://doi.org/10.1037/0893-3200.22.3.506" TargetMode="External"/><Relationship Id="rId109" Type="http://schemas.openxmlformats.org/officeDocument/2006/relationships/hyperlink" Target="https://doi.org/10.1186/s13063-023-07194-3" TargetMode="External"/><Relationship Id="rId34" Type="http://schemas.openxmlformats.org/officeDocument/2006/relationships/hyperlink" Target="https://doi.org/10.1177/0829573514540116" TargetMode="External"/><Relationship Id="rId50" Type="http://schemas.openxmlformats.org/officeDocument/2006/relationships/hyperlink" Target="https://doi.org/10.1016/j.pedn.2022.05.014" TargetMode="External"/><Relationship Id="rId55" Type="http://schemas.openxmlformats.org/officeDocument/2006/relationships/image" Target="media/image5.jpeg"/><Relationship Id="rId76" Type="http://schemas.openxmlformats.org/officeDocument/2006/relationships/hyperlink" Target="https://doi.org/10.4324/9781315815572" TargetMode="External"/><Relationship Id="rId97" Type="http://schemas.openxmlformats.org/officeDocument/2006/relationships/hyperlink" Target="https://doi.org/10.1017/S0954579400004156" TargetMode="External"/><Relationship Id="rId104" Type="http://schemas.openxmlformats.org/officeDocument/2006/relationships/hyperlink" Target="https://play.wales/play-policy-legislation/play-sufficiency/" TargetMode="External"/><Relationship Id="rId120" Type="http://schemas.openxmlformats.org/officeDocument/2006/relationships/hyperlink" Target="https://www.ncb.org.uk/sites/default/files/uploads/files/ncb_framework_for_promoting_well-being_and_responding_to_mental_health_in_schools_0.pdf%C2%A0" TargetMode="External"/><Relationship Id="rId125" Type="http://schemas.openxmlformats.org/officeDocument/2006/relationships/hyperlink" Target="https://doi.org/10.1080/09669760.2013.830562" TargetMode="External"/><Relationship Id="rId7" Type="http://schemas.openxmlformats.org/officeDocument/2006/relationships/endnotes" Target="endnotes.xml"/><Relationship Id="rId71" Type="http://schemas.openxmlformats.org/officeDocument/2006/relationships/hyperlink" Target="https://clybiauplantcymru.org/about-us/" TargetMode="External"/><Relationship Id="rId92" Type="http://schemas.openxmlformats.org/officeDocument/2006/relationships/hyperlink" Target="https://doi.org/10.1080/1350293X.2018.1522479" TargetMode="External"/><Relationship Id="rId2" Type="http://schemas.openxmlformats.org/officeDocument/2006/relationships/numbering" Target="numbering.xml"/><Relationship Id="rId29" Type="http://schemas.openxmlformats.org/officeDocument/2006/relationships/hyperlink" Target="https://doi.org/10.1139/h2012-063" TargetMode="External"/><Relationship Id="rId24" Type="http://schemas.openxmlformats.org/officeDocument/2006/relationships/hyperlink" Target="https://doi.org/10.1007/s12187-021-09860-x" TargetMode="External"/><Relationship Id="rId40" Type="http://schemas.openxmlformats.org/officeDocument/2006/relationships/hyperlink" Target="https://doi.org/10.1007/s42448-020-00054-6" TargetMode="External"/><Relationship Id="rId45" Type="http://schemas.openxmlformats.org/officeDocument/2006/relationships/hyperlink" Target="https://www.unicef.org/media/145336/file/Early_Childhood_Development_-_UNICEF_Vision_for_Every_Child.pdf" TargetMode="External"/><Relationship Id="rId66" Type="http://schemas.openxmlformats.org/officeDocument/2006/relationships/hyperlink" Target="https://www.careinspectorate.wales/sites/default/files/2022-10/221020-annual-Report-2021-22-EN.pdf" TargetMode="External"/><Relationship Id="rId87" Type="http://schemas.openxmlformats.org/officeDocument/2006/relationships/hyperlink" Target="https://doi.org/10.3390/ijerph21070870" TargetMode="External"/><Relationship Id="rId110" Type="http://schemas.openxmlformats.org/officeDocument/2006/relationships/hyperlink" Target="https://doi.org/10.1111/j.1939-0025.1987.tb03541.x" TargetMode="External"/><Relationship Id="rId115" Type="http://schemas.openxmlformats.org/officeDocument/2006/relationships/hyperlink" Target="https://doi.org/10.3389/feduc.2022.1088716" TargetMode="External"/><Relationship Id="rId61" Type="http://schemas.openxmlformats.org/officeDocument/2006/relationships/hyperlink" Target="https://doi.org/10.11647/OBP.0326" TargetMode="External"/><Relationship Id="rId82" Type="http://schemas.openxmlformats.org/officeDocument/2006/relationships/hyperlink" Target="https://www.legislation.gov.uk/anaw/2015/2/contents" TargetMode="External"/><Relationship Id="rId19" Type="http://schemas.openxmlformats.org/officeDocument/2006/relationships/hyperlink" Target="https://doi.org/10.1186/s12889-023-17588-2" TargetMode="External"/><Relationship Id="rId14" Type="http://schemas.openxmlformats.org/officeDocument/2006/relationships/hyperlink" Target="https://doi.org/10.26530/OAPEN_4" TargetMode="External"/><Relationship Id="rId30" Type="http://schemas.openxmlformats.org/officeDocument/2006/relationships/hyperlink" Target="https://doi.org/10.1037/h0054346" TargetMode="External"/><Relationship Id="rId35" Type="http://schemas.openxmlformats.org/officeDocument/2006/relationships/hyperlink" Target="https://www.pslhub.org/learn/improving-patient-safety/health-inequalities/the-dahlgren-whitehead-rainbow-1991-r5870/" TargetMode="External"/><Relationship Id="rId56" Type="http://schemas.openxmlformats.org/officeDocument/2006/relationships/image" Target="media/image6.jpeg"/><Relationship Id="rId77" Type="http://schemas.openxmlformats.org/officeDocument/2006/relationships/hyperlink" Target="https://doi.org/10.1016/S0749-3797(98)00017-8" TargetMode="External"/><Relationship Id="rId100" Type="http://schemas.openxmlformats.org/officeDocument/2006/relationships/hyperlink" Target="https://doi.org/10.1007/s10826-021-01932-4" TargetMode="External"/><Relationship Id="rId105" Type="http://schemas.openxmlformats.org/officeDocument/2006/relationships/hyperlink" Target="https://play.wales/wp-content/uploads/2024/11/The-Play-Sufficiency-Duty-and-the-roles-of-playworkers_2024.pdf" TargetMode="External"/><Relationship Id="rId12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doi.org/10.1038/s41598-021-03883-8" TargetMode="External"/><Relationship Id="rId72" Type="http://schemas.openxmlformats.org/officeDocument/2006/relationships/hyperlink" Target="https://doi.org/10.1037/pla0000154" TargetMode="External"/><Relationship Id="rId93" Type="http://schemas.openxmlformats.org/officeDocument/2006/relationships/hyperlink" Target="https://earlychildhoodmatters.online/wp-content/uploads/2019/05/ECM125-2016_Early-Childhood-Matters.pdf" TargetMode="External"/><Relationship Id="rId98" Type="http://schemas.openxmlformats.org/officeDocument/2006/relationships/hyperlink" Target="https://doi.org/10.1037/0003-066X.56.3.227" TargetMode="External"/><Relationship Id="rId121" Type="http://schemas.openxmlformats.org/officeDocument/2006/relationships/hyperlink" Target="https://www.gov.wales/sites/default/files/pdf-versions/2021/8/4/1628759389/wellbeing-wales-2020.pdf" TargetMode="External"/><Relationship Id="rId3" Type="http://schemas.openxmlformats.org/officeDocument/2006/relationships/styles" Target="styles.xml"/><Relationship Id="rId25" Type="http://schemas.openxmlformats.org/officeDocument/2006/relationships/hyperlink" Target="https://doi.org/10.1037/a0026339" TargetMode="External"/><Relationship Id="rId46" Type="http://schemas.openxmlformats.org/officeDocument/2006/relationships/hyperlink" Target="https://doi.org/10.1016/S0140-6736(11)60555-2" TargetMode="External"/><Relationship Id="rId67" Type="http://schemas.openxmlformats.org/officeDocument/2006/relationships/hyperlink" Target="https://doi.org/10.1017/S0954579417000244" TargetMode="External"/><Relationship Id="rId116" Type="http://schemas.openxmlformats.org/officeDocument/2006/relationships/hyperlink" Target="https://doi.org/10.1093/bjsw/bcl343" TargetMode="External"/><Relationship Id="rId20" Type="http://schemas.openxmlformats.org/officeDocument/2006/relationships/hyperlink" Target="https://www.academicpedsjnl.net/action/showPdf?pii=S1876-2859%2816%2930532-0" TargetMode="External"/><Relationship Id="rId41" Type="http://schemas.openxmlformats.org/officeDocument/2006/relationships/hyperlink" Target="file:///C:/Users/kater/Downloads/9824.pdf" TargetMode="External"/><Relationship Id="rId62" Type="http://schemas.openxmlformats.org/officeDocument/2006/relationships/hyperlink" Target="https://doi.org/10.1080/03004430.2019.1704283" TargetMode="External"/><Relationship Id="rId83" Type="http://schemas.openxmlformats.org/officeDocument/2006/relationships/hyperlink" Target="https://doi.org/10.1111/obr.13852" TargetMode="External"/><Relationship Id="rId88" Type="http://schemas.openxmlformats.org/officeDocument/2006/relationships/hyperlink" Target="https://doi.org/10.1186/s40359-024-02280-w" TargetMode="External"/><Relationship Id="rId111" Type="http://schemas.openxmlformats.org/officeDocument/2006/relationships/hyperlink" Target="https://doi.org/10.1017/CBO9780511752872.013" TargetMode="External"/><Relationship Id="rId15" Type="http://schemas.openxmlformats.org/officeDocument/2006/relationships/hyperlink" Target="https://doi.org/10.1057/9781137536495" TargetMode="External"/><Relationship Id="rId36" Type="http://schemas.openxmlformats.org/officeDocument/2006/relationships/hyperlink" Target="https://doi.org/10.1186/s12889-017-4849-8" TargetMode="External"/><Relationship Id="rId57" Type="http://schemas.openxmlformats.org/officeDocument/2006/relationships/image" Target="media/image7.png"/><Relationship Id="rId106" Type="http://schemas.openxmlformats.org/officeDocument/2006/relationships/hyperlink" Target="https://doi.org/10.1186/s40814-024-01491-7" TargetMode="External"/><Relationship Id="rId127"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hyperlink" Target="https://www.simplypsychology.org/maslow.html" TargetMode="External"/><Relationship Id="rId52" Type="http://schemas.openxmlformats.org/officeDocument/2006/relationships/hyperlink" Target="https://doi.org/10.1111/jpc.12171" TargetMode="External"/><Relationship Id="rId73" Type="http://schemas.openxmlformats.org/officeDocument/2006/relationships/hyperlink" Target="https://doi.org/10.1080/02643944.2022.2093955" TargetMode="External"/><Relationship Id="rId78" Type="http://schemas.openxmlformats.org/officeDocument/2006/relationships/hyperlink" Target="https://doi.org/10.1016/j.amepre.2019.04.001" TargetMode="External"/><Relationship Id="rId94" Type="http://schemas.openxmlformats.org/officeDocument/2006/relationships/hyperlink" Target="https://doi.org/10.33682/29xd-8cq5" TargetMode="External"/><Relationship Id="rId99" Type="http://schemas.openxmlformats.org/officeDocument/2006/relationships/hyperlink" Target="https://doi.org/10.1002/imhj.21916" TargetMode="External"/><Relationship Id="rId101" Type="http://schemas.openxmlformats.org/officeDocument/2006/relationships/hyperlink" Target="https://nyas.s3.eu-west-1.amazonaws.com/NewsCampaigns/News/2022/12/AtB%20Child%20Poverty%20Winter%202022%20English%20(4).pdf" TargetMode="External"/><Relationship Id="rId122" Type="http://schemas.openxmlformats.org/officeDocument/2006/relationships/hyperlink" Target="https://www.gov.wales/sites/default/files/publications/2024-03/early-childhood-play-learning-care-plan.pdf" TargetMode="Externa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7FDA61-E858-42F6-A78A-3B7C9A4D1B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23</Pages>
  <Words>6078</Words>
  <Characters>38783</Characters>
  <Application>Microsoft Office Word</Application>
  <DocSecurity>0</DocSecurity>
  <Lines>775</Lines>
  <Paragraphs>218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Rowlands</dc:creator>
  <cp:keywords/>
  <dc:description/>
  <cp:lastModifiedBy>Kate Rowlands</cp:lastModifiedBy>
  <cp:revision>3</cp:revision>
  <dcterms:created xsi:type="dcterms:W3CDTF">2025-01-14T20:17:00Z</dcterms:created>
  <dcterms:modified xsi:type="dcterms:W3CDTF">2025-01-14T20:19:00Z</dcterms:modified>
</cp:coreProperties>
</file>