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495CF9" w14:textId="77777777" w:rsidR="00B21063" w:rsidRPr="00BC5E5D" w:rsidRDefault="00B21063" w:rsidP="00BC5E5D">
      <w:pPr>
        <w:pStyle w:val="NoSpacing"/>
        <w:spacing w:line="360" w:lineRule="auto"/>
        <w:jc w:val="both"/>
        <w:rPr>
          <w:rFonts w:asciiTheme="minorBidi" w:hAnsiTheme="minorBidi"/>
          <w:sz w:val="22"/>
          <w:szCs w:val="22"/>
        </w:rPr>
      </w:pPr>
    </w:p>
    <w:p w14:paraId="21E9D3BA" w14:textId="4BFD06E8" w:rsidR="256F88E9" w:rsidRDefault="256F88E9" w:rsidP="256F88E9">
      <w:pPr>
        <w:pStyle w:val="NoSpacing"/>
        <w:spacing w:line="360" w:lineRule="auto"/>
        <w:jc w:val="both"/>
        <w:rPr>
          <w:rFonts w:asciiTheme="minorBidi" w:hAnsiTheme="minorBidi"/>
          <w:sz w:val="22"/>
          <w:szCs w:val="22"/>
        </w:rPr>
      </w:pPr>
    </w:p>
    <w:sdt>
      <w:sdtPr>
        <w:rPr>
          <w:rFonts w:asciiTheme="minorHAnsi" w:eastAsiaTheme="minorEastAsia" w:hAnsiTheme="minorHAnsi" w:cstheme="minorBidi"/>
          <w:color w:val="auto"/>
          <w:kern w:val="2"/>
          <w:sz w:val="24"/>
          <w:szCs w:val="24"/>
          <w:lang w:val="en-GB" w:eastAsia="zh-CN"/>
          <w14:ligatures w14:val="standardContextual"/>
        </w:rPr>
        <w:id w:val="-375086694"/>
        <w:docPartObj>
          <w:docPartGallery w:val="Table of Contents"/>
          <w:docPartUnique/>
        </w:docPartObj>
      </w:sdtPr>
      <w:sdtEndPr>
        <w:rPr>
          <w:b/>
          <w:bCs/>
          <w:noProof/>
        </w:rPr>
      </w:sdtEndPr>
      <w:sdtContent>
        <w:p w14:paraId="1A11BDD0" w14:textId="6FC5080C" w:rsidR="006D1F37" w:rsidRDefault="006D1F37">
          <w:pPr>
            <w:pStyle w:val="TOCHeading"/>
          </w:pPr>
          <w:r>
            <w:t>Contents</w:t>
          </w:r>
        </w:p>
        <w:p w14:paraId="1AFE61D2" w14:textId="41E8D277" w:rsidR="006D1F37" w:rsidRDefault="006D1F37">
          <w:pPr>
            <w:pStyle w:val="TOC1"/>
            <w:tabs>
              <w:tab w:val="left" w:pos="480"/>
              <w:tab w:val="right" w:leader="dot" w:pos="9016"/>
            </w:tabs>
            <w:rPr>
              <w:noProof/>
            </w:rPr>
          </w:pPr>
          <w:r>
            <w:fldChar w:fldCharType="begin"/>
          </w:r>
          <w:r>
            <w:instrText xml:space="preserve"> TOC \o "1-3" \h \z \u </w:instrText>
          </w:r>
          <w:r>
            <w:fldChar w:fldCharType="separate"/>
          </w:r>
          <w:hyperlink w:anchor="_Toc218504078" w:history="1">
            <w:r w:rsidRPr="00C71750">
              <w:rPr>
                <w:rStyle w:val="Hyperlink"/>
                <w:noProof/>
              </w:rPr>
              <w:t>2</w:t>
            </w:r>
            <w:r>
              <w:rPr>
                <w:noProof/>
              </w:rPr>
              <w:tab/>
            </w:r>
            <w:r w:rsidRPr="00C71750">
              <w:rPr>
                <w:rStyle w:val="Hyperlink"/>
                <w:noProof/>
              </w:rPr>
              <w:t>Introduction</w:t>
            </w:r>
            <w:r>
              <w:rPr>
                <w:noProof/>
                <w:webHidden/>
              </w:rPr>
              <w:tab/>
            </w:r>
            <w:r>
              <w:rPr>
                <w:noProof/>
                <w:webHidden/>
              </w:rPr>
              <w:fldChar w:fldCharType="begin"/>
            </w:r>
            <w:r>
              <w:rPr>
                <w:noProof/>
                <w:webHidden/>
              </w:rPr>
              <w:instrText xml:space="preserve"> PAGEREF _Toc218504078 \h </w:instrText>
            </w:r>
            <w:r>
              <w:rPr>
                <w:noProof/>
                <w:webHidden/>
              </w:rPr>
            </w:r>
            <w:r>
              <w:rPr>
                <w:noProof/>
                <w:webHidden/>
              </w:rPr>
              <w:fldChar w:fldCharType="separate"/>
            </w:r>
            <w:r>
              <w:rPr>
                <w:noProof/>
                <w:webHidden/>
              </w:rPr>
              <w:t>3</w:t>
            </w:r>
            <w:r>
              <w:rPr>
                <w:noProof/>
                <w:webHidden/>
              </w:rPr>
              <w:fldChar w:fldCharType="end"/>
            </w:r>
          </w:hyperlink>
        </w:p>
        <w:p w14:paraId="2BFB71E8" w14:textId="5461F512" w:rsidR="006D1F37" w:rsidRDefault="006D1F37">
          <w:pPr>
            <w:pStyle w:val="TOC2"/>
            <w:tabs>
              <w:tab w:val="left" w:pos="960"/>
              <w:tab w:val="right" w:leader="dot" w:pos="9016"/>
            </w:tabs>
            <w:rPr>
              <w:noProof/>
            </w:rPr>
          </w:pPr>
          <w:hyperlink w:anchor="_Toc218504079" w:history="1">
            <w:r w:rsidRPr="00C71750">
              <w:rPr>
                <w:rStyle w:val="Hyperlink"/>
                <w:rFonts w:asciiTheme="minorBidi" w:hAnsiTheme="minorBidi"/>
                <w:noProof/>
              </w:rPr>
              <w:t>2.1</w:t>
            </w:r>
            <w:r>
              <w:rPr>
                <w:noProof/>
              </w:rPr>
              <w:tab/>
            </w:r>
            <w:r w:rsidRPr="00C71750">
              <w:rPr>
                <w:rStyle w:val="Hyperlink"/>
                <w:noProof/>
              </w:rPr>
              <w:t>Historical background of e-learning</w:t>
            </w:r>
            <w:r>
              <w:rPr>
                <w:noProof/>
                <w:webHidden/>
              </w:rPr>
              <w:tab/>
            </w:r>
            <w:r>
              <w:rPr>
                <w:noProof/>
                <w:webHidden/>
              </w:rPr>
              <w:fldChar w:fldCharType="begin"/>
            </w:r>
            <w:r>
              <w:rPr>
                <w:noProof/>
                <w:webHidden/>
              </w:rPr>
              <w:instrText xml:space="preserve"> PAGEREF _Toc218504079 \h </w:instrText>
            </w:r>
            <w:r>
              <w:rPr>
                <w:noProof/>
                <w:webHidden/>
              </w:rPr>
            </w:r>
            <w:r>
              <w:rPr>
                <w:noProof/>
                <w:webHidden/>
              </w:rPr>
              <w:fldChar w:fldCharType="separate"/>
            </w:r>
            <w:r>
              <w:rPr>
                <w:noProof/>
                <w:webHidden/>
              </w:rPr>
              <w:t>3</w:t>
            </w:r>
            <w:r>
              <w:rPr>
                <w:noProof/>
                <w:webHidden/>
              </w:rPr>
              <w:fldChar w:fldCharType="end"/>
            </w:r>
          </w:hyperlink>
        </w:p>
        <w:p w14:paraId="684DA918" w14:textId="1F7E2F71" w:rsidR="006D1F37" w:rsidRDefault="006D1F37">
          <w:pPr>
            <w:pStyle w:val="TOC2"/>
            <w:tabs>
              <w:tab w:val="left" w:pos="960"/>
              <w:tab w:val="right" w:leader="dot" w:pos="9016"/>
            </w:tabs>
            <w:rPr>
              <w:noProof/>
            </w:rPr>
          </w:pPr>
          <w:hyperlink w:anchor="_Toc218504080" w:history="1">
            <w:r w:rsidRPr="00C71750">
              <w:rPr>
                <w:rStyle w:val="Hyperlink"/>
                <w:noProof/>
              </w:rPr>
              <w:t>2.2</w:t>
            </w:r>
            <w:r>
              <w:rPr>
                <w:noProof/>
              </w:rPr>
              <w:tab/>
            </w:r>
            <w:r w:rsidRPr="00C71750">
              <w:rPr>
                <w:rStyle w:val="Hyperlink"/>
                <w:noProof/>
              </w:rPr>
              <w:t>Before internet era</w:t>
            </w:r>
            <w:r>
              <w:rPr>
                <w:noProof/>
                <w:webHidden/>
              </w:rPr>
              <w:tab/>
            </w:r>
            <w:r>
              <w:rPr>
                <w:noProof/>
                <w:webHidden/>
              </w:rPr>
              <w:fldChar w:fldCharType="begin"/>
            </w:r>
            <w:r>
              <w:rPr>
                <w:noProof/>
                <w:webHidden/>
              </w:rPr>
              <w:instrText xml:space="preserve"> PAGEREF _Toc218504080 \h </w:instrText>
            </w:r>
            <w:r>
              <w:rPr>
                <w:noProof/>
                <w:webHidden/>
              </w:rPr>
            </w:r>
            <w:r>
              <w:rPr>
                <w:noProof/>
                <w:webHidden/>
              </w:rPr>
              <w:fldChar w:fldCharType="separate"/>
            </w:r>
            <w:r>
              <w:rPr>
                <w:noProof/>
                <w:webHidden/>
              </w:rPr>
              <w:t>3</w:t>
            </w:r>
            <w:r>
              <w:rPr>
                <w:noProof/>
                <w:webHidden/>
              </w:rPr>
              <w:fldChar w:fldCharType="end"/>
            </w:r>
          </w:hyperlink>
        </w:p>
        <w:p w14:paraId="065CF96E" w14:textId="52B61FAD" w:rsidR="006D1F37" w:rsidRDefault="006D1F37">
          <w:pPr>
            <w:pStyle w:val="TOC3"/>
            <w:tabs>
              <w:tab w:val="left" w:pos="1440"/>
              <w:tab w:val="right" w:leader="dot" w:pos="9016"/>
            </w:tabs>
            <w:rPr>
              <w:noProof/>
            </w:rPr>
          </w:pPr>
          <w:hyperlink w:anchor="_Toc218504081" w:history="1">
            <w:r w:rsidRPr="00C71750">
              <w:rPr>
                <w:rStyle w:val="Hyperlink"/>
                <w:noProof/>
              </w:rPr>
              <w:t>2.2.1</w:t>
            </w:r>
            <w:r>
              <w:rPr>
                <w:noProof/>
              </w:rPr>
              <w:tab/>
            </w:r>
            <w:r w:rsidRPr="00C71750">
              <w:rPr>
                <w:rStyle w:val="Hyperlink"/>
                <w:noProof/>
              </w:rPr>
              <w:t>Before 1950s</w:t>
            </w:r>
            <w:r>
              <w:rPr>
                <w:noProof/>
                <w:webHidden/>
              </w:rPr>
              <w:tab/>
            </w:r>
            <w:r>
              <w:rPr>
                <w:noProof/>
                <w:webHidden/>
              </w:rPr>
              <w:fldChar w:fldCharType="begin"/>
            </w:r>
            <w:r>
              <w:rPr>
                <w:noProof/>
                <w:webHidden/>
              </w:rPr>
              <w:instrText xml:space="preserve"> PAGEREF _Toc218504081 \h </w:instrText>
            </w:r>
            <w:r>
              <w:rPr>
                <w:noProof/>
                <w:webHidden/>
              </w:rPr>
            </w:r>
            <w:r>
              <w:rPr>
                <w:noProof/>
                <w:webHidden/>
              </w:rPr>
              <w:fldChar w:fldCharType="separate"/>
            </w:r>
            <w:r>
              <w:rPr>
                <w:noProof/>
                <w:webHidden/>
              </w:rPr>
              <w:t>3</w:t>
            </w:r>
            <w:r>
              <w:rPr>
                <w:noProof/>
                <w:webHidden/>
              </w:rPr>
              <w:fldChar w:fldCharType="end"/>
            </w:r>
          </w:hyperlink>
        </w:p>
        <w:p w14:paraId="37D9A02B" w14:textId="3F0CC76C" w:rsidR="006D1F37" w:rsidRDefault="006D1F37">
          <w:pPr>
            <w:pStyle w:val="TOC3"/>
            <w:tabs>
              <w:tab w:val="left" w:pos="1440"/>
              <w:tab w:val="right" w:leader="dot" w:pos="9016"/>
            </w:tabs>
            <w:rPr>
              <w:noProof/>
            </w:rPr>
          </w:pPr>
          <w:hyperlink w:anchor="_Toc218504082" w:history="1">
            <w:r w:rsidRPr="00C71750">
              <w:rPr>
                <w:rStyle w:val="Hyperlink"/>
                <w:noProof/>
              </w:rPr>
              <w:t>2.2.2</w:t>
            </w:r>
            <w:r>
              <w:rPr>
                <w:noProof/>
              </w:rPr>
              <w:tab/>
            </w:r>
            <w:r w:rsidRPr="00C71750">
              <w:rPr>
                <w:rStyle w:val="Hyperlink"/>
                <w:noProof/>
              </w:rPr>
              <w:t>E-learning between 1950 to 1960</w:t>
            </w:r>
            <w:r>
              <w:rPr>
                <w:noProof/>
                <w:webHidden/>
              </w:rPr>
              <w:tab/>
            </w:r>
            <w:r>
              <w:rPr>
                <w:noProof/>
                <w:webHidden/>
              </w:rPr>
              <w:fldChar w:fldCharType="begin"/>
            </w:r>
            <w:r>
              <w:rPr>
                <w:noProof/>
                <w:webHidden/>
              </w:rPr>
              <w:instrText xml:space="preserve"> PAGEREF _Toc218504082 \h </w:instrText>
            </w:r>
            <w:r>
              <w:rPr>
                <w:noProof/>
                <w:webHidden/>
              </w:rPr>
            </w:r>
            <w:r>
              <w:rPr>
                <w:noProof/>
                <w:webHidden/>
              </w:rPr>
              <w:fldChar w:fldCharType="separate"/>
            </w:r>
            <w:r>
              <w:rPr>
                <w:noProof/>
                <w:webHidden/>
              </w:rPr>
              <w:t>4</w:t>
            </w:r>
            <w:r>
              <w:rPr>
                <w:noProof/>
                <w:webHidden/>
              </w:rPr>
              <w:fldChar w:fldCharType="end"/>
            </w:r>
          </w:hyperlink>
        </w:p>
        <w:p w14:paraId="32E255BB" w14:textId="2CA031AE" w:rsidR="006D1F37" w:rsidRDefault="006D1F37">
          <w:pPr>
            <w:pStyle w:val="TOC3"/>
            <w:tabs>
              <w:tab w:val="left" w:pos="1440"/>
              <w:tab w:val="right" w:leader="dot" w:pos="9016"/>
            </w:tabs>
            <w:rPr>
              <w:noProof/>
            </w:rPr>
          </w:pPr>
          <w:hyperlink w:anchor="_Toc218504083" w:history="1">
            <w:r w:rsidRPr="00C71750">
              <w:rPr>
                <w:rStyle w:val="Hyperlink"/>
                <w:noProof/>
              </w:rPr>
              <w:t>2.2.3</w:t>
            </w:r>
            <w:r>
              <w:rPr>
                <w:noProof/>
              </w:rPr>
              <w:tab/>
            </w:r>
            <w:r w:rsidRPr="00C71750">
              <w:rPr>
                <w:rStyle w:val="Hyperlink"/>
                <w:noProof/>
              </w:rPr>
              <w:t>E-learning between 1961 to 1970</w:t>
            </w:r>
            <w:r>
              <w:rPr>
                <w:noProof/>
                <w:webHidden/>
              </w:rPr>
              <w:tab/>
            </w:r>
            <w:r>
              <w:rPr>
                <w:noProof/>
                <w:webHidden/>
              </w:rPr>
              <w:fldChar w:fldCharType="begin"/>
            </w:r>
            <w:r>
              <w:rPr>
                <w:noProof/>
                <w:webHidden/>
              </w:rPr>
              <w:instrText xml:space="preserve"> PAGEREF _Toc218504083 \h </w:instrText>
            </w:r>
            <w:r>
              <w:rPr>
                <w:noProof/>
                <w:webHidden/>
              </w:rPr>
            </w:r>
            <w:r>
              <w:rPr>
                <w:noProof/>
                <w:webHidden/>
              </w:rPr>
              <w:fldChar w:fldCharType="separate"/>
            </w:r>
            <w:r>
              <w:rPr>
                <w:noProof/>
                <w:webHidden/>
              </w:rPr>
              <w:t>5</w:t>
            </w:r>
            <w:r>
              <w:rPr>
                <w:noProof/>
                <w:webHidden/>
              </w:rPr>
              <w:fldChar w:fldCharType="end"/>
            </w:r>
          </w:hyperlink>
        </w:p>
        <w:p w14:paraId="2FFFC50B" w14:textId="19D6331C" w:rsidR="006D1F37" w:rsidRDefault="006D1F37">
          <w:pPr>
            <w:pStyle w:val="TOC3"/>
            <w:tabs>
              <w:tab w:val="left" w:pos="1440"/>
              <w:tab w:val="right" w:leader="dot" w:pos="9016"/>
            </w:tabs>
            <w:rPr>
              <w:noProof/>
            </w:rPr>
          </w:pPr>
          <w:hyperlink w:anchor="_Toc218504084" w:history="1">
            <w:r w:rsidRPr="00C71750">
              <w:rPr>
                <w:rStyle w:val="Hyperlink"/>
                <w:noProof/>
              </w:rPr>
              <w:t>2.2.4</w:t>
            </w:r>
            <w:r>
              <w:rPr>
                <w:noProof/>
              </w:rPr>
              <w:tab/>
            </w:r>
            <w:r w:rsidRPr="00C71750">
              <w:rPr>
                <w:rStyle w:val="Hyperlink"/>
                <w:noProof/>
              </w:rPr>
              <w:t>E-learning between  1970 and 1980</w:t>
            </w:r>
            <w:r>
              <w:rPr>
                <w:noProof/>
                <w:webHidden/>
              </w:rPr>
              <w:tab/>
            </w:r>
            <w:r>
              <w:rPr>
                <w:noProof/>
                <w:webHidden/>
              </w:rPr>
              <w:fldChar w:fldCharType="begin"/>
            </w:r>
            <w:r>
              <w:rPr>
                <w:noProof/>
                <w:webHidden/>
              </w:rPr>
              <w:instrText xml:space="preserve"> PAGEREF _Toc218504084 \h </w:instrText>
            </w:r>
            <w:r>
              <w:rPr>
                <w:noProof/>
                <w:webHidden/>
              </w:rPr>
            </w:r>
            <w:r>
              <w:rPr>
                <w:noProof/>
                <w:webHidden/>
              </w:rPr>
              <w:fldChar w:fldCharType="separate"/>
            </w:r>
            <w:r>
              <w:rPr>
                <w:noProof/>
                <w:webHidden/>
              </w:rPr>
              <w:t>7</w:t>
            </w:r>
            <w:r>
              <w:rPr>
                <w:noProof/>
                <w:webHidden/>
              </w:rPr>
              <w:fldChar w:fldCharType="end"/>
            </w:r>
          </w:hyperlink>
        </w:p>
        <w:p w14:paraId="0237163C" w14:textId="6B2A78D6" w:rsidR="006D1F37" w:rsidRDefault="006D1F37">
          <w:pPr>
            <w:pStyle w:val="TOC3"/>
            <w:tabs>
              <w:tab w:val="left" w:pos="1440"/>
              <w:tab w:val="right" w:leader="dot" w:pos="9016"/>
            </w:tabs>
            <w:rPr>
              <w:noProof/>
            </w:rPr>
          </w:pPr>
          <w:hyperlink w:anchor="_Toc218504085" w:history="1">
            <w:r w:rsidRPr="00C71750">
              <w:rPr>
                <w:rStyle w:val="Hyperlink"/>
                <w:noProof/>
              </w:rPr>
              <w:t>2.2.5</w:t>
            </w:r>
            <w:r>
              <w:rPr>
                <w:noProof/>
              </w:rPr>
              <w:tab/>
            </w:r>
            <w:r w:rsidRPr="00C71750">
              <w:rPr>
                <w:rStyle w:val="Hyperlink"/>
                <w:noProof/>
              </w:rPr>
              <w:t>E-learning between 1981 to 1990</w:t>
            </w:r>
            <w:r>
              <w:rPr>
                <w:noProof/>
                <w:webHidden/>
              </w:rPr>
              <w:tab/>
            </w:r>
            <w:r>
              <w:rPr>
                <w:noProof/>
                <w:webHidden/>
              </w:rPr>
              <w:fldChar w:fldCharType="begin"/>
            </w:r>
            <w:r>
              <w:rPr>
                <w:noProof/>
                <w:webHidden/>
              </w:rPr>
              <w:instrText xml:space="preserve"> PAGEREF _Toc218504085 \h </w:instrText>
            </w:r>
            <w:r>
              <w:rPr>
                <w:noProof/>
                <w:webHidden/>
              </w:rPr>
            </w:r>
            <w:r>
              <w:rPr>
                <w:noProof/>
                <w:webHidden/>
              </w:rPr>
              <w:fldChar w:fldCharType="separate"/>
            </w:r>
            <w:r>
              <w:rPr>
                <w:noProof/>
                <w:webHidden/>
              </w:rPr>
              <w:t>7</w:t>
            </w:r>
            <w:r>
              <w:rPr>
                <w:noProof/>
                <w:webHidden/>
              </w:rPr>
              <w:fldChar w:fldCharType="end"/>
            </w:r>
          </w:hyperlink>
        </w:p>
        <w:p w14:paraId="165CAA1B" w14:textId="3217B9E3" w:rsidR="006D1F37" w:rsidRDefault="006D1F37">
          <w:pPr>
            <w:pStyle w:val="TOC2"/>
            <w:tabs>
              <w:tab w:val="left" w:pos="960"/>
              <w:tab w:val="right" w:leader="dot" w:pos="9016"/>
            </w:tabs>
            <w:rPr>
              <w:noProof/>
            </w:rPr>
          </w:pPr>
          <w:hyperlink w:anchor="_Toc218504086" w:history="1">
            <w:r w:rsidRPr="00C71750">
              <w:rPr>
                <w:rStyle w:val="Hyperlink"/>
                <w:noProof/>
              </w:rPr>
              <w:t>2.3</w:t>
            </w:r>
            <w:r>
              <w:rPr>
                <w:noProof/>
              </w:rPr>
              <w:tab/>
            </w:r>
            <w:r w:rsidRPr="00C71750">
              <w:rPr>
                <w:rStyle w:val="Hyperlink"/>
                <w:noProof/>
              </w:rPr>
              <w:t>Internet era</w:t>
            </w:r>
            <w:r>
              <w:rPr>
                <w:noProof/>
                <w:webHidden/>
              </w:rPr>
              <w:tab/>
            </w:r>
            <w:r>
              <w:rPr>
                <w:noProof/>
                <w:webHidden/>
              </w:rPr>
              <w:fldChar w:fldCharType="begin"/>
            </w:r>
            <w:r>
              <w:rPr>
                <w:noProof/>
                <w:webHidden/>
              </w:rPr>
              <w:instrText xml:space="preserve"> PAGEREF _Toc218504086 \h </w:instrText>
            </w:r>
            <w:r>
              <w:rPr>
                <w:noProof/>
                <w:webHidden/>
              </w:rPr>
            </w:r>
            <w:r>
              <w:rPr>
                <w:noProof/>
                <w:webHidden/>
              </w:rPr>
              <w:fldChar w:fldCharType="separate"/>
            </w:r>
            <w:r>
              <w:rPr>
                <w:noProof/>
                <w:webHidden/>
              </w:rPr>
              <w:t>9</w:t>
            </w:r>
            <w:r>
              <w:rPr>
                <w:noProof/>
                <w:webHidden/>
              </w:rPr>
              <w:fldChar w:fldCharType="end"/>
            </w:r>
          </w:hyperlink>
        </w:p>
        <w:p w14:paraId="7BF68B06" w14:textId="4C8DE86F" w:rsidR="006D1F37" w:rsidRDefault="006D1F37">
          <w:pPr>
            <w:pStyle w:val="TOC2"/>
            <w:tabs>
              <w:tab w:val="left" w:pos="960"/>
              <w:tab w:val="right" w:leader="dot" w:pos="9016"/>
            </w:tabs>
            <w:rPr>
              <w:noProof/>
            </w:rPr>
          </w:pPr>
          <w:hyperlink w:anchor="_Toc218504087" w:history="1">
            <w:r w:rsidRPr="00C71750">
              <w:rPr>
                <w:rStyle w:val="Hyperlink"/>
                <w:noProof/>
              </w:rPr>
              <w:t>2.4</w:t>
            </w:r>
            <w:r>
              <w:rPr>
                <w:noProof/>
              </w:rPr>
              <w:tab/>
            </w:r>
            <w:r w:rsidRPr="00C71750">
              <w:rPr>
                <w:rStyle w:val="Hyperlink"/>
                <w:noProof/>
              </w:rPr>
              <w:t>E-learning After Covid pandemic</w:t>
            </w:r>
            <w:r>
              <w:rPr>
                <w:noProof/>
                <w:webHidden/>
              </w:rPr>
              <w:tab/>
            </w:r>
            <w:r>
              <w:rPr>
                <w:noProof/>
                <w:webHidden/>
              </w:rPr>
              <w:fldChar w:fldCharType="begin"/>
            </w:r>
            <w:r>
              <w:rPr>
                <w:noProof/>
                <w:webHidden/>
              </w:rPr>
              <w:instrText xml:space="preserve"> PAGEREF _Toc218504087 \h </w:instrText>
            </w:r>
            <w:r>
              <w:rPr>
                <w:noProof/>
                <w:webHidden/>
              </w:rPr>
            </w:r>
            <w:r>
              <w:rPr>
                <w:noProof/>
                <w:webHidden/>
              </w:rPr>
              <w:fldChar w:fldCharType="separate"/>
            </w:r>
            <w:r>
              <w:rPr>
                <w:noProof/>
                <w:webHidden/>
              </w:rPr>
              <w:t>12</w:t>
            </w:r>
            <w:r>
              <w:rPr>
                <w:noProof/>
                <w:webHidden/>
              </w:rPr>
              <w:fldChar w:fldCharType="end"/>
            </w:r>
          </w:hyperlink>
        </w:p>
        <w:p w14:paraId="3C406562" w14:textId="4D6B6ADA" w:rsidR="006D1F37" w:rsidRDefault="006D1F37">
          <w:pPr>
            <w:pStyle w:val="TOC2"/>
            <w:tabs>
              <w:tab w:val="left" w:pos="960"/>
              <w:tab w:val="right" w:leader="dot" w:pos="9016"/>
            </w:tabs>
            <w:rPr>
              <w:noProof/>
            </w:rPr>
          </w:pPr>
          <w:hyperlink w:anchor="_Toc218504088" w:history="1">
            <w:r w:rsidRPr="00C71750">
              <w:rPr>
                <w:rStyle w:val="Hyperlink"/>
                <w:noProof/>
              </w:rPr>
              <w:t>2.5</w:t>
            </w:r>
            <w:r>
              <w:rPr>
                <w:noProof/>
              </w:rPr>
              <w:tab/>
            </w:r>
            <w:r w:rsidRPr="00C71750">
              <w:rPr>
                <w:rStyle w:val="Hyperlink"/>
                <w:noProof/>
              </w:rPr>
              <w:t>Conceptualisation of e-learning</w:t>
            </w:r>
            <w:r>
              <w:rPr>
                <w:noProof/>
                <w:webHidden/>
              </w:rPr>
              <w:tab/>
            </w:r>
            <w:r>
              <w:rPr>
                <w:noProof/>
                <w:webHidden/>
              </w:rPr>
              <w:fldChar w:fldCharType="begin"/>
            </w:r>
            <w:r>
              <w:rPr>
                <w:noProof/>
                <w:webHidden/>
              </w:rPr>
              <w:instrText xml:space="preserve"> PAGEREF _Toc218504088 \h </w:instrText>
            </w:r>
            <w:r>
              <w:rPr>
                <w:noProof/>
                <w:webHidden/>
              </w:rPr>
            </w:r>
            <w:r>
              <w:rPr>
                <w:noProof/>
                <w:webHidden/>
              </w:rPr>
              <w:fldChar w:fldCharType="separate"/>
            </w:r>
            <w:r>
              <w:rPr>
                <w:noProof/>
                <w:webHidden/>
              </w:rPr>
              <w:t>14</w:t>
            </w:r>
            <w:r>
              <w:rPr>
                <w:noProof/>
                <w:webHidden/>
              </w:rPr>
              <w:fldChar w:fldCharType="end"/>
            </w:r>
          </w:hyperlink>
        </w:p>
        <w:p w14:paraId="0D7E325A" w14:textId="689779D2" w:rsidR="006D1F37" w:rsidRDefault="006D1F37">
          <w:pPr>
            <w:pStyle w:val="TOC3"/>
            <w:tabs>
              <w:tab w:val="left" w:pos="1440"/>
              <w:tab w:val="right" w:leader="dot" w:pos="9016"/>
            </w:tabs>
            <w:rPr>
              <w:noProof/>
            </w:rPr>
          </w:pPr>
          <w:hyperlink w:anchor="_Toc218504089" w:history="1">
            <w:r w:rsidRPr="00C71750">
              <w:rPr>
                <w:rStyle w:val="Hyperlink"/>
                <w:noProof/>
              </w:rPr>
              <w:t>2.5.1</w:t>
            </w:r>
            <w:r>
              <w:rPr>
                <w:noProof/>
              </w:rPr>
              <w:tab/>
            </w:r>
            <w:r w:rsidRPr="00C71750">
              <w:rPr>
                <w:rStyle w:val="Hyperlink"/>
                <w:noProof/>
              </w:rPr>
              <w:t>Early definitions of e-learning</w:t>
            </w:r>
            <w:r>
              <w:rPr>
                <w:noProof/>
                <w:webHidden/>
              </w:rPr>
              <w:tab/>
            </w:r>
            <w:r>
              <w:rPr>
                <w:noProof/>
                <w:webHidden/>
              </w:rPr>
              <w:fldChar w:fldCharType="begin"/>
            </w:r>
            <w:r>
              <w:rPr>
                <w:noProof/>
                <w:webHidden/>
              </w:rPr>
              <w:instrText xml:space="preserve"> PAGEREF _Toc218504089 \h </w:instrText>
            </w:r>
            <w:r>
              <w:rPr>
                <w:noProof/>
                <w:webHidden/>
              </w:rPr>
            </w:r>
            <w:r>
              <w:rPr>
                <w:noProof/>
                <w:webHidden/>
              </w:rPr>
              <w:fldChar w:fldCharType="separate"/>
            </w:r>
            <w:r>
              <w:rPr>
                <w:noProof/>
                <w:webHidden/>
              </w:rPr>
              <w:t>15</w:t>
            </w:r>
            <w:r>
              <w:rPr>
                <w:noProof/>
                <w:webHidden/>
              </w:rPr>
              <w:fldChar w:fldCharType="end"/>
            </w:r>
          </w:hyperlink>
        </w:p>
        <w:p w14:paraId="3D5E60B1" w14:textId="49D100B1" w:rsidR="006D1F37" w:rsidRDefault="006D1F37">
          <w:pPr>
            <w:pStyle w:val="TOC3"/>
            <w:tabs>
              <w:tab w:val="left" w:pos="1440"/>
              <w:tab w:val="right" w:leader="dot" w:pos="9016"/>
            </w:tabs>
            <w:rPr>
              <w:noProof/>
            </w:rPr>
          </w:pPr>
          <w:hyperlink w:anchor="_Toc218504090" w:history="1">
            <w:r w:rsidRPr="00C71750">
              <w:rPr>
                <w:rStyle w:val="Hyperlink"/>
                <w:noProof/>
              </w:rPr>
              <w:t>2.5.2</w:t>
            </w:r>
            <w:r>
              <w:rPr>
                <w:noProof/>
              </w:rPr>
              <w:tab/>
            </w:r>
            <w:r w:rsidRPr="00C71750">
              <w:rPr>
                <w:rStyle w:val="Hyperlink"/>
                <w:noProof/>
              </w:rPr>
              <w:t>E-learning definitions Between 2010 and 2020</w:t>
            </w:r>
            <w:r>
              <w:rPr>
                <w:noProof/>
                <w:webHidden/>
              </w:rPr>
              <w:tab/>
            </w:r>
            <w:r>
              <w:rPr>
                <w:noProof/>
                <w:webHidden/>
              </w:rPr>
              <w:fldChar w:fldCharType="begin"/>
            </w:r>
            <w:r>
              <w:rPr>
                <w:noProof/>
                <w:webHidden/>
              </w:rPr>
              <w:instrText xml:space="preserve"> PAGEREF _Toc218504090 \h </w:instrText>
            </w:r>
            <w:r>
              <w:rPr>
                <w:noProof/>
                <w:webHidden/>
              </w:rPr>
            </w:r>
            <w:r>
              <w:rPr>
                <w:noProof/>
                <w:webHidden/>
              </w:rPr>
              <w:fldChar w:fldCharType="separate"/>
            </w:r>
            <w:r>
              <w:rPr>
                <w:noProof/>
                <w:webHidden/>
              </w:rPr>
              <w:t>16</w:t>
            </w:r>
            <w:r>
              <w:rPr>
                <w:noProof/>
                <w:webHidden/>
              </w:rPr>
              <w:fldChar w:fldCharType="end"/>
            </w:r>
          </w:hyperlink>
        </w:p>
        <w:p w14:paraId="68B03067" w14:textId="14F23D25" w:rsidR="006D1F37" w:rsidRDefault="006D1F37">
          <w:pPr>
            <w:pStyle w:val="TOC3"/>
            <w:tabs>
              <w:tab w:val="left" w:pos="1440"/>
              <w:tab w:val="right" w:leader="dot" w:pos="9016"/>
            </w:tabs>
            <w:rPr>
              <w:noProof/>
            </w:rPr>
          </w:pPr>
          <w:hyperlink w:anchor="_Toc218504091" w:history="1">
            <w:r w:rsidRPr="00C71750">
              <w:rPr>
                <w:rStyle w:val="Hyperlink"/>
                <w:noProof/>
              </w:rPr>
              <w:t>2.5.3</w:t>
            </w:r>
            <w:r>
              <w:rPr>
                <w:noProof/>
              </w:rPr>
              <w:tab/>
            </w:r>
            <w:r w:rsidRPr="00C71750">
              <w:rPr>
                <w:rStyle w:val="Hyperlink"/>
                <w:noProof/>
              </w:rPr>
              <w:t>E-Learning Definitions (After Covid Pandemic)</w:t>
            </w:r>
            <w:r>
              <w:rPr>
                <w:noProof/>
                <w:webHidden/>
              </w:rPr>
              <w:tab/>
            </w:r>
            <w:r>
              <w:rPr>
                <w:noProof/>
                <w:webHidden/>
              </w:rPr>
              <w:fldChar w:fldCharType="begin"/>
            </w:r>
            <w:r>
              <w:rPr>
                <w:noProof/>
                <w:webHidden/>
              </w:rPr>
              <w:instrText xml:space="preserve"> PAGEREF _Toc218504091 \h </w:instrText>
            </w:r>
            <w:r>
              <w:rPr>
                <w:noProof/>
                <w:webHidden/>
              </w:rPr>
            </w:r>
            <w:r>
              <w:rPr>
                <w:noProof/>
                <w:webHidden/>
              </w:rPr>
              <w:fldChar w:fldCharType="separate"/>
            </w:r>
            <w:r>
              <w:rPr>
                <w:noProof/>
                <w:webHidden/>
              </w:rPr>
              <w:t>19</w:t>
            </w:r>
            <w:r>
              <w:rPr>
                <w:noProof/>
                <w:webHidden/>
              </w:rPr>
              <w:fldChar w:fldCharType="end"/>
            </w:r>
          </w:hyperlink>
        </w:p>
        <w:p w14:paraId="4A3DD1E8" w14:textId="76614473" w:rsidR="006D1F37" w:rsidRDefault="006D1F37">
          <w:pPr>
            <w:pStyle w:val="TOC2"/>
            <w:tabs>
              <w:tab w:val="left" w:pos="960"/>
              <w:tab w:val="right" w:leader="dot" w:pos="9016"/>
            </w:tabs>
            <w:rPr>
              <w:noProof/>
            </w:rPr>
          </w:pPr>
          <w:hyperlink w:anchor="_Toc218504092" w:history="1">
            <w:r w:rsidRPr="00C71750">
              <w:rPr>
                <w:rStyle w:val="Hyperlink"/>
                <w:noProof/>
              </w:rPr>
              <w:t>2.6</w:t>
            </w:r>
            <w:r>
              <w:rPr>
                <w:noProof/>
              </w:rPr>
              <w:tab/>
            </w:r>
            <w:r w:rsidRPr="00C71750">
              <w:rPr>
                <w:rStyle w:val="Hyperlink"/>
                <w:noProof/>
              </w:rPr>
              <w:t>E-learning theoretical background</w:t>
            </w:r>
            <w:r>
              <w:rPr>
                <w:noProof/>
                <w:webHidden/>
              </w:rPr>
              <w:tab/>
            </w:r>
            <w:r>
              <w:rPr>
                <w:noProof/>
                <w:webHidden/>
              </w:rPr>
              <w:fldChar w:fldCharType="begin"/>
            </w:r>
            <w:r>
              <w:rPr>
                <w:noProof/>
                <w:webHidden/>
              </w:rPr>
              <w:instrText xml:space="preserve"> PAGEREF _Toc218504092 \h </w:instrText>
            </w:r>
            <w:r>
              <w:rPr>
                <w:noProof/>
                <w:webHidden/>
              </w:rPr>
            </w:r>
            <w:r>
              <w:rPr>
                <w:noProof/>
                <w:webHidden/>
              </w:rPr>
              <w:fldChar w:fldCharType="separate"/>
            </w:r>
            <w:r>
              <w:rPr>
                <w:noProof/>
                <w:webHidden/>
              </w:rPr>
              <w:t>24</w:t>
            </w:r>
            <w:r>
              <w:rPr>
                <w:noProof/>
                <w:webHidden/>
              </w:rPr>
              <w:fldChar w:fldCharType="end"/>
            </w:r>
          </w:hyperlink>
        </w:p>
        <w:p w14:paraId="40AAA01A" w14:textId="6C6325E1" w:rsidR="006D1F37" w:rsidRDefault="006D1F37">
          <w:pPr>
            <w:pStyle w:val="TOC3"/>
            <w:tabs>
              <w:tab w:val="left" w:pos="1440"/>
              <w:tab w:val="right" w:leader="dot" w:pos="9016"/>
            </w:tabs>
            <w:rPr>
              <w:noProof/>
            </w:rPr>
          </w:pPr>
          <w:hyperlink w:anchor="_Toc218504093" w:history="1">
            <w:r w:rsidRPr="00C71750">
              <w:rPr>
                <w:rStyle w:val="Hyperlink"/>
                <w:noProof/>
              </w:rPr>
              <w:t>2.6.1</w:t>
            </w:r>
            <w:r>
              <w:rPr>
                <w:noProof/>
              </w:rPr>
              <w:tab/>
            </w:r>
            <w:r w:rsidRPr="00C71750">
              <w:rPr>
                <w:rStyle w:val="Hyperlink"/>
                <w:noProof/>
              </w:rPr>
              <w:t>Learning theories</w:t>
            </w:r>
            <w:r>
              <w:rPr>
                <w:noProof/>
                <w:webHidden/>
              </w:rPr>
              <w:tab/>
            </w:r>
            <w:r>
              <w:rPr>
                <w:noProof/>
                <w:webHidden/>
              </w:rPr>
              <w:fldChar w:fldCharType="begin"/>
            </w:r>
            <w:r>
              <w:rPr>
                <w:noProof/>
                <w:webHidden/>
              </w:rPr>
              <w:instrText xml:space="preserve"> PAGEREF _Toc218504093 \h </w:instrText>
            </w:r>
            <w:r>
              <w:rPr>
                <w:noProof/>
                <w:webHidden/>
              </w:rPr>
            </w:r>
            <w:r>
              <w:rPr>
                <w:noProof/>
                <w:webHidden/>
              </w:rPr>
              <w:fldChar w:fldCharType="separate"/>
            </w:r>
            <w:r>
              <w:rPr>
                <w:noProof/>
                <w:webHidden/>
              </w:rPr>
              <w:t>24</w:t>
            </w:r>
            <w:r>
              <w:rPr>
                <w:noProof/>
                <w:webHidden/>
              </w:rPr>
              <w:fldChar w:fldCharType="end"/>
            </w:r>
          </w:hyperlink>
        </w:p>
        <w:p w14:paraId="6CCCD1B8" w14:textId="51AD5506" w:rsidR="006D1F37" w:rsidRDefault="006D1F37">
          <w:pPr>
            <w:pStyle w:val="TOC3"/>
            <w:tabs>
              <w:tab w:val="left" w:pos="1440"/>
              <w:tab w:val="right" w:leader="dot" w:pos="9016"/>
            </w:tabs>
            <w:rPr>
              <w:noProof/>
            </w:rPr>
          </w:pPr>
          <w:hyperlink w:anchor="_Toc218504094" w:history="1">
            <w:r w:rsidRPr="00C71750">
              <w:rPr>
                <w:rStyle w:val="Hyperlink"/>
                <w:noProof/>
              </w:rPr>
              <w:t>2.6.2</w:t>
            </w:r>
            <w:r>
              <w:rPr>
                <w:noProof/>
              </w:rPr>
              <w:tab/>
            </w:r>
            <w:r w:rsidRPr="00C71750">
              <w:rPr>
                <w:rStyle w:val="Hyperlink"/>
                <w:noProof/>
              </w:rPr>
              <w:t>Technology adoption theories</w:t>
            </w:r>
            <w:r>
              <w:rPr>
                <w:noProof/>
                <w:webHidden/>
              </w:rPr>
              <w:tab/>
            </w:r>
            <w:r>
              <w:rPr>
                <w:noProof/>
                <w:webHidden/>
              </w:rPr>
              <w:fldChar w:fldCharType="begin"/>
            </w:r>
            <w:r>
              <w:rPr>
                <w:noProof/>
                <w:webHidden/>
              </w:rPr>
              <w:instrText xml:space="preserve"> PAGEREF _Toc218504094 \h </w:instrText>
            </w:r>
            <w:r>
              <w:rPr>
                <w:noProof/>
                <w:webHidden/>
              </w:rPr>
            </w:r>
            <w:r>
              <w:rPr>
                <w:noProof/>
                <w:webHidden/>
              </w:rPr>
              <w:fldChar w:fldCharType="separate"/>
            </w:r>
            <w:r>
              <w:rPr>
                <w:noProof/>
                <w:webHidden/>
              </w:rPr>
              <w:t>25</w:t>
            </w:r>
            <w:r>
              <w:rPr>
                <w:noProof/>
                <w:webHidden/>
              </w:rPr>
              <w:fldChar w:fldCharType="end"/>
            </w:r>
          </w:hyperlink>
        </w:p>
        <w:p w14:paraId="08967C9A" w14:textId="7E53A3C0" w:rsidR="006D1F37" w:rsidRDefault="006D1F37">
          <w:pPr>
            <w:pStyle w:val="TOC3"/>
            <w:tabs>
              <w:tab w:val="left" w:pos="1440"/>
              <w:tab w:val="right" w:leader="dot" w:pos="9016"/>
            </w:tabs>
            <w:rPr>
              <w:noProof/>
            </w:rPr>
          </w:pPr>
          <w:hyperlink w:anchor="_Toc218504095" w:history="1">
            <w:r w:rsidRPr="00C71750">
              <w:rPr>
                <w:rStyle w:val="Hyperlink"/>
                <w:noProof/>
              </w:rPr>
              <w:t>2.6.3</w:t>
            </w:r>
            <w:r>
              <w:rPr>
                <w:noProof/>
              </w:rPr>
              <w:tab/>
            </w:r>
            <w:r w:rsidRPr="00C71750">
              <w:rPr>
                <w:rStyle w:val="Hyperlink"/>
                <w:noProof/>
              </w:rPr>
              <w:t>Organisational and Institutional Theories</w:t>
            </w:r>
            <w:r>
              <w:rPr>
                <w:noProof/>
                <w:webHidden/>
              </w:rPr>
              <w:tab/>
            </w:r>
            <w:r>
              <w:rPr>
                <w:noProof/>
                <w:webHidden/>
              </w:rPr>
              <w:fldChar w:fldCharType="begin"/>
            </w:r>
            <w:r>
              <w:rPr>
                <w:noProof/>
                <w:webHidden/>
              </w:rPr>
              <w:instrText xml:space="preserve"> PAGEREF _Toc218504095 \h </w:instrText>
            </w:r>
            <w:r>
              <w:rPr>
                <w:noProof/>
                <w:webHidden/>
              </w:rPr>
            </w:r>
            <w:r>
              <w:rPr>
                <w:noProof/>
                <w:webHidden/>
              </w:rPr>
              <w:fldChar w:fldCharType="separate"/>
            </w:r>
            <w:r>
              <w:rPr>
                <w:noProof/>
                <w:webHidden/>
              </w:rPr>
              <w:t>27</w:t>
            </w:r>
            <w:r>
              <w:rPr>
                <w:noProof/>
                <w:webHidden/>
              </w:rPr>
              <w:fldChar w:fldCharType="end"/>
            </w:r>
          </w:hyperlink>
        </w:p>
        <w:p w14:paraId="1036E40F" w14:textId="39085511" w:rsidR="006D1F37" w:rsidRDefault="006D1F37">
          <w:pPr>
            <w:pStyle w:val="TOC2"/>
            <w:tabs>
              <w:tab w:val="left" w:pos="960"/>
              <w:tab w:val="right" w:leader="dot" w:pos="9016"/>
            </w:tabs>
            <w:rPr>
              <w:noProof/>
            </w:rPr>
          </w:pPr>
          <w:hyperlink w:anchor="_Toc218504096" w:history="1">
            <w:r w:rsidRPr="00C71750">
              <w:rPr>
                <w:rStyle w:val="Hyperlink"/>
                <w:noProof/>
              </w:rPr>
              <w:t>2.7</w:t>
            </w:r>
            <w:r>
              <w:rPr>
                <w:noProof/>
              </w:rPr>
              <w:tab/>
            </w:r>
            <w:r w:rsidRPr="00C71750">
              <w:rPr>
                <w:rStyle w:val="Hyperlink"/>
                <w:noProof/>
              </w:rPr>
              <w:t>Summary of Theoretical Frameworks Underpinning eLearning Adoption for CPD</w:t>
            </w:r>
            <w:r>
              <w:rPr>
                <w:noProof/>
                <w:webHidden/>
              </w:rPr>
              <w:tab/>
            </w:r>
            <w:r>
              <w:rPr>
                <w:noProof/>
                <w:webHidden/>
              </w:rPr>
              <w:fldChar w:fldCharType="begin"/>
            </w:r>
            <w:r>
              <w:rPr>
                <w:noProof/>
                <w:webHidden/>
              </w:rPr>
              <w:instrText xml:space="preserve"> PAGEREF _Toc218504096 \h </w:instrText>
            </w:r>
            <w:r>
              <w:rPr>
                <w:noProof/>
                <w:webHidden/>
              </w:rPr>
            </w:r>
            <w:r>
              <w:rPr>
                <w:noProof/>
                <w:webHidden/>
              </w:rPr>
              <w:fldChar w:fldCharType="separate"/>
            </w:r>
            <w:r>
              <w:rPr>
                <w:noProof/>
                <w:webHidden/>
              </w:rPr>
              <w:t>31</w:t>
            </w:r>
            <w:r>
              <w:rPr>
                <w:noProof/>
                <w:webHidden/>
              </w:rPr>
              <w:fldChar w:fldCharType="end"/>
            </w:r>
          </w:hyperlink>
        </w:p>
        <w:p w14:paraId="24D7CB33" w14:textId="12011709" w:rsidR="006D1F37" w:rsidRDefault="006D1F37">
          <w:pPr>
            <w:pStyle w:val="TOC2"/>
            <w:tabs>
              <w:tab w:val="left" w:pos="960"/>
              <w:tab w:val="right" w:leader="dot" w:pos="9016"/>
            </w:tabs>
            <w:rPr>
              <w:noProof/>
            </w:rPr>
          </w:pPr>
          <w:hyperlink w:anchor="_Toc218504097" w:history="1">
            <w:r w:rsidRPr="00C71750">
              <w:rPr>
                <w:rStyle w:val="Hyperlink"/>
                <w:noProof/>
              </w:rPr>
              <w:t>2.8</w:t>
            </w:r>
            <w:r>
              <w:rPr>
                <w:noProof/>
              </w:rPr>
              <w:tab/>
            </w:r>
            <w:r w:rsidRPr="00C71750">
              <w:rPr>
                <w:rStyle w:val="Hyperlink"/>
                <w:noProof/>
              </w:rPr>
              <w:t>Continuous professional development (CPD)</w:t>
            </w:r>
            <w:r>
              <w:rPr>
                <w:noProof/>
                <w:webHidden/>
              </w:rPr>
              <w:tab/>
            </w:r>
            <w:r>
              <w:rPr>
                <w:noProof/>
                <w:webHidden/>
              </w:rPr>
              <w:fldChar w:fldCharType="begin"/>
            </w:r>
            <w:r>
              <w:rPr>
                <w:noProof/>
                <w:webHidden/>
              </w:rPr>
              <w:instrText xml:space="preserve"> PAGEREF _Toc218504097 \h </w:instrText>
            </w:r>
            <w:r>
              <w:rPr>
                <w:noProof/>
                <w:webHidden/>
              </w:rPr>
            </w:r>
            <w:r>
              <w:rPr>
                <w:noProof/>
                <w:webHidden/>
              </w:rPr>
              <w:fldChar w:fldCharType="separate"/>
            </w:r>
            <w:r>
              <w:rPr>
                <w:noProof/>
                <w:webHidden/>
              </w:rPr>
              <w:t>34</w:t>
            </w:r>
            <w:r>
              <w:rPr>
                <w:noProof/>
                <w:webHidden/>
              </w:rPr>
              <w:fldChar w:fldCharType="end"/>
            </w:r>
          </w:hyperlink>
        </w:p>
        <w:p w14:paraId="059B1C67" w14:textId="1D638D43" w:rsidR="006D1F37" w:rsidRDefault="006D1F37">
          <w:pPr>
            <w:pStyle w:val="TOC3"/>
            <w:tabs>
              <w:tab w:val="left" w:pos="1440"/>
              <w:tab w:val="right" w:leader="dot" w:pos="9016"/>
            </w:tabs>
            <w:rPr>
              <w:noProof/>
            </w:rPr>
          </w:pPr>
          <w:hyperlink w:anchor="_Toc218504098" w:history="1">
            <w:r w:rsidRPr="00C71750">
              <w:rPr>
                <w:rStyle w:val="Hyperlink"/>
                <w:noProof/>
              </w:rPr>
              <w:t>2.8.1</w:t>
            </w:r>
            <w:r>
              <w:rPr>
                <w:noProof/>
              </w:rPr>
              <w:tab/>
            </w:r>
            <w:r w:rsidRPr="00C71750">
              <w:rPr>
                <w:rStyle w:val="Hyperlink"/>
                <w:noProof/>
              </w:rPr>
              <w:t>Conceptualisations and models of CPD</w:t>
            </w:r>
            <w:r>
              <w:rPr>
                <w:noProof/>
                <w:webHidden/>
              </w:rPr>
              <w:tab/>
            </w:r>
            <w:r>
              <w:rPr>
                <w:noProof/>
                <w:webHidden/>
              </w:rPr>
              <w:fldChar w:fldCharType="begin"/>
            </w:r>
            <w:r>
              <w:rPr>
                <w:noProof/>
                <w:webHidden/>
              </w:rPr>
              <w:instrText xml:space="preserve"> PAGEREF _Toc218504098 \h </w:instrText>
            </w:r>
            <w:r>
              <w:rPr>
                <w:noProof/>
                <w:webHidden/>
              </w:rPr>
            </w:r>
            <w:r>
              <w:rPr>
                <w:noProof/>
                <w:webHidden/>
              </w:rPr>
              <w:fldChar w:fldCharType="separate"/>
            </w:r>
            <w:r>
              <w:rPr>
                <w:noProof/>
                <w:webHidden/>
              </w:rPr>
              <w:t>35</w:t>
            </w:r>
            <w:r>
              <w:rPr>
                <w:noProof/>
                <w:webHidden/>
              </w:rPr>
              <w:fldChar w:fldCharType="end"/>
            </w:r>
          </w:hyperlink>
        </w:p>
        <w:p w14:paraId="2A9D49BA" w14:textId="1954CF5E" w:rsidR="006D1F37" w:rsidRDefault="006D1F37">
          <w:pPr>
            <w:pStyle w:val="TOC3"/>
            <w:tabs>
              <w:tab w:val="left" w:pos="1440"/>
              <w:tab w:val="right" w:leader="dot" w:pos="9016"/>
            </w:tabs>
            <w:rPr>
              <w:noProof/>
            </w:rPr>
          </w:pPr>
          <w:hyperlink w:anchor="_Toc218504099" w:history="1">
            <w:r w:rsidRPr="00C71750">
              <w:rPr>
                <w:rStyle w:val="Hyperlink"/>
                <w:noProof/>
              </w:rPr>
              <w:t>2.8.2</w:t>
            </w:r>
            <w:r>
              <w:rPr>
                <w:noProof/>
              </w:rPr>
              <w:tab/>
            </w:r>
            <w:r w:rsidRPr="00C71750">
              <w:rPr>
                <w:rStyle w:val="Hyperlink"/>
                <w:noProof/>
              </w:rPr>
              <w:t>CPD as part of lifelong learning and organisational strategy</w:t>
            </w:r>
            <w:r>
              <w:rPr>
                <w:noProof/>
                <w:webHidden/>
              </w:rPr>
              <w:tab/>
            </w:r>
            <w:r>
              <w:rPr>
                <w:noProof/>
                <w:webHidden/>
              </w:rPr>
              <w:fldChar w:fldCharType="begin"/>
            </w:r>
            <w:r>
              <w:rPr>
                <w:noProof/>
                <w:webHidden/>
              </w:rPr>
              <w:instrText xml:space="preserve"> PAGEREF _Toc218504099 \h </w:instrText>
            </w:r>
            <w:r>
              <w:rPr>
                <w:noProof/>
                <w:webHidden/>
              </w:rPr>
            </w:r>
            <w:r>
              <w:rPr>
                <w:noProof/>
                <w:webHidden/>
              </w:rPr>
              <w:fldChar w:fldCharType="separate"/>
            </w:r>
            <w:r>
              <w:rPr>
                <w:noProof/>
                <w:webHidden/>
              </w:rPr>
              <w:t>36</w:t>
            </w:r>
            <w:r>
              <w:rPr>
                <w:noProof/>
                <w:webHidden/>
              </w:rPr>
              <w:fldChar w:fldCharType="end"/>
            </w:r>
          </w:hyperlink>
        </w:p>
        <w:p w14:paraId="6F2221C9" w14:textId="5E368245" w:rsidR="006D1F37" w:rsidRDefault="006D1F37">
          <w:pPr>
            <w:pStyle w:val="TOC3"/>
            <w:tabs>
              <w:tab w:val="left" w:pos="1440"/>
              <w:tab w:val="right" w:leader="dot" w:pos="9016"/>
            </w:tabs>
            <w:rPr>
              <w:noProof/>
            </w:rPr>
          </w:pPr>
          <w:hyperlink w:anchor="_Toc218504100" w:history="1">
            <w:r w:rsidRPr="00C71750">
              <w:rPr>
                <w:rStyle w:val="Hyperlink"/>
                <w:noProof/>
              </w:rPr>
              <w:t>2.8.3</w:t>
            </w:r>
            <w:r>
              <w:rPr>
                <w:noProof/>
              </w:rPr>
              <w:tab/>
            </w:r>
            <w:r w:rsidRPr="00C71750">
              <w:rPr>
                <w:rStyle w:val="Hyperlink"/>
                <w:noProof/>
              </w:rPr>
              <w:t>The impact of CPD on performance and outcomes</w:t>
            </w:r>
            <w:r>
              <w:rPr>
                <w:noProof/>
                <w:webHidden/>
              </w:rPr>
              <w:tab/>
            </w:r>
            <w:r>
              <w:rPr>
                <w:noProof/>
                <w:webHidden/>
              </w:rPr>
              <w:fldChar w:fldCharType="begin"/>
            </w:r>
            <w:r>
              <w:rPr>
                <w:noProof/>
                <w:webHidden/>
              </w:rPr>
              <w:instrText xml:space="preserve"> PAGEREF _Toc218504100 \h </w:instrText>
            </w:r>
            <w:r>
              <w:rPr>
                <w:noProof/>
                <w:webHidden/>
              </w:rPr>
            </w:r>
            <w:r>
              <w:rPr>
                <w:noProof/>
                <w:webHidden/>
              </w:rPr>
              <w:fldChar w:fldCharType="separate"/>
            </w:r>
            <w:r>
              <w:rPr>
                <w:noProof/>
                <w:webHidden/>
              </w:rPr>
              <w:t>37</w:t>
            </w:r>
            <w:r>
              <w:rPr>
                <w:noProof/>
                <w:webHidden/>
              </w:rPr>
              <w:fldChar w:fldCharType="end"/>
            </w:r>
          </w:hyperlink>
        </w:p>
        <w:p w14:paraId="0B770539" w14:textId="1C78CA4E" w:rsidR="006D1F37" w:rsidRDefault="006D1F37">
          <w:pPr>
            <w:pStyle w:val="TOC3"/>
            <w:tabs>
              <w:tab w:val="left" w:pos="1440"/>
              <w:tab w:val="right" w:leader="dot" w:pos="9016"/>
            </w:tabs>
            <w:rPr>
              <w:noProof/>
            </w:rPr>
          </w:pPr>
          <w:hyperlink w:anchor="_Toc218504101" w:history="1">
            <w:r w:rsidRPr="00C71750">
              <w:rPr>
                <w:rStyle w:val="Hyperlink"/>
                <w:noProof/>
              </w:rPr>
              <w:t>2.8.4</w:t>
            </w:r>
            <w:r>
              <w:rPr>
                <w:noProof/>
              </w:rPr>
              <w:tab/>
            </w:r>
            <w:r w:rsidRPr="00C71750">
              <w:rPr>
                <w:rStyle w:val="Hyperlink"/>
                <w:noProof/>
              </w:rPr>
              <w:t>Conditions for effective CPD in the workplace</w:t>
            </w:r>
            <w:r>
              <w:rPr>
                <w:noProof/>
                <w:webHidden/>
              </w:rPr>
              <w:tab/>
            </w:r>
            <w:r>
              <w:rPr>
                <w:noProof/>
                <w:webHidden/>
              </w:rPr>
              <w:fldChar w:fldCharType="begin"/>
            </w:r>
            <w:r>
              <w:rPr>
                <w:noProof/>
                <w:webHidden/>
              </w:rPr>
              <w:instrText xml:space="preserve"> PAGEREF _Toc218504101 \h </w:instrText>
            </w:r>
            <w:r>
              <w:rPr>
                <w:noProof/>
                <w:webHidden/>
              </w:rPr>
            </w:r>
            <w:r>
              <w:rPr>
                <w:noProof/>
                <w:webHidden/>
              </w:rPr>
              <w:fldChar w:fldCharType="separate"/>
            </w:r>
            <w:r>
              <w:rPr>
                <w:noProof/>
                <w:webHidden/>
              </w:rPr>
              <w:t>38</w:t>
            </w:r>
            <w:r>
              <w:rPr>
                <w:noProof/>
                <w:webHidden/>
              </w:rPr>
              <w:fldChar w:fldCharType="end"/>
            </w:r>
          </w:hyperlink>
        </w:p>
        <w:p w14:paraId="70101014" w14:textId="501A0994" w:rsidR="006D1F37" w:rsidRDefault="006D1F37">
          <w:pPr>
            <w:pStyle w:val="TOC3"/>
            <w:tabs>
              <w:tab w:val="left" w:pos="1440"/>
              <w:tab w:val="right" w:leader="dot" w:pos="9016"/>
            </w:tabs>
            <w:rPr>
              <w:noProof/>
            </w:rPr>
          </w:pPr>
          <w:hyperlink w:anchor="_Toc218504102" w:history="1">
            <w:r w:rsidRPr="00C71750">
              <w:rPr>
                <w:rStyle w:val="Hyperlink"/>
                <w:noProof/>
              </w:rPr>
              <w:t>2.8.5</w:t>
            </w:r>
            <w:r>
              <w:rPr>
                <w:noProof/>
              </w:rPr>
              <w:tab/>
            </w:r>
            <w:r w:rsidRPr="00C71750">
              <w:rPr>
                <w:rStyle w:val="Hyperlink"/>
                <w:noProof/>
              </w:rPr>
              <w:t>Barriers and challenges</w:t>
            </w:r>
            <w:r>
              <w:rPr>
                <w:noProof/>
                <w:webHidden/>
              </w:rPr>
              <w:tab/>
            </w:r>
            <w:r>
              <w:rPr>
                <w:noProof/>
                <w:webHidden/>
              </w:rPr>
              <w:fldChar w:fldCharType="begin"/>
            </w:r>
            <w:r>
              <w:rPr>
                <w:noProof/>
                <w:webHidden/>
              </w:rPr>
              <w:instrText xml:space="preserve"> PAGEREF _Toc218504102 \h </w:instrText>
            </w:r>
            <w:r>
              <w:rPr>
                <w:noProof/>
                <w:webHidden/>
              </w:rPr>
            </w:r>
            <w:r>
              <w:rPr>
                <w:noProof/>
                <w:webHidden/>
              </w:rPr>
              <w:fldChar w:fldCharType="separate"/>
            </w:r>
            <w:r>
              <w:rPr>
                <w:noProof/>
                <w:webHidden/>
              </w:rPr>
              <w:t>38</w:t>
            </w:r>
            <w:r>
              <w:rPr>
                <w:noProof/>
                <w:webHidden/>
              </w:rPr>
              <w:fldChar w:fldCharType="end"/>
            </w:r>
          </w:hyperlink>
        </w:p>
        <w:p w14:paraId="3345CE32" w14:textId="7EAFDFF5" w:rsidR="006D1F37" w:rsidRDefault="006D1F37">
          <w:pPr>
            <w:pStyle w:val="TOC3"/>
            <w:tabs>
              <w:tab w:val="left" w:pos="1440"/>
              <w:tab w:val="right" w:leader="dot" w:pos="9016"/>
            </w:tabs>
            <w:rPr>
              <w:noProof/>
            </w:rPr>
          </w:pPr>
          <w:hyperlink w:anchor="_Toc218504103" w:history="1">
            <w:r w:rsidRPr="00C71750">
              <w:rPr>
                <w:rStyle w:val="Hyperlink"/>
                <w:noProof/>
              </w:rPr>
              <w:t>2.8.6</w:t>
            </w:r>
            <w:r>
              <w:rPr>
                <w:noProof/>
              </w:rPr>
              <w:tab/>
            </w:r>
            <w:r w:rsidRPr="00C71750">
              <w:rPr>
                <w:rStyle w:val="Hyperlink"/>
                <w:noProof/>
              </w:rPr>
              <w:t>Role of E-learning in CPD</w:t>
            </w:r>
            <w:r>
              <w:rPr>
                <w:noProof/>
                <w:webHidden/>
              </w:rPr>
              <w:tab/>
            </w:r>
            <w:r>
              <w:rPr>
                <w:noProof/>
                <w:webHidden/>
              </w:rPr>
              <w:fldChar w:fldCharType="begin"/>
            </w:r>
            <w:r>
              <w:rPr>
                <w:noProof/>
                <w:webHidden/>
              </w:rPr>
              <w:instrText xml:space="preserve"> PAGEREF _Toc218504103 \h </w:instrText>
            </w:r>
            <w:r>
              <w:rPr>
                <w:noProof/>
                <w:webHidden/>
              </w:rPr>
            </w:r>
            <w:r>
              <w:rPr>
                <w:noProof/>
                <w:webHidden/>
              </w:rPr>
              <w:fldChar w:fldCharType="separate"/>
            </w:r>
            <w:r>
              <w:rPr>
                <w:noProof/>
                <w:webHidden/>
              </w:rPr>
              <w:t>39</w:t>
            </w:r>
            <w:r>
              <w:rPr>
                <w:noProof/>
                <w:webHidden/>
              </w:rPr>
              <w:fldChar w:fldCharType="end"/>
            </w:r>
          </w:hyperlink>
        </w:p>
        <w:p w14:paraId="1804229E" w14:textId="0FEA3F47" w:rsidR="006D1F37" w:rsidRDefault="006D1F37">
          <w:pPr>
            <w:pStyle w:val="TOC3"/>
            <w:tabs>
              <w:tab w:val="left" w:pos="1440"/>
              <w:tab w:val="right" w:leader="dot" w:pos="9016"/>
            </w:tabs>
            <w:rPr>
              <w:noProof/>
            </w:rPr>
          </w:pPr>
          <w:hyperlink w:anchor="_Toc218504104" w:history="1">
            <w:r w:rsidRPr="00C71750">
              <w:rPr>
                <w:rStyle w:val="Hyperlink"/>
                <w:noProof/>
              </w:rPr>
              <w:t>2.8.7</w:t>
            </w:r>
            <w:r>
              <w:rPr>
                <w:noProof/>
              </w:rPr>
              <w:tab/>
            </w:r>
            <w:r w:rsidRPr="00C71750">
              <w:rPr>
                <w:rStyle w:val="Hyperlink"/>
                <w:noProof/>
              </w:rPr>
              <w:t>Conclusions and implications</w:t>
            </w:r>
            <w:r>
              <w:rPr>
                <w:noProof/>
                <w:webHidden/>
              </w:rPr>
              <w:tab/>
            </w:r>
            <w:r>
              <w:rPr>
                <w:noProof/>
                <w:webHidden/>
              </w:rPr>
              <w:fldChar w:fldCharType="begin"/>
            </w:r>
            <w:r>
              <w:rPr>
                <w:noProof/>
                <w:webHidden/>
              </w:rPr>
              <w:instrText xml:space="preserve"> PAGEREF _Toc218504104 \h </w:instrText>
            </w:r>
            <w:r>
              <w:rPr>
                <w:noProof/>
                <w:webHidden/>
              </w:rPr>
            </w:r>
            <w:r>
              <w:rPr>
                <w:noProof/>
                <w:webHidden/>
              </w:rPr>
              <w:fldChar w:fldCharType="separate"/>
            </w:r>
            <w:r>
              <w:rPr>
                <w:noProof/>
                <w:webHidden/>
              </w:rPr>
              <w:t>40</w:t>
            </w:r>
            <w:r>
              <w:rPr>
                <w:noProof/>
                <w:webHidden/>
              </w:rPr>
              <w:fldChar w:fldCharType="end"/>
            </w:r>
          </w:hyperlink>
        </w:p>
        <w:p w14:paraId="71B0C1B1" w14:textId="5A9F5297" w:rsidR="006D1F37" w:rsidRDefault="006D1F37">
          <w:pPr>
            <w:pStyle w:val="TOC3"/>
            <w:tabs>
              <w:tab w:val="left" w:pos="1440"/>
              <w:tab w:val="right" w:leader="dot" w:pos="9016"/>
            </w:tabs>
            <w:rPr>
              <w:noProof/>
            </w:rPr>
          </w:pPr>
          <w:hyperlink w:anchor="_Toc218504105" w:history="1">
            <w:r w:rsidRPr="00C71750">
              <w:rPr>
                <w:rStyle w:val="Hyperlink"/>
                <w:noProof/>
              </w:rPr>
              <w:t>2.8.8</w:t>
            </w:r>
            <w:r>
              <w:rPr>
                <w:noProof/>
              </w:rPr>
              <w:tab/>
            </w:r>
            <w:r w:rsidRPr="00C71750">
              <w:rPr>
                <w:rStyle w:val="Hyperlink"/>
                <w:noProof/>
              </w:rPr>
              <w:t>Continuous Professional Development (CPD) in Developed and Developing Country Contexts</w:t>
            </w:r>
            <w:r>
              <w:rPr>
                <w:noProof/>
                <w:webHidden/>
              </w:rPr>
              <w:tab/>
            </w:r>
            <w:r>
              <w:rPr>
                <w:noProof/>
                <w:webHidden/>
              </w:rPr>
              <w:fldChar w:fldCharType="begin"/>
            </w:r>
            <w:r>
              <w:rPr>
                <w:noProof/>
                <w:webHidden/>
              </w:rPr>
              <w:instrText xml:space="preserve"> PAGEREF _Toc218504105 \h </w:instrText>
            </w:r>
            <w:r>
              <w:rPr>
                <w:noProof/>
                <w:webHidden/>
              </w:rPr>
            </w:r>
            <w:r>
              <w:rPr>
                <w:noProof/>
                <w:webHidden/>
              </w:rPr>
              <w:fldChar w:fldCharType="separate"/>
            </w:r>
            <w:r>
              <w:rPr>
                <w:noProof/>
                <w:webHidden/>
              </w:rPr>
              <w:t>40</w:t>
            </w:r>
            <w:r>
              <w:rPr>
                <w:noProof/>
                <w:webHidden/>
              </w:rPr>
              <w:fldChar w:fldCharType="end"/>
            </w:r>
          </w:hyperlink>
        </w:p>
        <w:p w14:paraId="25038948" w14:textId="310D03B9" w:rsidR="006D1F37" w:rsidRDefault="006D1F37">
          <w:pPr>
            <w:pStyle w:val="TOC2"/>
            <w:tabs>
              <w:tab w:val="left" w:pos="960"/>
              <w:tab w:val="right" w:leader="dot" w:pos="9016"/>
            </w:tabs>
            <w:rPr>
              <w:noProof/>
            </w:rPr>
          </w:pPr>
          <w:hyperlink w:anchor="_Toc218504106" w:history="1">
            <w:r w:rsidRPr="00C71750">
              <w:rPr>
                <w:rStyle w:val="Hyperlink"/>
                <w:noProof/>
              </w:rPr>
              <w:t>2.9</w:t>
            </w:r>
            <w:r>
              <w:rPr>
                <w:noProof/>
              </w:rPr>
              <w:tab/>
            </w:r>
            <w:r w:rsidRPr="00C71750">
              <w:rPr>
                <w:rStyle w:val="Hyperlink"/>
                <w:noProof/>
              </w:rPr>
              <w:t>Critical Success Factors (CSFs) for e- learning Adoption</w:t>
            </w:r>
            <w:r>
              <w:rPr>
                <w:noProof/>
                <w:webHidden/>
              </w:rPr>
              <w:tab/>
            </w:r>
            <w:r>
              <w:rPr>
                <w:noProof/>
                <w:webHidden/>
              </w:rPr>
              <w:fldChar w:fldCharType="begin"/>
            </w:r>
            <w:r>
              <w:rPr>
                <w:noProof/>
                <w:webHidden/>
              </w:rPr>
              <w:instrText xml:space="preserve"> PAGEREF _Toc218504106 \h </w:instrText>
            </w:r>
            <w:r>
              <w:rPr>
                <w:noProof/>
                <w:webHidden/>
              </w:rPr>
            </w:r>
            <w:r>
              <w:rPr>
                <w:noProof/>
                <w:webHidden/>
              </w:rPr>
              <w:fldChar w:fldCharType="separate"/>
            </w:r>
            <w:r>
              <w:rPr>
                <w:noProof/>
                <w:webHidden/>
              </w:rPr>
              <w:t>42</w:t>
            </w:r>
            <w:r>
              <w:rPr>
                <w:noProof/>
                <w:webHidden/>
              </w:rPr>
              <w:fldChar w:fldCharType="end"/>
            </w:r>
          </w:hyperlink>
        </w:p>
        <w:p w14:paraId="13B64AE1" w14:textId="592F09FD" w:rsidR="006D1F37" w:rsidRDefault="006D1F37">
          <w:pPr>
            <w:pStyle w:val="TOC3"/>
            <w:tabs>
              <w:tab w:val="left" w:pos="1440"/>
              <w:tab w:val="right" w:leader="dot" w:pos="9016"/>
            </w:tabs>
            <w:rPr>
              <w:noProof/>
            </w:rPr>
          </w:pPr>
          <w:hyperlink w:anchor="_Toc218504107" w:history="1">
            <w:r w:rsidRPr="00C71750">
              <w:rPr>
                <w:rStyle w:val="Hyperlink"/>
                <w:noProof/>
              </w:rPr>
              <w:t>2.9.1</w:t>
            </w:r>
            <w:r>
              <w:rPr>
                <w:noProof/>
              </w:rPr>
              <w:tab/>
            </w:r>
            <w:r w:rsidRPr="00C71750">
              <w:rPr>
                <w:rStyle w:val="Hyperlink"/>
                <w:noProof/>
              </w:rPr>
              <w:t>Concept and Origin of Critical Success Factors</w:t>
            </w:r>
            <w:r>
              <w:rPr>
                <w:noProof/>
                <w:webHidden/>
              </w:rPr>
              <w:tab/>
            </w:r>
            <w:r>
              <w:rPr>
                <w:noProof/>
                <w:webHidden/>
              </w:rPr>
              <w:fldChar w:fldCharType="begin"/>
            </w:r>
            <w:r>
              <w:rPr>
                <w:noProof/>
                <w:webHidden/>
              </w:rPr>
              <w:instrText xml:space="preserve"> PAGEREF _Toc218504107 \h </w:instrText>
            </w:r>
            <w:r>
              <w:rPr>
                <w:noProof/>
                <w:webHidden/>
              </w:rPr>
            </w:r>
            <w:r>
              <w:rPr>
                <w:noProof/>
                <w:webHidden/>
              </w:rPr>
              <w:fldChar w:fldCharType="separate"/>
            </w:r>
            <w:r>
              <w:rPr>
                <w:noProof/>
                <w:webHidden/>
              </w:rPr>
              <w:t>42</w:t>
            </w:r>
            <w:r>
              <w:rPr>
                <w:noProof/>
                <w:webHidden/>
              </w:rPr>
              <w:fldChar w:fldCharType="end"/>
            </w:r>
          </w:hyperlink>
        </w:p>
        <w:p w14:paraId="5363444C" w14:textId="7D9DCE38" w:rsidR="006D1F37" w:rsidRDefault="006D1F37">
          <w:pPr>
            <w:pStyle w:val="TOC3"/>
            <w:tabs>
              <w:tab w:val="left" w:pos="1440"/>
              <w:tab w:val="right" w:leader="dot" w:pos="9016"/>
            </w:tabs>
            <w:rPr>
              <w:noProof/>
            </w:rPr>
          </w:pPr>
          <w:hyperlink w:anchor="_Toc218504108" w:history="1">
            <w:r w:rsidRPr="00C71750">
              <w:rPr>
                <w:rStyle w:val="Hyperlink"/>
                <w:noProof/>
              </w:rPr>
              <w:t>2.9.2</w:t>
            </w:r>
            <w:r>
              <w:rPr>
                <w:noProof/>
              </w:rPr>
              <w:tab/>
            </w:r>
            <w:r w:rsidRPr="00C71750">
              <w:rPr>
                <w:rStyle w:val="Hyperlink"/>
                <w:noProof/>
              </w:rPr>
              <w:t>Individual-Level CSFs</w:t>
            </w:r>
            <w:r>
              <w:rPr>
                <w:noProof/>
                <w:webHidden/>
              </w:rPr>
              <w:tab/>
            </w:r>
            <w:r>
              <w:rPr>
                <w:noProof/>
                <w:webHidden/>
              </w:rPr>
              <w:fldChar w:fldCharType="begin"/>
            </w:r>
            <w:r>
              <w:rPr>
                <w:noProof/>
                <w:webHidden/>
              </w:rPr>
              <w:instrText xml:space="preserve"> PAGEREF _Toc218504108 \h </w:instrText>
            </w:r>
            <w:r>
              <w:rPr>
                <w:noProof/>
                <w:webHidden/>
              </w:rPr>
            </w:r>
            <w:r>
              <w:rPr>
                <w:noProof/>
                <w:webHidden/>
              </w:rPr>
              <w:fldChar w:fldCharType="separate"/>
            </w:r>
            <w:r>
              <w:rPr>
                <w:noProof/>
                <w:webHidden/>
              </w:rPr>
              <w:t>43</w:t>
            </w:r>
            <w:r>
              <w:rPr>
                <w:noProof/>
                <w:webHidden/>
              </w:rPr>
              <w:fldChar w:fldCharType="end"/>
            </w:r>
          </w:hyperlink>
        </w:p>
        <w:p w14:paraId="223FF80B" w14:textId="7106F243" w:rsidR="006D1F37" w:rsidRDefault="006D1F37">
          <w:pPr>
            <w:pStyle w:val="TOC3"/>
            <w:tabs>
              <w:tab w:val="left" w:pos="1440"/>
              <w:tab w:val="right" w:leader="dot" w:pos="9016"/>
            </w:tabs>
            <w:rPr>
              <w:noProof/>
            </w:rPr>
          </w:pPr>
          <w:hyperlink w:anchor="_Toc218504109" w:history="1">
            <w:r w:rsidRPr="00C71750">
              <w:rPr>
                <w:rStyle w:val="Hyperlink"/>
                <w:noProof/>
              </w:rPr>
              <w:t>2.9.3</w:t>
            </w:r>
            <w:r>
              <w:rPr>
                <w:noProof/>
              </w:rPr>
              <w:tab/>
            </w:r>
            <w:r w:rsidRPr="00C71750">
              <w:rPr>
                <w:rStyle w:val="Hyperlink"/>
                <w:noProof/>
              </w:rPr>
              <w:t>Technological CSFs</w:t>
            </w:r>
            <w:r>
              <w:rPr>
                <w:noProof/>
                <w:webHidden/>
              </w:rPr>
              <w:tab/>
            </w:r>
            <w:r>
              <w:rPr>
                <w:noProof/>
                <w:webHidden/>
              </w:rPr>
              <w:fldChar w:fldCharType="begin"/>
            </w:r>
            <w:r>
              <w:rPr>
                <w:noProof/>
                <w:webHidden/>
              </w:rPr>
              <w:instrText xml:space="preserve"> PAGEREF _Toc218504109 \h </w:instrText>
            </w:r>
            <w:r>
              <w:rPr>
                <w:noProof/>
                <w:webHidden/>
              </w:rPr>
            </w:r>
            <w:r>
              <w:rPr>
                <w:noProof/>
                <w:webHidden/>
              </w:rPr>
              <w:fldChar w:fldCharType="separate"/>
            </w:r>
            <w:r>
              <w:rPr>
                <w:noProof/>
                <w:webHidden/>
              </w:rPr>
              <w:t>43</w:t>
            </w:r>
            <w:r>
              <w:rPr>
                <w:noProof/>
                <w:webHidden/>
              </w:rPr>
              <w:fldChar w:fldCharType="end"/>
            </w:r>
          </w:hyperlink>
        </w:p>
        <w:p w14:paraId="0B1B8F12" w14:textId="48378B8E" w:rsidR="006D1F37" w:rsidRDefault="006D1F37">
          <w:pPr>
            <w:pStyle w:val="TOC3"/>
            <w:tabs>
              <w:tab w:val="left" w:pos="1440"/>
              <w:tab w:val="right" w:leader="dot" w:pos="9016"/>
            </w:tabs>
            <w:rPr>
              <w:noProof/>
            </w:rPr>
          </w:pPr>
          <w:hyperlink w:anchor="_Toc218504110" w:history="1">
            <w:r w:rsidRPr="00C71750">
              <w:rPr>
                <w:rStyle w:val="Hyperlink"/>
                <w:noProof/>
              </w:rPr>
              <w:t>2.9.4</w:t>
            </w:r>
            <w:r>
              <w:rPr>
                <w:noProof/>
              </w:rPr>
              <w:tab/>
            </w:r>
            <w:r w:rsidRPr="00C71750">
              <w:rPr>
                <w:rStyle w:val="Hyperlink"/>
                <w:noProof/>
              </w:rPr>
              <w:t>Organisational CSFs</w:t>
            </w:r>
            <w:r>
              <w:rPr>
                <w:noProof/>
                <w:webHidden/>
              </w:rPr>
              <w:tab/>
            </w:r>
            <w:r>
              <w:rPr>
                <w:noProof/>
                <w:webHidden/>
              </w:rPr>
              <w:fldChar w:fldCharType="begin"/>
            </w:r>
            <w:r>
              <w:rPr>
                <w:noProof/>
                <w:webHidden/>
              </w:rPr>
              <w:instrText xml:space="preserve"> PAGEREF _Toc218504110 \h </w:instrText>
            </w:r>
            <w:r>
              <w:rPr>
                <w:noProof/>
                <w:webHidden/>
              </w:rPr>
            </w:r>
            <w:r>
              <w:rPr>
                <w:noProof/>
                <w:webHidden/>
              </w:rPr>
              <w:fldChar w:fldCharType="separate"/>
            </w:r>
            <w:r>
              <w:rPr>
                <w:noProof/>
                <w:webHidden/>
              </w:rPr>
              <w:t>44</w:t>
            </w:r>
            <w:r>
              <w:rPr>
                <w:noProof/>
                <w:webHidden/>
              </w:rPr>
              <w:fldChar w:fldCharType="end"/>
            </w:r>
          </w:hyperlink>
        </w:p>
        <w:p w14:paraId="3B4C6D8C" w14:textId="7167E9FC" w:rsidR="006D1F37" w:rsidRDefault="006D1F37">
          <w:pPr>
            <w:pStyle w:val="TOC3"/>
            <w:tabs>
              <w:tab w:val="left" w:pos="1440"/>
              <w:tab w:val="right" w:leader="dot" w:pos="9016"/>
            </w:tabs>
            <w:rPr>
              <w:noProof/>
            </w:rPr>
          </w:pPr>
          <w:hyperlink w:anchor="_Toc218504111" w:history="1">
            <w:r w:rsidRPr="00C71750">
              <w:rPr>
                <w:rStyle w:val="Hyperlink"/>
                <w:noProof/>
              </w:rPr>
              <w:t>2.9.5</w:t>
            </w:r>
            <w:r>
              <w:rPr>
                <w:noProof/>
              </w:rPr>
              <w:tab/>
            </w:r>
            <w:r w:rsidRPr="00C71750">
              <w:rPr>
                <w:rStyle w:val="Hyperlink"/>
                <w:noProof/>
              </w:rPr>
              <w:t>Pedagogical and Content-Related CSFs</w:t>
            </w:r>
            <w:r>
              <w:rPr>
                <w:noProof/>
                <w:webHidden/>
              </w:rPr>
              <w:tab/>
            </w:r>
            <w:r>
              <w:rPr>
                <w:noProof/>
                <w:webHidden/>
              </w:rPr>
              <w:fldChar w:fldCharType="begin"/>
            </w:r>
            <w:r>
              <w:rPr>
                <w:noProof/>
                <w:webHidden/>
              </w:rPr>
              <w:instrText xml:space="preserve"> PAGEREF _Toc218504111 \h </w:instrText>
            </w:r>
            <w:r>
              <w:rPr>
                <w:noProof/>
                <w:webHidden/>
              </w:rPr>
            </w:r>
            <w:r>
              <w:rPr>
                <w:noProof/>
                <w:webHidden/>
              </w:rPr>
              <w:fldChar w:fldCharType="separate"/>
            </w:r>
            <w:r>
              <w:rPr>
                <w:noProof/>
                <w:webHidden/>
              </w:rPr>
              <w:t>45</w:t>
            </w:r>
            <w:r>
              <w:rPr>
                <w:noProof/>
                <w:webHidden/>
              </w:rPr>
              <w:fldChar w:fldCharType="end"/>
            </w:r>
          </w:hyperlink>
        </w:p>
        <w:p w14:paraId="7E135CB0" w14:textId="19CEF179" w:rsidR="006D1F37" w:rsidRDefault="006D1F37">
          <w:pPr>
            <w:pStyle w:val="TOC3"/>
            <w:tabs>
              <w:tab w:val="left" w:pos="1440"/>
              <w:tab w:val="right" w:leader="dot" w:pos="9016"/>
            </w:tabs>
            <w:rPr>
              <w:noProof/>
            </w:rPr>
          </w:pPr>
          <w:hyperlink w:anchor="_Toc218504112" w:history="1">
            <w:r w:rsidRPr="00C71750">
              <w:rPr>
                <w:rStyle w:val="Hyperlink"/>
                <w:noProof/>
              </w:rPr>
              <w:t>2.9.6</w:t>
            </w:r>
            <w:r>
              <w:rPr>
                <w:noProof/>
              </w:rPr>
              <w:tab/>
            </w:r>
            <w:r w:rsidRPr="00C71750">
              <w:rPr>
                <w:rStyle w:val="Hyperlink"/>
                <w:noProof/>
              </w:rPr>
              <w:t>Environmental and Contextual CSFs</w:t>
            </w:r>
            <w:r>
              <w:rPr>
                <w:noProof/>
                <w:webHidden/>
              </w:rPr>
              <w:tab/>
            </w:r>
            <w:r>
              <w:rPr>
                <w:noProof/>
                <w:webHidden/>
              </w:rPr>
              <w:fldChar w:fldCharType="begin"/>
            </w:r>
            <w:r>
              <w:rPr>
                <w:noProof/>
                <w:webHidden/>
              </w:rPr>
              <w:instrText xml:space="preserve"> PAGEREF _Toc218504112 \h </w:instrText>
            </w:r>
            <w:r>
              <w:rPr>
                <w:noProof/>
                <w:webHidden/>
              </w:rPr>
            </w:r>
            <w:r>
              <w:rPr>
                <w:noProof/>
                <w:webHidden/>
              </w:rPr>
              <w:fldChar w:fldCharType="separate"/>
            </w:r>
            <w:r>
              <w:rPr>
                <w:noProof/>
                <w:webHidden/>
              </w:rPr>
              <w:t>45</w:t>
            </w:r>
            <w:r>
              <w:rPr>
                <w:noProof/>
                <w:webHidden/>
              </w:rPr>
              <w:fldChar w:fldCharType="end"/>
            </w:r>
          </w:hyperlink>
        </w:p>
        <w:p w14:paraId="47D7BB0E" w14:textId="669008E1" w:rsidR="006D1F37" w:rsidRDefault="006D1F37">
          <w:pPr>
            <w:pStyle w:val="TOC3"/>
            <w:tabs>
              <w:tab w:val="left" w:pos="1440"/>
              <w:tab w:val="right" w:leader="dot" w:pos="9016"/>
            </w:tabs>
            <w:rPr>
              <w:noProof/>
            </w:rPr>
          </w:pPr>
          <w:hyperlink w:anchor="_Toc218504113" w:history="1">
            <w:r w:rsidRPr="00C71750">
              <w:rPr>
                <w:rStyle w:val="Hyperlink"/>
                <w:noProof/>
              </w:rPr>
              <w:t>2.9.7</w:t>
            </w:r>
            <w:r>
              <w:rPr>
                <w:noProof/>
              </w:rPr>
              <w:tab/>
            </w:r>
            <w:r w:rsidRPr="00C71750">
              <w:rPr>
                <w:rStyle w:val="Hyperlink"/>
                <w:noProof/>
              </w:rPr>
              <w:t>Concluding Synthesis</w:t>
            </w:r>
            <w:r>
              <w:rPr>
                <w:noProof/>
                <w:webHidden/>
              </w:rPr>
              <w:tab/>
            </w:r>
            <w:r>
              <w:rPr>
                <w:noProof/>
                <w:webHidden/>
              </w:rPr>
              <w:fldChar w:fldCharType="begin"/>
            </w:r>
            <w:r>
              <w:rPr>
                <w:noProof/>
                <w:webHidden/>
              </w:rPr>
              <w:instrText xml:space="preserve"> PAGEREF _Toc218504113 \h </w:instrText>
            </w:r>
            <w:r>
              <w:rPr>
                <w:noProof/>
                <w:webHidden/>
              </w:rPr>
            </w:r>
            <w:r>
              <w:rPr>
                <w:noProof/>
                <w:webHidden/>
              </w:rPr>
              <w:fldChar w:fldCharType="separate"/>
            </w:r>
            <w:r>
              <w:rPr>
                <w:noProof/>
                <w:webHidden/>
              </w:rPr>
              <w:t>46</w:t>
            </w:r>
            <w:r>
              <w:rPr>
                <w:noProof/>
                <w:webHidden/>
              </w:rPr>
              <w:fldChar w:fldCharType="end"/>
            </w:r>
          </w:hyperlink>
        </w:p>
        <w:p w14:paraId="3A2FF050" w14:textId="3A7AC9F6" w:rsidR="006D1F37" w:rsidRDefault="006D1F37">
          <w:pPr>
            <w:pStyle w:val="TOC2"/>
            <w:tabs>
              <w:tab w:val="left" w:pos="960"/>
              <w:tab w:val="right" w:leader="dot" w:pos="9016"/>
            </w:tabs>
            <w:rPr>
              <w:noProof/>
            </w:rPr>
          </w:pPr>
          <w:hyperlink w:anchor="_Toc218504114" w:history="1">
            <w:r w:rsidRPr="00C71750">
              <w:rPr>
                <w:rStyle w:val="Hyperlink"/>
                <w:noProof/>
              </w:rPr>
              <w:t>2.10</w:t>
            </w:r>
            <w:r>
              <w:rPr>
                <w:noProof/>
              </w:rPr>
              <w:tab/>
            </w:r>
            <w:r w:rsidRPr="00C71750">
              <w:rPr>
                <w:rStyle w:val="Hyperlink"/>
                <w:noProof/>
              </w:rPr>
              <w:t>E-Learning for CPD Among Academics: Empirical Evidence</w:t>
            </w:r>
            <w:r>
              <w:rPr>
                <w:noProof/>
                <w:webHidden/>
              </w:rPr>
              <w:tab/>
            </w:r>
            <w:r>
              <w:rPr>
                <w:noProof/>
                <w:webHidden/>
              </w:rPr>
              <w:fldChar w:fldCharType="begin"/>
            </w:r>
            <w:r>
              <w:rPr>
                <w:noProof/>
                <w:webHidden/>
              </w:rPr>
              <w:instrText xml:space="preserve"> PAGEREF _Toc218504114 \h </w:instrText>
            </w:r>
            <w:r>
              <w:rPr>
                <w:noProof/>
                <w:webHidden/>
              </w:rPr>
            </w:r>
            <w:r>
              <w:rPr>
                <w:noProof/>
                <w:webHidden/>
              </w:rPr>
              <w:fldChar w:fldCharType="separate"/>
            </w:r>
            <w:r>
              <w:rPr>
                <w:noProof/>
                <w:webHidden/>
              </w:rPr>
              <w:t>46</w:t>
            </w:r>
            <w:r>
              <w:rPr>
                <w:noProof/>
                <w:webHidden/>
              </w:rPr>
              <w:fldChar w:fldCharType="end"/>
            </w:r>
          </w:hyperlink>
        </w:p>
        <w:p w14:paraId="5C22F9F0" w14:textId="66C19BEA" w:rsidR="006D1F37" w:rsidRDefault="006D1F37">
          <w:pPr>
            <w:pStyle w:val="TOC3"/>
            <w:tabs>
              <w:tab w:val="left" w:pos="1440"/>
              <w:tab w:val="right" w:leader="dot" w:pos="9016"/>
            </w:tabs>
            <w:rPr>
              <w:noProof/>
            </w:rPr>
          </w:pPr>
          <w:hyperlink w:anchor="_Toc218504115" w:history="1">
            <w:r w:rsidRPr="00C71750">
              <w:rPr>
                <w:rStyle w:val="Hyperlink"/>
                <w:noProof/>
              </w:rPr>
              <w:t>2.10.1</w:t>
            </w:r>
            <w:r>
              <w:rPr>
                <w:noProof/>
              </w:rPr>
              <w:tab/>
            </w:r>
            <w:r w:rsidRPr="00C71750">
              <w:rPr>
                <w:rStyle w:val="Hyperlink"/>
                <w:noProof/>
              </w:rPr>
              <w:t>Global studies on e-Learning adoption for CPD</w:t>
            </w:r>
            <w:r>
              <w:rPr>
                <w:noProof/>
                <w:webHidden/>
              </w:rPr>
              <w:tab/>
            </w:r>
            <w:r>
              <w:rPr>
                <w:noProof/>
                <w:webHidden/>
              </w:rPr>
              <w:fldChar w:fldCharType="begin"/>
            </w:r>
            <w:r>
              <w:rPr>
                <w:noProof/>
                <w:webHidden/>
              </w:rPr>
              <w:instrText xml:space="preserve"> PAGEREF _Toc218504115 \h </w:instrText>
            </w:r>
            <w:r>
              <w:rPr>
                <w:noProof/>
                <w:webHidden/>
              </w:rPr>
            </w:r>
            <w:r>
              <w:rPr>
                <w:noProof/>
                <w:webHidden/>
              </w:rPr>
              <w:fldChar w:fldCharType="separate"/>
            </w:r>
            <w:r>
              <w:rPr>
                <w:noProof/>
                <w:webHidden/>
              </w:rPr>
              <w:t>46</w:t>
            </w:r>
            <w:r>
              <w:rPr>
                <w:noProof/>
                <w:webHidden/>
              </w:rPr>
              <w:fldChar w:fldCharType="end"/>
            </w:r>
          </w:hyperlink>
        </w:p>
        <w:p w14:paraId="44DB53F7" w14:textId="5BE55E71" w:rsidR="006D1F37" w:rsidRDefault="006D1F37">
          <w:pPr>
            <w:pStyle w:val="TOC3"/>
            <w:tabs>
              <w:tab w:val="left" w:pos="1440"/>
              <w:tab w:val="right" w:leader="dot" w:pos="9016"/>
            </w:tabs>
            <w:rPr>
              <w:noProof/>
            </w:rPr>
          </w:pPr>
          <w:hyperlink w:anchor="_Toc218504116" w:history="1">
            <w:r w:rsidRPr="00C71750">
              <w:rPr>
                <w:rStyle w:val="Hyperlink"/>
                <w:noProof/>
              </w:rPr>
              <w:t>2.10.2</w:t>
            </w:r>
            <w:r>
              <w:rPr>
                <w:noProof/>
              </w:rPr>
              <w:tab/>
            </w:r>
            <w:r w:rsidRPr="00C71750">
              <w:rPr>
                <w:rStyle w:val="Hyperlink"/>
                <w:noProof/>
              </w:rPr>
              <w:t>E- learning and CPD in the United Kingdom</w:t>
            </w:r>
            <w:r>
              <w:rPr>
                <w:noProof/>
                <w:webHidden/>
              </w:rPr>
              <w:tab/>
            </w:r>
            <w:r>
              <w:rPr>
                <w:noProof/>
                <w:webHidden/>
              </w:rPr>
              <w:fldChar w:fldCharType="begin"/>
            </w:r>
            <w:r>
              <w:rPr>
                <w:noProof/>
                <w:webHidden/>
              </w:rPr>
              <w:instrText xml:space="preserve"> PAGEREF _Toc218504116 \h </w:instrText>
            </w:r>
            <w:r>
              <w:rPr>
                <w:noProof/>
                <w:webHidden/>
              </w:rPr>
            </w:r>
            <w:r>
              <w:rPr>
                <w:noProof/>
                <w:webHidden/>
              </w:rPr>
              <w:fldChar w:fldCharType="separate"/>
            </w:r>
            <w:r>
              <w:rPr>
                <w:noProof/>
                <w:webHidden/>
              </w:rPr>
              <w:t>47</w:t>
            </w:r>
            <w:r>
              <w:rPr>
                <w:noProof/>
                <w:webHidden/>
              </w:rPr>
              <w:fldChar w:fldCharType="end"/>
            </w:r>
          </w:hyperlink>
        </w:p>
        <w:p w14:paraId="2D30F429" w14:textId="00F98952" w:rsidR="006D1F37" w:rsidRDefault="006D1F37">
          <w:pPr>
            <w:pStyle w:val="TOC3"/>
            <w:tabs>
              <w:tab w:val="left" w:pos="1440"/>
              <w:tab w:val="right" w:leader="dot" w:pos="9016"/>
            </w:tabs>
            <w:rPr>
              <w:noProof/>
            </w:rPr>
          </w:pPr>
          <w:hyperlink w:anchor="_Toc218504117" w:history="1">
            <w:r w:rsidRPr="00C71750">
              <w:rPr>
                <w:rStyle w:val="Hyperlink"/>
                <w:noProof/>
              </w:rPr>
              <w:t>2.10.3</w:t>
            </w:r>
            <w:r>
              <w:rPr>
                <w:noProof/>
              </w:rPr>
              <w:tab/>
            </w:r>
            <w:r w:rsidRPr="00C71750">
              <w:rPr>
                <w:rStyle w:val="Hyperlink"/>
                <w:noProof/>
              </w:rPr>
              <w:t>E-learning and CPD in Sri Lanka</w:t>
            </w:r>
            <w:r>
              <w:rPr>
                <w:noProof/>
                <w:webHidden/>
              </w:rPr>
              <w:tab/>
            </w:r>
            <w:r>
              <w:rPr>
                <w:noProof/>
                <w:webHidden/>
              </w:rPr>
              <w:fldChar w:fldCharType="begin"/>
            </w:r>
            <w:r>
              <w:rPr>
                <w:noProof/>
                <w:webHidden/>
              </w:rPr>
              <w:instrText xml:space="preserve"> PAGEREF _Toc218504117 \h </w:instrText>
            </w:r>
            <w:r>
              <w:rPr>
                <w:noProof/>
                <w:webHidden/>
              </w:rPr>
            </w:r>
            <w:r>
              <w:rPr>
                <w:noProof/>
                <w:webHidden/>
              </w:rPr>
              <w:fldChar w:fldCharType="separate"/>
            </w:r>
            <w:r>
              <w:rPr>
                <w:noProof/>
                <w:webHidden/>
              </w:rPr>
              <w:t>48</w:t>
            </w:r>
            <w:r>
              <w:rPr>
                <w:noProof/>
                <w:webHidden/>
              </w:rPr>
              <w:fldChar w:fldCharType="end"/>
            </w:r>
          </w:hyperlink>
        </w:p>
        <w:p w14:paraId="4A13A308" w14:textId="5FDE4473" w:rsidR="006D1F37" w:rsidRDefault="006D1F37">
          <w:pPr>
            <w:pStyle w:val="TOC3"/>
            <w:tabs>
              <w:tab w:val="left" w:pos="1440"/>
              <w:tab w:val="right" w:leader="dot" w:pos="9016"/>
            </w:tabs>
            <w:rPr>
              <w:noProof/>
            </w:rPr>
          </w:pPr>
          <w:hyperlink w:anchor="_Toc218504118" w:history="1">
            <w:r w:rsidRPr="00C71750">
              <w:rPr>
                <w:rStyle w:val="Hyperlink"/>
                <w:noProof/>
              </w:rPr>
              <w:t>2.10.4</w:t>
            </w:r>
            <w:r>
              <w:rPr>
                <w:noProof/>
              </w:rPr>
              <w:tab/>
            </w:r>
            <w:r w:rsidRPr="00C71750">
              <w:rPr>
                <w:rStyle w:val="Hyperlink"/>
                <w:noProof/>
              </w:rPr>
              <w:t>Comparative Analysis of Developed and Developing Contexts</w:t>
            </w:r>
            <w:r>
              <w:rPr>
                <w:noProof/>
                <w:webHidden/>
              </w:rPr>
              <w:tab/>
            </w:r>
            <w:r>
              <w:rPr>
                <w:noProof/>
                <w:webHidden/>
              </w:rPr>
              <w:fldChar w:fldCharType="begin"/>
            </w:r>
            <w:r>
              <w:rPr>
                <w:noProof/>
                <w:webHidden/>
              </w:rPr>
              <w:instrText xml:space="preserve"> PAGEREF _Toc218504118 \h </w:instrText>
            </w:r>
            <w:r>
              <w:rPr>
                <w:noProof/>
                <w:webHidden/>
              </w:rPr>
            </w:r>
            <w:r>
              <w:rPr>
                <w:noProof/>
                <w:webHidden/>
              </w:rPr>
              <w:fldChar w:fldCharType="separate"/>
            </w:r>
            <w:r>
              <w:rPr>
                <w:noProof/>
                <w:webHidden/>
              </w:rPr>
              <w:t>49</w:t>
            </w:r>
            <w:r>
              <w:rPr>
                <w:noProof/>
                <w:webHidden/>
              </w:rPr>
              <w:fldChar w:fldCharType="end"/>
            </w:r>
          </w:hyperlink>
        </w:p>
        <w:p w14:paraId="6E625773" w14:textId="084A43BA" w:rsidR="006D1F37" w:rsidRDefault="006D1F37">
          <w:pPr>
            <w:pStyle w:val="TOC3"/>
            <w:tabs>
              <w:tab w:val="left" w:pos="1440"/>
              <w:tab w:val="right" w:leader="dot" w:pos="9016"/>
            </w:tabs>
            <w:rPr>
              <w:noProof/>
            </w:rPr>
          </w:pPr>
          <w:hyperlink w:anchor="_Toc218504119" w:history="1">
            <w:r w:rsidRPr="00C71750">
              <w:rPr>
                <w:rStyle w:val="Hyperlink"/>
                <w:noProof/>
              </w:rPr>
              <w:t>2.10.5</w:t>
            </w:r>
            <w:r>
              <w:rPr>
                <w:noProof/>
              </w:rPr>
              <w:tab/>
            </w:r>
            <w:r w:rsidRPr="00C71750">
              <w:rPr>
                <w:rStyle w:val="Hyperlink"/>
                <w:noProof/>
              </w:rPr>
              <w:t>Differences and similarities in CSFs across contexts</w:t>
            </w:r>
            <w:r>
              <w:rPr>
                <w:noProof/>
                <w:webHidden/>
              </w:rPr>
              <w:tab/>
            </w:r>
            <w:r>
              <w:rPr>
                <w:noProof/>
                <w:webHidden/>
              </w:rPr>
              <w:fldChar w:fldCharType="begin"/>
            </w:r>
            <w:r>
              <w:rPr>
                <w:noProof/>
                <w:webHidden/>
              </w:rPr>
              <w:instrText xml:space="preserve"> PAGEREF _Toc218504119 \h </w:instrText>
            </w:r>
            <w:r>
              <w:rPr>
                <w:noProof/>
                <w:webHidden/>
              </w:rPr>
            </w:r>
            <w:r>
              <w:rPr>
                <w:noProof/>
                <w:webHidden/>
              </w:rPr>
              <w:fldChar w:fldCharType="separate"/>
            </w:r>
            <w:r>
              <w:rPr>
                <w:noProof/>
                <w:webHidden/>
              </w:rPr>
              <w:t>50</w:t>
            </w:r>
            <w:r>
              <w:rPr>
                <w:noProof/>
                <w:webHidden/>
              </w:rPr>
              <w:fldChar w:fldCharType="end"/>
            </w:r>
          </w:hyperlink>
        </w:p>
        <w:p w14:paraId="4DC1C60C" w14:textId="4EF6BBF7" w:rsidR="006D1F37" w:rsidRDefault="006D1F37">
          <w:pPr>
            <w:pStyle w:val="TOC3"/>
            <w:tabs>
              <w:tab w:val="left" w:pos="1440"/>
              <w:tab w:val="right" w:leader="dot" w:pos="9016"/>
            </w:tabs>
            <w:rPr>
              <w:noProof/>
            </w:rPr>
          </w:pPr>
          <w:hyperlink w:anchor="_Toc218504120" w:history="1">
            <w:r w:rsidRPr="00C71750">
              <w:rPr>
                <w:rStyle w:val="Hyperlink"/>
                <w:noProof/>
              </w:rPr>
              <w:t>2.10.6</w:t>
            </w:r>
            <w:r>
              <w:rPr>
                <w:noProof/>
              </w:rPr>
              <w:tab/>
            </w:r>
            <w:r w:rsidRPr="00C71750">
              <w:rPr>
                <w:rStyle w:val="Hyperlink"/>
                <w:noProof/>
              </w:rPr>
              <w:t>Cultural, institutional, and technological contrasts</w:t>
            </w:r>
            <w:r>
              <w:rPr>
                <w:noProof/>
                <w:webHidden/>
              </w:rPr>
              <w:tab/>
            </w:r>
            <w:r>
              <w:rPr>
                <w:noProof/>
                <w:webHidden/>
              </w:rPr>
              <w:fldChar w:fldCharType="begin"/>
            </w:r>
            <w:r>
              <w:rPr>
                <w:noProof/>
                <w:webHidden/>
              </w:rPr>
              <w:instrText xml:space="preserve"> PAGEREF _Toc218504120 \h </w:instrText>
            </w:r>
            <w:r>
              <w:rPr>
                <w:noProof/>
                <w:webHidden/>
              </w:rPr>
            </w:r>
            <w:r>
              <w:rPr>
                <w:noProof/>
                <w:webHidden/>
              </w:rPr>
              <w:fldChar w:fldCharType="separate"/>
            </w:r>
            <w:r>
              <w:rPr>
                <w:noProof/>
                <w:webHidden/>
              </w:rPr>
              <w:t>50</w:t>
            </w:r>
            <w:r>
              <w:rPr>
                <w:noProof/>
                <w:webHidden/>
              </w:rPr>
              <w:fldChar w:fldCharType="end"/>
            </w:r>
          </w:hyperlink>
        </w:p>
        <w:p w14:paraId="1DD78A29" w14:textId="10EF820A" w:rsidR="006D1F37" w:rsidRDefault="006D1F37">
          <w:pPr>
            <w:pStyle w:val="TOC2"/>
            <w:tabs>
              <w:tab w:val="left" w:pos="960"/>
              <w:tab w:val="right" w:leader="dot" w:pos="9016"/>
            </w:tabs>
            <w:rPr>
              <w:noProof/>
            </w:rPr>
          </w:pPr>
          <w:hyperlink w:anchor="_Toc218504121" w:history="1">
            <w:r w:rsidRPr="00C71750">
              <w:rPr>
                <w:rStyle w:val="Hyperlink"/>
                <w:noProof/>
              </w:rPr>
              <w:t>2.11</w:t>
            </w:r>
            <w:r>
              <w:rPr>
                <w:noProof/>
              </w:rPr>
              <w:tab/>
            </w:r>
            <w:r w:rsidRPr="00C71750">
              <w:rPr>
                <w:rStyle w:val="Hyperlink"/>
                <w:noProof/>
              </w:rPr>
              <w:t>Gaps in comparative research</w:t>
            </w:r>
            <w:r>
              <w:rPr>
                <w:noProof/>
                <w:webHidden/>
              </w:rPr>
              <w:tab/>
            </w:r>
            <w:r>
              <w:rPr>
                <w:noProof/>
                <w:webHidden/>
              </w:rPr>
              <w:fldChar w:fldCharType="begin"/>
            </w:r>
            <w:r>
              <w:rPr>
                <w:noProof/>
                <w:webHidden/>
              </w:rPr>
              <w:instrText xml:space="preserve"> PAGEREF _Toc218504121 \h </w:instrText>
            </w:r>
            <w:r>
              <w:rPr>
                <w:noProof/>
                <w:webHidden/>
              </w:rPr>
            </w:r>
            <w:r>
              <w:rPr>
                <w:noProof/>
                <w:webHidden/>
              </w:rPr>
              <w:fldChar w:fldCharType="separate"/>
            </w:r>
            <w:r>
              <w:rPr>
                <w:noProof/>
                <w:webHidden/>
              </w:rPr>
              <w:t>52</w:t>
            </w:r>
            <w:r>
              <w:rPr>
                <w:noProof/>
                <w:webHidden/>
              </w:rPr>
              <w:fldChar w:fldCharType="end"/>
            </w:r>
          </w:hyperlink>
        </w:p>
        <w:p w14:paraId="70DC0B87" w14:textId="2A78FE53" w:rsidR="006D1F37" w:rsidRDefault="006D1F37">
          <w:pPr>
            <w:pStyle w:val="TOC2"/>
            <w:tabs>
              <w:tab w:val="left" w:pos="960"/>
              <w:tab w:val="right" w:leader="dot" w:pos="9016"/>
            </w:tabs>
            <w:rPr>
              <w:noProof/>
            </w:rPr>
          </w:pPr>
          <w:hyperlink w:anchor="_Toc218504122" w:history="1">
            <w:r w:rsidRPr="00C71750">
              <w:rPr>
                <w:rStyle w:val="Hyperlink"/>
                <w:noProof/>
              </w:rPr>
              <w:t>2.12</w:t>
            </w:r>
            <w:r>
              <w:rPr>
                <w:noProof/>
              </w:rPr>
              <w:tab/>
            </w:r>
            <w:r w:rsidRPr="00C71750">
              <w:rPr>
                <w:rStyle w:val="Hyperlink"/>
                <w:noProof/>
              </w:rPr>
              <w:t>Methodological Trends and Limitations in Existing Studies</w:t>
            </w:r>
            <w:r>
              <w:rPr>
                <w:noProof/>
                <w:webHidden/>
              </w:rPr>
              <w:tab/>
            </w:r>
            <w:r>
              <w:rPr>
                <w:noProof/>
                <w:webHidden/>
              </w:rPr>
              <w:fldChar w:fldCharType="begin"/>
            </w:r>
            <w:r>
              <w:rPr>
                <w:noProof/>
                <w:webHidden/>
              </w:rPr>
              <w:instrText xml:space="preserve"> PAGEREF _Toc218504122 \h </w:instrText>
            </w:r>
            <w:r>
              <w:rPr>
                <w:noProof/>
                <w:webHidden/>
              </w:rPr>
            </w:r>
            <w:r>
              <w:rPr>
                <w:noProof/>
                <w:webHidden/>
              </w:rPr>
              <w:fldChar w:fldCharType="separate"/>
            </w:r>
            <w:r>
              <w:rPr>
                <w:noProof/>
                <w:webHidden/>
              </w:rPr>
              <w:t>53</w:t>
            </w:r>
            <w:r>
              <w:rPr>
                <w:noProof/>
                <w:webHidden/>
              </w:rPr>
              <w:fldChar w:fldCharType="end"/>
            </w:r>
          </w:hyperlink>
        </w:p>
        <w:p w14:paraId="44B32291" w14:textId="60A72D00" w:rsidR="006D1F37" w:rsidRDefault="006D1F37">
          <w:pPr>
            <w:pStyle w:val="TOC2"/>
            <w:tabs>
              <w:tab w:val="left" w:pos="960"/>
              <w:tab w:val="right" w:leader="dot" w:pos="9016"/>
            </w:tabs>
            <w:rPr>
              <w:noProof/>
            </w:rPr>
          </w:pPr>
          <w:hyperlink w:anchor="_Toc218504123" w:history="1">
            <w:r w:rsidRPr="00C71750">
              <w:rPr>
                <w:rStyle w:val="Hyperlink"/>
                <w:noProof/>
              </w:rPr>
              <w:t>2.13</w:t>
            </w:r>
            <w:r>
              <w:rPr>
                <w:noProof/>
              </w:rPr>
              <w:tab/>
            </w:r>
            <w:r w:rsidRPr="00C71750">
              <w:rPr>
                <w:rStyle w:val="Hyperlink"/>
                <w:noProof/>
              </w:rPr>
              <w:t>Dominant Research Designs and Data Collection Methods</w:t>
            </w:r>
            <w:r>
              <w:rPr>
                <w:noProof/>
                <w:webHidden/>
              </w:rPr>
              <w:tab/>
            </w:r>
            <w:r>
              <w:rPr>
                <w:noProof/>
                <w:webHidden/>
              </w:rPr>
              <w:fldChar w:fldCharType="begin"/>
            </w:r>
            <w:r>
              <w:rPr>
                <w:noProof/>
                <w:webHidden/>
              </w:rPr>
              <w:instrText xml:space="preserve"> PAGEREF _Toc218504123 \h </w:instrText>
            </w:r>
            <w:r>
              <w:rPr>
                <w:noProof/>
                <w:webHidden/>
              </w:rPr>
            </w:r>
            <w:r>
              <w:rPr>
                <w:noProof/>
                <w:webHidden/>
              </w:rPr>
              <w:fldChar w:fldCharType="separate"/>
            </w:r>
            <w:r>
              <w:rPr>
                <w:noProof/>
                <w:webHidden/>
              </w:rPr>
              <w:t>53</w:t>
            </w:r>
            <w:r>
              <w:rPr>
                <w:noProof/>
                <w:webHidden/>
              </w:rPr>
              <w:fldChar w:fldCharType="end"/>
            </w:r>
          </w:hyperlink>
        </w:p>
        <w:p w14:paraId="2741FD81" w14:textId="395B35D9" w:rsidR="006D1F37" w:rsidRDefault="006D1F37">
          <w:pPr>
            <w:pStyle w:val="TOC2"/>
            <w:tabs>
              <w:tab w:val="left" w:pos="960"/>
              <w:tab w:val="right" w:leader="dot" w:pos="9016"/>
            </w:tabs>
            <w:rPr>
              <w:noProof/>
            </w:rPr>
          </w:pPr>
          <w:hyperlink w:anchor="_Toc218504124" w:history="1">
            <w:r w:rsidRPr="00C71750">
              <w:rPr>
                <w:rStyle w:val="Hyperlink"/>
                <w:noProof/>
              </w:rPr>
              <w:t>2.14</w:t>
            </w:r>
            <w:r>
              <w:rPr>
                <w:noProof/>
              </w:rPr>
              <w:tab/>
            </w:r>
            <w:r w:rsidRPr="00C71750">
              <w:rPr>
                <w:rStyle w:val="Hyperlink"/>
                <w:noProof/>
              </w:rPr>
              <w:t>Limitations in Prior Research</w:t>
            </w:r>
            <w:r>
              <w:rPr>
                <w:noProof/>
                <w:webHidden/>
              </w:rPr>
              <w:tab/>
            </w:r>
            <w:r>
              <w:rPr>
                <w:noProof/>
                <w:webHidden/>
              </w:rPr>
              <w:fldChar w:fldCharType="begin"/>
            </w:r>
            <w:r>
              <w:rPr>
                <w:noProof/>
                <w:webHidden/>
              </w:rPr>
              <w:instrText xml:space="preserve"> PAGEREF _Toc218504124 \h </w:instrText>
            </w:r>
            <w:r>
              <w:rPr>
                <w:noProof/>
                <w:webHidden/>
              </w:rPr>
            </w:r>
            <w:r>
              <w:rPr>
                <w:noProof/>
                <w:webHidden/>
              </w:rPr>
              <w:fldChar w:fldCharType="separate"/>
            </w:r>
            <w:r>
              <w:rPr>
                <w:noProof/>
                <w:webHidden/>
              </w:rPr>
              <w:t>54</w:t>
            </w:r>
            <w:r>
              <w:rPr>
                <w:noProof/>
                <w:webHidden/>
              </w:rPr>
              <w:fldChar w:fldCharType="end"/>
            </w:r>
          </w:hyperlink>
        </w:p>
        <w:p w14:paraId="29A6F5C3" w14:textId="1EA42E8F" w:rsidR="006D1F37" w:rsidRDefault="006D1F37">
          <w:pPr>
            <w:pStyle w:val="TOC2"/>
            <w:tabs>
              <w:tab w:val="left" w:pos="960"/>
              <w:tab w:val="right" w:leader="dot" w:pos="9016"/>
            </w:tabs>
            <w:rPr>
              <w:noProof/>
            </w:rPr>
          </w:pPr>
          <w:hyperlink w:anchor="_Toc218504125" w:history="1">
            <w:r w:rsidRPr="00C71750">
              <w:rPr>
                <w:rStyle w:val="Hyperlink"/>
                <w:noProof/>
              </w:rPr>
              <w:t>2.15</w:t>
            </w:r>
            <w:r>
              <w:rPr>
                <w:noProof/>
              </w:rPr>
              <w:tab/>
            </w:r>
            <w:r w:rsidRPr="00C71750">
              <w:rPr>
                <w:rStyle w:val="Hyperlink"/>
                <w:noProof/>
              </w:rPr>
              <w:t>Critical Review of Surber (2017)</w:t>
            </w:r>
            <w:r>
              <w:rPr>
                <w:noProof/>
                <w:webHidden/>
              </w:rPr>
              <w:tab/>
            </w:r>
            <w:r>
              <w:rPr>
                <w:noProof/>
                <w:webHidden/>
              </w:rPr>
              <w:fldChar w:fldCharType="begin"/>
            </w:r>
            <w:r>
              <w:rPr>
                <w:noProof/>
                <w:webHidden/>
              </w:rPr>
              <w:instrText xml:space="preserve"> PAGEREF _Toc218504125 \h </w:instrText>
            </w:r>
            <w:r>
              <w:rPr>
                <w:noProof/>
                <w:webHidden/>
              </w:rPr>
            </w:r>
            <w:r>
              <w:rPr>
                <w:noProof/>
                <w:webHidden/>
              </w:rPr>
              <w:fldChar w:fldCharType="separate"/>
            </w:r>
            <w:r>
              <w:rPr>
                <w:noProof/>
                <w:webHidden/>
              </w:rPr>
              <w:t>55</w:t>
            </w:r>
            <w:r>
              <w:rPr>
                <w:noProof/>
                <w:webHidden/>
              </w:rPr>
              <w:fldChar w:fldCharType="end"/>
            </w:r>
          </w:hyperlink>
        </w:p>
        <w:p w14:paraId="052F00A7" w14:textId="1EDCBB8C" w:rsidR="006D1F37" w:rsidRDefault="006D1F37">
          <w:pPr>
            <w:pStyle w:val="TOC2"/>
            <w:tabs>
              <w:tab w:val="left" w:pos="960"/>
              <w:tab w:val="right" w:leader="dot" w:pos="9016"/>
            </w:tabs>
            <w:rPr>
              <w:noProof/>
            </w:rPr>
          </w:pPr>
          <w:hyperlink w:anchor="_Toc218504126" w:history="1">
            <w:r w:rsidRPr="00C71750">
              <w:rPr>
                <w:rStyle w:val="Hyperlink"/>
                <w:noProof/>
              </w:rPr>
              <w:t>2.16</w:t>
            </w:r>
            <w:r>
              <w:rPr>
                <w:noProof/>
              </w:rPr>
              <w:tab/>
            </w:r>
            <w:r w:rsidRPr="00C71750">
              <w:rPr>
                <w:rStyle w:val="Hyperlink"/>
                <w:noProof/>
              </w:rPr>
              <w:t>Conceptual Framework for the Study</w:t>
            </w:r>
            <w:r>
              <w:rPr>
                <w:noProof/>
                <w:webHidden/>
              </w:rPr>
              <w:tab/>
            </w:r>
            <w:r>
              <w:rPr>
                <w:noProof/>
                <w:webHidden/>
              </w:rPr>
              <w:fldChar w:fldCharType="begin"/>
            </w:r>
            <w:r>
              <w:rPr>
                <w:noProof/>
                <w:webHidden/>
              </w:rPr>
              <w:instrText xml:space="preserve"> PAGEREF _Toc218504126 \h </w:instrText>
            </w:r>
            <w:r>
              <w:rPr>
                <w:noProof/>
                <w:webHidden/>
              </w:rPr>
            </w:r>
            <w:r>
              <w:rPr>
                <w:noProof/>
                <w:webHidden/>
              </w:rPr>
              <w:fldChar w:fldCharType="separate"/>
            </w:r>
            <w:r>
              <w:rPr>
                <w:noProof/>
                <w:webHidden/>
              </w:rPr>
              <w:t>57</w:t>
            </w:r>
            <w:r>
              <w:rPr>
                <w:noProof/>
                <w:webHidden/>
              </w:rPr>
              <w:fldChar w:fldCharType="end"/>
            </w:r>
          </w:hyperlink>
        </w:p>
        <w:p w14:paraId="7738ACBA" w14:textId="2ED7E346" w:rsidR="006D1F37" w:rsidRDefault="006D1F37">
          <w:pPr>
            <w:pStyle w:val="TOC2"/>
            <w:tabs>
              <w:tab w:val="left" w:pos="960"/>
              <w:tab w:val="right" w:leader="dot" w:pos="9016"/>
            </w:tabs>
            <w:rPr>
              <w:noProof/>
            </w:rPr>
          </w:pPr>
          <w:hyperlink w:anchor="_Toc218504127" w:history="1">
            <w:r w:rsidRPr="00C71750">
              <w:rPr>
                <w:rStyle w:val="Hyperlink"/>
                <w:noProof/>
              </w:rPr>
              <w:t>2.17</w:t>
            </w:r>
            <w:r>
              <w:rPr>
                <w:noProof/>
              </w:rPr>
              <w:tab/>
            </w:r>
            <w:r w:rsidRPr="00C71750">
              <w:rPr>
                <w:rStyle w:val="Hyperlink"/>
                <w:noProof/>
              </w:rPr>
              <w:t>Chapter Summary</w:t>
            </w:r>
            <w:r>
              <w:rPr>
                <w:noProof/>
                <w:webHidden/>
              </w:rPr>
              <w:tab/>
            </w:r>
            <w:r>
              <w:rPr>
                <w:noProof/>
                <w:webHidden/>
              </w:rPr>
              <w:fldChar w:fldCharType="begin"/>
            </w:r>
            <w:r>
              <w:rPr>
                <w:noProof/>
                <w:webHidden/>
              </w:rPr>
              <w:instrText xml:space="preserve"> PAGEREF _Toc218504127 \h </w:instrText>
            </w:r>
            <w:r>
              <w:rPr>
                <w:noProof/>
                <w:webHidden/>
              </w:rPr>
            </w:r>
            <w:r>
              <w:rPr>
                <w:noProof/>
                <w:webHidden/>
              </w:rPr>
              <w:fldChar w:fldCharType="separate"/>
            </w:r>
            <w:r>
              <w:rPr>
                <w:noProof/>
                <w:webHidden/>
              </w:rPr>
              <w:t>57</w:t>
            </w:r>
            <w:r>
              <w:rPr>
                <w:noProof/>
                <w:webHidden/>
              </w:rPr>
              <w:fldChar w:fldCharType="end"/>
            </w:r>
          </w:hyperlink>
        </w:p>
        <w:p w14:paraId="35AB8425" w14:textId="2B36C8E0" w:rsidR="006D1F37" w:rsidRDefault="006D1F37">
          <w:r>
            <w:rPr>
              <w:b/>
              <w:bCs/>
              <w:noProof/>
            </w:rPr>
            <w:fldChar w:fldCharType="end"/>
          </w:r>
        </w:p>
      </w:sdtContent>
    </w:sdt>
    <w:p w14:paraId="7E27E6C9" w14:textId="77777777" w:rsidR="008253D2" w:rsidRDefault="008253D2" w:rsidP="256F88E9">
      <w:pPr>
        <w:pStyle w:val="NoSpacing"/>
        <w:spacing w:line="360" w:lineRule="auto"/>
        <w:jc w:val="both"/>
        <w:rPr>
          <w:rFonts w:asciiTheme="minorBidi" w:hAnsiTheme="minorBidi"/>
          <w:sz w:val="22"/>
          <w:szCs w:val="22"/>
        </w:rPr>
      </w:pPr>
    </w:p>
    <w:p w14:paraId="51DB11EB" w14:textId="3EB564D4" w:rsidR="0BE11A10" w:rsidRDefault="0BE11A10" w:rsidP="00BC5E5D">
      <w:pPr>
        <w:pStyle w:val="NoSpacing"/>
        <w:spacing w:line="360" w:lineRule="auto"/>
        <w:jc w:val="both"/>
        <w:rPr>
          <w:rFonts w:asciiTheme="minorBidi" w:hAnsiTheme="minorBidi"/>
          <w:sz w:val="22"/>
          <w:szCs w:val="22"/>
        </w:rPr>
      </w:pPr>
    </w:p>
    <w:p w14:paraId="57CDC2C8" w14:textId="77777777" w:rsidR="008253D2" w:rsidRPr="00BC5E5D" w:rsidRDefault="008253D2" w:rsidP="00BC5E5D">
      <w:pPr>
        <w:pStyle w:val="NoSpacing"/>
        <w:spacing w:line="360" w:lineRule="auto"/>
        <w:jc w:val="both"/>
        <w:rPr>
          <w:rFonts w:asciiTheme="minorBidi" w:hAnsiTheme="minorBidi"/>
          <w:sz w:val="22"/>
          <w:szCs w:val="22"/>
        </w:rPr>
      </w:pPr>
    </w:p>
    <w:p w14:paraId="7659801E" w14:textId="6958C315" w:rsidR="0BE11A10" w:rsidRDefault="0BE11A10" w:rsidP="00BC5E5D">
      <w:pPr>
        <w:pStyle w:val="NoSpacing"/>
        <w:spacing w:line="360" w:lineRule="auto"/>
        <w:jc w:val="both"/>
        <w:rPr>
          <w:rFonts w:asciiTheme="minorBidi" w:hAnsiTheme="minorBidi"/>
          <w:b/>
          <w:bCs/>
          <w:sz w:val="22"/>
          <w:szCs w:val="22"/>
        </w:rPr>
      </w:pPr>
    </w:p>
    <w:p w14:paraId="698C8480" w14:textId="77777777" w:rsidR="0040256B" w:rsidRDefault="0040256B" w:rsidP="00BC5E5D">
      <w:pPr>
        <w:pStyle w:val="NoSpacing"/>
        <w:spacing w:line="360" w:lineRule="auto"/>
        <w:jc w:val="both"/>
        <w:rPr>
          <w:rFonts w:asciiTheme="minorBidi" w:hAnsiTheme="minorBidi"/>
          <w:b/>
          <w:bCs/>
          <w:sz w:val="22"/>
          <w:szCs w:val="22"/>
        </w:rPr>
      </w:pPr>
    </w:p>
    <w:p w14:paraId="53E1B72B" w14:textId="77777777" w:rsidR="0040256B" w:rsidRDefault="0040256B" w:rsidP="00BC5E5D">
      <w:pPr>
        <w:pStyle w:val="NoSpacing"/>
        <w:spacing w:line="360" w:lineRule="auto"/>
        <w:jc w:val="both"/>
        <w:rPr>
          <w:rFonts w:asciiTheme="minorBidi" w:hAnsiTheme="minorBidi"/>
          <w:b/>
          <w:bCs/>
          <w:sz w:val="22"/>
          <w:szCs w:val="22"/>
        </w:rPr>
      </w:pPr>
    </w:p>
    <w:p w14:paraId="06B86650" w14:textId="77777777" w:rsidR="006D1F37" w:rsidRDefault="006D1F37" w:rsidP="00BC5E5D">
      <w:pPr>
        <w:pStyle w:val="NoSpacing"/>
        <w:spacing w:line="360" w:lineRule="auto"/>
        <w:jc w:val="both"/>
        <w:rPr>
          <w:rFonts w:asciiTheme="minorBidi" w:hAnsiTheme="minorBidi"/>
          <w:b/>
          <w:bCs/>
          <w:sz w:val="22"/>
          <w:szCs w:val="22"/>
        </w:rPr>
      </w:pPr>
    </w:p>
    <w:p w14:paraId="1EBA638D" w14:textId="77777777" w:rsidR="006D1F37" w:rsidRDefault="006D1F37" w:rsidP="00BC5E5D">
      <w:pPr>
        <w:pStyle w:val="NoSpacing"/>
        <w:spacing w:line="360" w:lineRule="auto"/>
        <w:jc w:val="both"/>
        <w:rPr>
          <w:rFonts w:asciiTheme="minorBidi" w:hAnsiTheme="minorBidi"/>
          <w:b/>
          <w:bCs/>
          <w:sz w:val="22"/>
          <w:szCs w:val="22"/>
        </w:rPr>
      </w:pPr>
    </w:p>
    <w:p w14:paraId="782A00EF" w14:textId="77777777" w:rsidR="0040256B" w:rsidRDefault="0040256B" w:rsidP="00BC5E5D">
      <w:pPr>
        <w:pStyle w:val="NoSpacing"/>
        <w:spacing w:line="360" w:lineRule="auto"/>
        <w:jc w:val="both"/>
        <w:rPr>
          <w:rFonts w:asciiTheme="minorBidi" w:hAnsiTheme="minorBidi"/>
          <w:b/>
          <w:bCs/>
          <w:sz w:val="22"/>
          <w:szCs w:val="22"/>
        </w:rPr>
      </w:pPr>
    </w:p>
    <w:p w14:paraId="15065416" w14:textId="77777777" w:rsidR="0040256B" w:rsidRPr="0040256B" w:rsidRDefault="0040256B" w:rsidP="00BC5E5D">
      <w:pPr>
        <w:pStyle w:val="NoSpacing"/>
        <w:spacing w:line="360" w:lineRule="auto"/>
        <w:jc w:val="both"/>
        <w:rPr>
          <w:rFonts w:asciiTheme="minorBidi" w:hAnsiTheme="minorBidi"/>
          <w:b/>
          <w:bCs/>
          <w:sz w:val="22"/>
          <w:szCs w:val="22"/>
        </w:rPr>
      </w:pPr>
    </w:p>
    <w:p w14:paraId="153B487E" w14:textId="601C0087" w:rsidR="00B21063" w:rsidRDefault="005521F7" w:rsidP="005521F7">
      <w:pPr>
        <w:spacing w:line="360" w:lineRule="auto"/>
        <w:jc w:val="both"/>
        <w:rPr>
          <w:rFonts w:asciiTheme="minorBidi" w:hAnsiTheme="minorBidi"/>
          <w:sz w:val="22"/>
          <w:szCs w:val="22"/>
        </w:rPr>
      </w:pPr>
      <w:r>
        <w:rPr>
          <w:rFonts w:asciiTheme="minorBidi" w:hAnsiTheme="minorBidi"/>
          <w:sz w:val="22"/>
          <w:szCs w:val="22"/>
        </w:rPr>
        <w:t>Chapter 2: Literature Review</w:t>
      </w:r>
    </w:p>
    <w:p w14:paraId="44540D13" w14:textId="652E3835" w:rsidR="00D46901" w:rsidRDefault="00D46901" w:rsidP="004C2172">
      <w:pPr>
        <w:pStyle w:val="Heading1"/>
      </w:pPr>
      <w:bookmarkStart w:id="0" w:name="_Toc218503253"/>
      <w:r>
        <w:t xml:space="preserve"> </w:t>
      </w:r>
      <w:bookmarkStart w:id="1" w:name="_Toc218504078"/>
      <w:r>
        <w:t>Introduction</w:t>
      </w:r>
      <w:bookmarkEnd w:id="0"/>
      <w:bookmarkEnd w:id="1"/>
    </w:p>
    <w:p w14:paraId="040B3ED6" w14:textId="6FD9FE04" w:rsidR="00785DE6" w:rsidRPr="00D46901" w:rsidRDefault="00095293" w:rsidP="004C2172">
      <w:pPr>
        <w:pStyle w:val="Heading2"/>
        <w:rPr>
          <w:rFonts w:asciiTheme="minorBidi" w:hAnsiTheme="minorBidi"/>
          <w:sz w:val="22"/>
          <w:szCs w:val="22"/>
        </w:rPr>
      </w:pPr>
      <w:bookmarkStart w:id="2" w:name="_Toc218503254"/>
      <w:bookmarkStart w:id="3" w:name="_Toc218504079"/>
      <w:r w:rsidRPr="00BC5E5D">
        <w:t xml:space="preserve">Historical </w:t>
      </w:r>
      <w:r w:rsidR="007B2342" w:rsidRPr="00BC5E5D">
        <w:t xml:space="preserve">background </w:t>
      </w:r>
      <w:r w:rsidRPr="00BC5E5D">
        <w:t xml:space="preserve">of </w:t>
      </w:r>
      <w:r w:rsidR="007B2342" w:rsidRPr="00BC5E5D">
        <w:t>e-learning</w:t>
      </w:r>
      <w:bookmarkEnd w:id="2"/>
      <w:bookmarkEnd w:id="3"/>
    </w:p>
    <w:p w14:paraId="253EC194" w14:textId="77777777" w:rsidR="00676D66" w:rsidRPr="00676D66" w:rsidRDefault="00676D66" w:rsidP="004C2172">
      <w:pPr>
        <w:pStyle w:val="Heading2"/>
        <w:numPr>
          <w:ilvl w:val="0"/>
          <w:numId w:val="0"/>
        </w:numPr>
      </w:pPr>
    </w:p>
    <w:p w14:paraId="27E55A2C" w14:textId="233B1202" w:rsidR="00513015" w:rsidRPr="00BC5E5D" w:rsidRDefault="00785DE6" w:rsidP="00BC5E5D">
      <w:pPr>
        <w:spacing w:line="360" w:lineRule="auto"/>
        <w:jc w:val="both"/>
        <w:rPr>
          <w:rFonts w:asciiTheme="minorBidi" w:hAnsiTheme="minorBidi"/>
          <w:sz w:val="22"/>
          <w:szCs w:val="22"/>
          <w:highlight w:val="lightGray"/>
        </w:rPr>
      </w:pPr>
      <w:r w:rsidRPr="00BC5E5D">
        <w:rPr>
          <w:rFonts w:asciiTheme="minorBidi" w:hAnsiTheme="minorBidi"/>
          <w:sz w:val="22"/>
          <w:szCs w:val="22"/>
          <w:highlight w:val="lightGray"/>
        </w:rPr>
        <w:t xml:space="preserve">This section </w:t>
      </w:r>
      <w:r w:rsidR="00D52DFF" w:rsidRPr="00BC5E5D">
        <w:rPr>
          <w:rFonts w:asciiTheme="minorBidi" w:hAnsiTheme="minorBidi"/>
          <w:sz w:val="22"/>
          <w:szCs w:val="22"/>
          <w:highlight w:val="lightGray"/>
        </w:rPr>
        <w:t>aims to provide</w:t>
      </w:r>
      <w:r w:rsidRPr="00BC5E5D">
        <w:rPr>
          <w:rFonts w:asciiTheme="minorBidi" w:hAnsiTheme="minorBidi"/>
          <w:sz w:val="22"/>
          <w:szCs w:val="22"/>
          <w:highlight w:val="lightGray"/>
        </w:rPr>
        <w:t xml:space="preserve"> an investigation into historical development of the e-learning and </w:t>
      </w:r>
      <w:r w:rsidR="00732DBD" w:rsidRPr="00BC5E5D">
        <w:rPr>
          <w:rFonts w:asciiTheme="minorBidi" w:hAnsiTheme="minorBidi"/>
          <w:sz w:val="22"/>
          <w:szCs w:val="22"/>
          <w:highlight w:val="lightGray"/>
        </w:rPr>
        <w:t xml:space="preserve">then </w:t>
      </w:r>
      <w:r w:rsidR="00513015" w:rsidRPr="00BC5E5D">
        <w:rPr>
          <w:rFonts w:asciiTheme="minorBidi" w:hAnsiTheme="minorBidi"/>
          <w:sz w:val="22"/>
          <w:szCs w:val="22"/>
          <w:highlight w:val="lightGray"/>
        </w:rPr>
        <w:t xml:space="preserve">the concept of e-learning. A discussion of the history of e-learning is a vital component of any study on using e-learning for Continuing Professional Development (CPD) among academics because it positions the </w:t>
      </w:r>
      <w:r w:rsidR="00124396" w:rsidRPr="00BC5E5D">
        <w:rPr>
          <w:rFonts w:asciiTheme="minorBidi" w:hAnsiTheme="minorBidi"/>
          <w:sz w:val="22"/>
          <w:szCs w:val="22"/>
          <w:highlight w:val="lightGray"/>
        </w:rPr>
        <w:t xml:space="preserve">current </w:t>
      </w:r>
      <w:r w:rsidR="00513015" w:rsidRPr="00BC5E5D">
        <w:rPr>
          <w:rFonts w:asciiTheme="minorBidi" w:hAnsiTheme="minorBidi"/>
          <w:sz w:val="22"/>
          <w:szCs w:val="22"/>
          <w:highlight w:val="lightGray"/>
        </w:rPr>
        <w:t xml:space="preserve">research within a broader </w:t>
      </w:r>
      <w:r w:rsidR="00BB4AC9" w:rsidRPr="00BC5E5D">
        <w:rPr>
          <w:rFonts w:asciiTheme="minorBidi" w:hAnsiTheme="minorBidi"/>
          <w:sz w:val="22"/>
          <w:szCs w:val="22"/>
          <w:highlight w:val="lightGray"/>
        </w:rPr>
        <w:t xml:space="preserve">trajectory </w:t>
      </w:r>
      <w:r w:rsidR="00513015" w:rsidRPr="00BC5E5D">
        <w:rPr>
          <w:rFonts w:asciiTheme="minorBidi" w:hAnsiTheme="minorBidi"/>
          <w:sz w:val="22"/>
          <w:szCs w:val="22"/>
          <w:highlight w:val="lightGray"/>
        </w:rPr>
        <w:t>of technological, pedagogical, and institutional change</w:t>
      </w:r>
      <w:r w:rsidR="0092541A" w:rsidRPr="00BC5E5D">
        <w:rPr>
          <w:rFonts w:asciiTheme="minorBidi" w:hAnsiTheme="minorBidi"/>
          <w:sz w:val="22"/>
          <w:szCs w:val="22"/>
          <w:highlight w:val="lightGray"/>
        </w:rPr>
        <w:t xml:space="preserve"> in highe</w:t>
      </w:r>
      <w:r w:rsidR="00833160" w:rsidRPr="00BC5E5D">
        <w:rPr>
          <w:rFonts w:asciiTheme="minorBidi" w:hAnsiTheme="minorBidi"/>
          <w:sz w:val="22"/>
          <w:szCs w:val="22"/>
          <w:highlight w:val="lightGray"/>
        </w:rPr>
        <w:t>r education</w:t>
      </w:r>
      <w:r w:rsidR="005B00B9" w:rsidRPr="00BC5E5D">
        <w:rPr>
          <w:rFonts w:asciiTheme="minorBidi" w:hAnsiTheme="minorBidi"/>
          <w:sz w:val="22"/>
          <w:szCs w:val="22"/>
          <w:highlight w:val="lightGray"/>
        </w:rPr>
        <w:t xml:space="preserve"> industry</w:t>
      </w:r>
      <w:r w:rsidR="78B6C361" w:rsidRPr="00BC5E5D">
        <w:rPr>
          <w:rFonts w:asciiTheme="minorBidi" w:hAnsiTheme="minorBidi"/>
          <w:sz w:val="22"/>
          <w:szCs w:val="22"/>
          <w:highlight w:val="lightGray"/>
        </w:rPr>
        <w:t xml:space="preserve"> </w:t>
      </w:r>
      <w:r w:rsidR="009104FE" w:rsidRPr="00BC5E5D">
        <w:rPr>
          <w:rFonts w:asciiTheme="minorBidi" w:hAnsiTheme="minorBidi"/>
          <w:sz w:val="22"/>
          <w:szCs w:val="22"/>
          <w:highlight w:val="lightGray"/>
        </w:rPr>
        <w:t>(</w:t>
      </w:r>
      <w:r w:rsidR="009104FE" w:rsidRPr="00BC5E5D">
        <w:rPr>
          <w:rFonts w:asciiTheme="minorBidi" w:hAnsiTheme="minorBidi"/>
          <w:sz w:val="22"/>
          <w:szCs w:val="22"/>
        </w:rPr>
        <w:t>Hubackova, 201</w:t>
      </w:r>
      <w:r w:rsidR="001D0B1D" w:rsidRPr="00BC5E5D">
        <w:rPr>
          <w:rFonts w:asciiTheme="minorBidi" w:hAnsiTheme="minorBidi"/>
          <w:sz w:val="22"/>
          <w:szCs w:val="22"/>
        </w:rPr>
        <w:t>5).</w:t>
      </w:r>
    </w:p>
    <w:p w14:paraId="1DA7AF4F" w14:textId="7D42BB28" w:rsidR="005E73AE" w:rsidRPr="002A1145" w:rsidRDefault="005E73AE" w:rsidP="00213B41">
      <w:pPr>
        <w:spacing w:line="360" w:lineRule="auto"/>
        <w:jc w:val="both"/>
        <w:rPr>
          <w:rFonts w:asciiTheme="minorBidi" w:hAnsiTheme="minorBidi"/>
          <w:sz w:val="22"/>
          <w:szCs w:val="22"/>
          <w:highlight w:val="yellow"/>
        </w:rPr>
      </w:pPr>
      <w:r w:rsidRPr="00BC5E5D">
        <w:rPr>
          <w:rFonts w:asciiTheme="minorBidi" w:hAnsiTheme="minorBidi"/>
          <w:sz w:val="22"/>
          <w:szCs w:val="22"/>
          <w:highlight w:val="yellow"/>
        </w:rPr>
        <w:t>Understanding the historical background of e-learning is essential in a CPD context because it shows how the field has evolved over time, revealing which strategies have succeeded or failed, which design principles have persisted, and how institutional pressures such as cost, scale, and access have shaped development. Historical analyses of distance and online education (Betts</w:t>
      </w:r>
      <w:r w:rsidR="00BB641A" w:rsidRPr="00BC5E5D">
        <w:rPr>
          <w:rFonts w:asciiTheme="minorBidi" w:hAnsiTheme="minorBidi"/>
          <w:sz w:val="22"/>
          <w:szCs w:val="22"/>
          <w:highlight w:val="yellow"/>
        </w:rPr>
        <w:t xml:space="preserve"> et al.</w:t>
      </w:r>
      <w:r w:rsidRPr="00BC5E5D">
        <w:rPr>
          <w:rFonts w:asciiTheme="minorBidi" w:hAnsiTheme="minorBidi"/>
          <w:sz w:val="22"/>
          <w:szCs w:val="22"/>
          <w:highlight w:val="yellow"/>
        </w:rPr>
        <w:t>, 202</w:t>
      </w:r>
      <w:r w:rsidR="006B51A4">
        <w:rPr>
          <w:rFonts w:asciiTheme="minorBidi" w:hAnsiTheme="minorBidi"/>
          <w:sz w:val="22"/>
          <w:szCs w:val="22"/>
          <w:highlight w:val="yellow"/>
        </w:rPr>
        <w:t>1</w:t>
      </w:r>
      <w:r w:rsidRPr="00BC5E5D">
        <w:rPr>
          <w:rFonts w:asciiTheme="minorBidi" w:hAnsiTheme="minorBidi"/>
          <w:sz w:val="22"/>
          <w:szCs w:val="22"/>
          <w:highlight w:val="yellow"/>
        </w:rPr>
        <w:t xml:space="preserve">) and reviews of the driving forces behind e-learning in higher education (Gyambrah, 2007) demonstrate how technological change, institutional demands, and pedagogical priorities have </w:t>
      </w:r>
      <w:r w:rsidR="002A1145" w:rsidRPr="00BC5E5D">
        <w:rPr>
          <w:rFonts w:asciiTheme="minorBidi" w:hAnsiTheme="minorBidi"/>
          <w:sz w:val="22"/>
          <w:szCs w:val="22"/>
          <w:highlight w:val="yellow"/>
        </w:rPr>
        <w:t>constantly</w:t>
      </w:r>
      <w:r w:rsidRPr="00BC5E5D">
        <w:rPr>
          <w:rFonts w:asciiTheme="minorBidi" w:hAnsiTheme="minorBidi"/>
          <w:sz w:val="22"/>
          <w:szCs w:val="22"/>
          <w:highlight w:val="yellow"/>
        </w:rPr>
        <w:t xml:space="preserve"> influenced e-learning design. These insights help explain why e-learning is now viewed as especially suitable for academics’ </w:t>
      </w:r>
      <w:r w:rsidR="00174834" w:rsidRPr="00BC5E5D">
        <w:rPr>
          <w:rFonts w:asciiTheme="minorBidi" w:hAnsiTheme="minorBidi"/>
          <w:sz w:val="22"/>
          <w:szCs w:val="22"/>
          <w:highlight w:val="yellow"/>
        </w:rPr>
        <w:t>continuing</w:t>
      </w:r>
      <w:r w:rsidRPr="00BC5E5D">
        <w:rPr>
          <w:rFonts w:asciiTheme="minorBidi" w:hAnsiTheme="minorBidi"/>
          <w:sz w:val="22"/>
          <w:szCs w:val="22"/>
          <w:highlight w:val="yellow"/>
        </w:rPr>
        <w:t xml:space="preserve"> professional development</w:t>
      </w:r>
      <w:r w:rsidR="00371388">
        <w:rPr>
          <w:rFonts w:asciiTheme="minorBidi" w:hAnsiTheme="minorBidi"/>
          <w:sz w:val="22"/>
          <w:szCs w:val="22"/>
          <w:highlight w:val="yellow"/>
        </w:rPr>
        <w:t xml:space="preserve"> </w:t>
      </w:r>
      <w:r w:rsidR="00174834">
        <w:rPr>
          <w:rFonts w:asciiTheme="minorBidi" w:hAnsiTheme="minorBidi"/>
          <w:sz w:val="22"/>
          <w:szCs w:val="22"/>
          <w:highlight w:val="yellow"/>
        </w:rPr>
        <w:t>(CPD)</w:t>
      </w:r>
      <w:r w:rsidR="00322FC0">
        <w:rPr>
          <w:rFonts w:asciiTheme="minorBidi" w:hAnsiTheme="minorBidi"/>
          <w:sz w:val="22"/>
          <w:szCs w:val="22"/>
          <w:highlight w:val="yellow"/>
        </w:rPr>
        <w:t xml:space="preserve">. </w:t>
      </w:r>
      <w:r w:rsidR="00F04D45" w:rsidRPr="00F04D45">
        <w:rPr>
          <w:rFonts w:asciiTheme="minorBidi" w:hAnsiTheme="minorBidi"/>
          <w:sz w:val="22"/>
          <w:szCs w:val="22"/>
          <w:highlight w:val="yellow"/>
        </w:rPr>
        <w:t>E-learning offers flexibility, reach, scalability, and strong alignment with lifelong-learning imperatives (Klein &amp; Ware, 2003; Haleem, 2022; Akpen et al., 2024</w:t>
      </w:r>
      <w:r w:rsidR="0005690C">
        <w:rPr>
          <w:rFonts w:asciiTheme="minorBidi" w:hAnsiTheme="minorBidi"/>
          <w:sz w:val="22"/>
          <w:szCs w:val="22"/>
        </w:rPr>
        <w:t>;</w:t>
      </w:r>
      <w:r w:rsidR="00213B41" w:rsidRPr="00213B41">
        <w:t xml:space="preserve"> </w:t>
      </w:r>
      <w:r w:rsidR="00213B41" w:rsidRPr="00213B41">
        <w:rPr>
          <w:rFonts w:asciiTheme="minorBidi" w:hAnsiTheme="minorBidi"/>
          <w:sz w:val="22"/>
          <w:szCs w:val="22"/>
          <w:highlight w:val="yellow"/>
        </w:rPr>
        <w:t>Dritsas</w:t>
      </w:r>
      <w:r w:rsidR="00213B41">
        <w:rPr>
          <w:rFonts w:asciiTheme="minorBidi" w:hAnsiTheme="minorBidi"/>
          <w:sz w:val="22"/>
          <w:szCs w:val="22"/>
          <w:highlight w:val="yellow"/>
        </w:rPr>
        <w:t xml:space="preserve"> and </w:t>
      </w:r>
      <w:r w:rsidR="00213B41" w:rsidRPr="00213B41">
        <w:rPr>
          <w:rFonts w:asciiTheme="minorBidi" w:hAnsiTheme="minorBidi"/>
          <w:sz w:val="22"/>
          <w:szCs w:val="22"/>
          <w:highlight w:val="yellow"/>
        </w:rPr>
        <w:t xml:space="preserve"> Trigka</w:t>
      </w:r>
      <w:r w:rsidR="0005690C">
        <w:rPr>
          <w:rFonts w:asciiTheme="minorBidi" w:hAnsiTheme="minorBidi"/>
          <w:sz w:val="22"/>
          <w:szCs w:val="22"/>
          <w:highlight w:val="yellow"/>
        </w:rPr>
        <w:t xml:space="preserve">, </w:t>
      </w:r>
      <w:r w:rsidR="00213B41" w:rsidRPr="00213B41">
        <w:rPr>
          <w:rFonts w:asciiTheme="minorBidi" w:hAnsiTheme="minorBidi"/>
          <w:sz w:val="22"/>
          <w:szCs w:val="22"/>
          <w:highlight w:val="yellow"/>
        </w:rPr>
        <w:t>2025</w:t>
      </w:r>
      <w:r w:rsidRPr="00BC5E5D">
        <w:rPr>
          <w:rFonts w:asciiTheme="minorBidi" w:hAnsiTheme="minorBidi"/>
          <w:sz w:val="22"/>
          <w:szCs w:val="22"/>
          <w:highlight w:val="yellow"/>
        </w:rPr>
        <w:t xml:space="preserve">). Furthermore, research on enablers and barriers in e-learning (Regmi &amp; Jones, 2020) highlights the continuing role of access and resource factors in shaping effective CPD provision. In short, taking a historical perspective ensures that CPD-related e-learning research is not merely a snapshot of current practice but a critical reflection on how this field has emerged, adapted, and continues to evolve within the wider landscape of educational </w:t>
      </w:r>
      <w:commentRangeStart w:id="4"/>
      <w:r w:rsidRPr="00BC5E5D">
        <w:rPr>
          <w:rFonts w:asciiTheme="minorBidi" w:hAnsiTheme="minorBidi"/>
          <w:sz w:val="22"/>
          <w:szCs w:val="22"/>
          <w:highlight w:val="yellow"/>
        </w:rPr>
        <w:t>innovation</w:t>
      </w:r>
      <w:commentRangeEnd w:id="4"/>
      <w:r w:rsidR="002C16E4" w:rsidRPr="00BC5E5D">
        <w:rPr>
          <w:rStyle w:val="CommentReference"/>
          <w:rFonts w:asciiTheme="minorBidi" w:hAnsiTheme="minorBidi"/>
          <w:sz w:val="22"/>
          <w:szCs w:val="22"/>
          <w:highlight w:val="yellow"/>
        </w:rPr>
        <w:commentReference w:id="4"/>
      </w:r>
      <w:r w:rsidRPr="00BC5E5D">
        <w:rPr>
          <w:rFonts w:asciiTheme="minorBidi" w:hAnsiTheme="minorBidi"/>
          <w:sz w:val="22"/>
          <w:szCs w:val="22"/>
          <w:highlight w:val="yellow"/>
        </w:rPr>
        <w:t>.</w:t>
      </w:r>
    </w:p>
    <w:p w14:paraId="1D31C87D" w14:textId="77777777" w:rsidR="00F12015" w:rsidRPr="00BC5E5D" w:rsidRDefault="00F12015" w:rsidP="00BC5E5D">
      <w:pPr>
        <w:spacing w:line="360" w:lineRule="auto"/>
        <w:jc w:val="both"/>
        <w:rPr>
          <w:rFonts w:asciiTheme="minorBidi" w:hAnsiTheme="minorBidi"/>
          <w:sz w:val="22"/>
          <w:szCs w:val="22"/>
        </w:rPr>
      </w:pPr>
    </w:p>
    <w:p w14:paraId="09A81AB8" w14:textId="2235A96D" w:rsidR="00F12015" w:rsidRPr="00BC5E5D" w:rsidRDefault="00D33CD7" w:rsidP="00BC5E5D">
      <w:pPr>
        <w:spacing w:line="360" w:lineRule="auto"/>
        <w:jc w:val="both"/>
        <w:rPr>
          <w:rFonts w:asciiTheme="minorBidi" w:hAnsiTheme="minorBidi"/>
          <w:sz w:val="22"/>
          <w:szCs w:val="22"/>
        </w:rPr>
      </w:pPr>
      <w:r w:rsidRPr="00BC5E5D">
        <w:rPr>
          <w:rFonts w:asciiTheme="minorBidi" w:hAnsiTheme="minorBidi"/>
          <w:sz w:val="22"/>
          <w:szCs w:val="22"/>
        </w:rPr>
        <w:t xml:space="preserve">There is a clear and widely recognised difference between e-learning before the Internet </w:t>
      </w:r>
      <w:r w:rsidR="005F4865">
        <w:rPr>
          <w:rFonts w:asciiTheme="minorBidi" w:hAnsiTheme="minorBidi"/>
          <w:sz w:val="22"/>
          <w:szCs w:val="22"/>
        </w:rPr>
        <w:t xml:space="preserve">era </w:t>
      </w:r>
      <w:r w:rsidRPr="00BC5E5D">
        <w:rPr>
          <w:rFonts w:asciiTheme="minorBidi" w:hAnsiTheme="minorBidi"/>
          <w:sz w:val="22"/>
          <w:szCs w:val="22"/>
        </w:rPr>
        <w:t xml:space="preserve">and e-learning after the </w:t>
      </w:r>
      <w:r w:rsidR="72327286" w:rsidRPr="256F88E9">
        <w:rPr>
          <w:rFonts w:asciiTheme="minorBidi" w:hAnsiTheme="minorBidi"/>
          <w:sz w:val="22"/>
          <w:szCs w:val="22"/>
        </w:rPr>
        <w:t xml:space="preserve">introduction of the </w:t>
      </w:r>
      <w:r w:rsidRPr="00BC5E5D">
        <w:rPr>
          <w:rFonts w:asciiTheme="minorBidi" w:hAnsiTheme="minorBidi"/>
          <w:sz w:val="22"/>
          <w:szCs w:val="22"/>
        </w:rPr>
        <w:t>Internet</w:t>
      </w:r>
      <w:r w:rsidR="72327286" w:rsidRPr="256F88E9">
        <w:rPr>
          <w:rFonts w:asciiTheme="minorBidi" w:hAnsiTheme="minorBidi"/>
          <w:sz w:val="22"/>
          <w:szCs w:val="22"/>
        </w:rPr>
        <w:t xml:space="preserve"> (world wide web)</w:t>
      </w:r>
      <w:r w:rsidR="33D8EA89" w:rsidRPr="256F88E9">
        <w:rPr>
          <w:rFonts w:asciiTheme="minorBidi" w:hAnsiTheme="minorBidi"/>
          <w:sz w:val="22"/>
          <w:szCs w:val="22"/>
        </w:rPr>
        <w:t>.</w:t>
      </w:r>
      <w:r w:rsidRPr="00BC5E5D">
        <w:rPr>
          <w:rFonts w:asciiTheme="minorBidi" w:hAnsiTheme="minorBidi"/>
          <w:sz w:val="22"/>
          <w:szCs w:val="22"/>
        </w:rPr>
        <w:t xml:space="preserve"> The shift is </w:t>
      </w:r>
      <w:r w:rsidR="009721C1" w:rsidRPr="00BC5E5D">
        <w:rPr>
          <w:rFonts w:asciiTheme="minorBidi" w:hAnsiTheme="minorBidi"/>
          <w:sz w:val="22"/>
          <w:szCs w:val="22"/>
        </w:rPr>
        <w:t>therefore</w:t>
      </w:r>
      <w:r w:rsidRPr="00BC5E5D">
        <w:rPr>
          <w:rFonts w:asciiTheme="minorBidi" w:hAnsiTheme="minorBidi"/>
          <w:sz w:val="22"/>
          <w:szCs w:val="22"/>
        </w:rPr>
        <w:t xml:space="preserve"> substantial that many researchers treat them as two distinct eras in the evolution of </w:t>
      </w:r>
      <w:r w:rsidR="00301E40">
        <w:rPr>
          <w:rFonts w:asciiTheme="minorBidi" w:hAnsiTheme="minorBidi"/>
          <w:sz w:val="22"/>
          <w:szCs w:val="22"/>
        </w:rPr>
        <w:t>e-</w:t>
      </w:r>
      <w:r w:rsidRPr="00BC5E5D">
        <w:rPr>
          <w:rFonts w:asciiTheme="minorBidi" w:hAnsiTheme="minorBidi"/>
          <w:sz w:val="22"/>
          <w:szCs w:val="22"/>
        </w:rPr>
        <w:t>learning.</w:t>
      </w:r>
      <w:r w:rsidR="0003104E" w:rsidRPr="00BC5E5D">
        <w:rPr>
          <w:rFonts w:asciiTheme="minorBidi" w:hAnsiTheme="minorBidi"/>
          <w:sz w:val="22"/>
          <w:szCs w:val="22"/>
        </w:rPr>
        <w:t xml:space="preserve"> </w:t>
      </w:r>
      <w:r w:rsidRPr="00BC5E5D">
        <w:rPr>
          <w:rFonts w:asciiTheme="minorBidi" w:hAnsiTheme="minorBidi"/>
          <w:sz w:val="22"/>
          <w:szCs w:val="22"/>
        </w:rPr>
        <w:t>Zawacki-Richter (2023)</w:t>
      </w:r>
      <w:r w:rsidR="00301E40">
        <w:rPr>
          <w:rFonts w:asciiTheme="minorBidi" w:hAnsiTheme="minorBidi"/>
          <w:sz w:val="22"/>
          <w:szCs w:val="22"/>
        </w:rPr>
        <w:t>’</w:t>
      </w:r>
      <w:r w:rsidR="001D0B1D" w:rsidRPr="00BC5E5D">
        <w:rPr>
          <w:rFonts w:asciiTheme="minorBidi" w:hAnsiTheme="minorBidi"/>
          <w:sz w:val="22"/>
          <w:szCs w:val="22"/>
        </w:rPr>
        <w:t xml:space="preserve"> review </w:t>
      </w:r>
      <w:r w:rsidR="001A5839" w:rsidRPr="00BC5E5D">
        <w:rPr>
          <w:rFonts w:asciiTheme="minorBidi" w:hAnsiTheme="minorBidi"/>
          <w:sz w:val="22"/>
          <w:szCs w:val="22"/>
        </w:rPr>
        <w:t>outlines</w:t>
      </w:r>
      <w:r w:rsidRPr="00BC5E5D">
        <w:rPr>
          <w:rFonts w:asciiTheme="minorBidi" w:hAnsiTheme="minorBidi"/>
          <w:sz w:val="22"/>
          <w:szCs w:val="22"/>
        </w:rPr>
        <w:t xml:space="preserve"> how distance education emerged in the 1960s-70s </w:t>
      </w:r>
      <w:r w:rsidRPr="00BC5E5D">
        <w:rPr>
          <w:rFonts w:asciiTheme="minorBidi" w:hAnsiTheme="minorBidi"/>
          <w:sz w:val="22"/>
          <w:szCs w:val="22"/>
        </w:rPr>
        <w:lastRenderedPageBreak/>
        <w:t xml:space="preserve">and how terms like e-learning evolved from earlier distance learning traditions. </w:t>
      </w:r>
      <w:r w:rsidR="0003104E" w:rsidRPr="00BC5E5D">
        <w:rPr>
          <w:rFonts w:asciiTheme="minorBidi" w:hAnsiTheme="minorBidi"/>
          <w:sz w:val="22"/>
          <w:szCs w:val="22"/>
        </w:rPr>
        <w:t xml:space="preserve"> </w:t>
      </w:r>
      <w:r w:rsidRPr="00BC5E5D">
        <w:rPr>
          <w:rFonts w:asciiTheme="minorBidi" w:hAnsiTheme="minorBidi"/>
          <w:sz w:val="22"/>
          <w:szCs w:val="22"/>
        </w:rPr>
        <w:t xml:space="preserve">It clearly shows e-learning’s roots from pre-Internet distance education. </w:t>
      </w:r>
      <w:r w:rsidR="00D46E2C">
        <w:rPr>
          <w:rFonts w:asciiTheme="minorBidi" w:hAnsiTheme="minorBidi"/>
          <w:sz w:val="22"/>
          <w:szCs w:val="22"/>
        </w:rPr>
        <w:t>The article written on u</w:t>
      </w:r>
      <w:r w:rsidRPr="00BC5E5D">
        <w:rPr>
          <w:rFonts w:asciiTheme="minorBidi" w:hAnsiTheme="minorBidi"/>
          <w:sz w:val="22"/>
          <w:szCs w:val="22"/>
        </w:rPr>
        <w:t>nderlying factors of student engagement to e</w:t>
      </w:r>
      <w:r w:rsidRPr="00BC5E5D">
        <w:rPr>
          <w:rFonts w:ascii="Cambria Math" w:hAnsi="Cambria Math" w:cs="Cambria Math"/>
          <w:sz w:val="22"/>
          <w:szCs w:val="22"/>
        </w:rPr>
        <w:t>‑</w:t>
      </w:r>
      <w:r w:rsidRPr="00BC5E5D">
        <w:rPr>
          <w:rFonts w:asciiTheme="minorBidi" w:hAnsiTheme="minorBidi"/>
          <w:sz w:val="22"/>
          <w:szCs w:val="22"/>
        </w:rPr>
        <w:t>learning by Dubey (2023</w:t>
      </w:r>
      <w:r w:rsidR="0003104E" w:rsidRPr="00BC5E5D">
        <w:rPr>
          <w:rFonts w:asciiTheme="minorBidi" w:hAnsiTheme="minorBidi"/>
          <w:sz w:val="22"/>
          <w:szCs w:val="22"/>
        </w:rPr>
        <w:t xml:space="preserve">) </w:t>
      </w:r>
      <w:r w:rsidR="00D46E2C">
        <w:rPr>
          <w:rFonts w:asciiTheme="minorBidi" w:hAnsiTheme="minorBidi"/>
          <w:sz w:val="22"/>
          <w:szCs w:val="22"/>
        </w:rPr>
        <w:t xml:space="preserve">provides a </w:t>
      </w:r>
      <w:r w:rsidRPr="00BC5E5D">
        <w:rPr>
          <w:rFonts w:asciiTheme="minorBidi" w:hAnsiTheme="minorBidi"/>
          <w:sz w:val="22"/>
          <w:szCs w:val="22"/>
        </w:rPr>
        <w:t xml:space="preserve">discussion of e-learning’s long historical trajectory, </w:t>
      </w:r>
      <w:r w:rsidR="7E8D4368" w:rsidRPr="256F88E9">
        <w:rPr>
          <w:rFonts w:asciiTheme="minorBidi" w:hAnsiTheme="minorBidi"/>
          <w:sz w:val="22"/>
          <w:szCs w:val="22"/>
        </w:rPr>
        <w:t>a</w:t>
      </w:r>
      <w:r w:rsidR="33D8EA89" w:rsidRPr="256F88E9">
        <w:rPr>
          <w:rFonts w:asciiTheme="minorBidi" w:hAnsiTheme="minorBidi"/>
          <w:sz w:val="22"/>
          <w:szCs w:val="22"/>
        </w:rPr>
        <w:t xml:space="preserve"> </w:t>
      </w:r>
      <w:r w:rsidRPr="00BC5E5D">
        <w:rPr>
          <w:rFonts w:asciiTheme="minorBidi" w:hAnsiTheme="minorBidi"/>
          <w:sz w:val="22"/>
          <w:szCs w:val="22"/>
        </w:rPr>
        <w:t>linking 18th and 19th-century distance education roots to modern online learning.</w:t>
      </w:r>
    </w:p>
    <w:p w14:paraId="0AFC2011" w14:textId="77777777" w:rsidR="00F12015" w:rsidRPr="00BC5E5D" w:rsidRDefault="00F12015" w:rsidP="00BC5E5D">
      <w:pPr>
        <w:spacing w:line="360" w:lineRule="auto"/>
        <w:jc w:val="both"/>
        <w:rPr>
          <w:rFonts w:asciiTheme="minorBidi" w:hAnsiTheme="minorBidi"/>
          <w:sz w:val="22"/>
          <w:szCs w:val="22"/>
        </w:rPr>
      </w:pPr>
    </w:p>
    <w:p w14:paraId="294CD15D" w14:textId="43C6BDFE" w:rsidR="001D0B1D" w:rsidRPr="00074526" w:rsidRDefault="00FC527D" w:rsidP="00074526">
      <w:pPr>
        <w:spacing w:line="360" w:lineRule="auto"/>
        <w:jc w:val="both"/>
        <w:rPr>
          <w:rFonts w:asciiTheme="minorBidi" w:hAnsiTheme="minorBidi"/>
          <w:sz w:val="22"/>
          <w:szCs w:val="22"/>
          <w:highlight w:val="lightGray"/>
        </w:rPr>
      </w:pPr>
      <w:r w:rsidRPr="00BC5E5D">
        <w:rPr>
          <w:rFonts w:asciiTheme="minorBidi" w:hAnsiTheme="minorBidi"/>
          <w:sz w:val="22"/>
          <w:szCs w:val="22"/>
          <w:highlight w:val="lightGray"/>
        </w:rPr>
        <w:t>Accordingly, it is clear</w:t>
      </w:r>
      <w:r w:rsidR="001D0B1D" w:rsidRPr="00BC5E5D">
        <w:rPr>
          <w:rFonts w:asciiTheme="minorBidi" w:hAnsiTheme="minorBidi"/>
          <w:sz w:val="22"/>
          <w:szCs w:val="22"/>
          <w:highlight w:val="lightGray"/>
        </w:rPr>
        <w:t xml:space="preserve"> that the roots of e-learning extend far beyond the Internet era</w:t>
      </w:r>
      <w:r w:rsidR="00585EE6" w:rsidRPr="00BC5E5D">
        <w:rPr>
          <w:rFonts w:asciiTheme="minorBidi" w:hAnsiTheme="minorBidi"/>
          <w:sz w:val="22"/>
          <w:szCs w:val="22"/>
          <w:highlight w:val="lightGray"/>
        </w:rPr>
        <w:t xml:space="preserve"> </w:t>
      </w:r>
      <w:r w:rsidR="001D0B1D" w:rsidRPr="00BC5E5D">
        <w:rPr>
          <w:rFonts w:asciiTheme="minorBidi" w:hAnsiTheme="minorBidi"/>
          <w:sz w:val="22"/>
          <w:szCs w:val="22"/>
          <w:highlight w:val="lightGray"/>
        </w:rPr>
        <w:t>(</w:t>
      </w:r>
      <w:r w:rsidR="0043612C">
        <w:rPr>
          <w:rFonts w:asciiTheme="minorBidi" w:hAnsiTheme="minorBidi"/>
          <w:sz w:val="22"/>
          <w:szCs w:val="22"/>
          <w:highlight w:val="lightGray"/>
        </w:rPr>
        <w:t>Hunt</w:t>
      </w:r>
      <w:r w:rsidR="001D0B1D" w:rsidRPr="00BC5E5D">
        <w:rPr>
          <w:rFonts w:asciiTheme="minorBidi" w:hAnsiTheme="minorBidi"/>
          <w:sz w:val="22"/>
          <w:szCs w:val="22"/>
          <w:highlight w:val="lightGray"/>
        </w:rPr>
        <w:t>, 20</w:t>
      </w:r>
      <w:r w:rsidR="0043612C">
        <w:rPr>
          <w:rFonts w:asciiTheme="minorBidi" w:hAnsiTheme="minorBidi"/>
          <w:sz w:val="22"/>
          <w:szCs w:val="22"/>
          <w:highlight w:val="lightGray"/>
        </w:rPr>
        <w:t>20</w:t>
      </w:r>
      <w:r w:rsidR="001D0B1D" w:rsidRPr="00BC5E5D">
        <w:rPr>
          <w:rFonts w:asciiTheme="minorBidi" w:hAnsiTheme="minorBidi"/>
          <w:sz w:val="22"/>
          <w:szCs w:val="22"/>
          <w:highlight w:val="lightGray"/>
        </w:rPr>
        <w:t xml:space="preserve">). </w:t>
      </w:r>
      <w:r w:rsidR="000005B7">
        <w:rPr>
          <w:rFonts w:asciiTheme="minorBidi" w:hAnsiTheme="minorBidi"/>
          <w:sz w:val="22"/>
          <w:szCs w:val="22"/>
          <w:highlight w:val="lightGray"/>
        </w:rPr>
        <w:t>T</w:t>
      </w:r>
      <w:r w:rsidR="001D0B1D" w:rsidRPr="00BC5E5D">
        <w:rPr>
          <w:rFonts w:asciiTheme="minorBidi" w:hAnsiTheme="minorBidi"/>
          <w:sz w:val="22"/>
          <w:szCs w:val="22"/>
          <w:highlight w:val="lightGray"/>
        </w:rPr>
        <w:t xml:space="preserve">he rise of the Internet in the 1990s </w:t>
      </w:r>
      <w:r w:rsidR="006D5B26" w:rsidRPr="00BC5E5D">
        <w:rPr>
          <w:rFonts w:asciiTheme="minorBidi" w:hAnsiTheme="minorBidi"/>
          <w:sz w:val="22"/>
          <w:szCs w:val="22"/>
          <w:highlight w:val="lightGray"/>
        </w:rPr>
        <w:t xml:space="preserve">can be more remarkable </w:t>
      </w:r>
      <w:r w:rsidR="00A1799E">
        <w:rPr>
          <w:rFonts w:asciiTheme="minorBidi" w:hAnsiTheme="minorBidi"/>
          <w:sz w:val="22"/>
          <w:szCs w:val="22"/>
          <w:highlight w:val="lightGray"/>
        </w:rPr>
        <w:t>with</w:t>
      </w:r>
      <w:r w:rsidR="001D0B1D" w:rsidRPr="00BC5E5D">
        <w:rPr>
          <w:rFonts w:asciiTheme="minorBidi" w:hAnsiTheme="minorBidi"/>
          <w:sz w:val="22"/>
          <w:szCs w:val="22"/>
          <w:highlight w:val="lightGray"/>
        </w:rPr>
        <w:t xml:space="preserve"> the arrival of virtual learning environments and learning management systems </w:t>
      </w:r>
      <w:r w:rsidR="00A1799E">
        <w:rPr>
          <w:rFonts w:asciiTheme="minorBidi" w:hAnsiTheme="minorBidi"/>
          <w:sz w:val="22"/>
          <w:szCs w:val="22"/>
          <w:highlight w:val="lightGray"/>
        </w:rPr>
        <w:t xml:space="preserve">which </w:t>
      </w:r>
      <w:r w:rsidR="001D0B1D" w:rsidRPr="00BC5E5D">
        <w:rPr>
          <w:rFonts w:asciiTheme="minorBidi" w:hAnsiTheme="minorBidi"/>
          <w:sz w:val="22"/>
          <w:szCs w:val="22"/>
          <w:highlight w:val="lightGray"/>
        </w:rPr>
        <w:t>accelerated the transformation of distance education into more interactive, scalable, and flexible modalities</w:t>
      </w:r>
      <w:r w:rsidR="00585EE6" w:rsidRPr="00BC5E5D">
        <w:rPr>
          <w:rFonts w:asciiTheme="minorBidi" w:hAnsiTheme="minorBidi"/>
          <w:sz w:val="22"/>
          <w:szCs w:val="22"/>
          <w:highlight w:val="lightGray"/>
        </w:rPr>
        <w:t xml:space="preserve"> </w:t>
      </w:r>
      <w:r w:rsidR="001D0B1D" w:rsidRPr="00BC5E5D">
        <w:rPr>
          <w:rFonts w:asciiTheme="minorBidi" w:hAnsiTheme="minorBidi"/>
          <w:sz w:val="22"/>
          <w:szCs w:val="22"/>
          <w:highlight w:val="lightGray"/>
        </w:rPr>
        <w:t>(</w:t>
      </w:r>
      <w:r w:rsidR="001D0B1D" w:rsidRPr="00BC5E5D">
        <w:rPr>
          <w:rFonts w:asciiTheme="minorBidi" w:hAnsiTheme="minorBidi"/>
          <w:sz w:val="22"/>
          <w:szCs w:val="22"/>
        </w:rPr>
        <w:t>Nicholson, 2007, Sun, Finger and Liu, 2014)</w:t>
      </w:r>
      <w:r w:rsidR="001D0B1D" w:rsidRPr="00BC5E5D">
        <w:rPr>
          <w:rFonts w:asciiTheme="minorBidi" w:hAnsiTheme="minorBidi"/>
          <w:sz w:val="22"/>
          <w:szCs w:val="22"/>
          <w:highlight w:val="lightGray"/>
        </w:rPr>
        <w:t>.</w:t>
      </w:r>
      <w:r w:rsidR="00E76F5A">
        <w:rPr>
          <w:rFonts w:asciiTheme="minorBidi" w:hAnsiTheme="minorBidi"/>
          <w:sz w:val="22"/>
          <w:szCs w:val="22"/>
        </w:rPr>
        <w:t xml:space="preserve"> Therefore, t</w:t>
      </w:r>
      <w:r w:rsidR="00583C6C" w:rsidRPr="00BC5E5D">
        <w:rPr>
          <w:rFonts w:asciiTheme="minorBidi" w:hAnsiTheme="minorBidi"/>
          <w:sz w:val="22"/>
          <w:szCs w:val="22"/>
        </w:rPr>
        <w:t xml:space="preserve">he rise of the Internet in the 1990s marked a </w:t>
      </w:r>
      <w:r w:rsidR="00FC6245" w:rsidRPr="00BC5E5D">
        <w:rPr>
          <w:rFonts w:asciiTheme="minorBidi" w:hAnsiTheme="minorBidi"/>
          <w:sz w:val="22"/>
          <w:szCs w:val="22"/>
        </w:rPr>
        <w:t>fundamental</w:t>
      </w:r>
      <w:r w:rsidR="00583C6C" w:rsidRPr="00BC5E5D">
        <w:rPr>
          <w:rFonts w:asciiTheme="minorBidi" w:hAnsiTheme="minorBidi"/>
          <w:sz w:val="22"/>
          <w:szCs w:val="22"/>
        </w:rPr>
        <w:t xml:space="preserve"> shift for academics engaging in Continuing Professional Development (CPD), as it transformed how they access knowledge, engage in learning, and collaborate professionally. With online platforms and global connectivity, academics gained immediate access to scholarly resources and networks that were previously </w:t>
      </w:r>
      <w:r w:rsidR="00DF30E3">
        <w:rPr>
          <w:rFonts w:asciiTheme="minorBidi" w:hAnsiTheme="minorBidi"/>
          <w:sz w:val="22"/>
          <w:szCs w:val="22"/>
        </w:rPr>
        <w:t>restricted</w:t>
      </w:r>
      <w:r w:rsidR="00583C6C" w:rsidRPr="00BC5E5D">
        <w:rPr>
          <w:rFonts w:asciiTheme="minorBidi" w:hAnsiTheme="minorBidi"/>
          <w:sz w:val="22"/>
          <w:szCs w:val="22"/>
        </w:rPr>
        <w:t xml:space="preserve"> by geography and institutional constraints (Martínez-García et al., 2023). At the same time, the flexibility of Internet-enabled CPD allowed academics to pursue self-paced, anytime/anywhere learning, an important advantage given busy teaching and research workloads (Martínez-García et al., 2023). Moreover, this connectivity enabled the emergence of online communities of practice and networked learning, reinforcing CPD as collaborative, dialogic, and globally oriented</w:t>
      </w:r>
      <w:r w:rsidR="79C283DB" w:rsidRPr="256F88E9">
        <w:rPr>
          <w:rFonts w:asciiTheme="minorBidi" w:hAnsiTheme="minorBidi"/>
          <w:sz w:val="22"/>
          <w:szCs w:val="22"/>
        </w:rPr>
        <w:t xml:space="preserve"> </w:t>
      </w:r>
      <w:r w:rsidR="004E5566">
        <w:rPr>
          <w:rFonts w:asciiTheme="minorBidi" w:hAnsiTheme="minorBidi"/>
          <w:sz w:val="22"/>
          <w:szCs w:val="22"/>
        </w:rPr>
        <w:t>(Cork,2023)</w:t>
      </w:r>
      <w:r w:rsidR="00583C6C" w:rsidRPr="00BC5E5D">
        <w:rPr>
          <w:rFonts w:asciiTheme="minorBidi" w:hAnsiTheme="minorBidi"/>
          <w:sz w:val="22"/>
          <w:szCs w:val="22"/>
        </w:rPr>
        <w:t xml:space="preserve">. In parallel, the Internet era made new teaching and learning technologies strategic rather than optional, meaning academics now </w:t>
      </w:r>
      <w:r w:rsidR="00165AEA">
        <w:rPr>
          <w:rFonts w:asciiTheme="minorBidi" w:hAnsiTheme="minorBidi"/>
          <w:sz w:val="22"/>
          <w:szCs w:val="22"/>
        </w:rPr>
        <w:t>should</w:t>
      </w:r>
      <w:r w:rsidR="00583C6C" w:rsidRPr="00BC5E5D">
        <w:rPr>
          <w:rFonts w:asciiTheme="minorBidi" w:hAnsiTheme="minorBidi"/>
          <w:sz w:val="22"/>
          <w:szCs w:val="22"/>
        </w:rPr>
        <w:t xml:space="preserve"> continuously update their digital and pedagogical capacities to meet institutional demands (Zou et al., 2025). Taken together, these changes meant that CPD for academics evolved from occasional, localised events into ongoing, scalable, digital </w:t>
      </w:r>
      <w:r w:rsidR="003C0BBB">
        <w:rPr>
          <w:rFonts w:asciiTheme="minorBidi" w:hAnsiTheme="minorBidi"/>
          <w:sz w:val="22"/>
          <w:szCs w:val="22"/>
        </w:rPr>
        <w:t xml:space="preserve">and </w:t>
      </w:r>
      <w:r w:rsidR="00583C6C" w:rsidRPr="00BC5E5D">
        <w:rPr>
          <w:rFonts w:asciiTheme="minorBidi" w:hAnsiTheme="minorBidi"/>
          <w:sz w:val="22"/>
          <w:szCs w:val="22"/>
        </w:rPr>
        <w:t xml:space="preserve">professional learning reshaping the role of CPD in higher education </w:t>
      </w:r>
      <w:r w:rsidR="004E4C1C" w:rsidRPr="00BC5E5D">
        <w:rPr>
          <w:rFonts w:asciiTheme="minorBidi" w:hAnsiTheme="minorBidi"/>
          <w:sz w:val="22"/>
          <w:szCs w:val="22"/>
        </w:rPr>
        <w:t>because of</w:t>
      </w:r>
      <w:r w:rsidR="00583C6C" w:rsidRPr="00BC5E5D">
        <w:rPr>
          <w:rFonts w:asciiTheme="minorBidi" w:hAnsiTheme="minorBidi"/>
          <w:sz w:val="22"/>
          <w:szCs w:val="22"/>
        </w:rPr>
        <w:t xml:space="preserve"> the rise of internet from 1990s.</w:t>
      </w:r>
      <w:r w:rsidR="004E4C1C" w:rsidRPr="00BC5E5D">
        <w:rPr>
          <w:rFonts w:asciiTheme="minorBidi" w:hAnsiTheme="minorBidi"/>
          <w:sz w:val="22"/>
          <w:szCs w:val="22"/>
        </w:rPr>
        <w:t xml:space="preserve"> </w:t>
      </w:r>
      <w:r w:rsidR="003B3109" w:rsidRPr="00BC5E5D">
        <w:rPr>
          <w:rFonts w:asciiTheme="minorBidi" w:hAnsiTheme="minorBidi"/>
          <w:sz w:val="22"/>
          <w:szCs w:val="22"/>
          <w:highlight w:val="lightGray"/>
        </w:rPr>
        <w:t xml:space="preserve">Therefore, the discussion in next section will be divided as the e-learning before and after internet era. </w:t>
      </w:r>
    </w:p>
    <w:p w14:paraId="7CC8C80E" w14:textId="52C54654" w:rsidR="0000456D" w:rsidRDefault="00D46901" w:rsidP="004C2172">
      <w:pPr>
        <w:pStyle w:val="Heading2"/>
      </w:pPr>
      <w:bookmarkStart w:id="5" w:name="_Toc218503255"/>
      <w:r>
        <w:t xml:space="preserve"> </w:t>
      </w:r>
      <w:bookmarkStart w:id="6" w:name="_Toc218504080"/>
      <w:r w:rsidR="00460290" w:rsidRPr="00BC5E5D">
        <w:t>Before</w:t>
      </w:r>
      <w:r w:rsidR="00E25ADB" w:rsidRPr="00BC5E5D">
        <w:t xml:space="preserve"> internet era</w:t>
      </w:r>
      <w:bookmarkEnd w:id="5"/>
      <w:bookmarkEnd w:id="6"/>
      <w:r w:rsidR="00460290" w:rsidRPr="00BC5E5D">
        <w:t xml:space="preserve"> </w:t>
      </w:r>
    </w:p>
    <w:p w14:paraId="0A376EE1" w14:textId="06512460" w:rsidR="00966BF1" w:rsidRDefault="00476DD9" w:rsidP="004C2172">
      <w:pPr>
        <w:pStyle w:val="Heading3"/>
      </w:pPr>
      <w:bookmarkStart w:id="7" w:name="_Toc218503256"/>
      <w:bookmarkStart w:id="8" w:name="_Toc218504081"/>
      <w:r>
        <w:t>Before 1950s</w:t>
      </w:r>
      <w:bookmarkEnd w:id="7"/>
      <w:bookmarkEnd w:id="8"/>
    </w:p>
    <w:p w14:paraId="5E77AF71" w14:textId="77777777" w:rsidR="00F343F4" w:rsidRDefault="00F343F4" w:rsidP="00E71EBB">
      <w:pPr>
        <w:spacing w:line="360" w:lineRule="auto"/>
        <w:jc w:val="both"/>
        <w:rPr>
          <w:rFonts w:asciiTheme="minorBidi" w:hAnsiTheme="minorBidi"/>
          <w:sz w:val="22"/>
          <w:szCs w:val="22"/>
        </w:rPr>
      </w:pPr>
    </w:p>
    <w:p w14:paraId="7C882CB8" w14:textId="3AEAE0B3" w:rsidR="00F343F4" w:rsidRDefault="00F343F4" w:rsidP="00F343F4">
      <w:pPr>
        <w:spacing w:line="360" w:lineRule="auto"/>
        <w:jc w:val="both"/>
        <w:rPr>
          <w:rFonts w:asciiTheme="minorBidi" w:hAnsiTheme="minorBidi"/>
          <w:sz w:val="22"/>
          <w:szCs w:val="22"/>
        </w:rPr>
      </w:pPr>
      <w:r w:rsidRPr="00F343F4">
        <w:rPr>
          <w:rFonts w:asciiTheme="minorBidi" w:hAnsiTheme="minorBidi"/>
          <w:sz w:val="22"/>
          <w:szCs w:val="22"/>
        </w:rPr>
        <w:t>E-learning, although formally defined much later, is grounded in a much longer history of distance and technology-enhanced instruction. Early antecedents can be traced to nineteenth-century correspondence education, most notably Isaac Pitman’s shorthand lessons delivered by mail in 1840, which illustrated the viability of structured learning without physical co-</w:t>
      </w:r>
      <w:r w:rsidRPr="00F343F4">
        <w:rPr>
          <w:rFonts w:asciiTheme="minorBidi" w:hAnsiTheme="minorBidi"/>
          <w:sz w:val="22"/>
          <w:szCs w:val="22"/>
        </w:rPr>
        <w:lastRenderedPageBreak/>
        <w:t>presence (Watkins, 1991). Throughout the early twentieth century, correspondence programs expanded through institutions such as the University of Chicago and the International Correspondence Schools, helping to establish distance education as a recognized instructional model (Moore &amp; Kearsley, 2012). Advances in electronic communication further broadened these possibilities. By the 1920s, radio had emerged as an influential educational medium, with universities such as the University of Minnesota broadcasting instructional content (Saettler, 2004). During the same period, motion pictures gained prominence as visual teaching tools and were widely adopted during World War II, when the U.S. military used thousands of films for rapid technical training (Molenda, 2008). Complementing these media innovations, early teaching machines developed by Sidney Pressey in the 1920s introduced mechanical means of self-paced learning and immediate feedback, foreshadowing later computer-assisted instruction (Pressey, 1926). Experiments with telephone-based instruction in the 1930s and 1940s, including the University of Wisconsin’s “telephone courses,” further demonstrated the potential of real-time remote education (Saettler, 2004). Together, these developments</w:t>
      </w:r>
      <w:r w:rsidR="00785912">
        <w:rPr>
          <w:rFonts w:asciiTheme="minorBidi" w:hAnsiTheme="minorBidi"/>
          <w:sz w:val="22"/>
          <w:szCs w:val="22"/>
        </w:rPr>
        <w:t xml:space="preserve">, </w:t>
      </w:r>
      <w:r w:rsidRPr="00F343F4">
        <w:rPr>
          <w:rFonts w:asciiTheme="minorBidi" w:hAnsiTheme="minorBidi"/>
          <w:sz w:val="22"/>
          <w:szCs w:val="22"/>
        </w:rPr>
        <w:t>spanning print, broadcast media, mechanical devices, and telecommunications</w:t>
      </w:r>
      <w:r w:rsidR="00785912">
        <w:rPr>
          <w:rFonts w:asciiTheme="minorBidi" w:hAnsiTheme="minorBidi"/>
          <w:sz w:val="22"/>
          <w:szCs w:val="22"/>
        </w:rPr>
        <w:t xml:space="preserve"> </w:t>
      </w:r>
      <w:r w:rsidRPr="00F343F4">
        <w:rPr>
          <w:rFonts w:asciiTheme="minorBidi" w:hAnsiTheme="minorBidi"/>
          <w:sz w:val="22"/>
          <w:szCs w:val="22"/>
        </w:rPr>
        <w:t>laid the technological and pedagogical foundations from which contemporary e-learning emerged.</w:t>
      </w:r>
    </w:p>
    <w:p w14:paraId="489D043F" w14:textId="3A3363F5" w:rsidR="00570ED4" w:rsidRDefault="00E06880" w:rsidP="004C2172">
      <w:pPr>
        <w:pStyle w:val="Heading3"/>
      </w:pPr>
      <w:bookmarkStart w:id="9" w:name="_Toc218503257"/>
      <w:r>
        <w:t xml:space="preserve"> </w:t>
      </w:r>
      <w:bookmarkStart w:id="10" w:name="_Toc218504082"/>
      <w:r>
        <w:t>E-learning between 1950 to 1960</w:t>
      </w:r>
      <w:bookmarkEnd w:id="9"/>
      <w:bookmarkEnd w:id="10"/>
    </w:p>
    <w:p w14:paraId="3C23CC5F" w14:textId="6267E4AC" w:rsidR="00E06880" w:rsidRPr="00E06880" w:rsidRDefault="00E06880" w:rsidP="375272B2">
      <w:pPr>
        <w:spacing w:line="360" w:lineRule="auto"/>
        <w:jc w:val="both"/>
        <w:rPr>
          <w:rFonts w:asciiTheme="minorBidi" w:hAnsiTheme="minorBidi"/>
          <w:sz w:val="22"/>
          <w:szCs w:val="22"/>
        </w:rPr>
      </w:pPr>
      <w:r w:rsidRPr="375272B2">
        <w:rPr>
          <w:rFonts w:asciiTheme="minorBidi" w:hAnsiTheme="minorBidi"/>
          <w:sz w:val="22"/>
          <w:szCs w:val="22"/>
        </w:rPr>
        <w:t xml:space="preserve">Between 1950 and 1960, the foundations of modern e-learning were laid through teaching machines and programmed instruction, but this period is best understood as both innovative and deeply constrained by its </w:t>
      </w:r>
      <w:r w:rsidR="335F44A5" w:rsidRPr="375272B2">
        <w:rPr>
          <w:rFonts w:asciiTheme="minorBidi" w:hAnsiTheme="minorBidi"/>
          <w:sz w:val="22"/>
          <w:szCs w:val="22"/>
        </w:rPr>
        <w:t>behaviourist</w:t>
      </w:r>
      <w:r w:rsidRPr="375272B2">
        <w:rPr>
          <w:rFonts w:asciiTheme="minorBidi" w:hAnsiTheme="minorBidi"/>
          <w:sz w:val="22"/>
          <w:szCs w:val="22"/>
        </w:rPr>
        <w:t xml:space="preserve"> assumptions and social context. Early work by B. F. Skinner is central: his 1954 paper on teaching machines proposed mechanical devices that delivered small units of information, required an active response, and provided immediate feedback, aiming to apply operant conditioning to schooling (Skinner, </w:t>
      </w:r>
      <w:r w:rsidR="698562A5" w:rsidRPr="375272B2">
        <w:rPr>
          <w:rFonts w:asciiTheme="minorBidi" w:hAnsiTheme="minorBidi"/>
          <w:sz w:val="22"/>
          <w:szCs w:val="22"/>
        </w:rPr>
        <w:t>1953,</w:t>
      </w:r>
      <w:r w:rsidRPr="375272B2">
        <w:rPr>
          <w:rFonts w:asciiTheme="minorBidi" w:hAnsiTheme="minorBidi"/>
          <w:sz w:val="22"/>
          <w:szCs w:val="22"/>
        </w:rPr>
        <w:t>1954</w:t>
      </w:r>
      <w:r w:rsidR="660E80F2" w:rsidRPr="375272B2">
        <w:rPr>
          <w:rFonts w:asciiTheme="minorBidi" w:hAnsiTheme="minorBidi"/>
          <w:sz w:val="22"/>
          <w:szCs w:val="22"/>
        </w:rPr>
        <w:t>,1958,1</w:t>
      </w:r>
      <w:r w:rsidR="698562A5" w:rsidRPr="375272B2">
        <w:rPr>
          <w:rFonts w:asciiTheme="minorBidi" w:hAnsiTheme="minorBidi"/>
          <w:sz w:val="22"/>
          <w:szCs w:val="22"/>
        </w:rPr>
        <w:t>961</w:t>
      </w:r>
      <w:r w:rsidRPr="375272B2">
        <w:rPr>
          <w:rFonts w:asciiTheme="minorBidi" w:hAnsiTheme="minorBidi"/>
          <w:sz w:val="22"/>
          <w:szCs w:val="22"/>
        </w:rPr>
        <w:t xml:space="preserve">). </w:t>
      </w:r>
      <w:r w:rsidR="5C79F2E3" w:rsidRPr="375272B2">
        <w:rPr>
          <w:rFonts w:asciiTheme="minorBidi" w:hAnsiTheme="minorBidi"/>
          <w:sz w:val="22"/>
          <w:szCs w:val="22"/>
        </w:rPr>
        <w:t>Researchers</w:t>
      </w:r>
      <w:r w:rsidRPr="375272B2">
        <w:rPr>
          <w:rFonts w:asciiTheme="minorBidi" w:hAnsiTheme="minorBidi"/>
          <w:sz w:val="22"/>
          <w:szCs w:val="22"/>
        </w:rPr>
        <w:t xml:space="preserve"> claimed that such machines could individualize instruction, free teachers from rote tasks, and dramatically increase learning efficiency (Lumsdaine </w:t>
      </w:r>
      <w:r w:rsidR="7486D63E" w:rsidRPr="375272B2">
        <w:rPr>
          <w:rFonts w:asciiTheme="minorBidi" w:hAnsiTheme="minorBidi"/>
          <w:sz w:val="22"/>
          <w:szCs w:val="22"/>
        </w:rPr>
        <w:t xml:space="preserve">and </w:t>
      </w:r>
      <w:r w:rsidRPr="375272B2">
        <w:rPr>
          <w:rFonts w:asciiTheme="minorBidi" w:hAnsiTheme="minorBidi"/>
          <w:sz w:val="22"/>
          <w:szCs w:val="22"/>
        </w:rPr>
        <w:t xml:space="preserve"> Glaser, 1960). From a critical perspective, however, this was also a response to Cold War pressures for mass training and the perceived crisis in education following events like the launch of Sputnik (Cuban, 1986; Saettler, 2004). Learning was framed largely as a technical problem of efficiency and control, rather than a human or social process, which shaped both what counted as success</w:t>
      </w:r>
      <w:r w:rsidR="28841E87" w:rsidRPr="375272B2">
        <w:rPr>
          <w:rFonts w:asciiTheme="minorBidi" w:hAnsiTheme="minorBidi"/>
          <w:sz w:val="22"/>
          <w:szCs w:val="22"/>
        </w:rPr>
        <w:t xml:space="preserve"> </w:t>
      </w:r>
      <w:r w:rsidRPr="375272B2">
        <w:rPr>
          <w:rFonts w:asciiTheme="minorBidi" w:hAnsiTheme="minorBidi"/>
          <w:sz w:val="22"/>
          <w:szCs w:val="22"/>
        </w:rPr>
        <w:t xml:space="preserve"> and who these systems were built for.</w:t>
      </w:r>
    </w:p>
    <w:p w14:paraId="44642B4F" w14:textId="64072193" w:rsidR="00E06880" w:rsidRDefault="00E06880" w:rsidP="375272B2">
      <w:pPr>
        <w:spacing w:line="360" w:lineRule="auto"/>
        <w:jc w:val="both"/>
        <w:rPr>
          <w:rFonts w:asciiTheme="minorBidi" w:hAnsiTheme="minorBidi"/>
          <w:sz w:val="22"/>
          <w:szCs w:val="22"/>
        </w:rPr>
      </w:pPr>
      <w:r w:rsidRPr="375272B2">
        <w:rPr>
          <w:rFonts w:asciiTheme="minorBidi" w:hAnsiTheme="minorBidi"/>
          <w:sz w:val="22"/>
          <w:szCs w:val="22"/>
        </w:rPr>
        <w:t xml:space="preserve">The 1950s also saw the emergence of early computer-based instruction, especially at elite research universities. Experimental projects used mainframe computers for drill-and-practice or simple tutorials, culminating in the first version of the PLATO system at the University of Illinois in 1960, often cited as a landmark in computer-assisted instruction (Molenda, 2008; Saettler, 2004). </w:t>
      </w:r>
      <w:r w:rsidR="5678DC77" w:rsidRPr="375272B2">
        <w:rPr>
          <w:rFonts w:asciiTheme="minorBidi" w:hAnsiTheme="minorBidi"/>
          <w:sz w:val="22"/>
          <w:szCs w:val="22"/>
        </w:rPr>
        <w:t>However</w:t>
      </w:r>
      <w:r w:rsidR="08A14129" w:rsidRPr="375272B2">
        <w:rPr>
          <w:rFonts w:asciiTheme="minorBidi" w:hAnsiTheme="minorBidi"/>
          <w:sz w:val="22"/>
          <w:szCs w:val="22"/>
        </w:rPr>
        <w:t>,</w:t>
      </w:r>
      <w:r w:rsidRPr="375272B2">
        <w:rPr>
          <w:rFonts w:asciiTheme="minorBidi" w:hAnsiTheme="minorBidi"/>
          <w:sz w:val="22"/>
          <w:szCs w:val="22"/>
        </w:rPr>
        <w:t xml:space="preserve"> </w:t>
      </w:r>
      <w:r w:rsidR="5A6B71C1" w:rsidRPr="375272B2">
        <w:rPr>
          <w:rFonts w:asciiTheme="minorBidi" w:hAnsiTheme="minorBidi"/>
          <w:sz w:val="22"/>
          <w:szCs w:val="22"/>
        </w:rPr>
        <w:t>Skinner (</w:t>
      </w:r>
      <w:r w:rsidR="37BC77EC" w:rsidRPr="375272B2">
        <w:rPr>
          <w:rFonts w:asciiTheme="minorBidi" w:hAnsiTheme="minorBidi"/>
          <w:sz w:val="22"/>
          <w:szCs w:val="22"/>
        </w:rPr>
        <w:t xml:space="preserve">1958) argued that </w:t>
      </w:r>
      <w:r w:rsidRPr="375272B2">
        <w:rPr>
          <w:rFonts w:asciiTheme="minorBidi" w:hAnsiTheme="minorBidi"/>
          <w:sz w:val="22"/>
          <w:szCs w:val="22"/>
        </w:rPr>
        <w:t xml:space="preserve">access to such systems was extremely </w:t>
      </w:r>
      <w:r w:rsidRPr="375272B2">
        <w:rPr>
          <w:rFonts w:asciiTheme="minorBidi" w:hAnsiTheme="minorBidi"/>
          <w:sz w:val="22"/>
          <w:szCs w:val="22"/>
        </w:rPr>
        <w:lastRenderedPageBreak/>
        <w:t>limited</w:t>
      </w:r>
      <w:r w:rsidR="08A14129" w:rsidRPr="375272B2">
        <w:rPr>
          <w:rFonts w:asciiTheme="minorBidi" w:hAnsiTheme="minorBidi"/>
          <w:sz w:val="22"/>
          <w:szCs w:val="22"/>
        </w:rPr>
        <w:t>,</w:t>
      </w:r>
      <w:r w:rsidRPr="375272B2">
        <w:rPr>
          <w:rFonts w:asciiTheme="minorBidi" w:hAnsiTheme="minorBidi"/>
          <w:sz w:val="22"/>
          <w:szCs w:val="22"/>
        </w:rPr>
        <w:t xml:space="preserve"> they were expensive, centrali</w:t>
      </w:r>
      <w:r w:rsidR="4965B9E9" w:rsidRPr="375272B2">
        <w:rPr>
          <w:rFonts w:asciiTheme="minorBidi" w:hAnsiTheme="minorBidi"/>
          <w:sz w:val="22"/>
          <w:szCs w:val="22"/>
        </w:rPr>
        <w:t>s</w:t>
      </w:r>
      <w:r w:rsidRPr="375272B2">
        <w:rPr>
          <w:rFonts w:asciiTheme="minorBidi" w:hAnsiTheme="minorBidi"/>
          <w:sz w:val="22"/>
          <w:szCs w:val="22"/>
        </w:rPr>
        <w:t xml:space="preserve">ed, and largely restricted to well-funded institutions and military or corporate training programs. This raises equity </w:t>
      </w:r>
      <w:r w:rsidR="7227965B" w:rsidRPr="375272B2">
        <w:rPr>
          <w:rFonts w:asciiTheme="minorBidi" w:hAnsiTheme="minorBidi"/>
          <w:sz w:val="22"/>
          <w:szCs w:val="22"/>
        </w:rPr>
        <w:t>concerns, the</w:t>
      </w:r>
      <w:r w:rsidRPr="375272B2">
        <w:rPr>
          <w:rFonts w:asciiTheme="minorBidi" w:hAnsiTheme="minorBidi"/>
          <w:sz w:val="22"/>
          <w:szCs w:val="22"/>
        </w:rPr>
        <w:t xml:space="preserve"> benefits of early e-learning primarily served already advantaged groups, while the </w:t>
      </w:r>
      <w:r w:rsidR="7412D0CD" w:rsidRPr="375272B2">
        <w:rPr>
          <w:rFonts w:asciiTheme="minorBidi" w:hAnsiTheme="minorBidi"/>
          <w:sz w:val="22"/>
          <w:szCs w:val="22"/>
        </w:rPr>
        <w:t>discussion</w:t>
      </w:r>
      <w:r w:rsidRPr="375272B2">
        <w:rPr>
          <w:rFonts w:asciiTheme="minorBidi" w:hAnsiTheme="minorBidi"/>
          <w:sz w:val="22"/>
          <w:szCs w:val="22"/>
        </w:rPr>
        <w:t xml:space="preserve"> often suggested a universal solution to educational problems. Moreover, the pedagogical model was narrow. Programmed instruction treated knowledge as discrete bits to be sequenced and mastered, </w:t>
      </w:r>
      <w:r w:rsidR="5A9C6165" w:rsidRPr="375272B2">
        <w:rPr>
          <w:rFonts w:asciiTheme="minorBidi" w:hAnsiTheme="minorBidi"/>
          <w:sz w:val="22"/>
          <w:szCs w:val="22"/>
        </w:rPr>
        <w:t>favouring</w:t>
      </w:r>
      <w:r w:rsidRPr="375272B2">
        <w:rPr>
          <w:rFonts w:asciiTheme="minorBidi" w:hAnsiTheme="minorBidi"/>
          <w:sz w:val="22"/>
          <w:szCs w:val="22"/>
        </w:rPr>
        <w:t xml:space="preserve"> highly structured, linear paths through content (Skinner, 1958). Critics</w:t>
      </w:r>
      <w:r w:rsidR="37BC77EC" w:rsidRPr="375272B2">
        <w:rPr>
          <w:rFonts w:asciiTheme="minorBidi" w:hAnsiTheme="minorBidi"/>
          <w:sz w:val="22"/>
          <w:szCs w:val="22"/>
        </w:rPr>
        <w:t xml:space="preserve"> such as Cuban, 1986; Moore </w:t>
      </w:r>
      <w:r w:rsidR="2506F71F" w:rsidRPr="375272B2">
        <w:rPr>
          <w:rFonts w:asciiTheme="minorBidi" w:hAnsiTheme="minorBidi"/>
          <w:sz w:val="22"/>
          <w:szCs w:val="22"/>
        </w:rPr>
        <w:t>and Kearsley</w:t>
      </w:r>
      <w:r w:rsidR="37BC77EC" w:rsidRPr="375272B2">
        <w:rPr>
          <w:rFonts w:asciiTheme="minorBidi" w:hAnsiTheme="minorBidi"/>
          <w:sz w:val="22"/>
          <w:szCs w:val="22"/>
        </w:rPr>
        <w:t>, 2012</w:t>
      </w:r>
      <w:r w:rsidRPr="375272B2">
        <w:rPr>
          <w:rFonts w:asciiTheme="minorBidi" w:hAnsiTheme="minorBidi"/>
          <w:sz w:val="22"/>
          <w:szCs w:val="22"/>
        </w:rPr>
        <w:t xml:space="preserve"> have argued that this approach marginali</w:t>
      </w:r>
      <w:r w:rsidR="03BE3EB6" w:rsidRPr="375272B2">
        <w:rPr>
          <w:rFonts w:asciiTheme="minorBidi" w:hAnsiTheme="minorBidi"/>
          <w:sz w:val="22"/>
          <w:szCs w:val="22"/>
        </w:rPr>
        <w:t>s</w:t>
      </w:r>
      <w:r w:rsidRPr="375272B2">
        <w:rPr>
          <w:rFonts w:asciiTheme="minorBidi" w:hAnsiTheme="minorBidi"/>
          <w:sz w:val="22"/>
          <w:szCs w:val="22"/>
        </w:rPr>
        <w:t xml:space="preserve">ed higher-order skills such as critical thinking, creativity, and collaborative learning, reducing education to </w:t>
      </w:r>
      <w:r w:rsidR="0CD9399C" w:rsidRPr="375272B2">
        <w:rPr>
          <w:rFonts w:asciiTheme="minorBidi" w:hAnsiTheme="minorBidi"/>
          <w:sz w:val="22"/>
          <w:szCs w:val="22"/>
        </w:rPr>
        <w:t>behaviour</w:t>
      </w:r>
      <w:r w:rsidRPr="375272B2">
        <w:rPr>
          <w:rFonts w:asciiTheme="minorBidi" w:hAnsiTheme="minorBidi"/>
          <w:sz w:val="22"/>
          <w:szCs w:val="22"/>
        </w:rPr>
        <w:t xml:space="preserve"> change and correct responses. In addition, early evaluations of teaching machines and programmed instruction were often methodologically weak or short-term, emphasizing test score gains without examining broader learning outcomes, student agency, or long-term effects (Molenda, 2008). Overall, the 1950–1960 period was crucial for establishing the idea that machines and electronic systems could deliver instruction, but it also </w:t>
      </w:r>
      <w:r w:rsidR="6557483F" w:rsidRPr="375272B2">
        <w:rPr>
          <w:rFonts w:asciiTheme="minorBidi" w:hAnsiTheme="minorBidi"/>
          <w:sz w:val="22"/>
          <w:szCs w:val="22"/>
        </w:rPr>
        <w:t>restricted</w:t>
      </w:r>
      <w:r w:rsidRPr="375272B2">
        <w:rPr>
          <w:rFonts w:asciiTheme="minorBidi" w:hAnsiTheme="minorBidi"/>
          <w:sz w:val="22"/>
          <w:szCs w:val="22"/>
        </w:rPr>
        <w:t xml:space="preserve"> e-learning into a </w:t>
      </w:r>
      <w:r w:rsidR="6557483F" w:rsidRPr="375272B2">
        <w:rPr>
          <w:rFonts w:asciiTheme="minorBidi" w:hAnsiTheme="minorBidi"/>
          <w:sz w:val="22"/>
          <w:szCs w:val="22"/>
        </w:rPr>
        <w:t>behaviourist</w:t>
      </w:r>
      <w:r w:rsidRPr="375272B2">
        <w:rPr>
          <w:rFonts w:asciiTheme="minorBidi" w:hAnsiTheme="minorBidi"/>
          <w:sz w:val="22"/>
          <w:szCs w:val="22"/>
        </w:rPr>
        <w:t xml:space="preserve">, efficiency-driven paradigm that later researchers </w:t>
      </w:r>
      <w:r w:rsidR="06C6FEF1" w:rsidRPr="375272B2">
        <w:rPr>
          <w:rFonts w:asciiTheme="minorBidi" w:hAnsiTheme="minorBidi"/>
          <w:sz w:val="22"/>
          <w:szCs w:val="22"/>
        </w:rPr>
        <w:t>have</w:t>
      </w:r>
      <w:r w:rsidR="553EA224" w:rsidRPr="375272B2">
        <w:rPr>
          <w:rFonts w:asciiTheme="minorBidi" w:hAnsiTheme="minorBidi"/>
          <w:sz w:val="22"/>
          <w:szCs w:val="22"/>
        </w:rPr>
        <w:t xml:space="preserve"> been </w:t>
      </w:r>
      <w:r w:rsidR="648E3024" w:rsidRPr="375272B2">
        <w:rPr>
          <w:rFonts w:asciiTheme="minorBidi" w:hAnsiTheme="minorBidi"/>
          <w:sz w:val="22"/>
          <w:szCs w:val="22"/>
        </w:rPr>
        <w:t xml:space="preserve">addressed. </w:t>
      </w:r>
    </w:p>
    <w:p w14:paraId="0B9D5EC9" w14:textId="0D16D001" w:rsidR="375272B2" w:rsidRDefault="375272B2" w:rsidP="375272B2">
      <w:pPr>
        <w:spacing w:line="360" w:lineRule="auto"/>
        <w:jc w:val="both"/>
        <w:rPr>
          <w:rFonts w:asciiTheme="minorBidi" w:hAnsiTheme="minorBidi"/>
          <w:sz w:val="22"/>
          <w:szCs w:val="22"/>
        </w:rPr>
      </w:pPr>
    </w:p>
    <w:p w14:paraId="5C2455EA" w14:textId="49B6BE37" w:rsidR="00891A7B" w:rsidRDefault="009D69C6" w:rsidP="004C2172">
      <w:pPr>
        <w:pStyle w:val="Heading3"/>
      </w:pPr>
      <w:bookmarkStart w:id="11" w:name="_Toc218503258"/>
      <w:r>
        <w:t xml:space="preserve"> </w:t>
      </w:r>
      <w:bookmarkStart w:id="12" w:name="_Toc218504083"/>
      <w:r>
        <w:t xml:space="preserve">E-learning between </w:t>
      </w:r>
      <w:r w:rsidR="005A6801">
        <w:t>1961 to 1970</w:t>
      </w:r>
      <w:bookmarkEnd w:id="11"/>
      <w:bookmarkEnd w:id="12"/>
    </w:p>
    <w:p w14:paraId="3C0194FB" w14:textId="7F7C3A1E" w:rsidR="00E06880" w:rsidRDefault="009D3D75" w:rsidP="002C07A6">
      <w:pPr>
        <w:spacing w:line="360" w:lineRule="auto"/>
        <w:jc w:val="both"/>
        <w:rPr>
          <w:rFonts w:asciiTheme="minorBidi" w:hAnsiTheme="minorBidi"/>
          <w:sz w:val="22"/>
          <w:szCs w:val="22"/>
        </w:rPr>
      </w:pPr>
      <w:r>
        <w:rPr>
          <w:rFonts w:asciiTheme="minorBidi" w:hAnsiTheme="minorBidi"/>
          <w:sz w:val="22"/>
          <w:szCs w:val="22"/>
        </w:rPr>
        <w:t xml:space="preserve">Many </w:t>
      </w:r>
      <w:r w:rsidR="00074526">
        <w:rPr>
          <w:rFonts w:asciiTheme="minorBidi" w:hAnsiTheme="minorBidi"/>
          <w:sz w:val="22"/>
          <w:szCs w:val="22"/>
        </w:rPr>
        <w:t>scholars</w:t>
      </w:r>
      <w:r>
        <w:rPr>
          <w:rFonts w:asciiTheme="minorBidi" w:hAnsiTheme="minorBidi"/>
          <w:sz w:val="22"/>
          <w:szCs w:val="22"/>
        </w:rPr>
        <w:t xml:space="preserve"> argued that t</w:t>
      </w:r>
      <w:r w:rsidR="002C07A6" w:rsidRPr="002C07A6">
        <w:rPr>
          <w:rFonts w:asciiTheme="minorBidi" w:hAnsiTheme="minorBidi"/>
          <w:sz w:val="22"/>
          <w:szCs w:val="22"/>
        </w:rPr>
        <w:t xml:space="preserve">he decade 1961–1970 is widely regarded as the formative era of modern e-learning, marked by major advances in computer-assisted instruction (CAI), early networking technologies, and the evolution of teaching machines (Suppes </w:t>
      </w:r>
      <w:r>
        <w:rPr>
          <w:rFonts w:asciiTheme="minorBidi" w:hAnsiTheme="minorBidi"/>
          <w:sz w:val="22"/>
          <w:szCs w:val="22"/>
        </w:rPr>
        <w:t xml:space="preserve">and </w:t>
      </w:r>
      <w:r w:rsidR="002C07A6" w:rsidRPr="002C07A6">
        <w:rPr>
          <w:rFonts w:asciiTheme="minorBidi" w:hAnsiTheme="minorBidi"/>
          <w:sz w:val="22"/>
          <w:szCs w:val="22"/>
        </w:rPr>
        <w:t xml:space="preserve"> Atkinson, 1967; Bitzer, Braunfeld, </w:t>
      </w:r>
      <w:r>
        <w:rPr>
          <w:rFonts w:asciiTheme="minorBidi" w:hAnsiTheme="minorBidi"/>
          <w:sz w:val="22"/>
          <w:szCs w:val="22"/>
        </w:rPr>
        <w:t>and</w:t>
      </w:r>
      <w:r w:rsidR="002C07A6" w:rsidRPr="002C07A6">
        <w:rPr>
          <w:rFonts w:asciiTheme="minorBidi" w:hAnsiTheme="minorBidi"/>
          <w:sz w:val="22"/>
          <w:szCs w:val="22"/>
        </w:rPr>
        <w:t xml:space="preserve"> Lyman, 1961; Molenda, 2008; Saettler, 2004).</w:t>
      </w:r>
      <w:r w:rsidR="00327E32" w:rsidRPr="00DD384E">
        <w:rPr>
          <w:rFonts w:asciiTheme="minorBidi" w:hAnsiTheme="minorBidi"/>
          <w:sz w:val="22"/>
          <w:szCs w:val="22"/>
        </w:rPr>
        <w:t xml:space="preserve">The introduction of PLATO, developed at the University of Illinois in 1960–1961, represented one of the first large-scale CAI systems, incorporating innovations such as interactive terminals, touch-sensitive screens, and early online communication tools including forums and message boards (Bitzer, Lichtenberger, </w:t>
      </w:r>
      <w:r w:rsidR="00D35067">
        <w:rPr>
          <w:rFonts w:asciiTheme="minorBidi" w:hAnsiTheme="minorBidi"/>
          <w:sz w:val="22"/>
          <w:szCs w:val="22"/>
        </w:rPr>
        <w:t xml:space="preserve">and </w:t>
      </w:r>
      <w:r w:rsidR="00327E32" w:rsidRPr="00DD384E">
        <w:rPr>
          <w:rFonts w:asciiTheme="minorBidi" w:hAnsiTheme="minorBidi"/>
          <w:sz w:val="22"/>
          <w:szCs w:val="22"/>
        </w:rPr>
        <w:t xml:space="preserve"> Fingleton, 1961). At the same time, educational practices were influenced by B.F. Skinner’s work on teaching machines and programmed instruction, which brought structured, step-based learning into widespread classroom use during the early 1960s (Skinner, 1961). These developments marked a notable shift from the mechanical teaching devices of the 1950s to digital, computer-based learning environments driven by advances in mainframe computing. The late 1960s</w:t>
      </w:r>
      <w:r w:rsidR="00365A5C">
        <w:rPr>
          <w:rFonts w:asciiTheme="minorBidi" w:hAnsiTheme="minorBidi"/>
          <w:sz w:val="22"/>
          <w:szCs w:val="22"/>
        </w:rPr>
        <w:t>,</w:t>
      </w:r>
      <w:r w:rsidR="00327E32" w:rsidRPr="00DD384E">
        <w:rPr>
          <w:rFonts w:asciiTheme="minorBidi" w:hAnsiTheme="minorBidi"/>
          <w:sz w:val="22"/>
          <w:szCs w:val="22"/>
        </w:rPr>
        <w:t xml:space="preserve"> further expansion with systems such as the IBM 1500 Instructional System (1966)</w:t>
      </w:r>
      <w:r w:rsidR="00365A5C">
        <w:rPr>
          <w:rFonts w:asciiTheme="minorBidi" w:hAnsiTheme="minorBidi"/>
          <w:sz w:val="22"/>
          <w:szCs w:val="22"/>
        </w:rPr>
        <w:t xml:space="preserve"> </w:t>
      </w:r>
      <w:r w:rsidR="00327E32" w:rsidRPr="00DD384E">
        <w:rPr>
          <w:rFonts w:asciiTheme="minorBidi" w:hAnsiTheme="minorBidi"/>
          <w:sz w:val="22"/>
          <w:szCs w:val="22"/>
        </w:rPr>
        <w:t>provided multimedia capability</w:t>
      </w:r>
      <w:r w:rsidR="00C626F3">
        <w:rPr>
          <w:rFonts w:asciiTheme="minorBidi" w:hAnsiTheme="minorBidi"/>
          <w:sz w:val="22"/>
          <w:szCs w:val="22"/>
        </w:rPr>
        <w:t xml:space="preserve"> </w:t>
      </w:r>
      <w:r w:rsidR="00327E32" w:rsidRPr="00DD384E">
        <w:rPr>
          <w:rFonts w:asciiTheme="minorBidi" w:hAnsiTheme="minorBidi"/>
          <w:sz w:val="22"/>
          <w:szCs w:val="22"/>
        </w:rPr>
        <w:t>including graphics, audio, and performance tracking</w:t>
      </w:r>
      <w:r w:rsidR="00C626F3">
        <w:rPr>
          <w:rFonts w:asciiTheme="minorBidi" w:hAnsiTheme="minorBidi"/>
          <w:sz w:val="22"/>
          <w:szCs w:val="22"/>
        </w:rPr>
        <w:t xml:space="preserve"> </w:t>
      </w:r>
      <w:r w:rsidR="00327E32" w:rsidRPr="00DD384E">
        <w:rPr>
          <w:rFonts w:asciiTheme="minorBidi" w:hAnsiTheme="minorBidi"/>
          <w:sz w:val="22"/>
          <w:szCs w:val="22"/>
        </w:rPr>
        <w:t>and facilitated early large-scale adoption of CAI in educational institutions (Fein, 1967). At the networking frontier, the launch of ARPANET in 1969 introduced long-distance digital communication, including email and remote access, establishing foundational technologies that would later support online learning (Hafner &amp; Lyon, 199</w:t>
      </w:r>
      <w:r w:rsidR="00B2749A">
        <w:rPr>
          <w:rFonts w:asciiTheme="minorBidi" w:hAnsiTheme="minorBidi"/>
          <w:sz w:val="22"/>
          <w:szCs w:val="22"/>
        </w:rPr>
        <w:t>8</w:t>
      </w:r>
      <w:r w:rsidR="00327E32" w:rsidRPr="00DD384E">
        <w:rPr>
          <w:rFonts w:asciiTheme="minorBidi" w:hAnsiTheme="minorBidi"/>
          <w:sz w:val="22"/>
          <w:szCs w:val="22"/>
        </w:rPr>
        <w:t xml:space="preserve">). Meanwhile, improvements to PLATO, particularly the release of PLATO III in 1968, enabled </w:t>
      </w:r>
      <w:r w:rsidR="00327E32" w:rsidRPr="00DD384E">
        <w:rPr>
          <w:rFonts w:asciiTheme="minorBidi" w:hAnsiTheme="minorBidi"/>
          <w:sz w:val="22"/>
          <w:szCs w:val="22"/>
        </w:rPr>
        <w:lastRenderedPageBreak/>
        <w:t xml:space="preserve">multi-user time-sharing and integrated features such as chat, message boards, and online assessment, bringing the system closer to the interactive, networked e-learning platforms seen today (Woolley, 1994). Together, these innovations </w:t>
      </w:r>
      <w:r w:rsidR="00B651A7">
        <w:rPr>
          <w:rFonts w:asciiTheme="minorBidi" w:hAnsiTheme="minorBidi"/>
          <w:sz w:val="22"/>
          <w:szCs w:val="22"/>
        </w:rPr>
        <w:t xml:space="preserve">indicated </w:t>
      </w:r>
      <w:r w:rsidR="00327E32" w:rsidRPr="00DD384E">
        <w:rPr>
          <w:rFonts w:asciiTheme="minorBidi" w:hAnsiTheme="minorBidi"/>
          <w:sz w:val="22"/>
          <w:szCs w:val="22"/>
        </w:rPr>
        <w:t xml:space="preserve"> a major transition from isolated, single-user learning machines to early forms of connected, multimedia-rich digital learning environments.</w:t>
      </w:r>
    </w:p>
    <w:p w14:paraId="46163768" w14:textId="64B8EC31" w:rsidR="003C78C8" w:rsidRPr="00DD384E" w:rsidRDefault="003C78C8" w:rsidP="003C78C8">
      <w:pPr>
        <w:spacing w:line="360" w:lineRule="auto"/>
        <w:jc w:val="both"/>
        <w:rPr>
          <w:rFonts w:asciiTheme="minorBidi" w:hAnsiTheme="minorBidi"/>
          <w:sz w:val="22"/>
          <w:szCs w:val="22"/>
        </w:rPr>
      </w:pPr>
      <w:r w:rsidRPr="003C78C8">
        <w:rPr>
          <w:rFonts w:asciiTheme="minorBidi" w:hAnsiTheme="minorBidi"/>
          <w:sz w:val="22"/>
          <w:szCs w:val="22"/>
          <w:highlight w:val="yellow"/>
        </w:rPr>
        <w:t>To synthesise the key technological, pedagogical, and institutional differences between early e-learning developments before 1961 and those emerging during the 1961–1970 period, Table 1 provides a comparative overview of major innovations across technology, interaction, networking, adoption, and pedagogy. This comparison highlights how early behaviourist, mechanically driven models of instruction began to evolve into more interactive, computer-based learning environments, while also revealing the persistence of underlying assumptions about efficiency, control, and scalability.</w:t>
      </w:r>
    </w:p>
    <w:p w14:paraId="5B5F988B" w14:textId="2AF2065E" w:rsidR="00DD384E" w:rsidRPr="00DD384E" w:rsidRDefault="00AC2F89" w:rsidP="00327E32">
      <w:pPr>
        <w:spacing w:line="360" w:lineRule="auto"/>
        <w:jc w:val="both"/>
        <w:rPr>
          <w:rFonts w:asciiTheme="minorBidi" w:hAnsiTheme="minorBidi"/>
          <w:sz w:val="22"/>
          <w:szCs w:val="22"/>
        </w:rPr>
      </w:pPr>
      <w:r>
        <w:rPr>
          <w:rFonts w:asciiTheme="minorBidi" w:hAnsiTheme="minorBidi"/>
          <w:sz w:val="22"/>
          <w:szCs w:val="22"/>
        </w:rPr>
        <w:t>Table 1:e</w:t>
      </w:r>
      <w:r w:rsidR="009D69C6">
        <w:rPr>
          <w:rFonts w:asciiTheme="minorBidi" w:hAnsiTheme="minorBidi"/>
          <w:sz w:val="22"/>
          <w:szCs w:val="22"/>
        </w:rPr>
        <w:t>- l</w:t>
      </w:r>
      <w:r>
        <w:rPr>
          <w:rFonts w:asciiTheme="minorBidi" w:hAnsiTheme="minorBidi"/>
          <w:sz w:val="22"/>
          <w:szCs w:val="22"/>
        </w:rPr>
        <w:t xml:space="preserve">earning </w:t>
      </w:r>
      <w:r w:rsidR="005733A8">
        <w:rPr>
          <w:rFonts w:asciiTheme="minorBidi" w:hAnsiTheme="minorBidi"/>
          <w:sz w:val="22"/>
          <w:szCs w:val="22"/>
        </w:rPr>
        <w:t xml:space="preserve">pre-1961 and </w:t>
      </w:r>
      <w:r w:rsidR="005733A8" w:rsidRPr="00DD384E">
        <w:rPr>
          <w:rFonts w:asciiTheme="minorBidi" w:hAnsiTheme="minorBidi"/>
          <w:sz w:val="22"/>
          <w:szCs w:val="22"/>
        </w:rPr>
        <w:t>1961–1970 Innovations</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1564"/>
        <w:gridCol w:w="2264"/>
        <w:gridCol w:w="5168"/>
      </w:tblGrid>
      <w:tr w:rsidR="00DD384E" w:rsidRPr="00DD384E" w14:paraId="5BD53B48" w14:textId="77777777" w:rsidTr="00FF04DD">
        <w:trPr>
          <w:tblHeader/>
          <w:tblCellSpacing w:w="15" w:type="dxa"/>
        </w:trPr>
        <w:tc>
          <w:tcPr>
            <w:tcW w:w="0" w:type="auto"/>
            <w:shd w:val="clear" w:color="auto" w:fill="D1D1D1" w:themeFill="background2" w:themeFillShade="E6"/>
            <w:vAlign w:val="center"/>
            <w:hideMark/>
          </w:tcPr>
          <w:p w14:paraId="1E2B2918"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Development Area</w:t>
            </w:r>
          </w:p>
        </w:tc>
        <w:tc>
          <w:tcPr>
            <w:tcW w:w="0" w:type="auto"/>
            <w:shd w:val="clear" w:color="auto" w:fill="D1D1D1" w:themeFill="background2" w:themeFillShade="E6"/>
            <w:vAlign w:val="center"/>
            <w:hideMark/>
          </w:tcPr>
          <w:p w14:paraId="78D42FC5"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Pre-1961</w:t>
            </w:r>
          </w:p>
        </w:tc>
        <w:tc>
          <w:tcPr>
            <w:tcW w:w="0" w:type="auto"/>
            <w:shd w:val="clear" w:color="auto" w:fill="D1D1D1" w:themeFill="background2" w:themeFillShade="E6"/>
            <w:vAlign w:val="center"/>
            <w:hideMark/>
          </w:tcPr>
          <w:p w14:paraId="7F397F4A" w14:textId="5D764484"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 xml:space="preserve">1961–1970 Innovations </w:t>
            </w:r>
          </w:p>
        </w:tc>
      </w:tr>
      <w:tr w:rsidR="00DD384E" w:rsidRPr="00DD384E" w14:paraId="2EE15AC4" w14:textId="77777777" w:rsidTr="00FF04DD">
        <w:trPr>
          <w:tblCellSpacing w:w="15" w:type="dxa"/>
        </w:trPr>
        <w:tc>
          <w:tcPr>
            <w:tcW w:w="0" w:type="auto"/>
            <w:vAlign w:val="center"/>
            <w:hideMark/>
          </w:tcPr>
          <w:p w14:paraId="1E502DAC"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Technology</w:t>
            </w:r>
          </w:p>
        </w:tc>
        <w:tc>
          <w:tcPr>
            <w:tcW w:w="0" w:type="auto"/>
            <w:vAlign w:val="center"/>
            <w:hideMark/>
          </w:tcPr>
          <w:p w14:paraId="04F4E446"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Mechanical teaching machines (Skinner, 1961)</w:t>
            </w:r>
          </w:p>
        </w:tc>
        <w:tc>
          <w:tcPr>
            <w:tcW w:w="0" w:type="auto"/>
            <w:vAlign w:val="center"/>
            <w:hideMark/>
          </w:tcPr>
          <w:p w14:paraId="41E5FB2A"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Digital CAI systems such as PLATO (Bitzer et al., 1961) and IBM 1500 (Fein, 1967)</w:t>
            </w:r>
          </w:p>
        </w:tc>
      </w:tr>
      <w:tr w:rsidR="00DD384E" w:rsidRPr="00DD384E" w14:paraId="44AAE5F3" w14:textId="77777777" w:rsidTr="00FF04DD">
        <w:trPr>
          <w:tblCellSpacing w:w="15" w:type="dxa"/>
        </w:trPr>
        <w:tc>
          <w:tcPr>
            <w:tcW w:w="0" w:type="auto"/>
            <w:vAlign w:val="center"/>
            <w:hideMark/>
          </w:tcPr>
          <w:p w14:paraId="1663E93F"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Interaction</w:t>
            </w:r>
          </w:p>
        </w:tc>
        <w:tc>
          <w:tcPr>
            <w:tcW w:w="0" w:type="auto"/>
            <w:vAlign w:val="center"/>
            <w:hideMark/>
          </w:tcPr>
          <w:p w14:paraId="11F7D9C6"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Linear, programmed instruction (Skinner, 1961)</w:t>
            </w:r>
          </w:p>
        </w:tc>
        <w:tc>
          <w:tcPr>
            <w:tcW w:w="0" w:type="auto"/>
            <w:vAlign w:val="center"/>
            <w:hideMark/>
          </w:tcPr>
          <w:p w14:paraId="6C6A4A22"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Interactive graphics, learner feedback, touch-sensitive interfaces in PLATO III (Woolley, 1994)</w:t>
            </w:r>
          </w:p>
        </w:tc>
      </w:tr>
      <w:tr w:rsidR="00DD384E" w:rsidRPr="00DD384E" w14:paraId="44B863E5" w14:textId="77777777" w:rsidTr="00FF04DD">
        <w:trPr>
          <w:tblCellSpacing w:w="15" w:type="dxa"/>
        </w:trPr>
        <w:tc>
          <w:tcPr>
            <w:tcW w:w="0" w:type="auto"/>
            <w:vAlign w:val="center"/>
            <w:hideMark/>
          </w:tcPr>
          <w:p w14:paraId="6B446ED2"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Networking</w:t>
            </w:r>
          </w:p>
        </w:tc>
        <w:tc>
          <w:tcPr>
            <w:tcW w:w="0" w:type="auto"/>
            <w:vAlign w:val="center"/>
            <w:hideMark/>
          </w:tcPr>
          <w:p w14:paraId="3B5C5C6F"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No networked learning systems</w:t>
            </w:r>
          </w:p>
        </w:tc>
        <w:tc>
          <w:tcPr>
            <w:tcW w:w="0" w:type="auto"/>
            <w:vAlign w:val="center"/>
            <w:hideMark/>
          </w:tcPr>
          <w:p w14:paraId="6152E8C3"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Multi-user, time-shared learning networks via PLATO III (Woolley, 1994) and packet-switched communication emerging from ARPANET (Hafner &amp; Lyon, 1996)</w:t>
            </w:r>
          </w:p>
        </w:tc>
      </w:tr>
      <w:tr w:rsidR="00DD384E" w:rsidRPr="00DD384E" w14:paraId="1359D338" w14:textId="77777777" w:rsidTr="00FF04DD">
        <w:trPr>
          <w:tblCellSpacing w:w="15" w:type="dxa"/>
        </w:trPr>
        <w:tc>
          <w:tcPr>
            <w:tcW w:w="0" w:type="auto"/>
            <w:vAlign w:val="center"/>
            <w:hideMark/>
          </w:tcPr>
          <w:p w14:paraId="70DD26F9"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Adoption</w:t>
            </w:r>
          </w:p>
        </w:tc>
        <w:tc>
          <w:tcPr>
            <w:tcW w:w="0" w:type="auto"/>
            <w:vAlign w:val="center"/>
            <w:hideMark/>
          </w:tcPr>
          <w:p w14:paraId="6F2D160A"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Experimental use in limited educational settings</w:t>
            </w:r>
          </w:p>
        </w:tc>
        <w:tc>
          <w:tcPr>
            <w:tcW w:w="0" w:type="auto"/>
            <w:vAlign w:val="center"/>
            <w:hideMark/>
          </w:tcPr>
          <w:p w14:paraId="2FB379F1"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Expansion of CAI into schools and universities through IBM 1500 deployment (Fein, 1967) and PLATO expansion (Bitzer et al., 1961)</w:t>
            </w:r>
          </w:p>
        </w:tc>
      </w:tr>
      <w:tr w:rsidR="00DD384E" w:rsidRPr="00DD384E" w14:paraId="0642BC3B" w14:textId="77777777" w:rsidTr="00FF04DD">
        <w:trPr>
          <w:tblCellSpacing w:w="15" w:type="dxa"/>
        </w:trPr>
        <w:tc>
          <w:tcPr>
            <w:tcW w:w="0" w:type="auto"/>
            <w:vAlign w:val="center"/>
            <w:hideMark/>
          </w:tcPr>
          <w:p w14:paraId="7808B573"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lastRenderedPageBreak/>
              <w:t>Pedagogy</w:t>
            </w:r>
          </w:p>
        </w:tc>
        <w:tc>
          <w:tcPr>
            <w:tcW w:w="0" w:type="auto"/>
            <w:vAlign w:val="center"/>
            <w:hideMark/>
          </w:tcPr>
          <w:p w14:paraId="01260021"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Strongly behaviorist (Skinner, 1961)</w:t>
            </w:r>
          </w:p>
        </w:tc>
        <w:tc>
          <w:tcPr>
            <w:tcW w:w="0" w:type="auto"/>
            <w:vAlign w:val="center"/>
            <w:hideMark/>
          </w:tcPr>
          <w:p w14:paraId="29DFB580" w14:textId="77777777" w:rsidR="00DD384E" w:rsidRPr="00DD384E" w:rsidRDefault="00DD384E" w:rsidP="00DD384E">
            <w:pPr>
              <w:spacing w:line="360" w:lineRule="auto"/>
              <w:jc w:val="both"/>
              <w:rPr>
                <w:rFonts w:asciiTheme="minorBidi" w:hAnsiTheme="minorBidi"/>
                <w:sz w:val="22"/>
                <w:szCs w:val="22"/>
              </w:rPr>
            </w:pPr>
            <w:r w:rsidRPr="00DD384E">
              <w:rPr>
                <w:rFonts w:asciiTheme="minorBidi" w:hAnsiTheme="minorBidi"/>
                <w:sz w:val="22"/>
                <w:szCs w:val="22"/>
              </w:rPr>
              <w:t>Integration of multimedia elements and interactive pedagogy through CAI innovations (Fein, 1967; Woolley, 1994)</w:t>
            </w:r>
          </w:p>
        </w:tc>
      </w:tr>
    </w:tbl>
    <w:p w14:paraId="334FF64C" w14:textId="77777777" w:rsidR="00DD384E" w:rsidRPr="00DD384E" w:rsidRDefault="00DD384E" w:rsidP="00327E32">
      <w:pPr>
        <w:spacing w:line="360" w:lineRule="auto"/>
        <w:jc w:val="both"/>
        <w:rPr>
          <w:rFonts w:asciiTheme="minorBidi" w:hAnsiTheme="minorBidi"/>
          <w:sz w:val="22"/>
          <w:szCs w:val="22"/>
        </w:rPr>
      </w:pPr>
    </w:p>
    <w:p w14:paraId="15E6DAAA" w14:textId="5E0C58B7" w:rsidR="00E36A69" w:rsidRPr="007B72B2" w:rsidRDefault="00BB7381" w:rsidP="004C2172">
      <w:pPr>
        <w:pStyle w:val="Heading3"/>
      </w:pPr>
      <w:bookmarkStart w:id="13" w:name="_Toc218503259"/>
      <w:r>
        <w:t xml:space="preserve"> </w:t>
      </w:r>
      <w:bookmarkStart w:id="14" w:name="_Toc218504084"/>
      <w:r w:rsidR="00897DAD">
        <w:t xml:space="preserve">E-learning between </w:t>
      </w:r>
      <w:r w:rsidR="00E36A69" w:rsidRPr="00E36A69">
        <w:t xml:space="preserve"> 1970 and 1980</w:t>
      </w:r>
      <w:bookmarkEnd w:id="13"/>
      <w:bookmarkEnd w:id="14"/>
    </w:p>
    <w:p w14:paraId="7BD0DC8E" w14:textId="4CF6C85B" w:rsidR="00E36A69" w:rsidRPr="00E36A69" w:rsidRDefault="001D6739" w:rsidP="00E36A69">
      <w:pPr>
        <w:spacing w:line="360" w:lineRule="auto"/>
        <w:jc w:val="both"/>
        <w:rPr>
          <w:rFonts w:asciiTheme="minorBidi" w:hAnsiTheme="minorBidi"/>
          <w:sz w:val="22"/>
          <w:szCs w:val="22"/>
        </w:rPr>
      </w:pPr>
      <w:r>
        <w:rPr>
          <w:rFonts w:asciiTheme="minorBidi" w:hAnsiTheme="minorBidi"/>
          <w:sz w:val="22"/>
          <w:szCs w:val="22"/>
        </w:rPr>
        <w:t>E</w:t>
      </w:r>
      <w:r w:rsidR="00E36A69" w:rsidRPr="00E36A69">
        <w:rPr>
          <w:rFonts w:asciiTheme="minorBidi" w:hAnsiTheme="minorBidi"/>
          <w:sz w:val="22"/>
          <w:szCs w:val="22"/>
        </w:rPr>
        <w:t>-learning advanced rapidly through improvements in CAI systems, the rise of personal computing, and early networking technologies. In the early 1970s, the development of PLATO IV introduced high-resolution displays, extensive course libraries, and real-time communication tools such as chat and shared graphics, positioning it as one of the most advanced instructional platforms of its time (Bitzer, Braunfeld &amp; Lyman, 1972; Woolley, 1994). Alongside PLATO, the TICCIT project expanded multimedia CAI through its integration of computer and cable-television technologies, enabling more interactive instructional delivery (Alpert &amp; Bitzer, 1970).</w:t>
      </w:r>
    </w:p>
    <w:p w14:paraId="16AA1C43" w14:textId="77777777" w:rsidR="00E36A69" w:rsidRPr="00E36A69" w:rsidRDefault="00E36A69" w:rsidP="00E36A69">
      <w:pPr>
        <w:spacing w:line="360" w:lineRule="auto"/>
        <w:jc w:val="both"/>
        <w:rPr>
          <w:rFonts w:asciiTheme="minorBidi" w:hAnsiTheme="minorBidi"/>
          <w:sz w:val="22"/>
          <w:szCs w:val="22"/>
        </w:rPr>
      </w:pPr>
      <w:r w:rsidRPr="00E36A69">
        <w:rPr>
          <w:rFonts w:asciiTheme="minorBidi" w:hAnsiTheme="minorBidi"/>
          <w:sz w:val="22"/>
          <w:szCs w:val="22"/>
        </w:rPr>
        <w:t>The mid-to-late 1970s saw major progress with the emergence of personal computers, including the Altair 8800 and Apple II, which made digital learning more accessible beyond large institutions. This era also introduced influential educational software and Papert’s LOGO, which encouraged exploratory, constructivist learning (Papert, 1980).</w:t>
      </w:r>
    </w:p>
    <w:p w14:paraId="5882B06A" w14:textId="65B90D3E" w:rsidR="00E06880" w:rsidRPr="007B72B2" w:rsidRDefault="00E36A69" w:rsidP="00074526">
      <w:pPr>
        <w:spacing w:line="360" w:lineRule="auto"/>
        <w:jc w:val="both"/>
        <w:rPr>
          <w:rFonts w:asciiTheme="minorBidi" w:hAnsiTheme="minorBidi"/>
          <w:sz w:val="22"/>
          <w:szCs w:val="22"/>
        </w:rPr>
      </w:pPr>
      <w:r w:rsidRPr="00E36A69">
        <w:rPr>
          <w:rFonts w:asciiTheme="minorBidi" w:hAnsiTheme="minorBidi"/>
          <w:sz w:val="22"/>
          <w:szCs w:val="22"/>
        </w:rPr>
        <w:t>Networking developments further shaped e-learning: the expanding ARPANET enabled early email-based instruction, remote access, and file sharing across universities (Hafner &amp; Lyon, 1996). Conceptual groundwork for later academic networks such as BITNET also emerged during this period (Cerf, 1978). By the end of the decade, increased institutional adoption and growing interest in multimedia, self-paced learning, and constructivist pedagogy helped solidify e-learning as a legitimate educational approach (Molnar, 1978).</w:t>
      </w:r>
    </w:p>
    <w:p w14:paraId="6C8A854E" w14:textId="65E16B2E" w:rsidR="00476DD9" w:rsidRDefault="002C2F8B" w:rsidP="004C2172">
      <w:pPr>
        <w:pStyle w:val="Heading3"/>
      </w:pPr>
      <w:bookmarkStart w:id="15" w:name="_Toc218503260"/>
      <w:bookmarkStart w:id="16" w:name="_Toc218504085"/>
      <w:r>
        <w:t xml:space="preserve">E-learning between </w:t>
      </w:r>
      <w:r w:rsidR="007B72B2">
        <w:t>198</w:t>
      </w:r>
      <w:r w:rsidR="00A22AB4">
        <w:t>1 to 1990</w:t>
      </w:r>
      <w:bookmarkEnd w:id="15"/>
      <w:bookmarkEnd w:id="16"/>
    </w:p>
    <w:p w14:paraId="13142CFC" w14:textId="70776253" w:rsidR="00AA071E" w:rsidRPr="007B72B2" w:rsidRDefault="00AA071E" w:rsidP="00954272">
      <w:pPr>
        <w:spacing w:line="360" w:lineRule="auto"/>
        <w:jc w:val="both"/>
        <w:rPr>
          <w:rFonts w:asciiTheme="minorBidi" w:hAnsiTheme="minorBidi"/>
          <w:sz w:val="22"/>
          <w:szCs w:val="22"/>
        </w:rPr>
      </w:pPr>
      <w:r w:rsidRPr="00AA071E">
        <w:rPr>
          <w:rFonts w:asciiTheme="minorBidi" w:hAnsiTheme="minorBidi"/>
          <w:sz w:val="22"/>
          <w:szCs w:val="22"/>
        </w:rPr>
        <w:t>Between 1981 and 1990, the state of e-learning underwent a significant transition from mainframe-based instructional systems to increasingly personal, interactive, and multimedia-driven learning environments. Early in the decade, computer-assisted instruction still reflected the structured, drill-and-practice orientation of earlier systems such as PLATO and TICCIT, emphasizing programmed sequences and limited learner control (Saettler, 2004). However, the widespread adoption of personal computers</w:t>
      </w:r>
      <w:r w:rsidR="003B4FB3">
        <w:rPr>
          <w:rFonts w:asciiTheme="minorBidi" w:hAnsiTheme="minorBidi"/>
          <w:sz w:val="22"/>
          <w:szCs w:val="22"/>
        </w:rPr>
        <w:t xml:space="preserve">, </w:t>
      </w:r>
      <w:r w:rsidRPr="00AA071E">
        <w:rPr>
          <w:rFonts w:asciiTheme="minorBidi" w:hAnsiTheme="minorBidi"/>
          <w:sz w:val="22"/>
          <w:szCs w:val="22"/>
        </w:rPr>
        <w:t>accelerated by the release of the IBM PC in 1981 and the Apple Macintosh in 1984</w:t>
      </w:r>
      <w:r w:rsidR="003B4FB3">
        <w:rPr>
          <w:rFonts w:asciiTheme="minorBidi" w:hAnsiTheme="minorBidi"/>
          <w:sz w:val="22"/>
          <w:szCs w:val="22"/>
        </w:rPr>
        <w:t xml:space="preserve"> </w:t>
      </w:r>
      <w:r w:rsidRPr="00AA071E">
        <w:rPr>
          <w:rFonts w:asciiTheme="minorBidi" w:hAnsiTheme="minorBidi"/>
          <w:sz w:val="22"/>
          <w:szCs w:val="22"/>
        </w:rPr>
        <w:t>shifted e-</w:t>
      </w:r>
      <w:r w:rsidR="00074526" w:rsidRPr="00AA071E">
        <w:rPr>
          <w:rFonts w:asciiTheme="minorBidi" w:hAnsiTheme="minorBidi"/>
          <w:sz w:val="22"/>
          <w:szCs w:val="22"/>
        </w:rPr>
        <w:t>leaning</w:t>
      </w:r>
      <w:r w:rsidRPr="00AA071E">
        <w:rPr>
          <w:rFonts w:asciiTheme="minorBidi" w:hAnsiTheme="minorBidi"/>
          <w:sz w:val="22"/>
          <w:szCs w:val="22"/>
        </w:rPr>
        <w:t xml:space="preserve"> toward more individualized, flexible, </w:t>
      </w:r>
      <w:r w:rsidRPr="00AA071E">
        <w:rPr>
          <w:rFonts w:asciiTheme="minorBidi" w:hAnsiTheme="minorBidi"/>
          <w:sz w:val="22"/>
          <w:szCs w:val="22"/>
        </w:rPr>
        <w:lastRenderedPageBreak/>
        <w:t xml:space="preserve">and visually rich learning experiences (Molenda, 2008). Researchers during this period highlighted the growing potential of microcomputers for exploratory and constructivist learning, with Papert’s Logo environment illustrating how learners could engage in open-ended problem solving rather than linear instruction (Papert, 1980). At the same time, advances in hypertext and early multimedia systems, such as HyperCard, enabled more non-linear, user-driven interactions that contrasted sharply with earlier CAI models (Nielsen, 1990). </w:t>
      </w:r>
      <w:r w:rsidR="00954272" w:rsidRPr="00954272">
        <w:rPr>
          <w:rFonts w:asciiTheme="minorBidi" w:hAnsiTheme="minorBidi"/>
          <w:sz w:val="22"/>
          <w:szCs w:val="22"/>
        </w:rPr>
        <w:t>By the end of the decade, the field was characterized by a growing tension between traditional behaviorist CAI approaches and emerging constructivist, multimedia-supported designs, laying the conceptual foundation for networked and web-based e-learning in the 1990s (Clark, 1983; Jonassen, 1991; Nielsen, 1990; Papert, 1980).</w:t>
      </w:r>
    </w:p>
    <w:p w14:paraId="5013D798" w14:textId="77777777" w:rsidR="00476DD9" w:rsidRPr="00BC5E5D" w:rsidRDefault="00476DD9" w:rsidP="00966BF1">
      <w:pPr>
        <w:spacing w:line="360" w:lineRule="auto"/>
        <w:jc w:val="both"/>
        <w:rPr>
          <w:rFonts w:asciiTheme="minorBidi" w:hAnsiTheme="minorBidi"/>
          <w:b/>
          <w:bCs/>
          <w:sz w:val="22"/>
          <w:szCs w:val="22"/>
        </w:rPr>
      </w:pPr>
    </w:p>
    <w:p w14:paraId="5B03FE0E" w14:textId="2811CED3" w:rsidR="00314DEE" w:rsidRPr="00BC5E5D" w:rsidRDefault="007B639F" w:rsidP="00BC5E5D">
      <w:pPr>
        <w:spacing w:line="360" w:lineRule="auto"/>
        <w:jc w:val="both"/>
        <w:rPr>
          <w:rFonts w:asciiTheme="minorBidi" w:hAnsiTheme="minorBidi"/>
          <w:b/>
          <w:bCs/>
          <w:sz w:val="22"/>
          <w:szCs w:val="22"/>
        </w:rPr>
      </w:pPr>
      <w:r w:rsidRPr="00BC5E5D">
        <w:rPr>
          <w:rFonts w:asciiTheme="minorBidi" w:hAnsiTheme="minorBidi"/>
          <w:b/>
          <w:bCs/>
          <w:sz w:val="22"/>
          <w:szCs w:val="22"/>
          <w:highlight w:val="yellow"/>
        </w:rPr>
        <w:t>Before the 1990s, e-learning was largely synonymous with distance education or computer-assisted instruction, characterised by correspondence courses delivered via post, one-way radio or television broadcasts, mechanical teaching machines, and later stand-alone computer tutorials delivered through floppy disks or CD-ROMs</w:t>
      </w:r>
      <w:r w:rsidR="00F12550" w:rsidRPr="00BC5E5D">
        <w:rPr>
          <w:rFonts w:asciiTheme="minorBidi" w:hAnsiTheme="minorBidi"/>
          <w:b/>
          <w:bCs/>
          <w:sz w:val="22"/>
          <w:szCs w:val="22"/>
          <w:highlight w:val="yellow"/>
        </w:rPr>
        <w:t xml:space="preserve">, </w:t>
      </w:r>
      <w:r w:rsidRPr="00BC5E5D">
        <w:rPr>
          <w:rFonts w:asciiTheme="minorBidi" w:hAnsiTheme="minorBidi"/>
          <w:b/>
          <w:bCs/>
          <w:sz w:val="22"/>
          <w:szCs w:val="22"/>
          <w:highlight w:val="yellow"/>
        </w:rPr>
        <w:t>forms of learning that were offline, individual, static, and offered little or no real-time interaction</w:t>
      </w:r>
      <w:r w:rsidR="001415C1" w:rsidRPr="00BC5E5D">
        <w:rPr>
          <w:rFonts w:asciiTheme="minorBidi" w:hAnsiTheme="minorBidi"/>
          <w:b/>
          <w:bCs/>
          <w:sz w:val="22"/>
          <w:szCs w:val="22"/>
          <w:highlight w:val="yellow"/>
        </w:rPr>
        <w:t xml:space="preserve">(table </w:t>
      </w:r>
      <w:r w:rsidR="000F2396">
        <w:rPr>
          <w:rFonts w:asciiTheme="minorBidi" w:hAnsiTheme="minorBidi"/>
          <w:b/>
          <w:bCs/>
          <w:sz w:val="22"/>
          <w:szCs w:val="22"/>
          <w:highlight w:val="yellow"/>
        </w:rPr>
        <w:t>2</w:t>
      </w:r>
      <w:r w:rsidR="001415C1" w:rsidRPr="00BC5E5D">
        <w:rPr>
          <w:rFonts w:asciiTheme="minorBidi" w:hAnsiTheme="minorBidi"/>
          <w:b/>
          <w:bCs/>
          <w:sz w:val="22"/>
          <w:szCs w:val="22"/>
          <w:highlight w:val="yellow"/>
        </w:rPr>
        <w:t>)</w:t>
      </w:r>
      <w:r w:rsidRPr="00BC5E5D">
        <w:rPr>
          <w:rFonts w:asciiTheme="minorBidi" w:hAnsiTheme="minorBidi"/>
          <w:b/>
          <w:bCs/>
          <w:sz w:val="22"/>
          <w:szCs w:val="22"/>
          <w:highlight w:val="yellow"/>
        </w:rPr>
        <w:t xml:space="preserve"> (Gyambrah </w:t>
      </w:r>
      <w:r w:rsidR="00171EF8">
        <w:rPr>
          <w:rFonts w:asciiTheme="minorBidi" w:hAnsiTheme="minorBidi"/>
          <w:b/>
          <w:bCs/>
          <w:sz w:val="22"/>
          <w:szCs w:val="22"/>
          <w:highlight w:val="yellow"/>
        </w:rPr>
        <w:t xml:space="preserve">and </w:t>
      </w:r>
      <w:r w:rsidRPr="00BC5E5D">
        <w:rPr>
          <w:rFonts w:asciiTheme="minorBidi" w:hAnsiTheme="minorBidi"/>
          <w:b/>
          <w:bCs/>
          <w:sz w:val="22"/>
          <w:szCs w:val="22"/>
          <w:highlight w:val="yellow"/>
        </w:rPr>
        <w:t xml:space="preserve"> Martin, 2007</w:t>
      </w:r>
      <w:r w:rsidR="00E2021B">
        <w:rPr>
          <w:rFonts w:asciiTheme="minorBidi" w:hAnsiTheme="minorBidi"/>
          <w:b/>
          <w:bCs/>
          <w:sz w:val="22"/>
          <w:szCs w:val="22"/>
          <w:highlight w:val="yellow"/>
        </w:rPr>
        <w:t>;</w:t>
      </w:r>
      <w:r w:rsidR="00E2021B" w:rsidRPr="00E2021B">
        <w:rPr>
          <w:rFonts w:asciiTheme="minorBidi" w:hAnsiTheme="minorBidi"/>
          <w:b/>
          <w:bCs/>
          <w:sz w:val="22"/>
          <w:szCs w:val="22"/>
          <w:highlight w:val="yellow"/>
        </w:rPr>
        <w:t xml:space="preserve"> </w:t>
      </w:r>
      <w:r w:rsidR="00E2021B" w:rsidRPr="00BC5E5D">
        <w:rPr>
          <w:rFonts w:asciiTheme="minorBidi" w:hAnsiTheme="minorBidi"/>
          <w:b/>
          <w:bCs/>
          <w:sz w:val="22"/>
          <w:szCs w:val="22"/>
          <w:highlight w:val="yellow"/>
        </w:rPr>
        <w:t>Betts et al., 2020</w:t>
      </w:r>
      <w:r w:rsidRPr="00BC5E5D">
        <w:rPr>
          <w:rFonts w:asciiTheme="minorBidi" w:hAnsiTheme="minorBidi"/>
          <w:b/>
          <w:bCs/>
          <w:sz w:val="22"/>
          <w:szCs w:val="22"/>
          <w:highlight w:val="yellow"/>
        </w:rPr>
        <w:t>). As Betts et al. (2020) emphasise, these early models were shaped heavily by institutional pressures such as cost, geography, and access, meaning that scalability was limited and learner support was minimal</w:t>
      </w:r>
      <w:r w:rsidR="001415C1" w:rsidRPr="00BC5E5D">
        <w:rPr>
          <w:rFonts w:asciiTheme="minorBidi" w:hAnsiTheme="minorBidi"/>
          <w:b/>
          <w:bCs/>
          <w:sz w:val="22"/>
          <w:szCs w:val="22"/>
          <w:highlight w:val="yellow"/>
        </w:rPr>
        <w:t xml:space="preserve">(Table </w:t>
      </w:r>
      <w:r w:rsidR="000F2396">
        <w:rPr>
          <w:rFonts w:asciiTheme="minorBidi" w:hAnsiTheme="minorBidi"/>
          <w:b/>
          <w:bCs/>
          <w:sz w:val="22"/>
          <w:szCs w:val="22"/>
          <w:highlight w:val="yellow"/>
        </w:rPr>
        <w:t>2</w:t>
      </w:r>
      <w:r w:rsidR="001415C1" w:rsidRPr="00BC5E5D">
        <w:rPr>
          <w:rFonts w:asciiTheme="minorBidi" w:hAnsiTheme="minorBidi"/>
          <w:b/>
          <w:bCs/>
          <w:sz w:val="22"/>
          <w:szCs w:val="22"/>
          <w:highlight w:val="yellow"/>
        </w:rPr>
        <w:t>)</w:t>
      </w:r>
      <w:r w:rsidRPr="00BC5E5D">
        <w:rPr>
          <w:rFonts w:asciiTheme="minorBidi" w:hAnsiTheme="minorBidi"/>
          <w:b/>
          <w:bCs/>
          <w:sz w:val="22"/>
          <w:szCs w:val="22"/>
          <w:highlight w:val="yellow"/>
        </w:rPr>
        <w:t>. Gyambrah and Martin (2007) further note that early e-learning efforts were often constrained by technology availability and were more focused on content transmission than interaction or pedagogy.</w:t>
      </w:r>
      <w:r w:rsidR="00A35BD1" w:rsidRPr="00BC5E5D">
        <w:rPr>
          <w:rFonts w:asciiTheme="minorBidi" w:hAnsiTheme="minorBidi"/>
          <w:b/>
          <w:bCs/>
          <w:sz w:val="22"/>
          <w:szCs w:val="22"/>
          <w:highlight w:val="yellow"/>
        </w:rPr>
        <w:t xml:space="preserve"> Similarly, </w:t>
      </w:r>
      <w:r w:rsidR="00A35BD1" w:rsidRPr="00BC5E5D">
        <w:rPr>
          <w:rFonts w:asciiTheme="minorBidi" w:hAnsiTheme="minorBidi"/>
          <w:sz w:val="22"/>
          <w:szCs w:val="22"/>
          <w:highlight w:val="yellow"/>
        </w:rPr>
        <w:t>e</w:t>
      </w:r>
      <w:r w:rsidR="00646E99" w:rsidRPr="00BC5E5D">
        <w:rPr>
          <w:rFonts w:asciiTheme="minorBidi" w:hAnsiTheme="minorBidi"/>
          <w:sz w:val="22"/>
          <w:szCs w:val="22"/>
          <w:highlight w:val="yellow"/>
        </w:rPr>
        <w:t xml:space="preserve">ven </w:t>
      </w:r>
      <w:r w:rsidR="00DF2A21" w:rsidRPr="00BC5E5D">
        <w:rPr>
          <w:rFonts w:asciiTheme="minorBidi" w:hAnsiTheme="minorBidi"/>
          <w:sz w:val="22"/>
          <w:szCs w:val="22"/>
          <w:highlight w:val="yellow"/>
        </w:rPr>
        <w:t xml:space="preserve">In the 1980s, e-learning was still an emerging idea. At the time, it was mainly </w:t>
      </w:r>
      <w:r w:rsidR="00B948E3" w:rsidRPr="00BC5E5D">
        <w:rPr>
          <w:rFonts w:asciiTheme="minorBidi" w:hAnsiTheme="minorBidi"/>
          <w:sz w:val="22"/>
          <w:szCs w:val="22"/>
          <w:highlight w:val="yellow"/>
        </w:rPr>
        <w:t xml:space="preserve">named </w:t>
      </w:r>
      <w:r w:rsidR="00DF2A21" w:rsidRPr="00BC5E5D">
        <w:rPr>
          <w:rFonts w:asciiTheme="minorBidi" w:hAnsiTheme="minorBidi"/>
          <w:sz w:val="22"/>
          <w:szCs w:val="22"/>
          <w:highlight w:val="yellow"/>
        </w:rPr>
        <w:t>as computer-based training (CBT) or computer-assisted instruction (CAI), emphasizing the use of personal computers to provide lessons, practice activities, and assessments without the direct involvement of a te</w:t>
      </w:r>
      <w:commentRangeStart w:id="17"/>
      <w:commentRangeStart w:id="18"/>
      <w:r w:rsidR="00DF2A21" w:rsidRPr="00BC5E5D">
        <w:rPr>
          <w:rFonts w:asciiTheme="minorBidi" w:hAnsiTheme="minorBidi"/>
          <w:sz w:val="22"/>
          <w:szCs w:val="22"/>
          <w:highlight w:val="yellow"/>
        </w:rPr>
        <w:t>acher</w:t>
      </w:r>
      <w:r w:rsidR="00585EE6" w:rsidRPr="00BC5E5D">
        <w:rPr>
          <w:rFonts w:asciiTheme="minorBidi" w:hAnsiTheme="minorBidi"/>
          <w:sz w:val="22"/>
          <w:szCs w:val="22"/>
          <w:highlight w:val="yellow"/>
        </w:rPr>
        <w:t xml:space="preserve"> </w:t>
      </w:r>
      <w:r w:rsidR="00882682" w:rsidRPr="00BC5E5D">
        <w:rPr>
          <w:rFonts w:asciiTheme="minorBidi" w:hAnsiTheme="minorBidi"/>
          <w:sz w:val="22"/>
          <w:szCs w:val="22"/>
          <w:highlight w:val="yellow"/>
        </w:rPr>
        <w:t>(</w:t>
      </w:r>
      <w:r w:rsidR="00D8775F" w:rsidRPr="00BC5E5D">
        <w:rPr>
          <w:rFonts w:asciiTheme="minorBidi" w:hAnsiTheme="minorBidi"/>
          <w:sz w:val="22"/>
          <w:szCs w:val="22"/>
          <w:highlight w:val="yellow"/>
        </w:rPr>
        <w:t>Hubackova,2015)</w:t>
      </w:r>
      <w:r w:rsidR="00DF2A21" w:rsidRPr="00BC5E5D">
        <w:rPr>
          <w:rFonts w:asciiTheme="minorBidi" w:hAnsiTheme="minorBidi"/>
          <w:sz w:val="22"/>
          <w:szCs w:val="22"/>
          <w:highlight w:val="yellow"/>
        </w:rPr>
        <w:t>.</w:t>
      </w:r>
      <w:commentRangeStart w:id="19"/>
      <w:commentRangeEnd w:id="17"/>
      <w:r w:rsidR="00DF2A21" w:rsidRPr="00BC5E5D">
        <w:rPr>
          <w:rStyle w:val="CommentReference"/>
          <w:rFonts w:asciiTheme="minorBidi" w:hAnsiTheme="minorBidi"/>
          <w:b/>
          <w:bCs/>
          <w:sz w:val="22"/>
          <w:szCs w:val="22"/>
        </w:rPr>
        <w:commentReference w:id="17"/>
      </w:r>
      <w:commentRangeEnd w:id="18"/>
      <w:r>
        <w:rPr>
          <w:rStyle w:val="CommentReference"/>
        </w:rPr>
        <w:commentReference w:id="18"/>
      </w:r>
      <w:commentRangeEnd w:id="19"/>
      <w:r w:rsidR="00DF2A21" w:rsidRPr="00BC5E5D">
        <w:rPr>
          <w:rStyle w:val="CommentReference"/>
          <w:rFonts w:asciiTheme="minorBidi" w:hAnsiTheme="minorBidi"/>
          <w:b/>
          <w:bCs/>
          <w:sz w:val="22"/>
          <w:szCs w:val="22"/>
        </w:rPr>
        <w:commentReference w:id="19"/>
      </w:r>
    </w:p>
    <w:p w14:paraId="4AEE21F7" w14:textId="303A95E3" w:rsidR="00B21063" w:rsidRPr="00BC5E5D" w:rsidRDefault="71327953" w:rsidP="004336CF">
      <w:pPr>
        <w:spacing w:line="360" w:lineRule="auto"/>
        <w:jc w:val="both"/>
        <w:rPr>
          <w:rFonts w:asciiTheme="minorBidi" w:hAnsiTheme="minorBidi"/>
          <w:sz w:val="22"/>
          <w:szCs w:val="22"/>
        </w:rPr>
      </w:pPr>
      <w:r w:rsidRPr="00BC5E5D">
        <w:rPr>
          <w:rFonts w:asciiTheme="minorBidi" w:hAnsiTheme="minorBidi"/>
          <w:sz w:val="22"/>
          <w:szCs w:val="22"/>
        </w:rPr>
        <w:t xml:space="preserve">Across the U.S.A., Canada, and the U.K., small groups and individual pioneers continued to pursue their vision of </w:t>
      </w:r>
      <w:r w:rsidR="7B0AFB08" w:rsidRPr="00BC5E5D">
        <w:rPr>
          <w:rFonts w:asciiTheme="minorBidi" w:hAnsiTheme="minorBidi"/>
          <w:sz w:val="22"/>
          <w:szCs w:val="22"/>
        </w:rPr>
        <w:t>computer based</w:t>
      </w:r>
      <w:r w:rsidRPr="00BC5E5D">
        <w:rPr>
          <w:rFonts w:asciiTheme="minorBidi" w:hAnsiTheme="minorBidi"/>
          <w:sz w:val="22"/>
          <w:szCs w:val="22"/>
        </w:rPr>
        <w:t xml:space="preserve"> educational </w:t>
      </w:r>
      <w:r w:rsidR="522F93E6" w:rsidRPr="00BC5E5D">
        <w:rPr>
          <w:rFonts w:asciiTheme="minorBidi" w:hAnsiTheme="minorBidi"/>
          <w:sz w:val="22"/>
          <w:szCs w:val="22"/>
        </w:rPr>
        <w:t>applications (</w:t>
      </w:r>
      <w:r w:rsidR="042BC7B0" w:rsidRPr="00BC5E5D">
        <w:rPr>
          <w:rFonts w:asciiTheme="minorBidi" w:hAnsiTheme="minorBidi"/>
          <w:sz w:val="22"/>
          <w:szCs w:val="22"/>
        </w:rPr>
        <w:t>Harasim, 2006)</w:t>
      </w:r>
      <w:r w:rsidRPr="00BC5E5D">
        <w:rPr>
          <w:rFonts w:asciiTheme="minorBidi" w:hAnsiTheme="minorBidi"/>
          <w:sz w:val="22"/>
          <w:szCs w:val="22"/>
        </w:rPr>
        <w:t>. In the 1980s, many early adopters of e-learning initially emphasized the use of electronic mail (e-mail), but computer conferencing soon emerged as a more powerful tool, increasingly recognized for its ability to support collaboration, interaction, and teamwork in educational contexts</w:t>
      </w:r>
      <w:r w:rsidR="00585EE6" w:rsidRPr="00BC5E5D">
        <w:rPr>
          <w:rFonts w:asciiTheme="minorBidi" w:hAnsiTheme="minorBidi"/>
          <w:sz w:val="22"/>
          <w:szCs w:val="22"/>
        </w:rPr>
        <w:t xml:space="preserve"> </w:t>
      </w:r>
      <w:r w:rsidR="21B054D7" w:rsidRPr="00BC5E5D">
        <w:rPr>
          <w:rFonts w:asciiTheme="minorBidi" w:hAnsiTheme="minorBidi"/>
          <w:sz w:val="22"/>
          <w:szCs w:val="22"/>
        </w:rPr>
        <w:t>(Harasim, 2006)</w:t>
      </w:r>
      <w:r w:rsidR="007F5C39" w:rsidRPr="00BC5E5D">
        <w:rPr>
          <w:rFonts w:asciiTheme="minorBidi" w:hAnsiTheme="minorBidi"/>
          <w:sz w:val="22"/>
          <w:szCs w:val="22"/>
        </w:rPr>
        <w:t xml:space="preserve"> than traditional learning method</w:t>
      </w:r>
      <w:r w:rsidRPr="00BC5E5D">
        <w:rPr>
          <w:rFonts w:asciiTheme="minorBidi" w:hAnsiTheme="minorBidi"/>
          <w:sz w:val="22"/>
          <w:szCs w:val="22"/>
        </w:rPr>
        <w:t>.</w:t>
      </w:r>
      <w:r w:rsidR="00F24959">
        <w:rPr>
          <w:rFonts w:asciiTheme="minorBidi" w:hAnsiTheme="minorBidi"/>
          <w:sz w:val="22"/>
          <w:szCs w:val="22"/>
        </w:rPr>
        <w:t>During</w:t>
      </w:r>
      <w:r w:rsidR="0BAF5A5B" w:rsidRPr="00BC5E5D">
        <w:rPr>
          <w:rFonts w:asciiTheme="minorBidi" w:hAnsiTheme="minorBidi"/>
          <w:sz w:val="22"/>
          <w:szCs w:val="22"/>
        </w:rPr>
        <w:t xml:space="preserve"> 1990 to 1995, </w:t>
      </w:r>
      <w:r w:rsidR="2B1F7E46" w:rsidRPr="00BC5E5D">
        <w:rPr>
          <w:rFonts w:asciiTheme="minorBidi" w:hAnsiTheme="minorBidi"/>
          <w:sz w:val="22"/>
          <w:szCs w:val="22"/>
        </w:rPr>
        <w:t>e-</w:t>
      </w:r>
      <w:r w:rsidR="0BAF5A5B" w:rsidRPr="00BC5E5D">
        <w:rPr>
          <w:rFonts w:asciiTheme="minorBidi" w:hAnsiTheme="minorBidi"/>
          <w:sz w:val="22"/>
          <w:szCs w:val="22"/>
        </w:rPr>
        <w:t xml:space="preserve">learning was mostly offline, delivered on CD-ROMs or floppy </w:t>
      </w:r>
      <w:r w:rsidR="49B73CAA" w:rsidRPr="00BC5E5D">
        <w:rPr>
          <w:rFonts w:asciiTheme="minorBidi" w:hAnsiTheme="minorBidi"/>
          <w:sz w:val="22"/>
          <w:szCs w:val="22"/>
        </w:rPr>
        <w:t xml:space="preserve">disks. </w:t>
      </w:r>
      <w:r w:rsidR="6EAFDDA4" w:rsidRPr="00BC5E5D">
        <w:rPr>
          <w:rFonts w:asciiTheme="minorBidi" w:hAnsiTheme="minorBidi"/>
          <w:sz w:val="22"/>
          <w:szCs w:val="22"/>
        </w:rPr>
        <w:t>E-</w:t>
      </w:r>
      <w:r w:rsidR="4F6CBF01" w:rsidRPr="00BC5E5D">
        <w:rPr>
          <w:rFonts w:asciiTheme="minorBidi" w:hAnsiTheme="minorBidi"/>
          <w:sz w:val="22"/>
          <w:szCs w:val="22"/>
        </w:rPr>
        <w:t xml:space="preserve">learning (then referred to as CBT or CAI) was understood as the use of computers to deliver instruction, provide practice exercises, and assess learners’ performance, often through interactive text and graphics, replacing or </w:t>
      </w:r>
      <w:r w:rsidR="4F6CBF01" w:rsidRPr="00BC5E5D">
        <w:rPr>
          <w:rFonts w:asciiTheme="minorBidi" w:hAnsiTheme="minorBidi"/>
          <w:sz w:val="22"/>
          <w:szCs w:val="22"/>
        </w:rPr>
        <w:lastRenderedPageBreak/>
        <w:t xml:space="preserve">supplementing traditional classroom training. </w:t>
      </w:r>
      <w:r w:rsidR="491305FE" w:rsidRPr="00BC5E5D">
        <w:rPr>
          <w:rFonts w:asciiTheme="minorBidi" w:hAnsiTheme="minorBidi"/>
          <w:sz w:val="22"/>
          <w:szCs w:val="22"/>
        </w:rPr>
        <w:t xml:space="preserve">As an example </w:t>
      </w:r>
      <w:r w:rsidR="7823D421" w:rsidRPr="00BC5E5D">
        <w:rPr>
          <w:rFonts w:asciiTheme="minorBidi" w:hAnsiTheme="minorBidi"/>
          <w:sz w:val="22"/>
          <w:szCs w:val="22"/>
        </w:rPr>
        <w:t>f</w:t>
      </w:r>
      <w:r w:rsidR="4F6CBF01" w:rsidRPr="00BC5E5D">
        <w:rPr>
          <w:rFonts w:asciiTheme="minorBidi" w:hAnsiTheme="minorBidi"/>
          <w:sz w:val="22"/>
          <w:szCs w:val="22"/>
        </w:rPr>
        <w:t xml:space="preserve">or </w:t>
      </w:r>
      <w:r w:rsidR="7823D421" w:rsidRPr="00BC5E5D">
        <w:rPr>
          <w:rFonts w:asciiTheme="minorBidi" w:hAnsiTheme="minorBidi"/>
          <w:sz w:val="22"/>
          <w:szCs w:val="22"/>
        </w:rPr>
        <w:t>computer assisted learning</w:t>
      </w:r>
      <w:r w:rsidR="4F6CBF01" w:rsidRPr="00BC5E5D">
        <w:rPr>
          <w:rFonts w:asciiTheme="minorBidi" w:hAnsiTheme="minorBidi"/>
          <w:sz w:val="22"/>
          <w:szCs w:val="22"/>
        </w:rPr>
        <w:t xml:space="preserve">, </w:t>
      </w:r>
      <w:commentRangeStart w:id="20"/>
      <w:r w:rsidR="4F6CBF01" w:rsidRPr="00BC5E5D">
        <w:rPr>
          <w:rFonts w:asciiTheme="minorBidi" w:hAnsiTheme="minorBidi"/>
          <w:sz w:val="22"/>
          <w:szCs w:val="22"/>
        </w:rPr>
        <w:t>the Ontario Institute for Studies in Education (OISE), a graduate school affiliated with the University of Toronto, has been using the Participate computer conferencing system for educational purposes since 1985</w:t>
      </w:r>
      <w:r w:rsidR="0021537C">
        <w:rPr>
          <w:rFonts w:asciiTheme="minorBidi" w:hAnsiTheme="minorBidi"/>
          <w:sz w:val="22"/>
          <w:szCs w:val="22"/>
        </w:rPr>
        <w:t>(</w:t>
      </w:r>
      <w:r w:rsidR="0021537C" w:rsidRPr="0021537C">
        <w:rPr>
          <w:rFonts w:asciiTheme="minorBidi" w:hAnsiTheme="minorBidi"/>
          <w:sz w:val="22"/>
          <w:szCs w:val="22"/>
        </w:rPr>
        <w:t>Harasim, 1989</w:t>
      </w:r>
      <w:r w:rsidR="00BF4D8D">
        <w:rPr>
          <w:rFonts w:asciiTheme="minorBidi" w:hAnsiTheme="minorBidi"/>
          <w:sz w:val="22"/>
          <w:szCs w:val="22"/>
        </w:rPr>
        <w:t>)</w:t>
      </w:r>
      <w:r w:rsidR="4F6CBF01" w:rsidRPr="00BC5E5D">
        <w:rPr>
          <w:rFonts w:asciiTheme="minorBidi" w:hAnsiTheme="minorBidi"/>
          <w:sz w:val="22"/>
          <w:szCs w:val="22"/>
        </w:rPr>
        <w:t>.</w:t>
      </w:r>
      <w:commentRangeEnd w:id="20"/>
      <w:r w:rsidR="5211E72A" w:rsidRPr="00BC5E5D">
        <w:rPr>
          <w:rStyle w:val="CommentReference"/>
          <w:rFonts w:asciiTheme="minorBidi" w:hAnsiTheme="minorBidi"/>
          <w:sz w:val="22"/>
          <w:szCs w:val="22"/>
        </w:rPr>
        <w:commentReference w:id="20"/>
      </w:r>
      <w:r w:rsidR="4F6CBF01" w:rsidRPr="00BC5E5D">
        <w:rPr>
          <w:rFonts w:asciiTheme="minorBidi" w:hAnsiTheme="minorBidi"/>
          <w:sz w:val="22"/>
          <w:szCs w:val="22"/>
        </w:rPr>
        <w:t xml:space="preserve"> This system provided early tools for a virtual learning</w:t>
      </w:r>
      <w:r w:rsidR="52D28DA5" w:rsidRPr="00BC5E5D">
        <w:rPr>
          <w:rFonts w:asciiTheme="minorBidi" w:hAnsiTheme="minorBidi"/>
          <w:sz w:val="22"/>
          <w:szCs w:val="22"/>
        </w:rPr>
        <w:t xml:space="preserve"> environment, including electronic mail, conferencing, real-time (synchronous) messaging, electronic polling, and text editors (both line-based and the VAX EDT </w:t>
      </w:r>
      <w:r w:rsidR="327473EC" w:rsidRPr="00BC5E5D">
        <w:rPr>
          <w:rFonts w:asciiTheme="minorBidi" w:hAnsiTheme="minorBidi"/>
          <w:sz w:val="22"/>
          <w:szCs w:val="22"/>
        </w:rPr>
        <w:t>Fullscreen</w:t>
      </w:r>
      <w:r w:rsidR="52D28DA5" w:rsidRPr="00BC5E5D">
        <w:rPr>
          <w:rFonts w:asciiTheme="minorBidi" w:hAnsiTheme="minorBidi"/>
          <w:sz w:val="22"/>
          <w:szCs w:val="22"/>
        </w:rPr>
        <w:t xml:space="preserve"> editor). It also featured search functions that allowed users to locate conference topics and items, making it a pioneering platform for collaborative online learning</w:t>
      </w:r>
      <w:r w:rsidR="00585EE6" w:rsidRPr="00BC5E5D">
        <w:rPr>
          <w:rFonts w:asciiTheme="minorBidi" w:hAnsiTheme="minorBidi"/>
          <w:sz w:val="22"/>
          <w:szCs w:val="22"/>
        </w:rPr>
        <w:t xml:space="preserve"> </w:t>
      </w:r>
      <w:r w:rsidR="52D28DA5" w:rsidRPr="00BC5E5D">
        <w:rPr>
          <w:rFonts w:asciiTheme="minorBidi" w:hAnsiTheme="minorBidi"/>
          <w:sz w:val="22"/>
          <w:szCs w:val="22"/>
        </w:rPr>
        <w:t>(White and Frederiksen, 1990).</w:t>
      </w:r>
      <w:r w:rsidR="77BD31FE" w:rsidRPr="00BC5E5D">
        <w:rPr>
          <w:rFonts w:asciiTheme="minorBidi" w:hAnsiTheme="minorBidi"/>
          <w:sz w:val="22"/>
          <w:szCs w:val="22"/>
        </w:rPr>
        <w:t xml:space="preserve"> </w:t>
      </w:r>
      <w:r w:rsidR="004336CF" w:rsidRPr="004336CF">
        <w:rPr>
          <w:rFonts w:asciiTheme="minorBidi" w:hAnsiTheme="minorBidi"/>
          <w:sz w:val="22"/>
          <w:szCs w:val="22"/>
        </w:rPr>
        <w:t>Although this example comes from Canada, similar cases can be found in countries such as the United States, the United Kingdom, and Australia. However, most of these examples were concentrated in the United States and Europe, not in other regions such as Asia and Africa (Olaf Zawacki</w:t>
      </w:r>
      <w:r w:rsidR="004336CF" w:rsidRPr="004336CF">
        <w:rPr>
          <w:rFonts w:asciiTheme="minorBidi" w:hAnsiTheme="minorBidi"/>
          <w:sz w:val="22"/>
          <w:szCs w:val="22"/>
        </w:rPr>
        <w:noBreakHyphen/>
        <w:t xml:space="preserve">Richter </w:t>
      </w:r>
      <w:r w:rsidR="00683E59">
        <w:rPr>
          <w:rFonts w:asciiTheme="minorBidi" w:hAnsiTheme="minorBidi"/>
          <w:sz w:val="22"/>
          <w:szCs w:val="22"/>
        </w:rPr>
        <w:t xml:space="preserve">and </w:t>
      </w:r>
      <w:r w:rsidR="004336CF" w:rsidRPr="004336CF">
        <w:rPr>
          <w:rFonts w:asciiTheme="minorBidi" w:hAnsiTheme="minorBidi"/>
          <w:sz w:val="22"/>
          <w:szCs w:val="22"/>
        </w:rPr>
        <w:t xml:space="preserve"> Qayyum, 2019</w:t>
      </w:r>
      <w:r w:rsidR="00683E59">
        <w:rPr>
          <w:rFonts w:asciiTheme="minorBidi" w:hAnsiTheme="minorBidi"/>
          <w:sz w:val="22"/>
          <w:szCs w:val="22"/>
        </w:rPr>
        <w:t>)</w:t>
      </w:r>
      <w:r w:rsidR="00BD0A3C">
        <w:rPr>
          <w:rFonts w:asciiTheme="minorBidi" w:hAnsiTheme="minorBidi"/>
          <w:sz w:val="22"/>
          <w:szCs w:val="22"/>
        </w:rPr>
        <w:t>.</w:t>
      </w:r>
    </w:p>
    <w:p w14:paraId="0F8DBD34" w14:textId="77777777" w:rsidR="004D418E" w:rsidRPr="00BC5E5D" w:rsidRDefault="004D418E" w:rsidP="00BC5E5D">
      <w:pPr>
        <w:spacing w:line="360" w:lineRule="auto"/>
        <w:jc w:val="both"/>
        <w:rPr>
          <w:rFonts w:asciiTheme="minorBidi" w:hAnsiTheme="minorBidi"/>
          <w:sz w:val="22"/>
          <w:szCs w:val="22"/>
        </w:rPr>
      </w:pPr>
    </w:p>
    <w:p w14:paraId="36828457" w14:textId="15AD000B" w:rsidR="00646DF1" w:rsidRPr="00BC5E5D" w:rsidRDefault="5045C0CA" w:rsidP="00074526">
      <w:pPr>
        <w:spacing w:line="360" w:lineRule="auto"/>
        <w:jc w:val="both"/>
        <w:rPr>
          <w:rFonts w:asciiTheme="minorBidi" w:hAnsiTheme="minorBidi"/>
          <w:sz w:val="22"/>
          <w:szCs w:val="22"/>
        </w:rPr>
      </w:pPr>
      <w:r w:rsidRPr="00BC5E5D">
        <w:rPr>
          <w:rFonts w:asciiTheme="minorBidi" w:hAnsiTheme="minorBidi"/>
          <w:sz w:val="22"/>
          <w:szCs w:val="22"/>
        </w:rPr>
        <w:t xml:space="preserve">According to </w:t>
      </w:r>
      <w:r w:rsidR="7F28BF90" w:rsidRPr="00BC5E5D">
        <w:rPr>
          <w:rFonts w:asciiTheme="minorBidi" w:hAnsiTheme="minorBidi"/>
          <w:sz w:val="22"/>
          <w:szCs w:val="22"/>
        </w:rPr>
        <w:t>Falbel</w:t>
      </w:r>
      <w:r w:rsidR="00585EE6" w:rsidRPr="00BC5E5D">
        <w:rPr>
          <w:rFonts w:asciiTheme="minorBidi" w:hAnsiTheme="minorBidi"/>
          <w:sz w:val="22"/>
          <w:szCs w:val="22"/>
        </w:rPr>
        <w:t xml:space="preserve"> </w:t>
      </w:r>
      <w:r w:rsidR="7F28BF90" w:rsidRPr="00BC5E5D">
        <w:rPr>
          <w:rFonts w:asciiTheme="minorBidi" w:hAnsiTheme="minorBidi"/>
          <w:sz w:val="22"/>
          <w:szCs w:val="22"/>
        </w:rPr>
        <w:t xml:space="preserve">(1990), </w:t>
      </w:r>
      <w:r w:rsidR="4DCD5A8D" w:rsidRPr="00BC5E5D">
        <w:rPr>
          <w:rFonts w:asciiTheme="minorBidi" w:hAnsiTheme="minorBidi"/>
          <w:sz w:val="22"/>
          <w:szCs w:val="22"/>
        </w:rPr>
        <w:t xml:space="preserve">It is important to recognize that thinking and </w:t>
      </w:r>
      <w:commentRangeStart w:id="21"/>
      <w:r w:rsidR="4DCD5A8D" w:rsidRPr="00BC5E5D">
        <w:rPr>
          <w:rFonts w:asciiTheme="minorBidi" w:hAnsiTheme="minorBidi"/>
          <w:sz w:val="22"/>
          <w:szCs w:val="22"/>
        </w:rPr>
        <w:t xml:space="preserve">learning </w:t>
      </w:r>
      <w:commentRangeEnd w:id="21"/>
      <w:r w:rsidR="00C82B67" w:rsidRPr="00BC5E5D">
        <w:rPr>
          <w:rStyle w:val="CommentReference"/>
          <w:rFonts w:asciiTheme="minorBidi" w:hAnsiTheme="minorBidi"/>
          <w:sz w:val="22"/>
          <w:szCs w:val="22"/>
        </w:rPr>
        <w:commentReference w:id="21"/>
      </w:r>
      <w:r w:rsidR="4DCD5A8D" w:rsidRPr="00BC5E5D">
        <w:rPr>
          <w:rFonts w:asciiTheme="minorBidi" w:hAnsiTheme="minorBidi"/>
          <w:sz w:val="22"/>
          <w:szCs w:val="22"/>
        </w:rPr>
        <w:t xml:space="preserve">are carried out by people, not by machines. </w:t>
      </w:r>
      <w:r w:rsidR="2F73BD11" w:rsidRPr="00BC5E5D">
        <w:rPr>
          <w:rFonts w:asciiTheme="minorBidi" w:hAnsiTheme="minorBidi"/>
          <w:sz w:val="22"/>
          <w:szCs w:val="22"/>
        </w:rPr>
        <w:t>Falbel’s (1990) statement reflected the educational reality of his time</w:t>
      </w:r>
      <w:r w:rsidR="00E6475C">
        <w:rPr>
          <w:rFonts w:asciiTheme="minorBidi" w:hAnsiTheme="minorBidi"/>
          <w:sz w:val="22"/>
          <w:szCs w:val="22"/>
        </w:rPr>
        <w:t xml:space="preserve"> which was before 1990s</w:t>
      </w:r>
      <w:r w:rsidR="2F73BD11" w:rsidRPr="00BC5E5D">
        <w:rPr>
          <w:rFonts w:asciiTheme="minorBidi" w:hAnsiTheme="minorBidi"/>
          <w:sz w:val="22"/>
          <w:szCs w:val="22"/>
        </w:rPr>
        <w:t xml:space="preserve">, when technology was largely a passive delivery medium. However, with the emergence of </w:t>
      </w:r>
      <w:r w:rsidR="0075056E">
        <w:rPr>
          <w:rFonts w:asciiTheme="minorBidi" w:hAnsiTheme="minorBidi"/>
          <w:sz w:val="22"/>
          <w:szCs w:val="22"/>
        </w:rPr>
        <w:t xml:space="preserve">e-learning and </w:t>
      </w:r>
      <w:r w:rsidR="2F73BD11" w:rsidRPr="00BC5E5D">
        <w:rPr>
          <w:rFonts w:asciiTheme="minorBidi" w:hAnsiTheme="minorBidi"/>
          <w:sz w:val="22"/>
          <w:szCs w:val="22"/>
        </w:rPr>
        <w:t xml:space="preserve">artificial </w:t>
      </w:r>
      <w:r w:rsidR="548A7A93" w:rsidRPr="00BC5E5D">
        <w:rPr>
          <w:rFonts w:asciiTheme="minorBidi" w:hAnsiTheme="minorBidi"/>
          <w:sz w:val="22"/>
          <w:szCs w:val="22"/>
        </w:rPr>
        <w:t>intelligence (</w:t>
      </w:r>
      <w:r w:rsidR="5AD493B4" w:rsidRPr="00BC5E5D">
        <w:rPr>
          <w:rFonts w:asciiTheme="minorBidi" w:hAnsiTheme="minorBidi"/>
          <w:sz w:val="22"/>
          <w:szCs w:val="22"/>
        </w:rPr>
        <w:t>AI)</w:t>
      </w:r>
      <w:r w:rsidR="006D791F">
        <w:rPr>
          <w:rFonts w:asciiTheme="minorBidi" w:hAnsiTheme="minorBidi"/>
          <w:sz w:val="22"/>
          <w:szCs w:val="22"/>
        </w:rPr>
        <w:t xml:space="preserve"> after 1990s</w:t>
      </w:r>
      <w:r w:rsidR="2F73BD11" w:rsidRPr="00BC5E5D">
        <w:rPr>
          <w:rFonts w:asciiTheme="minorBidi" w:hAnsiTheme="minorBidi"/>
          <w:sz w:val="22"/>
          <w:szCs w:val="22"/>
        </w:rPr>
        <w:t xml:space="preserve">, this claim requires critique. Modern AI systems can now perform tasks once thought to require human </w:t>
      </w:r>
      <w:r w:rsidR="045E5C58" w:rsidRPr="00BC5E5D">
        <w:rPr>
          <w:rFonts w:asciiTheme="minorBidi" w:hAnsiTheme="minorBidi"/>
          <w:sz w:val="22"/>
          <w:szCs w:val="22"/>
        </w:rPr>
        <w:t>reasoning</w:t>
      </w:r>
      <w:r w:rsidR="22D93C11" w:rsidRPr="00BC5E5D">
        <w:rPr>
          <w:rFonts w:asciiTheme="minorBidi" w:hAnsiTheme="minorBidi"/>
          <w:sz w:val="22"/>
          <w:szCs w:val="22"/>
        </w:rPr>
        <w:t xml:space="preserve"> </w:t>
      </w:r>
      <w:r w:rsidR="2F73BD11" w:rsidRPr="00BC5E5D">
        <w:rPr>
          <w:rFonts w:asciiTheme="minorBidi" w:hAnsiTheme="minorBidi"/>
          <w:sz w:val="22"/>
          <w:szCs w:val="22"/>
        </w:rPr>
        <w:t>such as problem</w:t>
      </w:r>
      <w:r w:rsidR="045E5C58" w:rsidRPr="00BC5E5D">
        <w:rPr>
          <w:rFonts w:asciiTheme="minorBidi" w:hAnsiTheme="minorBidi"/>
          <w:sz w:val="22"/>
          <w:szCs w:val="22"/>
        </w:rPr>
        <w:t xml:space="preserve"> </w:t>
      </w:r>
      <w:r w:rsidR="2F73BD11" w:rsidRPr="00BC5E5D">
        <w:rPr>
          <w:rFonts w:asciiTheme="minorBidi" w:hAnsiTheme="minorBidi"/>
          <w:sz w:val="22"/>
          <w:szCs w:val="22"/>
        </w:rPr>
        <w:t>solving, adaptive feedback, and even generating new knowledge</w:t>
      </w:r>
      <w:r w:rsidR="045E5C58" w:rsidRPr="00BC5E5D">
        <w:rPr>
          <w:rFonts w:asciiTheme="minorBidi" w:hAnsiTheme="minorBidi"/>
          <w:sz w:val="22"/>
          <w:szCs w:val="22"/>
        </w:rPr>
        <w:t>, distorting</w:t>
      </w:r>
      <w:r w:rsidR="2F73BD11" w:rsidRPr="00BC5E5D">
        <w:rPr>
          <w:rFonts w:asciiTheme="minorBidi" w:hAnsiTheme="minorBidi"/>
          <w:sz w:val="22"/>
          <w:szCs w:val="22"/>
        </w:rPr>
        <w:t xml:space="preserve"> the boundary between human and machine roles in learning</w:t>
      </w:r>
      <w:r w:rsidR="00585EE6" w:rsidRPr="00BC5E5D">
        <w:rPr>
          <w:rFonts w:asciiTheme="minorBidi" w:hAnsiTheme="minorBidi"/>
          <w:sz w:val="22"/>
          <w:szCs w:val="22"/>
        </w:rPr>
        <w:t xml:space="preserve"> </w:t>
      </w:r>
      <w:r w:rsidR="13A554B7" w:rsidRPr="00BC5E5D">
        <w:rPr>
          <w:rFonts w:asciiTheme="minorBidi" w:hAnsiTheme="minorBidi"/>
          <w:sz w:val="22"/>
          <w:szCs w:val="22"/>
        </w:rPr>
        <w:t>(</w:t>
      </w:r>
      <w:r w:rsidR="56188709" w:rsidRPr="00BC5E5D">
        <w:rPr>
          <w:rFonts w:asciiTheme="minorBidi" w:hAnsiTheme="minorBidi"/>
          <w:sz w:val="22"/>
          <w:szCs w:val="22"/>
        </w:rPr>
        <w:t>Gligorea</w:t>
      </w:r>
      <w:r w:rsidR="72ABA345" w:rsidRPr="00BC5E5D">
        <w:rPr>
          <w:rFonts w:asciiTheme="minorBidi" w:hAnsiTheme="minorBidi"/>
          <w:sz w:val="22"/>
          <w:szCs w:val="22"/>
        </w:rPr>
        <w:t>, 2023)</w:t>
      </w:r>
      <w:r w:rsidR="2F73BD11" w:rsidRPr="00BC5E5D">
        <w:rPr>
          <w:rFonts w:asciiTheme="minorBidi" w:hAnsiTheme="minorBidi"/>
          <w:sz w:val="22"/>
          <w:szCs w:val="22"/>
        </w:rPr>
        <w:t xml:space="preserve">. </w:t>
      </w:r>
      <w:r w:rsidR="0F8A58AC" w:rsidRPr="00BC5E5D">
        <w:rPr>
          <w:rFonts w:asciiTheme="minorBidi" w:hAnsiTheme="minorBidi"/>
          <w:sz w:val="22"/>
          <w:szCs w:val="22"/>
        </w:rPr>
        <w:t xml:space="preserve"> </w:t>
      </w:r>
      <w:r w:rsidR="00C97FEA" w:rsidRPr="00C97FEA">
        <w:rPr>
          <w:rFonts w:asciiTheme="minorBidi" w:hAnsiTheme="minorBidi"/>
          <w:sz w:val="22"/>
          <w:szCs w:val="22"/>
        </w:rPr>
        <w:t>While machines may not use in the same experiential and contextual sense as humans, they increasingly contribute to the processes of thinking and knowledge construction, acting as co-participants rather than mere tools (Jin &amp; colleagues, 2025</w:t>
      </w:r>
      <w:r w:rsidR="00C97FEA">
        <w:rPr>
          <w:rFonts w:asciiTheme="minorBidi" w:hAnsiTheme="minorBidi"/>
          <w:sz w:val="22"/>
          <w:szCs w:val="22"/>
        </w:rPr>
        <w:t>)</w:t>
      </w:r>
      <w:r w:rsidR="2F73BD11" w:rsidRPr="00BC5E5D">
        <w:rPr>
          <w:rFonts w:asciiTheme="minorBidi" w:hAnsiTheme="minorBidi"/>
          <w:sz w:val="22"/>
          <w:szCs w:val="22"/>
        </w:rPr>
        <w:t xml:space="preserve">. This suggests that Falbel’s </w:t>
      </w:r>
      <w:r w:rsidR="0037642D" w:rsidRPr="00BC5E5D">
        <w:rPr>
          <w:rFonts w:asciiTheme="minorBidi" w:hAnsiTheme="minorBidi"/>
          <w:sz w:val="22"/>
          <w:szCs w:val="22"/>
        </w:rPr>
        <w:t>statement</w:t>
      </w:r>
      <w:r w:rsidR="2F73BD11" w:rsidRPr="00BC5E5D">
        <w:rPr>
          <w:rFonts w:asciiTheme="minorBidi" w:hAnsiTheme="minorBidi"/>
          <w:sz w:val="22"/>
          <w:szCs w:val="22"/>
        </w:rPr>
        <w:t xml:space="preserve">, though historically valid, is no longer absolute in an era where AI augments and, in some cases, </w:t>
      </w:r>
      <w:r w:rsidR="004E2946">
        <w:rPr>
          <w:rFonts w:asciiTheme="minorBidi" w:hAnsiTheme="minorBidi"/>
          <w:sz w:val="22"/>
          <w:szCs w:val="22"/>
        </w:rPr>
        <w:t xml:space="preserve">e-learning tools </w:t>
      </w:r>
      <w:r w:rsidR="2F73BD11" w:rsidRPr="00BC5E5D">
        <w:rPr>
          <w:rFonts w:asciiTheme="minorBidi" w:hAnsiTheme="minorBidi"/>
          <w:sz w:val="22"/>
          <w:szCs w:val="22"/>
        </w:rPr>
        <w:t>simulates cognitive functions traditionally reserved for humans.</w:t>
      </w:r>
    </w:p>
    <w:p w14:paraId="6D03CEED" w14:textId="2D4AF516" w:rsidR="0084680F" w:rsidRPr="00074526" w:rsidRDefault="002C2F8B" w:rsidP="004C2172">
      <w:pPr>
        <w:pStyle w:val="Heading2"/>
      </w:pPr>
      <w:bookmarkStart w:id="22" w:name="_Toc218503261"/>
      <w:r>
        <w:t xml:space="preserve"> </w:t>
      </w:r>
      <w:bookmarkStart w:id="23" w:name="_Toc218504086"/>
      <w:r w:rsidR="004648E0" w:rsidRPr="00BC5E5D">
        <w:t>I</w:t>
      </w:r>
      <w:r w:rsidR="00E25ADB" w:rsidRPr="00BC5E5D">
        <w:t>nternet era</w:t>
      </w:r>
      <w:bookmarkEnd w:id="22"/>
      <w:bookmarkEnd w:id="23"/>
      <w:r w:rsidR="003A1E6E" w:rsidRPr="00BC5E5D">
        <w:t xml:space="preserve"> </w:t>
      </w:r>
    </w:p>
    <w:p w14:paraId="70B4C62F" w14:textId="60384D21" w:rsidR="0084680F" w:rsidRPr="00BC5E5D" w:rsidRDefault="0084680F" w:rsidP="00BC5E5D">
      <w:pPr>
        <w:spacing w:line="360" w:lineRule="auto"/>
        <w:jc w:val="both"/>
        <w:rPr>
          <w:rFonts w:asciiTheme="minorBidi" w:hAnsiTheme="minorBidi"/>
          <w:sz w:val="22"/>
          <w:szCs w:val="22"/>
        </w:rPr>
      </w:pPr>
      <w:r w:rsidRPr="00BC5E5D">
        <w:rPr>
          <w:rFonts w:asciiTheme="minorBidi" w:hAnsiTheme="minorBidi"/>
          <w:sz w:val="22"/>
          <w:szCs w:val="22"/>
        </w:rPr>
        <w:t xml:space="preserve">Keegan(2002) presents e-learning as part of a historical continuum of distance-education technologies, evolving </w:t>
      </w:r>
      <w:r w:rsidR="002C7726">
        <w:rPr>
          <w:rFonts w:asciiTheme="minorBidi" w:hAnsiTheme="minorBidi"/>
          <w:sz w:val="22"/>
          <w:szCs w:val="22"/>
        </w:rPr>
        <w:t>as</w:t>
      </w:r>
      <w:r w:rsidRPr="00BC5E5D">
        <w:rPr>
          <w:rFonts w:asciiTheme="minorBidi" w:hAnsiTheme="minorBidi"/>
          <w:sz w:val="22"/>
          <w:szCs w:val="22"/>
        </w:rPr>
        <w:t xml:space="preserve"> d-</w:t>
      </w:r>
      <w:r w:rsidR="00D509A3">
        <w:rPr>
          <w:rFonts w:asciiTheme="minorBidi" w:hAnsiTheme="minorBidi"/>
          <w:sz w:val="22"/>
          <w:szCs w:val="22"/>
        </w:rPr>
        <w:t>l</w:t>
      </w:r>
      <w:r w:rsidRPr="00BC5E5D">
        <w:rPr>
          <w:rFonts w:asciiTheme="minorBidi" w:hAnsiTheme="minorBidi"/>
          <w:sz w:val="22"/>
          <w:szCs w:val="22"/>
        </w:rPr>
        <w:t>earning → e-</w:t>
      </w:r>
      <w:r w:rsidR="00D509A3">
        <w:rPr>
          <w:rFonts w:asciiTheme="minorBidi" w:hAnsiTheme="minorBidi"/>
          <w:sz w:val="22"/>
          <w:szCs w:val="22"/>
        </w:rPr>
        <w:t>l</w:t>
      </w:r>
      <w:r w:rsidRPr="00BC5E5D">
        <w:rPr>
          <w:rFonts w:asciiTheme="minorBidi" w:hAnsiTheme="minorBidi"/>
          <w:sz w:val="22"/>
          <w:szCs w:val="22"/>
        </w:rPr>
        <w:t>earning → m-</w:t>
      </w:r>
      <w:r w:rsidR="00D509A3">
        <w:rPr>
          <w:rFonts w:asciiTheme="minorBidi" w:hAnsiTheme="minorBidi"/>
          <w:sz w:val="22"/>
          <w:szCs w:val="22"/>
        </w:rPr>
        <w:t>l</w:t>
      </w:r>
      <w:r w:rsidRPr="00BC5E5D">
        <w:rPr>
          <w:rFonts w:asciiTheme="minorBidi" w:hAnsiTheme="minorBidi"/>
          <w:sz w:val="22"/>
          <w:szCs w:val="22"/>
        </w:rPr>
        <w:t>earning</w:t>
      </w:r>
      <w:r w:rsidR="00B54817" w:rsidRPr="00BC5E5D">
        <w:rPr>
          <w:rFonts w:asciiTheme="minorBidi" w:hAnsiTheme="minorBidi"/>
          <w:sz w:val="22"/>
          <w:szCs w:val="22"/>
        </w:rPr>
        <w:t xml:space="preserve">. </w:t>
      </w:r>
      <w:r w:rsidRPr="00BC5E5D">
        <w:rPr>
          <w:rFonts w:asciiTheme="minorBidi" w:hAnsiTheme="minorBidi"/>
          <w:sz w:val="22"/>
          <w:szCs w:val="22"/>
        </w:rPr>
        <w:t>Key characteristics of Keegan(2002</w:t>
      </w:r>
      <w:r w:rsidR="0016580C" w:rsidRPr="00BC5E5D">
        <w:rPr>
          <w:rFonts w:asciiTheme="minorBidi" w:hAnsiTheme="minorBidi"/>
          <w:sz w:val="22"/>
          <w:szCs w:val="22"/>
        </w:rPr>
        <w:t>:9</w:t>
      </w:r>
      <w:r w:rsidRPr="00BC5E5D">
        <w:rPr>
          <w:rFonts w:asciiTheme="minorBidi" w:hAnsiTheme="minorBidi"/>
          <w:sz w:val="22"/>
          <w:szCs w:val="22"/>
        </w:rPr>
        <w:t xml:space="preserve">) </w:t>
      </w:r>
      <w:r w:rsidR="00585EE6" w:rsidRPr="00BC5E5D">
        <w:rPr>
          <w:rFonts w:asciiTheme="minorBidi" w:hAnsiTheme="minorBidi"/>
          <w:sz w:val="22"/>
          <w:szCs w:val="22"/>
        </w:rPr>
        <w:t>article</w:t>
      </w:r>
      <w:r w:rsidRPr="00BC5E5D">
        <w:rPr>
          <w:rFonts w:asciiTheme="minorBidi" w:hAnsiTheme="minorBidi"/>
          <w:sz w:val="22"/>
          <w:szCs w:val="22"/>
        </w:rPr>
        <w:t xml:space="preserve"> that defining </w:t>
      </w:r>
      <w:r w:rsidR="002B7B30" w:rsidRPr="00BC5E5D">
        <w:rPr>
          <w:rFonts w:asciiTheme="minorBidi" w:hAnsiTheme="minorBidi"/>
          <w:sz w:val="22"/>
          <w:szCs w:val="22"/>
        </w:rPr>
        <w:t>e</w:t>
      </w:r>
      <w:r w:rsidRPr="00BC5E5D">
        <w:rPr>
          <w:rFonts w:asciiTheme="minorBidi" w:hAnsiTheme="minorBidi"/>
          <w:sz w:val="22"/>
          <w:szCs w:val="22"/>
        </w:rPr>
        <w:t>-learning as the “state of the art” form of distance education</w:t>
      </w:r>
      <w:r w:rsidR="00CB4984" w:rsidRPr="00BC5E5D">
        <w:rPr>
          <w:rFonts w:asciiTheme="minorBidi" w:hAnsiTheme="minorBidi"/>
          <w:sz w:val="22"/>
          <w:szCs w:val="22"/>
        </w:rPr>
        <w:t xml:space="preserve">. </w:t>
      </w:r>
      <w:r w:rsidRPr="00BC5E5D">
        <w:rPr>
          <w:rFonts w:asciiTheme="minorBidi" w:hAnsiTheme="minorBidi"/>
          <w:sz w:val="22"/>
          <w:szCs w:val="22"/>
        </w:rPr>
        <w:t>Keegan states that “</w:t>
      </w:r>
      <w:r w:rsidR="0016580C" w:rsidRPr="00BC5E5D">
        <w:rPr>
          <w:rFonts w:asciiTheme="minorBidi" w:hAnsiTheme="minorBidi"/>
          <w:sz w:val="22"/>
          <w:szCs w:val="22"/>
        </w:rPr>
        <w:t>e-</w:t>
      </w:r>
      <w:r w:rsidRPr="00BC5E5D">
        <w:rPr>
          <w:rFonts w:asciiTheme="minorBidi" w:hAnsiTheme="minorBidi"/>
          <w:sz w:val="22"/>
          <w:szCs w:val="22"/>
        </w:rPr>
        <w:t>Learning is the state of the art in distance learning at the time of writing.”  Similarly, this frames e-learning as the most technologically advanced version of distance education available at that time agreeing with Circa (2002).</w:t>
      </w:r>
    </w:p>
    <w:p w14:paraId="6223FFA5" w14:textId="0FCA4407" w:rsidR="0084680F" w:rsidRPr="00BC5E5D" w:rsidRDefault="0084680F" w:rsidP="00BC5E5D">
      <w:pPr>
        <w:spacing w:line="360" w:lineRule="auto"/>
        <w:jc w:val="both"/>
        <w:rPr>
          <w:rFonts w:asciiTheme="minorBidi" w:hAnsiTheme="minorBidi"/>
          <w:sz w:val="22"/>
          <w:szCs w:val="22"/>
        </w:rPr>
      </w:pPr>
      <w:r w:rsidRPr="00BC5E5D">
        <w:rPr>
          <w:rFonts w:asciiTheme="minorBidi" w:hAnsiTheme="minorBidi"/>
          <w:sz w:val="22"/>
          <w:szCs w:val="22"/>
        </w:rPr>
        <w:t xml:space="preserve">Keegan defines e-learning in practice as: </w:t>
      </w:r>
      <w:r w:rsidR="0016580C" w:rsidRPr="00BC5E5D">
        <w:rPr>
          <w:rFonts w:asciiTheme="minorBidi" w:hAnsiTheme="minorBidi"/>
          <w:sz w:val="22"/>
          <w:szCs w:val="22"/>
        </w:rPr>
        <w:t>“</w:t>
      </w:r>
      <w:r w:rsidRPr="00BC5E5D">
        <w:rPr>
          <w:rFonts w:asciiTheme="minorBidi" w:hAnsiTheme="minorBidi"/>
          <w:sz w:val="22"/>
          <w:szCs w:val="22"/>
        </w:rPr>
        <w:t>the award of nationally and internationally recognised</w:t>
      </w:r>
      <w:r w:rsidR="00924894">
        <w:rPr>
          <w:rFonts w:asciiTheme="minorBidi" w:hAnsiTheme="minorBidi"/>
          <w:sz w:val="22"/>
          <w:szCs w:val="22"/>
        </w:rPr>
        <w:t xml:space="preserve"> </w:t>
      </w:r>
      <w:r w:rsidRPr="00BC5E5D">
        <w:rPr>
          <w:rFonts w:asciiTheme="minorBidi" w:hAnsiTheme="minorBidi"/>
          <w:sz w:val="22"/>
          <w:szCs w:val="22"/>
        </w:rPr>
        <w:t>degrees</w:t>
      </w:r>
      <w:r w:rsidR="00924894">
        <w:rPr>
          <w:rFonts w:asciiTheme="minorBidi" w:hAnsiTheme="minorBidi"/>
          <w:sz w:val="22"/>
          <w:szCs w:val="22"/>
        </w:rPr>
        <w:t xml:space="preserve"> </w:t>
      </w:r>
      <w:r w:rsidRPr="00BC5E5D">
        <w:rPr>
          <w:rFonts w:asciiTheme="minorBidi" w:hAnsiTheme="minorBidi"/>
          <w:sz w:val="22"/>
          <w:szCs w:val="22"/>
        </w:rPr>
        <w:t>to students who spend all or much of their study programme sitting in front of a computer”</w:t>
      </w:r>
      <w:r w:rsidR="009276FA">
        <w:rPr>
          <w:rFonts w:asciiTheme="minorBidi" w:hAnsiTheme="minorBidi"/>
          <w:sz w:val="22"/>
          <w:szCs w:val="22"/>
        </w:rPr>
        <w:t xml:space="preserve">. </w:t>
      </w:r>
      <w:r w:rsidRPr="00BC5E5D">
        <w:rPr>
          <w:rFonts w:asciiTheme="minorBidi" w:hAnsiTheme="minorBidi"/>
          <w:sz w:val="22"/>
          <w:szCs w:val="22"/>
        </w:rPr>
        <w:t xml:space="preserve"> As the world wide web has introduced by 1990s, the Web is emphasized </w:t>
      </w:r>
      <w:r w:rsidRPr="00BC5E5D">
        <w:rPr>
          <w:rFonts w:asciiTheme="minorBidi" w:hAnsiTheme="minorBidi"/>
          <w:sz w:val="22"/>
          <w:szCs w:val="22"/>
        </w:rPr>
        <w:lastRenderedPageBreak/>
        <w:t>as the key enabling technology: “There is now little doubt that the World Wide Web is the most successful educational tool to have appeared…”  Keegan</w:t>
      </w:r>
      <w:r w:rsidR="00FA7E12" w:rsidRPr="00BC5E5D">
        <w:rPr>
          <w:rFonts w:asciiTheme="minorBidi" w:hAnsiTheme="minorBidi"/>
          <w:sz w:val="22"/>
          <w:szCs w:val="22"/>
        </w:rPr>
        <w:t xml:space="preserve"> </w:t>
      </w:r>
      <w:r w:rsidRPr="00BC5E5D">
        <w:rPr>
          <w:rFonts w:asciiTheme="minorBidi" w:hAnsiTheme="minorBidi"/>
          <w:sz w:val="22"/>
          <w:szCs w:val="22"/>
        </w:rPr>
        <w:t>(2002) does not treat e-learning as pedagogically distinct. Instead, it is a technological upgrade to existing distance-learning models.</w:t>
      </w:r>
    </w:p>
    <w:p w14:paraId="1A133F7A" w14:textId="77777777" w:rsidR="0084680F" w:rsidRPr="00BC5E5D" w:rsidRDefault="0084680F" w:rsidP="00BC5E5D">
      <w:pPr>
        <w:spacing w:line="360" w:lineRule="auto"/>
        <w:jc w:val="both"/>
        <w:rPr>
          <w:rFonts w:asciiTheme="minorBidi" w:hAnsiTheme="minorBidi"/>
          <w:sz w:val="22"/>
          <w:szCs w:val="22"/>
        </w:rPr>
      </w:pPr>
      <w:r w:rsidRPr="00BC5E5D">
        <w:rPr>
          <w:rFonts w:asciiTheme="minorBidi" w:hAnsiTheme="minorBidi"/>
          <w:sz w:val="22"/>
          <w:szCs w:val="22"/>
        </w:rPr>
        <w:t>He also explains that e-learning retains typical distance-education structures such as:</w:t>
      </w:r>
    </w:p>
    <w:p w14:paraId="6F76D953" w14:textId="77777777" w:rsidR="0084680F" w:rsidRPr="00BC5E5D" w:rsidRDefault="0084680F" w:rsidP="00CA68CD">
      <w:pPr>
        <w:numPr>
          <w:ilvl w:val="0"/>
          <w:numId w:val="2"/>
        </w:numPr>
        <w:spacing w:line="360" w:lineRule="auto"/>
        <w:jc w:val="both"/>
        <w:rPr>
          <w:rFonts w:asciiTheme="minorBidi" w:hAnsiTheme="minorBidi"/>
          <w:sz w:val="22"/>
          <w:szCs w:val="22"/>
        </w:rPr>
      </w:pPr>
      <w:r w:rsidRPr="00BC5E5D">
        <w:rPr>
          <w:rFonts w:asciiTheme="minorBidi" w:hAnsiTheme="minorBidi"/>
          <w:sz w:val="22"/>
          <w:szCs w:val="22"/>
        </w:rPr>
        <w:t>pre-prepared materials</w:t>
      </w:r>
    </w:p>
    <w:p w14:paraId="3D7C3339" w14:textId="77777777" w:rsidR="0084680F" w:rsidRPr="00BC5E5D" w:rsidRDefault="0084680F" w:rsidP="00CA68CD">
      <w:pPr>
        <w:numPr>
          <w:ilvl w:val="0"/>
          <w:numId w:val="2"/>
        </w:numPr>
        <w:spacing w:line="360" w:lineRule="auto"/>
        <w:jc w:val="both"/>
        <w:rPr>
          <w:rFonts w:asciiTheme="minorBidi" w:hAnsiTheme="minorBidi"/>
          <w:sz w:val="22"/>
          <w:szCs w:val="22"/>
        </w:rPr>
      </w:pPr>
      <w:r w:rsidRPr="00BC5E5D">
        <w:rPr>
          <w:rFonts w:asciiTheme="minorBidi" w:hAnsiTheme="minorBidi"/>
          <w:sz w:val="22"/>
          <w:szCs w:val="22"/>
        </w:rPr>
        <w:t>communication with tutors</w:t>
      </w:r>
    </w:p>
    <w:p w14:paraId="60C5E51A" w14:textId="77777777" w:rsidR="0084680F" w:rsidRPr="00BC5E5D" w:rsidRDefault="0084680F" w:rsidP="00CA68CD">
      <w:pPr>
        <w:numPr>
          <w:ilvl w:val="0"/>
          <w:numId w:val="2"/>
        </w:numPr>
        <w:spacing w:line="360" w:lineRule="auto"/>
        <w:jc w:val="both"/>
        <w:rPr>
          <w:rFonts w:asciiTheme="minorBidi" w:hAnsiTheme="minorBidi"/>
          <w:sz w:val="22"/>
          <w:szCs w:val="22"/>
        </w:rPr>
      </w:pPr>
      <w:r w:rsidRPr="00BC5E5D">
        <w:rPr>
          <w:rFonts w:asciiTheme="minorBidi" w:hAnsiTheme="minorBidi"/>
          <w:sz w:val="22"/>
          <w:szCs w:val="22"/>
        </w:rPr>
        <w:t>individual study</w:t>
      </w:r>
    </w:p>
    <w:p w14:paraId="22F2F6A8" w14:textId="77777777" w:rsidR="0084680F" w:rsidRPr="00BC5E5D" w:rsidRDefault="0084680F" w:rsidP="00BC5E5D">
      <w:pPr>
        <w:spacing w:line="360" w:lineRule="auto"/>
        <w:jc w:val="both"/>
        <w:rPr>
          <w:rFonts w:asciiTheme="minorBidi" w:hAnsiTheme="minorBidi"/>
          <w:sz w:val="22"/>
          <w:szCs w:val="22"/>
        </w:rPr>
      </w:pPr>
    </w:p>
    <w:p w14:paraId="61269642" w14:textId="20FC16F8" w:rsidR="0084680F" w:rsidRPr="00BC5E5D" w:rsidRDefault="0084680F" w:rsidP="00BC5E5D">
      <w:pPr>
        <w:spacing w:line="360" w:lineRule="auto"/>
        <w:jc w:val="both"/>
        <w:rPr>
          <w:rFonts w:asciiTheme="minorBidi" w:hAnsiTheme="minorBidi"/>
          <w:sz w:val="22"/>
          <w:szCs w:val="22"/>
        </w:rPr>
      </w:pPr>
      <w:r w:rsidRPr="00BC5E5D">
        <w:rPr>
          <w:rFonts w:asciiTheme="minorBidi" w:hAnsiTheme="minorBidi"/>
          <w:sz w:val="22"/>
          <w:szCs w:val="22"/>
        </w:rPr>
        <w:t>Few years later, (Harasim, 2006) provides a very different perspective. She focuses not on technology evolution but on pedagogical transformation, especially online collaborative learning (OCL). She states</w:t>
      </w:r>
      <w:r w:rsidR="00FC5444" w:rsidRPr="00BC5E5D">
        <w:rPr>
          <w:rFonts w:asciiTheme="minorBidi" w:hAnsiTheme="minorBidi"/>
          <w:sz w:val="22"/>
          <w:szCs w:val="22"/>
        </w:rPr>
        <w:t>(2006</w:t>
      </w:r>
      <w:r w:rsidR="00F73668" w:rsidRPr="00BC5E5D">
        <w:rPr>
          <w:rFonts w:asciiTheme="minorBidi" w:hAnsiTheme="minorBidi"/>
          <w:sz w:val="22"/>
          <w:szCs w:val="22"/>
        </w:rPr>
        <w:t>,62)</w:t>
      </w:r>
      <w:r w:rsidRPr="00BC5E5D">
        <w:rPr>
          <w:rFonts w:asciiTheme="minorBidi" w:hAnsiTheme="minorBidi"/>
          <w:sz w:val="22"/>
          <w:szCs w:val="22"/>
        </w:rPr>
        <w:t xml:space="preserve"> the genesis of e-learning begins with:</w:t>
      </w:r>
      <w:r w:rsidR="00BE10C1" w:rsidRPr="00BC5E5D">
        <w:rPr>
          <w:rFonts w:asciiTheme="minorBidi" w:hAnsiTheme="minorBidi"/>
          <w:sz w:val="22"/>
          <w:szCs w:val="22"/>
        </w:rPr>
        <w:t xml:space="preserve"> </w:t>
      </w:r>
      <w:r w:rsidRPr="00BC5E5D">
        <w:rPr>
          <w:rFonts w:asciiTheme="minorBidi" w:hAnsiTheme="minorBidi"/>
          <w:sz w:val="22"/>
          <w:szCs w:val="22"/>
        </w:rPr>
        <w:t>“…network communication in the late 1960s, with the invention of e-mail and computer conferencing…” This frames e-learning as born from interaction and collaboration</w:t>
      </w:r>
      <w:r w:rsidR="00C81B22" w:rsidRPr="00BC5E5D">
        <w:rPr>
          <w:rFonts w:asciiTheme="minorBidi" w:hAnsiTheme="minorBidi"/>
          <w:sz w:val="22"/>
          <w:szCs w:val="22"/>
        </w:rPr>
        <w:t xml:space="preserve"> (</w:t>
      </w:r>
      <w:r w:rsidR="00357C29" w:rsidRPr="00BC5E5D">
        <w:rPr>
          <w:rFonts w:asciiTheme="minorBidi" w:hAnsiTheme="minorBidi"/>
          <w:sz w:val="22"/>
          <w:szCs w:val="22"/>
        </w:rPr>
        <w:t>Table 1)</w:t>
      </w:r>
      <w:r w:rsidRPr="00BC5E5D">
        <w:rPr>
          <w:rFonts w:asciiTheme="minorBidi" w:hAnsiTheme="minorBidi"/>
          <w:sz w:val="22"/>
          <w:szCs w:val="22"/>
        </w:rPr>
        <w:t>, not simply from distance technology. Harasim describes e-learning as part of:</w:t>
      </w:r>
      <w:r w:rsidR="00C81B22" w:rsidRPr="00BC5E5D">
        <w:rPr>
          <w:rFonts w:asciiTheme="minorBidi" w:hAnsiTheme="minorBidi"/>
          <w:sz w:val="22"/>
          <w:szCs w:val="22"/>
        </w:rPr>
        <w:t xml:space="preserve"> </w:t>
      </w:r>
      <w:r w:rsidRPr="00BC5E5D">
        <w:rPr>
          <w:rFonts w:asciiTheme="minorBidi" w:hAnsiTheme="minorBidi"/>
          <w:sz w:val="22"/>
          <w:szCs w:val="22"/>
        </w:rPr>
        <w:t>“a fundamental shift in understanding of the very nature of learning”</w:t>
      </w:r>
    </w:p>
    <w:p w14:paraId="205F5BBD" w14:textId="77777777" w:rsidR="0084680F" w:rsidRPr="00BC5E5D" w:rsidRDefault="0084680F" w:rsidP="00BC5E5D">
      <w:pPr>
        <w:spacing w:line="360" w:lineRule="auto"/>
        <w:jc w:val="both"/>
        <w:rPr>
          <w:rFonts w:asciiTheme="minorBidi" w:hAnsiTheme="minorBidi"/>
          <w:sz w:val="22"/>
          <w:szCs w:val="22"/>
        </w:rPr>
      </w:pPr>
      <w:r w:rsidRPr="00BC5E5D">
        <w:rPr>
          <w:rFonts w:asciiTheme="minorBidi" w:hAnsiTheme="minorBidi"/>
          <w:sz w:val="22"/>
          <w:szCs w:val="22"/>
        </w:rPr>
        <w:t>This emphasizes sociocultural and cognitive change rather than delivery technology.</w:t>
      </w:r>
    </w:p>
    <w:p w14:paraId="054F1B82" w14:textId="77777777" w:rsidR="0084680F" w:rsidRPr="00BC5E5D" w:rsidRDefault="0084680F" w:rsidP="00BC5E5D">
      <w:pPr>
        <w:spacing w:line="360" w:lineRule="auto"/>
        <w:jc w:val="both"/>
        <w:rPr>
          <w:rFonts w:asciiTheme="minorBidi" w:hAnsiTheme="minorBidi"/>
          <w:sz w:val="22"/>
          <w:szCs w:val="22"/>
        </w:rPr>
      </w:pPr>
      <w:r w:rsidRPr="00BC5E5D">
        <w:rPr>
          <w:rFonts w:asciiTheme="minorBidi" w:hAnsiTheme="minorBidi"/>
          <w:sz w:val="22"/>
          <w:szCs w:val="22"/>
        </w:rPr>
        <w:t>She distinguishes three types:</w:t>
      </w:r>
    </w:p>
    <w:p w14:paraId="46DF0665" w14:textId="77777777" w:rsidR="0084680F" w:rsidRPr="00BC5E5D" w:rsidRDefault="0084680F" w:rsidP="00CA68CD">
      <w:pPr>
        <w:numPr>
          <w:ilvl w:val="0"/>
          <w:numId w:val="3"/>
        </w:numPr>
        <w:spacing w:line="360" w:lineRule="auto"/>
        <w:jc w:val="both"/>
        <w:rPr>
          <w:rFonts w:asciiTheme="minorBidi" w:hAnsiTheme="minorBidi"/>
          <w:sz w:val="22"/>
          <w:szCs w:val="22"/>
        </w:rPr>
      </w:pPr>
      <w:r w:rsidRPr="00BC5E5D">
        <w:rPr>
          <w:rFonts w:asciiTheme="minorBidi" w:hAnsiTheme="minorBidi"/>
          <w:sz w:val="22"/>
          <w:szCs w:val="22"/>
        </w:rPr>
        <w:t>Online collaborative learning (OCL)</w:t>
      </w:r>
    </w:p>
    <w:p w14:paraId="7505250F" w14:textId="77777777" w:rsidR="0084680F" w:rsidRPr="00BC5E5D" w:rsidRDefault="0084680F" w:rsidP="00CA68CD">
      <w:pPr>
        <w:numPr>
          <w:ilvl w:val="0"/>
          <w:numId w:val="3"/>
        </w:numPr>
        <w:spacing w:line="360" w:lineRule="auto"/>
        <w:jc w:val="both"/>
        <w:rPr>
          <w:rFonts w:asciiTheme="minorBidi" w:hAnsiTheme="minorBidi"/>
          <w:sz w:val="22"/>
          <w:szCs w:val="22"/>
        </w:rPr>
      </w:pPr>
      <w:r w:rsidRPr="00BC5E5D">
        <w:rPr>
          <w:rFonts w:asciiTheme="minorBidi" w:hAnsiTheme="minorBidi"/>
          <w:sz w:val="22"/>
          <w:szCs w:val="22"/>
        </w:rPr>
        <w:t>Online distance education (email-based)</w:t>
      </w:r>
    </w:p>
    <w:p w14:paraId="616B9E84" w14:textId="77777777" w:rsidR="0084680F" w:rsidRPr="00BC5E5D" w:rsidRDefault="0084680F" w:rsidP="00CA68CD">
      <w:pPr>
        <w:numPr>
          <w:ilvl w:val="0"/>
          <w:numId w:val="3"/>
        </w:numPr>
        <w:spacing w:line="360" w:lineRule="auto"/>
        <w:jc w:val="both"/>
        <w:rPr>
          <w:rFonts w:asciiTheme="minorBidi" w:hAnsiTheme="minorBidi"/>
          <w:sz w:val="22"/>
          <w:szCs w:val="22"/>
        </w:rPr>
      </w:pPr>
      <w:r w:rsidRPr="00BC5E5D">
        <w:rPr>
          <w:rFonts w:asciiTheme="minorBidi" w:hAnsiTheme="minorBidi"/>
          <w:sz w:val="22"/>
          <w:szCs w:val="22"/>
        </w:rPr>
        <w:t>Online computer-based training</w:t>
      </w:r>
    </w:p>
    <w:p w14:paraId="78AD27B5" w14:textId="77777777" w:rsidR="0084680F" w:rsidRPr="00BC5E5D" w:rsidRDefault="0084680F" w:rsidP="00BC5E5D">
      <w:pPr>
        <w:spacing w:line="360" w:lineRule="auto"/>
        <w:jc w:val="both"/>
        <w:rPr>
          <w:rFonts w:asciiTheme="minorBidi" w:hAnsiTheme="minorBidi"/>
          <w:sz w:val="22"/>
          <w:szCs w:val="22"/>
        </w:rPr>
      </w:pPr>
      <w:r w:rsidRPr="00BC5E5D">
        <w:rPr>
          <w:rFonts w:asciiTheme="minorBidi" w:hAnsiTheme="minorBidi"/>
          <w:sz w:val="22"/>
          <w:szCs w:val="22"/>
        </w:rPr>
        <w:t>This is a taxonomy of e-learning approaches, not present in Keegan’s analysis.</w:t>
      </w:r>
    </w:p>
    <w:p w14:paraId="25D95154" w14:textId="77777777" w:rsidR="0084680F" w:rsidRPr="00BC5E5D" w:rsidRDefault="0084680F" w:rsidP="00BC5E5D">
      <w:pPr>
        <w:spacing w:line="360" w:lineRule="auto"/>
        <w:jc w:val="both"/>
        <w:rPr>
          <w:rFonts w:asciiTheme="minorBidi" w:hAnsiTheme="minorBidi"/>
          <w:sz w:val="22"/>
          <w:szCs w:val="22"/>
        </w:rPr>
      </w:pPr>
      <w:r w:rsidRPr="00BC5E5D">
        <w:rPr>
          <w:rFonts w:asciiTheme="minorBidi" w:hAnsiTheme="minorBidi"/>
          <w:sz w:val="22"/>
          <w:szCs w:val="22"/>
        </w:rPr>
        <w:t>She provides detailed history:</w:t>
      </w:r>
    </w:p>
    <w:p w14:paraId="1D11BFAF" w14:textId="3F876291" w:rsidR="0084680F" w:rsidRPr="00BC5E5D" w:rsidRDefault="0084680F" w:rsidP="00CA68CD">
      <w:pPr>
        <w:numPr>
          <w:ilvl w:val="0"/>
          <w:numId w:val="4"/>
        </w:numPr>
        <w:spacing w:line="360" w:lineRule="auto"/>
        <w:jc w:val="both"/>
        <w:rPr>
          <w:rFonts w:asciiTheme="minorBidi" w:hAnsiTheme="minorBidi"/>
          <w:sz w:val="22"/>
          <w:szCs w:val="22"/>
        </w:rPr>
      </w:pPr>
      <w:r w:rsidRPr="00BC5E5D">
        <w:rPr>
          <w:rFonts w:asciiTheme="minorBidi" w:hAnsiTheme="minorBidi"/>
          <w:sz w:val="22"/>
          <w:szCs w:val="22"/>
        </w:rPr>
        <w:t>first virtual communities of practice (1970s)</w:t>
      </w:r>
    </w:p>
    <w:p w14:paraId="4CF370F1" w14:textId="252CB779" w:rsidR="0084680F" w:rsidRPr="00BC5E5D" w:rsidRDefault="0084680F" w:rsidP="00CA68CD">
      <w:pPr>
        <w:numPr>
          <w:ilvl w:val="0"/>
          <w:numId w:val="4"/>
        </w:numPr>
        <w:spacing w:line="360" w:lineRule="auto"/>
        <w:jc w:val="both"/>
        <w:rPr>
          <w:rFonts w:asciiTheme="minorBidi" w:hAnsiTheme="minorBidi"/>
          <w:sz w:val="22"/>
          <w:szCs w:val="22"/>
        </w:rPr>
      </w:pPr>
      <w:r w:rsidRPr="00BC5E5D">
        <w:rPr>
          <w:rFonts w:asciiTheme="minorBidi" w:hAnsiTheme="minorBidi"/>
          <w:sz w:val="22"/>
          <w:szCs w:val="22"/>
        </w:rPr>
        <w:t>first fully online courses (1981)</w:t>
      </w:r>
    </w:p>
    <w:p w14:paraId="3240BB9F" w14:textId="78AAFDAC" w:rsidR="0084680F" w:rsidRPr="00BC5E5D" w:rsidRDefault="0084680F" w:rsidP="00CA68CD">
      <w:pPr>
        <w:numPr>
          <w:ilvl w:val="0"/>
          <w:numId w:val="4"/>
        </w:numPr>
        <w:spacing w:line="360" w:lineRule="auto"/>
        <w:jc w:val="both"/>
        <w:rPr>
          <w:rFonts w:asciiTheme="minorBidi" w:hAnsiTheme="minorBidi"/>
          <w:sz w:val="22"/>
          <w:szCs w:val="22"/>
        </w:rPr>
      </w:pPr>
      <w:r w:rsidRPr="00BC5E5D">
        <w:rPr>
          <w:rFonts w:asciiTheme="minorBidi" w:hAnsiTheme="minorBidi"/>
          <w:sz w:val="22"/>
          <w:szCs w:val="22"/>
        </w:rPr>
        <w:t>first online degree programs (19</w:t>
      </w:r>
      <w:r w:rsidR="006D71AF" w:rsidRPr="00BC5E5D">
        <w:rPr>
          <w:rFonts w:asciiTheme="minorBidi" w:hAnsiTheme="minorBidi"/>
          <w:sz w:val="22"/>
          <w:szCs w:val="22"/>
        </w:rPr>
        <w:t>90s</w:t>
      </w:r>
      <w:r w:rsidRPr="00BC5E5D">
        <w:rPr>
          <w:rFonts w:asciiTheme="minorBidi" w:hAnsiTheme="minorBidi"/>
          <w:sz w:val="22"/>
          <w:szCs w:val="22"/>
        </w:rPr>
        <w:t>)</w:t>
      </w:r>
    </w:p>
    <w:p w14:paraId="786A9614" w14:textId="77777777" w:rsidR="0084680F" w:rsidRPr="00BC5E5D" w:rsidRDefault="0084680F" w:rsidP="00BC5E5D">
      <w:pPr>
        <w:spacing w:line="360" w:lineRule="auto"/>
        <w:jc w:val="both"/>
        <w:rPr>
          <w:rFonts w:asciiTheme="minorBidi" w:hAnsiTheme="minorBidi"/>
          <w:sz w:val="22"/>
          <w:szCs w:val="22"/>
        </w:rPr>
      </w:pPr>
      <w:r w:rsidRPr="00BC5E5D">
        <w:rPr>
          <w:rFonts w:asciiTheme="minorBidi" w:hAnsiTheme="minorBidi"/>
          <w:sz w:val="22"/>
          <w:szCs w:val="22"/>
        </w:rPr>
        <w:t>This shows e-learning as an educational practice, not merely a delivery system.</w:t>
      </w:r>
    </w:p>
    <w:p w14:paraId="74DEF5CD" w14:textId="4F0A243E" w:rsidR="009D4C6D" w:rsidRPr="00BC5E5D" w:rsidRDefault="009D4C6D" w:rsidP="00BC5E5D">
      <w:pPr>
        <w:spacing w:line="360" w:lineRule="auto"/>
        <w:jc w:val="both"/>
        <w:rPr>
          <w:rFonts w:asciiTheme="minorBidi" w:hAnsiTheme="minorBidi"/>
          <w:sz w:val="22"/>
          <w:szCs w:val="22"/>
        </w:rPr>
      </w:pPr>
      <w:r w:rsidRPr="00BC5E5D">
        <w:rPr>
          <w:rFonts w:asciiTheme="minorBidi" w:hAnsiTheme="minorBidi"/>
          <w:sz w:val="22"/>
          <w:szCs w:val="22"/>
        </w:rPr>
        <w:t>Further, Bezovski and Poorani (2016) defines e-learning primarily as the use of information and communication technology to deliver structured</w:t>
      </w:r>
      <w:r w:rsidR="00616EDD">
        <w:rPr>
          <w:rFonts w:asciiTheme="minorBidi" w:hAnsiTheme="minorBidi"/>
          <w:sz w:val="22"/>
          <w:szCs w:val="22"/>
        </w:rPr>
        <w:t xml:space="preserve"> and </w:t>
      </w:r>
      <w:r w:rsidRPr="00BC5E5D">
        <w:rPr>
          <w:rFonts w:asciiTheme="minorBidi" w:hAnsiTheme="minorBidi"/>
          <w:sz w:val="22"/>
          <w:szCs w:val="22"/>
        </w:rPr>
        <w:t xml:space="preserve"> interactive learning experiences, </w:t>
      </w:r>
      <w:r w:rsidRPr="00BC5E5D">
        <w:rPr>
          <w:rFonts w:asciiTheme="minorBidi" w:hAnsiTheme="minorBidi"/>
          <w:sz w:val="22"/>
          <w:szCs w:val="22"/>
        </w:rPr>
        <w:lastRenderedPageBreak/>
        <w:t>emphasizing both its technological components (platforms, tools, devices) and pedagogical dimensions (synchronous vs. asynchronous learning, learner-centered design). Compared with Keegan’s article</w:t>
      </w:r>
      <w:r w:rsidR="003962AD">
        <w:rPr>
          <w:rFonts w:asciiTheme="minorBidi" w:hAnsiTheme="minorBidi"/>
          <w:sz w:val="22"/>
          <w:szCs w:val="22"/>
        </w:rPr>
        <w:t>(2002)</w:t>
      </w:r>
      <w:r w:rsidRPr="00BC5E5D">
        <w:rPr>
          <w:rFonts w:asciiTheme="minorBidi" w:hAnsiTheme="minorBidi"/>
          <w:sz w:val="22"/>
          <w:szCs w:val="22"/>
        </w:rPr>
        <w:t>, which frames e-learning mainly as the latest stage of distance-education evolution enabled by the World Wide Web, and with Harasim’s historically rich account that positions e-learning as a paradigm shift toward networked collaborative learning, the third article</w:t>
      </w:r>
      <w:r w:rsidR="00101921">
        <w:rPr>
          <w:rFonts w:asciiTheme="minorBidi" w:hAnsiTheme="minorBidi"/>
          <w:sz w:val="22"/>
          <w:szCs w:val="22"/>
        </w:rPr>
        <w:t>(</w:t>
      </w:r>
      <w:r w:rsidR="00101921" w:rsidRPr="00BC5E5D">
        <w:rPr>
          <w:rFonts w:asciiTheme="minorBidi" w:hAnsiTheme="minorBidi"/>
          <w:sz w:val="22"/>
          <w:szCs w:val="22"/>
        </w:rPr>
        <w:t>Bezovski and Poorani</w:t>
      </w:r>
      <w:r w:rsidR="005968E6">
        <w:rPr>
          <w:rFonts w:asciiTheme="minorBidi" w:hAnsiTheme="minorBidi"/>
          <w:sz w:val="22"/>
          <w:szCs w:val="22"/>
        </w:rPr>
        <w:t xml:space="preserve">, </w:t>
      </w:r>
      <w:r w:rsidR="00101921" w:rsidRPr="00BC5E5D">
        <w:rPr>
          <w:rFonts w:asciiTheme="minorBidi" w:hAnsiTheme="minorBidi"/>
          <w:sz w:val="22"/>
          <w:szCs w:val="22"/>
        </w:rPr>
        <w:t>2016</w:t>
      </w:r>
      <w:r w:rsidR="00C5598E">
        <w:rPr>
          <w:rFonts w:asciiTheme="minorBidi" w:hAnsiTheme="minorBidi"/>
          <w:sz w:val="22"/>
          <w:szCs w:val="22"/>
        </w:rPr>
        <w:t>)</w:t>
      </w:r>
      <w:r w:rsidRPr="00BC5E5D">
        <w:rPr>
          <w:rFonts w:asciiTheme="minorBidi" w:hAnsiTheme="minorBidi"/>
          <w:sz w:val="22"/>
          <w:szCs w:val="22"/>
        </w:rPr>
        <w:t xml:space="preserve"> takes a more practical and systems-oriented approach, outlining definitions that merge technical infrastructure, content delivery mechanisms, and emerging trends such as blended learning, mobile learning, and gamification. Whereas Keegan</w:t>
      </w:r>
      <w:r w:rsidR="00CE47BE">
        <w:rPr>
          <w:rFonts w:asciiTheme="minorBidi" w:hAnsiTheme="minorBidi"/>
          <w:sz w:val="22"/>
          <w:szCs w:val="22"/>
        </w:rPr>
        <w:t>(2002)</w:t>
      </w:r>
      <w:r w:rsidRPr="00BC5E5D">
        <w:rPr>
          <w:rFonts w:asciiTheme="minorBidi" w:hAnsiTheme="minorBidi"/>
          <w:sz w:val="22"/>
          <w:szCs w:val="22"/>
        </w:rPr>
        <w:t xml:space="preserve"> stresses technological progression (d-learning → e-learning → m-learning) and Harasim</w:t>
      </w:r>
      <w:r w:rsidR="0093498D">
        <w:rPr>
          <w:rFonts w:asciiTheme="minorBidi" w:hAnsiTheme="minorBidi"/>
          <w:sz w:val="22"/>
          <w:szCs w:val="22"/>
        </w:rPr>
        <w:t>(2006)</w:t>
      </w:r>
      <w:r w:rsidRPr="00BC5E5D">
        <w:rPr>
          <w:rFonts w:asciiTheme="minorBidi" w:hAnsiTheme="minorBidi"/>
          <w:sz w:val="22"/>
          <w:szCs w:val="22"/>
        </w:rPr>
        <w:t xml:space="preserve"> </w:t>
      </w:r>
      <w:r w:rsidR="00CA0DA7" w:rsidRPr="00BC5E5D">
        <w:rPr>
          <w:rFonts w:asciiTheme="minorBidi" w:hAnsiTheme="minorBidi"/>
          <w:sz w:val="22"/>
          <w:szCs w:val="22"/>
        </w:rPr>
        <w:t>focusses</w:t>
      </w:r>
      <w:r w:rsidRPr="00BC5E5D">
        <w:rPr>
          <w:rFonts w:asciiTheme="minorBidi" w:hAnsiTheme="minorBidi"/>
          <w:sz w:val="22"/>
          <w:szCs w:val="22"/>
        </w:rPr>
        <w:t xml:space="preserve"> collaboration and learning theory rooted in early computer networking,  </w:t>
      </w:r>
      <w:r w:rsidR="00E63F20" w:rsidRPr="00BC5E5D">
        <w:rPr>
          <w:rFonts w:asciiTheme="minorBidi" w:hAnsiTheme="minorBidi"/>
          <w:sz w:val="22"/>
          <w:szCs w:val="22"/>
        </w:rPr>
        <w:t>Bezovski and Poorani</w:t>
      </w:r>
      <w:r w:rsidR="00E63F20">
        <w:rPr>
          <w:rFonts w:asciiTheme="minorBidi" w:hAnsiTheme="minorBidi"/>
          <w:sz w:val="22"/>
          <w:szCs w:val="22"/>
        </w:rPr>
        <w:t xml:space="preserve"> (</w:t>
      </w:r>
      <w:r w:rsidR="00E63F20" w:rsidRPr="00BC5E5D">
        <w:rPr>
          <w:rFonts w:asciiTheme="minorBidi" w:hAnsiTheme="minorBidi"/>
          <w:sz w:val="22"/>
          <w:szCs w:val="22"/>
        </w:rPr>
        <w:t>2016</w:t>
      </w:r>
      <w:r w:rsidR="00E63F20">
        <w:rPr>
          <w:rFonts w:asciiTheme="minorBidi" w:hAnsiTheme="minorBidi"/>
          <w:sz w:val="22"/>
          <w:szCs w:val="22"/>
        </w:rPr>
        <w:t xml:space="preserve">) </w:t>
      </w:r>
      <w:r w:rsidRPr="00BC5E5D">
        <w:rPr>
          <w:rFonts w:asciiTheme="minorBidi" w:hAnsiTheme="minorBidi"/>
          <w:sz w:val="22"/>
          <w:szCs w:val="22"/>
        </w:rPr>
        <w:t>presents e-learning as a broad, multifaceted ecosystem shaped by ICT progress and diverse instructional methods, focusing less on theoretical origins and more on its current applications, tools, and market growth.</w:t>
      </w:r>
    </w:p>
    <w:p w14:paraId="45FBE965" w14:textId="77777777" w:rsidR="0084680F" w:rsidRPr="00BC5E5D" w:rsidRDefault="0084680F" w:rsidP="00BC5E5D">
      <w:pPr>
        <w:spacing w:line="360" w:lineRule="auto"/>
        <w:jc w:val="both"/>
        <w:rPr>
          <w:rFonts w:asciiTheme="minorBidi" w:hAnsiTheme="minorBidi"/>
          <w:sz w:val="22"/>
          <w:szCs w:val="22"/>
        </w:rPr>
      </w:pPr>
    </w:p>
    <w:p w14:paraId="616B859A" w14:textId="77777777" w:rsidR="0084680F" w:rsidRPr="00BC5E5D" w:rsidRDefault="0084680F" w:rsidP="00BC5E5D">
      <w:pPr>
        <w:spacing w:line="360" w:lineRule="auto"/>
        <w:jc w:val="both"/>
        <w:rPr>
          <w:rFonts w:asciiTheme="minorBidi" w:hAnsiTheme="minorBidi"/>
          <w:sz w:val="22"/>
          <w:szCs w:val="22"/>
        </w:rPr>
      </w:pPr>
    </w:p>
    <w:p w14:paraId="67ABE38D" w14:textId="77777777" w:rsidR="0084680F" w:rsidRPr="00BC5E5D" w:rsidRDefault="0084680F" w:rsidP="00BC5E5D">
      <w:pPr>
        <w:spacing w:line="360" w:lineRule="auto"/>
        <w:jc w:val="both"/>
        <w:rPr>
          <w:rFonts w:asciiTheme="minorBidi" w:hAnsiTheme="minorBidi"/>
          <w:sz w:val="22"/>
          <w:szCs w:val="22"/>
        </w:rPr>
      </w:pPr>
    </w:p>
    <w:p w14:paraId="53CCE24D" w14:textId="0061413F" w:rsidR="0035566E" w:rsidRPr="00DF7692" w:rsidRDefault="00FE3CBA" w:rsidP="00242325">
      <w:pPr>
        <w:spacing w:line="360" w:lineRule="auto"/>
        <w:jc w:val="both"/>
        <w:rPr>
          <w:rFonts w:asciiTheme="minorBidi" w:hAnsiTheme="minorBidi"/>
          <w:sz w:val="22"/>
          <w:szCs w:val="22"/>
        </w:rPr>
      </w:pPr>
      <w:r w:rsidRPr="00BC5E5D">
        <w:rPr>
          <w:rFonts w:asciiTheme="minorBidi" w:hAnsiTheme="minorBidi"/>
          <w:sz w:val="22"/>
          <w:szCs w:val="22"/>
        </w:rPr>
        <w:t>Further</w:t>
      </w:r>
      <w:r w:rsidR="00314DEE" w:rsidRPr="00BC5E5D">
        <w:rPr>
          <w:rFonts w:asciiTheme="minorBidi" w:hAnsiTheme="minorBidi"/>
          <w:sz w:val="22"/>
          <w:szCs w:val="22"/>
        </w:rPr>
        <w:t xml:space="preserve">, </w:t>
      </w:r>
      <w:commentRangeStart w:id="24"/>
      <w:r w:rsidR="00493FB1" w:rsidRPr="00BC5E5D">
        <w:rPr>
          <w:rFonts w:asciiTheme="minorBidi" w:hAnsiTheme="minorBidi"/>
          <w:sz w:val="22"/>
          <w:szCs w:val="22"/>
        </w:rPr>
        <w:t>the literature</w:t>
      </w:r>
      <w:r w:rsidR="00314DEE" w:rsidRPr="00BC5E5D">
        <w:rPr>
          <w:rFonts w:asciiTheme="minorBidi" w:hAnsiTheme="minorBidi"/>
          <w:sz w:val="22"/>
          <w:szCs w:val="22"/>
        </w:rPr>
        <w:t xml:space="preserve"> review </w:t>
      </w:r>
      <w:commentRangeEnd w:id="24"/>
      <w:r w:rsidR="00314DEE" w:rsidRPr="00BC5E5D">
        <w:rPr>
          <w:rStyle w:val="CommentReference"/>
          <w:rFonts w:asciiTheme="minorBidi" w:hAnsiTheme="minorBidi"/>
          <w:sz w:val="22"/>
          <w:szCs w:val="22"/>
        </w:rPr>
        <w:commentReference w:id="24"/>
      </w:r>
      <w:r w:rsidR="00B46546" w:rsidRPr="00BC5E5D">
        <w:rPr>
          <w:rFonts w:asciiTheme="minorBidi" w:hAnsiTheme="minorBidi"/>
          <w:sz w:val="22"/>
          <w:szCs w:val="22"/>
        </w:rPr>
        <w:t xml:space="preserve">conducted for this research </w:t>
      </w:r>
      <w:r w:rsidR="00314DEE" w:rsidRPr="00BC5E5D">
        <w:rPr>
          <w:rFonts w:asciiTheme="minorBidi" w:hAnsiTheme="minorBidi"/>
          <w:sz w:val="22"/>
          <w:szCs w:val="22"/>
        </w:rPr>
        <w:t xml:space="preserve">revealed </w:t>
      </w:r>
      <w:r w:rsidR="00493FB1" w:rsidRPr="00BC5E5D">
        <w:rPr>
          <w:rFonts w:asciiTheme="minorBidi" w:hAnsiTheme="minorBidi"/>
          <w:sz w:val="22"/>
          <w:szCs w:val="22"/>
        </w:rPr>
        <w:t>that,</w:t>
      </w:r>
      <w:r w:rsidR="00314DEE" w:rsidRPr="00BC5E5D">
        <w:rPr>
          <w:rFonts w:asciiTheme="minorBidi" w:hAnsiTheme="minorBidi"/>
          <w:sz w:val="22"/>
          <w:szCs w:val="22"/>
        </w:rPr>
        <w:t xml:space="preserve"> </w:t>
      </w:r>
      <w:r w:rsidR="00DC1F63">
        <w:rPr>
          <w:rFonts w:asciiTheme="minorBidi" w:hAnsiTheme="minorBidi"/>
          <w:sz w:val="22"/>
          <w:szCs w:val="22"/>
        </w:rPr>
        <w:t>m</w:t>
      </w:r>
      <w:r w:rsidR="00314DEE" w:rsidRPr="00BC5E5D">
        <w:rPr>
          <w:rFonts w:asciiTheme="minorBidi" w:hAnsiTheme="minorBidi"/>
          <w:sz w:val="22"/>
          <w:szCs w:val="22"/>
        </w:rPr>
        <w:t xml:space="preserve">id to </w:t>
      </w:r>
      <w:r w:rsidR="00DC1F63">
        <w:rPr>
          <w:rFonts w:asciiTheme="minorBidi" w:hAnsiTheme="minorBidi"/>
          <w:sz w:val="22"/>
          <w:szCs w:val="22"/>
        </w:rPr>
        <w:t>l</w:t>
      </w:r>
      <w:r w:rsidR="00314DEE" w:rsidRPr="00BC5E5D">
        <w:rPr>
          <w:rFonts w:asciiTheme="minorBidi" w:hAnsiTheme="minorBidi"/>
          <w:sz w:val="22"/>
          <w:szCs w:val="22"/>
        </w:rPr>
        <w:t>ate 1990s (1995–2000), the rise of the World Wide Web (1993–1995) transformed e-learning.</w:t>
      </w:r>
      <w:r w:rsidR="00E50F00" w:rsidRPr="00BC5E5D">
        <w:rPr>
          <w:rFonts w:asciiTheme="minorBidi" w:hAnsiTheme="minorBidi"/>
          <w:sz w:val="22"/>
          <w:szCs w:val="22"/>
        </w:rPr>
        <w:t xml:space="preserve"> </w:t>
      </w:r>
      <w:r w:rsidR="00314DEE" w:rsidRPr="00BC5E5D">
        <w:rPr>
          <w:rFonts w:asciiTheme="minorBidi" w:hAnsiTheme="minorBidi"/>
          <w:sz w:val="22"/>
          <w:szCs w:val="22"/>
        </w:rPr>
        <w:t>Universities and companies began offering online courses, accessible remotely. Learning Management Systems (LMS)</w:t>
      </w:r>
      <w:r w:rsidR="00F61089">
        <w:rPr>
          <w:rFonts w:asciiTheme="minorBidi" w:hAnsiTheme="minorBidi"/>
          <w:sz w:val="22"/>
          <w:szCs w:val="22"/>
        </w:rPr>
        <w:t>.</w:t>
      </w:r>
      <w:r w:rsidR="00314DEE" w:rsidRPr="00BC5E5D">
        <w:rPr>
          <w:rFonts w:asciiTheme="minorBidi" w:hAnsiTheme="minorBidi"/>
          <w:sz w:val="22"/>
          <w:szCs w:val="22"/>
        </w:rPr>
        <w:t xml:space="preserve"> Early platforms like WebCT (1996) and Blackboard (1997) appeared, allowing instructors to post materials, quizzes, and manage </w:t>
      </w:r>
      <w:r w:rsidR="00493FB1" w:rsidRPr="00BC5E5D">
        <w:rPr>
          <w:rFonts w:asciiTheme="minorBidi" w:hAnsiTheme="minorBidi"/>
          <w:sz w:val="22"/>
          <w:szCs w:val="22"/>
        </w:rPr>
        <w:t>discussions</w:t>
      </w:r>
      <w:r w:rsidR="75B33744" w:rsidRPr="00BC5E5D">
        <w:rPr>
          <w:rFonts w:asciiTheme="minorBidi" w:hAnsiTheme="minorBidi"/>
          <w:sz w:val="22"/>
          <w:szCs w:val="22"/>
        </w:rPr>
        <w:t xml:space="preserve"> (</w:t>
      </w:r>
      <w:r w:rsidR="00670853" w:rsidRPr="00BC5E5D">
        <w:rPr>
          <w:rFonts w:asciiTheme="minorBidi" w:hAnsiTheme="minorBidi"/>
          <w:sz w:val="22"/>
          <w:szCs w:val="22"/>
        </w:rPr>
        <w:t>Li,2018)</w:t>
      </w:r>
      <w:r w:rsidR="00314DEE" w:rsidRPr="00BC5E5D">
        <w:rPr>
          <w:rFonts w:asciiTheme="minorBidi" w:hAnsiTheme="minorBidi"/>
          <w:sz w:val="22"/>
          <w:szCs w:val="22"/>
        </w:rPr>
        <w:t>. Email, online forums, and chat rooms supported asynchronous and synchronous communication.</w:t>
      </w:r>
      <w:r w:rsidR="00E50F00" w:rsidRPr="00BC5E5D">
        <w:rPr>
          <w:rFonts w:asciiTheme="minorBidi" w:hAnsiTheme="minorBidi"/>
          <w:sz w:val="22"/>
          <w:szCs w:val="22"/>
        </w:rPr>
        <w:t xml:space="preserve"> </w:t>
      </w:r>
      <w:r w:rsidR="00314DEE" w:rsidRPr="00BC5E5D">
        <w:rPr>
          <w:rFonts w:asciiTheme="minorBidi" w:hAnsiTheme="minorBidi"/>
          <w:sz w:val="22"/>
          <w:szCs w:val="22"/>
        </w:rPr>
        <w:t xml:space="preserve">The concept of a structured online </w:t>
      </w:r>
      <w:r w:rsidR="00231178" w:rsidRPr="00BC5E5D">
        <w:rPr>
          <w:rFonts w:asciiTheme="minorBidi" w:hAnsiTheme="minorBidi"/>
          <w:sz w:val="22"/>
          <w:szCs w:val="22"/>
        </w:rPr>
        <w:t>e</w:t>
      </w:r>
      <w:r w:rsidR="00E2388B" w:rsidRPr="00BC5E5D">
        <w:rPr>
          <w:rFonts w:asciiTheme="minorBidi" w:hAnsiTheme="minorBidi"/>
          <w:sz w:val="22"/>
          <w:szCs w:val="22"/>
        </w:rPr>
        <w:t>-</w:t>
      </w:r>
      <w:r w:rsidR="00314DEE" w:rsidRPr="00BC5E5D">
        <w:rPr>
          <w:rFonts w:asciiTheme="minorBidi" w:hAnsiTheme="minorBidi"/>
          <w:sz w:val="22"/>
          <w:szCs w:val="22"/>
        </w:rPr>
        <w:t>learning space began to emerge.</w:t>
      </w:r>
      <w:r w:rsidR="00E50F00" w:rsidRPr="00BC5E5D">
        <w:rPr>
          <w:rFonts w:asciiTheme="minorBidi" w:hAnsiTheme="minorBidi"/>
          <w:sz w:val="22"/>
          <w:szCs w:val="22"/>
        </w:rPr>
        <w:t xml:space="preserve"> </w:t>
      </w:r>
      <w:commentRangeStart w:id="25"/>
      <w:r w:rsidR="00314DEE" w:rsidRPr="00BC5E5D">
        <w:rPr>
          <w:rFonts w:asciiTheme="minorBidi" w:hAnsiTheme="minorBidi"/>
          <w:sz w:val="22"/>
          <w:szCs w:val="22"/>
        </w:rPr>
        <w:t xml:space="preserve">Distance education became more flexible and scalable, reaching learners </w:t>
      </w:r>
      <w:r w:rsidR="00493FB1" w:rsidRPr="00BC5E5D">
        <w:rPr>
          <w:rFonts w:asciiTheme="minorBidi" w:hAnsiTheme="minorBidi"/>
          <w:sz w:val="22"/>
          <w:szCs w:val="22"/>
        </w:rPr>
        <w:t>globally (</w:t>
      </w:r>
      <w:r w:rsidR="00384E29" w:rsidRPr="00BC5E5D">
        <w:rPr>
          <w:rFonts w:asciiTheme="minorBidi" w:hAnsiTheme="minorBidi"/>
          <w:sz w:val="22"/>
          <w:szCs w:val="22"/>
        </w:rPr>
        <w:t>Sun, Finger and Liu, 2014)</w:t>
      </w:r>
      <w:r w:rsidR="00314DEE" w:rsidRPr="00BC5E5D">
        <w:rPr>
          <w:rFonts w:asciiTheme="minorBidi" w:hAnsiTheme="minorBidi"/>
          <w:sz w:val="22"/>
          <w:szCs w:val="22"/>
        </w:rPr>
        <w:t>.</w:t>
      </w:r>
      <w:commentRangeEnd w:id="25"/>
      <w:r w:rsidR="00314DEE" w:rsidRPr="00BC5E5D">
        <w:rPr>
          <w:rStyle w:val="CommentReference"/>
          <w:rFonts w:asciiTheme="minorBidi" w:hAnsiTheme="minorBidi"/>
          <w:sz w:val="22"/>
          <w:szCs w:val="22"/>
        </w:rPr>
        <w:commentReference w:id="25"/>
      </w:r>
      <w:r w:rsidR="008F7F5E" w:rsidRPr="00BC5E5D">
        <w:rPr>
          <w:rFonts w:asciiTheme="minorBidi" w:hAnsiTheme="minorBidi"/>
          <w:sz w:val="22"/>
          <w:szCs w:val="22"/>
        </w:rPr>
        <w:t xml:space="preserve"> </w:t>
      </w:r>
      <w:r w:rsidR="0035566E" w:rsidRPr="00DF7692">
        <w:rPr>
          <w:rFonts w:asciiTheme="minorBidi" w:hAnsiTheme="minorBidi"/>
          <w:sz w:val="22"/>
          <w:szCs w:val="22"/>
        </w:rPr>
        <w:t>The rise of internet-based flexible coursework enabled greater interactivity and the integration of online multimedia learning materials (Stanevi</w:t>
      </w:r>
      <w:r w:rsidR="009334E6">
        <w:rPr>
          <w:rFonts w:asciiTheme="minorBidi" w:hAnsiTheme="minorBidi"/>
          <w:sz w:val="22"/>
          <w:szCs w:val="22"/>
        </w:rPr>
        <w:t>c</w:t>
      </w:r>
      <w:r w:rsidR="0035566E" w:rsidRPr="00DF7692">
        <w:rPr>
          <w:rFonts w:asciiTheme="minorBidi" w:hAnsiTheme="minorBidi"/>
          <w:sz w:val="22"/>
          <w:szCs w:val="22"/>
        </w:rPr>
        <w:t>ien</w:t>
      </w:r>
      <w:r w:rsidR="009334E6">
        <w:rPr>
          <w:rFonts w:asciiTheme="minorBidi" w:hAnsiTheme="minorBidi"/>
          <w:sz w:val="22"/>
          <w:szCs w:val="22"/>
        </w:rPr>
        <w:t>e</w:t>
      </w:r>
      <w:r w:rsidR="0035566E" w:rsidRPr="00DF7692">
        <w:rPr>
          <w:rFonts w:asciiTheme="minorBidi" w:hAnsiTheme="minorBidi"/>
          <w:sz w:val="22"/>
          <w:szCs w:val="22"/>
        </w:rPr>
        <w:t>, 2025).</w:t>
      </w:r>
      <w:r w:rsidR="00242325">
        <w:rPr>
          <w:rFonts w:asciiTheme="minorBidi" w:hAnsiTheme="minorBidi"/>
          <w:sz w:val="22"/>
          <w:szCs w:val="22"/>
        </w:rPr>
        <w:t xml:space="preserve"> </w:t>
      </w:r>
      <w:r w:rsidR="0035566E" w:rsidRPr="00DF7692">
        <w:rPr>
          <w:rFonts w:asciiTheme="minorBidi" w:hAnsiTheme="minorBidi"/>
          <w:sz w:val="22"/>
          <w:szCs w:val="22"/>
        </w:rPr>
        <w:t xml:space="preserve">Flexible learning programmes, </w:t>
      </w:r>
      <w:r w:rsidR="009334E6">
        <w:rPr>
          <w:rFonts w:asciiTheme="minorBidi" w:hAnsiTheme="minorBidi"/>
          <w:sz w:val="22"/>
          <w:szCs w:val="22"/>
        </w:rPr>
        <w:t xml:space="preserve">conducted </w:t>
      </w:r>
      <w:r w:rsidR="0035566E" w:rsidRPr="00DF7692">
        <w:rPr>
          <w:rFonts w:asciiTheme="minorBidi" w:hAnsiTheme="minorBidi"/>
          <w:sz w:val="22"/>
          <w:szCs w:val="22"/>
        </w:rPr>
        <w:t xml:space="preserve"> via online technologies and blended designs, support autonomy and interactivity, and frequently incorporate multimedia-rich materials (M</w:t>
      </w:r>
      <w:r w:rsidR="009334E6">
        <w:rPr>
          <w:rFonts w:asciiTheme="minorBidi" w:hAnsiTheme="minorBidi"/>
          <w:sz w:val="22"/>
          <w:szCs w:val="22"/>
        </w:rPr>
        <w:t>u</w:t>
      </w:r>
      <w:r w:rsidR="0035566E" w:rsidRPr="00DF7692">
        <w:rPr>
          <w:rFonts w:asciiTheme="minorBidi" w:hAnsiTheme="minorBidi"/>
          <w:sz w:val="22"/>
          <w:szCs w:val="22"/>
        </w:rPr>
        <w:t>ller, Mildenberger &amp; Steingruber, 2023).</w:t>
      </w:r>
    </w:p>
    <w:p w14:paraId="4CC80611" w14:textId="2368856D" w:rsidR="00464C87" w:rsidRPr="00BC5E5D" w:rsidRDefault="008F7F5E" w:rsidP="00427DD0">
      <w:pPr>
        <w:spacing w:line="360" w:lineRule="auto"/>
        <w:jc w:val="both"/>
        <w:rPr>
          <w:rFonts w:asciiTheme="minorBidi" w:hAnsiTheme="minorBidi"/>
          <w:sz w:val="22"/>
          <w:szCs w:val="22"/>
        </w:rPr>
      </w:pPr>
      <w:r w:rsidRPr="00BC5E5D">
        <w:rPr>
          <w:rFonts w:asciiTheme="minorBidi" w:hAnsiTheme="minorBidi"/>
          <w:sz w:val="22"/>
          <w:szCs w:val="22"/>
        </w:rPr>
        <w:t xml:space="preserve">During this period, distributed constructivist and cognitivist models became increasingly common, emphasizing learner-centered approaches. Additionally, social networking tools and remote user-to-user interactions emerged, further expanding opportunities for collaboration and engagement in digital learning </w:t>
      </w:r>
      <w:r w:rsidR="0084380C" w:rsidRPr="00BC5E5D">
        <w:rPr>
          <w:rFonts w:asciiTheme="minorBidi" w:hAnsiTheme="minorBidi"/>
          <w:sz w:val="22"/>
          <w:szCs w:val="22"/>
        </w:rPr>
        <w:t>environments (</w:t>
      </w:r>
      <w:r w:rsidR="00B00E0C" w:rsidRPr="00BC5E5D">
        <w:rPr>
          <w:rFonts w:asciiTheme="minorBidi" w:hAnsiTheme="minorBidi"/>
          <w:sz w:val="22"/>
          <w:szCs w:val="22"/>
        </w:rPr>
        <w:t>Kidd,2010).</w:t>
      </w:r>
      <w:r w:rsidR="00FB3F52" w:rsidRPr="00BC5E5D">
        <w:rPr>
          <w:rFonts w:asciiTheme="minorBidi" w:hAnsiTheme="minorBidi"/>
          <w:sz w:val="22"/>
          <w:szCs w:val="22"/>
        </w:rPr>
        <w:t xml:space="preserve"> Moreover, during this period, social learning became increasingly feasible. Asynchronous learning gained prominence through the use of online discussion platforms, while the advent of videoconferencing </w:t>
      </w:r>
      <w:r w:rsidR="00FB3F52" w:rsidRPr="00BC5E5D">
        <w:rPr>
          <w:rFonts w:asciiTheme="minorBidi" w:hAnsiTheme="minorBidi"/>
          <w:sz w:val="22"/>
          <w:szCs w:val="22"/>
        </w:rPr>
        <w:lastRenderedPageBreak/>
        <w:t xml:space="preserve">technologies enabled students to collaborate more effectively, thereby expanding and sustaining learning communities. </w:t>
      </w:r>
      <w:r w:rsidR="00427DD0">
        <w:rPr>
          <w:rFonts w:asciiTheme="minorBidi" w:hAnsiTheme="minorBidi"/>
          <w:sz w:val="22"/>
          <w:szCs w:val="22"/>
        </w:rPr>
        <w:t xml:space="preserve"> </w:t>
      </w:r>
      <w:r w:rsidR="00FB3F52" w:rsidRPr="00BC5E5D">
        <w:rPr>
          <w:rFonts w:asciiTheme="minorBidi" w:hAnsiTheme="minorBidi"/>
          <w:sz w:val="22"/>
          <w:szCs w:val="22"/>
        </w:rPr>
        <w:t xml:space="preserve">At the same time, e-learning and online courses became progressively integrated into conventional institutions, many of which began offering a growing number of online programs accessible to wider audiences. This trend gradually </w:t>
      </w:r>
      <w:r w:rsidR="00EF22D7" w:rsidRPr="00BC5E5D">
        <w:rPr>
          <w:rFonts w:asciiTheme="minorBidi" w:hAnsiTheme="minorBidi"/>
          <w:sz w:val="22"/>
          <w:szCs w:val="22"/>
        </w:rPr>
        <w:t>influenced</w:t>
      </w:r>
      <w:r w:rsidR="00FB3F52" w:rsidRPr="00BC5E5D">
        <w:rPr>
          <w:rFonts w:asciiTheme="minorBidi" w:hAnsiTheme="minorBidi"/>
          <w:sz w:val="22"/>
          <w:szCs w:val="22"/>
        </w:rPr>
        <w:t xml:space="preserve"> upon the market share traditionally held by open learning institutions</w:t>
      </w:r>
      <w:r w:rsidR="4B192B6A" w:rsidRPr="00BC5E5D">
        <w:rPr>
          <w:rFonts w:asciiTheme="minorBidi" w:hAnsiTheme="minorBidi"/>
          <w:sz w:val="22"/>
          <w:szCs w:val="22"/>
        </w:rPr>
        <w:t xml:space="preserve"> </w:t>
      </w:r>
      <w:r w:rsidR="00FB3F52" w:rsidRPr="00BC5E5D">
        <w:rPr>
          <w:rFonts w:asciiTheme="minorBidi" w:hAnsiTheme="minorBidi"/>
          <w:sz w:val="22"/>
          <w:szCs w:val="22"/>
        </w:rPr>
        <w:t>(Li,2018).</w:t>
      </w:r>
      <w:r w:rsidR="00464C87" w:rsidRPr="00BC5E5D">
        <w:rPr>
          <w:rFonts w:asciiTheme="minorBidi" w:hAnsiTheme="minorBidi"/>
          <w:sz w:val="22"/>
          <w:szCs w:val="22"/>
        </w:rPr>
        <w:t xml:space="preserve"> </w:t>
      </w:r>
    </w:p>
    <w:p w14:paraId="04F5C974" w14:textId="2EA01E8C" w:rsidR="0023680F" w:rsidRPr="00BC5E5D" w:rsidRDefault="00F82B92" w:rsidP="00B32136">
      <w:pPr>
        <w:spacing w:line="360" w:lineRule="auto"/>
        <w:jc w:val="both"/>
        <w:rPr>
          <w:rFonts w:asciiTheme="minorBidi" w:hAnsiTheme="minorBidi"/>
          <w:sz w:val="22"/>
          <w:szCs w:val="22"/>
        </w:rPr>
      </w:pPr>
      <w:r w:rsidRPr="00BC5E5D">
        <w:rPr>
          <w:rFonts w:asciiTheme="minorBidi" w:hAnsiTheme="minorBidi"/>
          <w:sz w:val="22"/>
          <w:szCs w:val="22"/>
        </w:rPr>
        <w:t xml:space="preserve">The growing emphasis on flexibility and accessibility in education </w:t>
      </w:r>
      <w:r w:rsidR="00045FD7" w:rsidRPr="00BC5E5D">
        <w:rPr>
          <w:rFonts w:asciiTheme="minorBidi" w:hAnsiTheme="minorBidi"/>
          <w:sz w:val="22"/>
          <w:szCs w:val="22"/>
        </w:rPr>
        <w:t>with e-learning(Table 1)</w:t>
      </w:r>
      <w:r w:rsidRPr="00BC5E5D">
        <w:rPr>
          <w:rFonts w:asciiTheme="minorBidi" w:hAnsiTheme="minorBidi"/>
          <w:sz w:val="22"/>
          <w:szCs w:val="22"/>
        </w:rPr>
        <w:t xml:space="preserve"> has been driven by the implementation of “anytime, anywhere” learning strategies. Digital technologies and online platforms now allow students to access resources and participate in learning activities at their own pace and convenience</w:t>
      </w:r>
      <w:r w:rsidR="00045FD7" w:rsidRPr="00BC5E5D">
        <w:rPr>
          <w:rFonts w:asciiTheme="minorBidi" w:hAnsiTheme="minorBidi"/>
          <w:sz w:val="22"/>
          <w:szCs w:val="22"/>
        </w:rPr>
        <w:t>(Table 1)</w:t>
      </w:r>
      <w:r w:rsidRPr="00BC5E5D">
        <w:rPr>
          <w:rFonts w:asciiTheme="minorBidi" w:hAnsiTheme="minorBidi"/>
          <w:sz w:val="22"/>
          <w:szCs w:val="22"/>
        </w:rPr>
        <w:t xml:space="preserve"> (Means et al., 2013</w:t>
      </w:r>
      <w:r w:rsidR="00EF22D7" w:rsidRPr="00BC5E5D">
        <w:rPr>
          <w:rFonts w:asciiTheme="minorBidi" w:hAnsiTheme="minorBidi"/>
          <w:sz w:val="22"/>
          <w:szCs w:val="22"/>
        </w:rPr>
        <w:t>,</w:t>
      </w:r>
      <w:r w:rsidRPr="00BC5E5D">
        <w:rPr>
          <w:rFonts w:asciiTheme="minorBidi" w:hAnsiTheme="minorBidi"/>
          <w:sz w:val="22"/>
          <w:szCs w:val="22"/>
        </w:rPr>
        <w:t xml:space="preserve"> Allen </w:t>
      </w:r>
      <w:r w:rsidR="00031267">
        <w:rPr>
          <w:rFonts w:asciiTheme="minorBidi" w:hAnsiTheme="minorBidi"/>
          <w:sz w:val="22"/>
          <w:szCs w:val="22"/>
        </w:rPr>
        <w:t xml:space="preserve">and </w:t>
      </w:r>
      <w:r w:rsidRPr="00BC5E5D">
        <w:rPr>
          <w:rFonts w:asciiTheme="minorBidi" w:hAnsiTheme="minorBidi"/>
          <w:sz w:val="22"/>
          <w:szCs w:val="22"/>
        </w:rPr>
        <w:t xml:space="preserve"> Seaman, 2017). Educational institutions increasingly provide diverse and flexible learning options, including competency-based programs that enable learners to progress upon mastery of objectives, fully online courses, and hybrid models that integrate online and face-to-face instruction (Simonson et al., 2019). This shift reflects a broader move toward learner-centered approaches, prioritizing individual needs, preferences, and learning styles, and fostering a more personalized and inclusive educational experience. </w:t>
      </w:r>
      <w:r w:rsidR="000D5899" w:rsidRPr="00BC5E5D">
        <w:rPr>
          <w:rFonts w:asciiTheme="minorBidi" w:hAnsiTheme="minorBidi"/>
          <w:sz w:val="22"/>
          <w:szCs w:val="22"/>
        </w:rPr>
        <w:t xml:space="preserve">At the same time, advances in technology led to the availability of lightweight mobile computing devices with larger screens at increasingly affordable prices. This significantly accelerated the growth of open learning, where mobility and social interaction were highly valued. Consequently, the trend in device ownership shifted steadily toward mobile technologies, reinforcing the role of portability as a key driver of e-learning </w:t>
      </w:r>
      <w:r w:rsidR="0084380C" w:rsidRPr="00BC5E5D">
        <w:rPr>
          <w:rFonts w:asciiTheme="minorBidi" w:hAnsiTheme="minorBidi"/>
          <w:sz w:val="22"/>
          <w:szCs w:val="22"/>
        </w:rPr>
        <w:t>adoption (</w:t>
      </w:r>
      <w:r w:rsidR="00697DF0" w:rsidRPr="00BC5E5D">
        <w:rPr>
          <w:rFonts w:asciiTheme="minorBidi" w:hAnsiTheme="minorBidi"/>
          <w:sz w:val="22"/>
          <w:szCs w:val="22"/>
        </w:rPr>
        <w:t>Anderson, 2015</w:t>
      </w:r>
      <w:r w:rsidR="00697DF0">
        <w:rPr>
          <w:rFonts w:asciiTheme="minorBidi" w:hAnsiTheme="minorBidi"/>
          <w:sz w:val="22"/>
          <w:szCs w:val="22"/>
        </w:rPr>
        <w:t xml:space="preserve">, </w:t>
      </w:r>
      <w:r w:rsidR="000D5899" w:rsidRPr="00BC5E5D">
        <w:rPr>
          <w:rFonts w:asciiTheme="minorBidi" w:hAnsiTheme="minorBidi"/>
          <w:sz w:val="22"/>
          <w:szCs w:val="22"/>
        </w:rPr>
        <w:t xml:space="preserve">Li,2018). </w:t>
      </w:r>
      <w:r w:rsidRPr="00BC5E5D">
        <w:rPr>
          <w:rFonts w:asciiTheme="minorBidi" w:hAnsiTheme="minorBidi"/>
          <w:sz w:val="22"/>
          <w:szCs w:val="22"/>
        </w:rPr>
        <w:t>Mobile technologies, in particular, play a pivotal role in supporting these developments by enabling seamless access to educational content on smartphones, tablets, and other portable devices, thus making truly ubiquitous learning possible (Crompton, 2013).</w:t>
      </w:r>
    </w:p>
    <w:p w14:paraId="3C4B1FAF" w14:textId="7064C2C8" w:rsidR="0023680F" w:rsidRPr="00220B40" w:rsidRDefault="00220B40" w:rsidP="004C2172">
      <w:pPr>
        <w:pStyle w:val="Heading2"/>
      </w:pPr>
      <w:bookmarkStart w:id="26" w:name="_Toc218503262"/>
      <w:r w:rsidRPr="00220B40">
        <w:t xml:space="preserve"> </w:t>
      </w:r>
      <w:bookmarkStart w:id="27" w:name="_Toc218504087"/>
      <w:r>
        <w:t xml:space="preserve">E-learning </w:t>
      </w:r>
      <w:r w:rsidR="0023680F" w:rsidRPr="00220B40">
        <w:t>After Covid pandemic</w:t>
      </w:r>
      <w:bookmarkEnd w:id="26"/>
      <w:bookmarkEnd w:id="27"/>
    </w:p>
    <w:p w14:paraId="24D2F296" w14:textId="7D097481" w:rsidR="003C1A48" w:rsidRDefault="00932E48" w:rsidP="004F15B6">
      <w:pPr>
        <w:spacing w:line="360" w:lineRule="auto"/>
        <w:jc w:val="both"/>
        <w:rPr>
          <w:rFonts w:asciiTheme="minorBidi" w:hAnsiTheme="minorBidi"/>
          <w:sz w:val="22"/>
          <w:szCs w:val="22"/>
        </w:rPr>
      </w:pPr>
      <w:r w:rsidRPr="00BC5E5D">
        <w:rPr>
          <w:rFonts w:asciiTheme="minorBidi" w:hAnsiTheme="minorBidi"/>
          <w:sz w:val="22"/>
          <w:szCs w:val="22"/>
        </w:rPr>
        <w:t xml:space="preserve">From above two sections, </w:t>
      </w:r>
      <w:r w:rsidR="00EE0CEA" w:rsidRPr="00BC5E5D">
        <w:rPr>
          <w:rFonts w:asciiTheme="minorBidi" w:hAnsiTheme="minorBidi"/>
          <w:sz w:val="22"/>
          <w:szCs w:val="22"/>
        </w:rPr>
        <w:t xml:space="preserve">it is clear that </w:t>
      </w:r>
      <w:r w:rsidR="003C1A48" w:rsidRPr="003C1A48">
        <w:rPr>
          <w:rFonts w:asciiTheme="minorBidi" w:hAnsiTheme="minorBidi"/>
          <w:sz w:val="22"/>
          <w:szCs w:val="22"/>
        </w:rPr>
        <w:t xml:space="preserve">before the COVID-19 pandemic, e-learning was often positioned as a supplementary or alternative mode of delivery, largely limited to distance education programs, professional training, or blended learning initiatives (Bozkurt et al., 2020; Hodges et al., 2020). It relied heavily on structured content delivery through learning management systems, discussion forums, and occasional use of video lectures. In contrast, the pandemic rapidly transformed e-learning into the primary mode of education, forcing institutions worldwide to adopt online delivery at scale (UNESCO, 2020; Marinoni, van’t Land </w:t>
      </w:r>
      <w:r w:rsidR="00757C76">
        <w:rPr>
          <w:rFonts w:asciiTheme="minorBidi" w:hAnsiTheme="minorBidi"/>
          <w:sz w:val="22"/>
          <w:szCs w:val="22"/>
        </w:rPr>
        <w:t xml:space="preserve">and </w:t>
      </w:r>
      <w:r w:rsidR="003C1A48" w:rsidRPr="003C1A48">
        <w:rPr>
          <w:rFonts w:asciiTheme="minorBidi" w:hAnsiTheme="minorBidi"/>
          <w:sz w:val="22"/>
          <w:szCs w:val="22"/>
        </w:rPr>
        <w:t xml:space="preserve"> Jensen, 2020).</w:t>
      </w:r>
    </w:p>
    <w:p w14:paraId="6481104C" w14:textId="77777777" w:rsidR="003C1A48" w:rsidRDefault="003C1A48" w:rsidP="00BC5E5D">
      <w:pPr>
        <w:spacing w:line="360" w:lineRule="auto"/>
        <w:jc w:val="both"/>
        <w:rPr>
          <w:rFonts w:asciiTheme="minorBidi" w:hAnsiTheme="minorBidi"/>
          <w:sz w:val="22"/>
          <w:szCs w:val="22"/>
        </w:rPr>
      </w:pPr>
    </w:p>
    <w:p w14:paraId="50497C23" w14:textId="318CB087" w:rsidR="00077595" w:rsidRPr="00BC5E5D" w:rsidRDefault="002B3E8B" w:rsidP="00757C76">
      <w:pPr>
        <w:spacing w:line="360" w:lineRule="auto"/>
        <w:jc w:val="both"/>
        <w:rPr>
          <w:rFonts w:asciiTheme="minorBidi" w:hAnsiTheme="minorBidi"/>
          <w:sz w:val="22"/>
          <w:szCs w:val="22"/>
        </w:rPr>
      </w:pPr>
      <w:r w:rsidRPr="00BC5E5D">
        <w:rPr>
          <w:rFonts w:asciiTheme="minorBidi" w:hAnsiTheme="minorBidi"/>
          <w:sz w:val="22"/>
          <w:szCs w:val="22"/>
        </w:rPr>
        <w:t xml:space="preserve">This shift brought videoconferencing platforms, collaborative tools, and cloud-based technologies to the forefront, while pedagogical practices evolved to emphasize interactivity, </w:t>
      </w:r>
      <w:r w:rsidRPr="00BC5E5D">
        <w:rPr>
          <w:rFonts w:asciiTheme="minorBidi" w:hAnsiTheme="minorBidi"/>
          <w:sz w:val="22"/>
          <w:szCs w:val="22"/>
        </w:rPr>
        <w:lastRenderedPageBreak/>
        <w:t xml:space="preserve">engagement, and active learning strategies such as breakout discussions, live polls, and group </w:t>
      </w:r>
      <w:r w:rsidR="0084380C" w:rsidRPr="00BC5E5D">
        <w:rPr>
          <w:rFonts w:asciiTheme="minorBidi" w:hAnsiTheme="minorBidi"/>
          <w:sz w:val="22"/>
          <w:szCs w:val="22"/>
        </w:rPr>
        <w:t>collaboration (</w:t>
      </w:r>
      <w:r w:rsidR="00690973" w:rsidRPr="00BC5E5D">
        <w:rPr>
          <w:rFonts w:asciiTheme="minorBidi" w:hAnsiTheme="minorBidi"/>
          <w:sz w:val="22"/>
          <w:szCs w:val="22"/>
        </w:rPr>
        <w:t>Alam, 2022)</w:t>
      </w:r>
      <w:r w:rsidRPr="00BC5E5D">
        <w:rPr>
          <w:rFonts w:asciiTheme="minorBidi" w:hAnsiTheme="minorBidi"/>
          <w:sz w:val="22"/>
          <w:szCs w:val="22"/>
        </w:rPr>
        <w:t xml:space="preserve">. </w:t>
      </w:r>
      <w:r w:rsidR="00077595" w:rsidRPr="00077595">
        <w:rPr>
          <w:rFonts w:asciiTheme="minorBidi" w:hAnsiTheme="minorBidi"/>
          <w:sz w:val="22"/>
          <w:szCs w:val="22"/>
        </w:rPr>
        <w:t>The pandemic also exposed and intensified issues of digital access and equity, prompting institutions to prioritize inclusivity and flexibility in design (OECD, 2023; Liasidou, 2022). As a result, attitudes toward e-learning shifted significantly</w:t>
      </w:r>
      <w:r w:rsidR="00757C76">
        <w:rPr>
          <w:rFonts w:asciiTheme="minorBidi" w:hAnsiTheme="minorBidi"/>
          <w:sz w:val="22"/>
          <w:szCs w:val="22"/>
        </w:rPr>
        <w:t xml:space="preserve">, </w:t>
      </w:r>
      <w:r w:rsidR="00077595" w:rsidRPr="00077595">
        <w:rPr>
          <w:rFonts w:asciiTheme="minorBidi" w:hAnsiTheme="minorBidi"/>
          <w:sz w:val="22"/>
          <w:szCs w:val="22"/>
        </w:rPr>
        <w:t>once viewed with skepticism, it is now more widely accepted by both educators and learners, and has become central to future educational models through the integration of hybrid and blended learning approaches (Horton, 2023; Wang et al., 2024).</w:t>
      </w:r>
    </w:p>
    <w:p w14:paraId="3EE0EF09" w14:textId="6BCA51B2" w:rsidR="00DC18ED" w:rsidRPr="00BC5E5D" w:rsidRDefault="00310E26" w:rsidP="00DC18ED">
      <w:pPr>
        <w:spacing w:line="360" w:lineRule="auto"/>
        <w:jc w:val="both"/>
        <w:rPr>
          <w:rFonts w:asciiTheme="minorBidi" w:hAnsiTheme="minorBidi"/>
          <w:sz w:val="22"/>
          <w:szCs w:val="22"/>
        </w:rPr>
      </w:pPr>
      <w:r w:rsidRPr="00BC5E5D">
        <w:rPr>
          <w:rFonts w:asciiTheme="minorBidi" w:hAnsiTheme="minorBidi"/>
          <w:sz w:val="22"/>
          <w:szCs w:val="22"/>
        </w:rPr>
        <w:t>De</w:t>
      </w:r>
      <w:r w:rsidR="00711864" w:rsidRPr="00BC5E5D">
        <w:rPr>
          <w:rFonts w:asciiTheme="minorBidi" w:hAnsiTheme="minorBidi"/>
          <w:sz w:val="22"/>
          <w:szCs w:val="22"/>
        </w:rPr>
        <w:t>velopments in m</w:t>
      </w:r>
      <w:r w:rsidRPr="00BC5E5D">
        <w:rPr>
          <w:rFonts w:asciiTheme="minorBidi" w:hAnsiTheme="minorBidi"/>
          <w:sz w:val="22"/>
          <w:szCs w:val="22"/>
        </w:rPr>
        <w:t xml:space="preserve">obile learning and </w:t>
      </w:r>
      <w:r w:rsidR="0084380C" w:rsidRPr="00BC5E5D">
        <w:rPr>
          <w:rFonts w:asciiTheme="minorBidi" w:hAnsiTheme="minorBidi"/>
          <w:sz w:val="22"/>
          <w:szCs w:val="22"/>
        </w:rPr>
        <w:t>microlearning (</w:t>
      </w:r>
      <w:r w:rsidR="002E6835" w:rsidRPr="00BC5E5D">
        <w:rPr>
          <w:rFonts w:asciiTheme="minorBidi" w:hAnsiTheme="minorBidi"/>
          <w:sz w:val="22"/>
          <w:szCs w:val="22"/>
        </w:rPr>
        <w:t xml:space="preserve">such as </w:t>
      </w:r>
      <w:r w:rsidR="00B92D22" w:rsidRPr="00BC5E5D">
        <w:rPr>
          <w:rFonts w:asciiTheme="minorBidi" w:hAnsiTheme="minorBidi"/>
          <w:sz w:val="22"/>
          <w:szCs w:val="22"/>
        </w:rPr>
        <w:t xml:space="preserve">Gamified Experiences, </w:t>
      </w:r>
      <w:r w:rsidR="00B50882" w:rsidRPr="00BC5E5D">
        <w:rPr>
          <w:rFonts w:asciiTheme="minorBidi" w:hAnsiTheme="minorBidi"/>
          <w:sz w:val="22"/>
          <w:szCs w:val="22"/>
        </w:rPr>
        <w:t>Bite-Sized Learning Units)</w:t>
      </w:r>
      <w:r w:rsidR="00711864" w:rsidRPr="00BC5E5D">
        <w:rPr>
          <w:rFonts w:asciiTheme="minorBidi" w:hAnsiTheme="minorBidi"/>
          <w:sz w:val="22"/>
          <w:szCs w:val="22"/>
        </w:rPr>
        <w:t xml:space="preserve"> during Covid time</w:t>
      </w:r>
      <w:r w:rsidRPr="00BC5E5D">
        <w:rPr>
          <w:rFonts w:asciiTheme="minorBidi" w:hAnsiTheme="minorBidi"/>
          <w:sz w:val="22"/>
          <w:szCs w:val="22"/>
        </w:rPr>
        <w:t xml:space="preserve"> signify a significant shift in educational paradigms by prioritizing flexibility, personalization, engagement, and </w:t>
      </w:r>
      <w:r w:rsidR="00177927" w:rsidRPr="00BC5E5D">
        <w:rPr>
          <w:rFonts w:asciiTheme="minorBidi" w:hAnsiTheme="minorBidi"/>
          <w:sz w:val="22"/>
          <w:szCs w:val="22"/>
        </w:rPr>
        <w:t>accessibility (</w:t>
      </w:r>
      <w:r w:rsidR="00AA02D4" w:rsidRPr="00BC5E5D">
        <w:rPr>
          <w:rFonts w:asciiTheme="minorBidi" w:hAnsiTheme="minorBidi"/>
          <w:sz w:val="22"/>
          <w:szCs w:val="22"/>
        </w:rPr>
        <w:t>Barmon and Singh, 2025)</w:t>
      </w:r>
      <w:r w:rsidRPr="00BC5E5D">
        <w:rPr>
          <w:rFonts w:asciiTheme="minorBidi" w:hAnsiTheme="minorBidi"/>
          <w:sz w:val="22"/>
          <w:szCs w:val="22"/>
        </w:rPr>
        <w:t xml:space="preserve">. Through the integration of mobile technologies with concise, targeted learning experiences, education in the digital era transcends the traditional constraints of time, place, and conventional instructional methods. </w:t>
      </w:r>
      <w:r w:rsidR="00DC18ED" w:rsidRPr="00DC18ED">
        <w:rPr>
          <w:rFonts w:asciiTheme="minorBidi" w:hAnsiTheme="minorBidi"/>
          <w:sz w:val="22"/>
          <w:szCs w:val="22"/>
        </w:rPr>
        <w:t>This approach enables learners to engage in self-paced, just-in-time learning that supports continuous knowledge acquisition (Naveed et al., 2023; Sisouvong, 2024), while providing educators with opportunities to deliver interactive, contextually relevant, and scalable content tailored to diverse learner needs.</w:t>
      </w:r>
    </w:p>
    <w:p w14:paraId="3E2316BE" w14:textId="4AC55005" w:rsidR="00E57A8B" w:rsidRDefault="00E57A8B" w:rsidP="00D87CDE">
      <w:pPr>
        <w:spacing w:line="360" w:lineRule="auto"/>
        <w:jc w:val="both"/>
        <w:rPr>
          <w:rFonts w:asciiTheme="minorBidi" w:hAnsiTheme="minorBidi"/>
          <w:sz w:val="22"/>
          <w:szCs w:val="22"/>
        </w:rPr>
      </w:pPr>
      <w:r w:rsidRPr="00BC5E5D">
        <w:rPr>
          <w:rFonts w:asciiTheme="minorBidi" w:hAnsiTheme="minorBidi"/>
          <w:sz w:val="22"/>
          <w:szCs w:val="22"/>
        </w:rPr>
        <w:t xml:space="preserve">Emerging technologies such as artificial intelligence (AI), virtual reality (VR), augmented reality (AR), and adaptive learning systems </w:t>
      </w:r>
      <w:r w:rsidR="00A93174" w:rsidRPr="00BC5E5D">
        <w:rPr>
          <w:rFonts w:asciiTheme="minorBidi" w:hAnsiTheme="minorBidi"/>
          <w:sz w:val="22"/>
          <w:szCs w:val="22"/>
        </w:rPr>
        <w:t xml:space="preserve">along with </w:t>
      </w:r>
      <w:r w:rsidR="005E064D" w:rsidRPr="00BC5E5D">
        <w:rPr>
          <w:rFonts w:asciiTheme="minorBidi" w:hAnsiTheme="minorBidi"/>
          <w:sz w:val="22"/>
          <w:szCs w:val="22"/>
        </w:rPr>
        <w:t xml:space="preserve">multimedia(table 1) </w:t>
      </w:r>
      <w:r w:rsidRPr="00BC5E5D">
        <w:rPr>
          <w:rFonts w:asciiTheme="minorBidi" w:hAnsiTheme="minorBidi"/>
          <w:sz w:val="22"/>
          <w:szCs w:val="22"/>
        </w:rPr>
        <w:t xml:space="preserve"> are poised to play a transformative role in the future of e-learning. By enhancing personalization, immersion, and adaptability, these tools have the potential to fundamentally reshape the educational </w:t>
      </w:r>
      <w:r w:rsidR="0084380C" w:rsidRPr="00BC5E5D">
        <w:rPr>
          <w:rFonts w:asciiTheme="minorBidi" w:hAnsiTheme="minorBidi"/>
          <w:sz w:val="22"/>
          <w:szCs w:val="22"/>
        </w:rPr>
        <w:t>landscape (</w:t>
      </w:r>
      <w:r w:rsidR="005062BA" w:rsidRPr="00BC5E5D">
        <w:rPr>
          <w:rFonts w:asciiTheme="minorBidi" w:hAnsiTheme="minorBidi"/>
          <w:sz w:val="22"/>
          <w:szCs w:val="22"/>
        </w:rPr>
        <w:t xml:space="preserve">Dhanda, Yada </w:t>
      </w:r>
      <w:r w:rsidR="0084380C" w:rsidRPr="00BC5E5D">
        <w:rPr>
          <w:rFonts w:asciiTheme="minorBidi" w:hAnsiTheme="minorBidi"/>
          <w:sz w:val="22"/>
          <w:szCs w:val="22"/>
        </w:rPr>
        <w:t>and Singh</w:t>
      </w:r>
      <w:r w:rsidR="005062BA" w:rsidRPr="00BC5E5D">
        <w:rPr>
          <w:rFonts w:asciiTheme="minorBidi" w:hAnsiTheme="minorBidi"/>
          <w:sz w:val="22"/>
          <w:szCs w:val="22"/>
        </w:rPr>
        <w:t>, 2025)</w:t>
      </w:r>
      <w:r w:rsidRPr="00BC5E5D">
        <w:rPr>
          <w:rFonts w:asciiTheme="minorBidi" w:hAnsiTheme="minorBidi"/>
          <w:sz w:val="22"/>
          <w:szCs w:val="22"/>
        </w:rPr>
        <w:t>. In particular, AI is driving major advances by enabling intelligent, adaptive, and highly personalized learning experiences. AI-powered systems can process large volumes of learner data to tailor learning pathways, optimize content delivery, and align instruction with individual needs and preferences</w:t>
      </w:r>
      <w:r w:rsidR="00A93174" w:rsidRPr="00BC5E5D">
        <w:rPr>
          <w:rFonts w:asciiTheme="minorBidi" w:hAnsiTheme="minorBidi"/>
          <w:sz w:val="22"/>
          <w:szCs w:val="22"/>
        </w:rPr>
        <w:t>(table 1)</w:t>
      </w:r>
      <w:r w:rsidRPr="00BC5E5D">
        <w:rPr>
          <w:rFonts w:asciiTheme="minorBidi" w:hAnsiTheme="minorBidi"/>
          <w:sz w:val="22"/>
          <w:szCs w:val="22"/>
        </w:rPr>
        <w:t xml:space="preserve">. For example, such systems </w:t>
      </w:r>
      <w:r w:rsidR="0084380C" w:rsidRPr="00BC5E5D">
        <w:rPr>
          <w:rFonts w:asciiTheme="minorBidi" w:hAnsiTheme="minorBidi"/>
          <w:sz w:val="22"/>
          <w:szCs w:val="22"/>
        </w:rPr>
        <w:t>can diagnose</w:t>
      </w:r>
      <w:r w:rsidRPr="00BC5E5D">
        <w:rPr>
          <w:rFonts w:asciiTheme="minorBidi" w:hAnsiTheme="minorBidi"/>
          <w:sz w:val="22"/>
          <w:szCs w:val="22"/>
        </w:rPr>
        <w:t xml:space="preserve"> learners’ strengths and weaknesses and providing customized interventions to support improvement. This level of personalization has been shown to enhance engagement and significantly improve learning outcomes (Gligorea et al., 2023).</w:t>
      </w:r>
      <w:r w:rsidR="0068598F" w:rsidRPr="00BC5E5D">
        <w:rPr>
          <w:rFonts w:asciiTheme="minorBidi" w:hAnsiTheme="minorBidi"/>
          <w:sz w:val="22"/>
          <w:szCs w:val="22"/>
        </w:rPr>
        <w:t xml:space="preserve"> </w:t>
      </w:r>
    </w:p>
    <w:p w14:paraId="7ECB83E3" w14:textId="341639F3" w:rsidR="00B8186D" w:rsidRPr="00BC5E5D" w:rsidRDefault="00B8186D" w:rsidP="00D87CDE">
      <w:pPr>
        <w:spacing w:line="360" w:lineRule="auto"/>
        <w:jc w:val="both"/>
        <w:rPr>
          <w:rFonts w:asciiTheme="minorBidi" w:hAnsiTheme="minorBidi"/>
          <w:sz w:val="22"/>
          <w:szCs w:val="22"/>
        </w:rPr>
      </w:pPr>
      <w:r>
        <w:rPr>
          <w:rFonts w:asciiTheme="minorBidi" w:hAnsiTheme="minorBidi"/>
          <w:sz w:val="22"/>
          <w:szCs w:val="22"/>
        </w:rPr>
        <w:t xml:space="preserve">High and Low </w:t>
      </w:r>
      <w:r w:rsidR="00BC0022">
        <w:rPr>
          <w:rFonts w:asciiTheme="minorBidi" w:hAnsiTheme="minorBidi"/>
          <w:sz w:val="22"/>
          <w:szCs w:val="22"/>
        </w:rPr>
        <w:t>and middle income countries difference need more research to complete this scetion)</w:t>
      </w:r>
    </w:p>
    <w:p w14:paraId="2AF5014D" w14:textId="2EF86971" w:rsidR="00BA6CE8" w:rsidRPr="00BC5E5D" w:rsidRDefault="00AD4229" w:rsidP="00BC5E5D">
      <w:pPr>
        <w:spacing w:line="360" w:lineRule="auto"/>
        <w:jc w:val="both"/>
        <w:rPr>
          <w:rFonts w:asciiTheme="minorBidi" w:hAnsiTheme="minorBidi"/>
          <w:sz w:val="22"/>
          <w:szCs w:val="22"/>
        </w:rPr>
      </w:pPr>
      <w:r>
        <w:rPr>
          <w:rFonts w:asciiTheme="minorBidi" w:hAnsiTheme="minorBidi"/>
          <w:sz w:val="22"/>
          <w:szCs w:val="22"/>
        </w:rPr>
        <w:t xml:space="preserve">However, </w:t>
      </w:r>
      <w:r w:rsidR="00BA6CE8" w:rsidRPr="00BC5E5D">
        <w:rPr>
          <w:rFonts w:asciiTheme="minorBidi" w:hAnsiTheme="minorBidi"/>
          <w:sz w:val="22"/>
          <w:szCs w:val="22"/>
        </w:rPr>
        <w:t xml:space="preserve">In high-income countries, e-learning is already well established in health professional education, with positive outcomes </w:t>
      </w:r>
      <w:r w:rsidR="0084380C" w:rsidRPr="00BC5E5D">
        <w:rPr>
          <w:rFonts w:asciiTheme="minorBidi" w:hAnsiTheme="minorBidi"/>
          <w:sz w:val="22"/>
          <w:szCs w:val="22"/>
        </w:rPr>
        <w:t>reported (</w:t>
      </w:r>
      <w:r w:rsidR="00FE353C" w:rsidRPr="00BC5E5D">
        <w:rPr>
          <w:rFonts w:asciiTheme="minorBidi" w:hAnsiTheme="minorBidi"/>
          <w:sz w:val="22"/>
          <w:szCs w:val="22"/>
        </w:rPr>
        <w:t>Belfi et al.,</w:t>
      </w:r>
      <w:r w:rsidR="00AA41EF" w:rsidRPr="00BC5E5D">
        <w:rPr>
          <w:rFonts w:asciiTheme="minorBidi" w:hAnsiTheme="minorBidi"/>
          <w:sz w:val="22"/>
          <w:szCs w:val="22"/>
        </w:rPr>
        <w:t>2021)</w:t>
      </w:r>
      <w:r w:rsidR="00BA6CE8" w:rsidRPr="00BC5E5D">
        <w:rPr>
          <w:rFonts w:asciiTheme="minorBidi" w:hAnsiTheme="minorBidi"/>
          <w:sz w:val="22"/>
          <w:szCs w:val="22"/>
        </w:rPr>
        <w:t xml:space="preserve">. By contrast, experiences in low- and middle-income countries are more limited, with implementation often restricted to postgraduate training </w:t>
      </w:r>
      <w:r w:rsidR="0084380C" w:rsidRPr="00BC5E5D">
        <w:rPr>
          <w:rFonts w:asciiTheme="minorBidi" w:hAnsiTheme="minorBidi"/>
          <w:sz w:val="22"/>
          <w:szCs w:val="22"/>
        </w:rPr>
        <w:t>programs (</w:t>
      </w:r>
      <w:r w:rsidR="001828A5" w:rsidRPr="00BC5E5D">
        <w:rPr>
          <w:rFonts w:asciiTheme="minorBidi" w:hAnsiTheme="minorBidi"/>
          <w:sz w:val="22"/>
          <w:szCs w:val="22"/>
        </w:rPr>
        <w:t>Gismalla,2021)</w:t>
      </w:r>
      <w:r w:rsidR="00BA6CE8" w:rsidRPr="00BC5E5D">
        <w:rPr>
          <w:rFonts w:asciiTheme="minorBidi" w:hAnsiTheme="minorBidi"/>
          <w:sz w:val="22"/>
          <w:szCs w:val="22"/>
        </w:rPr>
        <w:t xml:space="preserve">. In Sudan specifically, exposure </w:t>
      </w:r>
      <w:r w:rsidR="00BA6CE8" w:rsidRPr="00BC5E5D">
        <w:rPr>
          <w:rFonts w:asciiTheme="minorBidi" w:hAnsiTheme="minorBidi"/>
          <w:sz w:val="22"/>
          <w:szCs w:val="22"/>
        </w:rPr>
        <w:lastRenderedPageBreak/>
        <w:t xml:space="preserve">to e-learning in higher education remains minimal, with only a small number of universities currently offering such </w:t>
      </w:r>
      <w:r w:rsidR="0084380C" w:rsidRPr="00BC5E5D">
        <w:rPr>
          <w:rFonts w:asciiTheme="minorBidi" w:hAnsiTheme="minorBidi"/>
          <w:sz w:val="22"/>
          <w:szCs w:val="22"/>
        </w:rPr>
        <w:t>programs (</w:t>
      </w:r>
      <w:r w:rsidR="001828A5" w:rsidRPr="00BC5E5D">
        <w:rPr>
          <w:rFonts w:asciiTheme="minorBidi" w:hAnsiTheme="minorBidi"/>
          <w:sz w:val="22"/>
          <w:szCs w:val="22"/>
        </w:rPr>
        <w:t>Gismalla,2021)</w:t>
      </w:r>
      <w:r w:rsidR="00BA6CE8" w:rsidRPr="00BC5E5D">
        <w:rPr>
          <w:rFonts w:asciiTheme="minorBidi" w:hAnsiTheme="minorBidi"/>
          <w:sz w:val="22"/>
          <w:szCs w:val="22"/>
        </w:rPr>
        <w:t>.</w:t>
      </w:r>
    </w:p>
    <w:p w14:paraId="11F73DA7" w14:textId="0E81853E" w:rsidR="00DB3954" w:rsidRPr="00BC5E5D" w:rsidRDefault="00057875" w:rsidP="00057875">
      <w:pPr>
        <w:spacing w:line="360" w:lineRule="auto"/>
        <w:jc w:val="both"/>
        <w:rPr>
          <w:rFonts w:asciiTheme="minorBidi" w:hAnsiTheme="minorBidi"/>
          <w:sz w:val="22"/>
          <w:szCs w:val="22"/>
        </w:rPr>
      </w:pPr>
      <w:r w:rsidRPr="00B01455">
        <w:rPr>
          <w:rFonts w:asciiTheme="minorBidi" w:hAnsiTheme="minorBidi"/>
          <w:sz w:val="22"/>
          <w:szCs w:val="22"/>
          <w:highlight w:val="yellow"/>
        </w:rPr>
        <w:t xml:space="preserve">To further illustrate the structural transformation of e-learning brought about by the emergence of the internet, Table </w:t>
      </w:r>
      <w:r w:rsidR="00FE50EF" w:rsidRPr="00B01455">
        <w:rPr>
          <w:rFonts w:asciiTheme="minorBidi" w:hAnsiTheme="minorBidi"/>
          <w:sz w:val="22"/>
          <w:szCs w:val="22"/>
          <w:highlight w:val="yellow"/>
        </w:rPr>
        <w:t>2</w:t>
      </w:r>
      <w:r w:rsidRPr="00B01455">
        <w:rPr>
          <w:rFonts w:asciiTheme="minorBidi" w:hAnsiTheme="minorBidi"/>
          <w:sz w:val="22"/>
          <w:szCs w:val="22"/>
          <w:highlight w:val="yellow"/>
        </w:rPr>
        <w:t xml:space="preserve"> contrasts key characteristics of pre-internet e-learning with those of internet-era e-learning. The comparison highlights not only technological change but also deeper shifts in communication patterns, pedagogical possibilities, scalability, and learner access. By juxtaposing these two eras across dimensions such as interaction, collaboration, and feedback, the table provides a concise synthesis of how internet technologies reconfigured e-learning from largely linear, institution-controlled systems into more flexible, interactive, and globally scalable learning environments.</w:t>
      </w:r>
    </w:p>
    <w:p w14:paraId="36FB1A95" w14:textId="77777777" w:rsidR="00DB3954" w:rsidRPr="00BC5E5D" w:rsidRDefault="00DB3954" w:rsidP="00BC5E5D">
      <w:pPr>
        <w:spacing w:line="360" w:lineRule="auto"/>
        <w:jc w:val="both"/>
        <w:rPr>
          <w:rFonts w:asciiTheme="minorBidi" w:hAnsiTheme="minorBidi"/>
          <w:sz w:val="22"/>
          <w:szCs w:val="22"/>
        </w:rPr>
      </w:pPr>
    </w:p>
    <w:p w14:paraId="1F51E930" w14:textId="21765FDA" w:rsidR="00DB3954" w:rsidRPr="00BC5E5D" w:rsidRDefault="5E9345ED" w:rsidP="375272B2">
      <w:pPr>
        <w:spacing w:line="360" w:lineRule="auto"/>
        <w:jc w:val="both"/>
        <w:rPr>
          <w:rFonts w:asciiTheme="minorBidi" w:hAnsiTheme="minorBidi"/>
          <w:sz w:val="22"/>
          <w:szCs w:val="22"/>
        </w:rPr>
      </w:pPr>
      <w:r w:rsidRPr="375272B2">
        <w:rPr>
          <w:rFonts w:asciiTheme="minorBidi" w:hAnsiTheme="minorBidi"/>
          <w:sz w:val="22"/>
          <w:szCs w:val="22"/>
        </w:rPr>
        <w:t xml:space="preserve">Table </w:t>
      </w:r>
      <w:r w:rsidR="66529D74" w:rsidRPr="375272B2">
        <w:rPr>
          <w:rFonts w:asciiTheme="minorBidi" w:hAnsiTheme="minorBidi"/>
          <w:sz w:val="22"/>
          <w:szCs w:val="22"/>
        </w:rPr>
        <w:t>2</w:t>
      </w:r>
      <w:r w:rsidRPr="375272B2">
        <w:rPr>
          <w:rFonts w:asciiTheme="minorBidi" w:hAnsiTheme="minorBidi"/>
          <w:sz w:val="22"/>
          <w:szCs w:val="22"/>
        </w:rPr>
        <w:t xml:space="preserve">: </w:t>
      </w:r>
      <w:r w:rsidR="00831308" w:rsidRPr="375272B2">
        <w:rPr>
          <w:rFonts w:asciiTheme="minorBidi" w:hAnsiTheme="minorBidi"/>
          <w:sz w:val="22"/>
          <w:szCs w:val="22"/>
        </w:rPr>
        <w:t xml:space="preserve">Based on the analysis above, </w:t>
      </w:r>
      <w:commentRangeStart w:id="28"/>
      <w:r w:rsidR="00831308" w:rsidRPr="375272B2">
        <w:rPr>
          <w:rFonts w:asciiTheme="minorBidi" w:hAnsiTheme="minorBidi"/>
          <w:sz w:val="22"/>
          <w:szCs w:val="22"/>
        </w:rPr>
        <w:t>Summary of Key Differences</w:t>
      </w:r>
      <w:commentRangeEnd w:id="28"/>
      <w:r w:rsidR="00361384">
        <w:rPr>
          <w:rStyle w:val="CommentReference"/>
        </w:rPr>
        <w:commentReference w:id="28"/>
      </w:r>
    </w:p>
    <w:tbl>
      <w:tblPr>
        <w:tblW w:w="0" w:type="auto"/>
        <w:tblCellSpacing w:w="15"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1980"/>
        <w:gridCol w:w="3055"/>
        <w:gridCol w:w="3945"/>
      </w:tblGrid>
      <w:tr w:rsidR="00831308" w:rsidRPr="00BC5E5D" w14:paraId="1D31A0E6" w14:textId="77777777" w:rsidTr="005F5319">
        <w:trPr>
          <w:tblHeader/>
          <w:tblCellSpacing w:w="15" w:type="dxa"/>
        </w:trPr>
        <w:tc>
          <w:tcPr>
            <w:tcW w:w="1935" w:type="dxa"/>
            <w:shd w:val="clear" w:color="auto" w:fill="FFFFFF" w:themeFill="background1"/>
            <w:vAlign w:val="center"/>
            <w:hideMark/>
          </w:tcPr>
          <w:p w14:paraId="37F949D2" w14:textId="77777777" w:rsidR="00831308" w:rsidRPr="00BC5E5D" w:rsidRDefault="00831308" w:rsidP="00BC5E5D">
            <w:pPr>
              <w:spacing w:after="0" w:line="360" w:lineRule="auto"/>
              <w:jc w:val="both"/>
              <w:rPr>
                <w:rFonts w:asciiTheme="minorBidi" w:eastAsia="Times New Roman" w:hAnsiTheme="minorBidi"/>
                <w:b/>
                <w:bCs/>
                <w:kern w:val="0"/>
                <w:sz w:val="22"/>
                <w:szCs w:val="22"/>
                <w14:ligatures w14:val="none"/>
              </w:rPr>
            </w:pPr>
            <w:r w:rsidRPr="00BC5E5D">
              <w:rPr>
                <w:rFonts w:asciiTheme="minorBidi" w:eastAsia="Times New Roman" w:hAnsiTheme="minorBidi"/>
                <w:b/>
                <w:bCs/>
                <w:kern w:val="0"/>
                <w:sz w:val="22"/>
                <w:szCs w:val="22"/>
                <w14:ligatures w14:val="none"/>
              </w:rPr>
              <w:t>Aspect</w:t>
            </w:r>
          </w:p>
        </w:tc>
        <w:tc>
          <w:tcPr>
            <w:tcW w:w="3025" w:type="dxa"/>
            <w:shd w:val="clear" w:color="auto" w:fill="FFFFFF" w:themeFill="background1"/>
            <w:vAlign w:val="center"/>
            <w:hideMark/>
          </w:tcPr>
          <w:p w14:paraId="7191C12C" w14:textId="77777777" w:rsidR="00831308" w:rsidRPr="00BC5E5D" w:rsidRDefault="00831308" w:rsidP="00BC5E5D">
            <w:pPr>
              <w:spacing w:after="0" w:line="360" w:lineRule="auto"/>
              <w:jc w:val="both"/>
              <w:rPr>
                <w:rFonts w:asciiTheme="minorBidi" w:eastAsia="Times New Roman" w:hAnsiTheme="minorBidi"/>
                <w:b/>
                <w:bCs/>
                <w:kern w:val="0"/>
                <w:sz w:val="22"/>
                <w:szCs w:val="22"/>
                <w14:ligatures w14:val="none"/>
              </w:rPr>
            </w:pPr>
            <w:r w:rsidRPr="00BC5E5D">
              <w:rPr>
                <w:rFonts w:asciiTheme="minorBidi" w:eastAsia="Times New Roman" w:hAnsiTheme="minorBidi"/>
                <w:b/>
                <w:bCs/>
                <w:kern w:val="0"/>
                <w:sz w:val="22"/>
                <w:szCs w:val="22"/>
                <w14:ligatures w14:val="none"/>
              </w:rPr>
              <w:t>Pre-Internet E-learning</w:t>
            </w:r>
          </w:p>
        </w:tc>
        <w:tc>
          <w:tcPr>
            <w:tcW w:w="0" w:type="auto"/>
            <w:shd w:val="clear" w:color="auto" w:fill="FFFFFF" w:themeFill="background1"/>
            <w:vAlign w:val="center"/>
            <w:hideMark/>
          </w:tcPr>
          <w:p w14:paraId="7FACA48D" w14:textId="56085C8F" w:rsidR="00831308" w:rsidRPr="00BC5E5D" w:rsidRDefault="00831308" w:rsidP="00BC5E5D">
            <w:pPr>
              <w:spacing w:after="0" w:line="360" w:lineRule="auto"/>
              <w:jc w:val="both"/>
              <w:rPr>
                <w:rFonts w:asciiTheme="minorBidi" w:eastAsia="Times New Roman" w:hAnsiTheme="minorBidi"/>
                <w:b/>
                <w:bCs/>
                <w:kern w:val="0"/>
                <w:sz w:val="22"/>
                <w:szCs w:val="22"/>
                <w14:ligatures w14:val="none"/>
              </w:rPr>
            </w:pPr>
            <w:r w:rsidRPr="00BC5E5D">
              <w:rPr>
                <w:rFonts w:asciiTheme="minorBidi" w:eastAsia="Times New Roman" w:hAnsiTheme="minorBidi"/>
                <w:b/>
                <w:bCs/>
                <w:kern w:val="0"/>
                <w:sz w:val="22"/>
                <w:szCs w:val="22"/>
                <w14:ligatures w14:val="none"/>
              </w:rPr>
              <w:t>Internet</w:t>
            </w:r>
            <w:r w:rsidR="00A81FDC">
              <w:rPr>
                <w:rFonts w:asciiTheme="minorBidi" w:eastAsia="Times New Roman" w:hAnsiTheme="minorBidi"/>
                <w:b/>
                <w:bCs/>
                <w:kern w:val="0"/>
                <w:sz w:val="22"/>
                <w:szCs w:val="22"/>
                <w14:ligatures w14:val="none"/>
              </w:rPr>
              <w:t xml:space="preserve"> era</w:t>
            </w:r>
            <w:r w:rsidRPr="00BC5E5D">
              <w:rPr>
                <w:rFonts w:asciiTheme="minorBidi" w:eastAsia="Times New Roman" w:hAnsiTheme="minorBidi"/>
                <w:b/>
                <w:bCs/>
                <w:kern w:val="0"/>
                <w:sz w:val="22"/>
                <w:szCs w:val="22"/>
                <w14:ligatures w14:val="none"/>
              </w:rPr>
              <w:t xml:space="preserve"> E-learning</w:t>
            </w:r>
          </w:p>
        </w:tc>
      </w:tr>
      <w:tr w:rsidR="00831308" w:rsidRPr="00BC5E5D" w14:paraId="7D2E14DB" w14:textId="77777777" w:rsidTr="005F5319">
        <w:trPr>
          <w:tblCellSpacing w:w="15" w:type="dxa"/>
        </w:trPr>
        <w:tc>
          <w:tcPr>
            <w:tcW w:w="1935" w:type="dxa"/>
            <w:shd w:val="clear" w:color="auto" w:fill="FFFFFF" w:themeFill="background1"/>
            <w:vAlign w:val="center"/>
            <w:hideMark/>
          </w:tcPr>
          <w:p w14:paraId="13F64BC8"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Communication</w:t>
            </w:r>
          </w:p>
        </w:tc>
        <w:tc>
          <w:tcPr>
            <w:tcW w:w="3025" w:type="dxa"/>
            <w:shd w:val="clear" w:color="auto" w:fill="FFFFFF" w:themeFill="background1"/>
            <w:vAlign w:val="center"/>
            <w:hideMark/>
          </w:tcPr>
          <w:p w14:paraId="6AC60248"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One-way</w:t>
            </w:r>
          </w:p>
        </w:tc>
        <w:tc>
          <w:tcPr>
            <w:tcW w:w="0" w:type="auto"/>
            <w:shd w:val="clear" w:color="auto" w:fill="FFFFFF" w:themeFill="background1"/>
            <w:vAlign w:val="center"/>
            <w:hideMark/>
          </w:tcPr>
          <w:p w14:paraId="49528110"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Two-way interactive</w:t>
            </w:r>
          </w:p>
        </w:tc>
      </w:tr>
      <w:tr w:rsidR="00831308" w:rsidRPr="00BC5E5D" w14:paraId="1C191951" w14:textId="77777777" w:rsidTr="005F5319">
        <w:trPr>
          <w:tblCellSpacing w:w="15" w:type="dxa"/>
        </w:trPr>
        <w:tc>
          <w:tcPr>
            <w:tcW w:w="1935" w:type="dxa"/>
            <w:shd w:val="clear" w:color="auto" w:fill="FFFFFF" w:themeFill="background1"/>
            <w:vAlign w:val="center"/>
            <w:hideMark/>
          </w:tcPr>
          <w:p w14:paraId="6BE311CA"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Delivery</w:t>
            </w:r>
          </w:p>
        </w:tc>
        <w:tc>
          <w:tcPr>
            <w:tcW w:w="3025" w:type="dxa"/>
            <w:shd w:val="clear" w:color="auto" w:fill="FFFFFF" w:themeFill="background1"/>
            <w:vAlign w:val="center"/>
            <w:hideMark/>
          </w:tcPr>
          <w:p w14:paraId="012E5285" w14:textId="7F4ECDE6"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Postal, TV, stand-alone computers</w:t>
            </w:r>
            <w:r w:rsidR="000F2396">
              <w:rPr>
                <w:rFonts w:asciiTheme="minorBidi" w:eastAsia="Times New Roman" w:hAnsiTheme="minorBidi"/>
                <w:kern w:val="0"/>
                <w:sz w:val="22"/>
                <w:szCs w:val="22"/>
                <w14:ligatures w14:val="none"/>
              </w:rPr>
              <w:t>(</w:t>
            </w:r>
            <w:r w:rsidR="000F2396" w:rsidRPr="000F2396">
              <w:rPr>
                <w:rFonts w:asciiTheme="minorBidi" w:hAnsiTheme="minorBidi"/>
                <w:sz w:val="22"/>
                <w:szCs w:val="22"/>
              </w:rPr>
              <w:t>Gyambrah and  Martin, 2007; Betts et al., 2020</w:t>
            </w:r>
          </w:p>
        </w:tc>
        <w:tc>
          <w:tcPr>
            <w:tcW w:w="0" w:type="auto"/>
            <w:shd w:val="clear" w:color="auto" w:fill="FFFFFF" w:themeFill="background1"/>
            <w:vAlign w:val="center"/>
            <w:hideMark/>
          </w:tcPr>
          <w:p w14:paraId="69206D97"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Online platforms, LMS</w:t>
            </w:r>
          </w:p>
        </w:tc>
      </w:tr>
      <w:tr w:rsidR="00831308" w:rsidRPr="00BC5E5D" w14:paraId="10B508B8" w14:textId="77777777" w:rsidTr="005F5319">
        <w:trPr>
          <w:tblCellSpacing w:w="15" w:type="dxa"/>
        </w:trPr>
        <w:tc>
          <w:tcPr>
            <w:tcW w:w="1935" w:type="dxa"/>
            <w:shd w:val="clear" w:color="auto" w:fill="FFFFFF" w:themeFill="background1"/>
            <w:vAlign w:val="center"/>
            <w:hideMark/>
          </w:tcPr>
          <w:p w14:paraId="09ED071B"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Collaboration</w:t>
            </w:r>
          </w:p>
        </w:tc>
        <w:tc>
          <w:tcPr>
            <w:tcW w:w="3025" w:type="dxa"/>
            <w:shd w:val="clear" w:color="auto" w:fill="FFFFFF" w:themeFill="background1"/>
            <w:vAlign w:val="center"/>
            <w:hideMark/>
          </w:tcPr>
          <w:p w14:paraId="65363FA4" w14:textId="160F37A9" w:rsidR="00831308" w:rsidRPr="00BC5E5D" w:rsidRDefault="00A81FDC" w:rsidP="00BC5E5D">
            <w:pPr>
              <w:spacing w:after="0" w:line="360" w:lineRule="auto"/>
              <w:jc w:val="both"/>
              <w:rPr>
                <w:rFonts w:asciiTheme="minorBidi" w:eastAsia="Times New Roman" w:hAnsiTheme="minorBidi"/>
                <w:kern w:val="0"/>
                <w:sz w:val="22"/>
                <w:szCs w:val="22"/>
                <w14:ligatures w14:val="none"/>
              </w:rPr>
            </w:pPr>
            <w:r>
              <w:rPr>
                <w:rFonts w:asciiTheme="minorBidi" w:eastAsia="Times New Roman" w:hAnsiTheme="minorBidi"/>
                <w:kern w:val="0"/>
                <w:sz w:val="22"/>
                <w:szCs w:val="22"/>
                <w14:ligatures w14:val="none"/>
              </w:rPr>
              <w:t>low</w:t>
            </w:r>
          </w:p>
        </w:tc>
        <w:tc>
          <w:tcPr>
            <w:tcW w:w="0" w:type="auto"/>
            <w:shd w:val="clear" w:color="auto" w:fill="FFFFFF" w:themeFill="background1"/>
            <w:vAlign w:val="center"/>
            <w:hideMark/>
          </w:tcPr>
          <w:p w14:paraId="6D34768E" w14:textId="21ADCB5B"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High</w:t>
            </w:r>
            <w:r w:rsidR="00A93174" w:rsidRPr="00BC5E5D">
              <w:rPr>
                <w:rFonts w:asciiTheme="minorBidi" w:eastAsia="Times New Roman" w:hAnsiTheme="minorBidi"/>
                <w:kern w:val="0"/>
                <w:sz w:val="22"/>
                <w:szCs w:val="22"/>
                <w14:ligatures w14:val="none"/>
              </w:rPr>
              <w:t xml:space="preserve"> with more personalization</w:t>
            </w:r>
            <w:r w:rsidRPr="00BC5E5D">
              <w:rPr>
                <w:rFonts w:asciiTheme="minorBidi" w:eastAsia="Times New Roman" w:hAnsiTheme="minorBidi"/>
                <w:kern w:val="0"/>
                <w:sz w:val="22"/>
                <w:szCs w:val="22"/>
                <w14:ligatures w14:val="none"/>
              </w:rPr>
              <w:t xml:space="preserve"> (forums, video, group work)</w:t>
            </w:r>
          </w:p>
        </w:tc>
      </w:tr>
      <w:tr w:rsidR="00831308" w:rsidRPr="00BC5E5D" w14:paraId="2C3253A5" w14:textId="77777777" w:rsidTr="005F5319">
        <w:trPr>
          <w:tblCellSpacing w:w="15" w:type="dxa"/>
        </w:trPr>
        <w:tc>
          <w:tcPr>
            <w:tcW w:w="1935" w:type="dxa"/>
            <w:shd w:val="clear" w:color="auto" w:fill="FFFFFF" w:themeFill="background1"/>
            <w:vAlign w:val="center"/>
            <w:hideMark/>
          </w:tcPr>
          <w:p w14:paraId="0C1C3A50"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Content</w:t>
            </w:r>
          </w:p>
        </w:tc>
        <w:tc>
          <w:tcPr>
            <w:tcW w:w="3025" w:type="dxa"/>
            <w:shd w:val="clear" w:color="auto" w:fill="FFFFFF" w:themeFill="background1"/>
            <w:vAlign w:val="center"/>
            <w:hideMark/>
          </w:tcPr>
          <w:p w14:paraId="31F5BCC5"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Static</w:t>
            </w:r>
          </w:p>
        </w:tc>
        <w:tc>
          <w:tcPr>
            <w:tcW w:w="0" w:type="auto"/>
            <w:shd w:val="clear" w:color="auto" w:fill="FFFFFF" w:themeFill="background1"/>
            <w:vAlign w:val="center"/>
            <w:hideMark/>
          </w:tcPr>
          <w:p w14:paraId="3B57A3C3"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Dynamic and multimedia</w:t>
            </w:r>
          </w:p>
        </w:tc>
      </w:tr>
      <w:tr w:rsidR="00831308" w:rsidRPr="00BC5E5D" w14:paraId="3F575BD4" w14:textId="77777777" w:rsidTr="005F5319">
        <w:trPr>
          <w:tblCellSpacing w:w="15" w:type="dxa"/>
        </w:trPr>
        <w:tc>
          <w:tcPr>
            <w:tcW w:w="1935" w:type="dxa"/>
            <w:shd w:val="clear" w:color="auto" w:fill="FFFFFF" w:themeFill="background1"/>
            <w:vAlign w:val="center"/>
            <w:hideMark/>
          </w:tcPr>
          <w:p w14:paraId="21BFB8AF"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Scalability</w:t>
            </w:r>
          </w:p>
        </w:tc>
        <w:tc>
          <w:tcPr>
            <w:tcW w:w="3025" w:type="dxa"/>
            <w:shd w:val="clear" w:color="auto" w:fill="FFFFFF" w:themeFill="background1"/>
            <w:vAlign w:val="center"/>
            <w:hideMark/>
          </w:tcPr>
          <w:p w14:paraId="531CDFF3"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Limited</w:t>
            </w:r>
          </w:p>
        </w:tc>
        <w:tc>
          <w:tcPr>
            <w:tcW w:w="0" w:type="auto"/>
            <w:shd w:val="clear" w:color="auto" w:fill="FFFFFF" w:themeFill="background1"/>
            <w:vAlign w:val="center"/>
            <w:hideMark/>
          </w:tcPr>
          <w:p w14:paraId="15C846F8"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Massive (MOOCs, global access)</w:t>
            </w:r>
          </w:p>
        </w:tc>
      </w:tr>
      <w:tr w:rsidR="00831308" w:rsidRPr="00BC5E5D" w14:paraId="7F974DF6" w14:textId="77777777" w:rsidTr="005F5319">
        <w:trPr>
          <w:tblCellSpacing w:w="15" w:type="dxa"/>
        </w:trPr>
        <w:tc>
          <w:tcPr>
            <w:tcW w:w="1935" w:type="dxa"/>
            <w:shd w:val="clear" w:color="auto" w:fill="FFFFFF" w:themeFill="background1"/>
            <w:vAlign w:val="center"/>
            <w:hideMark/>
          </w:tcPr>
          <w:p w14:paraId="156AB5A6"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Feedback</w:t>
            </w:r>
          </w:p>
        </w:tc>
        <w:tc>
          <w:tcPr>
            <w:tcW w:w="3025" w:type="dxa"/>
            <w:shd w:val="clear" w:color="auto" w:fill="FFFFFF" w:themeFill="background1"/>
            <w:vAlign w:val="center"/>
            <w:hideMark/>
          </w:tcPr>
          <w:p w14:paraId="39C76EC8"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Slow</w:t>
            </w:r>
          </w:p>
        </w:tc>
        <w:tc>
          <w:tcPr>
            <w:tcW w:w="0" w:type="auto"/>
            <w:shd w:val="clear" w:color="auto" w:fill="FFFFFF" w:themeFill="background1"/>
            <w:vAlign w:val="center"/>
            <w:hideMark/>
          </w:tcPr>
          <w:p w14:paraId="32F1C174"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Instant</w:t>
            </w:r>
          </w:p>
        </w:tc>
      </w:tr>
      <w:tr w:rsidR="00831308" w:rsidRPr="00BC5E5D" w14:paraId="747BAF43" w14:textId="77777777" w:rsidTr="005F5319">
        <w:trPr>
          <w:tblCellSpacing w:w="15" w:type="dxa"/>
        </w:trPr>
        <w:tc>
          <w:tcPr>
            <w:tcW w:w="1935" w:type="dxa"/>
            <w:shd w:val="clear" w:color="auto" w:fill="FFFFFF" w:themeFill="background1"/>
            <w:vAlign w:val="center"/>
            <w:hideMark/>
          </w:tcPr>
          <w:p w14:paraId="6A96D9DD"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Access</w:t>
            </w:r>
          </w:p>
        </w:tc>
        <w:tc>
          <w:tcPr>
            <w:tcW w:w="3025" w:type="dxa"/>
            <w:shd w:val="clear" w:color="auto" w:fill="FFFFFF" w:themeFill="background1"/>
            <w:vAlign w:val="center"/>
            <w:hideMark/>
          </w:tcPr>
          <w:p w14:paraId="3830EB19" w14:textId="77777777"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Restricted</w:t>
            </w:r>
          </w:p>
        </w:tc>
        <w:tc>
          <w:tcPr>
            <w:tcW w:w="0" w:type="auto"/>
            <w:shd w:val="clear" w:color="auto" w:fill="FFFFFF" w:themeFill="background1"/>
            <w:vAlign w:val="center"/>
            <w:hideMark/>
          </w:tcPr>
          <w:p w14:paraId="47B7E291" w14:textId="3F97A944" w:rsidR="00831308" w:rsidRPr="00BC5E5D" w:rsidRDefault="00831308" w:rsidP="00BC5E5D">
            <w:pPr>
              <w:spacing w:after="0" w:line="360" w:lineRule="auto"/>
              <w:jc w:val="both"/>
              <w:rPr>
                <w:rFonts w:asciiTheme="minorBidi" w:eastAsia="Times New Roman" w:hAnsiTheme="minorBidi"/>
                <w:kern w:val="0"/>
                <w:sz w:val="22"/>
                <w:szCs w:val="22"/>
                <w14:ligatures w14:val="none"/>
              </w:rPr>
            </w:pPr>
            <w:r w:rsidRPr="00BC5E5D">
              <w:rPr>
                <w:rFonts w:asciiTheme="minorBidi" w:eastAsia="Times New Roman" w:hAnsiTheme="minorBidi"/>
                <w:kern w:val="0"/>
                <w:sz w:val="22"/>
                <w:szCs w:val="22"/>
                <w14:ligatures w14:val="none"/>
              </w:rPr>
              <w:t>Anywhere with internet</w:t>
            </w:r>
            <w:r w:rsidR="009D27BF" w:rsidRPr="00BC5E5D">
              <w:rPr>
                <w:rFonts w:asciiTheme="minorBidi" w:eastAsia="Times New Roman" w:hAnsiTheme="minorBidi"/>
                <w:kern w:val="0"/>
                <w:sz w:val="22"/>
                <w:szCs w:val="22"/>
                <w14:ligatures w14:val="none"/>
              </w:rPr>
              <w:t>(flexible)</w:t>
            </w:r>
          </w:p>
        </w:tc>
      </w:tr>
    </w:tbl>
    <w:p w14:paraId="5168AE73" w14:textId="77777777" w:rsidR="00831308" w:rsidRPr="00BC5E5D" w:rsidRDefault="00831308" w:rsidP="00BC5E5D">
      <w:pPr>
        <w:spacing w:line="360" w:lineRule="auto"/>
        <w:jc w:val="both"/>
        <w:rPr>
          <w:rFonts w:asciiTheme="minorBidi" w:hAnsiTheme="minorBidi"/>
          <w:sz w:val="22"/>
          <w:szCs w:val="22"/>
        </w:rPr>
      </w:pPr>
    </w:p>
    <w:p w14:paraId="61F58D48" w14:textId="09EF2CB6" w:rsidR="00BC016B" w:rsidRPr="00BC5E5D" w:rsidRDefault="00BC016B" w:rsidP="004C2172">
      <w:pPr>
        <w:pStyle w:val="Heading2"/>
      </w:pPr>
      <w:bookmarkStart w:id="29" w:name="_Toc218503263"/>
      <w:bookmarkStart w:id="30" w:name="_Toc218504088"/>
      <w:r w:rsidRPr="00BC5E5D">
        <w:t>Conceptuali</w:t>
      </w:r>
      <w:r w:rsidR="004F504F" w:rsidRPr="00BC5E5D">
        <w:t>sation</w:t>
      </w:r>
      <w:r w:rsidRPr="00BC5E5D">
        <w:t xml:space="preserve"> of</w:t>
      </w:r>
      <w:r w:rsidR="00095293" w:rsidRPr="00BC5E5D">
        <w:t xml:space="preserve"> e-learning</w:t>
      </w:r>
      <w:bookmarkEnd w:id="29"/>
      <w:bookmarkEnd w:id="30"/>
    </w:p>
    <w:p w14:paraId="13690DD3" w14:textId="499C2F4E" w:rsidR="00A856AF" w:rsidRPr="00BC5E5D" w:rsidRDefault="00A856AF" w:rsidP="00BC5E5D">
      <w:pPr>
        <w:spacing w:line="360" w:lineRule="auto"/>
        <w:jc w:val="both"/>
        <w:rPr>
          <w:rFonts w:asciiTheme="minorBidi" w:hAnsiTheme="minorBidi"/>
          <w:sz w:val="22"/>
          <w:szCs w:val="22"/>
        </w:rPr>
      </w:pPr>
      <w:r w:rsidRPr="00BC5E5D">
        <w:rPr>
          <w:rFonts w:asciiTheme="minorBidi" w:hAnsiTheme="minorBidi"/>
          <w:sz w:val="22"/>
          <w:szCs w:val="22"/>
        </w:rPr>
        <w:t>After the brief explanation on how e-learning emerged and key milestones in its evolution</w:t>
      </w:r>
      <w:r w:rsidR="5963AA83" w:rsidRPr="256F88E9">
        <w:rPr>
          <w:rFonts w:asciiTheme="minorBidi" w:hAnsiTheme="minorBidi"/>
          <w:sz w:val="22"/>
          <w:szCs w:val="22"/>
        </w:rPr>
        <w:t xml:space="preserve"> </w:t>
      </w:r>
      <w:r w:rsidRPr="00BC5E5D">
        <w:rPr>
          <w:rFonts w:asciiTheme="minorBidi" w:hAnsiTheme="minorBidi"/>
          <w:sz w:val="22"/>
          <w:szCs w:val="22"/>
        </w:rPr>
        <w:t xml:space="preserve">(e.g., early computer-based learning, internet-based learning) in the </w:t>
      </w:r>
      <w:r w:rsidR="007E7C05" w:rsidRPr="00BC5E5D">
        <w:rPr>
          <w:rFonts w:asciiTheme="minorBidi" w:hAnsiTheme="minorBidi"/>
          <w:sz w:val="22"/>
          <w:szCs w:val="22"/>
        </w:rPr>
        <w:t>previous</w:t>
      </w:r>
      <w:r w:rsidRPr="00BC5E5D">
        <w:rPr>
          <w:rFonts w:asciiTheme="minorBidi" w:hAnsiTheme="minorBidi"/>
          <w:sz w:val="22"/>
          <w:szCs w:val="22"/>
        </w:rPr>
        <w:t xml:space="preserve"> section, </w:t>
      </w:r>
      <w:r w:rsidR="001826FE" w:rsidRPr="00BC5E5D">
        <w:rPr>
          <w:rFonts w:asciiTheme="minorBidi" w:hAnsiTheme="minorBidi"/>
          <w:sz w:val="22"/>
          <w:szCs w:val="22"/>
        </w:rPr>
        <w:t>t</w:t>
      </w:r>
      <w:r w:rsidR="00FA501C" w:rsidRPr="00BC5E5D">
        <w:rPr>
          <w:rFonts w:asciiTheme="minorBidi" w:hAnsiTheme="minorBidi"/>
          <w:sz w:val="22"/>
          <w:szCs w:val="22"/>
        </w:rPr>
        <w:t xml:space="preserve">his study now focuses on </w:t>
      </w:r>
      <w:r w:rsidR="005464F2" w:rsidRPr="00BC5E5D">
        <w:rPr>
          <w:rFonts w:asciiTheme="minorBidi" w:hAnsiTheme="minorBidi"/>
          <w:sz w:val="22"/>
          <w:szCs w:val="22"/>
        </w:rPr>
        <w:t xml:space="preserve">conceptualization </w:t>
      </w:r>
      <w:r w:rsidR="00FA501C" w:rsidRPr="00BC5E5D">
        <w:rPr>
          <w:rFonts w:asciiTheme="minorBidi" w:hAnsiTheme="minorBidi"/>
          <w:sz w:val="22"/>
          <w:szCs w:val="22"/>
        </w:rPr>
        <w:t xml:space="preserve">of e-learning in this section. </w:t>
      </w:r>
    </w:p>
    <w:p w14:paraId="71192588" w14:textId="32D56DE4" w:rsidR="00A856AF" w:rsidRPr="00BC5E5D" w:rsidRDefault="00270CF5" w:rsidP="00BC5E5D">
      <w:pPr>
        <w:spacing w:line="360" w:lineRule="auto"/>
        <w:jc w:val="both"/>
        <w:rPr>
          <w:rFonts w:asciiTheme="minorBidi" w:hAnsiTheme="minorBidi"/>
          <w:sz w:val="22"/>
          <w:szCs w:val="22"/>
        </w:rPr>
      </w:pPr>
      <w:r w:rsidRPr="00BC5E5D">
        <w:rPr>
          <w:rFonts w:asciiTheme="minorBidi" w:hAnsiTheme="minorBidi"/>
          <w:sz w:val="22"/>
          <w:szCs w:val="22"/>
        </w:rPr>
        <w:lastRenderedPageBreak/>
        <w:t>This section aims to identify the key definitions of e-learning in order to examine how the concept has evolved over time</w:t>
      </w:r>
      <w:r w:rsidR="00126F53" w:rsidRPr="00BC5E5D">
        <w:rPr>
          <w:rFonts w:asciiTheme="minorBidi" w:hAnsiTheme="minorBidi"/>
          <w:sz w:val="22"/>
          <w:szCs w:val="22"/>
        </w:rPr>
        <w:t xml:space="preserve">. </w:t>
      </w:r>
      <w:r w:rsidR="00A856AF" w:rsidRPr="00BC5E5D">
        <w:rPr>
          <w:rFonts w:asciiTheme="minorBidi" w:hAnsiTheme="minorBidi"/>
          <w:sz w:val="22"/>
          <w:szCs w:val="22"/>
        </w:rPr>
        <w:t xml:space="preserve"> </w:t>
      </w:r>
      <w:r w:rsidR="00126F53" w:rsidRPr="00BC5E5D">
        <w:rPr>
          <w:rFonts w:asciiTheme="minorBidi" w:hAnsiTheme="minorBidi"/>
          <w:sz w:val="22"/>
          <w:szCs w:val="22"/>
        </w:rPr>
        <w:t xml:space="preserve">Then, </w:t>
      </w:r>
      <w:r w:rsidR="00A856AF" w:rsidRPr="00BC5E5D">
        <w:rPr>
          <w:rFonts w:asciiTheme="minorBidi" w:hAnsiTheme="minorBidi"/>
          <w:sz w:val="22"/>
          <w:szCs w:val="22"/>
        </w:rPr>
        <w:t>elements of e-learning (e.g., technology, pedagogy, interaction, content delivery)</w:t>
      </w:r>
      <w:r w:rsidR="00126F53" w:rsidRPr="00BC5E5D">
        <w:rPr>
          <w:rFonts w:asciiTheme="minorBidi" w:hAnsiTheme="minorBidi"/>
          <w:sz w:val="22"/>
          <w:szCs w:val="22"/>
        </w:rPr>
        <w:t xml:space="preserve"> will be discussed</w:t>
      </w:r>
      <w:r w:rsidR="00945D30" w:rsidRPr="00BC5E5D">
        <w:rPr>
          <w:rFonts w:asciiTheme="minorBidi" w:hAnsiTheme="minorBidi"/>
          <w:sz w:val="22"/>
          <w:szCs w:val="22"/>
        </w:rPr>
        <w:t>. Further, it d</w:t>
      </w:r>
      <w:r w:rsidR="00A856AF" w:rsidRPr="00BC5E5D">
        <w:rPr>
          <w:rFonts w:asciiTheme="minorBidi" w:hAnsiTheme="minorBidi"/>
          <w:sz w:val="22"/>
          <w:szCs w:val="22"/>
        </w:rPr>
        <w:t>istinguish</w:t>
      </w:r>
      <w:r w:rsidR="00945D30" w:rsidRPr="00BC5E5D">
        <w:rPr>
          <w:rFonts w:asciiTheme="minorBidi" w:hAnsiTheme="minorBidi"/>
          <w:sz w:val="22"/>
          <w:szCs w:val="22"/>
        </w:rPr>
        <w:t xml:space="preserve">es </w:t>
      </w:r>
      <w:r w:rsidR="00A856AF" w:rsidRPr="00BC5E5D">
        <w:rPr>
          <w:rFonts w:asciiTheme="minorBidi" w:hAnsiTheme="minorBidi"/>
          <w:sz w:val="22"/>
          <w:szCs w:val="22"/>
        </w:rPr>
        <w:t>between online learning, digital learning, and e-learning</w:t>
      </w:r>
      <w:r w:rsidR="00DA0253" w:rsidRPr="00BC5E5D">
        <w:rPr>
          <w:rFonts w:asciiTheme="minorBidi" w:hAnsiTheme="minorBidi"/>
          <w:sz w:val="22"/>
          <w:szCs w:val="22"/>
        </w:rPr>
        <w:t xml:space="preserve"> and mobile learning</w:t>
      </w:r>
      <w:r w:rsidR="00945D30" w:rsidRPr="00BC5E5D">
        <w:rPr>
          <w:rFonts w:asciiTheme="minorBidi" w:hAnsiTheme="minorBidi"/>
          <w:sz w:val="22"/>
          <w:szCs w:val="22"/>
        </w:rPr>
        <w:t xml:space="preserve">. </w:t>
      </w:r>
      <w:r w:rsidR="00132BD6" w:rsidRPr="00BC5E5D">
        <w:rPr>
          <w:rFonts w:asciiTheme="minorBidi" w:hAnsiTheme="minorBidi"/>
          <w:sz w:val="22"/>
          <w:szCs w:val="22"/>
        </w:rPr>
        <w:t>Then, it moves on to discuss t</w:t>
      </w:r>
      <w:r w:rsidR="00A856AF" w:rsidRPr="00BC5E5D">
        <w:rPr>
          <w:rFonts w:asciiTheme="minorBidi" w:hAnsiTheme="minorBidi"/>
          <w:sz w:val="22"/>
          <w:szCs w:val="22"/>
        </w:rPr>
        <w:t xml:space="preserve">heoretical </w:t>
      </w:r>
      <w:r w:rsidR="00132BD6" w:rsidRPr="00BC5E5D">
        <w:rPr>
          <w:rFonts w:asciiTheme="minorBidi" w:hAnsiTheme="minorBidi"/>
          <w:sz w:val="22"/>
          <w:szCs w:val="22"/>
        </w:rPr>
        <w:t>p</w:t>
      </w:r>
      <w:r w:rsidR="00A856AF" w:rsidRPr="00BC5E5D">
        <w:rPr>
          <w:rFonts w:asciiTheme="minorBidi" w:hAnsiTheme="minorBidi"/>
          <w:sz w:val="22"/>
          <w:szCs w:val="22"/>
        </w:rPr>
        <w:t>erspectives</w:t>
      </w:r>
      <w:r w:rsidR="00132BD6" w:rsidRPr="00BC5E5D">
        <w:rPr>
          <w:rFonts w:asciiTheme="minorBidi" w:hAnsiTheme="minorBidi"/>
          <w:sz w:val="22"/>
          <w:szCs w:val="22"/>
        </w:rPr>
        <w:t xml:space="preserve"> by </w:t>
      </w:r>
      <w:r w:rsidR="00A856AF" w:rsidRPr="00BC5E5D">
        <w:rPr>
          <w:rFonts w:asciiTheme="minorBidi" w:hAnsiTheme="minorBidi"/>
          <w:sz w:val="22"/>
          <w:szCs w:val="22"/>
        </w:rPr>
        <w:t>ink</w:t>
      </w:r>
      <w:r w:rsidR="00132BD6" w:rsidRPr="00BC5E5D">
        <w:rPr>
          <w:rFonts w:asciiTheme="minorBidi" w:hAnsiTheme="minorBidi"/>
          <w:sz w:val="22"/>
          <w:szCs w:val="22"/>
        </w:rPr>
        <w:t xml:space="preserve">ing </w:t>
      </w:r>
      <w:r w:rsidR="00A856AF" w:rsidRPr="00BC5E5D">
        <w:rPr>
          <w:rFonts w:asciiTheme="minorBidi" w:hAnsiTheme="minorBidi"/>
          <w:sz w:val="22"/>
          <w:szCs w:val="22"/>
        </w:rPr>
        <w:t>e-learning to learning theories (e.g., constructivism, connectivism, behaviorism)</w:t>
      </w:r>
      <w:r w:rsidR="00132BD6" w:rsidRPr="00BC5E5D">
        <w:rPr>
          <w:rFonts w:asciiTheme="minorBidi" w:hAnsiTheme="minorBidi"/>
          <w:sz w:val="22"/>
          <w:szCs w:val="22"/>
        </w:rPr>
        <w:t xml:space="preserve"> in order to explain </w:t>
      </w:r>
      <w:r w:rsidR="00A856AF" w:rsidRPr="00BC5E5D">
        <w:rPr>
          <w:rFonts w:asciiTheme="minorBidi" w:hAnsiTheme="minorBidi"/>
          <w:sz w:val="22"/>
          <w:szCs w:val="22"/>
        </w:rPr>
        <w:t>how these theories inform the design and use of e-learning.</w:t>
      </w:r>
    </w:p>
    <w:p w14:paraId="762EEE70" w14:textId="77777777" w:rsidR="00A856AF" w:rsidRPr="00BC5E5D" w:rsidRDefault="00A856AF" w:rsidP="00BC5E5D">
      <w:pPr>
        <w:spacing w:line="360" w:lineRule="auto"/>
        <w:jc w:val="both"/>
        <w:rPr>
          <w:rFonts w:asciiTheme="minorBidi" w:hAnsiTheme="minorBidi"/>
          <w:b/>
          <w:bCs/>
          <w:sz w:val="22"/>
          <w:szCs w:val="22"/>
        </w:rPr>
      </w:pPr>
    </w:p>
    <w:p w14:paraId="084BAE9B" w14:textId="74627057" w:rsidR="00404548" w:rsidRPr="00AD435D" w:rsidRDefault="00447945" w:rsidP="004C2172">
      <w:pPr>
        <w:pStyle w:val="Heading3"/>
      </w:pPr>
      <w:bookmarkStart w:id="31" w:name="_Toc218503264"/>
      <w:r>
        <w:t xml:space="preserve"> </w:t>
      </w:r>
      <w:bookmarkStart w:id="32" w:name="_Toc218504089"/>
      <w:r w:rsidR="00404548" w:rsidRPr="00BC5E5D">
        <w:t xml:space="preserve">Early </w:t>
      </w:r>
      <w:r w:rsidR="00AD435D">
        <w:t>definitions</w:t>
      </w:r>
      <w:r w:rsidR="00404548" w:rsidRPr="00BC5E5D">
        <w:t xml:space="preserve"> of e-learning</w:t>
      </w:r>
      <w:bookmarkEnd w:id="31"/>
      <w:bookmarkEnd w:id="32"/>
    </w:p>
    <w:p w14:paraId="0DF1C0BD" w14:textId="4A5D677E" w:rsidR="00314DEE" w:rsidRPr="00BC5E5D" w:rsidRDefault="00404548" w:rsidP="00BC5E5D">
      <w:pPr>
        <w:spacing w:line="360" w:lineRule="auto"/>
        <w:jc w:val="both"/>
        <w:rPr>
          <w:rFonts w:asciiTheme="minorBidi" w:hAnsiTheme="minorBidi"/>
          <w:color w:val="000000" w:themeColor="text1"/>
          <w:sz w:val="22"/>
          <w:szCs w:val="22"/>
        </w:rPr>
      </w:pPr>
      <w:r w:rsidRPr="00BC5E5D">
        <w:rPr>
          <w:rFonts w:asciiTheme="minorBidi" w:hAnsiTheme="minorBidi"/>
          <w:color w:val="000000" w:themeColor="text1"/>
          <w:sz w:val="22"/>
          <w:szCs w:val="22"/>
        </w:rPr>
        <w:t xml:space="preserve">The concept of e-learning has been widely discussed in educational research, and its definition has expanded as digital technologies have evolved. Early understandings of e-learning primarily emphasized the use of computers and internet technologies to deliver learning materials outside the traditional classroom. In this view, e-learning was largely associated with distance education and online course delivery. </w:t>
      </w:r>
      <w:r w:rsidR="00D64124" w:rsidRPr="00BC5E5D">
        <w:rPr>
          <w:rFonts w:asciiTheme="minorBidi" w:hAnsiTheme="minorBidi"/>
          <w:sz w:val="22"/>
          <w:szCs w:val="22"/>
        </w:rPr>
        <w:t>Historically, the concept was first introduced as “internet-based training,” later evolving into “web-based training,” with these labels still appearing alongside various forms of the term e-learning (Jugon, 2003).</w:t>
      </w:r>
    </w:p>
    <w:p w14:paraId="6A7403CB" w14:textId="309B8015" w:rsidR="00D64124" w:rsidRPr="00BC5E5D" w:rsidRDefault="00314DEE" w:rsidP="00BC5E5D">
      <w:pPr>
        <w:spacing w:line="360" w:lineRule="auto"/>
        <w:jc w:val="both"/>
        <w:rPr>
          <w:rFonts w:asciiTheme="minorBidi" w:hAnsiTheme="minorBidi"/>
          <w:sz w:val="22"/>
          <w:szCs w:val="22"/>
        </w:rPr>
      </w:pPr>
      <w:commentRangeStart w:id="33"/>
      <w:r w:rsidRPr="00BC5E5D">
        <w:rPr>
          <w:rFonts w:asciiTheme="minorBidi" w:hAnsiTheme="minorBidi"/>
          <w:sz w:val="22"/>
          <w:szCs w:val="22"/>
        </w:rPr>
        <w:t>This was</w:t>
      </w:r>
      <w:r w:rsidR="001308A0" w:rsidRPr="00BC5E5D">
        <w:rPr>
          <w:rFonts w:asciiTheme="minorBidi" w:hAnsiTheme="minorBidi"/>
          <w:sz w:val="22"/>
          <w:szCs w:val="22"/>
        </w:rPr>
        <w:t xml:space="preserve"> further </w:t>
      </w:r>
      <w:r w:rsidRPr="00BC5E5D">
        <w:rPr>
          <w:rFonts w:asciiTheme="minorBidi" w:hAnsiTheme="minorBidi"/>
          <w:sz w:val="22"/>
          <w:szCs w:val="22"/>
        </w:rPr>
        <w:t xml:space="preserve"> evidenced in the definition of </w:t>
      </w:r>
      <w:r w:rsidR="00FA127A" w:rsidRPr="00BC5E5D">
        <w:rPr>
          <w:rFonts w:asciiTheme="minorBidi" w:hAnsiTheme="minorBidi"/>
          <w:sz w:val="22"/>
          <w:szCs w:val="22"/>
        </w:rPr>
        <w:t>e</w:t>
      </w:r>
      <w:r w:rsidR="00FB40CD" w:rsidRPr="00BC5E5D">
        <w:rPr>
          <w:rFonts w:asciiTheme="minorBidi" w:hAnsiTheme="minorBidi"/>
          <w:sz w:val="22"/>
          <w:szCs w:val="22"/>
        </w:rPr>
        <w:t>-l</w:t>
      </w:r>
      <w:r w:rsidR="00FA127A" w:rsidRPr="00BC5E5D">
        <w:rPr>
          <w:rFonts w:asciiTheme="minorBidi" w:hAnsiTheme="minorBidi"/>
          <w:sz w:val="22"/>
          <w:szCs w:val="22"/>
        </w:rPr>
        <w:t>earning</w:t>
      </w:r>
      <w:r w:rsidRPr="00BC5E5D">
        <w:rPr>
          <w:rFonts w:asciiTheme="minorBidi" w:hAnsiTheme="minorBidi"/>
          <w:sz w:val="22"/>
          <w:szCs w:val="22"/>
        </w:rPr>
        <w:t xml:space="preserve"> provided by Eddy &amp; Tannenbaum(2003). According to them, </w:t>
      </w:r>
      <w:r w:rsidR="00A6677A" w:rsidRPr="00BC5E5D">
        <w:rPr>
          <w:rFonts w:asciiTheme="minorBidi" w:hAnsiTheme="minorBidi"/>
          <w:sz w:val="22"/>
          <w:szCs w:val="22"/>
        </w:rPr>
        <w:t>e</w:t>
      </w:r>
      <w:r w:rsidRPr="00BC5E5D">
        <w:rPr>
          <w:rFonts w:asciiTheme="minorBidi" w:hAnsiTheme="minorBidi"/>
          <w:sz w:val="22"/>
          <w:szCs w:val="22"/>
        </w:rPr>
        <w:t>-learning can be defined as instructional initiatives in which learning materials, course communication, and content delivery are facilitated through technological mediation. A fundamental characteristic of such initiatives is that learner–instructor and learner–learner interactions, as well as broader course communications, occur primarily through technological channels (Swan, 2003).</w:t>
      </w:r>
      <w:r w:rsidR="007C4F62" w:rsidRPr="00BC5E5D">
        <w:rPr>
          <w:rFonts w:asciiTheme="minorBidi" w:hAnsiTheme="minorBidi"/>
          <w:sz w:val="22"/>
          <w:szCs w:val="22"/>
        </w:rPr>
        <w:t xml:space="preserve"> Similarly, in</w:t>
      </w:r>
      <w:commentRangeEnd w:id="33"/>
      <w:r w:rsidRPr="00BC5E5D">
        <w:rPr>
          <w:rStyle w:val="CommentReference"/>
          <w:rFonts w:asciiTheme="minorBidi" w:hAnsiTheme="minorBidi"/>
          <w:sz w:val="22"/>
          <w:szCs w:val="22"/>
        </w:rPr>
        <w:commentReference w:id="33"/>
      </w:r>
      <w:r w:rsidR="007C4F62" w:rsidRPr="00BC5E5D">
        <w:rPr>
          <w:rFonts w:asciiTheme="minorBidi" w:hAnsiTheme="minorBidi"/>
          <w:sz w:val="22"/>
          <w:szCs w:val="22"/>
        </w:rPr>
        <w:t xml:space="preserve"> the same year, Jugon(2003) mentioned that </w:t>
      </w:r>
      <w:r w:rsidR="00277B7A" w:rsidRPr="00BC5E5D">
        <w:rPr>
          <w:rFonts w:asciiTheme="minorBidi" w:hAnsiTheme="minorBidi"/>
          <w:sz w:val="22"/>
          <w:szCs w:val="22"/>
        </w:rPr>
        <w:t>e</w:t>
      </w:r>
      <w:r w:rsidR="007C4F62" w:rsidRPr="00BC5E5D">
        <w:rPr>
          <w:rFonts w:asciiTheme="minorBidi" w:hAnsiTheme="minorBidi"/>
          <w:sz w:val="22"/>
          <w:szCs w:val="22"/>
        </w:rPr>
        <w:t xml:space="preserve">-learning is understood as the use of electronic technologies and processes to facilitate learning. </w:t>
      </w:r>
      <w:r w:rsidR="00D64124" w:rsidRPr="00BC5E5D">
        <w:rPr>
          <w:rFonts w:asciiTheme="minorBidi" w:hAnsiTheme="minorBidi"/>
          <w:sz w:val="22"/>
          <w:szCs w:val="22"/>
        </w:rPr>
        <w:t>Educational content may be delivered through multiple channels, including the internet, intranets, extranets, satellite television, and multimedia-enabled CD-ROMs (ISP, 2004).</w:t>
      </w:r>
    </w:p>
    <w:p w14:paraId="7A069AF8" w14:textId="77777777" w:rsidR="00D64124" w:rsidRPr="00BC5E5D" w:rsidRDefault="00D64124" w:rsidP="00BC5E5D">
      <w:pPr>
        <w:spacing w:line="360" w:lineRule="auto"/>
        <w:jc w:val="both"/>
        <w:rPr>
          <w:rFonts w:asciiTheme="minorBidi" w:hAnsiTheme="minorBidi"/>
          <w:sz w:val="22"/>
          <w:szCs w:val="22"/>
        </w:rPr>
      </w:pPr>
    </w:p>
    <w:p w14:paraId="6CA5D298" w14:textId="29811275" w:rsidR="007C4F62" w:rsidRPr="00BC5E5D" w:rsidRDefault="00C969CF" w:rsidP="00BC5E5D">
      <w:pPr>
        <w:spacing w:line="360" w:lineRule="auto"/>
        <w:jc w:val="both"/>
        <w:rPr>
          <w:rFonts w:asciiTheme="minorBidi" w:hAnsiTheme="minorBidi"/>
          <w:sz w:val="22"/>
          <w:szCs w:val="22"/>
        </w:rPr>
      </w:pPr>
      <w:r w:rsidRPr="00BC5E5D">
        <w:rPr>
          <w:rFonts w:asciiTheme="minorBidi" w:hAnsiTheme="minorBidi"/>
          <w:sz w:val="22"/>
          <w:szCs w:val="22"/>
        </w:rPr>
        <w:t>This l</w:t>
      </w:r>
      <w:r w:rsidR="007C4F62" w:rsidRPr="00BC5E5D">
        <w:rPr>
          <w:rFonts w:asciiTheme="minorBidi" w:hAnsiTheme="minorBidi"/>
          <w:sz w:val="22"/>
          <w:szCs w:val="22"/>
        </w:rPr>
        <w:t xml:space="preserve">iterature review revealed that during 2000 to 2010, a variety of terms have been adopted to characterize the use of ICT in education, such as computer-assisted learning, e-learning, networked learning, online learning, telelearning, and technology-enhanced learning. These labels are often used inconsistently, covering a wide spectrum of educational practices. </w:t>
      </w:r>
      <w:commentRangeStart w:id="34"/>
      <w:r w:rsidR="007C4F62" w:rsidRPr="00BC5E5D">
        <w:rPr>
          <w:rFonts w:asciiTheme="minorBidi" w:hAnsiTheme="minorBidi"/>
          <w:sz w:val="22"/>
          <w:szCs w:val="22"/>
        </w:rPr>
        <w:t>While the terminology frequently emphasizes learning, in reality the emphasis has more often been placed on the role of technology in supporting</w:t>
      </w:r>
      <w:r w:rsidR="00BE70D0" w:rsidRPr="00BC5E5D">
        <w:rPr>
          <w:rFonts w:asciiTheme="minorBidi" w:hAnsiTheme="minorBidi"/>
          <w:sz w:val="22"/>
          <w:szCs w:val="22"/>
        </w:rPr>
        <w:t>/facilitaing</w:t>
      </w:r>
      <w:r w:rsidR="007C4F62" w:rsidRPr="00BC5E5D">
        <w:rPr>
          <w:rFonts w:asciiTheme="minorBidi" w:hAnsiTheme="minorBidi"/>
          <w:sz w:val="22"/>
          <w:szCs w:val="22"/>
        </w:rPr>
        <w:t xml:space="preserve"> teaching</w:t>
      </w:r>
      <w:commentRangeEnd w:id="34"/>
      <w:r w:rsidRPr="00BC5E5D">
        <w:rPr>
          <w:rStyle w:val="CommentReference"/>
          <w:rFonts w:asciiTheme="minorBidi" w:hAnsiTheme="minorBidi"/>
          <w:sz w:val="22"/>
          <w:szCs w:val="22"/>
        </w:rPr>
        <w:commentReference w:id="34"/>
      </w:r>
      <w:r w:rsidR="007C4F62" w:rsidRPr="00BC5E5D">
        <w:rPr>
          <w:rFonts w:asciiTheme="minorBidi" w:hAnsiTheme="minorBidi"/>
          <w:sz w:val="22"/>
          <w:szCs w:val="22"/>
        </w:rPr>
        <w:t xml:space="preserve">. Although e-learning is among the most commonly used terms, Mason and Rennie (2006) note that its definitions vary </w:t>
      </w:r>
      <w:r w:rsidR="007C4F62" w:rsidRPr="00BC5E5D">
        <w:rPr>
          <w:rFonts w:asciiTheme="minorBidi" w:hAnsiTheme="minorBidi"/>
          <w:sz w:val="22"/>
          <w:szCs w:val="22"/>
        </w:rPr>
        <w:lastRenderedPageBreak/>
        <w:t xml:space="preserve">widely, with some emphasizing content, others communication, and still others the technology itself. Acknowledging this lack of precision, the term generally </w:t>
      </w:r>
      <w:r w:rsidR="0084380C" w:rsidRPr="00BC5E5D">
        <w:rPr>
          <w:rFonts w:asciiTheme="minorBidi" w:hAnsiTheme="minorBidi"/>
          <w:sz w:val="22"/>
          <w:szCs w:val="22"/>
        </w:rPr>
        <w:t>referred in</w:t>
      </w:r>
      <w:r w:rsidR="007C4F62" w:rsidRPr="00BC5E5D">
        <w:rPr>
          <w:rFonts w:asciiTheme="minorBidi" w:hAnsiTheme="minorBidi"/>
          <w:sz w:val="22"/>
          <w:szCs w:val="22"/>
        </w:rPr>
        <w:t xml:space="preserve"> a broad sense, referring as “learning facilitated and supported through the use of information and communications technology” (JISC, 2004, p. 10).The definition is straightforward, making it easy to understand and apply.  By re-framing e-learning as “facilitated and supported” through ICT, it covers a wide range of practices (from computer-based training to online collaboration).</w:t>
      </w:r>
      <w:r w:rsidR="00160833" w:rsidRPr="00BC5E5D">
        <w:rPr>
          <w:rFonts w:asciiTheme="minorBidi" w:hAnsiTheme="minorBidi"/>
          <w:sz w:val="22"/>
          <w:szCs w:val="22"/>
        </w:rPr>
        <w:t xml:space="preserve"> </w:t>
      </w:r>
    </w:p>
    <w:p w14:paraId="4415C1A1" w14:textId="5A74582E" w:rsidR="007C4F62" w:rsidRPr="00BC5E5D" w:rsidRDefault="00CE6C99" w:rsidP="00BC5E5D">
      <w:pPr>
        <w:spacing w:line="360" w:lineRule="auto"/>
        <w:jc w:val="both"/>
        <w:rPr>
          <w:rFonts w:asciiTheme="minorBidi" w:hAnsiTheme="minorBidi"/>
          <w:sz w:val="22"/>
          <w:szCs w:val="22"/>
        </w:rPr>
      </w:pPr>
      <w:r w:rsidRPr="00BC5E5D">
        <w:rPr>
          <w:rFonts w:asciiTheme="minorBidi" w:hAnsiTheme="minorBidi"/>
          <w:sz w:val="22"/>
          <w:szCs w:val="22"/>
        </w:rPr>
        <w:t>Further, e</w:t>
      </w:r>
      <w:commentRangeStart w:id="35"/>
      <w:commentRangeStart w:id="36"/>
      <w:r w:rsidR="007C4F62" w:rsidRPr="00BC5E5D">
        <w:rPr>
          <w:rFonts w:asciiTheme="minorBidi" w:hAnsiTheme="minorBidi"/>
          <w:sz w:val="22"/>
          <w:szCs w:val="22"/>
        </w:rPr>
        <w:t>-learning refers to educational processes in which information and communication technologies are employed to design, deliver, and facilitate learning experiences, enabling interaction, collaboration, and access to knowledge across diverse contexts</w:t>
      </w:r>
      <w:r w:rsidR="0098571F" w:rsidRPr="00BC5E5D">
        <w:rPr>
          <w:rFonts w:asciiTheme="minorBidi" w:hAnsiTheme="minorBidi"/>
          <w:sz w:val="22"/>
          <w:szCs w:val="22"/>
        </w:rPr>
        <w:t xml:space="preserve"> </w:t>
      </w:r>
      <w:r w:rsidR="00F1325B" w:rsidRPr="00BC5E5D">
        <w:rPr>
          <w:rFonts w:asciiTheme="minorBidi" w:hAnsiTheme="minorBidi"/>
          <w:sz w:val="22"/>
          <w:szCs w:val="22"/>
        </w:rPr>
        <w:t>(</w:t>
      </w:r>
      <w:r w:rsidR="00160833" w:rsidRPr="00BC5E5D">
        <w:rPr>
          <w:rFonts w:asciiTheme="minorBidi" w:hAnsiTheme="minorBidi"/>
          <w:sz w:val="22"/>
          <w:szCs w:val="22"/>
        </w:rPr>
        <w:t>Campbell,2004)</w:t>
      </w:r>
      <w:r w:rsidR="007C4F62" w:rsidRPr="00BC5E5D">
        <w:rPr>
          <w:rFonts w:asciiTheme="minorBidi" w:hAnsiTheme="minorBidi"/>
          <w:sz w:val="22"/>
          <w:szCs w:val="22"/>
        </w:rPr>
        <w:t>.</w:t>
      </w:r>
      <w:r w:rsidR="004E1F20" w:rsidRPr="00BC5E5D">
        <w:rPr>
          <w:rFonts w:asciiTheme="minorBidi" w:hAnsiTheme="minorBidi"/>
          <w:sz w:val="22"/>
          <w:szCs w:val="22"/>
        </w:rPr>
        <w:t xml:space="preserve"> </w:t>
      </w:r>
      <w:commentRangeEnd w:id="35"/>
      <w:r w:rsidR="007C4F62" w:rsidRPr="00BC5E5D">
        <w:rPr>
          <w:rStyle w:val="CommentReference"/>
          <w:rFonts w:asciiTheme="minorBidi" w:hAnsiTheme="minorBidi"/>
          <w:sz w:val="22"/>
          <w:szCs w:val="22"/>
        </w:rPr>
        <w:commentReference w:id="35"/>
      </w:r>
      <w:commentRangeEnd w:id="36"/>
      <w:r>
        <w:rPr>
          <w:rStyle w:val="CommentReference"/>
        </w:rPr>
        <w:commentReference w:id="36"/>
      </w:r>
      <w:r w:rsidR="004E1F20" w:rsidRPr="00BC5E5D">
        <w:rPr>
          <w:rFonts w:asciiTheme="minorBidi" w:hAnsiTheme="minorBidi"/>
          <w:sz w:val="22"/>
          <w:szCs w:val="22"/>
        </w:rPr>
        <w:t>The term e-learning carries different meanings across sectors. Within schools, it generally refers to a combination of software-based instruction and online learning. In contrast, in fields such as business, higher education and professional training, the term is used more narrowly to describe various forms of online practices (Campbell, 2004).</w:t>
      </w:r>
    </w:p>
    <w:p w14:paraId="088D367E" w14:textId="4BDA02D7" w:rsidR="00B424EF" w:rsidRPr="00BC5E5D" w:rsidRDefault="00B424EF" w:rsidP="00BC5E5D">
      <w:pPr>
        <w:spacing w:line="360" w:lineRule="auto"/>
        <w:jc w:val="both"/>
        <w:rPr>
          <w:rFonts w:asciiTheme="minorBidi" w:hAnsiTheme="minorBidi"/>
          <w:sz w:val="22"/>
          <w:szCs w:val="22"/>
        </w:rPr>
      </w:pPr>
      <w:r w:rsidRPr="00BC5E5D">
        <w:rPr>
          <w:rFonts w:asciiTheme="minorBidi" w:hAnsiTheme="minorBidi"/>
          <w:sz w:val="22"/>
          <w:szCs w:val="22"/>
        </w:rPr>
        <w:t>Since successful participation also requires strong self-regulation skills, learners are often supported by a coach or mentor to guide them along their learning journey. Offering greater flexibility and timeliness, e-learning enables training to be delivered anytime</w:t>
      </w:r>
      <w:r w:rsidR="002C6CCE" w:rsidRPr="00BC5E5D">
        <w:rPr>
          <w:rFonts w:asciiTheme="minorBidi" w:hAnsiTheme="minorBidi"/>
          <w:sz w:val="22"/>
          <w:szCs w:val="22"/>
        </w:rPr>
        <w:t xml:space="preserve">, </w:t>
      </w:r>
      <w:r w:rsidRPr="00BC5E5D">
        <w:rPr>
          <w:rFonts w:asciiTheme="minorBidi" w:hAnsiTheme="minorBidi"/>
          <w:sz w:val="22"/>
          <w:szCs w:val="22"/>
        </w:rPr>
        <w:t>24 hours a day, seven days a week</w:t>
      </w:r>
      <w:r w:rsidR="002C6CCE" w:rsidRPr="00BC5E5D">
        <w:rPr>
          <w:rFonts w:asciiTheme="minorBidi" w:hAnsiTheme="minorBidi"/>
          <w:sz w:val="22"/>
          <w:szCs w:val="22"/>
        </w:rPr>
        <w:t xml:space="preserve">, </w:t>
      </w:r>
      <w:r w:rsidRPr="00BC5E5D">
        <w:rPr>
          <w:rFonts w:asciiTheme="minorBidi" w:hAnsiTheme="minorBidi"/>
          <w:sz w:val="22"/>
          <w:szCs w:val="22"/>
        </w:rPr>
        <w:t>unlike traditional classroom training, which can be disruptive and bound by scheduling constraints. By removing the need to wait for group-based instruction, e-learning allows individuals to engage in training at their own pace and convenience</w:t>
      </w:r>
      <w:r w:rsidR="00D5730E" w:rsidRPr="00BC5E5D">
        <w:rPr>
          <w:rFonts w:asciiTheme="minorBidi" w:hAnsiTheme="minorBidi"/>
          <w:sz w:val="22"/>
          <w:szCs w:val="22"/>
        </w:rPr>
        <w:t xml:space="preserve"> </w:t>
      </w:r>
      <w:r w:rsidRPr="00BC5E5D">
        <w:rPr>
          <w:rFonts w:asciiTheme="minorBidi" w:hAnsiTheme="minorBidi"/>
          <w:sz w:val="22"/>
          <w:szCs w:val="22"/>
        </w:rPr>
        <w:t>(Nagy, 2005).</w:t>
      </w:r>
      <w:r w:rsidR="002C6CCE" w:rsidRPr="00BC5E5D">
        <w:rPr>
          <w:rFonts w:asciiTheme="minorBidi" w:hAnsiTheme="minorBidi"/>
          <w:sz w:val="22"/>
          <w:szCs w:val="22"/>
        </w:rPr>
        <w:t xml:space="preserve"> Furth</w:t>
      </w:r>
      <w:r w:rsidR="00EF0199" w:rsidRPr="00BC5E5D">
        <w:rPr>
          <w:rFonts w:asciiTheme="minorBidi" w:hAnsiTheme="minorBidi"/>
          <w:sz w:val="22"/>
          <w:szCs w:val="22"/>
        </w:rPr>
        <w:t xml:space="preserve">er, </w:t>
      </w:r>
      <w:r w:rsidRPr="00BC5E5D">
        <w:rPr>
          <w:rFonts w:asciiTheme="minorBidi" w:hAnsiTheme="minorBidi"/>
          <w:sz w:val="22"/>
          <w:szCs w:val="22"/>
        </w:rPr>
        <w:t>Kirkwood and Price (2005) have undertaken extensive work in reviewing, monitoring, and evaluating the development of e-learning in higher education over a significant period. Their research has generally concentrated on the pedagogical purposes that particular applications, tools, or systems were designed to serve, as well as on learners’ experiences in using them.</w:t>
      </w:r>
      <w:r w:rsidR="00741A60" w:rsidRPr="00BC5E5D">
        <w:rPr>
          <w:rFonts w:asciiTheme="minorBidi" w:hAnsiTheme="minorBidi"/>
          <w:sz w:val="22"/>
          <w:szCs w:val="22"/>
        </w:rPr>
        <w:t xml:space="preserve"> Within higher education, the integration of ICT to support teaching and learning has typically aimed to achieve one or more key functions: presentation, providing students with access to materials and resources (such as text, data, audio, images, and video), either at scheduled times or on demand (Miller et al., 2005) and interaction, allowing learners to engage actively with resources by manipulating or exploring information and data (Beauchamp, 2008)</w:t>
      </w:r>
      <w:r w:rsidR="008A7B4A">
        <w:rPr>
          <w:rFonts w:asciiTheme="minorBidi" w:hAnsiTheme="minorBidi"/>
          <w:sz w:val="22"/>
          <w:szCs w:val="22"/>
        </w:rPr>
        <w:t xml:space="preserve">. </w:t>
      </w:r>
      <w:r w:rsidR="00AA6A87">
        <w:rPr>
          <w:rFonts w:asciiTheme="minorBidi" w:hAnsiTheme="minorBidi"/>
          <w:sz w:val="22"/>
          <w:szCs w:val="22"/>
        </w:rPr>
        <w:t xml:space="preserve">There </w:t>
      </w:r>
      <w:r w:rsidR="0081035F">
        <w:rPr>
          <w:rFonts w:asciiTheme="minorBidi" w:hAnsiTheme="minorBidi"/>
          <w:sz w:val="22"/>
          <w:szCs w:val="22"/>
        </w:rPr>
        <w:t>were two</w:t>
      </w:r>
      <w:r w:rsidR="00AA6A87">
        <w:rPr>
          <w:rFonts w:asciiTheme="minorBidi" w:hAnsiTheme="minorBidi"/>
          <w:sz w:val="22"/>
          <w:szCs w:val="22"/>
        </w:rPr>
        <w:t xml:space="preserve"> ways</w:t>
      </w:r>
      <w:r w:rsidR="0081035F">
        <w:rPr>
          <w:rFonts w:asciiTheme="minorBidi" w:hAnsiTheme="minorBidi"/>
          <w:sz w:val="22"/>
          <w:szCs w:val="22"/>
        </w:rPr>
        <w:t xml:space="preserve">: </w:t>
      </w:r>
      <w:r w:rsidR="00AA6A87">
        <w:rPr>
          <w:rFonts w:asciiTheme="minorBidi" w:hAnsiTheme="minorBidi"/>
          <w:sz w:val="22"/>
          <w:szCs w:val="22"/>
        </w:rPr>
        <w:t>Dialogue: f</w:t>
      </w:r>
      <w:r w:rsidRPr="00BC5E5D">
        <w:rPr>
          <w:rFonts w:asciiTheme="minorBidi" w:hAnsiTheme="minorBidi"/>
          <w:sz w:val="22"/>
          <w:szCs w:val="22"/>
        </w:rPr>
        <w:t>acilitating communication between teachers and students or among peers to encourage discussion, collaboration, and cooperatio</w:t>
      </w:r>
      <w:r w:rsidR="0081035F">
        <w:rPr>
          <w:rFonts w:asciiTheme="minorBidi" w:hAnsiTheme="minorBidi"/>
          <w:sz w:val="22"/>
          <w:szCs w:val="22"/>
        </w:rPr>
        <w:t>n,</w:t>
      </w:r>
      <w:r w:rsidRPr="00BC5E5D">
        <w:rPr>
          <w:rFonts w:asciiTheme="minorBidi" w:hAnsiTheme="minorBidi"/>
          <w:sz w:val="22"/>
          <w:szCs w:val="22"/>
        </w:rPr>
        <w:t xml:space="preserve"> generative activit</w:t>
      </w:r>
      <w:r w:rsidR="00C61905">
        <w:rPr>
          <w:rFonts w:asciiTheme="minorBidi" w:hAnsiTheme="minorBidi"/>
          <w:sz w:val="22"/>
          <w:szCs w:val="22"/>
        </w:rPr>
        <w:t>ies</w:t>
      </w:r>
      <w:r w:rsidR="0081035F">
        <w:rPr>
          <w:rFonts w:asciiTheme="minorBidi" w:hAnsiTheme="minorBidi"/>
          <w:sz w:val="22"/>
          <w:szCs w:val="22"/>
        </w:rPr>
        <w:t>:</w:t>
      </w:r>
      <w:r w:rsidR="001C42D2" w:rsidRPr="00BC5E5D">
        <w:rPr>
          <w:rFonts w:asciiTheme="minorBidi" w:hAnsiTheme="minorBidi"/>
          <w:sz w:val="22"/>
          <w:szCs w:val="22"/>
        </w:rPr>
        <w:t xml:space="preserve"> </w:t>
      </w:r>
      <w:r w:rsidRPr="00BC5E5D">
        <w:rPr>
          <w:rFonts w:asciiTheme="minorBidi" w:hAnsiTheme="minorBidi"/>
          <w:sz w:val="22"/>
          <w:szCs w:val="22"/>
        </w:rPr>
        <w:t>enabling learners to create, organize, store, and retrieve materials (text, data, images, etc.)</w:t>
      </w:r>
      <w:r w:rsidR="00C61905">
        <w:rPr>
          <w:rFonts w:asciiTheme="minorBidi" w:hAnsiTheme="minorBidi"/>
          <w:sz w:val="22"/>
          <w:szCs w:val="22"/>
        </w:rPr>
        <w:t>. This was used i</w:t>
      </w:r>
      <w:r w:rsidRPr="00BC5E5D">
        <w:rPr>
          <w:rFonts w:asciiTheme="minorBidi" w:hAnsiTheme="minorBidi"/>
          <w:sz w:val="22"/>
          <w:szCs w:val="22"/>
        </w:rPr>
        <w:t>n response to learning tasks or assessments, thereby</w:t>
      </w:r>
      <w:r w:rsidR="00C61905">
        <w:rPr>
          <w:rFonts w:asciiTheme="minorBidi" w:hAnsiTheme="minorBidi"/>
          <w:sz w:val="22"/>
          <w:szCs w:val="22"/>
        </w:rPr>
        <w:t xml:space="preserve">, they used </w:t>
      </w:r>
      <w:r w:rsidR="00352328">
        <w:rPr>
          <w:rFonts w:asciiTheme="minorBidi" w:hAnsiTheme="minorBidi"/>
          <w:sz w:val="22"/>
          <w:szCs w:val="22"/>
        </w:rPr>
        <w:t xml:space="preserve">e-learning for </w:t>
      </w:r>
      <w:r w:rsidRPr="00BC5E5D">
        <w:rPr>
          <w:rFonts w:asciiTheme="minorBidi" w:hAnsiTheme="minorBidi"/>
          <w:sz w:val="22"/>
          <w:szCs w:val="22"/>
        </w:rPr>
        <w:t xml:space="preserve"> documenting their experiences and competencies.</w:t>
      </w:r>
    </w:p>
    <w:p w14:paraId="25671EA5" w14:textId="0FC0E9D5" w:rsidR="000904AB" w:rsidRPr="00BC5E5D" w:rsidRDefault="00DE3604" w:rsidP="004C2172">
      <w:pPr>
        <w:pStyle w:val="Heading3"/>
      </w:pPr>
      <w:bookmarkStart w:id="37" w:name="_Toc218503265"/>
      <w:bookmarkStart w:id="38" w:name="_Toc218504090"/>
      <w:r>
        <w:lastRenderedPageBreak/>
        <w:t xml:space="preserve">E-learning definitions </w:t>
      </w:r>
      <w:r w:rsidR="000904AB" w:rsidRPr="00BC5E5D">
        <w:t>Between 2010 and 2020</w:t>
      </w:r>
      <w:bookmarkEnd w:id="37"/>
      <w:bookmarkEnd w:id="38"/>
    </w:p>
    <w:p w14:paraId="7B69590A" w14:textId="4E833C11" w:rsidR="00C34C87" w:rsidRPr="00352328" w:rsidRDefault="006B29E3" w:rsidP="00352328">
      <w:pPr>
        <w:spacing w:line="360" w:lineRule="auto"/>
        <w:jc w:val="both"/>
        <w:rPr>
          <w:rFonts w:asciiTheme="minorBidi" w:hAnsiTheme="minorBidi"/>
          <w:b/>
          <w:bCs/>
          <w:sz w:val="22"/>
          <w:szCs w:val="22"/>
        </w:rPr>
      </w:pPr>
      <w:r w:rsidRPr="00BC5E5D">
        <w:rPr>
          <w:rFonts w:asciiTheme="minorBidi" w:hAnsiTheme="minorBidi"/>
          <w:sz w:val="22"/>
          <w:szCs w:val="22"/>
        </w:rPr>
        <w:t>Between 2010 and 2020, definitions of e-learning continued to expand beyond earlier technological descriptions, becoming more pedagogically oriented and learner-centered (Sangrà et al., 2012; Basak, 2018). During this period, e-learning was commonly defined as a digitally supported learning process that integrates online resources, interactive tools, and structured instructional design to facilitate both synchronous and asynchronous learning (Bezhovski, 2016). Scholars</w:t>
      </w:r>
      <w:r w:rsidR="7EC487B4" w:rsidRPr="256F88E9">
        <w:rPr>
          <w:rFonts w:asciiTheme="minorBidi" w:hAnsiTheme="minorBidi"/>
          <w:sz w:val="22"/>
          <w:szCs w:val="22"/>
        </w:rPr>
        <w:t xml:space="preserve"> </w:t>
      </w:r>
      <w:r w:rsidR="007D3933" w:rsidRPr="00BC5E5D">
        <w:rPr>
          <w:rFonts w:asciiTheme="minorBidi" w:hAnsiTheme="minorBidi"/>
          <w:sz w:val="22"/>
          <w:szCs w:val="22"/>
        </w:rPr>
        <w:t>(Moore and Kearsley</w:t>
      </w:r>
      <w:r w:rsidR="00413BD4" w:rsidRPr="00BC5E5D">
        <w:rPr>
          <w:rFonts w:asciiTheme="minorBidi" w:hAnsiTheme="minorBidi"/>
          <w:sz w:val="22"/>
          <w:szCs w:val="22"/>
        </w:rPr>
        <w:t>,2012, Clark and Mayer,2016, Raisinghani, 2016)</w:t>
      </w:r>
      <w:r w:rsidRPr="00BC5E5D">
        <w:rPr>
          <w:rFonts w:asciiTheme="minorBidi" w:hAnsiTheme="minorBidi"/>
          <w:sz w:val="22"/>
          <w:szCs w:val="22"/>
        </w:rPr>
        <w:t xml:space="preserve"> increasingly emphasized that e-learning is not merely the delivery of electronic content, but a comprehensive educational environment supported by technology and pedagogy (Sangrà et al., 2012).</w:t>
      </w:r>
      <w:r w:rsidR="00972797" w:rsidRPr="00BC5E5D">
        <w:rPr>
          <w:rFonts w:asciiTheme="minorBidi" w:hAnsiTheme="minorBidi"/>
          <w:sz w:val="22"/>
          <w:szCs w:val="22"/>
        </w:rPr>
        <w:t xml:space="preserve"> For example</w:t>
      </w:r>
      <w:r w:rsidR="000867DB" w:rsidRPr="00BC5E5D">
        <w:rPr>
          <w:rFonts w:asciiTheme="minorBidi" w:hAnsiTheme="minorBidi"/>
          <w:sz w:val="22"/>
          <w:szCs w:val="22"/>
        </w:rPr>
        <w:t>,</w:t>
      </w:r>
      <w:r w:rsidR="00352328">
        <w:rPr>
          <w:rFonts w:asciiTheme="minorBidi" w:hAnsiTheme="minorBidi"/>
          <w:b/>
          <w:bCs/>
          <w:sz w:val="22"/>
          <w:szCs w:val="22"/>
        </w:rPr>
        <w:t xml:space="preserve"> </w:t>
      </w:r>
      <w:r w:rsidR="00C34C87" w:rsidRPr="00BC5E5D">
        <w:rPr>
          <w:rFonts w:asciiTheme="minorBidi" w:hAnsiTheme="minorBidi"/>
          <w:sz w:val="22"/>
          <w:szCs w:val="22"/>
        </w:rPr>
        <w:t>Moore &amp; Kearsley (2012</w:t>
      </w:r>
      <w:r w:rsidR="00352328">
        <w:rPr>
          <w:rFonts w:asciiTheme="minorBidi" w:hAnsiTheme="minorBidi"/>
          <w:sz w:val="22"/>
          <w:szCs w:val="22"/>
        </w:rPr>
        <w:t>:6</w:t>
      </w:r>
      <w:r w:rsidR="00C34C87" w:rsidRPr="00BC5E5D">
        <w:rPr>
          <w:rFonts w:asciiTheme="minorBidi" w:hAnsiTheme="minorBidi"/>
          <w:sz w:val="22"/>
          <w:szCs w:val="22"/>
        </w:rPr>
        <w:t>) conceptualize e-learning as “learning and teaching that occurs through the planned use of electronic media, including both online and offline formats, where interaction between learner and instructor is mediated by technology.” Their focus lies on the pedagogical design and interaction process.</w:t>
      </w:r>
      <w:r w:rsidR="00352328">
        <w:rPr>
          <w:rFonts w:asciiTheme="minorBidi" w:hAnsiTheme="minorBidi"/>
          <w:b/>
          <w:bCs/>
          <w:sz w:val="22"/>
          <w:szCs w:val="22"/>
        </w:rPr>
        <w:t xml:space="preserve"> </w:t>
      </w:r>
      <w:r w:rsidR="00C34C87" w:rsidRPr="00BC5E5D">
        <w:rPr>
          <w:rFonts w:asciiTheme="minorBidi" w:hAnsiTheme="minorBidi"/>
          <w:sz w:val="22"/>
          <w:szCs w:val="22"/>
        </w:rPr>
        <w:t>Clark &amp; Mayer (2016</w:t>
      </w:r>
      <w:r w:rsidR="00352328">
        <w:rPr>
          <w:rFonts w:asciiTheme="minorBidi" w:hAnsiTheme="minorBidi"/>
          <w:sz w:val="22"/>
          <w:szCs w:val="22"/>
        </w:rPr>
        <w:t>:7</w:t>
      </w:r>
      <w:r w:rsidR="00C34C87" w:rsidRPr="00BC5E5D">
        <w:rPr>
          <w:rFonts w:asciiTheme="minorBidi" w:hAnsiTheme="minorBidi"/>
          <w:sz w:val="22"/>
          <w:szCs w:val="22"/>
        </w:rPr>
        <w:t>) define e-learning as “instruction delivered on a digital device such as a computer or mobile device that is intended to support learning.” This reflects the practical, instructional design perspective, emphasizing content delivery and learner engagement through digital tools.</w:t>
      </w:r>
    </w:p>
    <w:p w14:paraId="6F1147C9" w14:textId="77777777" w:rsidR="0000276A" w:rsidRPr="00BC5E5D" w:rsidRDefault="0000276A" w:rsidP="00BC5E5D">
      <w:pPr>
        <w:spacing w:line="360" w:lineRule="auto"/>
        <w:jc w:val="both"/>
        <w:rPr>
          <w:rFonts w:asciiTheme="minorBidi" w:hAnsiTheme="minorBidi"/>
          <w:sz w:val="22"/>
          <w:szCs w:val="22"/>
        </w:rPr>
      </w:pPr>
    </w:p>
    <w:p w14:paraId="507B93A0" w14:textId="59D8C680" w:rsidR="003C0587" w:rsidRPr="003C0587" w:rsidRDefault="00692B68" w:rsidP="00BC5E5D">
      <w:pPr>
        <w:spacing w:line="360" w:lineRule="auto"/>
        <w:jc w:val="both"/>
        <w:rPr>
          <w:rFonts w:asciiTheme="minorBidi" w:hAnsiTheme="minorBidi"/>
          <w:sz w:val="22"/>
          <w:szCs w:val="22"/>
        </w:rPr>
      </w:pPr>
      <w:r w:rsidRPr="00BC5E5D">
        <w:rPr>
          <w:rFonts w:asciiTheme="minorBidi" w:hAnsiTheme="minorBidi"/>
          <w:sz w:val="22"/>
          <w:szCs w:val="22"/>
        </w:rPr>
        <w:t>Raisinghani</w:t>
      </w:r>
      <w:r w:rsidR="00E26F56" w:rsidRPr="00BC5E5D">
        <w:rPr>
          <w:rFonts w:asciiTheme="minorBidi" w:hAnsiTheme="minorBidi"/>
          <w:sz w:val="22"/>
          <w:szCs w:val="22"/>
        </w:rPr>
        <w:t xml:space="preserve"> (</w:t>
      </w:r>
      <w:r w:rsidRPr="00BC5E5D">
        <w:rPr>
          <w:rFonts w:asciiTheme="minorBidi" w:hAnsiTheme="minorBidi"/>
          <w:sz w:val="22"/>
          <w:szCs w:val="22"/>
        </w:rPr>
        <w:t xml:space="preserve">2016) </w:t>
      </w:r>
      <w:r w:rsidR="0000276A" w:rsidRPr="00BC5E5D">
        <w:rPr>
          <w:rFonts w:asciiTheme="minorBidi" w:hAnsiTheme="minorBidi"/>
          <w:sz w:val="22"/>
          <w:szCs w:val="22"/>
        </w:rPr>
        <w:t xml:space="preserve">defined </w:t>
      </w:r>
      <w:r w:rsidRPr="00BC5E5D">
        <w:rPr>
          <w:rFonts w:asciiTheme="minorBidi" w:hAnsiTheme="minorBidi"/>
          <w:sz w:val="22"/>
          <w:szCs w:val="22"/>
        </w:rPr>
        <w:t xml:space="preserve">e-learning </w:t>
      </w:r>
      <w:r w:rsidR="0000276A" w:rsidRPr="00BC5E5D">
        <w:rPr>
          <w:rFonts w:asciiTheme="minorBidi" w:hAnsiTheme="minorBidi"/>
          <w:sz w:val="22"/>
          <w:szCs w:val="22"/>
        </w:rPr>
        <w:t>as individualized instruction provided via public (internet) or private (intranet) computer networks and is often used interchangeably with terms like online learning, web-based learning (WBL), and virtual classrooms</w:t>
      </w:r>
      <w:r w:rsidRPr="00BC5E5D">
        <w:rPr>
          <w:rFonts w:asciiTheme="minorBidi" w:hAnsiTheme="minorBidi"/>
          <w:sz w:val="22"/>
          <w:szCs w:val="22"/>
        </w:rPr>
        <w:t xml:space="preserve">. </w:t>
      </w:r>
      <w:r w:rsidR="005E4B64" w:rsidRPr="00BC5E5D">
        <w:rPr>
          <w:rFonts w:asciiTheme="minorBidi" w:hAnsiTheme="minorBidi"/>
          <w:sz w:val="22"/>
          <w:szCs w:val="22"/>
        </w:rPr>
        <w:t>The definition is strongly technology-oriented, framing e-learning mainly in terms of computer networks (internet/intranet). While this was common in earlier conceptualizations, later definitions emphasize pedagogy, interaction, and learner engagement</w:t>
      </w:r>
      <w:r w:rsidR="00AE4A14" w:rsidRPr="00BC5E5D">
        <w:rPr>
          <w:rFonts w:asciiTheme="minorBidi" w:hAnsiTheme="minorBidi"/>
          <w:sz w:val="22"/>
          <w:szCs w:val="22"/>
        </w:rPr>
        <w:t xml:space="preserve"> </w:t>
      </w:r>
      <w:r w:rsidR="005E4B64" w:rsidRPr="00BC5E5D">
        <w:rPr>
          <w:rFonts w:asciiTheme="minorBidi" w:hAnsiTheme="minorBidi"/>
          <w:sz w:val="22"/>
          <w:szCs w:val="22"/>
        </w:rPr>
        <w:t>elements not explicitly addressed here.</w:t>
      </w:r>
      <w:r w:rsidR="003C0587" w:rsidRPr="00BC5E5D">
        <w:rPr>
          <w:rFonts w:asciiTheme="minorBidi" w:eastAsia="Times New Roman" w:hAnsiTheme="minorBidi"/>
          <w:b/>
          <w:bCs/>
          <w:kern w:val="0"/>
          <w:sz w:val="22"/>
          <w:szCs w:val="22"/>
          <w14:ligatures w14:val="none"/>
        </w:rPr>
        <w:t xml:space="preserve"> </w:t>
      </w:r>
      <w:r w:rsidR="00072D3B" w:rsidRPr="00BC5E5D">
        <w:rPr>
          <w:rFonts w:asciiTheme="minorBidi" w:hAnsiTheme="minorBidi"/>
          <w:sz w:val="22"/>
          <w:szCs w:val="22"/>
        </w:rPr>
        <w:t xml:space="preserve">Similar to Raisinghani’s (2016) description of e-learning as individualized instruction delivered via computer networks, other scholars in the 2010–2020 period define e-learning as an approach to teaching and learning based on electronic media and devices that improve access, communication and interaction (Sangrà, Vlachopoulos, &amp; Cabrera, 2012), or more broadly as instruction delivered on digital devices such as computers and smartphones (Blau, 2017; Basak, Wotto, </w:t>
      </w:r>
      <w:r w:rsidR="002A7E33" w:rsidRPr="00BC5E5D">
        <w:rPr>
          <w:rFonts w:asciiTheme="minorBidi" w:hAnsiTheme="minorBidi"/>
          <w:sz w:val="22"/>
          <w:szCs w:val="22"/>
        </w:rPr>
        <w:t xml:space="preserve">and </w:t>
      </w:r>
      <w:r w:rsidR="00072D3B" w:rsidRPr="00BC5E5D">
        <w:rPr>
          <w:rFonts w:asciiTheme="minorBidi" w:hAnsiTheme="minorBidi"/>
          <w:sz w:val="22"/>
          <w:szCs w:val="22"/>
        </w:rPr>
        <w:t xml:space="preserve"> Bélanger, 2018).</w:t>
      </w:r>
    </w:p>
    <w:p w14:paraId="413D6DC2" w14:textId="3ACB1DD9" w:rsidR="008C10E4" w:rsidRPr="00BC5E5D" w:rsidRDefault="00037BAC" w:rsidP="009B2F07">
      <w:pPr>
        <w:spacing w:line="360" w:lineRule="auto"/>
        <w:jc w:val="both"/>
        <w:rPr>
          <w:rFonts w:asciiTheme="minorBidi" w:hAnsiTheme="minorBidi"/>
          <w:sz w:val="22"/>
          <w:szCs w:val="22"/>
        </w:rPr>
      </w:pPr>
      <w:r w:rsidRPr="00157D47">
        <w:rPr>
          <w:rFonts w:asciiTheme="minorBidi" w:hAnsiTheme="minorBidi"/>
          <w:sz w:val="22"/>
          <w:szCs w:val="22"/>
        </w:rPr>
        <w:t xml:space="preserve">OECD (2021) </w:t>
      </w:r>
      <w:r w:rsidRPr="00BC5E5D">
        <w:rPr>
          <w:rFonts w:asciiTheme="minorBidi" w:hAnsiTheme="minorBidi"/>
          <w:sz w:val="22"/>
          <w:szCs w:val="22"/>
        </w:rPr>
        <w:t>describes e-learning as “learning that is enabled or supported by the use of digital tools and resources, typically delivered through the internet or other electronic means.” This definition highlights accessibility and the use of digital platforms for educational purposes.</w:t>
      </w:r>
      <w:r w:rsidR="002A7E33" w:rsidRPr="00BC5E5D">
        <w:rPr>
          <w:rFonts w:asciiTheme="minorBidi" w:hAnsiTheme="minorBidi"/>
          <w:sz w:val="22"/>
          <w:szCs w:val="22"/>
        </w:rPr>
        <w:t xml:space="preserve"> </w:t>
      </w:r>
      <w:r w:rsidRPr="00157D47">
        <w:rPr>
          <w:rFonts w:asciiTheme="minorBidi" w:hAnsiTheme="minorBidi"/>
          <w:sz w:val="22"/>
          <w:szCs w:val="22"/>
        </w:rPr>
        <w:t>UNESCO (2023)</w:t>
      </w:r>
      <w:r w:rsidRPr="00BC5E5D">
        <w:rPr>
          <w:rFonts w:asciiTheme="minorBidi" w:hAnsiTheme="minorBidi"/>
          <w:sz w:val="22"/>
          <w:szCs w:val="22"/>
        </w:rPr>
        <w:t xml:space="preserve"> defines e-learning as “the use of information and communication technologies (ICT) to support and enhance the delivery of learning, teaching, and assessment.” </w:t>
      </w:r>
      <w:r w:rsidRPr="00BC5E5D">
        <w:rPr>
          <w:rFonts w:asciiTheme="minorBidi" w:hAnsiTheme="minorBidi"/>
          <w:sz w:val="22"/>
          <w:szCs w:val="22"/>
        </w:rPr>
        <w:lastRenderedPageBreak/>
        <w:t>This emphasizes the technological medium as a facilitator of learning rather than as an end in itself.</w:t>
      </w:r>
      <w:r w:rsidR="009B2F07">
        <w:rPr>
          <w:rFonts w:asciiTheme="minorBidi" w:hAnsiTheme="minorBidi"/>
          <w:sz w:val="22"/>
          <w:szCs w:val="22"/>
        </w:rPr>
        <w:t xml:space="preserve"> </w:t>
      </w:r>
      <w:r w:rsidR="008C10E4" w:rsidRPr="00BC5E5D">
        <w:rPr>
          <w:rFonts w:asciiTheme="minorBidi" w:hAnsiTheme="minorBidi"/>
          <w:sz w:val="22"/>
          <w:szCs w:val="22"/>
        </w:rPr>
        <w:t>UNESCO and OECD</w:t>
      </w:r>
      <w:r w:rsidR="004F5691" w:rsidRPr="00BC5E5D">
        <w:rPr>
          <w:rFonts w:asciiTheme="minorBidi" w:hAnsiTheme="minorBidi"/>
          <w:sz w:val="22"/>
          <w:szCs w:val="22"/>
        </w:rPr>
        <w:t xml:space="preserve"> and Raisinghani, (2016) </w:t>
      </w:r>
      <w:r w:rsidR="008C10E4" w:rsidRPr="00BC5E5D">
        <w:rPr>
          <w:rFonts w:asciiTheme="minorBidi" w:hAnsiTheme="minorBidi"/>
          <w:sz w:val="22"/>
          <w:szCs w:val="22"/>
        </w:rPr>
        <w:t xml:space="preserve"> view e-learning broadly as </w:t>
      </w:r>
      <w:r w:rsidR="008C10E4" w:rsidRPr="009B2F07">
        <w:rPr>
          <w:rFonts w:asciiTheme="minorBidi" w:hAnsiTheme="minorBidi"/>
          <w:sz w:val="22"/>
          <w:szCs w:val="22"/>
        </w:rPr>
        <w:t>technology-supported education</w:t>
      </w:r>
      <w:r w:rsidR="008C10E4" w:rsidRPr="00BC5E5D">
        <w:rPr>
          <w:rFonts w:asciiTheme="minorBidi" w:hAnsiTheme="minorBidi"/>
          <w:sz w:val="22"/>
          <w:szCs w:val="22"/>
        </w:rPr>
        <w:t xml:space="preserve"> at a systemic level.</w:t>
      </w:r>
      <w:r w:rsidR="00935F77" w:rsidRPr="00BC5E5D">
        <w:rPr>
          <w:rFonts w:asciiTheme="minorBidi" w:hAnsiTheme="minorBidi"/>
          <w:sz w:val="22"/>
          <w:szCs w:val="22"/>
        </w:rPr>
        <w:t xml:space="preserve"> Howeber, </w:t>
      </w:r>
      <w:r w:rsidR="008C10E4" w:rsidRPr="00BC5E5D">
        <w:rPr>
          <w:rFonts w:asciiTheme="minorBidi" w:hAnsiTheme="minorBidi"/>
          <w:sz w:val="22"/>
          <w:szCs w:val="22"/>
        </w:rPr>
        <w:t>Moore &amp; Kearsley</w:t>
      </w:r>
      <w:r w:rsidR="004F3780" w:rsidRPr="00BC5E5D">
        <w:rPr>
          <w:rFonts w:asciiTheme="minorBidi" w:hAnsiTheme="minorBidi"/>
          <w:sz w:val="22"/>
          <w:szCs w:val="22"/>
        </w:rPr>
        <w:t xml:space="preserve"> </w:t>
      </w:r>
      <w:r w:rsidR="00935F77" w:rsidRPr="00BC5E5D">
        <w:rPr>
          <w:rFonts w:asciiTheme="minorBidi" w:hAnsiTheme="minorBidi"/>
          <w:sz w:val="22"/>
          <w:szCs w:val="22"/>
        </w:rPr>
        <w:t>(2012)</w:t>
      </w:r>
      <w:r w:rsidR="00B04323" w:rsidRPr="00BC5E5D">
        <w:rPr>
          <w:rFonts w:asciiTheme="minorBidi" w:hAnsiTheme="minorBidi"/>
          <w:sz w:val="22"/>
          <w:szCs w:val="22"/>
        </w:rPr>
        <w:t xml:space="preserve">, </w:t>
      </w:r>
      <w:r w:rsidR="008C10E4" w:rsidRPr="00BC5E5D">
        <w:rPr>
          <w:rFonts w:asciiTheme="minorBidi" w:hAnsiTheme="minorBidi"/>
          <w:sz w:val="22"/>
          <w:szCs w:val="22"/>
        </w:rPr>
        <w:t>Clark &amp; Mayer</w:t>
      </w:r>
      <w:r w:rsidR="00935F77" w:rsidRPr="00BC5E5D">
        <w:rPr>
          <w:rFonts w:asciiTheme="minorBidi" w:hAnsiTheme="minorBidi"/>
          <w:sz w:val="22"/>
          <w:szCs w:val="22"/>
        </w:rPr>
        <w:t>(2016)</w:t>
      </w:r>
      <w:r w:rsidR="008C10E4" w:rsidRPr="00BC5E5D">
        <w:rPr>
          <w:rFonts w:asciiTheme="minorBidi" w:hAnsiTheme="minorBidi"/>
          <w:sz w:val="22"/>
          <w:szCs w:val="22"/>
        </w:rPr>
        <w:t xml:space="preserve"> adopt a more pedagogical and instructiona</w:t>
      </w:r>
      <w:r w:rsidR="008C10E4" w:rsidRPr="00BC5E5D">
        <w:rPr>
          <w:rFonts w:asciiTheme="minorBidi" w:hAnsiTheme="minorBidi"/>
          <w:i/>
          <w:iCs/>
          <w:sz w:val="22"/>
          <w:szCs w:val="22"/>
        </w:rPr>
        <w:t>l</w:t>
      </w:r>
      <w:r w:rsidR="008C10E4" w:rsidRPr="00BC5E5D">
        <w:rPr>
          <w:rFonts w:asciiTheme="minorBidi" w:hAnsiTheme="minorBidi"/>
          <w:sz w:val="22"/>
          <w:szCs w:val="22"/>
        </w:rPr>
        <w:t xml:space="preserve"> focus, emphasizing learning design, interactivity, and learner engagement.</w:t>
      </w:r>
    </w:p>
    <w:p w14:paraId="74F01A70" w14:textId="0F31676D" w:rsidR="00A54FB1" w:rsidRPr="00BC5E5D" w:rsidRDefault="00A54FB1" w:rsidP="00BC5E5D">
      <w:pPr>
        <w:spacing w:line="360" w:lineRule="auto"/>
        <w:jc w:val="both"/>
        <w:rPr>
          <w:rFonts w:asciiTheme="minorBidi" w:hAnsiTheme="minorBidi"/>
          <w:sz w:val="22"/>
          <w:szCs w:val="22"/>
        </w:rPr>
      </w:pPr>
      <w:r w:rsidRPr="00BC5E5D">
        <w:rPr>
          <w:rFonts w:asciiTheme="minorBidi" w:hAnsiTheme="minorBidi"/>
          <w:sz w:val="22"/>
          <w:szCs w:val="22"/>
        </w:rPr>
        <w:t>Based on the above perspectives, e-learning can be conceptually defined as:</w:t>
      </w:r>
    </w:p>
    <w:p w14:paraId="3A332B88" w14:textId="77777777" w:rsidR="00A54FB1" w:rsidRPr="00BC5E5D" w:rsidRDefault="00A54FB1" w:rsidP="00BC5E5D">
      <w:pPr>
        <w:spacing w:line="360" w:lineRule="auto"/>
        <w:jc w:val="both"/>
        <w:rPr>
          <w:rFonts w:asciiTheme="minorBidi" w:hAnsiTheme="minorBidi"/>
          <w:sz w:val="22"/>
          <w:szCs w:val="22"/>
        </w:rPr>
      </w:pPr>
      <w:r w:rsidRPr="00BC5E5D">
        <w:rPr>
          <w:rFonts w:asciiTheme="minorBidi" w:hAnsiTheme="minorBidi"/>
          <w:sz w:val="22"/>
          <w:szCs w:val="22"/>
        </w:rPr>
        <w:t>E-learning is a technology-mediated educational process that integrates digital tools, content, and environments to facilitate interactive, learner-centered, and accessible learning experiences across formal and informal contexts.</w:t>
      </w:r>
    </w:p>
    <w:p w14:paraId="5819C929" w14:textId="77777777" w:rsidR="00A54FB1" w:rsidRPr="00BC5E5D" w:rsidRDefault="00A54FB1" w:rsidP="00BC5E5D">
      <w:pPr>
        <w:spacing w:line="360" w:lineRule="auto"/>
        <w:jc w:val="both"/>
        <w:rPr>
          <w:rFonts w:asciiTheme="minorBidi" w:hAnsiTheme="minorBidi"/>
          <w:sz w:val="22"/>
          <w:szCs w:val="22"/>
        </w:rPr>
      </w:pPr>
      <w:r w:rsidRPr="00BC5E5D">
        <w:rPr>
          <w:rFonts w:asciiTheme="minorBidi" w:hAnsiTheme="minorBidi"/>
          <w:sz w:val="22"/>
          <w:szCs w:val="22"/>
        </w:rPr>
        <w:t>This synthesized definition captures:</w:t>
      </w:r>
    </w:p>
    <w:p w14:paraId="7047120B" w14:textId="77777777" w:rsidR="00A54FB1" w:rsidRPr="00BC5E5D" w:rsidRDefault="00A54FB1" w:rsidP="00CA68CD">
      <w:pPr>
        <w:numPr>
          <w:ilvl w:val="0"/>
          <w:numId w:val="5"/>
        </w:numPr>
        <w:spacing w:line="360" w:lineRule="auto"/>
        <w:jc w:val="both"/>
        <w:rPr>
          <w:rFonts w:asciiTheme="minorBidi" w:hAnsiTheme="minorBidi"/>
          <w:sz w:val="22"/>
          <w:szCs w:val="22"/>
        </w:rPr>
      </w:pPr>
      <w:r w:rsidRPr="00BC5E5D">
        <w:rPr>
          <w:rFonts w:asciiTheme="minorBidi" w:hAnsiTheme="minorBidi"/>
          <w:sz w:val="22"/>
          <w:szCs w:val="22"/>
        </w:rPr>
        <w:t>Technology as an enabler of learning (from UNESCO &amp; OECD)</w:t>
      </w:r>
    </w:p>
    <w:p w14:paraId="718C1C44" w14:textId="77777777" w:rsidR="00A54FB1" w:rsidRPr="00BC5E5D" w:rsidRDefault="00A54FB1" w:rsidP="00CA68CD">
      <w:pPr>
        <w:numPr>
          <w:ilvl w:val="0"/>
          <w:numId w:val="5"/>
        </w:numPr>
        <w:spacing w:line="360" w:lineRule="auto"/>
        <w:jc w:val="both"/>
        <w:rPr>
          <w:rFonts w:asciiTheme="minorBidi" w:hAnsiTheme="minorBidi"/>
          <w:sz w:val="22"/>
          <w:szCs w:val="22"/>
        </w:rPr>
      </w:pPr>
      <w:r w:rsidRPr="00BC5E5D">
        <w:rPr>
          <w:rFonts w:asciiTheme="minorBidi" w:hAnsiTheme="minorBidi"/>
          <w:sz w:val="22"/>
          <w:szCs w:val="22"/>
        </w:rPr>
        <w:t>Interaction and pedagogy (from Moore &amp; Kearsley)</w:t>
      </w:r>
    </w:p>
    <w:p w14:paraId="6F370FEE" w14:textId="77777777" w:rsidR="00F118B0" w:rsidRDefault="00A54FB1" w:rsidP="00CA68CD">
      <w:pPr>
        <w:numPr>
          <w:ilvl w:val="0"/>
          <w:numId w:val="5"/>
        </w:numPr>
        <w:spacing w:line="360" w:lineRule="auto"/>
        <w:jc w:val="both"/>
        <w:rPr>
          <w:rFonts w:asciiTheme="minorBidi" w:hAnsiTheme="minorBidi"/>
          <w:sz w:val="22"/>
          <w:szCs w:val="22"/>
        </w:rPr>
      </w:pPr>
      <w:r w:rsidRPr="00BC5E5D">
        <w:rPr>
          <w:rFonts w:asciiTheme="minorBidi" w:hAnsiTheme="minorBidi"/>
          <w:sz w:val="22"/>
          <w:szCs w:val="22"/>
        </w:rPr>
        <w:t>Learner-centered and flexible delivery (from Clark &amp; Mayer)</w:t>
      </w:r>
    </w:p>
    <w:p w14:paraId="373EDBDE" w14:textId="7E651767" w:rsidR="00C516E5" w:rsidRPr="00F118B0" w:rsidRDefault="00C516E5" w:rsidP="007530C7">
      <w:pPr>
        <w:spacing w:line="360" w:lineRule="auto"/>
        <w:jc w:val="both"/>
        <w:rPr>
          <w:rFonts w:asciiTheme="minorBidi" w:hAnsiTheme="minorBidi"/>
          <w:sz w:val="22"/>
          <w:szCs w:val="22"/>
        </w:rPr>
      </w:pPr>
      <w:r w:rsidRPr="00F118B0">
        <w:rPr>
          <w:rFonts w:asciiTheme="minorBidi" w:hAnsiTheme="minorBidi"/>
          <w:sz w:val="22"/>
          <w:szCs w:val="22"/>
        </w:rPr>
        <w:t>Because of its wide scope, global definitions often diverge, leading to inconsistency and occasional misunderstanding among practitioners. As a relatively new concept for course designers, technology developers, and learners, e-learning has not yet reached a universally accepted definition nor secured a stable market identity (Brown, 2019). Some researchers attribute this lack of consensus to the rapidly evolving nature of digital technologies</w:t>
      </w:r>
      <w:r w:rsidR="2A95A45F" w:rsidRPr="256F88E9">
        <w:rPr>
          <w:rFonts w:asciiTheme="minorBidi" w:hAnsiTheme="minorBidi"/>
          <w:sz w:val="22"/>
          <w:szCs w:val="22"/>
        </w:rPr>
        <w:t xml:space="preserve"> </w:t>
      </w:r>
      <w:r w:rsidR="00050D7E">
        <w:rPr>
          <w:rFonts w:asciiTheme="minorBidi" w:hAnsiTheme="minorBidi"/>
          <w:sz w:val="22"/>
          <w:szCs w:val="22"/>
        </w:rPr>
        <w:t>(S</w:t>
      </w:r>
      <w:r w:rsidR="00050D7E" w:rsidRPr="00050D7E">
        <w:rPr>
          <w:rFonts w:asciiTheme="minorBidi" w:hAnsiTheme="minorBidi"/>
          <w:sz w:val="22"/>
          <w:szCs w:val="22"/>
        </w:rPr>
        <w:t>angrà, Vlachopoulos</w:t>
      </w:r>
      <w:r w:rsidR="00050D7E">
        <w:rPr>
          <w:rFonts w:asciiTheme="minorBidi" w:hAnsiTheme="minorBidi"/>
          <w:sz w:val="22"/>
          <w:szCs w:val="22"/>
        </w:rPr>
        <w:t xml:space="preserve"> and </w:t>
      </w:r>
      <w:r w:rsidR="00050D7E" w:rsidRPr="00050D7E">
        <w:rPr>
          <w:rFonts w:asciiTheme="minorBidi" w:hAnsiTheme="minorBidi"/>
          <w:sz w:val="22"/>
          <w:szCs w:val="22"/>
        </w:rPr>
        <w:t xml:space="preserve"> Cabrera, 2012</w:t>
      </w:r>
      <w:r w:rsidR="00050D7E">
        <w:rPr>
          <w:rFonts w:asciiTheme="minorBidi" w:hAnsiTheme="minorBidi"/>
          <w:sz w:val="22"/>
          <w:szCs w:val="22"/>
        </w:rPr>
        <w:t>)</w:t>
      </w:r>
      <w:r w:rsidRPr="00F118B0">
        <w:rPr>
          <w:rFonts w:asciiTheme="minorBidi" w:hAnsiTheme="minorBidi"/>
          <w:sz w:val="22"/>
          <w:szCs w:val="22"/>
        </w:rPr>
        <w:t>, while others suggest that varying institutional priorities contribute to the definitional gaps</w:t>
      </w:r>
      <w:r w:rsidR="007530C7">
        <w:rPr>
          <w:rFonts w:asciiTheme="minorBidi" w:hAnsiTheme="minorBidi"/>
          <w:sz w:val="22"/>
          <w:szCs w:val="22"/>
        </w:rPr>
        <w:t>(</w:t>
      </w:r>
      <w:r w:rsidR="007530C7" w:rsidRPr="007530C7">
        <w:rPr>
          <w:rFonts w:asciiTheme="minorBidi" w:hAnsiTheme="minorBidi"/>
          <w:sz w:val="22"/>
          <w:szCs w:val="22"/>
        </w:rPr>
        <w:t>Bates, 2018)</w:t>
      </w:r>
      <w:r w:rsidRPr="00F118B0">
        <w:rPr>
          <w:rFonts w:asciiTheme="minorBidi" w:hAnsiTheme="minorBidi"/>
          <w:sz w:val="22"/>
          <w:szCs w:val="22"/>
        </w:rPr>
        <w:t>.</w:t>
      </w:r>
    </w:p>
    <w:p w14:paraId="30F0F86E" w14:textId="77777777" w:rsidR="00C516E5" w:rsidRPr="00BC5E5D" w:rsidRDefault="00C516E5" w:rsidP="00BC5E5D">
      <w:pPr>
        <w:spacing w:line="360" w:lineRule="auto"/>
        <w:jc w:val="both"/>
        <w:rPr>
          <w:rFonts w:asciiTheme="minorBidi" w:hAnsiTheme="minorBidi"/>
          <w:sz w:val="22"/>
          <w:szCs w:val="22"/>
        </w:rPr>
      </w:pPr>
    </w:p>
    <w:p w14:paraId="217D1DE1" w14:textId="7F93075F" w:rsidR="0025010E" w:rsidRPr="00BC5E5D" w:rsidRDefault="007902AC" w:rsidP="00BC5E5D">
      <w:pPr>
        <w:spacing w:line="360" w:lineRule="auto"/>
        <w:jc w:val="both"/>
        <w:rPr>
          <w:rFonts w:asciiTheme="minorBidi" w:hAnsiTheme="minorBidi"/>
          <w:sz w:val="22"/>
          <w:szCs w:val="22"/>
        </w:rPr>
      </w:pPr>
      <w:r w:rsidRPr="00BC5E5D">
        <w:rPr>
          <w:rFonts w:asciiTheme="minorBidi" w:hAnsiTheme="minorBidi"/>
          <w:sz w:val="22"/>
          <w:szCs w:val="22"/>
        </w:rPr>
        <w:t>Abdel Hamid (2009), Abdel Hamid (2010)</w:t>
      </w:r>
      <w:r w:rsidR="00C67016" w:rsidRPr="00BC5E5D">
        <w:rPr>
          <w:rFonts w:asciiTheme="minorBidi" w:hAnsiTheme="minorBidi"/>
          <w:sz w:val="22"/>
          <w:szCs w:val="22"/>
        </w:rPr>
        <w:t xml:space="preserve"> and </w:t>
      </w:r>
      <w:r w:rsidR="0025010E" w:rsidRPr="00BC5E5D">
        <w:rPr>
          <w:rFonts w:asciiTheme="minorBidi" w:hAnsiTheme="minorBidi"/>
          <w:sz w:val="22"/>
          <w:szCs w:val="22"/>
        </w:rPr>
        <w:t>Al-Najar (2013), classify e-learning environments based on the tools they use:</w:t>
      </w:r>
    </w:p>
    <w:p w14:paraId="57EFF257" w14:textId="77777777" w:rsidR="0025010E" w:rsidRPr="00BC5E5D" w:rsidRDefault="0025010E" w:rsidP="00CA68CD">
      <w:pPr>
        <w:numPr>
          <w:ilvl w:val="0"/>
          <w:numId w:val="1"/>
        </w:numPr>
        <w:spacing w:line="360" w:lineRule="auto"/>
        <w:jc w:val="both"/>
        <w:rPr>
          <w:rFonts w:asciiTheme="minorBidi" w:hAnsiTheme="minorBidi"/>
          <w:sz w:val="22"/>
          <w:szCs w:val="22"/>
        </w:rPr>
      </w:pPr>
      <w:r w:rsidRPr="00BC5E5D">
        <w:rPr>
          <w:rFonts w:asciiTheme="minorBidi" w:hAnsiTheme="minorBidi"/>
          <w:sz w:val="22"/>
          <w:szCs w:val="22"/>
        </w:rPr>
        <w:t>Synchronous e-learning environments: Online, real-time methods of learning within virtual classrooms, where both teachers and students are present simultaneously regardless of location. Immediate feedback is enabled through tools such as:</w:t>
      </w:r>
    </w:p>
    <w:p w14:paraId="2B30D6E3" w14:textId="77777777" w:rsidR="0025010E" w:rsidRPr="00BC5E5D" w:rsidRDefault="0025010E" w:rsidP="00CA68CD">
      <w:pPr>
        <w:numPr>
          <w:ilvl w:val="1"/>
          <w:numId w:val="1"/>
        </w:numPr>
        <w:spacing w:line="360" w:lineRule="auto"/>
        <w:jc w:val="both"/>
        <w:rPr>
          <w:rFonts w:asciiTheme="minorBidi" w:hAnsiTheme="minorBidi"/>
          <w:sz w:val="22"/>
          <w:szCs w:val="22"/>
        </w:rPr>
      </w:pPr>
      <w:r w:rsidRPr="00BC5E5D">
        <w:rPr>
          <w:rFonts w:asciiTheme="minorBidi" w:hAnsiTheme="minorBidi"/>
          <w:sz w:val="22"/>
          <w:szCs w:val="22"/>
        </w:rPr>
        <w:t>Discussion forums</w:t>
      </w:r>
    </w:p>
    <w:p w14:paraId="0BB08FCB" w14:textId="77777777" w:rsidR="0025010E" w:rsidRPr="00BC5E5D" w:rsidRDefault="0025010E" w:rsidP="00CA68CD">
      <w:pPr>
        <w:numPr>
          <w:ilvl w:val="1"/>
          <w:numId w:val="1"/>
        </w:numPr>
        <w:spacing w:line="360" w:lineRule="auto"/>
        <w:jc w:val="both"/>
        <w:rPr>
          <w:rFonts w:asciiTheme="minorBidi" w:hAnsiTheme="minorBidi"/>
          <w:sz w:val="22"/>
          <w:szCs w:val="22"/>
        </w:rPr>
      </w:pPr>
      <w:r w:rsidRPr="00BC5E5D">
        <w:rPr>
          <w:rFonts w:asciiTheme="minorBidi" w:hAnsiTheme="minorBidi"/>
          <w:sz w:val="22"/>
          <w:szCs w:val="22"/>
        </w:rPr>
        <w:t>Chat rooms</w:t>
      </w:r>
    </w:p>
    <w:p w14:paraId="0F89239C" w14:textId="77777777" w:rsidR="0025010E" w:rsidRPr="00BC5E5D" w:rsidRDefault="0025010E" w:rsidP="00CA68CD">
      <w:pPr>
        <w:numPr>
          <w:ilvl w:val="1"/>
          <w:numId w:val="1"/>
        </w:numPr>
        <w:spacing w:line="360" w:lineRule="auto"/>
        <w:jc w:val="both"/>
        <w:rPr>
          <w:rFonts w:asciiTheme="minorBidi" w:hAnsiTheme="minorBidi"/>
          <w:sz w:val="22"/>
          <w:szCs w:val="22"/>
        </w:rPr>
      </w:pPr>
      <w:r w:rsidRPr="00BC5E5D">
        <w:rPr>
          <w:rFonts w:asciiTheme="minorBidi" w:hAnsiTheme="minorBidi"/>
          <w:sz w:val="22"/>
          <w:szCs w:val="22"/>
        </w:rPr>
        <w:t>Video conferencing</w:t>
      </w:r>
    </w:p>
    <w:p w14:paraId="1B27C861" w14:textId="77777777" w:rsidR="0025010E" w:rsidRPr="00BC5E5D" w:rsidRDefault="0025010E" w:rsidP="00CA68CD">
      <w:pPr>
        <w:numPr>
          <w:ilvl w:val="1"/>
          <w:numId w:val="1"/>
        </w:numPr>
        <w:spacing w:line="360" w:lineRule="auto"/>
        <w:jc w:val="both"/>
        <w:rPr>
          <w:rFonts w:asciiTheme="minorBidi" w:hAnsiTheme="minorBidi"/>
          <w:sz w:val="22"/>
          <w:szCs w:val="22"/>
        </w:rPr>
      </w:pPr>
      <w:r w:rsidRPr="00BC5E5D">
        <w:rPr>
          <w:rFonts w:asciiTheme="minorBidi" w:hAnsiTheme="minorBidi"/>
          <w:sz w:val="22"/>
          <w:szCs w:val="22"/>
        </w:rPr>
        <w:t>Audio conferencing</w:t>
      </w:r>
    </w:p>
    <w:p w14:paraId="603EE743" w14:textId="77777777" w:rsidR="0025010E" w:rsidRPr="00BC5E5D" w:rsidRDefault="0025010E" w:rsidP="00CA68CD">
      <w:pPr>
        <w:numPr>
          <w:ilvl w:val="0"/>
          <w:numId w:val="1"/>
        </w:numPr>
        <w:spacing w:line="360" w:lineRule="auto"/>
        <w:jc w:val="both"/>
        <w:rPr>
          <w:rFonts w:asciiTheme="minorBidi" w:hAnsiTheme="minorBidi"/>
          <w:sz w:val="22"/>
          <w:szCs w:val="22"/>
        </w:rPr>
      </w:pPr>
      <w:r w:rsidRPr="00BC5E5D">
        <w:rPr>
          <w:rFonts w:asciiTheme="minorBidi" w:hAnsiTheme="minorBidi"/>
          <w:sz w:val="22"/>
          <w:szCs w:val="22"/>
        </w:rPr>
        <w:lastRenderedPageBreak/>
        <w:t>Asynchronous e-learning environments</w:t>
      </w:r>
      <w:r w:rsidRPr="00BC5E5D">
        <w:rPr>
          <w:rFonts w:asciiTheme="minorBidi" w:hAnsiTheme="minorBidi"/>
          <w:b/>
          <w:bCs/>
          <w:sz w:val="22"/>
          <w:szCs w:val="22"/>
        </w:rPr>
        <w:t>:</w:t>
      </w:r>
      <w:r w:rsidRPr="00BC5E5D">
        <w:rPr>
          <w:rFonts w:asciiTheme="minorBidi" w:hAnsiTheme="minorBidi"/>
          <w:sz w:val="22"/>
          <w:szCs w:val="22"/>
        </w:rPr>
        <w:t xml:space="preserve"> Learning that is not tied to a specific time or place. In this mode, teachers provide educational resources for learners to access, engage with, and ask questions at their convenience. Feedback is facilitated through tools like:</w:t>
      </w:r>
    </w:p>
    <w:p w14:paraId="683ACDC1" w14:textId="77777777" w:rsidR="0025010E" w:rsidRPr="00BC5E5D" w:rsidRDefault="0025010E" w:rsidP="00CA68CD">
      <w:pPr>
        <w:numPr>
          <w:ilvl w:val="1"/>
          <w:numId w:val="1"/>
        </w:numPr>
        <w:spacing w:line="360" w:lineRule="auto"/>
        <w:jc w:val="both"/>
        <w:rPr>
          <w:rFonts w:asciiTheme="minorBidi" w:hAnsiTheme="minorBidi"/>
          <w:sz w:val="22"/>
          <w:szCs w:val="22"/>
        </w:rPr>
      </w:pPr>
      <w:r w:rsidRPr="00BC5E5D">
        <w:rPr>
          <w:rFonts w:asciiTheme="minorBidi" w:hAnsiTheme="minorBidi"/>
          <w:sz w:val="22"/>
          <w:szCs w:val="22"/>
        </w:rPr>
        <w:t>Static web pages</w:t>
      </w:r>
    </w:p>
    <w:p w14:paraId="32F44BD7" w14:textId="77777777" w:rsidR="0025010E" w:rsidRPr="00BC5E5D" w:rsidRDefault="0025010E" w:rsidP="00CA68CD">
      <w:pPr>
        <w:numPr>
          <w:ilvl w:val="1"/>
          <w:numId w:val="1"/>
        </w:numPr>
        <w:spacing w:line="360" w:lineRule="auto"/>
        <w:jc w:val="both"/>
        <w:rPr>
          <w:rFonts w:asciiTheme="minorBidi" w:hAnsiTheme="minorBidi"/>
          <w:sz w:val="22"/>
          <w:szCs w:val="22"/>
        </w:rPr>
      </w:pPr>
      <w:r w:rsidRPr="00BC5E5D">
        <w:rPr>
          <w:rFonts w:asciiTheme="minorBidi" w:hAnsiTheme="minorBidi"/>
          <w:sz w:val="22"/>
          <w:szCs w:val="22"/>
        </w:rPr>
        <w:t>E-mail</w:t>
      </w:r>
    </w:p>
    <w:p w14:paraId="610E5211" w14:textId="77777777" w:rsidR="0025010E" w:rsidRPr="00BC5E5D" w:rsidRDefault="0025010E" w:rsidP="00CA68CD">
      <w:pPr>
        <w:numPr>
          <w:ilvl w:val="1"/>
          <w:numId w:val="1"/>
        </w:numPr>
        <w:spacing w:line="360" w:lineRule="auto"/>
        <w:jc w:val="both"/>
        <w:rPr>
          <w:rFonts w:asciiTheme="minorBidi" w:hAnsiTheme="minorBidi"/>
          <w:sz w:val="22"/>
          <w:szCs w:val="22"/>
        </w:rPr>
      </w:pPr>
      <w:r w:rsidRPr="00BC5E5D">
        <w:rPr>
          <w:rFonts w:asciiTheme="minorBidi" w:hAnsiTheme="minorBidi"/>
          <w:sz w:val="22"/>
          <w:szCs w:val="22"/>
        </w:rPr>
        <w:t>Storage media (e.g., CDs)</w:t>
      </w:r>
    </w:p>
    <w:p w14:paraId="7726E873" w14:textId="77777777" w:rsidR="0025010E" w:rsidRPr="00BC5E5D" w:rsidRDefault="0025010E" w:rsidP="00BC5E5D">
      <w:pPr>
        <w:spacing w:line="360" w:lineRule="auto"/>
        <w:jc w:val="both"/>
        <w:rPr>
          <w:rFonts w:asciiTheme="minorBidi" w:hAnsiTheme="minorBidi"/>
          <w:sz w:val="22"/>
          <w:szCs w:val="22"/>
        </w:rPr>
      </w:pPr>
    </w:p>
    <w:p w14:paraId="64E0C6CB" w14:textId="2F31C550" w:rsidR="00640F78" w:rsidRPr="00BC5E5D" w:rsidRDefault="00640F78" w:rsidP="00BC5E5D">
      <w:pPr>
        <w:spacing w:line="360" w:lineRule="auto"/>
        <w:jc w:val="both"/>
        <w:rPr>
          <w:rFonts w:asciiTheme="minorBidi" w:hAnsiTheme="minorBidi"/>
          <w:sz w:val="22"/>
          <w:szCs w:val="22"/>
        </w:rPr>
      </w:pPr>
      <w:r w:rsidRPr="00BC5E5D">
        <w:rPr>
          <w:rFonts w:asciiTheme="minorBidi" w:hAnsiTheme="minorBidi"/>
          <w:sz w:val="22"/>
          <w:szCs w:val="22"/>
        </w:rPr>
        <w:t xml:space="preserve">The spread of </w:t>
      </w:r>
      <w:r w:rsidR="00660A14" w:rsidRPr="00BC5E5D">
        <w:rPr>
          <w:rFonts w:asciiTheme="minorBidi" w:hAnsiTheme="minorBidi"/>
          <w:sz w:val="22"/>
          <w:szCs w:val="22"/>
        </w:rPr>
        <w:t>simpler</w:t>
      </w:r>
      <w:r w:rsidRPr="00BC5E5D">
        <w:rPr>
          <w:rFonts w:asciiTheme="minorBidi" w:hAnsiTheme="minorBidi"/>
          <w:sz w:val="22"/>
          <w:szCs w:val="22"/>
        </w:rPr>
        <w:t xml:space="preserve"> and application-friendlier Content Management System</w:t>
      </w:r>
      <w:r w:rsidR="00DD30BA">
        <w:rPr>
          <w:rFonts w:asciiTheme="minorBidi" w:hAnsiTheme="minorBidi"/>
          <w:sz w:val="22"/>
          <w:szCs w:val="22"/>
        </w:rPr>
        <w:t>(CMS)</w:t>
      </w:r>
      <w:r w:rsidRPr="00BC5E5D">
        <w:rPr>
          <w:rFonts w:asciiTheme="minorBidi" w:hAnsiTheme="minorBidi"/>
          <w:sz w:val="22"/>
          <w:szCs w:val="22"/>
        </w:rPr>
        <w:t xml:space="preserve"> systems can be seen instead. Among these frame-systems the LMS, CMS and LCMS are widely applied. The Learning Management System</w:t>
      </w:r>
      <w:r w:rsidR="00E444CD">
        <w:rPr>
          <w:rFonts w:asciiTheme="minorBidi" w:hAnsiTheme="minorBidi"/>
          <w:sz w:val="22"/>
          <w:szCs w:val="22"/>
        </w:rPr>
        <w:t>(LMS</w:t>
      </w:r>
      <w:r w:rsidRPr="00BC5E5D">
        <w:rPr>
          <w:rFonts w:asciiTheme="minorBidi" w:hAnsiTheme="minorBidi"/>
          <w:sz w:val="22"/>
          <w:szCs w:val="22"/>
        </w:rPr>
        <w:t>) is a software-pack which can be applied to the information support and performance of teaching-training programs and courses, the organic handling of courses and students, and in the support of the entire teaching process. L</w:t>
      </w:r>
      <w:r w:rsidR="00E444CD">
        <w:rPr>
          <w:rFonts w:asciiTheme="minorBidi" w:hAnsiTheme="minorBidi"/>
          <w:sz w:val="22"/>
          <w:szCs w:val="22"/>
        </w:rPr>
        <w:t xml:space="preserve">MS </w:t>
      </w:r>
      <w:r w:rsidRPr="00BC5E5D">
        <w:rPr>
          <w:rFonts w:asciiTheme="minorBidi" w:hAnsiTheme="minorBidi"/>
          <w:sz w:val="22"/>
          <w:szCs w:val="22"/>
        </w:rPr>
        <w:t xml:space="preserve"> are able to provide further support to the collocation of the curriculum and themes, as well as in the progress of e</w:t>
      </w:r>
      <w:r w:rsidR="00660A14" w:rsidRPr="00BC5E5D">
        <w:rPr>
          <w:rFonts w:asciiTheme="minorBidi" w:hAnsiTheme="minorBidi"/>
          <w:sz w:val="22"/>
          <w:szCs w:val="22"/>
        </w:rPr>
        <w:t>-</w:t>
      </w:r>
      <w:r w:rsidRPr="00BC5E5D">
        <w:rPr>
          <w:rFonts w:asciiTheme="minorBidi" w:hAnsiTheme="minorBidi"/>
          <w:sz w:val="22"/>
          <w:szCs w:val="22"/>
        </w:rPr>
        <w:t>learning-based, interactive and multimedia courses</w:t>
      </w:r>
      <w:r w:rsidR="00F44A38" w:rsidRPr="00BC5E5D">
        <w:rPr>
          <w:rFonts w:asciiTheme="minorBidi" w:hAnsiTheme="minorBidi"/>
          <w:sz w:val="22"/>
          <w:szCs w:val="22"/>
        </w:rPr>
        <w:t xml:space="preserve"> </w:t>
      </w:r>
      <w:r w:rsidR="00865764" w:rsidRPr="00BC5E5D">
        <w:rPr>
          <w:rFonts w:asciiTheme="minorBidi" w:hAnsiTheme="minorBidi"/>
          <w:sz w:val="22"/>
          <w:szCs w:val="22"/>
        </w:rPr>
        <w:t>(Moln</w:t>
      </w:r>
      <w:r w:rsidR="00660A14" w:rsidRPr="00BC5E5D">
        <w:rPr>
          <w:rFonts w:asciiTheme="minorBidi" w:hAnsiTheme="minorBidi"/>
          <w:sz w:val="22"/>
          <w:szCs w:val="22"/>
        </w:rPr>
        <w:t>a</w:t>
      </w:r>
      <w:r w:rsidR="00865764" w:rsidRPr="00BC5E5D">
        <w:rPr>
          <w:rFonts w:asciiTheme="minorBidi" w:hAnsiTheme="minorBidi"/>
          <w:sz w:val="22"/>
          <w:szCs w:val="22"/>
        </w:rPr>
        <w:t>r, 2013)</w:t>
      </w:r>
      <w:r w:rsidRPr="00BC5E5D">
        <w:rPr>
          <w:rFonts w:asciiTheme="minorBidi" w:hAnsiTheme="minorBidi"/>
          <w:sz w:val="22"/>
          <w:szCs w:val="22"/>
        </w:rPr>
        <w:t>.</w:t>
      </w:r>
    </w:p>
    <w:p w14:paraId="0D16DE52" w14:textId="75AB991D" w:rsidR="00E06164" w:rsidRPr="00BC5E5D" w:rsidRDefault="00E06164" w:rsidP="00BC5E5D">
      <w:pPr>
        <w:spacing w:line="360" w:lineRule="auto"/>
        <w:jc w:val="both"/>
        <w:rPr>
          <w:rFonts w:asciiTheme="minorBidi" w:hAnsiTheme="minorBidi"/>
          <w:sz w:val="22"/>
          <w:szCs w:val="22"/>
        </w:rPr>
      </w:pPr>
      <w:r w:rsidRPr="00BC5E5D">
        <w:rPr>
          <w:rFonts w:asciiTheme="minorBidi" w:hAnsiTheme="minorBidi"/>
          <w:sz w:val="22"/>
          <w:szCs w:val="22"/>
        </w:rPr>
        <w:t xml:space="preserve">According to Khamees (2015), an e-learning environment is an educational technology system made up of multiple instructional pages stored on a server or hosted by an Internet service provider. Learners access these materials through a web browser for educational use. </w:t>
      </w:r>
    </w:p>
    <w:p w14:paraId="6F23ACD4" w14:textId="6FCA4401" w:rsidR="00DE492F" w:rsidRPr="00BC5E5D" w:rsidRDefault="00111A1A" w:rsidP="00BC5E5D">
      <w:pPr>
        <w:spacing w:line="360" w:lineRule="auto"/>
        <w:jc w:val="both"/>
        <w:rPr>
          <w:rFonts w:asciiTheme="minorBidi" w:hAnsiTheme="minorBidi"/>
          <w:sz w:val="22"/>
          <w:szCs w:val="22"/>
        </w:rPr>
      </w:pPr>
      <w:r w:rsidRPr="00BC5E5D">
        <w:rPr>
          <w:rFonts w:asciiTheme="minorBidi" w:hAnsiTheme="minorBidi"/>
          <w:sz w:val="22"/>
          <w:szCs w:val="22"/>
        </w:rPr>
        <w:t xml:space="preserve">During </w:t>
      </w:r>
      <w:r w:rsidR="00115042" w:rsidRPr="00BC5E5D">
        <w:rPr>
          <w:rFonts w:asciiTheme="minorBidi" w:hAnsiTheme="minorBidi"/>
          <w:sz w:val="22"/>
          <w:szCs w:val="22"/>
        </w:rPr>
        <w:t xml:space="preserve"> years</w:t>
      </w:r>
      <w:r w:rsidRPr="00BC5E5D">
        <w:rPr>
          <w:rFonts w:asciiTheme="minorBidi" w:hAnsiTheme="minorBidi"/>
          <w:sz w:val="22"/>
          <w:szCs w:val="22"/>
        </w:rPr>
        <w:t xml:space="preserve"> from 2010 to 2020</w:t>
      </w:r>
      <w:r w:rsidR="00115042" w:rsidRPr="00BC5E5D">
        <w:rPr>
          <w:rFonts w:asciiTheme="minorBidi" w:hAnsiTheme="minorBidi"/>
          <w:sz w:val="22"/>
          <w:szCs w:val="22"/>
        </w:rPr>
        <w:t xml:space="preserve">, computer technologies have been increasingly developed to aid teaching, particularly in areas such as assessment and communication. Advancements in modern technology have allowed these tools to be integrated into unified systems known as virtual learning environments (VLEs). </w:t>
      </w:r>
      <w:r w:rsidR="00242DDB" w:rsidRPr="00BC5E5D">
        <w:rPr>
          <w:rFonts w:asciiTheme="minorBidi" w:hAnsiTheme="minorBidi"/>
          <w:sz w:val="22"/>
          <w:szCs w:val="22"/>
        </w:rPr>
        <w:t>VLE can be described as a self-contained, computer-based platform that supports online interaction between teachers and learners. It primarily manages information directly related to teaching, such as lecture notes, online discussions, and potentially student grades (Davies &amp; Harris, 2016).</w:t>
      </w:r>
    </w:p>
    <w:p w14:paraId="29879F54" w14:textId="183AE02C" w:rsidR="00450C68" w:rsidRPr="00BC5E5D" w:rsidRDefault="00A90C48" w:rsidP="00BC5E5D">
      <w:pPr>
        <w:spacing w:line="360" w:lineRule="auto"/>
        <w:jc w:val="both"/>
        <w:rPr>
          <w:rFonts w:asciiTheme="minorBidi" w:hAnsiTheme="minorBidi"/>
          <w:sz w:val="22"/>
          <w:szCs w:val="22"/>
        </w:rPr>
      </w:pPr>
      <w:r w:rsidRPr="00BC5E5D">
        <w:rPr>
          <w:rFonts w:asciiTheme="minorBidi" w:hAnsiTheme="minorBidi"/>
          <w:sz w:val="22"/>
          <w:szCs w:val="22"/>
        </w:rPr>
        <w:t>To this point,</w:t>
      </w:r>
      <w:r w:rsidR="0040585D" w:rsidRPr="00BC5E5D">
        <w:rPr>
          <w:rFonts w:asciiTheme="minorBidi" w:hAnsiTheme="minorBidi"/>
          <w:sz w:val="22"/>
          <w:szCs w:val="22"/>
        </w:rPr>
        <w:t xml:space="preserve"> </w:t>
      </w:r>
      <w:r w:rsidR="00450C68" w:rsidRPr="00BC5E5D">
        <w:rPr>
          <w:rFonts w:asciiTheme="minorBidi" w:hAnsiTheme="minorBidi"/>
          <w:sz w:val="22"/>
          <w:szCs w:val="22"/>
        </w:rPr>
        <w:t>literature review revealed that b</w:t>
      </w:r>
      <w:r w:rsidR="00585740" w:rsidRPr="00BC5E5D">
        <w:rPr>
          <w:rFonts w:asciiTheme="minorBidi" w:hAnsiTheme="minorBidi"/>
          <w:sz w:val="22"/>
          <w:szCs w:val="22"/>
        </w:rPr>
        <w:t xml:space="preserve">efore the COVID-19 pandemic, e-learning was generally defined as a supplementary or alternative mode of instruction that used digital platforms, multimedia resources, and online courses to enhance traditional classroom learning. It was often optional and associated with flexibility, efficiency, and broader access, particularly in higher education and corporate training, with tools like learning management systems, MOOCs, and self-paced tutorials. </w:t>
      </w:r>
      <w:r w:rsidR="00C40B81" w:rsidRPr="00BC5E5D">
        <w:rPr>
          <w:rFonts w:asciiTheme="minorBidi" w:hAnsiTheme="minorBidi"/>
          <w:sz w:val="22"/>
          <w:szCs w:val="22"/>
        </w:rPr>
        <w:t xml:space="preserve"> It is important to review the literature available after </w:t>
      </w:r>
      <w:r w:rsidR="007746D1" w:rsidRPr="00BC5E5D">
        <w:rPr>
          <w:rFonts w:asciiTheme="minorBidi" w:hAnsiTheme="minorBidi"/>
          <w:sz w:val="22"/>
          <w:szCs w:val="22"/>
        </w:rPr>
        <w:t xml:space="preserve">COVID-19 to see the changes in eLearning definition. </w:t>
      </w:r>
    </w:p>
    <w:p w14:paraId="6A5DFC01" w14:textId="77777777" w:rsidR="007E6AF2" w:rsidRPr="00BC5E5D" w:rsidRDefault="007E6AF2" w:rsidP="00BC5E5D">
      <w:pPr>
        <w:spacing w:line="360" w:lineRule="auto"/>
        <w:jc w:val="both"/>
        <w:rPr>
          <w:rFonts w:asciiTheme="minorBidi" w:hAnsiTheme="minorBidi"/>
          <w:sz w:val="22"/>
          <w:szCs w:val="22"/>
        </w:rPr>
      </w:pPr>
    </w:p>
    <w:p w14:paraId="01646BE3" w14:textId="1C2439B4" w:rsidR="00D35A46" w:rsidRDefault="0D4F9DD8" w:rsidP="004C2172">
      <w:pPr>
        <w:pStyle w:val="Heading3"/>
      </w:pPr>
      <w:bookmarkStart w:id="39" w:name="_Toc218503266"/>
      <w:r>
        <w:lastRenderedPageBreak/>
        <w:t xml:space="preserve"> </w:t>
      </w:r>
      <w:bookmarkStart w:id="40" w:name="_Toc218504091"/>
      <w:r w:rsidR="011C0FA9">
        <w:t>E-Learning Definition</w:t>
      </w:r>
      <w:commentRangeStart w:id="41"/>
      <w:r w:rsidR="011C0FA9">
        <w:t>s (</w:t>
      </w:r>
      <w:r w:rsidR="4D3752BD">
        <w:t>After Covid Pandemic</w:t>
      </w:r>
      <w:r w:rsidR="011C0FA9">
        <w:t>)</w:t>
      </w:r>
      <w:commentRangeEnd w:id="41"/>
      <w:r w:rsidR="00DE3604">
        <w:rPr>
          <w:rStyle w:val="CommentReference"/>
        </w:rPr>
        <w:commentReference w:id="41"/>
      </w:r>
      <w:bookmarkEnd w:id="39"/>
      <w:bookmarkEnd w:id="40"/>
    </w:p>
    <w:p w14:paraId="3062B350" w14:textId="77777777" w:rsidR="00A2678D" w:rsidRDefault="00A2678D" w:rsidP="00A2678D"/>
    <w:p w14:paraId="08B63A17" w14:textId="62FE7CFE" w:rsidR="00A2678D" w:rsidRPr="00A2678D" w:rsidRDefault="00A2678D" w:rsidP="00A2678D">
      <w:pPr>
        <w:spacing w:line="360" w:lineRule="auto"/>
        <w:jc w:val="both"/>
        <w:rPr>
          <w:rFonts w:asciiTheme="minorBidi" w:hAnsiTheme="minorBidi"/>
        </w:rPr>
      </w:pPr>
      <w:r w:rsidRPr="00A2678D">
        <w:rPr>
          <w:rFonts w:asciiTheme="minorBidi" w:hAnsiTheme="minorBidi"/>
        </w:rPr>
        <w:t>E-learning changed fundamentally after the COVID-19 pandemic, as the emergency transition to remote education accelerated the global adoption of digital learning technologies and permanently reshaped teaching and learning practices. During school and university closures, institutions rapidly implemented online platforms, video conferencing, and learning management systems, which normalized e-learning at an unprecedented scale and increased digital literacy among both educators and students (UNESCO, 2020). Research shows that this shift led to long-term structural changes, including the widespread use of hybrid and blended learning models, greater emphasis on flexibility and self-paced learning, and sustained institutional investment in educational technology beyond the pandemic period (OECD, 2021; Dhawan, 2020).</w:t>
      </w:r>
    </w:p>
    <w:p w14:paraId="048B8616"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1. UNESCO (2020)</w:t>
      </w:r>
    </w:p>
    <w:p w14:paraId="77A3AA52"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“E-learning is an umbrella term referring to the use of any digital device or multimedia resource for teaching and learning, especially for delivering or accessing instructional content.”</w:t>
      </w:r>
    </w:p>
    <w:p w14:paraId="5CC9F731"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2. World Bank Education Global Practice (2020)</w:t>
      </w:r>
    </w:p>
    <w:p w14:paraId="4B1D06DD"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E-learning is defined as “the use of digital platforms, online tools, and internet-based resources to support formal and informal learning remotely.”</w:t>
      </w:r>
    </w:p>
    <w:p w14:paraId="339D33FD"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3. OECD Education Policy Outlook (2020)</w:t>
      </w:r>
    </w:p>
    <w:p w14:paraId="30E0335F"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E-learning refers to “instruction delivered or supported through digital technologies that enable learners to access content, interact, and engage in learning activities at a distance.”</w:t>
      </w:r>
    </w:p>
    <w:p w14:paraId="241FA1C6"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4. Hodges et al. (2020) – Educause Review</w:t>
      </w:r>
    </w:p>
    <w:p w14:paraId="6C8DEFBC"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E-learning is described as “instruction using digital tools and online platforms designed to promote intentional, structured learning, either synchronously or asynchronously.”</w:t>
      </w:r>
    </w:p>
    <w:p w14:paraId="1C32F217"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5. Sun et al. (2020) – Computers &amp; Education</w:t>
      </w:r>
    </w:p>
    <w:p w14:paraId="697E1A52"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E-learning is defined as “learning mediated through digital technologies and online systems that support communication, content delivery, and learner engagement.”</w:t>
      </w:r>
    </w:p>
    <w:p w14:paraId="25C49DF2"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 xml:space="preserve">6. Hamilton et al. (2020) – </w:t>
      </w:r>
      <w:r w:rsidRPr="00031F05">
        <w:rPr>
          <w:rFonts w:asciiTheme="minorBidi" w:hAnsiTheme="minorBidi"/>
          <w:i/>
          <w:iCs/>
          <w:sz w:val="22"/>
          <w:szCs w:val="22"/>
        </w:rPr>
        <w:t>Educational Technology Research &amp; Development</w:t>
      </w:r>
    </w:p>
    <w:p w14:paraId="02EC24CF"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E-learning is “the integration of online platforms, digital media, and communication tools to create structured learning experiences accessible from any location.”</w:t>
      </w:r>
    </w:p>
    <w:p w14:paraId="384CCF26"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lastRenderedPageBreak/>
        <w:t>7. Al-Qahtani &amp; Higgins (2021)</w:t>
      </w:r>
    </w:p>
    <w:p w14:paraId="75B3B640"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E-learning is defined as “a mode of learning where electronic technologies, primarily the internet, are used to access curriculum, interact with instructors, and participate in learning activities.”</w:t>
      </w:r>
    </w:p>
    <w:p w14:paraId="0A63B71B"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8. Dhawan (2020) – Journal of Educational Technology Systems</w:t>
      </w:r>
    </w:p>
    <w:p w14:paraId="2E74320B"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“E-learning refers to learning supported by ICT tools, where teaching and learning take place online using digital platforms and internet-based technologies.”</w:t>
      </w:r>
    </w:p>
    <w:p w14:paraId="3AB0A26B"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9. Basilaia &amp; Kvavadze (2020) – International Journal of Research in Education and Science</w:t>
      </w:r>
    </w:p>
    <w:p w14:paraId="2553B538"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E-learning is “learning that occurs through online environments, enabling remote access to content, communication, and collaborative activities.”</w:t>
      </w:r>
    </w:p>
    <w:p w14:paraId="175BF0B9"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10. Baticulon et al. (2021) – Medical Education Online</w:t>
      </w:r>
    </w:p>
    <w:p w14:paraId="3D2EB8B5" w14:textId="77777777"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E-learning is described as “any form of learning delivered electronically, typically via the internet, using online platforms, multimedia resources, and communication tools.”</w:t>
      </w:r>
    </w:p>
    <w:p w14:paraId="4470C6E1" w14:textId="062E0FAC" w:rsidR="00D35A46" w:rsidRPr="00031F05" w:rsidRDefault="00D35A46" w:rsidP="00BC5E5D">
      <w:pPr>
        <w:spacing w:line="360" w:lineRule="auto"/>
        <w:jc w:val="both"/>
        <w:rPr>
          <w:rFonts w:asciiTheme="minorBidi" w:hAnsiTheme="minorBidi"/>
          <w:sz w:val="22"/>
          <w:szCs w:val="22"/>
        </w:rPr>
      </w:pPr>
    </w:p>
    <w:p w14:paraId="1C392EDB" w14:textId="361A2B2C" w:rsidR="00D35A46" w:rsidRPr="00031F05" w:rsidRDefault="00D35A46" w:rsidP="00BC5E5D">
      <w:pPr>
        <w:spacing w:line="360" w:lineRule="auto"/>
        <w:jc w:val="both"/>
        <w:rPr>
          <w:rFonts w:asciiTheme="minorBidi" w:hAnsiTheme="minorBidi"/>
          <w:sz w:val="22"/>
          <w:szCs w:val="22"/>
        </w:rPr>
      </w:pPr>
      <w:r w:rsidRPr="00031F05">
        <w:rPr>
          <w:rFonts w:asciiTheme="minorBidi" w:hAnsiTheme="minorBidi"/>
          <w:sz w:val="22"/>
          <w:szCs w:val="22"/>
        </w:rPr>
        <w:t>Between , definitions of e-learning</w:t>
      </w:r>
      <w:r w:rsidR="004B7BCA" w:rsidRPr="00031F05">
        <w:rPr>
          <w:rFonts w:asciiTheme="minorBidi" w:hAnsiTheme="minorBidi"/>
          <w:sz w:val="22"/>
          <w:szCs w:val="22"/>
        </w:rPr>
        <w:t xml:space="preserve"> from 2020 to 2022</w:t>
      </w:r>
      <w:r w:rsidRPr="00031F05">
        <w:rPr>
          <w:rFonts w:asciiTheme="minorBidi" w:hAnsiTheme="minorBidi"/>
          <w:sz w:val="22"/>
          <w:szCs w:val="22"/>
        </w:rPr>
        <w:t xml:space="preserve"> strongly emphasize:</w:t>
      </w:r>
    </w:p>
    <w:p w14:paraId="58C74692" w14:textId="77777777" w:rsidR="00D35A46" w:rsidRPr="00D35A46" w:rsidRDefault="00D35A46" w:rsidP="00CA68CD">
      <w:pPr>
        <w:numPr>
          <w:ilvl w:val="0"/>
          <w:numId w:val="6"/>
        </w:numPr>
        <w:spacing w:line="360" w:lineRule="auto"/>
        <w:jc w:val="both"/>
        <w:rPr>
          <w:rFonts w:asciiTheme="minorBidi" w:hAnsiTheme="minorBidi"/>
          <w:sz w:val="22"/>
          <w:szCs w:val="22"/>
        </w:rPr>
      </w:pPr>
      <w:r w:rsidRPr="00D35A46">
        <w:rPr>
          <w:rFonts w:asciiTheme="minorBidi" w:hAnsiTheme="minorBidi"/>
          <w:sz w:val="22"/>
          <w:szCs w:val="22"/>
        </w:rPr>
        <w:t>remote accessibility (learning from anywhere)</w:t>
      </w:r>
    </w:p>
    <w:p w14:paraId="6FEB4606" w14:textId="77777777" w:rsidR="00D35A46" w:rsidRPr="00D35A46" w:rsidRDefault="00D35A46" w:rsidP="00CA68CD">
      <w:pPr>
        <w:numPr>
          <w:ilvl w:val="0"/>
          <w:numId w:val="6"/>
        </w:numPr>
        <w:spacing w:line="360" w:lineRule="auto"/>
        <w:jc w:val="both"/>
        <w:rPr>
          <w:rFonts w:asciiTheme="minorBidi" w:hAnsiTheme="minorBidi"/>
          <w:sz w:val="22"/>
          <w:szCs w:val="22"/>
        </w:rPr>
      </w:pPr>
      <w:r w:rsidRPr="00D35A46">
        <w:rPr>
          <w:rFonts w:asciiTheme="minorBidi" w:hAnsiTheme="minorBidi"/>
          <w:sz w:val="22"/>
          <w:szCs w:val="22"/>
        </w:rPr>
        <w:t>use of digital technologies and online systems</w:t>
      </w:r>
    </w:p>
    <w:p w14:paraId="2FEA3F1B" w14:textId="77777777" w:rsidR="00D35A46" w:rsidRPr="00D35A46" w:rsidRDefault="00D35A46" w:rsidP="00CA68CD">
      <w:pPr>
        <w:numPr>
          <w:ilvl w:val="0"/>
          <w:numId w:val="6"/>
        </w:numPr>
        <w:spacing w:line="360" w:lineRule="auto"/>
        <w:jc w:val="both"/>
        <w:rPr>
          <w:rFonts w:asciiTheme="minorBidi" w:hAnsiTheme="minorBidi"/>
          <w:sz w:val="22"/>
          <w:szCs w:val="22"/>
        </w:rPr>
      </w:pPr>
      <w:r w:rsidRPr="00D35A46">
        <w:rPr>
          <w:rFonts w:asciiTheme="minorBidi" w:hAnsiTheme="minorBidi"/>
          <w:sz w:val="22"/>
          <w:szCs w:val="22"/>
        </w:rPr>
        <w:t>interaction and communication</w:t>
      </w:r>
    </w:p>
    <w:p w14:paraId="4883AA14" w14:textId="77777777" w:rsidR="00D35A46" w:rsidRPr="00D35A46" w:rsidRDefault="00D35A46" w:rsidP="00CA68CD">
      <w:pPr>
        <w:numPr>
          <w:ilvl w:val="0"/>
          <w:numId w:val="6"/>
        </w:numPr>
        <w:spacing w:line="360" w:lineRule="auto"/>
        <w:jc w:val="both"/>
        <w:rPr>
          <w:rFonts w:asciiTheme="minorBidi" w:hAnsiTheme="minorBidi"/>
          <w:sz w:val="22"/>
          <w:szCs w:val="22"/>
        </w:rPr>
      </w:pPr>
      <w:r w:rsidRPr="00D35A46">
        <w:rPr>
          <w:rFonts w:asciiTheme="minorBidi" w:hAnsiTheme="minorBidi"/>
          <w:sz w:val="22"/>
          <w:szCs w:val="22"/>
        </w:rPr>
        <w:t>structured online instructional design</w:t>
      </w:r>
    </w:p>
    <w:p w14:paraId="7E208EBD" w14:textId="77777777" w:rsidR="00D35A46" w:rsidRPr="00D35A46" w:rsidRDefault="00D35A46" w:rsidP="00CA68CD">
      <w:pPr>
        <w:numPr>
          <w:ilvl w:val="0"/>
          <w:numId w:val="6"/>
        </w:numPr>
        <w:spacing w:line="360" w:lineRule="auto"/>
        <w:jc w:val="both"/>
        <w:rPr>
          <w:rFonts w:asciiTheme="minorBidi" w:hAnsiTheme="minorBidi"/>
          <w:sz w:val="22"/>
          <w:szCs w:val="22"/>
        </w:rPr>
      </w:pPr>
      <w:r w:rsidRPr="00D35A46">
        <w:rPr>
          <w:rFonts w:asciiTheme="minorBidi" w:hAnsiTheme="minorBidi"/>
          <w:sz w:val="22"/>
          <w:szCs w:val="22"/>
        </w:rPr>
        <w:t>multimedia-supported content delivery</w:t>
      </w:r>
    </w:p>
    <w:p w14:paraId="4210E1D2" w14:textId="77777777" w:rsidR="00D35A46" w:rsidRPr="00D35A46" w:rsidRDefault="00D35A46" w:rsidP="00BC5E5D">
      <w:pPr>
        <w:spacing w:line="360" w:lineRule="auto"/>
        <w:jc w:val="both"/>
        <w:rPr>
          <w:rFonts w:asciiTheme="minorBidi" w:hAnsiTheme="minorBidi"/>
          <w:sz w:val="22"/>
          <w:szCs w:val="22"/>
        </w:rPr>
      </w:pPr>
      <w:r w:rsidRPr="00D35A46">
        <w:rPr>
          <w:rFonts w:asciiTheme="minorBidi" w:hAnsiTheme="minorBidi"/>
          <w:sz w:val="22"/>
          <w:szCs w:val="22"/>
        </w:rPr>
        <w:t>These definitions reflect the rapid global shift to online education during the COVID-19 pandemic.</w:t>
      </w:r>
    </w:p>
    <w:p w14:paraId="4E8FD544" w14:textId="29FA98C9" w:rsidR="00463A7D" w:rsidRPr="00BC5E5D" w:rsidRDefault="007D7616" w:rsidP="00BC5E5D">
      <w:pPr>
        <w:spacing w:line="360" w:lineRule="auto"/>
        <w:jc w:val="both"/>
        <w:rPr>
          <w:rFonts w:asciiTheme="minorBidi" w:hAnsiTheme="minorBidi"/>
          <w:sz w:val="22"/>
          <w:szCs w:val="22"/>
        </w:rPr>
      </w:pPr>
      <w:r w:rsidRPr="00BC5E5D">
        <w:rPr>
          <w:rFonts w:asciiTheme="minorBidi" w:hAnsiTheme="minorBidi"/>
          <w:sz w:val="22"/>
          <w:szCs w:val="22"/>
        </w:rPr>
        <w:t xml:space="preserve">Moreover, </w:t>
      </w:r>
      <w:r w:rsidR="00463A7D" w:rsidRPr="00BC5E5D">
        <w:rPr>
          <w:rFonts w:asciiTheme="minorBidi" w:hAnsiTheme="minorBidi"/>
          <w:sz w:val="22"/>
          <w:szCs w:val="22"/>
        </w:rPr>
        <w:t xml:space="preserve">Gumantan, Nugroho &amp; Yuliandra (2021) </w:t>
      </w:r>
      <w:r w:rsidR="00C1273F" w:rsidRPr="00BC5E5D">
        <w:rPr>
          <w:rFonts w:asciiTheme="minorBidi" w:hAnsiTheme="minorBidi"/>
          <w:sz w:val="22"/>
          <w:szCs w:val="22"/>
        </w:rPr>
        <w:t xml:space="preserve">define e-learning primarily as a non–face-to-face or remote mode of instruction that relies on digital technology to deliver content, manage learning, and facilitate interaction through tools such as slides, videos, and discussion forums. Unlike many pre-COVID definitions, which often described e-learning as an optional, supplementary, or blended approach designed to enhance flexibility and extend traditional classrooms, the authors frame it as a necessary substitute for in-person learning during the pandemic. Their focus is less on pedagogy, instructional design, or accessibility, and more on the effectiveness of this emergency shift, measured through student performance and exam </w:t>
      </w:r>
      <w:r w:rsidR="00C1273F" w:rsidRPr="00BC5E5D">
        <w:rPr>
          <w:rFonts w:asciiTheme="minorBidi" w:hAnsiTheme="minorBidi"/>
          <w:sz w:val="22"/>
          <w:szCs w:val="22"/>
        </w:rPr>
        <w:lastRenderedPageBreak/>
        <w:t>results. Thus, while their definition aligns with the broader understanding of technology-mediated education, it reflects the pandemic context by portraying e-learning as a compulsory, outcome-focused response rather than a planned or innovative enhancement to conventional teaching.</w:t>
      </w:r>
    </w:p>
    <w:p w14:paraId="749EE784" w14:textId="362EBC46" w:rsidR="00870FDB" w:rsidRPr="00BC5E5D" w:rsidRDefault="00870FDB" w:rsidP="00BC5E5D">
      <w:pPr>
        <w:spacing w:line="360" w:lineRule="auto"/>
        <w:jc w:val="both"/>
        <w:rPr>
          <w:rFonts w:asciiTheme="minorBidi" w:hAnsiTheme="minorBidi"/>
          <w:sz w:val="22"/>
          <w:szCs w:val="22"/>
        </w:rPr>
      </w:pPr>
      <w:r w:rsidRPr="00BC5E5D">
        <w:rPr>
          <w:rFonts w:asciiTheme="minorBidi" w:hAnsiTheme="minorBidi"/>
          <w:sz w:val="22"/>
          <w:szCs w:val="22"/>
        </w:rPr>
        <w:t xml:space="preserve">Gligorea et al. (2023) treat e-learning as an environment/platform where adaptive learning is enabled through the integration of artificial intelligence (AI) and machine learning (ML).Adaptive learning means the system dynamically personalizes the learning experience for each student: adjusting content, sequencing, pace, instructional strategies, feedback, etc., based on data about the learner (performance, engagement, preferences).The review emphasizes “real-time” adjustments, using learner data (assessment results, interactions, progress tracking) to tailor what is delivered, how, and when. </w:t>
      </w:r>
      <w:commentRangeStart w:id="42"/>
      <w:r w:rsidRPr="00BC5E5D">
        <w:rPr>
          <w:rFonts w:asciiTheme="minorBidi" w:hAnsiTheme="minorBidi"/>
          <w:sz w:val="22"/>
          <w:szCs w:val="22"/>
        </w:rPr>
        <w:t xml:space="preserve">Gumantan et al. (2021) define e-learning more as the non-face-to-face mode enforced by COVID, using digital content (videos, slides, discussion, etc.), </w:t>
      </w:r>
      <w:commentRangeEnd w:id="42"/>
      <w:r w:rsidRPr="00BC5E5D">
        <w:rPr>
          <w:rStyle w:val="CommentReference"/>
          <w:rFonts w:asciiTheme="minorBidi" w:hAnsiTheme="minorBidi"/>
          <w:sz w:val="22"/>
          <w:szCs w:val="22"/>
        </w:rPr>
        <w:commentReference w:id="42"/>
      </w:r>
      <w:r w:rsidRPr="00BC5E5D">
        <w:rPr>
          <w:rFonts w:asciiTheme="minorBidi" w:hAnsiTheme="minorBidi"/>
          <w:sz w:val="22"/>
          <w:szCs w:val="22"/>
        </w:rPr>
        <w:t>again comparing its effectiveness. Their definition presumes content delivery and online interaction, but not necessarily changing that content dynamically per learner.</w:t>
      </w:r>
      <w:r w:rsidR="00537E94" w:rsidRPr="00BC5E5D">
        <w:rPr>
          <w:rFonts w:asciiTheme="minorBidi" w:hAnsiTheme="minorBidi"/>
          <w:sz w:val="22"/>
          <w:szCs w:val="22"/>
        </w:rPr>
        <w:t xml:space="preserve"> </w:t>
      </w:r>
      <w:r w:rsidRPr="00BC5E5D">
        <w:rPr>
          <w:rFonts w:asciiTheme="minorBidi" w:hAnsiTheme="minorBidi"/>
          <w:sz w:val="22"/>
          <w:szCs w:val="22"/>
        </w:rPr>
        <w:t>Gligorea et al.</w:t>
      </w:r>
      <w:r w:rsidR="00A14C15" w:rsidRPr="00BC5E5D">
        <w:rPr>
          <w:rFonts w:asciiTheme="minorBidi" w:hAnsiTheme="minorBidi"/>
          <w:sz w:val="22"/>
          <w:szCs w:val="22"/>
        </w:rPr>
        <w:t>(2023)</w:t>
      </w:r>
      <w:r w:rsidRPr="00BC5E5D">
        <w:rPr>
          <w:rFonts w:asciiTheme="minorBidi" w:hAnsiTheme="minorBidi"/>
          <w:sz w:val="22"/>
          <w:szCs w:val="22"/>
        </w:rPr>
        <w:t xml:space="preserve"> explicitly include AI/ML and adaptive learning as central to their definition: the idea that the system changes in response to learner data. This is a more advanced / newer framing that wasn’t present (or at least not central) in the earlier works.</w:t>
      </w:r>
      <w:r w:rsidRPr="00BC5E5D">
        <w:rPr>
          <w:rFonts w:asciiTheme="minorBidi" w:hAnsiTheme="minorBidi"/>
          <w:sz w:val="22"/>
          <w:szCs w:val="22"/>
        </w:rPr>
        <w:br/>
        <w:t>Gligorea et al</w:t>
      </w:r>
      <w:r w:rsidR="008B0699" w:rsidRPr="00BC5E5D">
        <w:rPr>
          <w:rFonts w:asciiTheme="minorBidi" w:hAnsiTheme="minorBidi"/>
          <w:sz w:val="22"/>
          <w:szCs w:val="22"/>
        </w:rPr>
        <w:t>. (</w:t>
      </w:r>
      <w:r w:rsidR="00511509" w:rsidRPr="00BC5E5D">
        <w:rPr>
          <w:rFonts w:asciiTheme="minorBidi" w:hAnsiTheme="minorBidi"/>
          <w:sz w:val="22"/>
          <w:szCs w:val="22"/>
        </w:rPr>
        <w:t>2023)</w:t>
      </w:r>
      <w:r w:rsidRPr="00BC5E5D">
        <w:rPr>
          <w:rFonts w:asciiTheme="minorBidi" w:hAnsiTheme="minorBidi"/>
          <w:sz w:val="22"/>
          <w:szCs w:val="22"/>
        </w:rPr>
        <w:t>’s definition reflects more recent technological possibilities: machine learning, adaptive algorithms, personalization, etc. The earlier studies are more about implementing e-learning broadly, whether it works in terms of achievement or attitudes, especially under pandemic conditions, rather than about optimizing or refining the learning path to each student.</w:t>
      </w:r>
      <w:r w:rsidR="00310837" w:rsidRPr="00BC5E5D">
        <w:rPr>
          <w:rFonts w:asciiTheme="minorBidi" w:hAnsiTheme="minorBidi"/>
          <w:sz w:val="22"/>
          <w:szCs w:val="22"/>
        </w:rPr>
        <w:t xml:space="preserve"> </w:t>
      </w:r>
      <w:r w:rsidRPr="00BC5E5D">
        <w:rPr>
          <w:rFonts w:asciiTheme="minorBidi" w:hAnsiTheme="minorBidi"/>
          <w:sz w:val="22"/>
          <w:szCs w:val="22"/>
        </w:rPr>
        <w:t>Gligorea et al</w:t>
      </w:r>
      <w:r w:rsidR="008B0699" w:rsidRPr="00BC5E5D">
        <w:rPr>
          <w:rFonts w:asciiTheme="minorBidi" w:hAnsiTheme="minorBidi"/>
          <w:sz w:val="22"/>
          <w:szCs w:val="22"/>
        </w:rPr>
        <w:t>. (</w:t>
      </w:r>
      <w:r w:rsidR="001E5BF5" w:rsidRPr="00BC5E5D">
        <w:rPr>
          <w:rFonts w:asciiTheme="minorBidi" w:hAnsiTheme="minorBidi"/>
          <w:sz w:val="22"/>
          <w:szCs w:val="22"/>
        </w:rPr>
        <w:t>2023) provides</w:t>
      </w:r>
      <w:r w:rsidRPr="00BC5E5D">
        <w:rPr>
          <w:rFonts w:asciiTheme="minorBidi" w:hAnsiTheme="minorBidi"/>
          <w:sz w:val="22"/>
          <w:szCs w:val="22"/>
        </w:rPr>
        <w:t xml:space="preserve"> more advanced, more personalized, and uses more sophisticated technology (AI/ML) to adapt the learning process in real time. Earlier definitions (Aljaser</w:t>
      </w:r>
      <w:r w:rsidR="001E5BF5" w:rsidRPr="00BC5E5D">
        <w:rPr>
          <w:rFonts w:asciiTheme="minorBidi" w:hAnsiTheme="minorBidi"/>
          <w:sz w:val="22"/>
          <w:szCs w:val="22"/>
        </w:rPr>
        <w:t>, 2019</w:t>
      </w:r>
      <w:r w:rsidRPr="00BC5E5D">
        <w:rPr>
          <w:rFonts w:asciiTheme="minorBidi" w:hAnsiTheme="minorBidi"/>
          <w:sz w:val="22"/>
          <w:szCs w:val="22"/>
        </w:rPr>
        <w:t>, Gumantan</w:t>
      </w:r>
      <w:r w:rsidR="000A406A" w:rsidRPr="00BC5E5D">
        <w:rPr>
          <w:rFonts w:asciiTheme="minorBidi" w:hAnsiTheme="minorBidi"/>
          <w:sz w:val="22"/>
          <w:szCs w:val="22"/>
        </w:rPr>
        <w:t>(2021)</w:t>
      </w:r>
      <w:r w:rsidRPr="00BC5E5D">
        <w:rPr>
          <w:rFonts w:asciiTheme="minorBidi" w:hAnsiTheme="minorBidi"/>
          <w:sz w:val="22"/>
          <w:szCs w:val="22"/>
        </w:rPr>
        <w:t>) saw e-learning more as an alternative mode (or emergency necessity), with fixed or broadly applied materials and methods, whereas Gligorea et al</w:t>
      </w:r>
      <w:r w:rsidR="008B0699" w:rsidRPr="00BC5E5D">
        <w:rPr>
          <w:rFonts w:asciiTheme="minorBidi" w:hAnsiTheme="minorBidi"/>
          <w:sz w:val="22"/>
          <w:szCs w:val="22"/>
        </w:rPr>
        <w:t>. (</w:t>
      </w:r>
      <w:r w:rsidR="000A406A" w:rsidRPr="00BC5E5D">
        <w:rPr>
          <w:rFonts w:asciiTheme="minorBidi" w:hAnsiTheme="minorBidi"/>
          <w:sz w:val="22"/>
          <w:szCs w:val="22"/>
        </w:rPr>
        <w:t>2023)</w:t>
      </w:r>
      <w:r w:rsidRPr="00BC5E5D">
        <w:rPr>
          <w:rFonts w:asciiTheme="minorBidi" w:hAnsiTheme="minorBidi"/>
          <w:sz w:val="22"/>
          <w:szCs w:val="22"/>
        </w:rPr>
        <w:t xml:space="preserve"> see e-learning as potentially highly customized, responsive, and adaptive.</w:t>
      </w:r>
    </w:p>
    <w:p w14:paraId="5664C2F8" w14:textId="46F143C5" w:rsidR="00852F42" w:rsidRPr="00BC5E5D" w:rsidRDefault="00852F42" w:rsidP="00BC5E5D">
      <w:pPr>
        <w:spacing w:line="360" w:lineRule="auto"/>
        <w:jc w:val="both"/>
        <w:rPr>
          <w:rFonts w:asciiTheme="minorBidi" w:hAnsiTheme="minorBidi"/>
          <w:sz w:val="22"/>
          <w:szCs w:val="22"/>
        </w:rPr>
      </w:pPr>
      <w:commentRangeStart w:id="43"/>
      <w:r w:rsidRPr="00BC5E5D">
        <w:rPr>
          <w:rFonts w:asciiTheme="minorBidi" w:hAnsiTheme="minorBidi"/>
          <w:sz w:val="22"/>
          <w:szCs w:val="22"/>
        </w:rPr>
        <w:t xml:space="preserve">E-learning </w:t>
      </w:r>
      <w:r w:rsidR="005D5C20" w:rsidRPr="00BC5E5D">
        <w:rPr>
          <w:rFonts w:asciiTheme="minorBidi" w:hAnsiTheme="minorBidi"/>
          <w:sz w:val="22"/>
          <w:szCs w:val="22"/>
        </w:rPr>
        <w:t>creates</w:t>
      </w:r>
      <w:r w:rsidRPr="00BC5E5D">
        <w:rPr>
          <w:rFonts w:asciiTheme="minorBidi" w:hAnsiTheme="minorBidi"/>
          <w:sz w:val="22"/>
          <w:szCs w:val="22"/>
        </w:rPr>
        <w:t xml:space="preserve"> a special educational environment.</w:t>
      </w:r>
      <w:commentRangeEnd w:id="43"/>
      <w:r w:rsidRPr="00BC5E5D">
        <w:rPr>
          <w:rStyle w:val="CommentReference"/>
          <w:rFonts w:asciiTheme="minorBidi" w:hAnsiTheme="minorBidi"/>
          <w:sz w:val="22"/>
          <w:szCs w:val="22"/>
        </w:rPr>
        <w:commentReference w:id="43"/>
      </w:r>
      <w:r w:rsidRPr="00BC5E5D">
        <w:rPr>
          <w:rFonts w:asciiTheme="minorBidi" w:hAnsiTheme="minorBidi"/>
          <w:sz w:val="22"/>
          <w:szCs w:val="22"/>
        </w:rPr>
        <w:t xml:space="preserve"> The lack of presence of teachers and peers reduces the impact of social interaction. The existing social influence is carried out through communication mediated by technical means. At the same time, the student is in a familiar home environment, and immersion in an electronic educational environment requires the student’s own efforts. So, the value of self-regulation is increasing. Therefore, there is a need to reconsider the existing models of self-regulation and apply them to e-learning. The new learning format requires not only taking into account changing conditions but including factors that were not of great importance for self-regulation in the traditional learning format. Although similar trends are observed at all levels of education, the most extensive and studied experience is in higher education</w:t>
      </w:r>
      <w:r w:rsidR="00774125" w:rsidRPr="00BC5E5D">
        <w:rPr>
          <w:rFonts w:asciiTheme="minorBidi" w:hAnsiTheme="minorBidi"/>
          <w:sz w:val="22"/>
          <w:szCs w:val="22"/>
        </w:rPr>
        <w:t xml:space="preserve">. </w:t>
      </w:r>
    </w:p>
    <w:p w14:paraId="6B664F3A" w14:textId="4CF5091F" w:rsidR="00C40B81" w:rsidRPr="00BC5E5D" w:rsidRDefault="00C40B81" w:rsidP="00BC5E5D">
      <w:pPr>
        <w:spacing w:line="360" w:lineRule="auto"/>
        <w:jc w:val="both"/>
        <w:rPr>
          <w:rFonts w:asciiTheme="minorBidi" w:hAnsiTheme="minorBidi"/>
          <w:sz w:val="22"/>
          <w:szCs w:val="22"/>
        </w:rPr>
      </w:pPr>
      <w:r w:rsidRPr="00BC5E5D">
        <w:rPr>
          <w:rFonts w:asciiTheme="minorBidi" w:hAnsiTheme="minorBidi"/>
          <w:sz w:val="22"/>
          <w:szCs w:val="22"/>
        </w:rPr>
        <w:lastRenderedPageBreak/>
        <w:t>After COVID-19, however, the definition of e-learning shifted significantly as it became the primary mode of education delivery during global school</w:t>
      </w:r>
      <w:r w:rsidR="00774125" w:rsidRPr="00BC5E5D">
        <w:rPr>
          <w:rFonts w:asciiTheme="minorBidi" w:hAnsiTheme="minorBidi"/>
          <w:sz w:val="22"/>
          <w:szCs w:val="22"/>
        </w:rPr>
        <w:t xml:space="preserve">s and universities </w:t>
      </w:r>
      <w:r w:rsidRPr="00BC5E5D">
        <w:rPr>
          <w:rFonts w:asciiTheme="minorBidi" w:hAnsiTheme="minorBidi"/>
          <w:sz w:val="22"/>
          <w:szCs w:val="22"/>
        </w:rPr>
        <w:t>closures. No longer just an enhancement, it evolved into a necessity, incorporating both synchronous formats, such as live classes via platforms like Zoom or Teams, and asynchronous tools, while placing greater emphasis on interaction, digital pedagogy, equity, accessibility, and student well-being. As a result, e-learning is now more commonly understood as a comprehensive educational ecosystem that integrates digital content, online assessment, and virtual collaboration within hybrid and fully online models.</w:t>
      </w:r>
    </w:p>
    <w:p w14:paraId="31C0E8E6" w14:textId="5AB5890F" w:rsidR="00C055A6" w:rsidRPr="00BC5E5D" w:rsidRDefault="00C055A6" w:rsidP="00BC5E5D">
      <w:pPr>
        <w:spacing w:line="360" w:lineRule="auto"/>
        <w:jc w:val="both"/>
        <w:rPr>
          <w:rFonts w:asciiTheme="minorBidi" w:hAnsiTheme="minorBidi"/>
          <w:sz w:val="22"/>
          <w:szCs w:val="22"/>
        </w:rPr>
      </w:pPr>
    </w:p>
    <w:p w14:paraId="769C0BF2" w14:textId="675C930E" w:rsidR="00C055A6" w:rsidRPr="00BC5E5D" w:rsidRDefault="00C055A6" w:rsidP="00BC5E5D">
      <w:pPr>
        <w:spacing w:line="360" w:lineRule="auto"/>
        <w:jc w:val="both"/>
        <w:rPr>
          <w:rFonts w:asciiTheme="minorBidi" w:hAnsiTheme="minorBidi"/>
          <w:sz w:val="22"/>
          <w:szCs w:val="22"/>
        </w:rPr>
      </w:pPr>
      <w:r w:rsidRPr="00BC5E5D">
        <w:rPr>
          <w:rFonts w:asciiTheme="minorBidi" w:hAnsiTheme="minorBidi"/>
          <w:sz w:val="22"/>
          <w:szCs w:val="22"/>
        </w:rPr>
        <w:t>Overall, the literature demonstrates that the concept of e-learning has undergone a profound and continuous evolution, shaped by technological progress, pedagogical innovation, and global socio-educational shifts. Early definitions from the late 1990s and early 2000s emphasized computer-based training and online connectivity, gradually expanding to include blended learning, mobile learning, and collaborative digital environments. As scholars and practitioners introduced new tools, from LMS and CMS platforms to mobile and pervasive learning technologies, the term e-learning came to encompass a broad spectrum of instructional models, delivery modes, and learner experiences. These varying interpretations reflect not only differences in educational sectors, but also shifting priorities, ranging from flexibility and cost-efficiency in industry to interactivity, reflection, and collaboration in higher education.</w:t>
      </w:r>
    </w:p>
    <w:p w14:paraId="5B833D6C" w14:textId="77777777" w:rsidR="00C055A6" w:rsidRPr="00BC5E5D" w:rsidRDefault="00C055A6" w:rsidP="00BC5E5D">
      <w:pPr>
        <w:spacing w:line="360" w:lineRule="auto"/>
        <w:jc w:val="both"/>
        <w:rPr>
          <w:rFonts w:asciiTheme="minorBidi" w:hAnsiTheme="minorBidi"/>
          <w:sz w:val="22"/>
          <w:szCs w:val="22"/>
        </w:rPr>
      </w:pPr>
      <w:r w:rsidRPr="00BC5E5D">
        <w:rPr>
          <w:rFonts w:asciiTheme="minorBidi" w:hAnsiTheme="minorBidi"/>
          <w:sz w:val="22"/>
          <w:szCs w:val="22"/>
        </w:rPr>
        <w:t>The COVID-19 pandemic marked a turning point, transforming e-learning from an optional or supplementary mode into a compulsory solution for maintaining educational continuity. Post-pandemic scholarship no longer defines e-learning merely as technology-mediated instruction but increasingly as a comprehensive ecosystem integrating synchronous and asynchronous modalities, digital pedagogy, accessibility, and learner well-being. More recent definitions further incorporate artificial intelligence and adaptive technologies, framing e-learning as a personalized, data-driven environment capable of real-time adjustment to individual learner needs.</w:t>
      </w:r>
    </w:p>
    <w:p w14:paraId="75E13EDF" w14:textId="452F592B" w:rsidR="002907D0" w:rsidRPr="00BC5E5D" w:rsidRDefault="00C055A6" w:rsidP="00BC5E5D">
      <w:pPr>
        <w:spacing w:line="360" w:lineRule="auto"/>
        <w:jc w:val="both"/>
        <w:rPr>
          <w:rFonts w:asciiTheme="minorBidi" w:hAnsiTheme="minorBidi"/>
          <w:sz w:val="22"/>
          <w:szCs w:val="22"/>
        </w:rPr>
      </w:pPr>
      <w:r w:rsidRPr="00BC5E5D">
        <w:rPr>
          <w:rFonts w:asciiTheme="minorBidi" w:hAnsiTheme="minorBidi"/>
          <w:sz w:val="22"/>
          <w:szCs w:val="22"/>
        </w:rPr>
        <w:t>Despite these advancements, the literature reveals persistent variability and inconsistency in how e-learning is conceptualized, underscoring the complexity of a term that spans diverse tools, contexts, and theoretical perspectives. However, across decades of development, a unifying trend is evident: e-learning has shifted from being defined by the technologies that support it to being defined by the learning experiences it seeks to enable. As digital education continues to expand, the term e-learning is likely to remain dynamic, reflecting ongoing innovations and the evolving expectations of learners, educators, and institutions alike.</w:t>
      </w:r>
    </w:p>
    <w:p w14:paraId="799BDAEA" w14:textId="73CD00D7" w:rsidR="002907D0" w:rsidRPr="00BC5E5D" w:rsidRDefault="002907D0" w:rsidP="00BC5E5D">
      <w:pPr>
        <w:spacing w:line="360" w:lineRule="auto"/>
        <w:jc w:val="both"/>
        <w:rPr>
          <w:rFonts w:asciiTheme="minorBidi" w:hAnsiTheme="minorBidi"/>
          <w:sz w:val="22"/>
          <w:szCs w:val="22"/>
        </w:rPr>
      </w:pPr>
      <w:r w:rsidRPr="00BC5E5D">
        <w:rPr>
          <w:rFonts w:asciiTheme="minorBidi" w:hAnsiTheme="minorBidi"/>
          <w:sz w:val="22"/>
          <w:szCs w:val="22"/>
        </w:rPr>
        <w:lastRenderedPageBreak/>
        <w:t>E-learning is broadly conceptualized as the use of digital technologies and electronic media to support teaching and learning activities. In the literature, scholars describe e-learning not only as a delivery method but as a pedagogical system that integrates technology, instructional design, and learner interaction (e.g., Educational Technology / Instructional Design) (Mehanna, 2004; Ali et al., 2018; Giannakos et al., 2021).</w:t>
      </w:r>
    </w:p>
    <w:p w14:paraId="4B185EEF" w14:textId="1E2C89BD" w:rsidR="004F57D7" w:rsidRPr="00BC5E5D" w:rsidRDefault="004F57D7" w:rsidP="00BC5E5D">
      <w:pPr>
        <w:spacing w:line="360" w:lineRule="auto"/>
        <w:jc w:val="both"/>
        <w:rPr>
          <w:rFonts w:asciiTheme="minorBidi" w:hAnsiTheme="minorBidi"/>
          <w:sz w:val="22"/>
          <w:szCs w:val="22"/>
        </w:rPr>
      </w:pPr>
      <w:r w:rsidRPr="004F57D7">
        <w:rPr>
          <w:rFonts w:asciiTheme="minorBidi" w:hAnsiTheme="minorBidi"/>
          <w:sz w:val="22"/>
          <w:szCs w:val="22"/>
        </w:rPr>
        <w:t>Most definitions highlight that e-learning involves the use of computers, mobile devices, learning management systems (LMS), and internet-based tools to facilitate access to educational content. According to common academic perspectives, conceptualizing e-learning requires understanding it as a technology-enhanced learning environment that allows learners to access instructional materials anytime and anywhere, often supporting self-paced and flexible learning.</w:t>
      </w:r>
      <w:r w:rsidR="00153F7F" w:rsidRPr="00BC5E5D">
        <w:rPr>
          <w:rFonts w:asciiTheme="minorBidi" w:hAnsiTheme="minorBidi"/>
          <w:sz w:val="22"/>
          <w:szCs w:val="22"/>
        </w:rPr>
        <w:t xml:space="preserve"> </w:t>
      </w:r>
    </w:p>
    <w:p w14:paraId="5E7AD61F" w14:textId="5BCD8554" w:rsidR="009F64A9" w:rsidRPr="00BC5E5D" w:rsidRDefault="00DE3604" w:rsidP="004C2172">
      <w:pPr>
        <w:pStyle w:val="Heading2"/>
      </w:pPr>
      <w:bookmarkStart w:id="44" w:name="_Toc218503267"/>
      <w:r>
        <w:t xml:space="preserve"> </w:t>
      </w:r>
      <w:bookmarkStart w:id="45" w:name="_Toc218504092"/>
      <w:r w:rsidR="009F64A9" w:rsidRPr="00BC5E5D">
        <w:t>E-learning theoretical background</w:t>
      </w:r>
      <w:bookmarkEnd w:id="44"/>
      <w:bookmarkEnd w:id="45"/>
    </w:p>
    <w:p w14:paraId="6DD6DD66" w14:textId="20A6A57C" w:rsidR="001C456D" w:rsidRDefault="0D4F9DD8" w:rsidP="004C2172">
      <w:pPr>
        <w:pStyle w:val="Heading3"/>
      </w:pPr>
      <w:bookmarkStart w:id="46" w:name="_Toc218503268"/>
      <w:commentRangeStart w:id="47"/>
      <w:commentRangeStart w:id="48"/>
      <w:r>
        <w:t xml:space="preserve"> </w:t>
      </w:r>
      <w:bookmarkStart w:id="49" w:name="_Toc218504093"/>
      <w:r w:rsidR="2CAB7239">
        <w:t>Learning theories</w:t>
      </w:r>
      <w:commentRangeEnd w:id="47"/>
      <w:r w:rsidR="00DE3604">
        <w:rPr>
          <w:rStyle w:val="CommentReference"/>
        </w:rPr>
        <w:commentReference w:id="47"/>
      </w:r>
      <w:bookmarkEnd w:id="46"/>
      <w:bookmarkEnd w:id="49"/>
      <w:commentRangeEnd w:id="48"/>
      <w:r w:rsidR="00FB516B">
        <w:rPr>
          <w:rStyle w:val="CommentReference"/>
          <w:rFonts w:eastAsiaTheme="minorEastAsia" w:cstheme="minorBidi"/>
          <w:color w:val="auto"/>
        </w:rPr>
        <w:commentReference w:id="48"/>
      </w:r>
    </w:p>
    <w:p w14:paraId="739420BE" w14:textId="77777777" w:rsidR="00FE50EF" w:rsidRPr="00944857" w:rsidRDefault="00FE50EF" w:rsidP="00FE50EF">
      <w:pPr>
        <w:spacing w:line="360" w:lineRule="auto"/>
        <w:jc w:val="both"/>
        <w:rPr>
          <w:rFonts w:asciiTheme="minorBidi" w:hAnsiTheme="minorBidi"/>
        </w:rPr>
      </w:pPr>
      <w:r w:rsidRPr="00944857">
        <w:rPr>
          <w:rFonts w:asciiTheme="minorBidi" w:hAnsiTheme="minorBidi"/>
        </w:rPr>
        <w:t>Learning theories provide the conceptual foundation for understanding how individuals acquire knowledge, develop skills, and engage with professional learning environments. In the context of eLearning for Continuous Professional Development (CPD) among academics, learning theories are particularly important as they inform the design, delivery, and evaluation of technology-mediated learning experiences. This section reviews key learning theories that underpin adult and professional learning in higher education, with particular emphasis on their relevance to eLearning.</w:t>
      </w:r>
    </w:p>
    <w:p w14:paraId="14B913FC" w14:textId="77777777" w:rsidR="00FE50EF" w:rsidRPr="00944857" w:rsidRDefault="00FE50EF" w:rsidP="00FE50EF">
      <w:pPr>
        <w:spacing w:line="360" w:lineRule="auto"/>
        <w:jc w:val="both"/>
        <w:rPr>
          <w:rFonts w:asciiTheme="minorBidi" w:hAnsiTheme="minorBidi"/>
        </w:rPr>
      </w:pPr>
      <w:r w:rsidRPr="00944857">
        <w:rPr>
          <w:rFonts w:asciiTheme="minorBidi" w:hAnsiTheme="minorBidi"/>
        </w:rPr>
        <w:t>Behaviourism is one of the earliest learning theories, emphasising observable changes in behaviour resulting from external stimuli and reinforcement (Skinner, 1953). Learning is viewed as a response to environmental inputs, with rewards and feedback reinforcing desired behaviours</w:t>
      </w:r>
      <w:r>
        <w:rPr>
          <w:rFonts w:asciiTheme="minorBidi" w:hAnsiTheme="minorBidi"/>
        </w:rPr>
        <w:t>(</w:t>
      </w:r>
      <w:r w:rsidRPr="00F84900">
        <w:rPr>
          <w:rFonts w:asciiTheme="minorBidi" w:hAnsiTheme="minorBidi"/>
        </w:rPr>
        <w:t>Burhanuddin</w:t>
      </w:r>
      <w:r>
        <w:rPr>
          <w:rFonts w:asciiTheme="minorBidi" w:hAnsiTheme="minorBidi"/>
        </w:rPr>
        <w:t xml:space="preserve"> et al</w:t>
      </w:r>
      <w:r w:rsidRPr="00F84900">
        <w:rPr>
          <w:rFonts w:asciiTheme="minorBidi" w:hAnsiTheme="minorBidi"/>
        </w:rPr>
        <w:t>., 2021</w:t>
      </w:r>
      <w:r>
        <w:rPr>
          <w:rFonts w:asciiTheme="minorBidi" w:hAnsiTheme="minorBidi"/>
        </w:rPr>
        <w:t>)</w:t>
      </w:r>
      <w:r w:rsidRPr="00944857">
        <w:rPr>
          <w:rFonts w:asciiTheme="minorBidi" w:hAnsiTheme="minorBidi"/>
        </w:rPr>
        <w:t>. In e</w:t>
      </w:r>
      <w:r>
        <w:rPr>
          <w:rFonts w:asciiTheme="minorBidi" w:hAnsiTheme="minorBidi"/>
        </w:rPr>
        <w:t>-</w:t>
      </w:r>
      <w:r w:rsidRPr="00944857">
        <w:rPr>
          <w:rFonts w:asciiTheme="minorBidi" w:hAnsiTheme="minorBidi"/>
        </w:rPr>
        <w:t>Learning contexts, behaviourist principles are reflected in automated assessments, quizzes, and immediate feedback mechanisms commonly used in online CPD programmes</w:t>
      </w:r>
      <w:r>
        <w:rPr>
          <w:rFonts w:asciiTheme="minorBidi" w:hAnsiTheme="minorBidi"/>
        </w:rPr>
        <w:t>(</w:t>
      </w:r>
      <w:r w:rsidRPr="005F52E7">
        <w:rPr>
          <w:rFonts w:asciiTheme="minorBidi" w:hAnsiTheme="minorBidi"/>
        </w:rPr>
        <w:t>Ally, 2004</w:t>
      </w:r>
      <w:r>
        <w:rPr>
          <w:rFonts w:asciiTheme="minorBidi" w:hAnsiTheme="minorBidi"/>
        </w:rPr>
        <w:t>)</w:t>
      </w:r>
      <w:r w:rsidRPr="00944857">
        <w:rPr>
          <w:rFonts w:asciiTheme="minorBidi" w:hAnsiTheme="minorBidi"/>
        </w:rPr>
        <w:t>. While behaviourism is effective for procedural learning and skill acquisition, it has been criticised</w:t>
      </w:r>
      <w:r>
        <w:rPr>
          <w:rFonts w:asciiTheme="minorBidi" w:hAnsiTheme="minorBidi"/>
        </w:rPr>
        <w:t xml:space="preserve"> in the literature </w:t>
      </w:r>
      <w:r w:rsidRPr="00944857">
        <w:rPr>
          <w:rFonts w:asciiTheme="minorBidi" w:hAnsiTheme="minorBidi"/>
        </w:rPr>
        <w:t xml:space="preserve"> for neglecting cognitive processes and higher-order thinking, which are central to academic professional development</w:t>
      </w:r>
      <w:r>
        <w:rPr>
          <w:rFonts w:asciiTheme="minorBidi" w:hAnsiTheme="minorBidi"/>
        </w:rPr>
        <w:t>(</w:t>
      </w:r>
      <w:r w:rsidRPr="00D63CC4">
        <w:rPr>
          <w:rFonts w:asciiTheme="minorBidi" w:hAnsiTheme="minorBidi"/>
        </w:rPr>
        <w:t>Bloom, 1956; Kirschner, Sweller and Clark, 2006)</w:t>
      </w:r>
      <w:r w:rsidRPr="00944857">
        <w:rPr>
          <w:rFonts w:asciiTheme="minorBidi" w:hAnsiTheme="minorBidi"/>
        </w:rPr>
        <w:t>.</w:t>
      </w:r>
    </w:p>
    <w:p w14:paraId="1B4060DF" w14:textId="77777777" w:rsidR="00FE50EF" w:rsidRPr="00944857" w:rsidRDefault="00FE50EF" w:rsidP="00FE50EF">
      <w:pPr>
        <w:spacing w:line="360" w:lineRule="auto"/>
        <w:jc w:val="both"/>
        <w:rPr>
          <w:rFonts w:asciiTheme="minorBidi" w:hAnsiTheme="minorBidi"/>
        </w:rPr>
      </w:pPr>
      <w:r w:rsidRPr="00944857">
        <w:rPr>
          <w:rFonts w:asciiTheme="minorBidi" w:hAnsiTheme="minorBidi"/>
        </w:rPr>
        <w:t xml:space="preserve">Cognitivism emerged in response to the limitations of behaviourism, shifting the focus to internal mental processes such as memory, perception, and problem-solving. </w:t>
      </w:r>
      <w:r w:rsidRPr="00944857">
        <w:rPr>
          <w:rFonts w:asciiTheme="minorBidi" w:hAnsiTheme="minorBidi"/>
        </w:rPr>
        <w:lastRenderedPageBreak/>
        <w:t>Cognitive learning theory views learners as active processors of information who construct understanding through mental structures and schemas (Piaget, 1972). In e</w:t>
      </w:r>
      <w:r>
        <w:rPr>
          <w:rFonts w:asciiTheme="minorBidi" w:hAnsiTheme="minorBidi"/>
        </w:rPr>
        <w:t>-</w:t>
      </w:r>
      <w:r w:rsidRPr="00944857">
        <w:rPr>
          <w:rFonts w:asciiTheme="minorBidi" w:hAnsiTheme="minorBidi"/>
        </w:rPr>
        <w:t>Learning for CPD, cognitivist principles inform the structuring of content, scaffolding of learning materials, and use of multimedia to enhance comprehension. However, critics argue that cognitivism often underestimates the social and contextual dimensions of learning, which are particularly significant in professional and academic settings</w:t>
      </w:r>
      <w:r>
        <w:rPr>
          <w:rFonts w:asciiTheme="minorBidi" w:hAnsiTheme="minorBidi"/>
        </w:rPr>
        <w:t>(</w:t>
      </w:r>
      <w:r w:rsidRPr="004B3107">
        <w:rPr>
          <w:rFonts w:asciiTheme="minorBidi" w:hAnsiTheme="minorBidi"/>
        </w:rPr>
        <w:t>(Vygotsky, 1978; Lave and Wenger, 1991)</w:t>
      </w:r>
      <w:r w:rsidRPr="00944857">
        <w:rPr>
          <w:rFonts w:asciiTheme="minorBidi" w:hAnsiTheme="minorBidi"/>
        </w:rPr>
        <w:t>.</w:t>
      </w:r>
    </w:p>
    <w:p w14:paraId="0FD118F1" w14:textId="77777777" w:rsidR="00FE50EF" w:rsidRPr="00944857" w:rsidRDefault="00FE50EF" w:rsidP="00FE50EF">
      <w:pPr>
        <w:spacing w:line="360" w:lineRule="auto"/>
        <w:jc w:val="both"/>
        <w:rPr>
          <w:rFonts w:asciiTheme="minorBidi" w:hAnsiTheme="minorBidi"/>
        </w:rPr>
      </w:pPr>
      <w:r w:rsidRPr="00944857">
        <w:rPr>
          <w:rFonts w:asciiTheme="minorBidi" w:hAnsiTheme="minorBidi"/>
        </w:rPr>
        <w:t>Constructivism further extends cognitive perspectives by emphasising that learning is an active, social, and contextualised process. Knowledge is constructed through interaction with content, peers, and the learning environment (Vygotsky, 1978). Constructivist approaches underpin collaborative e</w:t>
      </w:r>
      <w:r>
        <w:rPr>
          <w:rFonts w:asciiTheme="minorBidi" w:hAnsiTheme="minorBidi"/>
        </w:rPr>
        <w:t>-</w:t>
      </w:r>
      <w:r w:rsidRPr="00944857">
        <w:rPr>
          <w:rFonts w:asciiTheme="minorBidi" w:hAnsiTheme="minorBidi"/>
        </w:rPr>
        <w:t>Learning activities such as discussion forums, reflective journals, and problem-based learning tasks commonly used in CPD programmes. This theory is highly relevant to academic CPD, as it aligns with reflective practice, peer learning, and the co-creation of knowledge. Nevertheless, constructivist eLearning requires careful design and facilitation, and its effectiveness may be constrained by time pressures and varying levels of digital literacy among academics.</w:t>
      </w:r>
    </w:p>
    <w:p w14:paraId="63B6856E" w14:textId="77777777" w:rsidR="00FE50EF" w:rsidRPr="00944857" w:rsidRDefault="00FE50EF" w:rsidP="00FE50EF">
      <w:pPr>
        <w:spacing w:line="360" w:lineRule="auto"/>
        <w:jc w:val="both"/>
        <w:rPr>
          <w:rFonts w:asciiTheme="minorBidi" w:hAnsiTheme="minorBidi"/>
        </w:rPr>
      </w:pPr>
      <w:r w:rsidRPr="00944857">
        <w:rPr>
          <w:rFonts w:asciiTheme="minorBidi" w:hAnsiTheme="minorBidi"/>
        </w:rPr>
        <w:t>Adult learning theory, or andragogy, is particularly salient in CPD contexts. Knowles (1984) argues that adult learners are self-directed, goal-oriented, and motivated by the relevance of learning to their professional roles. eLearning platforms support andragogical principles by offering flexibility, autonomy, and personalised learning pathways. However, the assumption that all adults are self-motivated learners has been challenged, particularly in contexts where participation in CPD is institutionally mandated rather than intrinsically driven.</w:t>
      </w:r>
    </w:p>
    <w:p w14:paraId="6C29A96C" w14:textId="77777777" w:rsidR="00FE50EF" w:rsidRPr="00944857" w:rsidRDefault="00FE50EF" w:rsidP="00FE50EF">
      <w:pPr>
        <w:spacing w:line="360" w:lineRule="auto"/>
        <w:jc w:val="both"/>
        <w:rPr>
          <w:rFonts w:asciiTheme="minorBidi" w:hAnsiTheme="minorBidi"/>
        </w:rPr>
      </w:pPr>
      <w:r w:rsidRPr="00944857">
        <w:rPr>
          <w:rFonts w:asciiTheme="minorBidi" w:hAnsiTheme="minorBidi"/>
        </w:rPr>
        <w:t>More recently, connectivism has been proposed as a learning theory for the digital age, emphasising learning through networks, digital connections, and knowledge sharing across platforms (Siemens, 2005). Connectivism is particularly relevant to eLearning-based CPD, as it highlights the importance of communities of practice, social media, and open educational resources in academic learning. Despite its relevance, connectivism remains contested as a theory, with critics questioning its empirical grounding.</w:t>
      </w:r>
    </w:p>
    <w:p w14:paraId="1555739F" w14:textId="77777777" w:rsidR="00FE50EF" w:rsidRPr="00944857" w:rsidRDefault="00FE50EF" w:rsidP="00FE50EF">
      <w:pPr>
        <w:spacing w:line="360" w:lineRule="auto"/>
        <w:jc w:val="both"/>
        <w:rPr>
          <w:rFonts w:asciiTheme="minorBidi" w:hAnsiTheme="minorBidi"/>
        </w:rPr>
      </w:pPr>
      <w:r w:rsidRPr="00944857">
        <w:rPr>
          <w:rFonts w:asciiTheme="minorBidi" w:hAnsiTheme="minorBidi"/>
        </w:rPr>
        <w:lastRenderedPageBreak/>
        <w:t>In summary, learning theories offer valuable insights into how eLearning for CPD can be designed and implemented effectively. A blended theoretical approach that integrates behavioural, cognitive, constructivist, and adult learning principles is often necessary to address the diverse needs of academics across different institutional and cultural contexts.</w:t>
      </w:r>
    </w:p>
    <w:p w14:paraId="608B3F08" w14:textId="77777777" w:rsidR="00FE50EF" w:rsidRPr="00FE50EF" w:rsidRDefault="00FE50EF" w:rsidP="00FE50EF"/>
    <w:p w14:paraId="60FB2387" w14:textId="0FD8FE52" w:rsidR="001C456D" w:rsidRPr="00BC5E5D" w:rsidRDefault="00DE3604" w:rsidP="004C2172">
      <w:pPr>
        <w:pStyle w:val="Heading3"/>
      </w:pPr>
      <w:bookmarkStart w:id="50" w:name="_Toc218503269"/>
      <w:r>
        <w:t xml:space="preserve"> </w:t>
      </w:r>
      <w:bookmarkStart w:id="51" w:name="_Toc218504094"/>
      <w:r w:rsidR="001C456D" w:rsidRPr="00BC5E5D">
        <w:t>Technology adoption theories</w:t>
      </w:r>
      <w:bookmarkEnd w:id="50"/>
      <w:bookmarkEnd w:id="51"/>
    </w:p>
    <w:p w14:paraId="3B2B51DB" w14:textId="63A350F0" w:rsidR="00522B85" w:rsidRDefault="00522B85" w:rsidP="00BC5E5D">
      <w:pPr>
        <w:spacing w:line="360" w:lineRule="auto"/>
        <w:jc w:val="both"/>
        <w:rPr>
          <w:rFonts w:asciiTheme="minorBidi" w:hAnsiTheme="minorBidi"/>
          <w:sz w:val="22"/>
          <w:szCs w:val="22"/>
        </w:rPr>
      </w:pPr>
      <w:r w:rsidRPr="00BC5E5D">
        <w:rPr>
          <w:rFonts w:asciiTheme="minorBidi" w:hAnsiTheme="minorBidi"/>
          <w:sz w:val="22"/>
          <w:szCs w:val="22"/>
        </w:rPr>
        <w:t xml:space="preserve">In addition to general learning theories, </w:t>
      </w:r>
      <w:r w:rsidRPr="00522B85">
        <w:rPr>
          <w:rFonts w:asciiTheme="minorBidi" w:hAnsiTheme="minorBidi"/>
          <w:sz w:val="22"/>
          <w:szCs w:val="22"/>
        </w:rPr>
        <w:t xml:space="preserve"> technology-adoption theories are directly relevant to e-learning adoption because the acceptance, use, and success of digital learning platforms </w:t>
      </w:r>
      <w:r w:rsidR="00363D2A">
        <w:t>d</w:t>
      </w:r>
      <w:r w:rsidR="006C1564">
        <w:t xml:space="preserve">epend on sociological, psychological </w:t>
      </w:r>
      <w:r w:rsidRPr="00522B85">
        <w:rPr>
          <w:rFonts w:asciiTheme="minorBidi" w:hAnsiTheme="minorBidi"/>
          <w:sz w:val="22"/>
          <w:szCs w:val="22"/>
        </w:rPr>
        <w:t>and organizational factors. For example, students’ perceptions of usefulness and usability strongly shape their willingness to engage with online learning tools, aligning with</w:t>
      </w:r>
      <w:r w:rsidR="007428FD" w:rsidRPr="00BC5E5D">
        <w:rPr>
          <w:rFonts w:asciiTheme="minorBidi" w:hAnsiTheme="minorBidi"/>
          <w:sz w:val="22"/>
          <w:szCs w:val="22"/>
        </w:rPr>
        <w:t xml:space="preserve"> </w:t>
      </w:r>
      <w:r w:rsidR="007428FD" w:rsidRPr="00522B85">
        <w:rPr>
          <w:rFonts w:asciiTheme="minorBidi" w:hAnsiTheme="minorBidi"/>
          <w:sz w:val="22"/>
          <w:szCs w:val="22"/>
        </w:rPr>
        <w:t>Technology Acceptance Model</w:t>
      </w:r>
      <w:r w:rsidR="00185C3F" w:rsidRPr="00BC5E5D">
        <w:rPr>
          <w:rFonts w:asciiTheme="minorBidi" w:hAnsiTheme="minorBidi"/>
          <w:sz w:val="22"/>
          <w:szCs w:val="22"/>
        </w:rPr>
        <w:t>(TAM)</w:t>
      </w:r>
      <w:r w:rsidRPr="00522B85">
        <w:rPr>
          <w:rFonts w:asciiTheme="minorBidi" w:hAnsiTheme="minorBidi"/>
          <w:sz w:val="22"/>
          <w:szCs w:val="22"/>
        </w:rPr>
        <w:t xml:space="preserve"> </w:t>
      </w:r>
      <w:r w:rsidR="000A3C27" w:rsidRPr="00BC5E5D">
        <w:rPr>
          <w:rFonts w:asciiTheme="minorBidi" w:hAnsiTheme="minorBidi"/>
          <w:sz w:val="22"/>
          <w:szCs w:val="22"/>
        </w:rPr>
        <w:t>(Silva, 2015)</w:t>
      </w:r>
      <w:r w:rsidRPr="00522B85">
        <w:rPr>
          <w:rFonts w:asciiTheme="minorBidi" w:hAnsiTheme="minorBidi"/>
          <w:sz w:val="22"/>
          <w:szCs w:val="22"/>
        </w:rPr>
        <w:t xml:space="preserve">. Similarly, </w:t>
      </w:r>
      <w:r w:rsidR="00185C3F" w:rsidRPr="00522B85">
        <w:rPr>
          <w:rFonts w:asciiTheme="minorBidi" w:hAnsiTheme="minorBidi"/>
          <w:sz w:val="22"/>
          <w:szCs w:val="22"/>
        </w:rPr>
        <w:t xml:space="preserve">The Unified Theory of Acceptance and Use of Technology </w:t>
      </w:r>
      <w:r w:rsidR="00185C3F" w:rsidRPr="00BC5E5D">
        <w:rPr>
          <w:rFonts w:asciiTheme="minorBidi" w:hAnsiTheme="minorBidi"/>
          <w:sz w:val="22"/>
          <w:szCs w:val="22"/>
        </w:rPr>
        <w:t>(</w:t>
      </w:r>
      <w:r w:rsidRPr="00522B85">
        <w:rPr>
          <w:rFonts w:asciiTheme="minorBidi" w:hAnsiTheme="minorBidi"/>
          <w:sz w:val="22"/>
          <w:szCs w:val="22"/>
        </w:rPr>
        <w:t>UTAUT</w:t>
      </w:r>
      <w:r w:rsidR="00504348" w:rsidRPr="00BC5E5D">
        <w:rPr>
          <w:rFonts w:asciiTheme="minorBidi" w:hAnsiTheme="minorBidi"/>
          <w:sz w:val="22"/>
          <w:szCs w:val="22"/>
        </w:rPr>
        <w:t>)</w:t>
      </w:r>
      <w:r w:rsidRPr="00522B85">
        <w:rPr>
          <w:rFonts w:asciiTheme="minorBidi" w:hAnsiTheme="minorBidi"/>
          <w:sz w:val="22"/>
          <w:szCs w:val="22"/>
        </w:rPr>
        <w:t>’s emphasis on social influence and facilitating conditions helps explain how institutional support, peer recommendations, and access to digital resources affect e-learning uptake</w:t>
      </w:r>
      <w:r w:rsidR="00D65A49" w:rsidRPr="00BC5E5D">
        <w:rPr>
          <w:rFonts w:asciiTheme="minorBidi" w:hAnsiTheme="minorBidi"/>
          <w:sz w:val="22"/>
          <w:szCs w:val="22"/>
        </w:rPr>
        <w:t>(Williams, Rana and Dwivedi, 2015)</w:t>
      </w:r>
      <w:r w:rsidRPr="00522B85">
        <w:rPr>
          <w:rFonts w:asciiTheme="minorBidi" w:hAnsiTheme="minorBidi"/>
          <w:sz w:val="22"/>
          <w:szCs w:val="22"/>
        </w:rPr>
        <w:t xml:space="preserve">. Finally, </w:t>
      </w:r>
      <w:r w:rsidR="007172D7" w:rsidRPr="00522B85">
        <w:rPr>
          <w:rFonts w:asciiTheme="minorBidi" w:hAnsiTheme="minorBidi"/>
          <w:sz w:val="22"/>
          <w:szCs w:val="22"/>
        </w:rPr>
        <w:t xml:space="preserve">Diffusion of Innovations (DOI) </w:t>
      </w:r>
      <w:r w:rsidR="001D5135" w:rsidRPr="00BC5E5D">
        <w:rPr>
          <w:rFonts w:asciiTheme="minorBidi" w:hAnsiTheme="minorBidi"/>
          <w:sz w:val="22"/>
          <w:szCs w:val="22"/>
        </w:rPr>
        <w:t>(Rahi and Abd, 2018</w:t>
      </w:r>
      <w:r w:rsidR="007172D7" w:rsidRPr="00BC5E5D">
        <w:rPr>
          <w:rFonts w:asciiTheme="minorBidi" w:hAnsiTheme="minorBidi"/>
          <w:sz w:val="22"/>
          <w:szCs w:val="22"/>
        </w:rPr>
        <w:t>)</w:t>
      </w:r>
      <w:r w:rsidRPr="00522B85">
        <w:rPr>
          <w:rFonts w:asciiTheme="minorBidi" w:hAnsiTheme="minorBidi"/>
          <w:sz w:val="22"/>
          <w:szCs w:val="22"/>
        </w:rPr>
        <w:t xml:space="preserve"> provides insight into how innovation characteristics and communication within educational communities influence how quickly and effectively e-learning spreads. Therefore, integrating these theories strengthens e-learning research by offering a multidimensional understanding of user behavior, contextual influences, and system adoption patterns.</w:t>
      </w:r>
    </w:p>
    <w:p w14:paraId="61D5E9CD" w14:textId="77777777" w:rsidR="00FE50EF" w:rsidRDefault="00FE50EF" w:rsidP="00BC5E5D">
      <w:pPr>
        <w:spacing w:line="360" w:lineRule="auto"/>
        <w:jc w:val="both"/>
        <w:rPr>
          <w:rFonts w:asciiTheme="minorBidi" w:hAnsiTheme="minorBidi"/>
          <w:sz w:val="22"/>
          <w:szCs w:val="22"/>
        </w:rPr>
      </w:pPr>
    </w:p>
    <w:p w14:paraId="0C887808" w14:textId="77777777" w:rsidR="00FE50EF" w:rsidRPr="008501BF" w:rsidRDefault="00FE50EF" w:rsidP="004C2172">
      <w:pPr>
        <w:pStyle w:val="Heading4"/>
      </w:pPr>
      <w:bookmarkStart w:id="52" w:name="_Toc218503270"/>
      <w:r w:rsidRPr="008501BF">
        <w:t>Technology Acceptance Model (TAM)</w:t>
      </w:r>
      <w:bookmarkEnd w:id="52"/>
    </w:p>
    <w:p w14:paraId="6A717BAF" w14:textId="6FD39BA0" w:rsidR="00FE50EF" w:rsidRPr="008501BF" w:rsidRDefault="00FE50EF" w:rsidP="00FE50EF">
      <w:pPr>
        <w:spacing w:line="360" w:lineRule="auto"/>
        <w:jc w:val="both"/>
        <w:rPr>
          <w:rFonts w:asciiTheme="minorBidi" w:hAnsiTheme="minorBidi"/>
        </w:rPr>
      </w:pPr>
      <w:r w:rsidRPr="008501BF">
        <w:rPr>
          <w:rFonts w:asciiTheme="minorBidi" w:hAnsiTheme="minorBidi"/>
        </w:rPr>
        <w:t xml:space="preserve">The Technology Acceptance Model (TAM) proposed by Davis (1989) is one of the most widely used frameworks for examining technology adoption. TAM posits that </w:t>
      </w:r>
      <w:r w:rsidRPr="008501BF">
        <w:rPr>
          <w:rFonts w:asciiTheme="minorBidi" w:hAnsiTheme="minorBidi"/>
          <w:i/>
          <w:iCs/>
        </w:rPr>
        <w:t>perceived usefulness</w:t>
      </w:r>
      <w:r w:rsidRPr="008501BF">
        <w:rPr>
          <w:rFonts w:asciiTheme="minorBidi" w:hAnsiTheme="minorBidi"/>
        </w:rPr>
        <w:t xml:space="preserve"> and </w:t>
      </w:r>
      <w:r w:rsidRPr="008501BF">
        <w:rPr>
          <w:rFonts w:asciiTheme="minorBidi" w:hAnsiTheme="minorBidi"/>
          <w:i/>
          <w:iCs/>
        </w:rPr>
        <w:t>perceived ease of use</w:t>
      </w:r>
      <w:r w:rsidRPr="008501BF">
        <w:rPr>
          <w:rFonts w:asciiTheme="minorBidi" w:hAnsiTheme="minorBidi"/>
        </w:rPr>
        <w:t xml:space="preserve"> are the primary determinants of an individual’s intention to use a technology. In higher education research, TAM has been extensively applied to study academics’ adoption of e</w:t>
      </w:r>
      <w:r w:rsidR="00AF2CD0">
        <w:rPr>
          <w:rFonts w:asciiTheme="minorBidi" w:hAnsiTheme="minorBidi"/>
        </w:rPr>
        <w:t>-l</w:t>
      </w:r>
      <w:r w:rsidRPr="008501BF">
        <w:rPr>
          <w:rFonts w:asciiTheme="minorBidi" w:hAnsiTheme="minorBidi"/>
        </w:rPr>
        <w:t>earning systems, demonstrating its explanatory power in identifying cognitive and attitudinal factors influencing usage behaviour.</w:t>
      </w:r>
    </w:p>
    <w:p w14:paraId="1EA2CBEE" w14:textId="609ECB03" w:rsidR="00FE50EF" w:rsidRPr="008501BF" w:rsidRDefault="00FE50EF" w:rsidP="00FE50EF">
      <w:pPr>
        <w:spacing w:line="360" w:lineRule="auto"/>
        <w:jc w:val="both"/>
        <w:rPr>
          <w:rFonts w:asciiTheme="minorBidi" w:hAnsiTheme="minorBidi"/>
        </w:rPr>
      </w:pPr>
      <w:r w:rsidRPr="008501BF">
        <w:rPr>
          <w:rFonts w:asciiTheme="minorBidi" w:hAnsiTheme="minorBidi"/>
        </w:rPr>
        <w:t xml:space="preserve">However, TAM has been criticised for its narrow focus on individual perceptions and its limited consideration of social, organisational, and contextual factors. In the context of CPD, where institutional support, workload pressures, and professional expectations play a significant role, TAM alone may provide an incomplete explanation </w:t>
      </w:r>
      <w:r w:rsidRPr="008501BF">
        <w:rPr>
          <w:rFonts w:asciiTheme="minorBidi" w:hAnsiTheme="minorBidi"/>
        </w:rPr>
        <w:lastRenderedPageBreak/>
        <w:t>of e</w:t>
      </w:r>
      <w:r w:rsidR="00AF2CD0">
        <w:rPr>
          <w:rFonts w:asciiTheme="minorBidi" w:hAnsiTheme="minorBidi"/>
        </w:rPr>
        <w:t>-l</w:t>
      </w:r>
      <w:r w:rsidRPr="008501BF">
        <w:rPr>
          <w:rFonts w:asciiTheme="minorBidi" w:hAnsiTheme="minorBidi"/>
        </w:rPr>
        <w:t>earning adoption, particularly in settings where external constraints are pronounced</w:t>
      </w:r>
      <w:r>
        <w:rPr>
          <w:rFonts w:asciiTheme="minorBidi" w:hAnsiTheme="minorBidi"/>
        </w:rPr>
        <w:t>(</w:t>
      </w:r>
      <w:r w:rsidRPr="004B49A4">
        <w:rPr>
          <w:rFonts w:asciiTheme="minorBidi" w:hAnsiTheme="minorBidi"/>
        </w:rPr>
        <w:t>Bagozzi, 2007; Venkatesh and Bala, 2008)</w:t>
      </w:r>
      <w:r w:rsidRPr="008501BF">
        <w:rPr>
          <w:rFonts w:asciiTheme="minorBidi" w:hAnsiTheme="minorBidi"/>
        </w:rPr>
        <w:t>.</w:t>
      </w:r>
    </w:p>
    <w:p w14:paraId="66763DC1" w14:textId="77777777" w:rsidR="00FE50EF" w:rsidRPr="008501BF" w:rsidRDefault="00FE50EF" w:rsidP="004C2172">
      <w:pPr>
        <w:pStyle w:val="Heading4"/>
      </w:pPr>
      <w:bookmarkStart w:id="53" w:name="_Toc218503271"/>
      <w:r w:rsidRPr="008501BF">
        <w:t>Unified Theory of Acceptance and Use of Technology (UTAUT/UTAUT2)</w:t>
      </w:r>
      <w:bookmarkEnd w:id="53"/>
    </w:p>
    <w:p w14:paraId="612BFC37" w14:textId="77777777" w:rsidR="00FE50EF" w:rsidRPr="008501BF" w:rsidRDefault="00FE50EF" w:rsidP="00FE50EF">
      <w:pPr>
        <w:spacing w:line="360" w:lineRule="auto"/>
        <w:jc w:val="both"/>
        <w:rPr>
          <w:rFonts w:asciiTheme="minorBidi" w:hAnsiTheme="minorBidi"/>
        </w:rPr>
      </w:pPr>
      <w:r w:rsidRPr="008501BF">
        <w:rPr>
          <w:rFonts w:asciiTheme="minorBidi" w:hAnsiTheme="minorBidi"/>
        </w:rPr>
        <w:t>The Unified Theory of Acceptance and Use of Technology (UTAUT) integrates multiple adoption models and identifies performance expectancy, effort expectancy, social influence, and facilitating conditions as key determinants of technology use (Venkatesh et al., 2003). UTAUT2 further extends the model by incorporating factors such as habit and hedonic motivation.</w:t>
      </w:r>
    </w:p>
    <w:p w14:paraId="6F77A16B" w14:textId="0DDBCF60" w:rsidR="00FE50EF" w:rsidRPr="008501BF" w:rsidRDefault="00FE50EF" w:rsidP="00FE50EF">
      <w:pPr>
        <w:spacing w:line="360" w:lineRule="auto"/>
        <w:jc w:val="both"/>
        <w:rPr>
          <w:rFonts w:asciiTheme="minorBidi" w:hAnsiTheme="minorBidi"/>
        </w:rPr>
      </w:pPr>
      <w:r w:rsidRPr="008501BF">
        <w:rPr>
          <w:rFonts w:asciiTheme="minorBidi" w:hAnsiTheme="minorBidi"/>
        </w:rPr>
        <w:t>UTAUT is particularly relevant to e</w:t>
      </w:r>
      <w:r w:rsidR="00ED3EC3">
        <w:rPr>
          <w:rFonts w:asciiTheme="minorBidi" w:hAnsiTheme="minorBidi"/>
        </w:rPr>
        <w:t>-</w:t>
      </w:r>
      <w:r w:rsidR="0042477E">
        <w:rPr>
          <w:rFonts w:asciiTheme="minorBidi" w:hAnsiTheme="minorBidi"/>
        </w:rPr>
        <w:t>l</w:t>
      </w:r>
      <w:r w:rsidRPr="008501BF">
        <w:rPr>
          <w:rFonts w:asciiTheme="minorBidi" w:hAnsiTheme="minorBidi"/>
        </w:rPr>
        <w:t>earning for CPD as it acknowledges the influence of organisational infrastructure and social norms, which are salient in academic environments. Nonetheless, the model has been critiqued for its complexity and its tendency to prioritise predictive capability over contextual depth</w:t>
      </w:r>
      <w:r w:rsidR="00F424E5">
        <w:rPr>
          <w:rFonts w:asciiTheme="minorBidi" w:hAnsiTheme="minorBidi"/>
        </w:rPr>
        <w:t>(</w:t>
      </w:r>
      <w:r w:rsidR="00F424E5" w:rsidRPr="00034DFB">
        <w:rPr>
          <w:rFonts w:asciiTheme="minorBidi" w:hAnsiTheme="minorBidi"/>
        </w:rPr>
        <w:t>Williams, Rana and Dwivedi, 2015</w:t>
      </w:r>
      <w:r w:rsidR="00030FE9">
        <w:rPr>
          <w:rFonts w:asciiTheme="minorBidi" w:hAnsiTheme="minorBidi"/>
        </w:rPr>
        <w:t>)</w:t>
      </w:r>
      <w:r w:rsidRPr="008501BF">
        <w:rPr>
          <w:rFonts w:asciiTheme="minorBidi" w:hAnsiTheme="minorBidi"/>
        </w:rPr>
        <w:t>. Moreover, UTAUT was primarily developed in corporate and developed-country contexts, raising questions about its direct applicability in developing countries where infrastructural and policy-related barriers may dominate adoption decisions</w:t>
      </w:r>
      <w:r>
        <w:rPr>
          <w:rFonts w:asciiTheme="minorBidi" w:hAnsiTheme="minorBidi"/>
        </w:rPr>
        <w:t>(</w:t>
      </w:r>
      <w:r w:rsidRPr="00034DFB">
        <w:rPr>
          <w:rFonts w:asciiTheme="minorBidi" w:hAnsiTheme="minorBidi"/>
        </w:rPr>
        <w:t>(Venkatesh et al., 2003; Dwivedi et al., 2019; Williams, Rana and Dwivedi, 2015).</w:t>
      </w:r>
    </w:p>
    <w:p w14:paraId="5B788519" w14:textId="77777777" w:rsidR="00FE50EF" w:rsidRPr="008501BF" w:rsidRDefault="00FE50EF" w:rsidP="004C2172">
      <w:pPr>
        <w:pStyle w:val="Heading4"/>
      </w:pPr>
      <w:bookmarkStart w:id="54" w:name="_Toc218503272"/>
      <w:r w:rsidRPr="008501BF">
        <w:t>Diffusion of Innovations (DOI)</w:t>
      </w:r>
      <w:bookmarkEnd w:id="54"/>
    </w:p>
    <w:p w14:paraId="3996FA68" w14:textId="2A2D062D" w:rsidR="00FE50EF" w:rsidRPr="008501BF" w:rsidRDefault="00FE50EF" w:rsidP="00FE50EF">
      <w:pPr>
        <w:spacing w:line="360" w:lineRule="auto"/>
        <w:jc w:val="both"/>
        <w:rPr>
          <w:rFonts w:asciiTheme="minorBidi" w:hAnsiTheme="minorBidi"/>
        </w:rPr>
      </w:pPr>
      <w:r w:rsidRPr="008501BF">
        <w:rPr>
          <w:rFonts w:asciiTheme="minorBidi" w:hAnsiTheme="minorBidi"/>
        </w:rPr>
        <w:t>Rogers’ (2003) Diffusion of Innovations theory conceptualises technology adoption as a social process influenced by factors such as relative advantage, compatibility, complexity, trialability, and observability. DOI is valuable in understanding how e</w:t>
      </w:r>
      <w:r w:rsidR="00030FE9">
        <w:rPr>
          <w:rFonts w:asciiTheme="minorBidi" w:hAnsiTheme="minorBidi"/>
        </w:rPr>
        <w:t>-l</w:t>
      </w:r>
      <w:r w:rsidRPr="008501BF">
        <w:rPr>
          <w:rFonts w:asciiTheme="minorBidi" w:hAnsiTheme="minorBidi"/>
        </w:rPr>
        <w:t>earning for CPD spreads within academic communities and how peer influence and institutional culture shape adoption patterns.</w:t>
      </w:r>
    </w:p>
    <w:p w14:paraId="701137F4" w14:textId="7B18DA15" w:rsidR="00FE50EF" w:rsidRPr="008501BF" w:rsidRDefault="00FE50EF" w:rsidP="00FE50EF">
      <w:pPr>
        <w:spacing w:line="360" w:lineRule="auto"/>
        <w:jc w:val="both"/>
        <w:rPr>
          <w:rFonts w:asciiTheme="minorBidi" w:hAnsiTheme="minorBidi"/>
        </w:rPr>
      </w:pPr>
      <w:r w:rsidRPr="008501BF">
        <w:rPr>
          <w:rFonts w:asciiTheme="minorBidi" w:hAnsiTheme="minorBidi"/>
        </w:rPr>
        <w:t>However, DOI has been criticised for assuming relatively stable and resource-rich environments and for underplaying power relations and structural inequalities. In developing country contexts, such as Sri Lanka, adoption may be constrained less by innovation characteristics and more by systemic limitations, thereby reducing the explanatory power of DOI when used in isolation</w:t>
      </w:r>
      <w:r w:rsidRPr="00E75445">
        <w:rPr>
          <w:rFonts w:asciiTheme="minorBidi" w:hAnsiTheme="minorBidi"/>
        </w:rPr>
        <w:t>(Rogers, 2003; Avgerou, 2008; Heeks, 2010)</w:t>
      </w:r>
      <w:r w:rsidRPr="008501BF">
        <w:rPr>
          <w:rFonts w:asciiTheme="minorBidi" w:hAnsiTheme="minorBidi"/>
        </w:rPr>
        <w:t>.</w:t>
      </w:r>
    </w:p>
    <w:p w14:paraId="5F9C731D" w14:textId="77777777" w:rsidR="00FE50EF" w:rsidRPr="008501BF" w:rsidRDefault="00FE50EF" w:rsidP="004C2172">
      <w:pPr>
        <w:pStyle w:val="Heading4"/>
      </w:pPr>
      <w:bookmarkStart w:id="55" w:name="_Toc218503273"/>
      <w:r w:rsidRPr="008501BF">
        <w:t>Theory of Planned Behavior (TPB)</w:t>
      </w:r>
      <w:bookmarkEnd w:id="55"/>
    </w:p>
    <w:p w14:paraId="0FF919E5" w14:textId="77777777" w:rsidR="00FE50EF" w:rsidRPr="008501BF" w:rsidRDefault="00FE50EF" w:rsidP="00FE50EF">
      <w:pPr>
        <w:spacing w:line="360" w:lineRule="auto"/>
        <w:jc w:val="both"/>
        <w:rPr>
          <w:rFonts w:asciiTheme="minorBidi" w:hAnsiTheme="minorBidi"/>
        </w:rPr>
      </w:pPr>
      <w:r w:rsidRPr="008501BF">
        <w:rPr>
          <w:rFonts w:asciiTheme="minorBidi" w:hAnsiTheme="minorBidi"/>
        </w:rPr>
        <w:t xml:space="preserve">The Theory of Planned Behavior (Ajzen, 1991) emphasises the role of attitudes, subjective norms, and perceived behavioural control in shaping behavioural intentions. </w:t>
      </w:r>
      <w:r w:rsidRPr="008501BF">
        <w:rPr>
          <w:rFonts w:asciiTheme="minorBidi" w:hAnsiTheme="minorBidi"/>
        </w:rPr>
        <w:lastRenderedPageBreak/>
        <w:t>TPB is particularly useful for examining academics’ intentions to engage in eLearning-based CPD, as it incorporates both personal motivation and perceived constraints.</w:t>
      </w:r>
    </w:p>
    <w:p w14:paraId="6263316B" w14:textId="77777777" w:rsidR="00FE50EF" w:rsidRPr="008501BF" w:rsidRDefault="00FE50EF" w:rsidP="00FE50EF">
      <w:pPr>
        <w:spacing w:line="360" w:lineRule="auto"/>
        <w:jc w:val="both"/>
        <w:rPr>
          <w:rFonts w:asciiTheme="minorBidi" w:hAnsiTheme="minorBidi"/>
        </w:rPr>
      </w:pPr>
      <w:r w:rsidRPr="008501BF">
        <w:rPr>
          <w:rFonts w:asciiTheme="minorBidi" w:hAnsiTheme="minorBidi"/>
        </w:rPr>
        <w:t>Nevertheless, similar to TAM, TPB has been criticised for its reliance on intention as a proxy for behaviour and its limited engagement with organisational and institutional dynamics, which are central to CPD participation</w:t>
      </w:r>
      <w:r>
        <w:rPr>
          <w:rFonts w:asciiTheme="minorBidi" w:hAnsiTheme="minorBidi"/>
        </w:rPr>
        <w:t>(</w:t>
      </w:r>
      <w:r w:rsidRPr="0037613A">
        <w:rPr>
          <w:rFonts w:asciiTheme="minorBidi" w:hAnsiTheme="minorBidi"/>
        </w:rPr>
        <w:t>Ajzen, 1991; Sheeran, 2002; Conner and Armitage, 1998)</w:t>
      </w:r>
      <w:r w:rsidRPr="008501BF">
        <w:rPr>
          <w:rFonts w:asciiTheme="minorBidi" w:hAnsiTheme="minorBidi"/>
        </w:rPr>
        <w:t>.</w:t>
      </w:r>
    </w:p>
    <w:p w14:paraId="126BBDCD" w14:textId="77777777" w:rsidR="00FE50EF" w:rsidRPr="008501BF" w:rsidRDefault="00FE50EF" w:rsidP="00FE50EF">
      <w:pPr>
        <w:spacing w:line="360" w:lineRule="auto"/>
        <w:jc w:val="both"/>
        <w:rPr>
          <w:rFonts w:asciiTheme="minorBidi" w:hAnsiTheme="minorBidi"/>
        </w:rPr>
      </w:pPr>
    </w:p>
    <w:p w14:paraId="4A5D127A" w14:textId="41993334" w:rsidR="00FE50EF" w:rsidRPr="008501BF" w:rsidRDefault="00FE50EF" w:rsidP="004C2172">
      <w:pPr>
        <w:pStyle w:val="Heading3"/>
      </w:pPr>
      <w:r w:rsidRPr="008501BF">
        <w:t xml:space="preserve"> </w:t>
      </w:r>
      <w:bookmarkStart w:id="56" w:name="_Toc218503274"/>
      <w:bookmarkStart w:id="57" w:name="_Toc218504095"/>
      <w:r w:rsidRPr="008501BF">
        <w:t>Organisational and Institutional Theories</w:t>
      </w:r>
      <w:bookmarkEnd w:id="56"/>
      <w:bookmarkEnd w:id="57"/>
    </w:p>
    <w:p w14:paraId="6F9AA437" w14:textId="77777777" w:rsidR="00FE50EF" w:rsidRPr="008501BF" w:rsidRDefault="00FE50EF" w:rsidP="004C2172">
      <w:pPr>
        <w:pStyle w:val="Heading4"/>
      </w:pPr>
      <w:bookmarkStart w:id="58" w:name="_Toc218503275"/>
      <w:r w:rsidRPr="008501BF">
        <w:t>Institutional Theory</w:t>
      </w:r>
      <w:bookmarkEnd w:id="58"/>
    </w:p>
    <w:p w14:paraId="1A9AC047" w14:textId="77777777" w:rsidR="00FE50EF" w:rsidRPr="008501BF" w:rsidRDefault="00FE50EF" w:rsidP="00FE50EF">
      <w:pPr>
        <w:spacing w:line="360" w:lineRule="auto"/>
        <w:jc w:val="both"/>
        <w:rPr>
          <w:rFonts w:asciiTheme="minorBidi" w:hAnsiTheme="minorBidi"/>
        </w:rPr>
      </w:pPr>
      <w:r w:rsidRPr="008501BF">
        <w:rPr>
          <w:rFonts w:asciiTheme="minorBidi" w:hAnsiTheme="minorBidi"/>
        </w:rPr>
        <w:t>Institutional Theory focuses on how organisational behaviour is shaped by formal rules, norms, and cultural-cognitive structures. In higher education, this theory highlights the influence of accreditation requirements, professional standards, and quality assurance mechanisms on CPD practices. Institutional pressures are particularly evident in developed contexts such as the UK, where CPD engagement is often linked to teaching excellence frameworks and promotion criteria</w:t>
      </w:r>
      <w:r w:rsidRPr="006B1CE9">
        <w:t xml:space="preserve"> </w:t>
      </w:r>
      <w:r>
        <w:t>(S</w:t>
      </w:r>
      <w:r w:rsidRPr="006B1CE9">
        <w:rPr>
          <w:rFonts w:asciiTheme="minorBidi" w:hAnsiTheme="minorBidi"/>
        </w:rPr>
        <w:t>cott, 2014; DiMaggio and Powell, 1983; QAA, 2018; Advance HE, 2016).</w:t>
      </w:r>
      <w:r w:rsidRPr="008501BF">
        <w:rPr>
          <w:rFonts w:asciiTheme="minorBidi" w:hAnsiTheme="minorBidi"/>
        </w:rPr>
        <w:t>.</w:t>
      </w:r>
    </w:p>
    <w:p w14:paraId="3DCF25A8" w14:textId="77777777" w:rsidR="00FE50EF" w:rsidRPr="008501BF" w:rsidRDefault="00FE50EF" w:rsidP="00FE50EF">
      <w:pPr>
        <w:spacing w:line="360" w:lineRule="auto"/>
        <w:jc w:val="both"/>
        <w:rPr>
          <w:rFonts w:asciiTheme="minorBidi" w:hAnsiTheme="minorBidi"/>
        </w:rPr>
      </w:pPr>
      <w:r w:rsidRPr="008501BF">
        <w:rPr>
          <w:rFonts w:asciiTheme="minorBidi" w:hAnsiTheme="minorBidi"/>
        </w:rPr>
        <w:t>In developing contexts, institutional theory helps explain why CPD initiatives may exist in policy rhetoric but lack effective implementation due to weak enforcement mechanisms or competing institutional priorities.</w:t>
      </w:r>
    </w:p>
    <w:p w14:paraId="4EE46AE8" w14:textId="77777777" w:rsidR="00FE50EF" w:rsidRPr="008501BF" w:rsidRDefault="00FE50EF" w:rsidP="004C2172">
      <w:pPr>
        <w:pStyle w:val="Heading4"/>
      </w:pPr>
      <w:bookmarkStart w:id="59" w:name="_Toc218503276"/>
      <w:r w:rsidRPr="008501BF">
        <w:t>Resource-Based View (RBV)</w:t>
      </w:r>
      <w:bookmarkEnd w:id="59"/>
    </w:p>
    <w:p w14:paraId="2BE62E0F" w14:textId="31273EF8" w:rsidR="00FE50EF" w:rsidRPr="008501BF" w:rsidRDefault="00FE50EF" w:rsidP="00FE50EF">
      <w:pPr>
        <w:spacing w:line="360" w:lineRule="auto"/>
        <w:jc w:val="both"/>
        <w:rPr>
          <w:rFonts w:asciiTheme="minorBidi" w:hAnsiTheme="minorBidi"/>
        </w:rPr>
      </w:pPr>
      <w:r w:rsidRPr="008501BF">
        <w:rPr>
          <w:rFonts w:asciiTheme="minorBidi" w:hAnsiTheme="minorBidi"/>
        </w:rPr>
        <w:t>The Resource-Based View conceptualises organisations as collections of resources and capabilities that enable competitive advantage. Applied to eLearning for CPD, RBV underscores the importance of technological infrastructure, skilled personnel, and financial investment. This perspective is particularly useful for explaining disparities between developed and developing countries, where unequal access to resources significantly affects e</w:t>
      </w:r>
      <w:r w:rsidR="00935C50">
        <w:rPr>
          <w:rFonts w:asciiTheme="minorBidi" w:hAnsiTheme="minorBidi"/>
        </w:rPr>
        <w:t>-l</w:t>
      </w:r>
      <w:r w:rsidRPr="008501BF">
        <w:rPr>
          <w:rFonts w:asciiTheme="minorBidi" w:hAnsiTheme="minorBidi"/>
        </w:rPr>
        <w:t>earning adoption</w:t>
      </w:r>
      <w:r>
        <w:rPr>
          <w:rFonts w:asciiTheme="minorBidi" w:hAnsiTheme="minorBidi"/>
        </w:rPr>
        <w:t>(</w:t>
      </w:r>
      <w:r w:rsidRPr="00A428A2">
        <w:rPr>
          <w:rFonts w:asciiTheme="minorBidi" w:hAnsiTheme="minorBidi"/>
        </w:rPr>
        <w:t>(Barney, 1991; Barney, Ketchen and Wright, 2011; Selim, 2007)</w:t>
      </w:r>
      <w:r w:rsidRPr="008501BF">
        <w:rPr>
          <w:rFonts w:asciiTheme="minorBidi" w:hAnsiTheme="minorBidi"/>
        </w:rPr>
        <w:t>.</w:t>
      </w:r>
    </w:p>
    <w:p w14:paraId="3881BEE1" w14:textId="77777777" w:rsidR="00FE50EF" w:rsidRPr="008501BF" w:rsidRDefault="00FE50EF" w:rsidP="00FE50EF">
      <w:pPr>
        <w:spacing w:line="360" w:lineRule="auto"/>
        <w:jc w:val="both"/>
        <w:rPr>
          <w:rFonts w:asciiTheme="minorBidi" w:hAnsiTheme="minorBidi"/>
        </w:rPr>
      </w:pPr>
      <w:r w:rsidRPr="008501BF">
        <w:rPr>
          <w:rFonts w:asciiTheme="minorBidi" w:hAnsiTheme="minorBidi"/>
        </w:rPr>
        <w:t>However, RBV has been criticised for its limited attention to individual agency and cultural factors, which are critical in understanding academics’ engagement with CPD.</w:t>
      </w:r>
    </w:p>
    <w:p w14:paraId="648497E0" w14:textId="77777777" w:rsidR="00FE50EF" w:rsidRPr="008501BF" w:rsidRDefault="00FE50EF" w:rsidP="004C2172">
      <w:pPr>
        <w:pStyle w:val="Heading4"/>
      </w:pPr>
      <w:bookmarkStart w:id="60" w:name="_Toc218503277"/>
      <w:r w:rsidRPr="008501BF">
        <w:lastRenderedPageBreak/>
        <w:t>Sociotechnical Systems Theory</w:t>
      </w:r>
      <w:bookmarkEnd w:id="60"/>
    </w:p>
    <w:p w14:paraId="4DC359EB" w14:textId="77777777" w:rsidR="00FE50EF" w:rsidRPr="00D5662F" w:rsidRDefault="00FE50EF" w:rsidP="00FE50EF">
      <w:pPr>
        <w:spacing w:line="360" w:lineRule="auto"/>
        <w:jc w:val="both"/>
        <w:rPr>
          <w:rFonts w:asciiTheme="minorBidi" w:hAnsiTheme="minorBidi"/>
        </w:rPr>
      </w:pPr>
      <w:r w:rsidRPr="008501BF">
        <w:rPr>
          <w:rFonts w:asciiTheme="minorBidi" w:hAnsiTheme="minorBidi"/>
        </w:rPr>
        <w:t>Sociotechnical Systems Theory emphasises the interdependence between social and technical elements within organisations</w:t>
      </w:r>
      <w:r>
        <w:rPr>
          <w:rFonts w:asciiTheme="minorBidi" w:hAnsiTheme="minorBidi"/>
        </w:rPr>
        <w:t>(</w:t>
      </w:r>
      <w:r w:rsidRPr="00D5662F">
        <w:rPr>
          <w:rFonts w:asciiTheme="minorBidi" w:hAnsiTheme="minorBidi"/>
        </w:rPr>
        <w:t>Trist and Bamforth, 1951; Bostrom and Heinen, 1977).</w:t>
      </w:r>
    </w:p>
    <w:p w14:paraId="5A5D7BA3" w14:textId="3B6C071C" w:rsidR="00FE50EF" w:rsidRDefault="00FE50EF" w:rsidP="00FE50EF">
      <w:pPr>
        <w:spacing w:line="360" w:lineRule="auto"/>
        <w:jc w:val="both"/>
        <w:rPr>
          <w:rFonts w:asciiTheme="minorBidi" w:hAnsiTheme="minorBidi"/>
        </w:rPr>
      </w:pPr>
      <w:r>
        <w:rPr>
          <w:rFonts w:asciiTheme="minorBidi" w:hAnsiTheme="minorBidi"/>
        </w:rPr>
        <w:t>Th</w:t>
      </w:r>
      <w:r w:rsidRPr="008501BF">
        <w:rPr>
          <w:rFonts w:asciiTheme="minorBidi" w:hAnsiTheme="minorBidi"/>
        </w:rPr>
        <w:t>is theory is especially relevant to e</w:t>
      </w:r>
      <w:r>
        <w:rPr>
          <w:rFonts w:asciiTheme="minorBidi" w:hAnsiTheme="minorBidi"/>
        </w:rPr>
        <w:t>-</w:t>
      </w:r>
      <w:r w:rsidR="00935C50">
        <w:rPr>
          <w:rFonts w:asciiTheme="minorBidi" w:hAnsiTheme="minorBidi"/>
        </w:rPr>
        <w:t>l</w:t>
      </w:r>
      <w:r w:rsidRPr="008501BF">
        <w:rPr>
          <w:rFonts w:asciiTheme="minorBidi" w:hAnsiTheme="minorBidi"/>
        </w:rPr>
        <w:t>earning for CPD, as successful adoption depends not only on technology but also on pedagogical practices, organisational culture, and human support systems. Its holistic orientation makes it particularly valuable for cross-cultural analysis.</w:t>
      </w:r>
    </w:p>
    <w:p w14:paraId="6D4B47E2" w14:textId="77777777" w:rsidR="00F16DF0" w:rsidRDefault="00F16DF0" w:rsidP="00FE50EF">
      <w:pPr>
        <w:spacing w:line="360" w:lineRule="auto"/>
        <w:jc w:val="both"/>
        <w:rPr>
          <w:rFonts w:asciiTheme="minorBidi" w:hAnsiTheme="minorBidi"/>
        </w:rPr>
      </w:pPr>
    </w:p>
    <w:p w14:paraId="4B039964" w14:textId="18AD03CD" w:rsidR="00F16DF0" w:rsidRDefault="00F16DF0" w:rsidP="00F16DF0">
      <w:pPr>
        <w:spacing w:line="360" w:lineRule="auto"/>
        <w:jc w:val="both"/>
        <w:rPr>
          <w:rFonts w:asciiTheme="minorBidi" w:hAnsiTheme="minorBidi"/>
        </w:rPr>
      </w:pPr>
      <w:r w:rsidRPr="00F16DF0">
        <w:rPr>
          <w:rFonts w:asciiTheme="minorBidi" w:hAnsiTheme="minorBidi"/>
        </w:rPr>
        <w:t xml:space="preserve">To position the study within established theoretical traditions, Table </w:t>
      </w:r>
      <w:r w:rsidR="00190A7C">
        <w:rPr>
          <w:rFonts w:asciiTheme="minorBidi" w:hAnsiTheme="minorBidi"/>
        </w:rPr>
        <w:t>3</w:t>
      </w:r>
      <w:r w:rsidRPr="00F16DF0">
        <w:rPr>
          <w:rFonts w:asciiTheme="minorBidi" w:hAnsiTheme="minorBidi"/>
        </w:rPr>
        <w:t xml:space="preserve"> synthesises key learning, technology adoption, and organisational theories that have informed research on e</w:t>
      </w:r>
      <w:r w:rsidR="000027CE">
        <w:rPr>
          <w:rFonts w:asciiTheme="minorBidi" w:hAnsiTheme="minorBidi"/>
        </w:rPr>
        <w:t>-l</w:t>
      </w:r>
      <w:r w:rsidRPr="00F16DF0">
        <w:rPr>
          <w:rFonts w:asciiTheme="minorBidi" w:hAnsiTheme="minorBidi"/>
        </w:rPr>
        <w:t>earning and professional development. Rather than privileging a single theoretical lens, the table highlights how different theories foreground distinct dimensions of e</w:t>
      </w:r>
      <w:r w:rsidR="000027CE">
        <w:rPr>
          <w:rFonts w:asciiTheme="minorBidi" w:hAnsiTheme="minorBidi"/>
        </w:rPr>
        <w:t>-l</w:t>
      </w:r>
      <w:r w:rsidRPr="00F16DF0">
        <w:rPr>
          <w:rFonts w:asciiTheme="minorBidi" w:hAnsiTheme="minorBidi"/>
        </w:rPr>
        <w:t>earning for CPD, ranging from individual cognition and motivation to organisational structures, institutional pressures, and sociotechnical alignment. This integrative overview provides a conceptual foundation for identifying Critical Success Factors (CSFs) that operate at multiple levels within higher education contexts.</w:t>
      </w:r>
    </w:p>
    <w:p w14:paraId="01FAD1F7" w14:textId="31C4C78E" w:rsidR="00FE50EF" w:rsidRDefault="00F16DF0" w:rsidP="00FE50EF">
      <w:pPr>
        <w:spacing w:line="360" w:lineRule="auto"/>
        <w:jc w:val="both"/>
        <w:rPr>
          <w:rFonts w:asciiTheme="minorBidi" w:hAnsiTheme="minorBidi"/>
        </w:rPr>
      </w:pPr>
      <w:r>
        <w:rPr>
          <w:rFonts w:asciiTheme="minorBidi" w:hAnsiTheme="minorBidi"/>
        </w:rPr>
        <w:t xml:space="preserve">Table 3: </w:t>
      </w:r>
      <w:r w:rsidR="00875AC9" w:rsidRPr="00F16DF0">
        <w:rPr>
          <w:rFonts w:asciiTheme="minorBidi" w:hAnsiTheme="minorBidi"/>
        </w:rPr>
        <w:t>synthesis</w:t>
      </w:r>
      <w:r w:rsidR="00875AC9">
        <w:rPr>
          <w:rFonts w:asciiTheme="minorBidi" w:hAnsiTheme="minorBidi"/>
        </w:rPr>
        <w:t xml:space="preserve"> of </w:t>
      </w:r>
      <w:r w:rsidR="00875AC9" w:rsidRPr="00F16DF0">
        <w:rPr>
          <w:rFonts w:asciiTheme="minorBidi" w:hAnsiTheme="minorBidi"/>
        </w:rPr>
        <w:t xml:space="preserve"> key learning, technology adoption, and organisational theories that have informed research on eLearning and professional development</w:t>
      </w:r>
    </w:p>
    <w:tbl>
      <w:tblPr>
        <w:tblW w:w="0" w:type="auto"/>
        <w:tblCellSpacing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1450"/>
        <w:gridCol w:w="1504"/>
        <w:gridCol w:w="1581"/>
        <w:gridCol w:w="1330"/>
        <w:gridCol w:w="1902"/>
        <w:gridCol w:w="1239"/>
      </w:tblGrid>
      <w:tr w:rsidR="00FE50EF" w:rsidRPr="007D53F9" w14:paraId="056BEDF8" w14:textId="77777777" w:rsidTr="000A0071">
        <w:trPr>
          <w:tblHeader/>
          <w:tblCellSpacing w:w="15" w:type="dxa"/>
        </w:trPr>
        <w:tc>
          <w:tcPr>
            <w:tcW w:w="0" w:type="auto"/>
            <w:vAlign w:val="center"/>
            <w:hideMark/>
          </w:tcPr>
          <w:p w14:paraId="214E9A1F" w14:textId="77777777" w:rsidR="00FE50EF" w:rsidRPr="007D53F9" w:rsidRDefault="00FE50EF" w:rsidP="000A0071">
            <w:pPr>
              <w:rPr>
                <w:b/>
                <w:bCs/>
              </w:rPr>
            </w:pPr>
            <w:r w:rsidRPr="007D53F9">
              <w:rPr>
                <w:b/>
                <w:bCs/>
              </w:rPr>
              <w:t>Theory Category</w:t>
            </w:r>
          </w:p>
        </w:tc>
        <w:tc>
          <w:tcPr>
            <w:tcW w:w="0" w:type="auto"/>
            <w:vAlign w:val="center"/>
            <w:hideMark/>
          </w:tcPr>
          <w:p w14:paraId="5F7B69FB" w14:textId="77777777" w:rsidR="00FE50EF" w:rsidRPr="007D53F9" w:rsidRDefault="00FE50EF" w:rsidP="000A0071">
            <w:pPr>
              <w:rPr>
                <w:b/>
                <w:bCs/>
              </w:rPr>
            </w:pPr>
            <w:r w:rsidRPr="007D53F9">
              <w:rPr>
                <w:b/>
                <w:bCs/>
              </w:rPr>
              <w:t>Theory</w:t>
            </w:r>
          </w:p>
        </w:tc>
        <w:tc>
          <w:tcPr>
            <w:tcW w:w="0" w:type="auto"/>
            <w:vAlign w:val="center"/>
            <w:hideMark/>
          </w:tcPr>
          <w:p w14:paraId="1C9DB068" w14:textId="77777777" w:rsidR="00FE50EF" w:rsidRPr="007D53F9" w:rsidRDefault="00FE50EF" w:rsidP="000A0071">
            <w:pPr>
              <w:rPr>
                <w:b/>
                <w:bCs/>
              </w:rPr>
            </w:pPr>
            <w:r w:rsidRPr="007D53F9">
              <w:rPr>
                <w:b/>
                <w:bCs/>
              </w:rPr>
              <w:t>Key Focus / Core Concepts</w:t>
            </w:r>
          </w:p>
        </w:tc>
        <w:tc>
          <w:tcPr>
            <w:tcW w:w="0" w:type="auto"/>
            <w:vAlign w:val="center"/>
            <w:hideMark/>
          </w:tcPr>
          <w:p w14:paraId="688540AC" w14:textId="77777777" w:rsidR="00FE50EF" w:rsidRPr="007D53F9" w:rsidRDefault="00FE50EF" w:rsidP="000A0071">
            <w:pPr>
              <w:rPr>
                <w:b/>
                <w:bCs/>
              </w:rPr>
            </w:pPr>
            <w:r w:rsidRPr="007D53F9">
              <w:rPr>
                <w:b/>
                <w:bCs/>
              </w:rPr>
              <w:t>Relevance to eLearning for CPD</w:t>
            </w:r>
          </w:p>
        </w:tc>
        <w:tc>
          <w:tcPr>
            <w:tcW w:w="0" w:type="auto"/>
            <w:vAlign w:val="center"/>
            <w:hideMark/>
          </w:tcPr>
          <w:p w14:paraId="5B0EFDD8" w14:textId="77777777" w:rsidR="00FE50EF" w:rsidRPr="007D53F9" w:rsidRDefault="00FE50EF" w:rsidP="000A0071">
            <w:pPr>
              <w:rPr>
                <w:b/>
                <w:bCs/>
              </w:rPr>
            </w:pPr>
            <w:r w:rsidRPr="007D53F9">
              <w:rPr>
                <w:b/>
                <w:bCs/>
              </w:rPr>
              <w:t>Key Limitations</w:t>
            </w:r>
          </w:p>
        </w:tc>
        <w:tc>
          <w:tcPr>
            <w:tcW w:w="0" w:type="auto"/>
            <w:vAlign w:val="center"/>
            <w:hideMark/>
          </w:tcPr>
          <w:p w14:paraId="692D2EDE" w14:textId="77777777" w:rsidR="00FE50EF" w:rsidRPr="007D53F9" w:rsidRDefault="00FE50EF" w:rsidP="000A0071">
            <w:pPr>
              <w:rPr>
                <w:b/>
                <w:bCs/>
              </w:rPr>
            </w:pPr>
            <w:r w:rsidRPr="007D53F9">
              <w:rPr>
                <w:b/>
                <w:bCs/>
              </w:rPr>
              <w:t>Key Sources</w:t>
            </w:r>
          </w:p>
        </w:tc>
      </w:tr>
      <w:tr w:rsidR="00FE50EF" w:rsidRPr="007D53F9" w14:paraId="06ACD885" w14:textId="77777777" w:rsidTr="000A0071">
        <w:trPr>
          <w:tblCellSpacing w:w="15" w:type="dxa"/>
        </w:trPr>
        <w:tc>
          <w:tcPr>
            <w:tcW w:w="0" w:type="auto"/>
            <w:vAlign w:val="center"/>
            <w:hideMark/>
          </w:tcPr>
          <w:p w14:paraId="1894E51D" w14:textId="77777777" w:rsidR="00FE50EF" w:rsidRPr="007D53F9" w:rsidRDefault="00FE50EF" w:rsidP="000A0071">
            <w:pPr>
              <w:rPr>
                <w:sz w:val="20"/>
                <w:szCs w:val="20"/>
              </w:rPr>
            </w:pPr>
            <w:r w:rsidRPr="007D53F9">
              <w:rPr>
                <w:b/>
                <w:bCs/>
                <w:sz w:val="20"/>
                <w:szCs w:val="20"/>
              </w:rPr>
              <w:t>Learning Theories</w:t>
            </w:r>
          </w:p>
        </w:tc>
        <w:tc>
          <w:tcPr>
            <w:tcW w:w="0" w:type="auto"/>
            <w:vAlign w:val="center"/>
            <w:hideMark/>
          </w:tcPr>
          <w:p w14:paraId="23264ED9" w14:textId="77777777" w:rsidR="00FE50EF" w:rsidRPr="007D53F9" w:rsidRDefault="00FE50EF" w:rsidP="000A0071">
            <w:pPr>
              <w:rPr>
                <w:sz w:val="20"/>
                <w:szCs w:val="20"/>
              </w:rPr>
            </w:pPr>
            <w:r w:rsidRPr="007D53F9">
              <w:rPr>
                <w:b/>
                <w:bCs/>
                <w:sz w:val="20"/>
                <w:szCs w:val="20"/>
              </w:rPr>
              <w:t>Behaviourism</w:t>
            </w:r>
          </w:p>
        </w:tc>
        <w:tc>
          <w:tcPr>
            <w:tcW w:w="0" w:type="auto"/>
            <w:vAlign w:val="center"/>
            <w:hideMark/>
          </w:tcPr>
          <w:p w14:paraId="0FAB8EFC" w14:textId="77777777" w:rsidR="00FE50EF" w:rsidRPr="007D53F9" w:rsidRDefault="00FE50EF" w:rsidP="000A0071">
            <w:pPr>
              <w:rPr>
                <w:sz w:val="20"/>
                <w:szCs w:val="20"/>
              </w:rPr>
            </w:pPr>
            <w:r w:rsidRPr="007D53F9">
              <w:rPr>
                <w:sz w:val="20"/>
                <w:szCs w:val="20"/>
              </w:rPr>
              <w:t>Learning as observable behaviour shaped by stimuli, reinforcement, and feedback</w:t>
            </w:r>
          </w:p>
        </w:tc>
        <w:tc>
          <w:tcPr>
            <w:tcW w:w="0" w:type="auto"/>
            <w:vAlign w:val="center"/>
            <w:hideMark/>
          </w:tcPr>
          <w:p w14:paraId="43991D35" w14:textId="77777777" w:rsidR="00FE50EF" w:rsidRPr="007D53F9" w:rsidRDefault="00FE50EF" w:rsidP="000A0071">
            <w:pPr>
              <w:rPr>
                <w:sz w:val="20"/>
                <w:szCs w:val="20"/>
              </w:rPr>
            </w:pPr>
            <w:r w:rsidRPr="007D53F9">
              <w:rPr>
                <w:sz w:val="20"/>
                <w:szCs w:val="20"/>
              </w:rPr>
              <w:t>Supports automated assessments, quizzes, and immediate feedback in online CPD programmes</w:t>
            </w:r>
          </w:p>
        </w:tc>
        <w:tc>
          <w:tcPr>
            <w:tcW w:w="0" w:type="auto"/>
            <w:vAlign w:val="center"/>
            <w:hideMark/>
          </w:tcPr>
          <w:p w14:paraId="640254EA" w14:textId="77777777" w:rsidR="00FE50EF" w:rsidRPr="007D53F9" w:rsidRDefault="00FE50EF" w:rsidP="000A0071">
            <w:pPr>
              <w:rPr>
                <w:sz w:val="20"/>
                <w:szCs w:val="20"/>
              </w:rPr>
            </w:pPr>
            <w:r w:rsidRPr="007D53F9">
              <w:rPr>
                <w:sz w:val="20"/>
                <w:szCs w:val="20"/>
              </w:rPr>
              <w:t>Neglects cognitive processes and higher-order thinking central to academic professional development</w:t>
            </w:r>
          </w:p>
        </w:tc>
        <w:tc>
          <w:tcPr>
            <w:tcW w:w="0" w:type="auto"/>
            <w:vAlign w:val="center"/>
            <w:hideMark/>
          </w:tcPr>
          <w:p w14:paraId="48808CF8" w14:textId="77777777" w:rsidR="00FE50EF" w:rsidRPr="007D53F9" w:rsidRDefault="00FE50EF" w:rsidP="000A0071">
            <w:pPr>
              <w:rPr>
                <w:sz w:val="20"/>
                <w:szCs w:val="20"/>
              </w:rPr>
            </w:pPr>
            <w:r w:rsidRPr="007D53F9">
              <w:rPr>
                <w:sz w:val="20"/>
                <w:szCs w:val="20"/>
              </w:rPr>
              <w:t>Skinner (1953); Ally (2004); Bloom (1956); Kirschner, Sweller and Clark (2006); Burhanuddin et al. (2021)</w:t>
            </w:r>
          </w:p>
        </w:tc>
      </w:tr>
      <w:tr w:rsidR="00FE50EF" w:rsidRPr="007D53F9" w14:paraId="76AC4D7E" w14:textId="77777777" w:rsidTr="000A0071">
        <w:trPr>
          <w:tblCellSpacing w:w="15" w:type="dxa"/>
        </w:trPr>
        <w:tc>
          <w:tcPr>
            <w:tcW w:w="0" w:type="auto"/>
            <w:vAlign w:val="center"/>
            <w:hideMark/>
          </w:tcPr>
          <w:p w14:paraId="2FFB124D" w14:textId="77777777" w:rsidR="00FE50EF" w:rsidRPr="007D53F9" w:rsidRDefault="00FE50EF" w:rsidP="000A0071">
            <w:pPr>
              <w:rPr>
                <w:sz w:val="20"/>
                <w:szCs w:val="20"/>
              </w:rPr>
            </w:pPr>
          </w:p>
        </w:tc>
        <w:tc>
          <w:tcPr>
            <w:tcW w:w="0" w:type="auto"/>
            <w:vAlign w:val="center"/>
            <w:hideMark/>
          </w:tcPr>
          <w:p w14:paraId="4DF9DF5A" w14:textId="77777777" w:rsidR="00FE50EF" w:rsidRPr="007D53F9" w:rsidRDefault="00FE50EF" w:rsidP="000A0071">
            <w:pPr>
              <w:rPr>
                <w:sz w:val="20"/>
                <w:szCs w:val="20"/>
              </w:rPr>
            </w:pPr>
            <w:r w:rsidRPr="007D53F9">
              <w:rPr>
                <w:b/>
                <w:bCs/>
                <w:sz w:val="20"/>
                <w:szCs w:val="20"/>
              </w:rPr>
              <w:t>Cognitivism</w:t>
            </w:r>
          </w:p>
        </w:tc>
        <w:tc>
          <w:tcPr>
            <w:tcW w:w="0" w:type="auto"/>
            <w:vAlign w:val="center"/>
            <w:hideMark/>
          </w:tcPr>
          <w:p w14:paraId="05FA4F33" w14:textId="77777777" w:rsidR="00FE50EF" w:rsidRPr="007D53F9" w:rsidRDefault="00FE50EF" w:rsidP="000A0071">
            <w:pPr>
              <w:rPr>
                <w:sz w:val="20"/>
                <w:szCs w:val="20"/>
              </w:rPr>
            </w:pPr>
            <w:r w:rsidRPr="007D53F9">
              <w:rPr>
                <w:sz w:val="20"/>
                <w:szCs w:val="20"/>
              </w:rPr>
              <w:t>Focus on internal mental processes such as memory, perception, and problem-solving</w:t>
            </w:r>
          </w:p>
        </w:tc>
        <w:tc>
          <w:tcPr>
            <w:tcW w:w="0" w:type="auto"/>
            <w:vAlign w:val="center"/>
            <w:hideMark/>
          </w:tcPr>
          <w:p w14:paraId="6EBD0049" w14:textId="77777777" w:rsidR="00FE50EF" w:rsidRPr="007D53F9" w:rsidRDefault="00FE50EF" w:rsidP="000A0071">
            <w:pPr>
              <w:rPr>
                <w:sz w:val="20"/>
                <w:szCs w:val="20"/>
              </w:rPr>
            </w:pPr>
            <w:r w:rsidRPr="007D53F9">
              <w:rPr>
                <w:sz w:val="20"/>
                <w:szCs w:val="20"/>
              </w:rPr>
              <w:t>Informs structured content design, scaffolding, and multimedia use in eLearning for CPD</w:t>
            </w:r>
          </w:p>
        </w:tc>
        <w:tc>
          <w:tcPr>
            <w:tcW w:w="0" w:type="auto"/>
            <w:vAlign w:val="center"/>
            <w:hideMark/>
          </w:tcPr>
          <w:p w14:paraId="63C0E987" w14:textId="77777777" w:rsidR="00FE50EF" w:rsidRPr="007D53F9" w:rsidRDefault="00FE50EF" w:rsidP="000A0071">
            <w:pPr>
              <w:rPr>
                <w:sz w:val="20"/>
                <w:szCs w:val="20"/>
              </w:rPr>
            </w:pPr>
            <w:r w:rsidRPr="007D53F9">
              <w:rPr>
                <w:sz w:val="20"/>
                <w:szCs w:val="20"/>
              </w:rPr>
              <w:t>Underestimates social and contextual dimensions of learning</w:t>
            </w:r>
          </w:p>
        </w:tc>
        <w:tc>
          <w:tcPr>
            <w:tcW w:w="0" w:type="auto"/>
            <w:vAlign w:val="center"/>
            <w:hideMark/>
          </w:tcPr>
          <w:p w14:paraId="7ACBC75E" w14:textId="77777777" w:rsidR="00FE50EF" w:rsidRPr="007D53F9" w:rsidRDefault="00FE50EF" w:rsidP="000A0071">
            <w:pPr>
              <w:rPr>
                <w:sz w:val="20"/>
                <w:szCs w:val="20"/>
              </w:rPr>
            </w:pPr>
            <w:r w:rsidRPr="007D53F9">
              <w:rPr>
                <w:sz w:val="20"/>
                <w:szCs w:val="20"/>
              </w:rPr>
              <w:t>Piaget (1972); Vygotsky (1978); Lave and Wenger (1991)</w:t>
            </w:r>
          </w:p>
        </w:tc>
      </w:tr>
      <w:tr w:rsidR="00FE50EF" w:rsidRPr="007D53F9" w14:paraId="6A74B274" w14:textId="77777777" w:rsidTr="000A0071">
        <w:trPr>
          <w:tblCellSpacing w:w="15" w:type="dxa"/>
        </w:trPr>
        <w:tc>
          <w:tcPr>
            <w:tcW w:w="0" w:type="auto"/>
            <w:vAlign w:val="center"/>
            <w:hideMark/>
          </w:tcPr>
          <w:p w14:paraId="4B25CDCA" w14:textId="77777777" w:rsidR="00FE50EF" w:rsidRPr="007D53F9" w:rsidRDefault="00FE50EF" w:rsidP="000A0071">
            <w:pPr>
              <w:rPr>
                <w:sz w:val="20"/>
                <w:szCs w:val="20"/>
              </w:rPr>
            </w:pPr>
          </w:p>
        </w:tc>
        <w:tc>
          <w:tcPr>
            <w:tcW w:w="0" w:type="auto"/>
            <w:vAlign w:val="center"/>
            <w:hideMark/>
          </w:tcPr>
          <w:p w14:paraId="04549155" w14:textId="77777777" w:rsidR="00FE50EF" w:rsidRPr="007D53F9" w:rsidRDefault="00FE50EF" w:rsidP="000A0071">
            <w:pPr>
              <w:rPr>
                <w:sz w:val="20"/>
                <w:szCs w:val="20"/>
              </w:rPr>
            </w:pPr>
            <w:r w:rsidRPr="007D53F9">
              <w:rPr>
                <w:b/>
                <w:bCs/>
                <w:sz w:val="20"/>
                <w:szCs w:val="20"/>
              </w:rPr>
              <w:t>Constructivism</w:t>
            </w:r>
          </w:p>
        </w:tc>
        <w:tc>
          <w:tcPr>
            <w:tcW w:w="0" w:type="auto"/>
            <w:vAlign w:val="center"/>
            <w:hideMark/>
          </w:tcPr>
          <w:p w14:paraId="3B582047" w14:textId="77777777" w:rsidR="00FE50EF" w:rsidRPr="007D53F9" w:rsidRDefault="00FE50EF" w:rsidP="000A0071">
            <w:pPr>
              <w:rPr>
                <w:sz w:val="20"/>
                <w:szCs w:val="20"/>
              </w:rPr>
            </w:pPr>
            <w:r w:rsidRPr="007D53F9">
              <w:rPr>
                <w:sz w:val="20"/>
                <w:szCs w:val="20"/>
              </w:rPr>
              <w:t>Learning as an active, social, and contextualised process</w:t>
            </w:r>
          </w:p>
        </w:tc>
        <w:tc>
          <w:tcPr>
            <w:tcW w:w="0" w:type="auto"/>
            <w:vAlign w:val="center"/>
            <w:hideMark/>
          </w:tcPr>
          <w:p w14:paraId="3EDB18B0" w14:textId="77777777" w:rsidR="00FE50EF" w:rsidRPr="007D53F9" w:rsidRDefault="00FE50EF" w:rsidP="000A0071">
            <w:pPr>
              <w:rPr>
                <w:sz w:val="20"/>
                <w:szCs w:val="20"/>
              </w:rPr>
            </w:pPr>
            <w:r w:rsidRPr="007D53F9">
              <w:rPr>
                <w:sz w:val="20"/>
                <w:szCs w:val="20"/>
              </w:rPr>
              <w:t>Underpins collaborative activities such as discussion forums, reflective journals, and problem-based learning in CPD</w:t>
            </w:r>
          </w:p>
        </w:tc>
        <w:tc>
          <w:tcPr>
            <w:tcW w:w="0" w:type="auto"/>
            <w:vAlign w:val="center"/>
            <w:hideMark/>
          </w:tcPr>
          <w:p w14:paraId="764EEA0E" w14:textId="77777777" w:rsidR="00FE50EF" w:rsidRPr="007D53F9" w:rsidRDefault="00FE50EF" w:rsidP="000A0071">
            <w:pPr>
              <w:rPr>
                <w:sz w:val="20"/>
                <w:szCs w:val="20"/>
              </w:rPr>
            </w:pPr>
            <w:r w:rsidRPr="007D53F9">
              <w:rPr>
                <w:sz w:val="20"/>
                <w:szCs w:val="20"/>
              </w:rPr>
              <w:t>Requires careful facilitation; constrained by time pressures and digital literacy levels</w:t>
            </w:r>
          </w:p>
        </w:tc>
        <w:tc>
          <w:tcPr>
            <w:tcW w:w="0" w:type="auto"/>
            <w:vAlign w:val="center"/>
            <w:hideMark/>
          </w:tcPr>
          <w:p w14:paraId="4C761E49" w14:textId="77777777" w:rsidR="00FE50EF" w:rsidRPr="007D53F9" w:rsidRDefault="00FE50EF" w:rsidP="000A0071">
            <w:pPr>
              <w:rPr>
                <w:sz w:val="20"/>
                <w:szCs w:val="20"/>
              </w:rPr>
            </w:pPr>
            <w:r w:rsidRPr="007D53F9">
              <w:rPr>
                <w:sz w:val="20"/>
                <w:szCs w:val="20"/>
              </w:rPr>
              <w:t>Vygotsky (1978)</w:t>
            </w:r>
          </w:p>
        </w:tc>
      </w:tr>
      <w:tr w:rsidR="00FE50EF" w:rsidRPr="007D53F9" w14:paraId="7616EF3B" w14:textId="77777777" w:rsidTr="000A0071">
        <w:trPr>
          <w:tblCellSpacing w:w="15" w:type="dxa"/>
        </w:trPr>
        <w:tc>
          <w:tcPr>
            <w:tcW w:w="0" w:type="auto"/>
            <w:vAlign w:val="center"/>
            <w:hideMark/>
          </w:tcPr>
          <w:p w14:paraId="19EF077A" w14:textId="77777777" w:rsidR="00FE50EF" w:rsidRPr="007D53F9" w:rsidRDefault="00FE50EF" w:rsidP="000A0071">
            <w:pPr>
              <w:rPr>
                <w:sz w:val="20"/>
                <w:szCs w:val="20"/>
              </w:rPr>
            </w:pPr>
          </w:p>
        </w:tc>
        <w:tc>
          <w:tcPr>
            <w:tcW w:w="0" w:type="auto"/>
            <w:vAlign w:val="center"/>
            <w:hideMark/>
          </w:tcPr>
          <w:p w14:paraId="01FE860D" w14:textId="77777777" w:rsidR="00FE50EF" w:rsidRPr="007D53F9" w:rsidRDefault="00FE50EF" w:rsidP="000A0071">
            <w:pPr>
              <w:rPr>
                <w:sz w:val="20"/>
                <w:szCs w:val="20"/>
              </w:rPr>
            </w:pPr>
            <w:r w:rsidRPr="007D53F9">
              <w:rPr>
                <w:b/>
                <w:bCs/>
                <w:sz w:val="20"/>
                <w:szCs w:val="20"/>
              </w:rPr>
              <w:t>Adult Learning Theory (Andragogy)</w:t>
            </w:r>
          </w:p>
        </w:tc>
        <w:tc>
          <w:tcPr>
            <w:tcW w:w="0" w:type="auto"/>
            <w:vAlign w:val="center"/>
            <w:hideMark/>
          </w:tcPr>
          <w:p w14:paraId="1C695314" w14:textId="77777777" w:rsidR="00FE50EF" w:rsidRPr="007D53F9" w:rsidRDefault="00FE50EF" w:rsidP="000A0071">
            <w:pPr>
              <w:rPr>
                <w:sz w:val="20"/>
                <w:szCs w:val="20"/>
              </w:rPr>
            </w:pPr>
            <w:r w:rsidRPr="007D53F9">
              <w:rPr>
                <w:sz w:val="20"/>
                <w:szCs w:val="20"/>
              </w:rPr>
              <w:t>Adults as self-directed, goal-oriented learners motivated by relevance</w:t>
            </w:r>
          </w:p>
        </w:tc>
        <w:tc>
          <w:tcPr>
            <w:tcW w:w="0" w:type="auto"/>
            <w:vAlign w:val="center"/>
            <w:hideMark/>
          </w:tcPr>
          <w:p w14:paraId="0FA4DC25" w14:textId="77777777" w:rsidR="00FE50EF" w:rsidRPr="007D53F9" w:rsidRDefault="00FE50EF" w:rsidP="000A0071">
            <w:pPr>
              <w:rPr>
                <w:sz w:val="20"/>
                <w:szCs w:val="20"/>
              </w:rPr>
            </w:pPr>
            <w:r w:rsidRPr="007D53F9">
              <w:rPr>
                <w:sz w:val="20"/>
                <w:szCs w:val="20"/>
              </w:rPr>
              <w:t>Aligns with flexible, autonomous, and personalised eLearning-based CPD</w:t>
            </w:r>
          </w:p>
        </w:tc>
        <w:tc>
          <w:tcPr>
            <w:tcW w:w="0" w:type="auto"/>
            <w:vAlign w:val="center"/>
            <w:hideMark/>
          </w:tcPr>
          <w:p w14:paraId="429E328F" w14:textId="77777777" w:rsidR="00FE50EF" w:rsidRPr="007D53F9" w:rsidRDefault="00FE50EF" w:rsidP="000A0071">
            <w:pPr>
              <w:rPr>
                <w:sz w:val="20"/>
                <w:szCs w:val="20"/>
              </w:rPr>
            </w:pPr>
            <w:r w:rsidRPr="007D53F9">
              <w:rPr>
                <w:sz w:val="20"/>
                <w:szCs w:val="20"/>
              </w:rPr>
              <w:t>Assumption of intrinsic motivation may not hold in mandated CPD contexts</w:t>
            </w:r>
          </w:p>
        </w:tc>
        <w:tc>
          <w:tcPr>
            <w:tcW w:w="0" w:type="auto"/>
            <w:vAlign w:val="center"/>
            <w:hideMark/>
          </w:tcPr>
          <w:p w14:paraId="4A067DDA" w14:textId="77777777" w:rsidR="00FE50EF" w:rsidRPr="007D53F9" w:rsidRDefault="00FE50EF" w:rsidP="000A0071">
            <w:pPr>
              <w:rPr>
                <w:sz w:val="20"/>
                <w:szCs w:val="20"/>
              </w:rPr>
            </w:pPr>
            <w:r w:rsidRPr="007D53F9">
              <w:rPr>
                <w:sz w:val="20"/>
                <w:szCs w:val="20"/>
              </w:rPr>
              <w:t>Knowles (1984)</w:t>
            </w:r>
          </w:p>
        </w:tc>
      </w:tr>
      <w:tr w:rsidR="00FE50EF" w:rsidRPr="007D53F9" w14:paraId="548DCFBA" w14:textId="77777777" w:rsidTr="000A0071">
        <w:trPr>
          <w:tblCellSpacing w:w="15" w:type="dxa"/>
        </w:trPr>
        <w:tc>
          <w:tcPr>
            <w:tcW w:w="0" w:type="auto"/>
            <w:vAlign w:val="center"/>
            <w:hideMark/>
          </w:tcPr>
          <w:p w14:paraId="68E49EDF" w14:textId="77777777" w:rsidR="00FE50EF" w:rsidRPr="007D53F9" w:rsidRDefault="00FE50EF" w:rsidP="000A0071">
            <w:pPr>
              <w:rPr>
                <w:sz w:val="20"/>
                <w:szCs w:val="20"/>
              </w:rPr>
            </w:pPr>
          </w:p>
        </w:tc>
        <w:tc>
          <w:tcPr>
            <w:tcW w:w="0" w:type="auto"/>
            <w:vAlign w:val="center"/>
            <w:hideMark/>
          </w:tcPr>
          <w:p w14:paraId="25AFB558" w14:textId="77777777" w:rsidR="00FE50EF" w:rsidRPr="007D53F9" w:rsidRDefault="00FE50EF" w:rsidP="000A0071">
            <w:pPr>
              <w:rPr>
                <w:sz w:val="20"/>
                <w:szCs w:val="20"/>
              </w:rPr>
            </w:pPr>
            <w:r w:rsidRPr="007D53F9">
              <w:rPr>
                <w:b/>
                <w:bCs/>
                <w:sz w:val="20"/>
                <w:szCs w:val="20"/>
              </w:rPr>
              <w:t>Connectivism</w:t>
            </w:r>
          </w:p>
        </w:tc>
        <w:tc>
          <w:tcPr>
            <w:tcW w:w="0" w:type="auto"/>
            <w:vAlign w:val="center"/>
            <w:hideMark/>
          </w:tcPr>
          <w:p w14:paraId="60CCACC3" w14:textId="77777777" w:rsidR="00FE50EF" w:rsidRPr="007D53F9" w:rsidRDefault="00FE50EF" w:rsidP="000A0071">
            <w:pPr>
              <w:rPr>
                <w:sz w:val="20"/>
                <w:szCs w:val="20"/>
              </w:rPr>
            </w:pPr>
            <w:r w:rsidRPr="007D53F9">
              <w:rPr>
                <w:sz w:val="20"/>
                <w:szCs w:val="20"/>
              </w:rPr>
              <w:t>Learning through digital networks, communities, and knowledge sharing</w:t>
            </w:r>
          </w:p>
        </w:tc>
        <w:tc>
          <w:tcPr>
            <w:tcW w:w="0" w:type="auto"/>
            <w:vAlign w:val="center"/>
            <w:hideMark/>
          </w:tcPr>
          <w:p w14:paraId="270C8CBC" w14:textId="77777777" w:rsidR="00FE50EF" w:rsidRPr="007D53F9" w:rsidRDefault="00FE50EF" w:rsidP="000A0071">
            <w:pPr>
              <w:rPr>
                <w:sz w:val="20"/>
                <w:szCs w:val="20"/>
              </w:rPr>
            </w:pPr>
            <w:r w:rsidRPr="007D53F9">
              <w:rPr>
                <w:sz w:val="20"/>
                <w:szCs w:val="20"/>
              </w:rPr>
              <w:t>Highlights role of social media, communities of practice, and open resources in CPD</w:t>
            </w:r>
          </w:p>
        </w:tc>
        <w:tc>
          <w:tcPr>
            <w:tcW w:w="0" w:type="auto"/>
            <w:vAlign w:val="center"/>
            <w:hideMark/>
          </w:tcPr>
          <w:p w14:paraId="277FBE3F" w14:textId="77777777" w:rsidR="00FE50EF" w:rsidRPr="007D53F9" w:rsidRDefault="00FE50EF" w:rsidP="000A0071">
            <w:pPr>
              <w:rPr>
                <w:sz w:val="20"/>
                <w:szCs w:val="20"/>
              </w:rPr>
            </w:pPr>
            <w:r w:rsidRPr="007D53F9">
              <w:rPr>
                <w:sz w:val="20"/>
                <w:szCs w:val="20"/>
              </w:rPr>
              <w:t>Contested theoretical status and limited empirical grounding</w:t>
            </w:r>
          </w:p>
        </w:tc>
        <w:tc>
          <w:tcPr>
            <w:tcW w:w="0" w:type="auto"/>
            <w:vAlign w:val="center"/>
            <w:hideMark/>
          </w:tcPr>
          <w:p w14:paraId="6AB24855" w14:textId="77777777" w:rsidR="00FE50EF" w:rsidRPr="007D53F9" w:rsidRDefault="00FE50EF" w:rsidP="000A0071">
            <w:pPr>
              <w:rPr>
                <w:sz w:val="20"/>
                <w:szCs w:val="20"/>
              </w:rPr>
            </w:pPr>
            <w:r w:rsidRPr="007D53F9">
              <w:rPr>
                <w:sz w:val="20"/>
                <w:szCs w:val="20"/>
              </w:rPr>
              <w:t>Siemens (2005)</w:t>
            </w:r>
          </w:p>
        </w:tc>
      </w:tr>
      <w:tr w:rsidR="00FE50EF" w:rsidRPr="007D53F9" w14:paraId="46DEC3D3" w14:textId="77777777" w:rsidTr="000A0071">
        <w:trPr>
          <w:tblCellSpacing w:w="15" w:type="dxa"/>
        </w:trPr>
        <w:tc>
          <w:tcPr>
            <w:tcW w:w="0" w:type="auto"/>
            <w:vAlign w:val="center"/>
            <w:hideMark/>
          </w:tcPr>
          <w:p w14:paraId="5F66ED28" w14:textId="77777777" w:rsidR="00FE50EF" w:rsidRPr="007D53F9" w:rsidRDefault="00FE50EF" w:rsidP="000A0071">
            <w:pPr>
              <w:rPr>
                <w:sz w:val="20"/>
                <w:szCs w:val="20"/>
              </w:rPr>
            </w:pPr>
            <w:r w:rsidRPr="007D53F9">
              <w:rPr>
                <w:b/>
                <w:bCs/>
                <w:sz w:val="20"/>
                <w:szCs w:val="20"/>
              </w:rPr>
              <w:lastRenderedPageBreak/>
              <w:t>Technology Adoption &amp; Acceptance Theories</w:t>
            </w:r>
          </w:p>
        </w:tc>
        <w:tc>
          <w:tcPr>
            <w:tcW w:w="0" w:type="auto"/>
            <w:vAlign w:val="center"/>
            <w:hideMark/>
          </w:tcPr>
          <w:p w14:paraId="0AA50887" w14:textId="77777777" w:rsidR="00FE50EF" w:rsidRPr="007D53F9" w:rsidRDefault="00FE50EF" w:rsidP="000A0071">
            <w:pPr>
              <w:rPr>
                <w:sz w:val="20"/>
                <w:szCs w:val="20"/>
              </w:rPr>
            </w:pPr>
            <w:r w:rsidRPr="007D53F9">
              <w:rPr>
                <w:b/>
                <w:bCs/>
                <w:sz w:val="20"/>
                <w:szCs w:val="20"/>
              </w:rPr>
              <w:t>Technology Acceptance Model (TAM)</w:t>
            </w:r>
          </w:p>
        </w:tc>
        <w:tc>
          <w:tcPr>
            <w:tcW w:w="0" w:type="auto"/>
            <w:vAlign w:val="center"/>
            <w:hideMark/>
          </w:tcPr>
          <w:p w14:paraId="7844D338" w14:textId="77777777" w:rsidR="00FE50EF" w:rsidRPr="007D53F9" w:rsidRDefault="00FE50EF" w:rsidP="000A0071">
            <w:pPr>
              <w:rPr>
                <w:sz w:val="20"/>
                <w:szCs w:val="20"/>
              </w:rPr>
            </w:pPr>
            <w:r w:rsidRPr="007D53F9">
              <w:rPr>
                <w:sz w:val="20"/>
                <w:szCs w:val="20"/>
              </w:rPr>
              <w:t>Perceived usefulness and ease of use drive adoption</w:t>
            </w:r>
          </w:p>
        </w:tc>
        <w:tc>
          <w:tcPr>
            <w:tcW w:w="0" w:type="auto"/>
            <w:vAlign w:val="center"/>
            <w:hideMark/>
          </w:tcPr>
          <w:p w14:paraId="036803AF" w14:textId="77777777" w:rsidR="00FE50EF" w:rsidRPr="007D53F9" w:rsidRDefault="00FE50EF" w:rsidP="000A0071">
            <w:pPr>
              <w:rPr>
                <w:sz w:val="20"/>
                <w:szCs w:val="20"/>
              </w:rPr>
            </w:pPr>
            <w:r w:rsidRPr="007D53F9">
              <w:rPr>
                <w:sz w:val="20"/>
                <w:szCs w:val="20"/>
              </w:rPr>
              <w:t>Explains individual attitudes towards eLearning systems among academics</w:t>
            </w:r>
          </w:p>
        </w:tc>
        <w:tc>
          <w:tcPr>
            <w:tcW w:w="0" w:type="auto"/>
            <w:vAlign w:val="center"/>
            <w:hideMark/>
          </w:tcPr>
          <w:p w14:paraId="4861F943" w14:textId="77777777" w:rsidR="00FE50EF" w:rsidRPr="007D53F9" w:rsidRDefault="00FE50EF" w:rsidP="000A0071">
            <w:pPr>
              <w:rPr>
                <w:sz w:val="20"/>
                <w:szCs w:val="20"/>
              </w:rPr>
            </w:pPr>
            <w:r w:rsidRPr="007D53F9">
              <w:rPr>
                <w:sz w:val="20"/>
                <w:szCs w:val="20"/>
              </w:rPr>
              <w:t>Overly individualistic; limited consideration of organisational and contextual factors</w:t>
            </w:r>
          </w:p>
        </w:tc>
        <w:tc>
          <w:tcPr>
            <w:tcW w:w="0" w:type="auto"/>
            <w:vAlign w:val="center"/>
            <w:hideMark/>
          </w:tcPr>
          <w:p w14:paraId="71A44B04" w14:textId="77777777" w:rsidR="00FE50EF" w:rsidRPr="007D53F9" w:rsidRDefault="00FE50EF" w:rsidP="000A0071">
            <w:pPr>
              <w:rPr>
                <w:sz w:val="20"/>
                <w:szCs w:val="20"/>
              </w:rPr>
            </w:pPr>
            <w:r w:rsidRPr="007D53F9">
              <w:rPr>
                <w:sz w:val="20"/>
                <w:szCs w:val="20"/>
              </w:rPr>
              <w:t>Davis (1989); Bagozzi (2007); Venkatesh and Bala (2008)</w:t>
            </w:r>
          </w:p>
        </w:tc>
      </w:tr>
      <w:tr w:rsidR="00FE50EF" w:rsidRPr="007D53F9" w14:paraId="2322C2B9" w14:textId="77777777" w:rsidTr="000A0071">
        <w:trPr>
          <w:tblCellSpacing w:w="15" w:type="dxa"/>
        </w:trPr>
        <w:tc>
          <w:tcPr>
            <w:tcW w:w="0" w:type="auto"/>
            <w:vAlign w:val="center"/>
            <w:hideMark/>
          </w:tcPr>
          <w:p w14:paraId="6B0B5ABA" w14:textId="77777777" w:rsidR="00FE50EF" w:rsidRPr="007D53F9" w:rsidRDefault="00FE50EF" w:rsidP="000A0071">
            <w:pPr>
              <w:rPr>
                <w:sz w:val="20"/>
                <w:szCs w:val="20"/>
              </w:rPr>
            </w:pPr>
          </w:p>
        </w:tc>
        <w:tc>
          <w:tcPr>
            <w:tcW w:w="0" w:type="auto"/>
            <w:vAlign w:val="center"/>
            <w:hideMark/>
          </w:tcPr>
          <w:p w14:paraId="2DA4930C" w14:textId="77777777" w:rsidR="00FE50EF" w:rsidRPr="007D53F9" w:rsidRDefault="00FE50EF" w:rsidP="000A0071">
            <w:pPr>
              <w:rPr>
                <w:sz w:val="20"/>
                <w:szCs w:val="20"/>
              </w:rPr>
            </w:pPr>
            <w:r w:rsidRPr="007D53F9">
              <w:rPr>
                <w:b/>
                <w:bCs/>
                <w:sz w:val="20"/>
                <w:szCs w:val="20"/>
              </w:rPr>
              <w:t>UTAUT / UTAUT2</w:t>
            </w:r>
          </w:p>
        </w:tc>
        <w:tc>
          <w:tcPr>
            <w:tcW w:w="0" w:type="auto"/>
            <w:vAlign w:val="center"/>
            <w:hideMark/>
          </w:tcPr>
          <w:p w14:paraId="1DAA0868" w14:textId="77777777" w:rsidR="00FE50EF" w:rsidRPr="007D53F9" w:rsidRDefault="00FE50EF" w:rsidP="000A0071">
            <w:pPr>
              <w:rPr>
                <w:sz w:val="20"/>
                <w:szCs w:val="20"/>
              </w:rPr>
            </w:pPr>
            <w:r w:rsidRPr="007D53F9">
              <w:rPr>
                <w:sz w:val="20"/>
                <w:szCs w:val="20"/>
              </w:rPr>
              <w:t>Performance expectancy, effort expectancy, social influence, facilitating conditions</w:t>
            </w:r>
          </w:p>
        </w:tc>
        <w:tc>
          <w:tcPr>
            <w:tcW w:w="0" w:type="auto"/>
            <w:vAlign w:val="center"/>
            <w:hideMark/>
          </w:tcPr>
          <w:p w14:paraId="1F11377A" w14:textId="77777777" w:rsidR="00FE50EF" w:rsidRPr="007D53F9" w:rsidRDefault="00FE50EF" w:rsidP="000A0071">
            <w:pPr>
              <w:rPr>
                <w:sz w:val="20"/>
                <w:szCs w:val="20"/>
              </w:rPr>
            </w:pPr>
            <w:r w:rsidRPr="007D53F9">
              <w:rPr>
                <w:sz w:val="20"/>
                <w:szCs w:val="20"/>
              </w:rPr>
              <w:t>Captures organisational infrastructure and social norms influencing CPD adoption</w:t>
            </w:r>
          </w:p>
        </w:tc>
        <w:tc>
          <w:tcPr>
            <w:tcW w:w="0" w:type="auto"/>
            <w:vAlign w:val="center"/>
            <w:hideMark/>
          </w:tcPr>
          <w:p w14:paraId="728A17E9" w14:textId="77777777" w:rsidR="00FE50EF" w:rsidRPr="007D53F9" w:rsidRDefault="00FE50EF" w:rsidP="000A0071">
            <w:pPr>
              <w:rPr>
                <w:sz w:val="20"/>
                <w:szCs w:val="20"/>
              </w:rPr>
            </w:pPr>
            <w:r w:rsidRPr="007D53F9">
              <w:rPr>
                <w:sz w:val="20"/>
                <w:szCs w:val="20"/>
              </w:rPr>
              <w:t>Complex; prioritises prediction over contextual depth; developed mainly in corporate/developed contexts</w:t>
            </w:r>
          </w:p>
        </w:tc>
        <w:tc>
          <w:tcPr>
            <w:tcW w:w="0" w:type="auto"/>
            <w:vAlign w:val="center"/>
            <w:hideMark/>
          </w:tcPr>
          <w:p w14:paraId="36C4489F" w14:textId="77777777" w:rsidR="00FE50EF" w:rsidRPr="007D53F9" w:rsidRDefault="00FE50EF" w:rsidP="000A0071">
            <w:pPr>
              <w:rPr>
                <w:sz w:val="20"/>
                <w:szCs w:val="20"/>
              </w:rPr>
            </w:pPr>
            <w:r w:rsidRPr="007D53F9">
              <w:rPr>
                <w:sz w:val="20"/>
                <w:szCs w:val="20"/>
              </w:rPr>
              <w:t>Venkatesh et al. (2003); Williams, Rana and Dwivedi (2015); Dwivedi et al. (2019)</w:t>
            </w:r>
          </w:p>
        </w:tc>
      </w:tr>
      <w:tr w:rsidR="00FE50EF" w:rsidRPr="007D53F9" w14:paraId="0F48007F" w14:textId="77777777" w:rsidTr="000A0071">
        <w:trPr>
          <w:tblCellSpacing w:w="15" w:type="dxa"/>
        </w:trPr>
        <w:tc>
          <w:tcPr>
            <w:tcW w:w="0" w:type="auto"/>
            <w:vAlign w:val="center"/>
            <w:hideMark/>
          </w:tcPr>
          <w:p w14:paraId="0794E736" w14:textId="77777777" w:rsidR="00FE50EF" w:rsidRPr="007D53F9" w:rsidRDefault="00FE50EF" w:rsidP="000A0071">
            <w:pPr>
              <w:rPr>
                <w:sz w:val="20"/>
                <w:szCs w:val="20"/>
              </w:rPr>
            </w:pPr>
          </w:p>
        </w:tc>
        <w:tc>
          <w:tcPr>
            <w:tcW w:w="0" w:type="auto"/>
            <w:vAlign w:val="center"/>
            <w:hideMark/>
          </w:tcPr>
          <w:p w14:paraId="7676B856" w14:textId="77777777" w:rsidR="00FE50EF" w:rsidRPr="007D53F9" w:rsidRDefault="00FE50EF" w:rsidP="000A0071">
            <w:pPr>
              <w:rPr>
                <w:sz w:val="20"/>
                <w:szCs w:val="20"/>
              </w:rPr>
            </w:pPr>
            <w:r w:rsidRPr="007D53F9">
              <w:rPr>
                <w:b/>
                <w:bCs/>
                <w:sz w:val="20"/>
                <w:szCs w:val="20"/>
              </w:rPr>
              <w:t>Diffusion of Innovations (DOI)</w:t>
            </w:r>
          </w:p>
        </w:tc>
        <w:tc>
          <w:tcPr>
            <w:tcW w:w="0" w:type="auto"/>
            <w:vAlign w:val="center"/>
            <w:hideMark/>
          </w:tcPr>
          <w:p w14:paraId="438AC483" w14:textId="77777777" w:rsidR="00FE50EF" w:rsidRPr="007D53F9" w:rsidRDefault="00FE50EF" w:rsidP="000A0071">
            <w:pPr>
              <w:rPr>
                <w:sz w:val="20"/>
                <w:szCs w:val="20"/>
              </w:rPr>
            </w:pPr>
            <w:r w:rsidRPr="007D53F9">
              <w:rPr>
                <w:sz w:val="20"/>
                <w:szCs w:val="20"/>
              </w:rPr>
              <w:t>Adoption as a social process influenced by innovation characteristics</w:t>
            </w:r>
          </w:p>
        </w:tc>
        <w:tc>
          <w:tcPr>
            <w:tcW w:w="0" w:type="auto"/>
            <w:vAlign w:val="center"/>
            <w:hideMark/>
          </w:tcPr>
          <w:p w14:paraId="3DA1A670" w14:textId="77777777" w:rsidR="00FE50EF" w:rsidRPr="007D53F9" w:rsidRDefault="00FE50EF" w:rsidP="000A0071">
            <w:pPr>
              <w:rPr>
                <w:sz w:val="20"/>
                <w:szCs w:val="20"/>
              </w:rPr>
            </w:pPr>
            <w:r w:rsidRPr="007D53F9">
              <w:rPr>
                <w:sz w:val="20"/>
                <w:szCs w:val="20"/>
              </w:rPr>
              <w:t>Explains spread of eLearning for CPD within academic communities</w:t>
            </w:r>
          </w:p>
        </w:tc>
        <w:tc>
          <w:tcPr>
            <w:tcW w:w="0" w:type="auto"/>
            <w:vAlign w:val="center"/>
            <w:hideMark/>
          </w:tcPr>
          <w:p w14:paraId="7D7AF026" w14:textId="77777777" w:rsidR="00FE50EF" w:rsidRPr="007D53F9" w:rsidRDefault="00FE50EF" w:rsidP="000A0071">
            <w:pPr>
              <w:rPr>
                <w:sz w:val="20"/>
                <w:szCs w:val="20"/>
              </w:rPr>
            </w:pPr>
            <w:r w:rsidRPr="007D53F9">
              <w:rPr>
                <w:sz w:val="20"/>
                <w:szCs w:val="20"/>
              </w:rPr>
              <w:t>Assumes stable, resource-rich contexts; underplays power and structural inequalities</w:t>
            </w:r>
          </w:p>
        </w:tc>
        <w:tc>
          <w:tcPr>
            <w:tcW w:w="0" w:type="auto"/>
            <w:vAlign w:val="center"/>
            <w:hideMark/>
          </w:tcPr>
          <w:p w14:paraId="705BDD5C" w14:textId="77777777" w:rsidR="00FE50EF" w:rsidRPr="007D53F9" w:rsidRDefault="00FE50EF" w:rsidP="000A0071">
            <w:pPr>
              <w:rPr>
                <w:sz w:val="20"/>
                <w:szCs w:val="20"/>
              </w:rPr>
            </w:pPr>
            <w:r w:rsidRPr="007D53F9">
              <w:rPr>
                <w:sz w:val="20"/>
                <w:szCs w:val="20"/>
              </w:rPr>
              <w:t>Rogers (2003); Avgerou (2008); Heeks (2010)</w:t>
            </w:r>
          </w:p>
        </w:tc>
      </w:tr>
      <w:tr w:rsidR="00FE50EF" w:rsidRPr="007D53F9" w14:paraId="4EDF3D2A" w14:textId="77777777" w:rsidTr="000A0071">
        <w:trPr>
          <w:tblCellSpacing w:w="15" w:type="dxa"/>
        </w:trPr>
        <w:tc>
          <w:tcPr>
            <w:tcW w:w="0" w:type="auto"/>
            <w:vAlign w:val="center"/>
            <w:hideMark/>
          </w:tcPr>
          <w:p w14:paraId="5847B52B" w14:textId="77777777" w:rsidR="00FE50EF" w:rsidRPr="007D53F9" w:rsidRDefault="00FE50EF" w:rsidP="000A0071">
            <w:pPr>
              <w:rPr>
                <w:sz w:val="20"/>
                <w:szCs w:val="20"/>
              </w:rPr>
            </w:pPr>
          </w:p>
        </w:tc>
        <w:tc>
          <w:tcPr>
            <w:tcW w:w="0" w:type="auto"/>
            <w:vAlign w:val="center"/>
            <w:hideMark/>
          </w:tcPr>
          <w:p w14:paraId="51FE12D4" w14:textId="77777777" w:rsidR="00FE50EF" w:rsidRPr="007D53F9" w:rsidRDefault="00FE50EF" w:rsidP="000A0071">
            <w:pPr>
              <w:rPr>
                <w:sz w:val="20"/>
                <w:szCs w:val="20"/>
              </w:rPr>
            </w:pPr>
            <w:r w:rsidRPr="007D53F9">
              <w:rPr>
                <w:b/>
                <w:bCs/>
                <w:sz w:val="20"/>
                <w:szCs w:val="20"/>
              </w:rPr>
              <w:t>Theory of Planned Behavior (TPB)</w:t>
            </w:r>
          </w:p>
        </w:tc>
        <w:tc>
          <w:tcPr>
            <w:tcW w:w="0" w:type="auto"/>
            <w:vAlign w:val="center"/>
            <w:hideMark/>
          </w:tcPr>
          <w:p w14:paraId="1B25318D" w14:textId="77777777" w:rsidR="00FE50EF" w:rsidRPr="007D53F9" w:rsidRDefault="00FE50EF" w:rsidP="000A0071">
            <w:pPr>
              <w:rPr>
                <w:sz w:val="20"/>
                <w:szCs w:val="20"/>
              </w:rPr>
            </w:pPr>
            <w:r w:rsidRPr="007D53F9">
              <w:rPr>
                <w:sz w:val="20"/>
                <w:szCs w:val="20"/>
              </w:rPr>
              <w:t>Behaviour shaped by attitudes, subjective norms, and perceived control</w:t>
            </w:r>
          </w:p>
        </w:tc>
        <w:tc>
          <w:tcPr>
            <w:tcW w:w="0" w:type="auto"/>
            <w:vAlign w:val="center"/>
            <w:hideMark/>
          </w:tcPr>
          <w:p w14:paraId="7CEA9C3A" w14:textId="77777777" w:rsidR="00FE50EF" w:rsidRPr="007D53F9" w:rsidRDefault="00FE50EF" w:rsidP="000A0071">
            <w:pPr>
              <w:rPr>
                <w:sz w:val="20"/>
                <w:szCs w:val="20"/>
              </w:rPr>
            </w:pPr>
            <w:r w:rsidRPr="007D53F9">
              <w:rPr>
                <w:sz w:val="20"/>
                <w:szCs w:val="20"/>
              </w:rPr>
              <w:t>Useful for analysing academics’ intentions to engage in eLearning-based CPD</w:t>
            </w:r>
          </w:p>
        </w:tc>
        <w:tc>
          <w:tcPr>
            <w:tcW w:w="0" w:type="auto"/>
            <w:vAlign w:val="center"/>
            <w:hideMark/>
          </w:tcPr>
          <w:p w14:paraId="4F784B24" w14:textId="77777777" w:rsidR="00FE50EF" w:rsidRPr="007D53F9" w:rsidRDefault="00FE50EF" w:rsidP="000A0071">
            <w:pPr>
              <w:rPr>
                <w:sz w:val="20"/>
                <w:szCs w:val="20"/>
              </w:rPr>
            </w:pPr>
            <w:r w:rsidRPr="007D53F9">
              <w:rPr>
                <w:sz w:val="20"/>
                <w:szCs w:val="20"/>
              </w:rPr>
              <w:t>Relies on intention-behaviour link; limited organisational focus</w:t>
            </w:r>
          </w:p>
        </w:tc>
        <w:tc>
          <w:tcPr>
            <w:tcW w:w="0" w:type="auto"/>
            <w:vAlign w:val="center"/>
            <w:hideMark/>
          </w:tcPr>
          <w:p w14:paraId="54E77779" w14:textId="77777777" w:rsidR="00FE50EF" w:rsidRPr="007D53F9" w:rsidRDefault="00FE50EF" w:rsidP="000A0071">
            <w:pPr>
              <w:rPr>
                <w:sz w:val="20"/>
                <w:szCs w:val="20"/>
              </w:rPr>
            </w:pPr>
            <w:r w:rsidRPr="007D53F9">
              <w:rPr>
                <w:sz w:val="20"/>
                <w:szCs w:val="20"/>
              </w:rPr>
              <w:t>Ajzen (1991); Sheeran (2002); Conner and Armitage (1998)</w:t>
            </w:r>
          </w:p>
        </w:tc>
      </w:tr>
      <w:tr w:rsidR="00FE50EF" w:rsidRPr="007D53F9" w14:paraId="325D0A9B" w14:textId="77777777" w:rsidTr="000A0071">
        <w:trPr>
          <w:tblCellSpacing w:w="15" w:type="dxa"/>
        </w:trPr>
        <w:tc>
          <w:tcPr>
            <w:tcW w:w="0" w:type="auto"/>
            <w:vAlign w:val="center"/>
            <w:hideMark/>
          </w:tcPr>
          <w:p w14:paraId="653A56C9" w14:textId="77777777" w:rsidR="00FE50EF" w:rsidRPr="007D53F9" w:rsidRDefault="00FE50EF" w:rsidP="000A0071">
            <w:pPr>
              <w:rPr>
                <w:sz w:val="20"/>
                <w:szCs w:val="20"/>
              </w:rPr>
            </w:pPr>
            <w:r w:rsidRPr="007D53F9">
              <w:rPr>
                <w:b/>
                <w:bCs/>
                <w:sz w:val="20"/>
                <w:szCs w:val="20"/>
              </w:rPr>
              <w:t>Organisational &amp; Institutional Theories</w:t>
            </w:r>
          </w:p>
        </w:tc>
        <w:tc>
          <w:tcPr>
            <w:tcW w:w="0" w:type="auto"/>
            <w:vAlign w:val="center"/>
            <w:hideMark/>
          </w:tcPr>
          <w:p w14:paraId="0A2057C1" w14:textId="77777777" w:rsidR="00FE50EF" w:rsidRPr="007D53F9" w:rsidRDefault="00FE50EF" w:rsidP="000A0071">
            <w:pPr>
              <w:rPr>
                <w:sz w:val="20"/>
                <w:szCs w:val="20"/>
              </w:rPr>
            </w:pPr>
            <w:r w:rsidRPr="007D53F9">
              <w:rPr>
                <w:b/>
                <w:bCs/>
                <w:sz w:val="20"/>
                <w:szCs w:val="20"/>
              </w:rPr>
              <w:t>Institutional Theory</w:t>
            </w:r>
          </w:p>
        </w:tc>
        <w:tc>
          <w:tcPr>
            <w:tcW w:w="0" w:type="auto"/>
            <w:vAlign w:val="center"/>
            <w:hideMark/>
          </w:tcPr>
          <w:p w14:paraId="15D34ED3" w14:textId="77777777" w:rsidR="00FE50EF" w:rsidRPr="007D53F9" w:rsidRDefault="00FE50EF" w:rsidP="000A0071">
            <w:pPr>
              <w:rPr>
                <w:sz w:val="20"/>
                <w:szCs w:val="20"/>
              </w:rPr>
            </w:pPr>
            <w:r w:rsidRPr="007D53F9">
              <w:rPr>
                <w:sz w:val="20"/>
                <w:szCs w:val="20"/>
              </w:rPr>
              <w:t>Organisational behaviour shaped by rules, norms, and cultural-cognitive structures</w:t>
            </w:r>
          </w:p>
        </w:tc>
        <w:tc>
          <w:tcPr>
            <w:tcW w:w="0" w:type="auto"/>
            <w:vAlign w:val="center"/>
            <w:hideMark/>
          </w:tcPr>
          <w:p w14:paraId="6683A19B" w14:textId="77777777" w:rsidR="00FE50EF" w:rsidRPr="007D53F9" w:rsidRDefault="00FE50EF" w:rsidP="000A0071">
            <w:pPr>
              <w:rPr>
                <w:sz w:val="20"/>
                <w:szCs w:val="20"/>
              </w:rPr>
            </w:pPr>
            <w:r w:rsidRPr="007D53F9">
              <w:rPr>
                <w:sz w:val="20"/>
                <w:szCs w:val="20"/>
              </w:rPr>
              <w:t>Explains influence of accreditation, professional standards, and QA frameworks on CPD (e.g. UK)</w:t>
            </w:r>
          </w:p>
        </w:tc>
        <w:tc>
          <w:tcPr>
            <w:tcW w:w="0" w:type="auto"/>
            <w:vAlign w:val="center"/>
            <w:hideMark/>
          </w:tcPr>
          <w:p w14:paraId="62DBB6E9" w14:textId="77777777" w:rsidR="00FE50EF" w:rsidRPr="007D53F9" w:rsidRDefault="00FE50EF" w:rsidP="000A0071">
            <w:pPr>
              <w:rPr>
                <w:sz w:val="20"/>
                <w:szCs w:val="20"/>
              </w:rPr>
            </w:pPr>
            <w:r w:rsidRPr="007D53F9">
              <w:rPr>
                <w:sz w:val="20"/>
                <w:szCs w:val="20"/>
              </w:rPr>
              <w:t>Policy–practice gaps in developing contexts</w:t>
            </w:r>
          </w:p>
        </w:tc>
        <w:tc>
          <w:tcPr>
            <w:tcW w:w="0" w:type="auto"/>
            <w:vAlign w:val="center"/>
            <w:hideMark/>
          </w:tcPr>
          <w:p w14:paraId="2204EF4C" w14:textId="77777777" w:rsidR="00FE50EF" w:rsidRPr="007D53F9" w:rsidRDefault="00FE50EF" w:rsidP="000A0071">
            <w:pPr>
              <w:rPr>
                <w:sz w:val="20"/>
                <w:szCs w:val="20"/>
              </w:rPr>
            </w:pPr>
            <w:r w:rsidRPr="007D53F9">
              <w:rPr>
                <w:sz w:val="20"/>
                <w:szCs w:val="20"/>
              </w:rPr>
              <w:t>DiMaggio and Powell (1983); Scott (2014); QAA (2018); Advance HE (2016)</w:t>
            </w:r>
          </w:p>
        </w:tc>
      </w:tr>
      <w:tr w:rsidR="00FE50EF" w:rsidRPr="007D53F9" w14:paraId="3E0170E4" w14:textId="77777777" w:rsidTr="000A0071">
        <w:trPr>
          <w:tblCellSpacing w:w="15" w:type="dxa"/>
        </w:trPr>
        <w:tc>
          <w:tcPr>
            <w:tcW w:w="0" w:type="auto"/>
            <w:vAlign w:val="center"/>
            <w:hideMark/>
          </w:tcPr>
          <w:p w14:paraId="366CA78A" w14:textId="77777777" w:rsidR="00FE50EF" w:rsidRPr="007D53F9" w:rsidRDefault="00FE50EF" w:rsidP="000A0071">
            <w:pPr>
              <w:rPr>
                <w:sz w:val="20"/>
                <w:szCs w:val="20"/>
              </w:rPr>
            </w:pPr>
          </w:p>
        </w:tc>
        <w:tc>
          <w:tcPr>
            <w:tcW w:w="0" w:type="auto"/>
            <w:vAlign w:val="center"/>
            <w:hideMark/>
          </w:tcPr>
          <w:p w14:paraId="01641AB3" w14:textId="77777777" w:rsidR="00FE50EF" w:rsidRPr="007D53F9" w:rsidRDefault="00FE50EF" w:rsidP="000A0071">
            <w:pPr>
              <w:rPr>
                <w:sz w:val="20"/>
                <w:szCs w:val="20"/>
              </w:rPr>
            </w:pPr>
            <w:r w:rsidRPr="007D53F9">
              <w:rPr>
                <w:b/>
                <w:bCs/>
                <w:sz w:val="20"/>
                <w:szCs w:val="20"/>
              </w:rPr>
              <w:t>Resource-Based View (RBV)</w:t>
            </w:r>
          </w:p>
        </w:tc>
        <w:tc>
          <w:tcPr>
            <w:tcW w:w="0" w:type="auto"/>
            <w:vAlign w:val="center"/>
            <w:hideMark/>
          </w:tcPr>
          <w:p w14:paraId="7860F607" w14:textId="77777777" w:rsidR="00FE50EF" w:rsidRPr="007D53F9" w:rsidRDefault="00FE50EF" w:rsidP="000A0071">
            <w:pPr>
              <w:rPr>
                <w:sz w:val="20"/>
                <w:szCs w:val="20"/>
              </w:rPr>
            </w:pPr>
            <w:r w:rsidRPr="007D53F9">
              <w:rPr>
                <w:sz w:val="20"/>
                <w:szCs w:val="20"/>
              </w:rPr>
              <w:t>Competitive advantage derived from organisational resources and capabilities</w:t>
            </w:r>
          </w:p>
        </w:tc>
        <w:tc>
          <w:tcPr>
            <w:tcW w:w="0" w:type="auto"/>
            <w:vAlign w:val="center"/>
            <w:hideMark/>
          </w:tcPr>
          <w:p w14:paraId="3ACB62CE" w14:textId="77777777" w:rsidR="00FE50EF" w:rsidRPr="007D53F9" w:rsidRDefault="00FE50EF" w:rsidP="000A0071">
            <w:pPr>
              <w:rPr>
                <w:sz w:val="20"/>
                <w:szCs w:val="20"/>
              </w:rPr>
            </w:pPr>
            <w:r w:rsidRPr="007D53F9">
              <w:rPr>
                <w:sz w:val="20"/>
                <w:szCs w:val="20"/>
              </w:rPr>
              <w:t>Highlights role of infrastructure, skilled staff, and financial investment in CPD eLearning</w:t>
            </w:r>
          </w:p>
        </w:tc>
        <w:tc>
          <w:tcPr>
            <w:tcW w:w="0" w:type="auto"/>
            <w:vAlign w:val="center"/>
            <w:hideMark/>
          </w:tcPr>
          <w:p w14:paraId="279A4C62" w14:textId="77777777" w:rsidR="00FE50EF" w:rsidRPr="007D53F9" w:rsidRDefault="00FE50EF" w:rsidP="000A0071">
            <w:pPr>
              <w:rPr>
                <w:sz w:val="20"/>
                <w:szCs w:val="20"/>
              </w:rPr>
            </w:pPr>
            <w:r w:rsidRPr="007D53F9">
              <w:rPr>
                <w:sz w:val="20"/>
                <w:szCs w:val="20"/>
              </w:rPr>
              <w:t>Limited attention to individual agency and cultural factors</w:t>
            </w:r>
          </w:p>
        </w:tc>
        <w:tc>
          <w:tcPr>
            <w:tcW w:w="0" w:type="auto"/>
            <w:vAlign w:val="center"/>
            <w:hideMark/>
          </w:tcPr>
          <w:p w14:paraId="65711362" w14:textId="77777777" w:rsidR="00FE50EF" w:rsidRPr="007D53F9" w:rsidRDefault="00FE50EF" w:rsidP="000A0071">
            <w:pPr>
              <w:rPr>
                <w:sz w:val="20"/>
                <w:szCs w:val="20"/>
              </w:rPr>
            </w:pPr>
            <w:r w:rsidRPr="007D53F9">
              <w:rPr>
                <w:sz w:val="20"/>
                <w:szCs w:val="20"/>
              </w:rPr>
              <w:t>Barney (1991); Barney, Ketchen and Wright (2011); Selim (2007)</w:t>
            </w:r>
          </w:p>
        </w:tc>
      </w:tr>
      <w:tr w:rsidR="00FE50EF" w:rsidRPr="007D53F9" w14:paraId="759F5336" w14:textId="77777777" w:rsidTr="000A0071">
        <w:trPr>
          <w:tblCellSpacing w:w="15" w:type="dxa"/>
        </w:trPr>
        <w:tc>
          <w:tcPr>
            <w:tcW w:w="0" w:type="auto"/>
            <w:vAlign w:val="center"/>
            <w:hideMark/>
          </w:tcPr>
          <w:p w14:paraId="5854AFF2" w14:textId="77777777" w:rsidR="00FE50EF" w:rsidRPr="007D53F9" w:rsidRDefault="00FE50EF" w:rsidP="000A0071">
            <w:pPr>
              <w:rPr>
                <w:sz w:val="20"/>
                <w:szCs w:val="20"/>
              </w:rPr>
            </w:pPr>
          </w:p>
        </w:tc>
        <w:tc>
          <w:tcPr>
            <w:tcW w:w="0" w:type="auto"/>
            <w:vAlign w:val="center"/>
            <w:hideMark/>
          </w:tcPr>
          <w:p w14:paraId="43EEBDF1" w14:textId="77777777" w:rsidR="00FE50EF" w:rsidRPr="007D53F9" w:rsidRDefault="00FE50EF" w:rsidP="000A0071">
            <w:pPr>
              <w:rPr>
                <w:sz w:val="20"/>
                <w:szCs w:val="20"/>
              </w:rPr>
            </w:pPr>
            <w:r w:rsidRPr="007D53F9">
              <w:rPr>
                <w:b/>
                <w:bCs/>
                <w:sz w:val="20"/>
                <w:szCs w:val="20"/>
              </w:rPr>
              <w:t>Sociotechnical Systems Theory</w:t>
            </w:r>
          </w:p>
        </w:tc>
        <w:tc>
          <w:tcPr>
            <w:tcW w:w="0" w:type="auto"/>
            <w:vAlign w:val="center"/>
            <w:hideMark/>
          </w:tcPr>
          <w:p w14:paraId="38F99706" w14:textId="77777777" w:rsidR="00FE50EF" w:rsidRPr="007D53F9" w:rsidRDefault="00FE50EF" w:rsidP="000A0071">
            <w:pPr>
              <w:rPr>
                <w:sz w:val="20"/>
                <w:szCs w:val="20"/>
              </w:rPr>
            </w:pPr>
            <w:r w:rsidRPr="007D53F9">
              <w:rPr>
                <w:sz w:val="20"/>
                <w:szCs w:val="20"/>
              </w:rPr>
              <w:t>Interdependence of social and technical systems</w:t>
            </w:r>
          </w:p>
        </w:tc>
        <w:tc>
          <w:tcPr>
            <w:tcW w:w="0" w:type="auto"/>
            <w:vAlign w:val="center"/>
            <w:hideMark/>
          </w:tcPr>
          <w:p w14:paraId="5A239E2A" w14:textId="77777777" w:rsidR="00FE50EF" w:rsidRPr="007D53F9" w:rsidRDefault="00FE50EF" w:rsidP="000A0071">
            <w:pPr>
              <w:rPr>
                <w:sz w:val="20"/>
                <w:szCs w:val="20"/>
              </w:rPr>
            </w:pPr>
            <w:r w:rsidRPr="007D53F9">
              <w:rPr>
                <w:sz w:val="20"/>
                <w:szCs w:val="20"/>
              </w:rPr>
              <w:t>Emphasises alignment of technology, pedagogy, organisational culture, and support systems</w:t>
            </w:r>
          </w:p>
        </w:tc>
        <w:tc>
          <w:tcPr>
            <w:tcW w:w="0" w:type="auto"/>
            <w:vAlign w:val="center"/>
            <w:hideMark/>
          </w:tcPr>
          <w:p w14:paraId="23779B0F" w14:textId="77777777" w:rsidR="00FE50EF" w:rsidRPr="007D53F9" w:rsidRDefault="00FE50EF" w:rsidP="000A0071">
            <w:pPr>
              <w:rPr>
                <w:sz w:val="20"/>
                <w:szCs w:val="20"/>
              </w:rPr>
            </w:pPr>
            <w:r w:rsidRPr="007D53F9">
              <w:rPr>
                <w:sz w:val="20"/>
                <w:szCs w:val="20"/>
              </w:rPr>
              <w:t>Requires holistic institutional change, which may be challenging to implement</w:t>
            </w:r>
          </w:p>
        </w:tc>
        <w:tc>
          <w:tcPr>
            <w:tcW w:w="0" w:type="auto"/>
            <w:vAlign w:val="center"/>
            <w:hideMark/>
          </w:tcPr>
          <w:p w14:paraId="3E845435" w14:textId="77777777" w:rsidR="00FE50EF" w:rsidRPr="007D53F9" w:rsidRDefault="00FE50EF" w:rsidP="000A0071">
            <w:pPr>
              <w:rPr>
                <w:sz w:val="20"/>
                <w:szCs w:val="20"/>
              </w:rPr>
            </w:pPr>
            <w:r w:rsidRPr="007D53F9">
              <w:rPr>
                <w:sz w:val="20"/>
                <w:szCs w:val="20"/>
              </w:rPr>
              <w:t>Trist and Bamforth (1951); Bostrom and Heinen (1977)</w:t>
            </w:r>
          </w:p>
        </w:tc>
      </w:tr>
    </w:tbl>
    <w:p w14:paraId="037E59FB" w14:textId="77777777" w:rsidR="00FE50EF" w:rsidRDefault="00FE50EF" w:rsidP="00FE50EF">
      <w:pPr>
        <w:spacing w:line="360" w:lineRule="auto"/>
        <w:jc w:val="both"/>
        <w:rPr>
          <w:rFonts w:asciiTheme="minorBidi" w:hAnsiTheme="minorBidi"/>
        </w:rPr>
      </w:pPr>
    </w:p>
    <w:p w14:paraId="4F5D124D" w14:textId="0830E967" w:rsidR="00FE50EF" w:rsidRPr="002C0F9E" w:rsidRDefault="00FE50EF" w:rsidP="004C2172">
      <w:pPr>
        <w:pStyle w:val="Heading2"/>
      </w:pPr>
      <w:bookmarkStart w:id="61" w:name="_Toc218503278"/>
      <w:bookmarkStart w:id="62" w:name="_Toc218504096"/>
      <w:r w:rsidRPr="002C0F9E">
        <w:t>Summary of Theoretical Frameworks Underpinning e</w:t>
      </w:r>
      <w:r w:rsidR="0057779D">
        <w:t>-l</w:t>
      </w:r>
      <w:r w:rsidRPr="002C0F9E">
        <w:t>earning Adoption for CPD</w:t>
      </w:r>
      <w:bookmarkEnd w:id="61"/>
      <w:bookmarkEnd w:id="62"/>
    </w:p>
    <w:p w14:paraId="4093F801" w14:textId="77777777" w:rsidR="00FE50EF" w:rsidRDefault="00FE50EF" w:rsidP="00FE50EF">
      <w:pPr>
        <w:spacing w:line="360" w:lineRule="auto"/>
        <w:jc w:val="both"/>
        <w:rPr>
          <w:rFonts w:asciiTheme="minorBidi" w:hAnsiTheme="minorBidi"/>
        </w:rPr>
      </w:pPr>
    </w:p>
    <w:p w14:paraId="079E04A6" w14:textId="6FBED061" w:rsidR="00FE50EF" w:rsidRPr="007D5F9D" w:rsidRDefault="00FE50EF" w:rsidP="00FE50EF">
      <w:pPr>
        <w:spacing w:line="360" w:lineRule="auto"/>
        <w:jc w:val="both"/>
        <w:rPr>
          <w:rFonts w:asciiTheme="minorBidi" w:hAnsiTheme="minorBidi"/>
        </w:rPr>
      </w:pPr>
      <w:r w:rsidRPr="007D5F9D">
        <w:rPr>
          <w:rFonts w:asciiTheme="minorBidi" w:hAnsiTheme="minorBidi"/>
        </w:rPr>
        <w:t>This summary table strengthens the thesis by demonstrating substantial theoretical breadth and synthesis through the integration of learning theories, technology adoption models, and organisational and institutional perspectives relevant to e</w:t>
      </w:r>
      <w:r w:rsidR="0057779D">
        <w:rPr>
          <w:rFonts w:asciiTheme="minorBidi" w:hAnsiTheme="minorBidi"/>
        </w:rPr>
        <w:t>-l</w:t>
      </w:r>
      <w:r w:rsidRPr="007D5F9D">
        <w:rPr>
          <w:rFonts w:asciiTheme="minorBidi" w:hAnsiTheme="minorBidi"/>
        </w:rPr>
        <w:t>earning for Continuous Professional Development. By explicitly linking each theoretical lens to e</w:t>
      </w:r>
      <w:r w:rsidR="0057779D">
        <w:rPr>
          <w:rFonts w:asciiTheme="minorBidi" w:hAnsiTheme="minorBidi"/>
        </w:rPr>
        <w:t>-l</w:t>
      </w:r>
      <w:r w:rsidRPr="007D5F9D">
        <w:rPr>
          <w:rFonts w:asciiTheme="minorBidi" w:hAnsiTheme="minorBidi"/>
        </w:rPr>
        <w:t>earning practices and CPD outcomes, the table clarifies how individual, pedagogical, technological, and organisational factors collectively shape academics’ engagement with e</w:t>
      </w:r>
      <w:r w:rsidR="003C4132">
        <w:rPr>
          <w:rFonts w:asciiTheme="minorBidi" w:hAnsiTheme="minorBidi"/>
        </w:rPr>
        <w:t>-l</w:t>
      </w:r>
      <w:r w:rsidRPr="007D5F9D">
        <w:rPr>
          <w:rFonts w:asciiTheme="minorBidi" w:hAnsiTheme="minorBidi"/>
        </w:rPr>
        <w:t xml:space="preserve">earning-based CPD. Furthermore, the </w:t>
      </w:r>
      <w:r w:rsidR="003C4132" w:rsidRPr="007D5F9D">
        <w:rPr>
          <w:rFonts w:asciiTheme="minorBidi" w:hAnsiTheme="minorBidi"/>
        </w:rPr>
        <w:t>association</w:t>
      </w:r>
      <w:r w:rsidRPr="007D5F9D">
        <w:rPr>
          <w:rFonts w:asciiTheme="minorBidi" w:hAnsiTheme="minorBidi"/>
        </w:rPr>
        <w:t xml:space="preserve"> of strengths and limitations across theories highlights that no single framework adequately captures the complexity of e</w:t>
      </w:r>
      <w:r w:rsidR="003C4132">
        <w:rPr>
          <w:rFonts w:asciiTheme="minorBidi" w:hAnsiTheme="minorBidi"/>
        </w:rPr>
        <w:t>-l</w:t>
      </w:r>
      <w:r w:rsidRPr="007D5F9D">
        <w:rPr>
          <w:rFonts w:asciiTheme="minorBidi" w:hAnsiTheme="minorBidi"/>
        </w:rPr>
        <w:t xml:space="preserve">earning adoption, thereby justifying the development of an integrated conceptual framework for this study. Importantly, the inclusion of theories that address both resource availability and institutional pressures provides a robust foundation for cross-cultural comparison, enabling systematic </w:t>
      </w:r>
      <w:r w:rsidRPr="007D5F9D">
        <w:rPr>
          <w:rFonts w:asciiTheme="minorBidi" w:hAnsiTheme="minorBidi"/>
        </w:rPr>
        <w:lastRenderedPageBreak/>
        <w:t>analysis of similarities and differences in e</w:t>
      </w:r>
      <w:r w:rsidR="0093448F">
        <w:rPr>
          <w:rFonts w:asciiTheme="minorBidi" w:hAnsiTheme="minorBidi"/>
        </w:rPr>
        <w:t>-l</w:t>
      </w:r>
      <w:r w:rsidRPr="007D5F9D">
        <w:rPr>
          <w:rFonts w:asciiTheme="minorBidi" w:hAnsiTheme="minorBidi"/>
        </w:rPr>
        <w:t>earning adoption for CPD between developed contexts such as the United Kingdom and developing contexts such as Sri Lanka.</w:t>
      </w:r>
    </w:p>
    <w:p w14:paraId="12062174" w14:textId="47A8DD05" w:rsidR="00522B85" w:rsidRDefault="00522B85" w:rsidP="00BC5E5D">
      <w:pPr>
        <w:spacing w:line="360" w:lineRule="auto"/>
        <w:jc w:val="both"/>
        <w:rPr>
          <w:rFonts w:asciiTheme="minorBidi" w:hAnsiTheme="minorBidi"/>
          <w:sz w:val="22"/>
          <w:szCs w:val="22"/>
        </w:rPr>
      </w:pPr>
      <w:r w:rsidRPr="00522B85">
        <w:rPr>
          <w:rFonts w:asciiTheme="minorBidi" w:hAnsiTheme="minorBidi"/>
          <w:sz w:val="22"/>
          <w:szCs w:val="22"/>
        </w:rPr>
        <w:t>Technology adoption theories provide important</w:t>
      </w:r>
      <w:r w:rsidR="00C6313B" w:rsidRPr="00BC5E5D">
        <w:rPr>
          <w:rFonts w:asciiTheme="minorBidi" w:hAnsiTheme="minorBidi"/>
          <w:sz w:val="22"/>
          <w:szCs w:val="22"/>
        </w:rPr>
        <w:t xml:space="preserve">, </w:t>
      </w:r>
      <w:r w:rsidRPr="00522B85">
        <w:rPr>
          <w:rFonts w:asciiTheme="minorBidi" w:hAnsiTheme="minorBidi"/>
          <w:sz w:val="22"/>
          <w:szCs w:val="22"/>
        </w:rPr>
        <w:t>but sometimes limited</w:t>
      </w:r>
      <w:r w:rsidR="00B94F6F" w:rsidRPr="00BC5E5D">
        <w:rPr>
          <w:rFonts w:asciiTheme="minorBidi" w:hAnsiTheme="minorBidi"/>
          <w:sz w:val="22"/>
          <w:szCs w:val="22"/>
        </w:rPr>
        <w:t xml:space="preserve"> </w:t>
      </w:r>
      <w:r w:rsidRPr="00522B85">
        <w:rPr>
          <w:rFonts w:asciiTheme="minorBidi" w:hAnsiTheme="minorBidi"/>
          <w:sz w:val="22"/>
          <w:szCs w:val="22"/>
        </w:rPr>
        <w:t>frameworks for understanding how individuals and organizations decide to use new digital tools. The TAM, developed by Davis (1989), emphasizes perceived usefulness and perceived ease of use as the primary predictors of technology adoption. While TAM has been widely applied due to its simplicity and predictive power, it has been criticized for overlooking social, cultural, and contextual factors that significantly influence adoption in real-world settings (Bagozzi, 2007). UTAUT attempts to address some of these limitations by incorporating social influence, facilitating conditions, and moderating variables such as age and experience (Venkatesh et al., 2003). However, UTAUT has also been critiqued for being overly complex and difficult to generalize across different cultural or organizational contexts (Dwivedi et al., 2011). Meanwhile, DOI theory argues that adoption is influenced by innovation attributes</w:t>
      </w:r>
      <w:r w:rsidR="009961B4" w:rsidRPr="00BC5E5D">
        <w:rPr>
          <w:rFonts w:asciiTheme="minorBidi" w:hAnsiTheme="minorBidi"/>
          <w:sz w:val="22"/>
          <w:szCs w:val="22"/>
        </w:rPr>
        <w:t xml:space="preserve"> </w:t>
      </w:r>
      <w:r w:rsidRPr="00522B85">
        <w:rPr>
          <w:rFonts w:asciiTheme="minorBidi" w:hAnsiTheme="minorBidi"/>
          <w:sz w:val="22"/>
          <w:szCs w:val="22"/>
        </w:rPr>
        <w:t>such as relative advantage, compatibility, and complexity</w:t>
      </w:r>
      <w:r w:rsidR="009961B4" w:rsidRPr="00BC5E5D">
        <w:rPr>
          <w:rFonts w:asciiTheme="minorBidi" w:hAnsiTheme="minorBidi"/>
          <w:sz w:val="22"/>
          <w:szCs w:val="22"/>
        </w:rPr>
        <w:t xml:space="preserve">, </w:t>
      </w:r>
      <w:r w:rsidRPr="00522B85">
        <w:rPr>
          <w:rFonts w:asciiTheme="minorBidi" w:hAnsiTheme="minorBidi"/>
          <w:sz w:val="22"/>
          <w:szCs w:val="22"/>
        </w:rPr>
        <w:t>as well as communication channels and social systems (Rogers, 2003). Although DOI offers broader explanatory power, it has been challenged for assuming a linear adoption process and insufficiently addressing individual psychological factors (Greenhalgh et al., 2004). Overall, while each theory contributes valuable insights, none alone fully captures the dynamic, socio-technical nature of digital adoption in modern environments.</w:t>
      </w:r>
    </w:p>
    <w:p w14:paraId="155606D9" w14:textId="18367C77" w:rsidR="00473A8A" w:rsidRDefault="00473A8A" w:rsidP="00473A8A">
      <w:pPr>
        <w:spacing w:line="360" w:lineRule="auto"/>
        <w:jc w:val="both"/>
        <w:rPr>
          <w:rFonts w:asciiTheme="minorBidi" w:hAnsiTheme="minorBidi"/>
          <w:sz w:val="22"/>
          <w:szCs w:val="22"/>
        </w:rPr>
      </w:pPr>
      <w:r w:rsidRPr="00473A8A">
        <w:rPr>
          <w:rFonts w:asciiTheme="minorBidi" w:hAnsiTheme="minorBidi"/>
          <w:sz w:val="22"/>
          <w:szCs w:val="22"/>
        </w:rPr>
        <w:t xml:space="preserve">Many studies use single adoption theories (e.g., TAM, UTAUT) without integrating wider sociocultural, pedagogical, or organizational frameworks. This narrow theoretical focus has been widely criticized for oversimplifying technology adoption, especially in complex environments such as e-learning (Bagozzi, 2007; Benbasat &amp; Barki, 2007). As a result, research often fails to capture the interplay between technological features, learner psychology, instructional design, and institutional context. Scholars argue that more comprehensive models are needed to combine psychological, technological, and educational perspectives to reflect the multidimensional nature of e-learning adoption (Nguyen et al., 2021; </w:t>
      </w:r>
      <w:r w:rsidR="00417ADB">
        <w:rPr>
          <w:rFonts w:asciiTheme="minorBidi" w:hAnsiTheme="minorBidi"/>
          <w:sz w:val="22"/>
          <w:szCs w:val="22"/>
        </w:rPr>
        <w:t>S</w:t>
      </w:r>
      <w:r w:rsidRPr="00473A8A">
        <w:rPr>
          <w:rFonts w:asciiTheme="minorBidi" w:hAnsiTheme="minorBidi"/>
          <w:sz w:val="22"/>
          <w:szCs w:val="22"/>
        </w:rPr>
        <w:t xml:space="preserve">umak &amp; </w:t>
      </w:r>
      <w:r w:rsidR="00417ADB">
        <w:rPr>
          <w:rFonts w:asciiTheme="minorBidi" w:hAnsiTheme="minorBidi"/>
          <w:sz w:val="22"/>
          <w:szCs w:val="22"/>
        </w:rPr>
        <w:t>S</w:t>
      </w:r>
      <w:r w:rsidRPr="00473A8A">
        <w:rPr>
          <w:rFonts w:asciiTheme="minorBidi" w:hAnsiTheme="minorBidi"/>
          <w:sz w:val="22"/>
          <w:szCs w:val="22"/>
        </w:rPr>
        <w:t>orgo, 2016). Without such integration, technology adoption studies risk producing fragmented explanations that do not accurately represent real-world learning environments.</w:t>
      </w:r>
    </w:p>
    <w:p w14:paraId="228C6DE0" w14:textId="63052196" w:rsidR="00EE4354" w:rsidRPr="00B97120" w:rsidRDefault="00B97120" w:rsidP="00B97120">
      <w:pPr>
        <w:spacing w:line="360" w:lineRule="auto"/>
        <w:jc w:val="both"/>
        <w:rPr>
          <w:rFonts w:asciiTheme="minorBidi" w:hAnsiTheme="minorBidi"/>
          <w:sz w:val="22"/>
          <w:szCs w:val="22"/>
        </w:rPr>
      </w:pPr>
      <w:r w:rsidRPr="00B97120">
        <w:rPr>
          <w:rFonts w:asciiTheme="minorBidi" w:hAnsiTheme="minorBidi"/>
          <w:sz w:val="22"/>
          <w:szCs w:val="22"/>
        </w:rPr>
        <w:t>Many studies focus on technology acceptance</w:t>
      </w:r>
      <w:r w:rsidR="00893C3B">
        <w:rPr>
          <w:rFonts w:asciiTheme="minorBidi" w:hAnsiTheme="minorBidi"/>
          <w:sz w:val="22"/>
          <w:szCs w:val="22"/>
        </w:rPr>
        <w:t xml:space="preserve"> </w:t>
      </w:r>
      <w:r w:rsidRPr="00B97120">
        <w:rPr>
          <w:rFonts w:asciiTheme="minorBidi" w:hAnsiTheme="minorBidi"/>
          <w:sz w:val="22"/>
          <w:szCs w:val="22"/>
        </w:rPr>
        <w:t>such as perceived usefulness and perceived ease of use</w:t>
      </w:r>
      <w:r w:rsidR="00893C3B">
        <w:rPr>
          <w:rFonts w:asciiTheme="minorBidi" w:hAnsiTheme="minorBidi"/>
          <w:sz w:val="22"/>
          <w:szCs w:val="22"/>
        </w:rPr>
        <w:t xml:space="preserve"> </w:t>
      </w:r>
      <w:r w:rsidRPr="00B97120">
        <w:rPr>
          <w:rFonts w:asciiTheme="minorBidi" w:hAnsiTheme="minorBidi"/>
          <w:sz w:val="22"/>
          <w:szCs w:val="22"/>
        </w:rPr>
        <w:t xml:space="preserve">rather than examining actual learning outcomes, performance gains, or skill development. Scholars note that e-learning research often prioritizes user perceptions over measurable cognitive or behavioral outcomes, creating a gap between system adoption and its educational impact (Arbaugh, 2014; Cheng, 2011). Little research meaningfully connects </w:t>
      </w:r>
      <w:r w:rsidRPr="00B97120">
        <w:rPr>
          <w:rFonts w:asciiTheme="minorBidi" w:hAnsiTheme="minorBidi"/>
          <w:sz w:val="22"/>
          <w:szCs w:val="22"/>
        </w:rPr>
        <w:lastRenderedPageBreak/>
        <w:t>e-learning usage patterns, instructional design quality, and cognitive or learning outcomes, despite strong evidence that these factors interact to influence learner achievement (Means et al., 2013; Wong et al., 2020). As a result, the literature provides limited insight into whether e-learning truly improves learning effectiveness or merely expands access to educational content.</w:t>
      </w:r>
    </w:p>
    <w:p w14:paraId="29DF418C" w14:textId="3E695758" w:rsidR="00EE4354" w:rsidRDefault="00EE4354" w:rsidP="00EE4354">
      <w:pPr>
        <w:spacing w:line="360" w:lineRule="auto"/>
        <w:jc w:val="both"/>
        <w:rPr>
          <w:rFonts w:asciiTheme="minorBidi" w:hAnsiTheme="minorBidi"/>
          <w:sz w:val="22"/>
          <w:szCs w:val="22"/>
        </w:rPr>
      </w:pPr>
      <w:r w:rsidRPr="00EE4354">
        <w:rPr>
          <w:rFonts w:asciiTheme="minorBidi" w:hAnsiTheme="minorBidi"/>
          <w:sz w:val="22"/>
          <w:szCs w:val="22"/>
        </w:rPr>
        <w:t xml:space="preserve">Most e-learning literature is concentrated in higher education settings within developed regions, leading to a limited and sometimes biased understanding of global adoption patterns. Studies highlight that research from developing countries remains significantly underrepresented, particularly in </w:t>
      </w:r>
      <w:r w:rsidRPr="00473A8A">
        <w:rPr>
          <w:rFonts w:asciiTheme="minorBidi" w:hAnsiTheme="minorBidi"/>
          <w:sz w:val="22"/>
          <w:szCs w:val="22"/>
        </w:rPr>
        <w:t>primary and secondary education, vocational and workforce training, rural or low-resource environments, and among culturally diverse populations (Dahlan et al., 202</w:t>
      </w:r>
      <w:r w:rsidRPr="00EE4354">
        <w:rPr>
          <w:rFonts w:asciiTheme="minorBidi" w:hAnsiTheme="minorBidi"/>
          <w:sz w:val="22"/>
          <w:szCs w:val="22"/>
        </w:rPr>
        <w:t>0; Islam &amp; Grönlund, 2016). This imbalance restricts the generalizability of findings and overlooks unique socio-economic constraints, infrastructural challenges, and cultural influences that shape e-learning adoption in varied contexts (Khalid et al., 2022). As a result, the literature often reflects the realities of well-resourced institutions while failing to capture the diverse global landscape of digital learning.</w:t>
      </w:r>
    </w:p>
    <w:p w14:paraId="460D5F50" w14:textId="2B891E49" w:rsidR="009840B9" w:rsidRDefault="009840B9" w:rsidP="009840B9">
      <w:pPr>
        <w:spacing w:line="360" w:lineRule="auto"/>
        <w:jc w:val="both"/>
        <w:rPr>
          <w:rFonts w:asciiTheme="minorBidi" w:hAnsiTheme="minorBidi"/>
          <w:sz w:val="22"/>
          <w:szCs w:val="22"/>
        </w:rPr>
      </w:pPr>
      <w:r w:rsidRPr="009840B9">
        <w:rPr>
          <w:rFonts w:asciiTheme="minorBidi" w:hAnsiTheme="minorBidi"/>
          <w:sz w:val="22"/>
          <w:szCs w:val="22"/>
        </w:rPr>
        <w:t xml:space="preserve">In </w:t>
      </w:r>
      <w:r w:rsidR="00F84950" w:rsidRPr="009840B9">
        <w:rPr>
          <w:rFonts w:asciiTheme="minorBidi" w:hAnsiTheme="minorBidi"/>
          <w:sz w:val="22"/>
          <w:szCs w:val="22"/>
        </w:rPr>
        <w:t>summary</w:t>
      </w:r>
      <w:r w:rsidRPr="009840B9">
        <w:rPr>
          <w:rFonts w:asciiTheme="minorBidi" w:hAnsiTheme="minorBidi"/>
          <w:sz w:val="22"/>
          <w:szCs w:val="22"/>
        </w:rPr>
        <w:t xml:space="preserve">, </w:t>
      </w:r>
      <w:r w:rsidR="0010299E">
        <w:rPr>
          <w:rFonts w:asciiTheme="minorBidi" w:hAnsiTheme="minorBidi"/>
          <w:sz w:val="22"/>
          <w:szCs w:val="22"/>
        </w:rPr>
        <w:t>e</w:t>
      </w:r>
      <w:r w:rsidRPr="009840B9">
        <w:rPr>
          <w:rFonts w:asciiTheme="minorBidi" w:hAnsiTheme="minorBidi"/>
          <w:sz w:val="22"/>
          <w:szCs w:val="22"/>
        </w:rPr>
        <w:t>-learning literature is growing rapidly, but several critical gaps remain. Scholars note a lack of deeper theoretical integration, as many studies rely on limited acceptance models rather than comprehensive pedagogical or sociocultural frameworks (Bagozzi, 2007; Nguyen et al., 2021). Research is also dominated by cross-sectional designs, with few long-term or longitudinal studies that examine how e-learning adoption and learning behaviors evolve over time (Bond et al., 2021). Additionally, the field lacks diverse global evidence, as most studies are concentrated in developed regions, limiting the generalizability of findings (Khalid et al., 2022). Another major gap is the insufficient focus on actual learning outcomes, with many studies emphasizing perceptions of acceptance instead of measuring performance or skill development (Means et al., 2013). Finally, limited attention has been given to instructors’ roles, learner engagement mechanisms, and emerging technologies such as AI, AR/VR, and analytics, despite their increasing relevance in modern digital education (Wong et al., 2020).</w:t>
      </w:r>
    </w:p>
    <w:p w14:paraId="28A2C1C3" w14:textId="6E4EF55E" w:rsidR="003E7DB0" w:rsidRPr="007103B2" w:rsidRDefault="003E7DB0" w:rsidP="007103B2">
      <w:pPr>
        <w:tabs>
          <w:tab w:val="left" w:pos="425"/>
        </w:tabs>
        <w:spacing w:line="360" w:lineRule="auto"/>
        <w:jc w:val="both"/>
        <w:rPr>
          <w:rFonts w:asciiTheme="minorBidi" w:hAnsiTheme="minorBidi"/>
          <w:sz w:val="22"/>
          <w:szCs w:val="22"/>
        </w:rPr>
      </w:pPr>
    </w:p>
    <w:p w14:paraId="06F01DED" w14:textId="77777777" w:rsidR="003E7DB0" w:rsidRPr="00CF3C03" w:rsidRDefault="003E7DB0" w:rsidP="004C2172">
      <w:pPr>
        <w:pStyle w:val="Heading2"/>
      </w:pPr>
      <w:bookmarkStart w:id="63" w:name="_Toc218503279"/>
      <w:bookmarkStart w:id="64" w:name="_Toc218504097"/>
      <w:r w:rsidRPr="00CF3C03">
        <w:t>Continuous professional development (CPD)</w:t>
      </w:r>
      <w:bookmarkEnd w:id="63"/>
      <w:bookmarkEnd w:id="64"/>
    </w:p>
    <w:p w14:paraId="44B8B688" w14:textId="77777777" w:rsidR="003E7DB0" w:rsidRPr="00022A1D" w:rsidRDefault="003E7DB0" w:rsidP="003E7DB0">
      <w:pPr>
        <w:spacing w:line="360" w:lineRule="auto"/>
        <w:jc w:val="both"/>
        <w:rPr>
          <w:rFonts w:asciiTheme="minorBidi" w:hAnsiTheme="minorBidi"/>
        </w:rPr>
      </w:pPr>
    </w:p>
    <w:p w14:paraId="7D3F6A67" w14:textId="656DCD3C" w:rsidR="003E7DB0" w:rsidRPr="00022A1D" w:rsidRDefault="003E7DB0" w:rsidP="003E7DB0">
      <w:pPr>
        <w:spacing w:line="360" w:lineRule="auto"/>
        <w:jc w:val="both"/>
        <w:rPr>
          <w:rFonts w:asciiTheme="minorBidi" w:hAnsiTheme="minorBidi"/>
        </w:rPr>
      </w:pPr>
      <w:r w:rsidRPr="00022A1D">
        <w:rPr>
          <w:rFonts w:asciiTheme="minorBidi" w:hAnsiTheme="minorBidi"/>
        </w:rPr>
        <w:t xml:space="preserve">Continuous professional development (CPD) is widely recognised as a core mechanism for sustaining employability, organisational performance, and adaptability in rapidly changing labour markets. CPD refers to any activities aimed at enhancing </w:t>
      </w:r>
      <w:r w:rsidRPr="00022A1D">
        <w:rPr>
          <w:rFonts w:asciiTheme="minorBidi" w:hAnsiTheme="minorBidi"/>
        </w:rPr>
        <w:lastRenderedPageBreak/>
        <w:t xml:space="preserve">the knowledge and skills of teachers by means of orientation, training and support (Coetzer, 2001:78). The development is also likely to affect attitudes and approaches and may may therefore contribute to the improvement of the quality of the learning and teaching process (Bolam in Early </w:t>
      </w:r>
      <w:r w:rsidR="00C23EBD">
        <w:rPr>
          <w:rFonts w:asciiTheme="minorBidi" w:hAnsiTheme="minorBidi"/>
        </w:rPr>
        <w:t>and</w:t>
      </w:r>
      <w:r w:rsidRPr="00022A1D">
        <w:rPr>
          <w:rFonts w:asciiTheme="minorBidi" w:hAnsiTheme="minorBidi"/>
        </w:rPr>
        <w:t xml:space="preserve"> Bubb, 2004:4; Day </w:t>
      </w:r>
      <w:r w:rsidR="00C23EBD">
        <w:rPr>
          <w:rFonts w:asciiTheme="minorBidi" w:hAnsiTheme="minorBidi"/>
        </w:rPr>
        <w:t>and</w:t>
      </w:r>
      <w:r w:rsidRPr="00022A1D">
        <w:rPr>
          <w:rFonts w:asciiTheme="minorBidi" w:hAnsiTheme="minorBidi"/>
        </w:rPr>
        <w:t xml:space="preserve"> Sachs, 2004:3).</w:t>
      </w:r>
    </w:p>
    <w:p w14:paraId="04E1D9F2" w14:textId="77777777" w:rsidR="003E7DB0" w:rsidRPr="00022A1D" w:rsidRDefault="003E7DB0" w:rsidP="003E7DB0">
      <w:pPr>
        <w:spacing w:line="360" w:lineRule="auto"/>
        <w:jc w:val="both"/>
        <w:rPr>
          <w:rFonts w:asciiTheme="minorBidi" w:hAnsiTheme="minorBidi"/>
        </w:rPr>
      </w:pPr>
    </w:p>
    <w:p w14:paraId="6772DB60" w14:textId="77777777" w:rsidR="003E7DB0" w:rsidRPr="00022A1D" w:rsidRDefault="003E7DB0" w:rsidP="003E7DB0">
      <w:pPr>
        <w:spacing w:line="360" w:lineRule="auto"/>
        <w:jc w:val="both"/>
        <w:rPr>
          <w:rFonts w:asciiTheme="minorBidi" w:hAnsiTheme="minorBidi"/>
        </w:rPr>
      </w:pPr>
      <w:r w:rsidRPr="00022A1D">
        <w:rPr>
          <w:rFonts w:asciiTheme="minorBidi" w:hAnsiTheme="minorBidi"/>
        </w:rPr>
        <w:t>Professional bodies and employers increasingly expect workers to engage in ongoing learning to maintain competence and respond to technological, regulatory and societal shifts. CPD is commonly defined as the ongoing, planned and reflective process of developing knowledge, skills and behaviours beyond initial training, integrated into everyday work and career progression(CPD,UK).</w:t>
      </w:r>
    </w:p>
    <w:p w14:paraId="3C56D023" w14:textId="77777777" w:rsidR="003E7DB0" w:rsidRPr="00022A1D" w:rsidRDefault="003E7DB0" w:rsidP="003E7DB0">
      <w:pPr>
        <w:spacing w:line="360" w:lineRule="auto"/>
        <w:jc w:val="both"/>
        <w:rPr>
          <w:rFonts w:asciiTheme="minorBidi" w:hAnsiTheme="minorBidi"/>
        </w:rPr>
      </w:pPr>
      <w:r w:rsidRPr="00022A1D">
        <w:rPr>
          <w:rFonts w:asciiTheme="minorBidi" w:hAnsiTheme="minorBidi"/>
        </w:rPr>
        <w:t>This review synthesises key strands of the literature on CPD in the workplace, focusing on conceptualisations and models, evidence of impact, enabling conditions and barriers, and directions for future research and practice.</w:t>
      </w:r>
    </w:p>
    <w:p w14:paraId="697B9585" w14:textId="77777777" w:rsidR="003E7DB0" w:rsidRPr="00292205" w:rsidRDefault="003E7DB0" w:rsidP="004C2172">
      <w:pPr>
        <w:pStyle w:val="Heading3"/>
      </w:pPr>
      <w:bookmarkStart w:id="65" w:name="_Toc218503280"/>
      <w:bookmarkStart w:id="66" w:name="_Toc218504098"/>
      <w:r w:rsidRPr="00292205">
        <w:t>Conceptualisations and models of CPD</w:t>
      </w:r>
      <w:bookmarkEnd w:id="65"/>
      <w:bookmarkEnd w:id="66"/>
    </w:p>
    <w:p w14:paraId="4524021B" w14:textId="77777777" w:rsidR="003E7DB0" w:rsidRPr="00292205" w:rsidRDefault="003E7DB0" w:rsidP="003E7DB0">
      <w:pPr>
        <w:spacing w:line="360" w:lineRule="auto"/>
        <w:jc w:val="both"/>
        <w:rPr>
          <w:rFonts w:asciiTheme="minorBidi" w:hAnsiTheme="minorBidi"/>
        </w:rPr>
      </w:pPr>
      <w:r w:rsidRPr="00292205">
        <w:rPr>
          <w:rFonts w:asciiTheme="minorBidi" w:hAnsiTheme="minorBidi"/>
        </w:rPr>
        <w:t>The CPD concept is broad and contested. It encompasses formal activities (courses, workshops, accredited programmes) and informal workplace learning (peer learning, mentoring, communities of practice, on-the-job experimentation</w:t>
      </w:r>
      <w:r w:rsidRPr="00022A1D">
        <w:rPr>
          <w:rFonts w:asciiTheme="minorBidi" w:hAnsiTheme="minorBidi"/>
        </w:rPr>
        <w:t>(Awal, 2022</w:t>
      </w:r>
      <w:r w:rsidRPr="00292205">
        <w:rPr>
          <w:rFonts w:asciiTheme="minorBidi" w:hAnsiTheme="minorBidi"/>
        </w:rPr>
        <w:t>)</w:t>
      </w:r>
      <w:r w:rsidRPr="00022A1D">
        <w:rPr>
          <w:rFonts w:asciiTheme="minorBidi" w:hAnsiTheme="minorBidi"/>
        </w:rPr>
        <w:t xml:space="preserve">. </w:t>
      </w:r>
      <w:r w:rsidRPr="00292205">
        <w:rPr>
          <w:rFonts w:asciiTheme="minorBidi" w:hAnsiTheme="minorBidi"/>
        </w:rPr>
        <w:t xml:space="preserve"> Day’s influential definition frames CPD as all processes that maintain and enhance professional practice throughout a career, emphasising reflection, collaboration and classroom or workplace change rather than attendance at isolated events</w:t>
      </w:r>
      <w:r w:rsidRPr="00022A1D">
        <w:rPr>
          <w:rFonts w:asciiTheme="minorBidi" w:hAnsiTheme="minorBidi"/>
        </w:rPr>
        <w:t>(Awal, 2022).</w:t>
      </w:r>
    </w:p>
    <w:p w14:paraId="1171AA24" w14:textId="77777777" w:rsidR="003E7DB0" w:rsidRPr="00292205" w:rsidRDefault="003E7DB0" w:rsidP="003E7DB0">
      <w:pPr>
        <w:spacing w:line="360" w:lineRule="auto"/>
        <w:jc w:val="both"/>
        <w:rPr>
          <w:rFonts w:asciiTheme="minorBidi" w:hAnsiTheme="minorBidi"/>
        </w:rPr>
      </w:pPr>
      <w:r w:rsidRPr="00292205">
        <w:rPr>
          <w:rFonts w:asciiTheme="minorBidi" w:hAnsiTheme="minorBidi"/>
        </w:rPr>
        <w:t>Kennedy’s</w:t>
      </w:r>
      <w:r w:rsidRPr="00022A1D">
        <w:rPr>
          <w:rFonts w:asciiTheme="minorBidi" w:hAnsiTheme="minorBidi"/>
        </w:rPr>
        <w:t>(</w:t>
      </w:r>
      <w:r w:rsidRPr="00292205">
        <w:rPr>
          <w:rFonts w:asciiTheme="minorBidi" w:hAnsiTheme="minorBidi"/>
        </w:rPr>
        <w:t xml:space="preserve">Kennedy, 2005) widely cited framework identifies nine models of CPD </w:t>
      </w:r>
      <w:r w:rsidRPr="00022A1D">
        <w:rPr>
          <w:rFonts w:asciiTheme="minorBidi" w:hAnsiTheme="minorBidi"/>
        </w:rPr>
        <w:t xml:space="preserve"> </w:t>
      </w:r>
      <w:r w:rsidRPr="00292205">
        <w:rPr>
          <w:rFonts w:asciiTheme="minorBidi" w:hAnsiTheme="minorBidi"/>
        </w:rPr>
        <w:t>such as award-bearing, standards-based, coaching/mentoring, community of practice</w:t>
      </w:r>
      <w:r w:rsidRPr="00022A1D">
        <w:rPr>
          <w:rFonts w:asciiTheme="minorBidi" w:hAnsiTheme="minorBidi"/>
        </w:rPr>
        <w:t xml:space="preserve">, </w:t>
      </w:r>
      <w:r w:rsidRPr="00292205">
        <w:rPr>
          <w:rFonts w:asciiTheme="minorBidi" w:hAnsiTheme="minorBidi"/>
        </w:rPr>
        <w:t xml:space="preserve"> action research  and classifies them by the degree of professional autonomy and transformative potential they offer.</w:t>
      </w:r>
      <w:r w:rsidRPr="00022A1D">
        <w:rPr>
          <w:rFonts w:asciiTheme="minorBidi" w:hAnsiTheme="minorBidi"/>
        </w:rPr>
        <w:t xml:space="preserve"> </w:t>
      </w:r>
      <w:r w:rsidRPr="00292205">
        <w:rPr>
          <w:rFonts w:asciiTheme="minorBidi" w:hAnsiTheme="minorBidi"/>
        </w:rPr>
        <w:t xml:space="preserve"> </w:t>
      </w:r>
      <w:r w:rsidRPr="00022A1D">
        <w:rPr>
          <w:rFonts w:asciiTheme="minorBidi" w:hAnsiTheme="minorBidi"/>
        </w:rPr>
        <w:t>In transmission-focused models(Kennedy,2005) such as standards-based or award-bearing programmes, learning is largely directed from the outside and geared toward meeting compliance requirements. In contrast, more transformative models emphasise collaboration and inquiry, enabling professionals to take an active role in creating knowledge and driving change within their organisations.</w:t>
      </w:r>
    </w:p>
    <w:p w14:paraId="5098E2DF" w14:textId="77777777" w:rsidR="003E7DB0" w:rsidRPr="00022A1D" w:rsidRDefault="003E7DB0" w:rsidP="003E7DB0">
      <w:pPr>
        <w:spacing w:line="360" w:lineRule="auto"/>
        <w:jc w:val="both"/>
        <w:rPr>
          <w:rFonts w:asciiTheme="minorBidi" w:hAnsiTheme="minorBidi"/>
        </w:rPr>
      </w:pPr>
      <w:r w:rsidRPr="00292205">
        <w:rPr>
          <w:rFonts w:asciiTheme="minorBidi" w:hAnsiTheme="minorBidi"/>
        </w:rPr>
        <w:t>In parallel, evaluation research has frequently drawn on “level models” derived from Kirkpatrick</w:t>
      </w:r>
      <w:r w:rsidRPr="00022A1D">
        <w:rPr>
          <w:rFonts w:asciiTheme="minorBidi" w:hAnsiTheme="minorBidi"/>
        </w:rPr>
        <w:t>(1998)</w:t>
      </w:r>
      <w:r w:rsidRPr="00292205">
        <w:rPr>
          <w:rFonts w:asciiTheme="minorBidi" w:hAnsiTheme="minorBidi"/>
        </w:rPr>
        <w:t xml:space="preserve">, which trace CPD outcomes from immediate reaction to learning, </w:t>
      </w:r>
      <w:r w:rsidRPr="00292205">
        <w:rPr>
          <w:rFonts w:asciiTheme="minorBidi" w:hAnsiTheme="minorBidi"/>
        </w:rPr>
        <w:lastRenderedPageBreak/>
        <w:t>behaviour change and organisational impact</w:t>
      </w:r>
      <w:r w:rsidRPr="00022A1D">
        <w:rPr>
          <w:rFonts w:asciiTheme="minorBidi" w:hAnsiTheme="minorBidi"/>
        </w:rPr>
        <w:t xml:space="preserve">(Coldwell and Simkins,2011). </w:t>
      </w:r>
      <w:r w:rsidRPr="00292205">
        <w:rPr>
          <w:rFonts w:asciiTheme="minorBidi" w:hAnsiTheme="minorBidi"/>
        </w:rPr>
        <w:t xml:space="preserve"> Coldwell </w:t>
      </w:r>
      <w:r w:rsidRPr="00022A1D">
        <w:rPr>
          <w:rFonts w:asciiTheme="minorBidi" w:hAnsiTheme="minorBidi"/>
        </w:rPr>
        <w:t xml:space="preserve"> and Simkins,2011)</w:t>
      </w:r>
      <w:r w:rsidRPr="00292205">
        <w:rPr>
          <w:rFonts w:asciiTheme="minorBidi" w:hAnsiTheme="minorBidi"/>
        </w:rPr>
        <w:t>argue</w:t>
      </w:r>
      <w:r w:rsidRPr="00022A1D">
        <w:rPr>
          <w:rFonts w:asciiTheme="minorBidi" w:hAnsiTheme="minorBidi"/>
        </w:rPr>
        <w:t>d</w:t>
      </w:r>
      <w:r w:rsidRPr="00292205">
        <w:rPr>
          <w:rFonts w:asciiTheme="minorBidi" w:hAnsiTheme="minorBidi"/>
        </w:rPr>
        <w:t xml:space="preserve"> that while such models are useful, they risk oversimplifying the complex, non-linear ways in which CPD interacts with context, policy and professional identity. Recent scholar</w:t>
      </w:r>
      <w:r w:rsidRPr="00022A1D">
        <w:rPr>
          <w:rFonts w:asciiTheme="minorBidi" w:hAnsiTheme="minorBidi"/>
        </w:rPr>
        <w:t xml:space="preserve">s </w:t>
      </w:r>
      <w:r w:rsidRPr="00292205">
        <w:rPr>
          <w:rFonts w:asciiTheme="minorBidi" w:hAnsiTheme="minorBidi"/>
        </w:rPr>
        <w:t xml:space="preserve"> therefore calls for more theory-informed and context-sensitive approaches to understanding CPD within systems of lifelong learning</w:t>
      </w:r>
      <w:r w:rsidRPr="00022A1D">
        <w:rPr>
          <w:rFonts w:asciiTheme="minorBidi" w:hAnsiTheme="minorBidi"/>
        </w:rPr>
        <w:t>(</w:t>
      </w:r>
      <w:r w:rsidRPr="00292205">
        <w:rPr>
          <w:rFonts w:asciiTheme="minorBidi" w:hAnsiTheme="minorBidi"/>
        </w:rPr>
        <w:t>Friedman,2023</w:t>
      </w:r>
      <w:r w:rsidRPr="00022A1D">
        <w:rPr>
          <w:rFonts w:asciiTheme="minorBidi" w:hAnsiTheme="minorBidi"/>
        </w:rPr>
        <w:t>).  Coldwell and Simkins (2011) emphasize continuing professional development (CPD) as a strategic, organizationally driven process aimed at improving employee  performance,  effectiveness, and accountability within professional settings. Their focus is on how institutions structure, support, and evaluate CPD, highlighting factors such as leadership, policy, and the impact of professional learning on outcomes. In contrast, Friedman (2023) frames CPD within the broader concept of lifelong learning, stressing that professional growth is an ongoing, self-directed, and evolving process shaped by individual motivation and changing professional identities. While both works view CPD as essential for maintaining competence and adapting to change, Coldwell and Simkins(2011) center more on systemic and organizational influences, whereas Friedman(2023) highlights the personal, developmental, and lifelong dimensions of professional learning.</w:t>
      </w:r>
      <w:r w:rsidRPr="00022A1D">
        <w:rPr>
          <w:rFonts w:asciiTheme="minorBidi" w:eastAsia="Times New Roman" w:hAnsiTheme="minorBidi"/>
          <w:kern w:val="0"/>
          <w14:ligatures w14:val="none"/>
        </w:rPr>
        <w:t xml:space="preserve"> </w:t>
      </w:r>
      <w:r w:rsidRPr="00022A1D">
        <w:rPr>
          <w:rFonts w:asciiTheme="minorBidi" w:hAnsiTheme="minorBidi"/>
        </w:rPr>
        <w:t>Both perspectives contribute to today’s understanding of continuing professional development (CPD), but Friedman (2023) aligns more closely with current</w:t>
      </w:r>
      <w:r w:rsidRPr="00022A1D">
        <w:rPr>
          <w:rFonts w:asciiTheme="minorBidi" w:hAnsiTheme="minorBidi"/>
          <w:i/>
          <w:iCs/>
        </w:rPr>
        <w:t xml:space="preserve"> </w:t>
      </w:r>
      <w:r w:rsidRPr="00022A1D">
        <w:rPr>
          <w:rFonts w:asciiTheme="minorBidi" w:hAnsiTheme="minorBidi"/>
        </w:rPr>
        <w:t xml:space="preserve">developments in CPD stated in the previous section of the literature review. </w:t>
      </w:r>
    </w:p>
    <w:p w14:paraId="14445CE8" w14:textId="77777777" w:rsidR="003E7DB0" w:rsidRPr="00022A1D" w:rsidRDefault="003E7DB0" w:rsidP="003E7DB0">
      <w:pPr>
        <w:spacing w:line="360" w:lineRule="auto"/>
        <w:jc w:val="both"/>
        <w:rPr>
          <w:rFonts w:asciiTheme="minorBidi" w:hAnsiTheme="minorBidi"/>
        </w:rPr>
      </w:pPr>
      <w:r w:rsidRPr="000C12EE">
        <w:rPr>
          <w:rFonts w:asciiTheme="minorBidi" w:hAnsiTheme="minorBidi"/>
        </w:rPr>
        <w:t>Modern CPD trends emphasize lifelong learning, personalization, reflective practice, self-directed growth, and adaptability</w:t>
      </w:r>
      <w:r w:rsidRPr="00022A1D">
        <w:rPr>
          <w:rFonts w:asciiTheme="minorBidi" w:hAnsiTheme="minorBidi"/>
        </w:rPr>
        <w:t xml:space="preserve"> </w:t>
      </w:r>
      <w:r w:rsidRPr="000C12EE">
        <w:rPr>
          <w:rFonts w:asciiTheme="minorBidi" w:hAnsiTheme="minorBidi"/>
        </w:rPr>
        <w:t>all of which are central to Friedman’s argument. Contemporary CPD frameworks increasingly recognize that professionals need to continuously update their skills in response to rapid technological, social, and workplace changes. This shift moves CPD away from being primarily top-down, organizationally controlled (as described by Coldwell &amp; Simkins, 2011) and toward approaches that empower individuals to take ownership of their learning, pursue diverse learning pathways, and integrate ongoing development into their professional identity.</w:t>
      </w:r>
    </w:p>
    <w:p w14:paraId="1DACE63B" w14:textId="77777777" w:rsidR="003E7DB0" w:rsidRPr="000C12EE" w:rsidRDefault="003E7DB0" w:rsidP="004C2172">
      <w:pPr>
        <w:pStyle w:val="Heading3"/>
      </w:pPr>
      <w:bookmarkStart w:id="67" w:name="_Toc218503281"/>
      <w:bookmarkStart w:id="68" w:name="_Toc218504099"/>
      <w:r w:rsidRPr="000C12EE">
        <w:t>CPD as part of lifelong learning and organisational strategy</w:t>
      </w:r>
      <w:bookmarkEnd w:id="67"/>
      <w:bookmarkEnd w:id="68"/>
    </w:p>
    <w:p w14:paraId="0D0936E2" w14:textId="77777777" w:rsidR="003E7DB0" w:rsidRPr="000C12EE" w:rsidRDefault="003E7DB0" w:rsidP="003E7DB0">
      <w:pPr>
        <w:spacing w:line="360" w:lineRule="auto"/>
        <w:jc w:val="both"/>
        <w:rPr>
          <w:rFonts w:asciiTheme="minorBidi" w:hAnsiTheme="minorBidi"/>
        </w:rPr>
      </w:pPr>
      <w:r w:rsidRPr="000C12EE">
        <w:rPr>
          <w:rFonts w:asciiTheme="minorBidi" w:hAnsiTheme="minorBidi"/>
        </w:rPr>
        <w:t>Contemporary literature situates CPD as a key component of lifelong learning and a strategic lever for organisations seeking agility and innovation. Friedman</w:t>
      </w:r>
      <w:r w:rsidRPr="00022A1D">
        <w:rPr>
          <w:rFonts w:asciiTheme="minorBidi" w:hAnsiTheme="minorBidi"/>
        </w:rPr>
        <w:t>(2023)</w:t>
      </w:r>
      <w:r w:rsidRPr="000C12EE">
        <w:rPr>
          <w:rFonts w:asciiTheme="minorBidi" w:hAnsiTheme="minorBidi"/>
        </w:rPr>
        <w:t xml:space="preserve"> conceptualises CPD as an “unappreciated” but substantial part of lifelong learning, </w:t>
      </w:r>
      <w:r w:rsidRPr="000C12EE">
        <w:rPr>
          <w:rFonts w:asciiTheme="minorBidi" w:hAnsiTheme="minorBidi"/>
        </w:rPr>
        <w:lastRenderedPageBreak/>
        <w:t>arguing that it operates at the intersection of personal career goals, professional standards and organisational priorities</w:t>
      </w:r>
      <w:r w:rsidRPr="00022A1D">
        <w:rPr>
          <w:rFonts w:asciiTheme="minorBidi" w:hAnsiTheme="minorBidi"/>
        </w:rPr>
        <w:t xml:space="preserve">(Friedman , 2023). </w:t>
      </w:r>
      <w:r w:rsidRPr="000C12EE">
        <w:rPr>
          <w:rFonts w:asciiTheme="minorBidi" w:hAnsiTheme="minorBidi"/>
        </w:rPr>
        <w:t>Professional associations (CIPD, CPDUK) similarly present CPD as a proactive, forward-looking commitment that should be woven into everyday work, rather than a retrospective “points-collecting” exercise.</w:t>
      </w:r>
      <w:r w:rsidRPr="00022A1D">
        <w:rPr>
          <w:rFonts w:asciiTheme="minorBidi" w:hAnsiTheme="minorBidi"/>
        </w:rPr>
        <w:t xml:space="preserve"> </w:t>
      </w:r>
    </w:p>
    <w:p w14:paraId="358B4096" w14:textId="77777777" w:rsidR="003E7DB0" w:rsidRPr="00022A1D" w:rsidRDefault="003E7DB0" w:rsidP="003E7DB0">
      <w:pPr>
        <w:spacing w:line="360" w:lineRule="auto"/>
        <w:jc w:val="both"/>
        <w:rPr>
          <w:rFonts w:asciiTheme="minorBidi" w:hAnsiTheme="minorBidi"/>
        </w:rPr>
      </w:pPr>
      <w:r w:rsidRPr="000C12EE">
        <w:rPr>
          <w:rFonts w:asciiTheme="minorBidi" w:hAnsiTheme="minorBidi"/>
        </w:rPr>
        <w:t>Empirically, a growing body of research</w:t>
      </w:r>
      <w:r w:rsidRPr="00022A1D">
        <w:rPr>
          <w:rFonts w:asciiTheme="minorBidi" w:hAnsiTheme="minorBidi"/>
        </w:rPr>
        <w:t xml:space="preserve">(Mustafa and Lleshi, 2024) </w:t>
      </w:r>
      <w:r w:rsidRPr="000C12EE">
        <w:rPr>
          <w:rFonts w:asciiTheme="minorBidi" w:hAnsiTheme="minorBidi"/>
        </w:rPr>
        <w:t xml:space="preserve"> links lifelong learning and investments in employee development with improved productivity and organisational effectiveness across sectors. A 2024 study</w:t>
      </w:r>
      <w:r w:rsidRPr="00022A1D">
        <w:rPr>
          <w:rFonts w:asciiTheme="minorBidi" w:hAnsiTheme="minorBidi"/>
        </w:rPr>
        <w:t>(Mustafa and Lleshi, 2024)</w:t>
      </w:r>
      <w:r w:rsidRPr="000C12EE">
        <w:rPr>
          <w:rFonts w:asciiTheme="minorBidi" w:hAnsiTheme="minorBidi"/>
        </w:rPr>
        <w:t xml:space="preserve"> on lifelong learning initiatives reports significant positive relationships between continuous learning, individual performance and broader organisational outcomes. Systematic reviews in public services</w:t>
      </w:r>
      <w:r w:rsidRPr="00022A1D">
        <w:rPr>
          <w:rFonts w:asciiTheme="minorBidi" w:hAnsiTheme="minorBidi"/>
        </w:rPr>
        <w:t>(Gov.uk,2024)</w:t>
      </w:r>
      <w:r w:rsidRPr="000C12EE">
        <w:rPr>
          <w:rFonts w:asciiTheme="minorBidi" w:hAnsiTheme="minorBidi"/>
        </w:rPr>
        <w:t xml:space="preserve"> and civil service contexts similarly highlight professional development as a critical driver for knowledge, skill development and, to a lesser extent, productivity and work performance.</w:t>
      </w:r>
    </w:p>
    <w:p w14:paraId="3A399515" w14:textId="77777777" w:rsidR="003E7DB0" w:rsidRPr="00022A1D" w:rsidRDefault="003E7DB0" w:rsidP="003E7DB0">
      <w:pPr>
        <w:spacing w:line="360" w:lineRule="auto"/>
        <w:jc w:val="both"/>
        <w:rPr>
          <w:rFonts w:asciiTheme="minorBidi" w:hAnsiTheme="minorBidi"/>
        </w:rPr>
      </w:pPr>
    </w:p>
    <w:p w14:paraId="4E191142" w14:textId="77777777" w:rsidR="003E7DB0" w:rsidRPr="00F27955" w:rsidRDefault="003E7DB0" w:rsidP="004C2172">
      <w:pPr>
        <w:pStyle w:val="Heading3"/>
      </w:pPr>
      <w:bookmarkStart w:id="69" w:name="_Toc218503282"/>
      <w:bookmarkStart w:id="70" w:name="_Toc218504100"/>
      <w:r w:rsidRPr="00022A1D">
        <w:t>The i</w:t>
      </w:r>
      <w:r w:rsidRPr="00F27955">
        <w:t>mpact of CPD on performance and outcomes</w:t>
      </w:r>
      <w:bookmarkEnd w:id="69"/>
      <w:bookmarkEnd w:id="70"/>
    </w:p>
    <w:p w14:paraId="32B7E785" w14:textId="77777777" w:rsidR="003E7DB0" w:rsidRPr="00F27955" w:rsidRDefault="003E7DB0" w:rsidP="003E7DB0">
      <w:pPr>
        <w:spacing w:line="360" w:lineRule="auto"/>
        <w:jc w:val="both"/>
        <w:rPr>
          <w:rFonts w:asciiTheme="minorBidi" w:hAnsiTheme="minorBidi"/>
        </w:rPr>
      </w:pPr>
      <w:r w:rsidRPr="00F27955">
        <w:rPr>
          <w:rFonts w:asciiTheme="minorBidi" w:hAnsiTheme="minorBidi"/>
        </w:rPr>
        <w:t>Evidence on the impact of CPD is strongest in health, education and some specialised industries. systematic review of CPD in nursing and long-term care settings</w:t>
      </w:r>
      <w:r w:rsidRPr="00022A1D">
        <w:rPr>
          <w:rFonts w:asciiTheme="minorBidi" w:hAnsiTheme="minorBidi"/>
        </w:rPr>
        <w:t>(Aleo,2024)</w:t>
      </w:r>
      <w:r w:rsidRPr="00F27955">
        <w:rPr>
          <w:rFonts w:asciiTheme="minorBidi" w:hAnsiTheme="minorBidi"/>
        </w:rPr>
        <w:t xml:space="preserve"> found that interventions commonly improved staff knowledge, competencies and, </w:t>
      </w:r>
      <w:r w:rsidRPr="00022A1D">
        <w:rPr>
          <w:rFonts w:asciiTheme="minorBidi" w:hAnsiTheme="minorBidi"/>
        </w:rPr>
        <w:t xml:space="preserve">according to them, </w:t>
      </w:r>
      <w:r w:rsidRPr="00F27955">
        <w:rPr>
          <w:rFonts w:asciiTheme="minorBidi" w:hAnsiTheme="minorBidi"/>
        </w:rPr>
        <w:t xml:space="preserve">in many studies,  impact </w:t>
      </w:r>
      <w:r w:rsidRPr="00022A1D">
        <w:rPr>
          <w:rFonts w:asciiTheme="minorBidi" w:hAnsiTheme="minorBidi"/>
        </w:rPr>
        <w:t xml:space="preserve">of CPD </w:t>
      </w:r>
      <w:r w:rsidRPr="00F27955">
        <w:rPr>
          <w:rFonts w:asciiTheme="minorBidi" w:hAnsiTheme="minorBidi"/>
        </w:rPr>
        <w:t>was sustained over time with good or fair methodological quality.</w:t>
      </w:r>
      <w:r w:rsidRPr="00022A1D">
        <w:rPr>
          <w:rFonts w:asciiTheme="minorBidi" w:hAnsiTheme="minorBidi"/>
        </w:rPr>
        <w:t xml:space="preserve"> </w:t>
      </w:r>
      <w:r w:rsidRPr="00F27955">
        <w:rPr>
          <w:rFonts w:asciiTheme="minorBidi" w:hAnsiTheme="minorBidi"/>
        </w:rPr>
        <w:t>Likewise, a 2025 review of CPD in healthcare concludes that CPD can improve patient outcomes when it is interactive, multi-component and embedded in supportive organisational contexts</w:t>
      </w:r>
      <w:r w:rsidRPr="00022A1D">
        <w:rPr>
          <w:rFonts w:asciiTheme="minorBidi" w:hAnsiTheme="minorBidi"/>
        </w:rPr>
        <w:t xml:space="preserve">(Ali,2025). </w:t>
      </w:r>
    </w:p>
    <w:p w14:paraId="5439AB49" w14:textId="77777777" w:rsidR="003E7DB0" w:rsidRPr="00F27955" w:rsidRDefault="003E7DB0" w:rsidP="003E7DB0">
      <w:pPr>
        <w:spacing w:line="360" w:lineRule="auto"/>
        <w:jc w:val="both"/>
        <w:rPr>
          <w:rFonts w:asciiTheme="minorBidi" w:hAnsiTheme="minorBidi"/>
        </w:rPr>
      </w:pPr>
      <w:r w:rsidRPr="00F27955">
        <w:rPr>
          <w:rFonts w:asciiTheme="minorBidi" w:hAnsiTheme="minorBidi"/>
        </w:rPr>
        <w:t xml:space="preserve">In non-clinical sectors, </w:t>
      </w:r>
      <w:r w:rsidRPr="00292205">
        <w:rPr>
          <w:rFonts w:asciiTheme="minorBidi" w:hAnsiTheme="minorBidi"/>
        </w:rPr>
        <w:t>Harunavamwe</w:t>
      </w:r>
      <w:r w:rsidRPr="00022A1D">
        <w:rPr>
          <w:rFonts w:asciiTheme="minorBidi" w:hAnsiTheme="minorBidi"/>
        </w:rPr>
        <w:t xml:space="preserve"> and Mnqayi( 2021)</w:t>
      </w:r>
      <w:r w:rsidRPr="00F27955">
        <w:rPr>
          <w:rFonts w:asciiTheme="minorBidi" w:hAnsiTheme="minorBidi"/>
        </w:rPr>
        <w:t xml:space="preserve"> study of CPD in a corporate context found that employees perceived CPD as positively influencing performance through updating skills, shaping desired behaviours and correcting mistakes. Research on public university administrators in Ghana</w:t>
      </w:r>
      <w:r w:rsidRPr="00022A1D">
        <w:rPr>
          <w:rFonts w:asciiTheme="minorBidi" w:hAnsiTheme="minorBidi"/>
        </w:rPr>
        <w:t>(Susuawu and Antwi, 2022)</w:t>
      </w:r>
      <w:r w:rsidRPr="00F27955">
        <w:rPr>
          <w:rFonts w:asciiTheme="minorBidi" w:hAnsiTheme="minorBidi"/>
        </w:rPr>
        <w:t xml:space="preserve"> identified a moderate but significant positive relationship between participation in CPD and job performance, with little effect of demographic variables, suggesting benefits across diverse employee groups. Evidence from the petrochemical sector indicates year-on-year performance improvements associated with structured CPD programmes, with no gender differences in outcomes</w:t>
      </w:r>
      <w:r w:rsidRPr="00022A1D">
        <w:rPr>
          <w:rFonts w:asciiTheme="minorBidi" w:hAnsiTheme="minorBidi"/>
        </w:rPr>
        <w:t>(Steevan and  Uchil,2024).</w:t>
      </w:r>
    </w:p>
    <w:p w14:paraId="436D04C8" w14:textId="77777777" w:rsidR="003E7DB0" w:rsidRPr="00022A1D" w:rsidRDefault="003E7DB0" w:rsidP="003E7DB0">
      <w:pPr>
        <w:spacing w:line="360" w:lineRule="auto"/>
        <w:jc w:val="both"/>
        <w:rPr>
          <w:rFonts w:asciiTheme="minorBidi" w:hAnsiTheme="minorBidi"/>
        </w:rPr>
      </w:pPr>
      <w:r w:rsidRPr="00F27955">
        <w:rPr>
          <w:rFonts w:asciiTheme="minorBidi" w:hAnsiTheme="minorBidi"/>
        </w:rPr>
        <w:lastRenderedPageBreak/>
        <w:t>At a more general level, recent work in management and HRM</w:t>
      </w:r>
      <w:r w:rsidRPr="00022A1D">
        <w:rPr>
          <w:rFonts w:asciiTheme="minorBidi" w:hAnsiTheme="minorBidi"/>
        </w:rPr>
        <w:t>(Mustafa and Lleshi,2024)</w:t>
      </w:r>
      <w:r w:rsidRPr="00F27955">
        <w:rPr>
          <w:rFonts w:asciiTheme="minorBidi" w:hAnsiTheme="minorBidi"/>
        </w:rPr>
        <w:t xml:space="preserve"> highlights that professional development is associated with improved employee engagement, motivation and retention, which in turn support organisational performance. However, systematic reviews note that many studies focus on short-term knowledge gains or self-reported satisfaction rather than objective performance or productivity metrics, and robust causal evidence remains relatively scarce</w:t>
      </w:r>
      <w:r w:rsidRPr="00022A1D">
        <w:rPr>
          <w:rFonts w:asciiTheme="minorBidi" w:hAnsiTheme="minorBidi"/>
        </w:rPr>
        <w:t>(Gov.uk,2025)</w:t>
      </w:r>
      <w:r w:rsidRPr="00F27955">
        <w:rPr>
          <w:rFonts w:asciiTheme="minorBidi" w:hAnsiTheme="minorBidi"/>
        </w:rPr>
        <w:t>.</w:t>
      </w:r>
      <w:r w:rsidRPr="00022A1D">
        <w:rPr>
          <w:rFonts w:asciiTheme="minorBidi" w:hAnsiTheme="minorBidi"/>
        </w:rPr>
        <w:t xml:space="preserve"> </w:t>
      </w:r>
    </w:p>
    <w:p w14:paraId="485D50C3" w14:textId="77777777" w:rsidR="003E7DB0" w:rsidRPr="00076711" w:rsidRDefault="003E7DB0" w:rsidP="00577C20">
      <w:pPr>
        <w:pStyle w:val="Heading3"/>
      </w:pPr>
      <w:bookmarkStart w:id="71" w:name="_Toc218503283"/>
      <w:bookmarkStart w:id="72" w:name="_Toc218504101"/>
      <w:r w:rsidRPr="00076711">
        <w:t>Conditions for effective CPD in the workplace</w:t>
      </w:r>
      <w:bookmarkEnd w:id="71"/>
      <w:bookmarkEnd w:id="72"/>
    </w:p>
    <w:p w14:paraId="3EF01617" w14:textId="77777777" w:rsidR="003E7DB0" w:rsidRPr="00076711" w:rsidRDefault="003E7DB0" w:rsidP="003E7DB0">
      <w:pPr>
        <w:spacing w:line="360" w:lineRule="auto"/>
        <w:jc w:val="both"/>
        <w:rPr>
          <w:rFonts w:asciiTheme="minorBidi" w:hAnsiTheme="minorBidi"/>
        </w:rPr>
      </w:pPr>
      <w:r w:rsidRPr="00076711">
        <w:rPr>
          <w:rFonts w:asciiTheme="minorBidi" w:hAnsiTheme="minorBidi"/>
        </w:rPr>
        <w:t>The literature converges on several design and contextual features that enhance the effectiveness of CPD. First, CPD is more impactful when grounded in learning needs analysis and aligned with both organisational goals and individual career pathways. A review of CPD efficacy in medicine</w:t>
      </w:r>
      <w:r w:rsidRPr="00022A1D">
        <w:rPr>
          <w:rFonts w:asciiTheme="minorBidi" w:hAnsiTheme="minorBidi"/>
        </w:rPr>
        <w:t>(Schostaka et al,2010)</w:t>
      </w:r>
      <w:r w:rsidRPr="00076711">
        <w:rPr>
          <w:rFonts w:asciiTheme="minorBidi" w:hAnsiTheme="minorBidi"/>
        </w:rPr>
        <w:t xml:space="preserve"> found that professionals were more likely to change practice when learning was based on identified needs and followed up over time.</w:t>
      </w:r>
      <w:r w:rsidRPr="00022A1D">
        <w:rPr>
          <w:rFonts w:asciiTheme="minorBidi" w:hAnsiTheme="minorBidi"/>
        </w:rPr>
        <w:t xml:space="preserve"> </w:t>
      </w:r>
      <w:r w:rsidRPr="00076711">
        <w:rPr>
          <w:rFonts w:asciiTheme="minorBidi" w:hAnsiTheme="minorBidi"/>
        </w:rPr>
        <w:t>Similar principles appear in civil service and education settings, where longitudinal, coherent development pathways show stronger links to practice change than ad-hoc events</w:t>
      </w:r>
      <w:r w:rsidRPr="00022A1D">
        <w:rPr>
          <w:rFonts w:asciiTheme="minorBidi" w:hAnsiTheme="minorBidi"/>
        </w:rPr>
        <w:t xml:space="preserve">(Gov.uk,2025).  </w:t>
      </w:r>
    </w:p>
    <w:p w14:paraId="1B8C549D" w14:textId="77777777" w:rsidR="003E7DB0" w:rsidRPr="00076711" w:rsidRDefault="003E7DB0" w:rsidP="003E7DB0">
      <w:pPr>
        <w:spacing w:line="360" w:lineRule="auto"/>
        <w:jc w:val="both"/>
        <w:rPr>
          <w:rFonts w:asciiTheme="minorBidi" w:hAnsiTheme="minorBidi"/>
        </w:rPr>
      </w:pPr>
      <w:r w:rsidRPr="00076711">
        <w:rPr>
          <w:rFonts w:asciiTheme="minorBidi" w:hAnsiTheme="minorBidi"/>
        </w:rPr>
        <w:t xml:space="preserve">Second, interactive, practice-based and collaborative approaches  such as peer observation, coaching, action research and communities of practice are consistently associated with deeper learning and behaviour change than purely </w:t>
      </w:r>
      <w:r w:rsidRPr="00022A1D">
        <w:rPr>
          <w:rFonts w:asciiTheme="minorBidi" w:hAnsiTheme="minorBidi"/>
        </w:rPr>
        <w:t>teaching</w:t>
      </w:r>
      <w:r w:rsidRPr="00076711">
        <w:rPr>
          <w:rFonts w:asciiTheme="minorBidi" w:hAnsiTheme="minorBidi"/>
        </w:rPr>
        <w:t xml:space="preserve"> formats</w:t>
      </w:r>
      <w:r w:rsidRPr="00022A1D">
        <w:rPr>
          <w:rFonts w:asciiTheme="minorBidi" w:hAnsiTheme="minorBidi"/>
        </w:rPr>
        <w:t xml:space="preserve">(Kennedy, 2005). </w:t>
      </w:r>
      <w:r w:rsidRPr="00076711">
        <w:rPr>
          <w:rFonts w:asciiTheme="minorBidi" w:hAnsiTheme="minorBidi"/>
        </w:rPr>
        <w:t>Workplace-based CPD frameworks emphasise whole</w:t>
      </w:r>
      <w:r w:rsidRPr="00022A1D">
        <w:rPr>
          <w:rFonts w:asciiTheme="minorBidi" w:hAnsiTheme="minorBidi"/>
        </w:rPr>
        <w:t xml:space="preserve"> </w:t>
      </w:r>
      <w:r w:rsidRPr="00076711">
        <w:rPr>
          <w:rFonts w:asciiTheme="minorBidi" w:hAnsiTheme="minorBidi"/>
        </w:rPr>
        <w:t>organisation approaches, integration of academic and experiential knowledge, and structured opportunities to experiment, reflect and share learning</w:t>
      </w:r>
      <w:r w:rsidRPr="00022A1D">
        <w:rPr>
          <w:rFonts w:asciiTheme="minorBidi" w:hAnsiTheme="minorBidi"/>
        </w:rPr>
        <w:t>(Mandelid et al,2024)</w:t>
      </w:r>
      <w:r w:rsidRPr="00076711">
        <w:rPr>
          <w:rFonts w:asciiTheme="minorBidi" w:hAnsiTheme="minorBidi"/>
        </w:rPr>
        <w:t>.</w:t>
      </w:r>
      <w:r w:rsidRPr="00022A1D">
        <w:rPr>
          <w:rFonts w:asciiTheme="minorBidi" w:hAnsiTheme="minorBidi"/>
        </w:rPr>
        <w:t xml:space="preserve"> </w:t>
      </w:r>
    </w:p>
    <w:p w14:paraId="7196BFDB" w14:textId="77777777" w:rsidR="003E7DB0" w:rsidRPr="00022A1D" w:rsidRDefault="003E7DB0" w:rsidP="003E7DB0">
      <w:pPr>
        <w:spacing w:line="360" w:lineRule="auto"/>
        <w:jc w:val="both"/>
        <w:rPr>
          <w:rFonts w:asciiTheme="minorBidi" w:hAnsiTheme="minorBidi"/>
        </w:rPr>
      </w:pPr>
      <w:r w:rsidRPr="00076711">
        <w:rPr>
          <w:rFonts w:asciiTheme="minorBidi" w:hAnsiTheme="minorBidi"/>
        </w:rPr>
        <w:t>Third, leadership and organisational culture are critical. Studies across sectors highlight that management support, relational leadership styles, protected time for learning, and alignment with performance management and career progression all facilitate the translation of CPD into improved practice</w:t>
      </w:r>
      <w:r w:rsidRPr="00022A1D">
        <w:rPr>
          <w:rFonts w:asciiTheme="minorBidi" w:hAnsiTheme="minorBidi"/>
        </w:rPr>
        <w:t>(Aleo et all, 2025).</w:t>
      </w:r>
      <w:r w:rsidRPr="00076711">
        <w:rPr>
          <w:rFonts w:asciiTheme="minorBidi" w:hAnsiTheme="minorBidi"/>
        </w:rPr>
        <w:t xml:space="preserve"> </w:t>
      </w:r>
    </w:p>
    <w:p w14:paraId="3F4B36EF" w14:textId="77777777" w:rsidR="003E7DB0" w:rsidRPr="00076711" w:rsidRDefault="003E7DB0" w:rsidP="003E7DB0">
      <w:pPr>
        <w:spacing w:line="360" w:lineRule="auto"/>
        <w:jc w:val="both"/>
        <w:rPr>
          <w:rFonts w:asciiTheme="minorBidi" w:hAnsiTheme="minorBidi"/>
        </w:rPr>
      </w:pPr>
      <w:r w:rsidRPr="00076711">
        <w:rPr>
          <w:rFonts w:asciiTheme="minorBidi" w:hAnsiTheme="minorBidi"/>
        </w:rPr>
        <w:t xml:space="preserve">Research on fostering a culture of continuous learning </w:t>
      </w:r>
      <w:r w:rsidRPr="00022A1D">
        <w:rPr>
          <w:rFonts w:asciiTheme="minorBidi" w:hAnsiTheme="minorBidi"/>
        </w:rPr>
        <w:t>(Novrianto, Fitriadi and Nengsi, 2024, Ahsan, 2025)</w:t>
      </w:r>
      <w:r w:rsidRPr="00022A1D">
        <w:rPr>
          <w:rFonts w:asciiTheme="minorBidi" w:hAnsiTheme="minorBidi"/>
          <w:b/>
          <w:bCs/>
        </w:rPr>
        <w:t xml:space="preserve"> </w:t>
      </w:r>
      <w:r w:rsidRPr="00076711">
        <w:rPr>
          <w:rFonts w:asciiTheme="minorBidi" w:hAnsiTheme="minorBidi"/>
        </w:rPr>
        <w:t>stresses the importance of signalling the value of CPD, embedding it in HR processes and creating psychologically safe environments for experimentation and feedback.</w:t>
      </w:r>
      <w:r w:rsidRPr="00022A1D">
        <w:rPr>
          <w:rFonts w:asciiTheme="minorBidi" w:hAnsiTheme="minorBidi"/>
        </w:rPr>
        <w:t xml:space="preserve"> </w:t>
      </w:r>
    </w:p>
    <w:p w14:paraId="43874AC3" w14:textId="77777777" w:rsidR="003E7DB0" w:rsidRPr="00F27955" w:rsidRDefault="003E7DB0" w:rsidP="003E7DB0">
      <w:pPr>
        <w:spacing w:line="360" w:lineRule="auto"/>
        <w:jc w:val="both"/>
        <w:rPr>
          <w:rFonts w:asciiTheme="minorBidi" w:hAnsiTheme="minorBidi"/>
        </w:rPr>
      </w:pPr>
    </w:p>
    <w:p w14:paraId="384BEFCF" w14:textId="4E290FD9" w:rsidR="003E7DB0" w:rsidRPr="007A2C44" w:rsidRDefault="003E7DB0" w:rsidP="00577C20">
      <w:pPr>
        <w:pStyle w:val="Heading3"/>
      </w:pPr>
      <w:bookmarkStart w:id="73" w:name="_Toc218503284"/>
      <w:bookmarkStart w:id="74" w:name="_Toc218504102"/>
      <w:r w:rsidRPr="007A2C44">
        <w:lastRenderedPageBreak/>
        <w:t>Barriers and challenges</w:t>
      </w:r>
      <w:bookmarkEnd w:id="73"/>
      <w:bookmarkEnd w:id="74"/>
      <w:r w:rsidR="006553C1">
        <w:t xml:space="preserve"> </w:t>
      </w:r>
      <w:r w:rsidR="00A16E45">
        <w:t>for CPD</w:t>
      </w:r>
    </w:p>
    <w:p w14:paraId="543BB14A" w14:textId="77777777" w:rsidR="003E7DB0" w:rsidRPr="007A2C44" w:rsidRDefault="003E7DB0" w:rsidP="003E7DB0">
      <w:pPr>
        <w:spacing w:line="360" w:lineRule="auto"/>
        <w:jc w:val="both"/>
        <w:rPr>
          <w:rFonts w:asciiTheme="minorBidi" w:hAnsiTheme="minorBidi"/>
        </w:rPr>
      </w:pPr>
      <w:r w:rsidRPr="007A2C44">
        <w:rPr>
          <w:rFonts w:asciiTheme="minorBidi" w:hAnsiTheme="minorBidi"/>
        </w:rPr>
        <w:t>Despite broad support for CPD, participation and impact are constrained by persistent barriers. A 2020 review on CPD in the workplace</w:t>
      </w:r>
      <w:r w:rsidRPr="00022A1D">
        <w:rPr>
          <w:rFonts w:asciiTheme="minorBidi" w:hAnsiTheme="minorBidi"/>
        </w:rPr>
        <w:t>(Suliman, Kruger and Pienaar, 2020)</w:t>
      </w:r>
      <w:r w:rsidRPr="007A2C44">
        <w:rPr>
          <w:rFonts w:asciiTheme="minorBidi" w:hAnsiTheme="minorBidi"/>
        </w:rPr>
        <w:t xml:space="preserve"> found that professionals’ attitudes towards CPD and time constraints due to workload were among the most commonly reported obstacles. Surveys of professionals</w:t>
      </w:r>
      <w:r w:rsidRPr="00022A1D">
        <w:rPr>
          <w:rFonts w:asciiTheme="minorBidi" w:hAnsiTheme="minorBidi"/>
        </w:rPr>
        <w:t>(</w:t>
      </w:r>
      <w:r w:rsidRPr="004E7E7B">
        <w:rPr>
          <w:rFonts w:asciiTheme="minorBidi" w:hAnsiTheme="minorBidi"/>
        </w:rPr>
        <w:t>Manuel</w:t>
      </w:r>
      <w:r w:rsidRPr="00022A1D">
        <w:rPr>
          <w:rFonts w:asciiTheme="minorBidi" w:hAnsiTheme="minorBidi"/>
        </w:rPr>
        <w:t>,2022)</w:t>
      </w:r>
      <w:r w:rsidRPr="007A2C44">
        <w:rPr>
          <w:rFonts w:asciiTheme="minorBidi" w:hAnsiTheme="minorBidi"/>
        </w:rPr>
        <w:t xml:space="preserve"> similarly report high levels of motivation for CPD (often linked to career progression and enjoyment of learning) but widespread perceptions that CPD is time-consuming and difficult to integrate into busy roles.</w:t>
      </w:r>
      <w:r w:rsidRPr="00022A1D">
        <w:rPr>
          <w:rFonts w:asciiTheme="minorBidi" w:hAnsiTheme="minorBidi"/>
        </w:rPr>
        <w:t xml:space="preserve"> </w:t>
      </w:r>
      <w:r w:rsidRPr="007A2C44">
        <w:rPr>
          <w:rFonts w:asciiTheme="minorBidi" w:hAnsiTheme="minorBidi"/>
        </w:rPr>
        <w:t xml:space="preserve"> Cost, lack of access in smaller organisations, and limited recognition of informal learning also feature as barriers.</w:t>
      </w:r>
    </w:p>
    <w:p w14:paraId="110D3C9A" w14:textId="77777777" w:rsidR="003E7DB0" w:rsidRDefault="003E7DB0" w:rsidP="003E7DB0">
      <w:pPr>
        <w:spacing w:line="360" w:lineRule="auto"/>
        <w:jc w:val="both"/>
        <w:rPr>
          <w:rFonts w:asciiTheme="minorBidi" w:hAnsiTheme="minorBidi"/>
        </w:rPr>
      </w:pPr>
      <w:r w:rsidRPr="007A2C44">
        <w:rPr>
          <w:rFonts w:asciiTheme="minorBidi" w:hAnsiTheme="minorBidi"/>
        </w:rPr>
        <w:t>Another challenge is the potential drift towards compliance-driven, tick-b</w:t>
      </w:r>
      <w:r w:rsidRPr="00022A1D">
        <w:rPr>
          <w:rFonts w:asciiTheme="minorBidi" w:hAnsiTheme="minorBidi"/>
        </w:rPr>
        <w:t>o</w:t>
      </w:r>
      <w:r w:rsidRPr="007A2C44">
        <w:rPr>
          <w:rFonts w:asciiTheme="minorBidi" w:hAnsiTheme="minorBidi"/>
        </w:rPr>
        <w:t>x CPD systems focused on accumulating hours or points rather than meaningful learning and impact</w:t>
      </w:r>
      <w:r w:rsidRPr="00022A1D">
        <w:rPr>
          <w:rFonts w:asciiTheme="minorBidi" w:hAnsiTheme="minorBidi"/>
        </w:rPr>
        <w:t xml:space="preserve">((Teunissen </w:t>
      </w:r>
      <w:r>
        <w:rPr>
          <w:rFonts w:asciiTheme="minorBidi" w:hAnsiTheme="minorBidi"/>
        </w:rPr>
        <w:t>and</w:t>
      </w:r>
      <w:r w:rsidRPr="00022A1D">
        <w:rPr>
          <w:rFonts w:asciiTheme="minorBidi" w:hAnsiTheme="minorBidi"/>
        </w:rPr>
        <w:t xml:space="preserve"> Westerman, 2021)</w:t>
      </w:r>
      <w:r w:rsidRPr="007A2C44">
        <w:rPr>
          <w:rFonts w:asciiTheme="minorBidi" w:hAnsiTheme="minorBidi"/>
        </w:rPr>
        <w:t>.</w:t>
      </w:r>
      <w:r w:rsidRPr="00022A1D">
        <w:rPr>
          <w:rFonts w:asciiTheme="minorBidi" w:hAnsiTheme="minorBidi"/>
        </w:rPr>
        <w:t xml:space="preserve"> Evaluation literature indicates that many organisations collect participation data but give far less attention to measuring actual changes in practice or organisational performance, which limits understanding of what forms of CPD are genuinely effective (Hosseini et al., 2023; Nīmante et al., 2025).</w:t>
      </w:r>
      <w:r w:rsidRPr="007A2C44">
        <w:rPr>
          <w:rFonts w:asciiTheme="minorBidi" w:hAnsiTheme="minorBidi"/>
        </w:rPr>
        <w:t xml:space="preserve"> Kennedy</w:t>
      </w:r>
      <w:r w:rsidRPr="00022A1D">
        <w:rPr>
          <w:rFonts w:asciiTheme="minorBidi" w:hAnsiTheme="minorBidi"/>
        </w:rPr>
        <w:t>(2005)</w:t>
      </w:r>
      <w:r w:rsidRPr="007A2C44">
        <w:rPr>
          <w:rFonts w:asciiTheme="minorBidi" w:hAnsiTheme="minorBidi"/>
        </w:rPr>
        <w:t xml:space="preserve"> warns that standards-based models can restrict professional autonomy and reinforce top-down control if not balanced with more transformative forms of development. </w:t>
      </w:r>
    </w:p>
    <w:p w14:paraId="43DA95D2" w14:textId="19551D96" w:rsidR="003E7DB0" w:rsidRPr="00CF3C03" w:rsidRDefault="003E7DB0" w:rsidP="00577C20">
      <w:pPr>
        <w:pStyle w:val="Heading3"/>
      </w:pPr>
      <w:bookmarkStart w:id="75" w:name="_Toc218503285"/>
      <w:bookmarkStart w:id="76" w:name="_Toc218504103"/>
      <w:r w:rsidRPr="00CF3C03">
        <w:t xml:space="preserve">Role of </w:t>
      </w:r>
      <w:r w:rsidR="00A16E45">
        <w:t>e</w:t>
      </w:r>
      <w:r w:rsidRPr="00CF3C03">
        <w:t>-learning in CPD</w:t>
      </w:r>
      <w:bookmarkEnd w:id="75"/>
      <w:bookmarkEnd w:id="76"/>
    </w:p>
    <w:p w14:paraId="33B263C5" w14:textId="77777777" w:rsidR="003E7DB0" w:rsidRDefault="003E7DB0" w:rsidP="003E7DB0">
      <w:pPr>
        <w:spacing w:line="360" w:lineRule="auto"/>
        <w:jc w:val="both"/>
        <w:rPr>
          <w:rFonts w:asciiTheme="minorBidi" w:hAnsiTheme="minorBidi"/>
        </w:rPr>
      </w:pPr>
      <w:r w:rsidRPr="00096E2B">
        <w:rPr>
          <w:rFonts w:asciiTheme="minorBidi" w:hAnsiTheme="minorBidi"/>
        </w:rPr>
        <w:t xml:space="preserve">Recent literature highlights the growing role of e-learning as a flexible and accessible approach to Continuous Professional Development (CPD), particularly as workplaces adapt to digital transformation. E-learning platforms allow professionals to engage in self-paced learning, access diverse resources, and participate in virtual communities of practice, making CPD more accessible for those facing time, cost, or geographic barriers (Regmi &amp; Jones, 2020). Studies show that digital CPD can improve knowledge acquisition and confidence, with interactive elements such as discussion forums, simulations, and multimedia materials enhancing engagement and supporting deeper learning (Sangrà, Vlachopoulos, </w:t>
      </w:r>
      <w:r>
        <w:rPr>
          <w:rFonts w:asciiTheme="minorBidi" w:hAnsiTheme="minorBidi"/>
        </w:rPr>
        <w:t>and</w:t>
      </w:r>
      <w:r w:rsidRPr="00096E2B">
        <w:rPr>
          <w:rFonts w:asciiTheme="minorBidi" w:hAnsiTheme="minorBidi"/>
        </w:rPr>
        <w:t xml:space="preserve"> Cabrera, 2022). However, research also cautions that the effectiveness of e-learning depends on instructional design, learner motivation, and organisational support; poorly designed online CPD may lead to passive participation or “tick-box” behaviour rather than meaningful competence development </w:t>
      </w:r>
      <w:r w:rsidRPr="00096E2B">
        <w:rPr>
          <w:rFonts w:asciiTheme="minorBidi" w:hAnsiTheme="minorBidi"/>
        </w:rPr>
        <w:lastRenderedPageBreak/>
        <w:t xml:space="preserve">(Teunissen </w:t>
      </w:r>
      <w:r>
        <w:rPr>
          <w:rFonts w:asciiTheme="minorBidi" w:hAnsiTheme="minorBidi"/>
        </w:rPr>
        <w:t>and</w:t>
      </w:r>
      <w:r w:rsidRPr="00096E2B">
        <w:rPr>
          <w:rFonts w:asciiTheme="minorBidi" w:hAnsiTheme="minorBidi"/>
        </w:rPr>
        <w:t xml:space="preserve"> Westerman, 2021). Hybrid and blended models</w:t>
      </w:r>
      <w:r>
        <w:rPr>
          <w:rFonts w:asciiTheme="minorBidi" w:hAnsiTheme="minorBidi"/>
        </w:rPr>
        <w:t xml:space="preserve">, </w:t>
      </w:r>
      <w:r w:rsidRPr="00096E2B">
        <w:rPr>
          <w:rFonts w:asciiTheme="minorBidi" w:hAnsiTheme="minorBidi"/>
        </w:rPr>
        <w:t>combining online modules with workplace</w:t>
      </w:r>
      <w:r>
        <w:rPr>
          <w:rFonts w:asciiTheme="minorBidi" w:hAnsiTheme="minorBidi"/>
        </w:rPr>
        <w:t xml:space="preserve"> </w:t>
      </w:r>
      <w:r w:rsidRPr="00096E2B">
        <w:rPr>
          <w:rFonts w:asciiTheme="minorBidi" w:hAnsiTheme="minorBidi"/>
        </w:rPr>
        <w:t>based reflection or mentoring</w:t>
      </w:r>
      <w:r>
        <w:rPr>
          <w:rFonts w:asciiTheme="minorBidi" w:hAnsiTheme="minorBidi"/>
        </w:rPr>
        <w:t xml:space="preserve"> </w:t>
      </w:r>
      <w:r w:rsidRPr="00096E2B">
        <w:rPr>
          <w:rFonts w:asciiTheme="minorBidi" w:hAnsiTheme="minorBidi"/>
        </w:rPr>
        <w:t>are increasingly recommended as they integrate the flexibility of e-learning with the contextual relevance of experiential learning (Regmi &amp; Jones, 2020). Overall, evidence suggests that e-learning can be a powerful tool for CPD when embedded within supportive organisational cultures and aligned with clear learning outcomes, but its impact is limited when used as a stand-alone, compliance-driven solution (Sangrà et al., 2022).</w:t>
      </w:r>
    </w:p>
    <w:p w14:paraId="5DAA452C" w14:textId="77777777" w:rsidR="003E7DB0" w:rsidRPr="00022A1D" w:rsidRDefault="003E7DB0" w:rsidP="00577C20">
      <w:pPr>
        <w:pStyle w:val="Heading3"/>
      </w:pPr>
      <w:bookmarkStart w:id="77" w:name="_Toc218503286"/>
      <w:bookmarkStart w:id="78" w:name="_Toc218504104"/>
      <w:r w:rsidRPr="00022A1D">
        <w:t>Conclusions and implications</w:t>
      </w:r>
      <w:bookmarkEnd w:id="77"/>
      <w:bookmarkEnd w:id="78"/>
    </w:p>
    <w:p w14:paraId="682C8332" w14:textId="77777777" w:rsidR="003E7DB0" w:rsidRPr="00022A1D" w:rsidRDefault="003E7DB0" w:rsidP="003E7DB0">
      <w:pPr>
        <w:spacing w:line="360" w:lineRule="auto"/>
        <w:jc w:val="both"/>
        <w:rPr>
          <w:rFonts w:asciiTheme="minorBidi" w:hAnsiTheme="minorBidi"/>
        </w:rPr>
      </w:pPr>
      <w:r w:rsidRPr="00022A1D">
        <w:rPr>
          <w:rFonts w:asciiTheme="minorBidi" w:hAnsiTheme="minorBidi"/>
        </w:rPr>
        <w:t>Overall, the literature provides reasonably strong evidence that continuous professional development in the workplace contributes to enhanced knowledge, skills and professional confidence, with growing , though still uneven evidence of positive effects on job performance, service quality and organisational outcomes. CPD is most effective when conceptualised as an integral part of lifelong learning and organisational strategy, rather than a peripheral or purely regulatory requirement.</w:t>
      </w:r>
    </w:p>
    <w:p w14:paraId="0EB209AE" w14:textId="77777777" w:rsidR="003E7DB0" w:rsidRPr="00022A1D" w:rsidRDefault="003E7DB0" w:rsidP="003E7DB0">
      <w:pPr>
        <w:spacing w:line="360" w:lineRule="auto"/>
        <w:jc w:val="both"/>
        <w:rPr>
          <w:rFonts w:asciiTheme="minorBidi" w:hAnsiTheme="minorBidi"/>
        </w:rPr>
      </w:pPr>
      <w:r w:rsidRPr="00022A1D">
        <w:rPr>
          <w:rFonts w:asciiTheme="minorBidi" w:hAnsiTheme="minorBidi"/>
        </w:rPr>
        <w:t>Key implications are that organisations should:</w:t>
      </w:r>
    </w:p>
    <w:p w14:paraId="5F2A1CFE" w14:textId="77777777" w:rsidR="003E7DB0" w:rsidRPr="00022A1D" w:rsidRDefault="003E7DB0" w:rsidP="00CA68CD">
      <w:pPr>
        <w:numPr>
          <w:ilvl w:val="0"/>
          <w:numId w:val="7"/>
        </w:numPr>
        <w:spacing w:line="360" w:lineRule="auto"/>
        <w:jc w:val="both"/>
        <w:rPr>
          <w:rFonts w:asciiTheme="minorBidi" w:hAnsiTheme="minorBidi"/>
        </w:rPr>
      </w:pPr>
      <w:r w:rsidRPr="00022A1D">
        <w:rPr>
          <w:rFonts w:asciiTheme="minorBidi" w:hAnsiTheme="minorBidi"/>
        </w:rPr>
        <w:t>Design CPD as coherent, long-term pathways aligned with strategic priorities and individual aspirations.</w:t>
      </w:r>
    </w:p>
    <w:p w14:paraId="6DA732BC" w14:textId="77777777" w:rsidR="003E7DB0" w:rsidRPr="00022A1D" w:rsidRDefault="003E7DB0" w:rsidP="00CA68CD">
      <w:pPr>
        <w:numPr>
          <w:ilvl w:val="0"/>
          <w:numId w:val="7"/>
        </w:numPr>
        <w:spacing w:line="360" w:lineRule="auto"/>
        <w:jc w:val="both"/>
        <w:rPr>
          <w:rFonts w:asciiTheme="minorBidi" w:hAnsiTheme="minorBidi"/>
        </w:rPr>
      </w:pPr>
      <w:r w:rsidRPr="00022A1D">
        <w:rPr>
          <w:rFonts w:asciiTheme="minorBidi" w:hAnsiTheme="minorBidi"/>
        </w:rPr>
        <w:t>Prioritise interactive, practice-embedded and collaborative learning models over one-off, didactic events.</w:t>
      </w:r>
    </w:p>
    <w:p w14:paraId="425236CE" w14:textId="77777777" w:rsidR="003E7DB0" w:rsidRPr="00022A1D" w:rsidRDefault="003E7DB0" w:rsidP="00CA68CD">
      <w:pPr>
        <w:numPr>
          <w:ilvl w:val="0"/>
          <w:numId w:val="7"/>
        </w:numPr>
        <w:spacing w:line="360" w:lineRule="auto"/>
        <w:jc w:val="both"/>
        <w:rPr>
          <w:rFonts w:asciiTheme="minorBidi" w:hAnsiTheme="minorBidi"/>
        </w:rPr>
      </w:pPr>
      <w:r w:rsidRPr="00022A1D">
        <w:rPr>
          <w:rFonts w:asciiTheme="minorBidi" w:hAnsiTheme="minorBidi"/>
        </w:rPr>
        <w:t>Invest in supportive leadership, protected time and cultures that value experimentation and reflection.</w:t>
      </w:r>
    </w:p>
    <w:p w14:paraId="670D54E0" w14:textId="77777777" w:rsidR="003E7DB0" w:rsidRPr="00022A1D" w:rsidRDefault="003E7DB0" w:rsidP="00CA68CD">
      <w:pPr>
        <w:numPr>
          <w:ilvl w:val="0"/>
          <w:numId w:val="7"/>
        </w:numPr>
        <w:spacing w:line="360" w:lineRule="auto"/>
        <w:jc w:val="both"/>
        <w:rPr>
          <w:rFonts w:asciiTheme="minorBidi" w:hAnsiTheme="minorBidi"/>
        </w:rPr>
      </w:pPr>
      <w:r w:rsidRPr="00022A1D">
        <w:rPr>
          <w:rFonts w:asciiTheme="minorBidi" w:hAnsiTheme="minorBidi"/>
        </w:rPr>
        <w:t>Move beyond compliance metrics to evaluate changes in practice, performance and, where appropriate, client or citizen outcomes.</w:t>
      </w:r>
    </w:p>
    <w:p w14:paraId="057DFFA1" w14:textId="77777777" w:rsidR="003E7DB0" w:rsidRDefault="003E7DB0" w:rsidP="003E7DB0">
      <w:pPr>
        <w:spacing w:line="360" w:lineRule="auto"/>
        <w:jc w:val="both"/>
        <w:rPr>
          <w:rFonts w:asciiTheme="minorBidi" w:hAnsiTheme="minorBidi"/>
        </w:rPr>
      </w:pPr>
      <w:r w:rsidRPr="00022A1D">
        <w:rPr>
          <w:rFonts w:asciiTheme="minorBidi" w:hAnsiTheme="minorBidi"/>
        </w:rPr>
        <w:t>Future research needs include more rigorous longitudinal studies linking CPD to objective performance and productivity indicators across diverse sectors; better understanding of how digital and hybrid learning environments can support continuous development; and deeper exploration of equity issues in access to high-quality CPD.</w:t>
      </w:r>
    </w:p>
    <w:p w14:paraId="4DC46654" w14:textId="77777777" w:rsidR="003E7DB0" w:rsidRPr="000752AB" w:rsidRDefault="003E7DB0" w:rsidP="00577C20">
      <w:pPr>
        <w:pStyle w:val="Heading3"/>
      </w:pPr>
      <w:bookmarkStart w:id="79" w:name="_Toc218503287"/>
      <w:bookmarkStart w:id="80" w:name="_Toc218504105"/>
      <w:r w:rsidRPr="000752AB">
        <w:lastRenderedPageBreak/>
        <w:t>Continuous Professional Development (CPD) in Developed and Developing Country Contexts</w:t>
      </w:r>
      <w:bookmarkEnd w:id="79"/>
      <w:bookmarkEnd w:id="80"/>
    </w:p>
    <w:p w14:paraId="0296901E" w14:textId="77777777" w:rsidR="003E7DB0" w:rsidRPr="000752AB" w:rsidRDefault="003E7DB0" w:rsidP="003E7DB0">
      <w:pPr>
        <w:spacing w:line="360" w:lineRule="auto"/>
        <w:jc w:val="both"/>
        <w:rPr>
          <w:rFonts w:asciiTheme="minorBidi" w:hAnsiTheme="minorBidi"/>
        </w:rPr>
      </w:pPr>
      <w:r w:rsidRPr="000752AB">
        <w:rPr>
          <w:rFonts w:asciiTheme="minorBidi" w:hAnsiTheme="minorBidi"/>
        </w:rPr>
        <w:t>Continuous Professional Development (CPD) is widely recognised as a critical mechanism for maintaining and enhancing the professional competencies of academics in higher education. In developed country contexts, CPD is often embedded within institutional strategies, professional standards frameworks, and national quality assurance mechanisms</w:t>
      </w:r>
      <w:r>
        <w:rPr>
          <w:rFonts w:asciiTheme="minorBidi" w:hAnsiTheme="minorBidi"/>
        </w:rPr>
        <w:t xml:space="preserve"> (</w:t>
      </w:r>
      <w:r w:rsidRPr="00E77D3F">
        <w:rPr>
          <w:rFonts w:asciiTheme="minorBidi" w:hAnsiTheme="minorBidi"/>
        </w:rPr>
        <w:t>Gibbs  and Coffey</w:t>
      </w:r>
      <w:r>
        <w:rPr>
          <w:rFonts w:asciiTheme="minorBidi" w:hAnsiTheme="minorBidi"/>
        </w:rPr>
        <w:t>,</w:t>
      </w:r>
      <w:r w:rsidRPr="00E77D3F">
        <w:rPr>
          <w:rFonts w:asciiTheme="minorBidi" w:hAnsiTheme="minorBidi"/>
        </w:rPr>
        <w:t>2004</w:t>
      </w:r>
      <w:r>
        <w:rPr>
          <w:rFonts w:asciiTheme="minorBidi" w:hAnsiTheme="minorBidi"/>
        </w:rPr>
        <w:t>)</w:t>
      </w:r>
      <w:r w:rsidRPr="000752AB">
        <w:rPr>
          <w:rFonts w:asciiTheme="minorBidi" w:hAnsiTheme="minorBidi"/>
        </w:rPr>
        <w:t>. Universities in countries such as the United Kingdom, Australia, and the United States typically adopt structured CPD models aligned with teaching excellence frameworks, research performance indicators, and digital transformation agendas (Gibbs, 2013; European Commission, 2020). CPD activities in these contexts are increasingly formalised, supported by dedicated centres for academic development, and incentivised through promotion and appraisal systems</w:t>
      </w:r>
      <w:r>
        <w:rPr>
          <w:rFonts w:asciiTheme="minorBidi" w:hAnsiTheme="minorBidi"/>
        </w:rPr>
        <w:t>(</w:t>
      </w:r>
      <w:r w:rsidRPr="00E77D3F">
        <w:rPr>
          <w:rFonts w:asciiTheme="minorBidi" w:hAnsiTheme="minorBidi"/>
        </w:rPr>
        <w:t>Gibbs and Coffey</w:t>
      </w:r>
      <w:r>
        <w:rPr>
          <w:rFonts w:asciiTheme="minorBidi" w:hAnsiTheme="minorBidi"/>
        </w:rPr>
        <w:t>,</w:t>
      </w:r>
      <w:r w:rsidRPr="00E77D3F">
        <w:rPr>
          <w:rFonts w:asciiTheme="minorBidi" w:hAnsiTheme="minorBidi"/>
        </w:rPr>
        <w:t xml:space="preserve"> 2004</w:t>
      </w:r>
      <w:r>
        <w:rPr>
          <w:rFonts w:asciiTheme="minorBidi" w:hAnsiTheme="minorBidi"/>
        </w:rPr>
        <w:t>)</w:t>
      </w:r>
      <w:r w:rsidRPr="000752AB">
        <w:rPr>
          <w:rFonts w:asciiTheme="minorBidi" w:hAnsiTheme="minorBidi"/>
        </w:rPr>
        <w:t>.</w:t>
      </w:r>
    </w:p>
    <w:p w14:paraId="65237C14" w14:textId="77777777" w:rsidR="003E7DB0" w:rsidRPr="000752AB" w:rsidRDefault="003E7DB0" w:rsidP="003E7DB0">
      <w:pPr>
        <w:spacing w:line="360" w:lineRule="auto"/>
        <w:jc w:val="both"/>
        <w:rPr>
          <w:rFonts w:asciiTheme="minorBidi" w:hAnsiTheme="minorBidi"/>
        </w:rPr>
      </w:pPr>
      <w:r w:rsidRPr="000752AB">
        <w:rPr>
          <w:rFonts w:asciiTheme="minorBidi" w:hAnsiTheme="minorBidi"/>
        </w:rPr>
        <w:t>In contrast, CPD in developing countries is frequently characterised by fragmented structures, limited institutional support, and inconsistent policy implementation. Studies suggest that CPD opportunities in developing contexts are often ad hoc, donor-driven, or externally funded, rather than systematically embedded within university governance frameworks (Altbach, Reisberg</w:t>
      </w:r>
      <w:r>
        <w:rPr>
          <w:rFonts w:asciiTheme="minorBidi" w:hAnsiTheme="minorBidi"/>
        </w:rPr>
        <w:t xml:space="preserve"> and </w:t>
      </w:r>
      <w:r w:rsidRPr="000752AB">
        <w:rPr>
          <w:rFonts w:asciiTheme="minorBidi" w:hAnsiTheme="minorBidi"/>
        </w:rPr>
        <w:t xml:space="preserve"> Rumbley, 2019). While the importance of CPD is acknowledged, resource constraints, heavy teaching workloads, and inadequate technological infrastructure significantly limit academics’ engagement in sustained professional development (UNESCO, 2017).</w:t>
      </w:r>
    </w:p>
    <w:p w14:paraId="1D5BF96A" w14:textId="670C51B7" w:rsidR="003E7DB0" w:rsidRPr="000752AB" w:rsidRDefault="003E7DB0" w:rsidP="003E7DB0">
      <w:pPr>
        <w:spacing w:line="360" w:lineRule="auto"/>
        <w:jc w:val="both"/>
        <w:rPr>
          <w:rFonts w:asciiTheme="minorBidi" w:hAnsiTheme="minorBidi"/>
        </w:rPr>
      </w:pPr>
      <w:r w:rsidRPr="000752AB">
        <w:rPr>
          <w:rFonts w:asciiTheme="minorBidi" w:hAnsiTheme="minorBidi"/>
        </w:rPr>
        <w:t xml:space="preserve">A key distinction between developed and developing country contexts lies in the availability and utilisation of digital technologies for CPD. In developed countries, </w:t>
      </w:r>
      <w:r>
        <w:rPr>
          <w:rFonts w:asciiTheme="minorBidi" w:hAnsiTheme="minorBidi"/>
        </w:rPr>
        <w:t>e-</w:t>
      </w:r>
      <w:r w:rsidR="00482409">
        <w:rPr>
          <w:rFonts w:asciiTheme="minorBidi" w:hAnsiTheme="minorBidi"/>
        </w:rPr>
        <w:t>l</w:t>
      </w:r>
      <w:r w:rsidRPr="000752AB">
        <w:rPr>
          <w:rFonts w:asciiTheme="minorBidi" w:hAnsiTheme="minorBidi"/>
        </w:rPr>
        <w:t>earning has become a central modality for CPD delivery, offering flexibility, scalability, and personalisation. Online platforms, learning management systems, and micro-credentialing are widely used to support lifelong learning among academics (Littlejohn et al., 2021). These approaches are underpinned by reliable internet connectivity, institutional investment, and high levels of digital literacy among academic staff.</w:t>
      </w:r>
    </w:p>
    <w:p w14:paraId="6C7C226F" w14:textId="759B0ABF" w:rsidR="003E7DB0" w:rsidRPr="000752AB" w:rsidRDefault="003E7DB0" w:rsidP="003E7DB0">
      <w:pPr>
        <w:spacing w:line="360" w:lineRule="auto"/>
        <w:jc w:val="both"/>
        <w:rPr>
          <w:rFonts w:asciiTheme="minorBidi" w:hAnsiTheme="minorBidi"/>
        </w:rPr>
      </w:pPr>
      <w:r w:rsidRPr="000752AB">
        <w:rPr>
          <w:rFonts w:asciiTheme="minorBidi" w:hAnsiTheme="minorBidi"/>
        </w:rPr>
        <w:t>Conversely, in developing countries, the adoption of e</w:t>
      </w:r>
      <w:r w:rsidR="009E0B06">
        <w:rPr>
          <w:rFonts w:asciiTheme="minorBidi" w:hAnsiTheme="minorBidi"/>
        </w:rPr>
        <w:t>-l</w:t>
      </w:r>
      <w:r w:rsidRPr="000752AB">
        <w:rPr>
          <w:rFonts w:asciiTheme="minorBidi" w:hAnsiTheme="minorBidi"/>
        </w:rPr>
        <w:t xml:space="preserve">earning for CPD remains uneven. Although digital technologies are increasingly promoted as cost-effective solutions, their implementation is often hindered by infrastructural limitations, lack of technical support, and varying levels of digital competence (Kirkwood </w:t>
      </w:r>
      <w:r>
        <w:rPr>
          <w:rFonts w:asciiTheme="minorBidi" w:hAnsiTheme="minorBidi"/>
        </w:rPr>
        <w:t xml:space="preserve">and </w:t>
      </w:r>
      <w:r w:rsidRPr="000752AB">
        <w:rPr>
          <w:rFonts w:asciiTheme="minorBidi" w:hAnsiTheme="minorBidi"/>
        </w:rPr>
        <w:t xml:space="preserve"> Price, </w:t>
      </w:r>
      <w:r w:rsidRPr="000752AB">
        <w:rPr>
          <w:rFonts w:asciiTheme="minorBidi" w:hAnsiTheme="minorBidi"/>
        </w:rPr>
        <w:lastRenderedPageBreak/>
        <w:t xml:space="preserve">2014). In addition, cultural factors such as hierarchical organisational structures and resistance to pedagogical change can further constrain participation in technology-mediated CPD (Teferra </w:t>
      </w:r>
      <w:r>
        <w:rPr>
          <w:rFonts w:asciiTheme="minorBidi" w:hAnsiTheme="minorBidi"/>
        </w:rPr>
        <w:t>and</w:t>
      </w:r>
      <w:r w:rsidRPr="000752AB">
        <w:rPr>
          <w:rFonts w:asciiTheme="minorBidi" w:hAnsiTheme="minorBidi"/>
        </w:rPr>
        <w:t xml:space="preserve"> Knight, 2008).</w:t>
      </w:r>
    </w:p>
    <w:p w14:paraId="7141EEBD" w14:textId="77777777" w:rsidR="003E7DB0" w:rsidRPr="000752AB" w:rsidRDefault="003E7DB0" w:rsidP="003E7DB0">
      <w:pPr>
        <w:spacing w:line="360" w:lineRule="auto"/>
        <w:jc w:val="both"/>
        <w:rPr>
          <w:rFonts w:asciiTheme="minorBidi" w:hAnsiTheme="minorBidi"/>
        </w:rPr>
      </w:pPr>
      <w:r w:rsidRPr="000752AB">
        <w:rPr>
          <w:rFonts w:asciiTheme="minorBidi" w:hAnsiTheme="minorBidi"/>
        </w:rPr>
        <w:t>Another critical difference relates to policy coherence and institutional culture. Developed countries tend to demonstrate stronger alignment between national higher education policies, institutional strategies, and individual academic development</w:t>
      </w:r>
      <w:r>
        <w:rPr>
          <w:rFonts w:asciiTheme="minorBidi" w:hAnsiTheme="minorBidi"/>
        </w:rPr>
        <w:t>(</w:t>
      </w:r>
      <w:r w:rsidRPr="00C74649">
        <w:rPr>
          <w:rFonts w:asciiTheme="minorBidi" w:hAnsiTheme="minorBidi"/>
        </w:rPr>
        <w:t>Advance HE</w:t>
      </w:r>
      <w:r>
        <w:rPr>
          <w:rFonts w:asciiTheme="minorBidi" w:hAnsiTheme="minorBidi"/>
        </w:rPr>
        <w:t>,</w:t>
      </w:r>
      <w:r w:rsidRPr="00C74649">
        <w:rPr>
          <w:rFonts w:asciiTheme="minorBidi" w:hAnsiTheme="minorBidi"/>
        </w:rPr>
        <w:t>2018</w:t>
      </w:r>
      <w:r>
        <w:rPr>
          <w:rFonts w:asciiTheme="minorBidi" w:hAnsiTheme="minorBidi"/>
        </w:rPr>
        <w:t>)</w:t>
      </w:r>
      <w:r w:rsidRPr="000752AB">
        <w:rPr>
          <w:rFonts w:asciiTheme="minorBidi" w:hAnsiTheme="minorBidi"/>
        </w:rPr>
        <w:t>. CPD is frequently framed as a professional responsibility, supported by clear expectations and accountability mechanisms</w:t>
      </w:r>
      <w:r>
        <w:rPr>
          <w:rFonts w:asciiTheme="minorBidi" w:hAnsiTheme="minorBidi"/>
        </w:rPr>
        <w:t>(</w:t>
      </w:r>
      <w:r w:rsidRPr="00C74649">
        <w:rPr>
          <w:rFonts w:asciiTheme="minorBidi" w:hAnsiTheme="minorBidi"/>
        </w:rPr>
        <w:t>Quality Assurance Agency (QAA)</w:t>
      </w:r>
      <w:r>
        <w:rPr>
          <w:rFonts w:asciiTheme="minorBidi" w:hAnsiTheme="minorBidi"/>
        </w:rPr>
        <w:t xml:space="preserve">, </w:t>
      </w:r>
      <w:r w:rsidRPr="00C74649">
        <w:rPr>
          <w:rFonts w:asciiTheme="minorBidi" w:hAnsiTheme="minorBidi"/>
        </w:rPr>
        <w:t>2018</w:t>
      </w:r>
      <w:r>
        <w:rPr>
          <w:rFonts w:asciiTheme="minorBidi" w:hAnsiTheme="minorBidi"/>
        </w:rPr>
        <w:t xml:space="preserve">) </w:t>
      </w:r>
      <w:r w:rsidRPr="000752AB">
        <w:rPr>
          <w:rFonts w:asciiTheme="minorBidi" w:hAnsiTheme="minorBidi"/>
        </w:rPr>
        <w:t xml:space="preserve">. In developing contexts, however, policy–practice gaps are common, with CPD often perceived as optional rather than integral to academic roles (Orr, Gwosć, </w:t>
      </w:r>
      <w:r>
        <w:rPr>
          <w:rFonts w:asciiTheme="minorBidi" w:hAnsiTheme="minorBidi"/>
        </w:rPr>
        <w:t>and</w:t>
      </w:r>
      <w:r w:rsidRPr="000752AB">
        <w:rPr>
          <w:rFonts w:asciiTheme="minorBidi" w:hAnsiTheme="minorBidi"/>
        </w:rPr>
        <w:t xml:space="preserve"> Netz, 2011).</w:t>
      </w:r>
    </w:p>
    <w:p w14:paraId="0970B097" w14:textId="77777777" w:rsidR="003E7DB0" w:rsidRDefault="003E7DB0" w:rsidP="003E7DB0">
      <w:pPr>
        <w:spacing w:line="360" w:lineRule="auto"/>
        <w:jc w:val="both"/>
        <w:rPr>
          <w:rFonts w:asciiTheme="minorBidi" w:hAnsiTheme="minorBidi"/>
        </w:rPr>
      </w:pPr>
      <w:r w:rsidRPr="000752AB">
        <w:rPr>
          <w:rFonts w:asciiTheme="minorBidi" w:hAnsiTheme="minorBidi"/>
        </w:rPr>
        <w:t>Despite these disparities, the literature also highlights converging challenges across both contexts, including time constraints, academic workload pressures, and varying levels of motivation to engage in CPD. Moreover, recent global disruptions, such as the COVID-19 pandemic, have accelerated the adoption of eLearning for CPD in both developed and developing countries, exposing both shared opportunities and persistent inequalities</w:t>
      </w:r>
      <w:r>
        <w:rPr>
          <w:rFonts w:asciiTheme="minorBidi" w:hAnsiTheme="minorBidi"/>
        </w:rPr>
        <w:t>(</w:t>
      </w:r>
      <w:r w:rsidRPr="00EA129F">
        <w:rPr>
          <w:rFonts w:asciiTheme="minorBidi" w:hAnsiTheme="minorBidi"/>
        </w:rPr>
        <w:t>Crawford</w:t>
      </w:r>
      <w:r>
        <w:rPr>
          <w:rFonts w:asciiTheme="minorBidi" w:hAnsiTheme="minorBidi"/>
        </w:rPr>
        <w:t xml:space="preserve"> et al.2020)</w:t>
      </w:r>
      <w:r w:rsidRPr="000752AB">
        <w:rPr>
          <w:rFonts w:asciiTheme="minorBidi" w:hAnsiTheme="minorBidi"/>
        </w:rPr>
        <w:t>.</w:t>
      </w:r>
    </w:p>
    <w:p w14:paraId="433341EF" w14:textId="77777777" w:rsidR="003E7DB0" w:rsidRDefault="003E7DB0" w:rsidP="003E7DB0">
      <w:pPr>
        <w:spacing w:line="360" w:lineRule="auto"/>
        <w:jc w:val="both"/>
        <w:rPr>
          <w:rFonts w:asciiTheme="minorBidi" w:hAnsiTheme="minorBidi"/>
        </w:rPr>
      </w:pPr>
    </w:p>
    <w:p w14:paraId="207546B1" w14:textId="77777777" w:rsidR="003E7DB0" w:rsidRPr="000752AB" w:rsidRDefault="003E7DB0" w:rsidP="003E7DB0">
      <w:pPr>
        <w:spacing w:line="360" w:lineRule="auto"/>
        <w:jc w:val="both"/>
        <w:rPr>
          <w:rFonts w:asciiTheme="minorBidi" w:hAnsiTheme="minorBidi"/>
        </w:rPr>
      </w:pPr>
      <w:r w:rsidRPr="000752AB">
        <w:rPr>
          <w:rFonts w:asciiTheme="minorBidi" w:hAnsiTheme="minorBidi"/>
        </w:rPr>
        <w:t>Overall, existing literature underscores the need for context-sensitive CPD models that acknowledge structural differences between developed and developing countries while leveraging e</w:t>
      </w:r>
      <w:r>
        <w:rPr>
          <w:rFonts w:asciiTheme="minorBidi" w:hAnsiTheme="minorBidi"/>
        </w:rPr>
        <w:t>-</w:t>
      </w:r>
      <w:r w:rsidRPr="000752AB">
        <w:rPr>
          <w:rFonts w:asciiTheme="minorBidi" w:hAnsiTheme="minorBidi"/>
        </w:rPr>
        <w:t>Learning as a potential enabler. However, comparative empirical studies remain limited, particularly those focusing on academics’ perspectives, indicating a significant research gap that this study seeks to address</w:t>
      </w:r>
      <w:r w:rsidRPr="006C7C1E">
        <w:t xml:space="preserve"> </w:t>
      </w:r>
      <w:r w:rsidRPr="006C7C1E">
        <w:rPr>
          <w:rFonts w:asciiTheme="minorBidi" w:hAnsiTheme="minorBidi"/>
        </w:rPr>
        <w:t>(Teferra and Knight, 2008; Kirkwood and Price, 2014; Altbach, Reisberg and Rumbley, 2019)</w:t>
      </w:r>
      <w:r w:rsidRPr="000752AB">
        <w:rPr>
          <w:rFonts w:asciiTheme="minorBidi" w:hAnsiTheme="minorBidi"/>
        </w:rPr>
        <w:t>.</w:t>
      </w:r>
    </w:p>
    <w:p w14:paraId="4E25B81C" w14:textId="77777777" w:rsidR="003E7DB0" w:rsidRPr="00022A1D" w:rsidRDefault="003E7DB0" w:rsidP="003E7DB0">
      <w:pPr>
        <w:spacing w:line="360" w:lineRule="auto"/>
        <w:jc w:val="both"/>
        <w:rPr>
          <w:rFonts w:asciiTheme="minorBidi" w:hAnsiTheme="minorBidi"/>
        </w:rPr>
      </w:pPr>
    </w:p>
    <w:p w14:paraId="1814F2C6" w14:textId="77777777" w:rsidR="003E7DB0" w:rsidRPr="007A2C44" w:rsidRDefault="003E7DB0" w:rsidP="003E7DB0">
      <w:pPr>
        <w:spacing w:line="360" w:lineRule="auto"/>
        <w:jc w:val="both"/>
        <w:rPr>
          <w:rFonts w:asciiTheme="minorBidi" w:hAnsiTheme="minorBidi"/>
        </w:rPr>
      </w:pPr>
    </w:p>
    <w:p w14:paraId="42F42DE4" w14:textId="4074B63E" w:rsidR="003E7DB0" w:rsidRPr="00EE037F" w:rsidRDefault="003E7DB0" w:rsidP="003E7DB0">
      <w:pPr>
        <w:spacing w:line="360" w:lineRule="auto"/>
        <w:jc w:val="both"/>
        <w:rPr>
          <w:rFonts w:asciiTheme="minorBidi" w:hAnsiTheme="minorBidi"/>
        </w:rPr>
      </w:pPr>
    </w:p>
    <w:p w14:paraId="2C915846" w14:textId="3A16FACC" w:rsidR="003E7DB0" w:rsidRPr="00EE037F" w:rsidRDefault="003E7DB0" w:rsidP="00577C20">
      <w:pPr>
        <w:pStyle w:val="Heading2"/>
      </w:pPr>
      <w:bookmarkStart w:id="81" w:name="_Toc218504106"/>
      <w:r w:rsidRPr="00EE037F">
        <w:t>Critical Success Factors (CSFs) for e</w:t>
      </w:r>
      <w:r w:rsidR="005536F9">
        <w:t>- l</w:t>
      </w:r>
      <w:r w:rsidRPr="00EE037F">
        <w:t>earning Adoption</w:t>
      </w:r>
      <w:bookmarkEnd w:id="81"/>
    </w:p>
    <w:p w14:paraId="5EF4441A" w14:textId="79BC22B4" w:rsidR="003E7DB0" w:rsidRPr="00EE037F" w:rsidRDefault="003E7DB0" w:rsidP="003E7DB0">
      <w:pPr>
        <w:spacing w:line="360" w:lineRule="auto"/>
        <w:jc w:val="both"/>
        <w:rPr>
          <w:rFonts w:asciiTheme="minorBidi" w:hAnsiTheme="minorBidi"/>
        </w:rPr>
      </w:pPr>
      <w:r w:rsidRPr="00EE037F">
        <w:rPr>
          <w:rFonts w:asciiTheme="minorBidi" w:hAnsiTheme="minorBidi"/>
        </w:rPr>
        <w:t xml:space="preserve">Critical Success Factors (CSFs) have been widely used as an analytical lens to identify the key elements that must be effectively managed to ensure the success of initiatives </w:t>
      </w:r>
      <w:r w:rsidRPr="00EE037F">
        <w:rPr>
          <w:rFonts w:asciiTheme="minorBidi" w:hAnsiTheme="minorBidi"/>
        </w:rPr>
        <w:lastRenderedPageBreak/>
        <w:t>such as information systems and e</w:t>
      </w:r>
      <w:r w:rsidR="009E0B06">
        <w:rPr>
          <w:rFonts w:asciiTheme="minorBidi" w:hAnsiTheme="minorBidi"/>
        </w:rPr>
        <w:t>-l</w:t>
      </w:r>
      <w:r w:rsidRPr="00EE037F">
        <w:rPr>
          <w:rFonts w:asciiTheme="minorBidi" w:hAnsiTheme="minorBidi"/>
        </w:rPr>
        <w:t>earning implementations. In the context of e</w:t>
      </w:r>
      <w:r w:rsidR="009E0B06">
        <w:rPr>
          <w:rFonts w:asciiTheme="minorBidi" w:hAnsiTheme="minorBidi"/>
        </w:rPr>
        <w:t>-l</w:t>
      </w:r>
      <w:r w:rsidRPr="00EE037F">
        <w:rPr>
          <w:rFonts w:asciiTheme="minorBidi" w:hAnsiTheme="minorBidi"/>
        </w:rPr>
        <w:t>earning for Continuous Professional Development (CPD) among academics, CSFs provide a structured approach for examining the multi-level factors that influence adoption, sustained use, and effectiveness.</w:t>
      </w:r>
    </w:p>
    <w:p w14:paraId="5BE58F02" w14:textId="21476EF9" w:rsidR="003E7DB0" w:rsidRPr="00EE037F" w:rsidRDefault="003E7DB0" w:rsidP="00577C20">
      <w:pPr>
        <w:pStyle w:val="Heading3"/>
      </w:pPr>
      <w:bookmarkStart w:id="82" w:name="_Toc218504107"/>
      <w:r w:rsidRPr="00EE037F">
        <w:t>Concept and Origin of Critical Success Factors</w:t>
      </w:r>
      <w:bookmarkEnd w:id="82"/>
    </w:p>
    <w:p w14:paraId="10AC1958" w14:textId="77777777" w:rsidR="003E7DB0" w:rsidRPr="00EE037F" w:rsidRDefault="003E7DB0" w:rsidP="003E7DB0">
      <w:pPr>
        <w:spacing w:line="360" w:lineRule="auto"/>
        <w:jc w:val="both"/>
        <w:rPr>
          <w:rFonts w:asciiTheme="minorBidi" w:hAnsiTheme="minorBidi"/>
        </w:rPr>
      </w:pPr>
      <w:r w:rsidRPr="00EE037F">
        <w:rPr>
          <w:rFonts w:asciiTheme="minorBidi" w:hAnsiTheme="minorBidi"/>
        </w:rPr>
        <w:t>The concept of Critical Success Factors was originally introduced by Rockart (1979), who defined CSFs as the limited number of areas in which satisfactory performance is essential for an organisation to achieve its goals. In information systems research, CSFs have been widely applied to understand why certain systems succeed while others fail, particularly in complex organisational environments (Bullen and Rockart, 1981).</w:t>
      </w:r>
    </w:p>
    <w:p w14:paraId="355501BD" w14:textId="250D889F" w:rsidR="003E7DB0" w:rsidRPr="00EE037F" w:rsidRDefault="003E7DB0" w:rsidP="003E7DB0">
      <w:pPr>
        <w:spacing w:line="360" w:lineRule="auto"/>
        <w:jc w:val="both"/>
        <w:rPr>
          <w:rFonts w:asciiTheme="minorBidi" w:hAnsiTheme="minorBidi"/>
        </w:rPr>
      </w:pPr>
      <w:r w:rsidRPr="00EE037F">
        <w:rPr>
          <w:rFonts w:asciiTheme="minorBidi" w:hAnsiTheme="minorBidi"/>
        </w:rPr>
        <w:t>Within e</w:t>
      </w:r>
      <w:r w:rsidR="009E0B06">
        <w:rPr>
          <w:rFonts w:asciiTheme="minorBidi" w:hAnsiTheme="minorBidi"/>
        </w:rPr>
        <w:t>-l</w:t>
      </w:r>
      <w:r w:rsidRPr="00EE037F">
        <w:rPr>
          <w:rFonts w:asciiTheme="minorBidi" w:hAnsiTheme="minorBidi"/>
        </w:rPr>
        <w:t>earning research, CSFs are used to identify the technological, organisational, pedagogical, and individual conditions necessary for effective adoption and use. Prior studies highlight that e</w:t>
      </w:r>
      <w:r w:rsidR="009E0B06">
        <w:rPr>
          <w:rFonts w:asciiTheme="minorBidi" w:hAnsiTheme="minorBidi"/>
        </w:rPr>
        <w:t>-l</w:t>
      </w:r>
      <w:r w:rsidRPr="00EE037F">
        <w:rPr>
          <w:rFonts w:asciiTheme="minorBidi" w:hAnsiTheme="minorBidi"/>
        </w:rPr>
        <w:t>earning success is not determined solely by technological availability, but by the alignment of human, institutional, and contextual factors (Selim, 2007; Al-Fraihat et al., 2020). This multidimensional nature makes the CSF approach particularly suitable for analysing e</w:t>
      </w:r>
      <w:r w:rsidR="009E0B06">
        <w:rPr>
          <w:rFonts w:asciiTheme="minorBidi" w:hAnsiTheme="minorBidi"/>
        </w:rPr>
        <w:t>-l</w:t>
      </w:r>
      <w:r w:rsidRPr="00EE037F">
        <w:rPr>
          <w:rFonts w:asciiTheme="minorBidi" w:hAnsiTheme="minorBidi"/>
        </w:rPr>
        <w:t>earning adoption for CPD in diverse higher education contexts.</w:t>
      </w:r>
    </w:p>
    <w:p w14:paraId="19306F0D" w14:textId="74AFDE07" w:rsidR="003E7DB0" w:rsidRPr="00EE037F" w:rsidRDefault="00B04186" w:rsidP="00577C20">
      <w:pPr>
        <w:pStyle w:val="Heading3"/>
      </w:pPr>
      <w:bookmarkStart w:id="83" w:name="_Toc218504108"/>
      <w:r>
        <w:t>I</w:t>
      </w:r>
      <w:r w:rsidR="003E7DB0" w:rsidRPr="00EE037F">
        <w:t>ndividual-Level CSFs</w:t>
      </w:r>
      <w:bookmarkEnd w:id="83"/>
    </w:p>
    <w:p w14:paraId="722112D2" w14:textId="1D316B98" w:rsidR="003E7DB0" w:rsidRPr="00EE037F" w:rsidRDefault="003E7DB0" w:rsidP="003E7DB0">
      <w:pPr>
        <w:spacing w:line="360" w:lineRule="auto"/>
        <w:jc w:val="both"/>
        <w:rPr>
          <w:rFonts w:asciiTheme="minorBidi" w:hAnsiTheme="minorBidi"/>
        </w:rPr>
      </w:pPr>
      <w:r w:rsidRPr="00EE037F">
        <w:rPr>
          <w:rFonts w:asciiTheme="minorBidi" w:hAnsiTheme="minorBidi"/>
        </w:rPr>
        <w:t>At the individual level, academics’ characteristics and perceptions play a central role in determining e</w:t>
      </w:r>
      <w:r w:rsidR="00150E59">
        <w:rPr>
          <w:rFonts w:asciiTheme="minorBidi" w:hAnsiTheme="minorBidi"/>
        </w:rPr>
        <w:t>-l</w:t>
      </w:r>
      <w:r w:rsidRPr="00EE037F">
        <w:rPr>
          <w:rFonts w:asciiTheme="minorBidi" w:hAnsiTheme="minorBidi"/>
        </w:rPr>
        <w:t>earning adoption for CPD. Digital literacy and technical skills are consistently identified as critical factors, as academics must possess the competence to navigate learning management systems, digital tools, and online resources effectively (Kirkwood and Price, 2014). Limited technical proficiency can lead to resistance, anxiety, and underutilisation of e</w:t>
      </w:r>
      <w:r w:rsidR="00150E59">
        <w:rPr>
          <w:rFonts w:asciiTheme="minorBidi" w:hAnsiTheme="minorBidi"/>
        </w:rPr>
        <w:t>-l</w:t>
      </w:r>
      <w:r w:rsidRPr="00EE037F">
        <w:rPr>
          <w:rFonts w:asciiTheme="minorBidi" w:hAnsiTheme="minorBidi"/>
        </w:rPr>
        <w:t>earning platforms.</w:t>
      </w:r>
    </w:p>
    <w:p w14:paraId="79DBFEF7" w14:textId="2989F375" w:rsidR="003E7DB0" w:rsidRPr="00EE037F" w:rsidRDefault="003E7DB0" w:rsidP="003E7DB0">
      <w:pPr>
        <w:spacing w:line="360" w:lineRule="auto"/>
        <w:jc w:val="both"/>
        <w:rPr>
          <w:rFonts w:asciiTheme="minorBidi" w:hAnsiTheme="minorBidi"/>
        </w:rPr>
      </w:pPr>
      <w:r w:rsidRPr="00EE037F">
        <w:rPr>
          <w:rFonts w:asciiTheme="minorBidi" w:hAnsiTheme="minorBidi"/>
        </w:rPr>
        <w:t>Attitudes, motivation, and self-efficacy are also significant determinants of adoption. Academics who perceive e</w:t>
      </w:r>
      <w:r w:rsidR="00150E59">
        <w:rPr>
          <w:rFonts w:asciiTheme="minorBidi" w:hAnsiTheme="minorBidi"/>
        </w:rPr>
        <w:t>-l</w:t>
      </w:r>
      <w:r w:rsidRPr="00EE037F">
        <w:rPr>
          <w:rFonts w:asciiTheme="minorBidi" w:hAnsiTheme="minorBidi"/>
        </w:rPr>
        <w:t>earning as beneficial to their professional growth and who have confidence in their ability to use digital technologies are more likely to engage in e</w:t>
      </w:r>
      <w:r w:rsidR="00150E59">
        <w:rPr>
          <w:rFonts w:asciiTheme="minorBidi" w:hAnsiTheme="minorBidi"/>
        </w:rPr>
        <w:t>-l</w:t>
      </w:r>
      <w:r w:rsidRPr="00EE037F">
        <w:rPr>
          <w:rFonts w:asciiTheme="minorBidi" w:hAnsiTheme="minorBidi"/>
        </w:rPr>
        <w:t>earning-based CPD (Bandura, 1997; Davis, 1989). Conversely, negative attitudes and low self-efficacy can hinder participation, particularly in contexts where support mechanisms are weak.</w:t>
      </w:r>
    </w:p>
    <w:p w14:paraId="07D15387" w14:textId="4AEA467B" w:rsidR="003E7DB0" w:rsidRPr="00EE037F" w:rsidRDefault="003E7DB0" w:rsidP="003E7DB0">
      <w:pPr>
        <w:spacing w:line="360" w:lineRule="auto"/>
        <w:jc w:val="both"/>
        <w:rPr>
          <w:rFonts w:asciiTheme="minorBidi" w:hAnsiTheme="minorBidi"/>
        </w:rPr>
      </w:pPr>
      <w:r w:rsidRPr="00EE037F">
        <w:rPr>
          <w:rFonts w:asciiTheme="minorBidi" w:hAnsiTheme="minorBidi"/>
        </w:rPr>
        <w:lastRenderedPageBreak/>
        <w:t>Perceived usefulness and perceived ease of use, as articulated in the Technology Acceptance Model, remain central individual-level CSFs. When academics believe that e</w:t>
      </w:r>
      <w:r w:rsidR="00887F3E">
        <w:rPr>
          <w:rFonts w:asciiTheme="minorBidi" w:hAnsiTheme="minorBidi"/>
        </w:rPr>
        <w:t>-l</w:t>
      </w:r>
      <w:r w:rsidRPr="00EE037F">
        <w:rPr>
          <w:rFonts w:asciiTheme="minorBidi" w:hAnsiTheme="minorBidi"/>
        </w:rPr>
        <w:t>earning enhances teaching quality, research capability, or career progression, adoption is more likely (Venkatesh et al., 2003). Time availability and workload pressures further influence engagement, as heavy teaching and administrative responsibilities often limit academics’ capacity to participate in CPD, regardless of their attitudes towards e</w:t>
      </w:r>
      <w:r w:rsidR="00887F3E">
        <w:rPr>
          <w:rFonts w:asciiTheme="minorBidi" w:hAnsiTheme="minorBidi"/>
        </w:rPr>
        <w:t>-l</w:t>
      </w:r>
      <w:r w:rsidRPr="00EE037F">
        <w:rPr>
          <w:rFonts w:asciiTheme="minorBidi" w:hAnsiTheme="minorBidi"/>
        </w:rPr>
        <w:t>earning (Gibbs, 2013).</w:t>
      </w:r>
    </w:p>
    <w:p w14:paraId="047E1705" w14:textId="373771AA" w:rsidR="003E7DB0" w:rsidRPr="00EE037F" w:rsidRDefault="003E7DB0" w:rsidP="00577C20">
      <w:pPr>
        <w:pStyle w:val="Heading3"/>
      </w:pPr>
      <w:bookmarkStart w:id="84" w:name="_Toc218504109"/>
      <w:r w:rsidRPr="00EE037F">
        <w:t>Technological CSFs</w:t>
      </w:r>
      <w:bookmarkEnd w:id="84"/>
    </w:p>
    <w:p w14:paraId="7445DE66" w14:textId="7E4308C2" w:rsidR="003E7DB0" w:rsidRPr="00EE037F" w:rsidRDefault="003E7DB0" w:rsidP="003E7DB0">
      <w:pPr>
        <w:spacing w:line="360" w:lineRule="auto"/>
        <w:jc w:val="both"/>
        <w:rPr>
          <w:rFonts w:asciiTheme="minorBidi" w:hAnsiTheme="minorBidi"/>
        </w:rPr>
      </w:pPr>
      <w:r w:rsidRPr="00EE037F">
        <w:rPr>
          <w:rFonts w:asciiTheme="minorBidi" w:hAnsiTheme="minorBidi"/>
        </w:rPr>
        <w:t>Technological factors form the foundation upon which e</w:t>
      </w:r>
      <w:r w:rsidR="00887F3E">
        <w:rPr>
          <w:rFonts w:asciiTheme="minorBidi" w:hAnsiTheme="minorBidi"/>
        </w:rPr>
        <w:t>-l</w:t>
      </w:r>
      <w:r w:rsidRPr="00EE037F">
        <w:rPr>
          <w:rFonts w:asciiTheme="minorBidi" w:hAnsiTheme="minorBidi"/>
        </w:rPr>
        <w:t>earning initiatives are built. The quality of e</w:t>
      </w:r>
      <w:r w:rsidR="00887F3E">
        <w:rPr>
          <w:rFonts w:asciiTheme="minorBidi" w:hAnsiTheme="minorBidi"/>
        </w:rPr>
        <w:t>-l</w:t>
      </w:r>
      <w:r w:rsidRPr="00EE037F">
        <w:rPr>
          <w:rFonts w:asciiTheme="minorBidi" w:hAnsiTheme="minorBidi"/>
        </w:rPr>
        <w:t>earning platforms and technological infrastructure, including internet connectivity, learning management systems, and access to digital devices, is a critical determinant of adoption (Selim, 2007). Inadequate infrastructure can undermine even well-designed CPD programmes, particularly in developing country contexts.</w:t>
      </w:r>
    </w:p>
    <w:p w14:paraId="3771E91D" w14:textId="096E2A5B" w:rsidR="003E7DB0" w:rsidRPr="00EE037F" w:rsidRDefault="003E7DB0" w:rsidP="003E7DB0">
      <w:pPr>
        <w:spacing w:line="360" w:lineRule="auto"/>
        <w:jc w:val="both"/>
        <w:rPr>
          <w:rFonts w:asciiTheme="minorBidi" w:hAnsiTheme="minorBidi"/>
        </w:rPr>
      </w:pPr>
      <w:r w:rsidRPr="00EE037F">
        <w:rPr>
          <w:rFonts w:asciiTheme="minorBidi" w:hAnsiTheme="minorBidi"/>
        </w:rPr>
        <w:t>System reliability, usability, and accessibility are equally important. Platforms that are unstable, difficult to navigate, or inaccessible to users with diverse needs reduce user satisfaction and discourage sustained engagement (Ally, 2004). Technical support and training are therefore essential CSFs, enabling academics to resolve issues promptly and build confidence in using e</w:t>
      </w:r>
      <w:r w:rsidR="003609B5">
        <w:rPr>
          <w:rFonts w:asciiTheme="minorBidi" w:hAnsiTheme="minorBidi"/>
        </w:rPr>
        <w:t>-l</w:t>
      </w:r>
      <w:r w:rsidRPr="00EE037F">
        <w:rPr>
          <w:rFonts w:asciiTheme="minorBidi" w:hAnsiTheme="minorBidi"/>
        </w:rPr>
        <w:t>earning systems.</w:t>
      </w:r>
    </w:p>
    <w:p w14:paraId="2808D354" w14:textId="167686D8" w:rsidR="003E7DB0" w:rsidRPr="00EE037F" w:rsidRDefault="003E7DB0" w:rsidP="003E7DB0">
      <w:pPr>
        <w:spacing w:line="360" w:lineRule="auto"/>
        <w:jc w:val="both"/>
        <w:rPr>
          <w:rFonts w:asciiTheme="minorBidi" w:hAnsiTheme="minorBidi"/>
        </w:rPr>
      </w:pPr>
      <w:r w:rsidRPr="00EE037F">
        <w:rPr>
          <w:rFonts w:asciiTheme="minorBidi" w:hAnsiTheme="minorBidi"/>
        </w:rPr>
        <w:t>Data security and privacy concerns have also emerged as significant technological CSFs, particularly with the increased use of cloud-based platforms and online assessment tools. Academics’ trust in the security of institutional systems influences their willingness to engage with e</w:t>
      </w:r>
      <w:r w:rsidR="003609B5">
        <w:rPr>
          <w:rFonts w:asciiTheme="minorBidi" w:hAnsiTheme="minorBidi"/>
        </w:rPr>
        <w:t>-l</w:t>
      </w:r>
      <w:r w:rsidRPr="00EE037F">
        <w:rPr>
          <w:rFonts w:asciiTheme="minorBidi" w:hAnsiTheme="minorBidi"/>
        </w:rPr>
        <w:t>earning, especially when personal data and intellectual property are involved (OECD, 2021).</w:t>
      </w:r>
    </w:p>
    <w:p w14:paraId="75A01687" w14:textId="4C8FCCB1" w:rsidR="003E7DB0" w:rsidRPr="00EE037F" w:rsidRDefault="003E7DB0" w:rsidP="00577C20">
      <w:pPr>
        <w:pStyle w:val="Heading3"/>
      </w:pPr>
      <w:bookmarkStart w:id="85" w:name="_Toc218504110"/>
      <w:r w:rsidRPr="00EE037F">
        <w:t>Organisational CSFs</w:t>
      </w:r>
      <w:bookmarkEnd w:id="85"/>
    </w:p>
    <w:p w14:paraId="198D3128" w14:textId="586FD586" w:rsidR="003E7DB0" w:rsidRPr="00EE037F" w:rsidRDefault="003E7DB0" w:rsidP="003E7DB0">
      <w:pPr>
        <w:spacing w:line="360" w:lineRule="auto"/>
        <w:jc w:val="both"/>
        <w:rPr>
          <w:rFonts w:asciiTheme="minorBidi" w:hAnsiTheme="minorBidi"/>
        </w:rPr>
      </w:pPr>
      <w:r w:rsidRPr="00EE037F">
        <w:rPr>
          <w:rFonts w:asciiTheme="minorBidi" w:hAnsiTheme="minorBidi"/>
        </w:rPr>
        <w:t>Organisational factors are consistently highlighted in the literature as among the most influential CSFs for e</w:t>
      </w:r>
      <w:r w:rsidR="003609B5">
        <w:rPr>
          <w:rFonts w:asciiTheme="minorBidi" w:hAnsiTheme="minorBidi"/>
        </w:rPr>
        <w:t>-l</w:t>
      </w:r>
      <w:r w:rsidRPr="00EE037F">
        <w:rPr>
          <w:rFonts w:asciiTheme="minorBidi" w:hAnsiTheme="minorBidi"/>
        </w:rPr>
        <w:t>earning adoption in higher education. Institutional leadership and management support play a crucial role in legitimising e</w:t>
      </w:r>
      <w:r w:rsidR="003609B5">
        <w:rPr>
          <w:rFonts w:asciiTheme="minorBidi" w:hAnsiTheme="minorBidi"/>
        </w:rPr>
        <w:t>-l</w:t>
      </w:r>
      <w:r w:rsidRPr="00EE037F">
        <w:rPr>
          <w:rFonts w:asciiTheme="minorBidi" w:hAnsiTheme="minorBidi"/>
        </w:rPr>
        <w:t>earning for CPD and signalling its strategic importance (DiMaggio and Powell, 1983; Scott, 2014). Leadership commitment is often reflected in resource allocation, policy development, and recognition of CPD participation.</w:t>
      </w:r>
    </w:p>
    <w:p w14:paraId="58A38599" w14:textId="77777777" w:rsidR="003E7DB0" w:rsidRPr="00EE037F" w:rsidRDefault="003E7DB0" w:rsidP="003E7DB0">
      <w:pPr>
        <w:spacing w:line="360" w:lineRule="auto"/>
        <w:jc w:val="both"/>
        <w:rPr>
          <w:rFonts w:asciiTheme="minorBidi" w:hAnsiTheme="minorBidi"/>
        </w:rPr>
      </w:pPr>
      <w:r w:rsidRPr="00EE037F">
        <w:rPr>
          <w:rFonts w:asciiTheme="minorBidi" w:hAnsiTheme="minorBidi"/>
        </w:rPr>
        <w:lastRenderedPageBreak/>
        <w:t>Clear CPD policies and incentive structures further support adoption. When engagement in CPD is linked to promotion, appraisal, or professional recognition, academics are more likely to prioritise participation (Advance HE, 2016). Organisational culture and readiness for change also influence adoption, as institutions with a culture of innovation and collaboration are better positioned to integrate eLearning into CPD practices (Gibbs, 2013).</w:t>
      </w:r>
    </w:p>
    <w:p w14:paraId="14493605" w14:textId="7EF60E7C" w:rsidR="003E7DB0" w:rsidRPr="00EE037F" w:rsidRDefault="003E7DB0" w:rsidP="003E7DB0">
      <w:pPr>
        <w:spacing w:line="360" w:lineRule="auto"/>
        <w:jc w:val="both"/>
        <w:rPr>
          <w:rFonts w:asciiTheme="minorBidi" w:hAnsiTheme="minorBidi"/>
        </w:rPr>
      </w:pPr>
      <w:r w:rsidRPr="00EE037F">
        <w:rPr>
          <w:rFonts w:asciiTheme="minorBidi" w:hAnsiTheme="minorBidi"/>
        </w:rPr>
        <w:t>The availability of funding and resources is another critical organisational CSF. Financial investment in infrastructure, training, and instructional design is essential to sustain e</w:t>
      </w:r>
      <w:r w:rsidR="0065338C">
        <w:rPr>
          <w:rFonts w:asciiTheme="minorBidi" w:hAnsiTheme="minorBidi"/>
        </w:rPr>
        <w:t>-l</w:t>
      </w:r>
      <w:r w:rsidRPr="00EE037F">
        <w:rPr>
          <w:rFonts w:asciiTheme="minorBidi" w:hAnsiTheme="minorBidi"/>
        </w:rPr>
        <w:t>earning initiatives. Disparities in institutional resources contribute significantly to differences in e</w:t>
      </w:r>
      <w:r w:rsidR="0065338C">
        <w:rPr>
          <w:rFonts w:asciiTheme="minorBidi" w:hAnsiTheme="minorBidi"/>
        </w:rPr>
        <w:t>-l</w:t>
      </w:r>
      <w:r w:rsidRPr="00EE037F">
        <w:rPr>
          <w:rFonts w:asciiTheme="minorBidi" w:hAnsiTheme="minorBidi"/>
        </w:rPr>
        <w:t>earning adoption between developed and developing country contexts (Barney, 1991; Altbach, Reisberg and Rumbley, 2019).</w:t>
      </w:r>
    </w:p>
    <w:p w14:paraId="57AA25D2" w14:textId="7543F192" w:rsidR="003E7DB0" w:rsidRPr="00EE037F" w:rsidRDefault="003E7DB0" w:rsidP="00577C20">
      <w:pPr>
        <w:pStyle w:val="Heading3"/>
      </w:pPr>
      <w:bookmarkStart w:id="86" w:name="_Toc218504111"/>
      <w:r w:rsidRPr="00EE037F">
        <w:t>Pedagogical and Content-Related CSFs</w:t>
      </w:r>
      <w:bookmarkEnd w:id="86"/>
    </w:p>
    <w:p w14:paraId="3579D87C" w14:textId="30211CBE" w:rsidR="003E7DB0" w:rsidRPr="00EE037F" w:rsidRDefault="003E7DB0" w:rsidP="003E7DB0">
      <w:pPr>
        <w:spacing w:line="360" w:lineRule="auto"/>
        <w:jc w:val="both"/>
        <w:rPr>
          <w:rFonts w:asciiTheme="minorBidi" w:hAnsiTheme="minorBidi"/>
        </w:rPr>
      </w:pPr>
      <w:r w:rsidRPr="00EE037F">
        <w:rPr>
          <w:rFonts w:asciiTheme="minorBidi" w:hAnsiTheme="minorBidi"/>
        </w:rPr>
        <w:t>Pedagogical quality is a central determinant of the effectiveness and acceptance of e</w:t>
      </w:r>
      <w:r w:rsidR="00285170">
        <w:rPr>
          <w:rFonts w:asciiTheme="minorBidi" w:hAnsiTheme="minorBidi"/>
        </w:rPr>
        <w:t>-l</w:t>
      </w:r>
      <w:r w:rsidRPr="00EE037F">
        <w:rPr>
          <w:rFonts w:asciiTheme="minorBidi" w:hAnsiTheme="minorBidi"/>
        </w:rPr>
        <w:t>earning for CPD. High-quality instructional design that aligns learning objectives, activities, and assessments enhances engagement and learning outcomes (Gagné et al., 2005). Poorly designed courses, even when technologically robust, are unlikely to achieve sustained adoption.</w:t>
      </w:r>
    </w:p>
    <w:p w14:paraId="1E72D5CE" w14:textId="3E5DAFBE" w:rsidR="003E7DB0" w:rsidRPr="00EE037F" w:rsidRDefault="003E7DB0" w:rsidP="003E7DB0">
      <w:pPr>
        <w:spacing w:line="360" w:lineRule="auto"/>
        <w:jc w:val="both"/>
        <w:rPr>
          <w:rFonts w:asciiTheme="minorBidi" w:hAnsiTheme="minorBidi"/>
        </w:rPr>
      </w:pPr>
      <w:r w:rsidRPr="00EE037F">
        <w:rPr>
          <w:rFonts w:asciiTheme="minorBidi" w:hAnsiTheme="minorBidi"/>
        </w:rPr>
        <w:t>The relevance of content to academics’ professional roles is particularly important in CPD contexts. Academics are more likely to engage in e</w:t>
      </w:r>
      <w:r w:rsidR="00285170">
        <w:rPr>
          <w:rFonts w:asciiTheme="minorBidi" w:hAnsiTheme="minorBidi"/>
        </w:rPr>
        <w:t>-l</w:t>
      </w:r>
      <w:r w:rsidRPr="00EE037F">
        <w:rPr>
          <w:rFonts w:asciiTheme="minorBidi" w:hAnsiTheme="minorBidi"/>
        </w:rPr>
        <w:t>earning when content addresses their disciplinary needs, teaching challenges, or research development goals (Knowles, 1984). Assessment and feedback mechanisms also influence adoption, as timely and constructive feedback supports reflective practice and continuous improvement.</w:t>
      </w:r>
    </w:p>
    <w:p w14:paraId="368101A0" w14:textId="77106F16" w:rsidR="003E7DB0" w:rsidRPr="00EE037F" w:rsidRDefault="003E7DB0" w:rsidP="003E7DB0">
      <w:pPr>
        <w:spacing w:line="360" w:lineRule="auto"/>
        <w:jc w:val="both"/>
        <w:rPr>
          <w:rFonts w:asciiTheme="minorBidi" w:hAnsiTheme="minorBidi"/>
        </w:rPr>
      </w:pPr>
      <w:r w:rsidRPr="00EE037F">
        <w:rPr>
          <w:rFonts w:asciiTheme="minorBidi" w:hAnsiTheme="minorBidi"/>
        </w:rPr>
        <w:t xml:space="preserve">Opportunities for collaboration and interaction represent another key pedagogical CSF. Constructivist approaches emphasise peer learning, discussion, and knowledge co-creation, which are highly valued in academic communities (Vygotsky, 1978). </w:t>
      </w:r>
      <w:r w:rsidR="0079022A" w:rsidRPr="00EE037F">
        <w:rPr>
          <w:rFonts w:asciiTheme="minorBidi" w:hAnsiTheme="minorBidi"/>
        </w:rPr>
        <w:t>E</w:t>
      </w:r>
      <w:r w:rsidR="0079022A">
        <w:rPr>
          <w:rFonts w:asciiTheme="minorBidi" w:hAnsiTheme="minorBidi"/>
        </w:rPr>
        <w:t>-l</w:t>
      </w:r>
      <w:r w:rsidRPr="00EE037F">
        <w:rPr>
          <w:rFonts w:asciiTheme="minorBidi" w:hAnsiTheme="minorBidi"/>
        </w:rPr>
        <w:t>earning platforms that facilitate interaction through forums, webinars, and communities of practice enhance the perceived value of CPD.</w:t>
      </w:r>
    </w:p>
    <w:p w14:paraId="0E281D09" w14:textId="76B3740B" w:rsidR="003E7DB0" w:rsidRPr="00EE037F" w:rsidRDefault="003E7DB0" w:rsidP="00577C20">
      <w:pPr>
        <w:pStyle w:val="Heading3"/>
      </w:pPr>
      <w:bookmarkStart w:id="87" w:name="_Toc218504112"/>
      <w:r w:rsidRPr="00EE037F">
        <w:t>Environmental and Contextual CSFs</w:t>
      </w:r>
      <w:bookmarkEnd w:id="87"/>
    </w:p>
    <w:p w14:paraId="33EEA7CE" w14:textId="23F2F3F6" w:rsidR="003E7DB0" w:rsidRPr="00EE037F" w:rsidRDefault="003E7DB0" w:rsidP="003E7DB0">
      <w:pPr>
        <w:spacing w:line="360" w:lineRule="auto"/>
        <w:jc w:val="both"/>
        <w:rPr>
          <w:rFonts w:asciiTheme="minorBidi" w:hAnsiTheme="minorBidi"/>
        </w:rPr>
      </w:pPr>
      <w:r w:rsidRPr="00EE037F">
        <w:rPr>
          <w:rFonts w:asciiTheme="minorBidi" w:hAnsiTheme="minorBidi"/>
        </w:rPr>
        <w:t>Environmental and contextual factors shape the broader conditions within which e</w:t>
      </w:r>
      <w:r w:rsidR="0079022A">
        <w:rPr>
          <w:rFonts w:asciiTheme="minorBidi" w:hAnsiTheme="minorBidi"/>
        </w:rPr>
        <w:t>-l</w:t>
      </w:r>
      <w:r w:rsidRPr="00EE037F">
        <w:rPr>
          <w:rFonts w:asciiTheme="minorBidi" w:hAnsiTheme="minorBidi"/>
        </w:rPr>
        <w:t xml:space="preserve">earning adoption occurs. National education policies and regulatory frameworks </w:t>
      </w:r>
      <w:r w:rsidRPr="00EE037F">
        <w:rPr>
          <w:rFonts w:asciiTheme="minorBidi" w:hAnsiTheme="minorBidi"/>
        </w:rPr>
        <w:lastRenderedPageBreak/>
        <w:t>influence institutional priorities and funding for CPD and digital learning (OECD, 2019). Technological readiness at the national level, including broadband availability and digital inclusion, significantly affects universities’ capacity to implement e</w:t>
      </w:r>
      <w:r w:rsidR="0079022A">
        <w:rPr>
          <w:rFonts w:asciiTheme="minorBidi" w:hAnsiTheme="minorBidi"/>
        </w:rPr>
        <w:t>-l</w:t>
      </w:r>
      <w:r w:rsidRPr="00EE037F">
        <w:rPr>
          <w:rFonts w:asciiTheme="minorBidi" w:hAnsiTheme="minorBidi"/>
        </w:rPr>
        <w:t>earning effectively (UNESCO, 2020).</w:t>
      </w:r>
    </w:p>
    <w:p w14:paraId="65A852E4" w14:textId="6BE65218" w:rsidR="003E7DB0" w:rsidRPr="00EE037F" w:rsidRDefault="003E7DB0" w:rsidP="003E7DB0">
      <w:pPr>
        <w:spacing w:line="360" w:lineRule="auto"/>
        <w:jc w:val="both"/>
        <w:rPr>
          <w:rFonts w:asciiTheme="minorBidi" w:hAnsiTheme="minorBidi"/>
        </w:rPr>
      </w:pPr>
      <w:r w:rsidRPr="00EE037F">
        <w:rPr>
          <w:rFonts w:asciiTheme="minorBidi" w:hAnsiTheme="minorBidi"/>
        </w:rPr>
        <w:t>Socio-economic and cultural factors also play a role, particularly in developing country contexts. Cultural attitudes towards technology, hierarchical organisational structures, and disparities in access to digital resources can either enable or constrain adoption (Avgerou, 2008). The impact of global crises, such as the COVID-19 pandemic, has further highlighted both the potential of e</w:t>
      </w:r>
      <w:r w:rsidR="00202DCB">
        <w:rPr>
          <w:rFonts w:asciiTheme="minorBidi" w:hAnsiTheme="minorBidi"/>
        </w:rPr>
        <w:t>-l</w:t>
      </w:r>
      <w:r w:rsidRPr="00EE037F">
        <w:rPr>
          <w:rFonts w:asciiTheme="minorBidi" w:hAnsiTheme="minorBidi"/>
        </w:rPr>
        <w:t>earning for CPD and the persistence of structural inequalities across contexts (OECD, 2021).</w:t>
      </w:r>
    </w:p>
    <w:p w14:paraId="0580D27E" w14:textId="77777777" w:rsidR="003E7DB0" w:rsidRPr="00EE037F" w:rsidRDefault="003E7DB0" w:rsidP="003E7DB0">
      <w:pPr>
        <w:spacing w:line="360" w:lineRule="auto"/>
        <w:jc w:val="both"/>
        <w:rPr>
          <w:rFonts w:asciiTheme="minorBidi" w:hAnsiTheme="minorBidi"/>
        </w:rPr>
      </w:pPr>
    </w:p>
    <w:p w14:paraId="3A17E133" w14:textId="77777777" w:rsidR="003E7DB0" w:rsidRPr="00EE037F" w:rsidRDefault="003E7DB0" w:rsidP="00577C20">
      <w:pPr>
        <w:pStyle w:val="Heading3"/>
      </w:pPr>
      <w:bookmarkStart w:id="88" w:name="_Toc218504113"/>
      <w:r w:rsidRPr="00EE037F">
        <w:t>Concluding Synthesis</w:t>
      </w:r>
      <w:bookmarkEnd w:id="88"/>
    </w:p>
    <w:p w14:paraId="4127288F" w14:textId="17FA53E8" w:rsidR="003E7DB0" w:rsidRDefault="003E7DB0" w:rsidP="003E7DB0">
      <w:pPr>
        <w:spacing w:line="360" w:lineRule="auto"/>
        <w:jc w:val="both"/>
        <w:rPr>
          <w:rFonts w:asciiTheme="minorBidi" w:hAnsiTheme="minorBidi"/>
        </w:rPr>
      </w:pPr>
      <w:r w:rsidRPr="00EE037F">
        <w:rPr>
          <w:rFonts w:asciiTheme="minorBidi" w:hAnsiTheme="minorBidi"/>
        </w:rPr>
        <w:t>Overall, the literature demonstrates that e</w:t>
      </w:r>
      <w:r w:rsidR="005536F9">
        <w:rPr>
          <w:rFonts w:asciiTheme="minorBidi" w:hAnsiTheme="minorBidi"/>
        </w:rPr>
        <w:t>-</w:t>
      </w:r>
      <w:r w:rsidR="00202DCB">
        <w:rPr>
          <w:rFonts w:asciiTheme="minorBidi" w:hAnsiTheme="minorBidi"/>
        </w:rPr>
        <w:t>l</w:t>
      </w:r>
      <w:r w:rsidRPr="00EE037F">
        <w:rPr>
          <w:rFonts w:asciiTheme="minorBidi" w:hAnsiTheme="minorBidi"/>
        </w:rPr>
        <w:t>earning adoption for CPD is shaped by an interrelated set of individual, technological, organisational, pedagogical, and contextual CSFs. Understanding how these factors interact is essential for developing effective, context-sensitive e</w:t>
      </w:r>
      <w:r w:rsidR="00202DCB">
        <w:rPr>
          <w:rFonts w:asciiTheme="minorBidi" w:hAnsiTheme="minorBidi"/>
        </w:rPr>
        <w:t>-l</w:t>
      </w:r>
      <w:r w:rsidRPr="00EE037F">
        <w:rPr>
          <w:rFonts w:asciiTheme="minorBidi" w:hAnsiTheme="minorBidi"/>
        </w:rPr>
        <w:t>earning strategies, particularly in comparative studies between developed and developing higher education systems.</w:t>
      </w:r>
    </w:p>
    <w:p w14:paraId="164BD749" w14:textId="77777777" w:rsidR="003E7DB0" w:rsidRDefault="003E7DB0" w:rsidP="003E7DB0">
      <w:pPr>
        <w:spacing w:line="360" w:lineRule="auto"/>
        <w:jc w:val="both"/>
        <w:rPr>
          <w:rFonts w:asciiTheme="minorBidi" w:hAnsiTheme="minorBidi"/>
        </w:rPr>
      </w:pPr>
    </w:p>
    <w:p w14:paraId="5CFA318A" w14:textId="77777777" w:rsidR="003E7DB0" w:rsidRDefault="003E7DB0" w:rsidP="003E7DB0">
      <w:pPr>
        <w:spacing w:line="360" w:lineRule="auto"/>
        <w:jc w:val="both"/>
        <w:rPr>
          <w:rFonts w:asciiTheme="minorBidi" w:hAnsiTheme="minorBidi"/>
        </w:rPr>
      </w:pPr>
    </w:p>
    <w:p w14:paraId="054B6EE7" w14:textId="3147AEB0" w:rsidR="003E7DB0" w:rsidRPr="00CB1B09" w:rsidRDefault="003E7DB0" w:rsidP="00577C20">
      <w:pPr>
        <w:pStyle w:val="Heading2"/>
      </w:pPr>
      <w:r w:rsidRPr="00CB1B09">
        <w:t xml:space="preserve"> </w:t>
      </w:r>
      <w:bookmarkStart w:id="89" w:name="_Toc218504114"/>
      <w:r w:rsidR="00D46C62">
        <w:t>E-</w:t>
      </w:r>
      <w:r w:rsidRPr="00CB1B09">
        <w:t>Learning for CPD Among Academics</w:t>
      </w:r>
      <w:r w:rsidR="005C573B">
        <w:t xml:space="preserve"> in higher education</w:t>
      </w:r>
      <w:r w:rsidRPr="00CB1B09">
        <w:t>: Empirical Evidence</w:t>
      </w:r>
      <w:bookmarkEnd w:id="89"/>
    </w:p>
    <w:p w14:paraId="39EA3962" w14:textId="3869FE4E" w:rsidR="003E7DB0" w:rsidRPr="00CB1B09" w:rsidRDefault="003E7DB0" w:rsidP="00B93E75">
      <w:pPr>
        <w:pStyle w:val="Heading3"/>
      </w:pPr>
      <w:bookmarkStart w:id="90" w:name="_Toc218504115"/>
      <w:r w:rsidRPr="00CB1B09">
        <w:t>Global studies on e</w:t>
      </w:r>
      <w:r w:rsidR="00D46C62">
        <w:t>-</w:t>
      </w:r>
      <w:r w:rsidR="00155698">
        <w:t>l</w:t>
      </w:r>
      <w:r w:rsidRPr="00CB1B09">
        <w:t>earning adoption for CPD</w:t>
      </w:r>
      <w:bookmarkEnd w:id="90"/>
    </w:p>
    <w:p w14:paraId="69A8378C" w14:textId="0EAA3B04" w:rsidR="003E7DB0" w:rsidRPr="00CB1B09" w:rsidRDefault="003E7DB0" w:rsidP="00D45E79">
      <w:pPr>
        <w:spacing w:line="360" w:lineRule="auto"/>
        <w:jc w:val="both"/>
        <w:rPr>
          <w:rFonts w:asciiTheme="minorBidi" w:hAnsiTheme="minorBidi"/>
        </w:rPr>
      </w:pPr>
      <w:r w:rsidRPr="00CB1B09">
        <w:rPr>
          <w:rFonts w:asciiTheme="minorBidi" w:hAnsiTheme="minorBidi"/>
        </w:rPr>
        <w:t>International research increasingly recognises e</w:t>
      </w:r>
      <w:r w:rsidR="004F0B63">
        <w:rPr>
          <w:rFonts w:asciiTheme="minorBidi" w:hAnsiTheme="minorBidi"/>
        </w:rPr>
        <w:t>-l</w:t>
      </w:r>
      <w:r w:rsidRPr="00CB1B09">
        <w:rPr>
          <w:rFonts w:asciiTheme="minorBidi" w:hAnsiTheme="minorBidi"/>
        </w:rPr>
        <w:t xml:space="preserve">earning as a strategic modality for delivering CPD to academics and other professional groups because it can widen access, reduce time-away-from-work costs, and support flexible </w:t>
      </w:r>
      <w:r w:rsidRPr="0053773B">
        <w:rPr>
          <w:rFonts w:asciiTheme="minorBidi" w:hAnsiTheme="minorBidi"/>
        </w:rPr>
        <w:t>participation</w:t>
      </w:r>
      <w:r w:rsidR="0053773B" w:rsidRPr="0053773B">
        <w:rPr>
          <w:rFonts w:asciiTheme="minorBidi" w:hAnsiTheme="minorBidi"/>
        </w:rPr>
        <w:t>(Laurillard, 2012; Dhawan, 2020)</w:t>
      </w:r>
      <w:r w:rsidRPr="0053773B">
        <w:rPr>
          <w:rFonts w:asciiTheme="minorBidi" w:hAnsiTheme="minorBidi"/>
        </w:rPr>
        <w:t xml:space="preserve">. </w:t>
      </w:r>
      <w:r w:rsidR="00D45E79" w:rsidRPr="00D45E79">
        <w:rPr>
          <w:rFonts w:asciiTheme="minorBidi" w:hAnsiTheme="minorBidi"/>
        </w:rPr>
        <w:t xml:space="preserve">Evidence syntheses on online professional learning consistently report that uptake and effectiveness are strongest when e-learning is perceived as directly relevant to professional practice, easy to access, and actively supported by institutions, rather than merely being available as a technological platform (OECD, 2021; Trust et al., 2017). Systematic reviews of online </w:t>
      </w:r>
      <w:r w:rsidR="00D45E79" w:rsidRPr="00D45E79">
        <w:rPr>
          <w:rFonts w:asciiTheme="minorBidi" w:hAnsiTheme="minorBidi"/>
        </w:rPr>
        <w:lastRenderedPageBreak/>
        <w:t>professional development highlight structured instructional design, practical applicability to real work contexts, sustained facilitation and support, and opportunities for collaboration and reflective practice as recurring success factors across disciplines and countries (Dede et al., 2009; Means et al., 2014). These findings suggest that pedagogical and organisational conditions are more critical than technology alone in determining the success of online professional learning initiatives.</w:t>
      </w:r>
    </w:p>
    <w:p w14:paraId="7567D29E" w14:textId="6EA9965E" w:rsidR="003E7DB0" w:rsidRDefault="003E7DB0" w:rsidP="000B435C">
      <w:pPr>
        <w:spacing w:line="360" w:lineRule="auto"/>
        <w:jc w:val="both"/>
        <w:rPr>
          <w:rFonts w:asciiTheme="minorBidi" w:hAnsiTheme="minorBidi"/>
        </w:rPr>
      </w:pPr>
      <w:r w:rsidRPr="00AF23CA">
        <w:rPr>
          <w:rFonts w:asciiTheme="minorBidi" w:hAnsiTheme="minorBidi"/>
        </w:rPr>
        <w:t xml:space="preserve">Across studies, commonly identified CSFs align with the multi-level categories discussed earlier: (i) individual factors (digital confidence, perceived value, motivation), (ii) technological factors (reliable platforms, usability, connectivity, technical support), (iii) organisational factors (leadership support, incentives, workload recognition), and (iv) pedagogical factors (instructional design quality, interaction, feedback). </w:t>
      </w:r>
      <w:r w:rsidR="000B435C" w:rsidRPr="000B435C">
        <w:rPr>
          <w:rFonts w:asciiTheme="minorBidi" w:hAnsiTheme="minorBidi"/>
        </w:rPr>
        <w:t>Recent reviews indicate that effective eLearning-based continuing professional development (CPD) is most successful when it incorporates applied, practice-based activities, opportunities for collaboration such as peer discussion and professional learning communities, and sustained engagement over time rather than isolated, one-off training events (Dede et al., 2009; Trust et al., 2017; OECD, 2021). Systematic reviews emphasise that ongoing interaction, reflection, and real-world application help professionals integrate new knowledge into practice and lead to more durable learning outcomes compared with short, stand-alone online courses (Means et al., 2014).</w:t>
      </w:r>
    </w:p>
    <w:p w14:paraId="4E8D0665" w14:textId="5B7C1D0A" w:rsidR="00EF7BE0" w:rsidRPr="00AF23CA" w:rsidRDefault="00EF7BE0" w:rsidP="00EF7BE0">
      <w:pPr>
        <w:spacing w:line="360" w:lineRule="auto"/>
        <w:jc w:val="both"/>
        <w:rPr>
          <w:rFonts w:asciiTheme="minorBidi" w:hAnsiTheme="minorBidi"/>
        </w:rPr>
      </w:pPr>
      <w:r w:rsidRPr="00EF7BE0">
        <w:rPr>
          <w:rFonts w:asciiTheme="minorBidi" w:hAnsiTheme="minorBidi"/>
        </w:rPr>
        <w:t>Methodologically, the global evidence base on eLearning and online CPD is dominated by cross-sectional survey studies</w:t>
      </w:r>
      <w:r>
        <w:rPr>
          <w:rFonts w:asciiTheme="minorBidi" w:hAnsiTheme="minorBidi"/>
        </w:rPr>
        <w:t xml:space="preserve">, </w:t>
      </w:r>
      <w:r w:rsidRPr="00EF7BE0">
        <w:rPr>
          <w:rFonts w:asciiTheme="minorBidi" w:hAnsiTheme="minorBidi"/>
        </w:rPr>
        <w:t>often analysed using regression techniques or structural equation modelling</w:t>
      </w:r>
      <w:r>
        <w:rPr>
          <w:rFonts w:asciiTheme="minorBidi" w:hAnsiTheme="minorBidi"/>
        </w:rPr>
        <w:t xml:space="preserve">, </w:t>
      </w:r>
      <w:r w:rsidRPr="00EF7BE0">
        <w:rPr>
          <w:rFonts w:asciiTheme="minorBidi" w:hAnsiTheme="minorBidi"/>
        </w:rPr>
        <w:t>alongside institutional case studies and mixed-method designs that triangulate platform usage data with interviews or focus groups (Dede et al., 2009; Trust et al., 2017). Systematic reviews consistently note limitations in the literature, particularly uneven reporting of learning outcomes and a strong reliance on self-reported perceptions of effectiveness rather than objectively measured changes in teaching practice, professional behaviour, or performance outcomes (Means et al., 2014; OECD, 2021). Furthermore, comparative empirical research remains relatively scarce, with few studies explicitly examining whether the same critical success factors (CSFs) for e</w:t>
      </w:r>
      <w:r w:rsidR="00BF2869">
        <w:rPr>
          <w:rFonts w:asciiTheme="minorBidi" w:hAnsiTheme="minorBidi"/>
        </w:rPr>
        <w:t>-l</w:t>
      </w:r>
      <w:r w:rsidRPr="00EF7BE0">
        <w:rPr>
          <w:rFonts w:asciiTheme="minorBidi" w:hAnsiTheme="minorBidi"/>
        </w:rPr>
        <w:t>earning-based CPD operate similarly across resource-rich and resource-constrained educational systems, limiting the generalisability of current findings across global contexts (Laurillard, 2012; OECD, 2021).</w:t>
      </w:r>
    </w:p>
    <w:p w14:paraId="6AF4E93A" w14:textId="11D5F534" w:rsidR="003E7DB0" w:rsidRPr="00CB1B09" w:rsidRDefault="00D46C62" w:rsidP="00B93E75">
      <w:pPr>
        <w:pStyle w:val="Heading3"/>
      </w:pPr>
      <w:bookmarkStart w:id="91" w:name="_Toc218504116"/>
      <w:r>
        <w:lastRenderedPageBreak/>
        <w:t>E- l</w:t>
      </w:r>
      <w:r w:rsidR="003E7DB0" w:rsidRPr="00CB1B09">
        <w:t>earning and CPD in the United Kingdom</w:t>
      </w:r>
      <w:bookmarkEnd w:id="91"/>
    </w:p>
    <w:p w14:paraId="50A439E0" w14:textId="77777777" w:rsidR="003E7DB0" w:rsidRPr="00AF23CA" w:rsidRDefault="003E7DB0" w:rsidP="003E7DB0">
      <w:pPr>
        <w:spacing w:line="360" w:lineRule="auto"/>
        <w:jc w:val="both"/>
        <w:rPr>
          <w:rFonts w:asciiTheme="minorBidi" w:hAnsiTheme="minorBidi"/>
        </w:rPr>
      </w:pPr>
      <w:r w:rsidRPr="00AF23CA">
        <w:rPr>
          <w:rFonts w:asciiTheme="minorBidi" w:hAnsiTheme="minorBidi"/>
        </w:rPr>
        <w:t>The UK higher education context is characterised by mature institutional infrastructures for staff development and nationally recognised professional standards for teaching and supporting learning. A central reference point is the Professional Standards Framework (PSF) 2023, managed by Advance HE, which is explicitly intended for use by individuals to plan and evidence development and by institutions as a basis for initial and continuing professional development programmes. (</w:t>
      </w:r>
      <w:hyperlink r:id="rId15" w:tooltip="Professional Standards Framework (PSF) 2023" w:history="1">
        <w:r w:rsidRPr="00AF23CA">
          <w:rPr>
            <w:rStyle w:val="Hyperlink"/>
            <w:rFonts w:asciiTheme="minorBidi" w:hAnsiTheme="minorBidi"/>
            <w:color w:val="auto"/>
            <w:u w:val="none"/>
          </w:rPr>
          <w:t>Advance HE</w:t>
        </w:r>
      </w:hyperlink>
      <w:r w:rsidRPr="00AF23CA">
        <w:rPr>
          <w:rFonts w:asciiTheme="minorBidi" w:hAnsiTheme="minorBidi"/>
        </w:rPr>
        <w:t>) UK universities commonly operationalise CPD through Advance HE-accredited professional recognition schemes (e.g., institutional fellowship routes), postgraduate certificates in academic practice, and teaching and learning centres that provide workshops, mentoring, and peer-learning opportunities. (</w:t>
      </w:r>
      <w:hyperlink r:id="rId16" w:tooltip="Teaching and Learning Accreditation" w:history="1">
        <w:r w:rsidRPr="00AF23CA">
          <w:rPr>
            <w:rStyle w:val="Hyperlink"/>
            <w:rFonts w:asciiTheme="minorBidi" w:hAnsiTheme="minorBidi"/>
            <w:color w:val="auto"/>
            <w:u w:val="none"/>
          </w:rPr>
          <w:t>Advance HE</w:t>
        </w:r>
      </w:hyperlink>
      <w:r w:rsidRPr="00AF23CA">
        <w:rPr>
          <w:rFonts w:asciiTheme="minorBidi" w:hAnsiTheme="minorBidi"/>
        </w:rPr>
        <w:t>)</w:t>
      </w:r>
    </w:p>
    <w:p w14:paraId="474D1E1E" w14:textId="66DF4534" w:rsidR="003E7DB0" w:rsidRPr="00AF23CA" w:rsidRDefault="003E7DB0" w:rsidP="003E7DB0">
      <w:pPr>
        <w:spacing w:line="360" w:lineRule="auto"/>
        <w:jc w:val="both"/>
        <w:rPr>
          <w:rFonts w:asciiTheme="minorBidi" w:hAnsiTheme="minorBidi"/>
        </w:rPr>
      </w:pPr>
      <w:r w:rsidRPr="00CB1B09">
        <w:rPr>
          <w:rFonts w:asciiTheme="minorBidi" w:hAnsiTheme="minorBidi"/>
        </w:rPr>
        <w:t>Empirical and practice-based evidence from UK institutions indicates that e</w:t>
      </w:r>
      <w:r w:rsidR="00BD0822">
        <w:rPr>
          <w:rFonts w:asciiTheme="minorBidi" w:hAnsiTheme="minorBidi"/>
        </w:rPr>
        <w:t>-l</w:t>
      </w:r>
      <w:r w:rsidRPr="00CB1B09">
        <w:rPr>
          <w:rFonts w:asciiTheme="minorBidi" w:hAnsiTheme="minorBidi"/>
        </w:rPr>
        <w:t>earning increasingly supports CPD delivery via blended and fully online provision (e.g., self-paced modules, online workshops/webinars, professional recognition support delivered through digital platforms). Institutional CPD frameworks frequently connect professional recognition (e.g., Fellowship categories aligned to PSF descriptors) with staff development pathways and, in many universities, with probation, promotion, and reward structures</w:t>
      </w:r>
      <w:r w:rsidR="00BD0822">
        <w:rPr>
          <w:rFonts w:asciiTheme="minorBidi" w:hAnsiTheme="minorBidi"/>
        </w:rPr>
        <w:t xml:space="preserve">, </w:t>
      </w:r>
      <w:r w:rsidRPr="00CB1B09">
        <w:rPr>
          <w:rFonts w:asciiTheme="minorBidi" w:hAnsiTheme="minorBidi"/>
        </w:rPr>
        <w:t>strengthening the organisational “pull” to engage. (</w:t>
      </w:r>
      <w:hyperlink r:id="rId17" w:tooltip="Fellowship" w:history="1">
        <w:r w:rsidRPr="00AF23CA">
          <w:rPr>
            <w:rStyle w:val="Hyperlink"/>
            <w:rFonts w:asciiTheme="minorBidi" w:hAnsiTheme="minorBidi"/>
            <w:color w:val="auto"/>
            <w:u w:val="none"/>
          </w:rPr>
          <w:t>Advance HE</w:t>
        </w:r>
      </w:hyperlink>
      <w:r w:rsidRPr="00AF23CA">
        <w:rPr>
          <w:rFonts w:asciiTheme="minorBidi" w:hAnsiTheme="minorBidi"/>
        </w:rPr>
        <w:t>)</w:t>
      </w:r>
    </w:p>
    <w:p w14:paraId="74893345" w14:textId="77777777" w:rsidR="003E7DB0" w:rsidRPr="00AF23CA" w:rsidRDefault="003E7DB0" w:rsidP="003E7DB0">
      <w:pPr>
        <w:spacing w:line="360" w:lineRule="auto"/>
        <w:jc w:val="both"/>
        <w:rPr>
          <w:rFonts w:asciiTheme="minorBidi" w:hAnsiTheme="minorBidi"/>
        </w:rPr>
      </w:pPr>
      <w:r w:rsidRPr="00AF23CA">
        <w:rPr>
          <w:rFonts w:asciiTheme="minorBidi" w:hAnsiTheme="minorBidi"/>
        </w:rPr>
        <w:t>In relation to adoption trends, sector-wide pressures to evidence teaching quality and enhancement have encouraged universities to professionalise teaching development and broaden participation in CPD. National schemes such as the Teaching Excellence Framework (TEF) are designed to encourage providers to improve teaching and learning outcomes, which can indirectly elevate the priority of staff development and recognition systems within institutional strategies. (</w:t>
      </w:r>
      <w:hyperlink r:id="rId18" w:tooltip="About the Teaching Excellence Framework (TEF)" w:history="1">
        <w:r w:rsidRPr="00AF23CA">
          <w:rPr>
            <w:rStyle w:val="Hyperlink"/>
            <w:rFonts w:asciiTheme="minorBidi" w:hAnsiTheme="minorBidi"/>
            <w:color w:val="auto"/>
            <w:u w:val="none"/>
          </w:rPr>
          <w:t>Office for Students</w:t>
        </w:r>
      </w:hyperlink>
      <w:r w:rsidRPr="00AF23CA">
        <w:rPr>
          <w:rFonts w:asciiTheme="minorBidi" w:hAnsiTheme="minorBidi"/>
        </w:rPr>
        <w:t>) Institution-level submissions and strategies often explicitly position staff professional development and teaching enhancement as part of their quality narrative, reinforcing leadership attention and resourcing for CPD. (</w:t>
      </w:r>
      <w:hyperlink r:id="rId19" w:tooltip="Teaching Excellence Framework (TEF) 2023" w:history="1">
        <w:r w:rsidRPr="00AF23CA">
          <w:rPr>
            <w:rStyle w:val="Hyperlink"/>
            <w:rFonts w:asciiTheme="minorBidi" w:hAnsiTheme="minorBidi"/>
            <w:color w:val="auto"/>
            <w:u w:val="none"/>
          </w:rPr>
          <w:t>King's College London</w:t>
        </w:r>
      </w:hyperlink>
      <w:r w:rsidRPr="00AF23CA">
        <w:rPr>
          <w:rFonts w:asciiTheme="minorBidi" w:hAnsiTheme="minorBidi"/>
        </w:rPr>
        <w:t>)</w:t>
      </w:r>
    </w:p>
    <w:p w14:paraId="4E80DE1E" w14:textId="67BA5485" w:rsidR="003E7DB0" w:rsidRPr="00CB1B09" w:rsidRDefault="003E7DB0" w:rsidP="003E7DB0">
      <w:pPr>
        <w:spacing w:line="360" w:lineRule="auto"/>
        <w:jc w:val="both"/>
        <w:rPr>
          <w:rFonts w:asciiTheme="minorBidi" w:hAnsiTheme="minorBidi"/>
        </w:rPr>
      </w:pPr>
      <w:r w:rsidRPr="00CB1B09">
        <w:rPr>
          <w:rFonts w:asciiTheme="minorBidi" w:hAnsiTheme="minorBidi"/>
        </w:rPr>
        <w:t xml:space="preserve">UK-specific success factors and challenges commonly reported in institutional materials and evaluations include: (1) availability of structured pathways (e.g., accredited schemes), (2) strong facilitation and mentoring for reflective practice, (3) workload recognition and protected time, (4) usability and accessibility of digital CPD platforms, and (5) alignment between CPD participation and career progression. </w:t>
      </w:r>
      <w:r w:rsidRPr="00AF23CA">
        <w:rPr>
          <w:rFonts w:asciiTheme="minorBidi" w:hAnsiTheme="minorBidi"/>
        </w:rPr>
        <w:t>(</w:t>
      </w:r>
      <w:hyperlink r:id="rId20" w:tooltip="Professional Development | Teaching &amp; Learning - UCL" w:history="1">
        <w:r w:rsidRPr="00AF23CA">
          <w:rPr>
            <w:rStyle w:val="Hyperlink"/>
            <w:rFonts w:asciiTheme="minorBidi" w:hAnsiTheme="minorBidi"/>
            <w:color w:val="auto"/>
            <w:u w:val="none"/>
          </w:rPr>
          <w:t>UCL</w:t>
        </w:r>
      </w:hyperlink>
      <w:r w:rsidRPr="00AF23CA">
        <w:rPr>
          <w:rFonts w:asciiTheme="minorBidi" w:hAnsiTheme="minorBidi"/>
        </w:rPr>
        <w:t xml:space="preserve">) </w:t>
      </w:r>
      <w:r w:rsidRPr="00CB1B09">
        <w:rPr>
          <w:rFonts w:asciiTheme="minorBidi" w:hAnsiTheme="minorBidi"/>
        </w:rPr>
        <w:lastRenderedPageBreak/>
        <w:t>Persistent challenges remain, including uneven engagement across disciplines, time constraints, and variability in digital confidence</w:t>
      </w:r>
      <w:r w:rsidR="00AF23CA">
        <w:rPr>
          <w:rFonts w:asciiTheme="minorBidi" w:hAnsiTheme="minorBidi"/>
        </w:rPr>
        <w:t xml:space="preserve">, </w:t>
      </w:r>
      <w:r w:rsidRPr="00CB1B09">
        <w:rPr>
          <w:rFonts w:asciiTheme="minorBidi" w:hAnsiTheme="minorBidi"/>
        </w:rPr>
        <w:t>suggesting that even in well-resourced environments, individual and organisational CSFs still shape adoption.</w:t>
      </w:r>
    </w:p>
    <w:p w14:paraId="40D60F12" w14:textId="18C58A05" w:rsidR="003E7DB0" w:rsidRPr="00AF23CA" w:rsidRDefault="00D46C62" w:rsidP="00B93E75">
      <w:pPr>
        <w:pStyle w:val="Heading3"/>
      </w:pPr>
      <w:bookmarkStart w:id="92" w:name="_Toc218504117"/>
      <w:r w:rsidRPr="00AF23CA">
        <w:t>E-l</w:t>
      </w:r>
      <w:r w:rsidR="003E7DB0" w:rsidRPr="00AF23CA">
        <w:t>earning and CPD in Sri Lanka</w:t>
      </w:r>
      <w:bookmarkEnd w:id="92"/>
    </w:p>
    <w:p w14:paraId="6F0D0E23" w14:textId="77777777" w:rsidR="003E7DB0" w:rsidRPr="00AF23CA" w:rsidRDefault="003E7DB0" w:rsidP="003E7DB0">
      <w:pPr>
        <w:spacing w:line="360" w:lineRule="auto"/>
        <w:jc w:val="both"/>
        <w:rPr>
          <w:rFonts w:asciiTheme="minorBidi" w:hAnsiTheme="minorBidi"/>
        </w:rPr>
      </w:pPr>
      <w:r w:rsidRPr="00AF23CA">
        <w:rPr>
          <w:rFonts w:asciiTheme="minorBidi" w:hAnsiTheme="minorBidi"/>
        </w:rPr>
        <w:t xml:space="preserve">Sri Lanka’s higher education system includes formal structures and policy guidance for staff development, but empirical evidence suggests that implementation and resourcing vary by institution and context. At system level, the University Grants Commission (UGC) and quality assurance-related mechanisms have issued guidance that positions staff development as a core function of universities, including the establishment and operation of </w:t>
      </w:r>
      <w:r w:rsidRPr="006439FD">
        <w:rPr>
          <w:rFonts w:asciiTheme="minorBidi" w:hAnsiTheme="minorBidi"/>
        </w:rPr>
        <w:t>Staff Development Centres (SDCs)</w:t>
      </w:r>
      <w:r w:rsidRPr="00AF23CA">
        <w:rPr>
          <w:rFonts w:asciiTheme="minorBidi" w:hAnsiTheme="minorBidi"/>
        </w:rPr>
        <w:t xml:space="preserve"> and CPD-related provision. (</w:t>
      </w:r>
      <w:hyperlink r:id="rId21" w:tooltip="Code of Practice on Staff Development" w:history="1">
        <w:r w:rsidRPr="00AF23CA">
          <w:rPr>
            <w:rStyle w:val="Hyperlink"/>
            <w:rFonts w:asciiTheme="minorBidi" w:hAnsiTheme="minorBidi"/>
            <w:color w:val="auto"/>
            <w:u w:val="none"/>
          </w:rPr>
          <w:t>eugc.ugc.ac.lk</w:t>
        </w:r>
      </w:hyperlink>
      <w:r w:rsidRPr="00AF23CA">
        <w:rPr>
          <w:rFonts w:asciiTheme="minorBidi" w:hAnsiTheme="minorBidi"/>
        </w:rPr>
        <w:t>) University-level SDCs articulate objectives that include enhancing staff capabilities and delivering training programmes, with some institutions explicitly describing regular CPD programmes for academic and non-academic staff. (</w:t>
      </w:r>
      <w:hyperlink r:id="rId22" w:tooltip="The Staff Development Center (SDC) ..." w:history="1">
        <w:r w:rsidRPr="00AF23CA">
          <w:rPr>
            <w:rStyle w:val="Hyperlink"/>
            <w:rFonts w:asciiTheme="minorBidi" w:hAnsiTheme="minorBidi"/>
            <w:color w:val="auto"/>
            <w:u w:val="none"/>
          </w:rPr>
          <w:t>ou.ac.lk</w:t>
        </w:r>
      </w:hyperlink>
      <w:r w:rsidRPr="00AF23CA">
        <w:rPr>
          <w:rFonts w:asciiTheme="minorBidi" w:hAnsiTheme="minorBidi"/>
        </w:rPr>
        <w:t>)</w:t>
      </w:r>
    </w:p>
    <w:p w14:paraId="62E4446E" w14:textId="49D07B60" w:rsidR="003E7DB0" w:rsidRPr="00AF23CA" w:rsidRDefault="003E7DB0" w:rsidP="003E7DB0">
      <w:pPr>
        <w:spacing w:line="360" w:lineRule="auto"/>
        <w:jc w:val="both"/>
        <w:rPr>
          <w:rFonts w:asciiTheme="minorBidi" w:hAnsiTheme="minorBidi"/>
        </w:rPr>
      </w:pPr>
      <w:r w:rsidRPr="00AF23CA">
        <w:rPr>
          <w:rFonts w:asciiTheme="minorBidi" w:hAnsiTheme="minorBidi"/>
        </w:rPr>
        <w:t>Evidence on the state of e</w:t>
      </w:r>
      <w:r w:rsidR="001D3923">
        <w:rPr>
          <w:rFonts w:asciiTheme="minorBidi" w:hAnsiTheme="minorBidi"/>
        </w:rPr>
        <w:t>-;</w:t>
      </w:r>
      <w:r w:rsidRPr="00AF23CA">
        <w:rPr>
          <w:rFonts w:asciiTheme="minorBidi" w:hAnsiTheme="minorBidi"/>
        </w:rPr>
        <w:t>earning adoption among academic staff in Sri Lanka</w:t>
      </w:r>
      <w:r w:rsidR="001D3923">
        <w:rPr>
          <w:rFonts w:asciiTheme="minorBidi" w:hAnsiTheme="minorBidi"/>
        </w:rPr>
        <w:t xml:space="preserve">, </w:t>
      </w:r>
      <w:r w:rsidRPr="00AF23CA">
        <w:rPr>
          <w:rFonts w:asciiTheme="minorBidi" w:hAnsiTheme="minorBidi"/>
        </w:rPr>
        <w:t>particularly since the COVID-19 period</w:t>
      </w:r>
      <w:r w:rsidR="001D3923">
        <w:rPr>
          <w:rFonts w:asciiTheme="minorBidi" w:hAnsiTheme="minorBidi"/>
        </w:rPr>
        <w:t xml:space="preserve">, </w:t>
      </w:r>
      <w:r w:rsidRPr="00AF23CA">
        <w:rPr>
          <w:rFonts w:asciiTheme="minorBidi" w:hAnsiTheme="minorBidi"/>
        </w:rPr>
        <w:t>highlights both rapid expansion and significant constraints. Studies examining online teaching and e</w:t>
      </w:r>
      <w:r w:rsidR="001D3923">
        <w:rPr>
          <w:rFonts w:asciiTheme="minorBidi" w:hAnsiTheme="minorBidi"/>
        </w:rPr>
        <w:t>-l</w:t>
      </w:r>
      <w:r w:rsidRPr="00AF23CA">
        <w:rPr>
          <w:rFonts w:asciiTheme="minorBidi" w:hAnsiTheme="minorBidi"/>
        </w:rPr>
        <w:t>earning during and after the pandemic identify barriers such as unstable connectivity, limited digital pedagogy skills, insufficient institutional support, and challenges with assessment and engagement in online environments. (</w:t>
      </w:r>
      <w:hyperlink r:id="rId23" w:tooltip="Perception of academic staff of sri lankan universities on ..." w:history="1">
        <w:r w:rsidRPr="00AF23CA">
          <w:rPr>
            <w:rStyle w:val="Hyperlink"/>
            <w:rFonts w:asciiTheme="minorBidi" w:hAnsiTheme="minorBidi"/>
            <w:color w:val="auto"/>
            <w:u w:val="none"/>
          </w:rPr>
          <w:t>seu.ac.lk</w:t>
        </w:r>
      </w:hyperlink>
      <w:r w:rsidRPr="00AF23CA">
        <w:rPr>
          <w:rFonts w:asciiTheme="minorBidi" w:hAnsiTheme="minorBidi"/>
        </w:rPr>
        <w:t>) These constraints have direct implications for e</w:t>
      </w:r>
      <w:r w:rsidR="0069552E">
        <w:rPr>
          <w:rFonts w:asciiTheme="minorBidi" w:hAnsiTheme="minorBidi"/>
        </w:rPr>
        <w:t>-l</w:t>
      </w:r>
      <w:r w:rsidRPr="00AF23CA">
        <w:rPr>
          <w:rFonts w:asciiTheme="minorBidi" w:hAnsiTheme="minorBidi"/>
        </w:rPr>
        <w:t>earning-based CPD: when academics experience weak infrastructure or lack confidence in online teaching tools, they may view e</w:t>
      </w:r>
      <w:r w:rsidR="0069552E">
        <w:rPr>
          <w:rFonts w:asciiTheme="minorBidi" w:hAnsiTheme="minorBidi"/>
        </w:rPr>
        <w:t>-</w:t>
      </w:r>
      <w:r w:rsidRPr="00AF23CA">
        <w:rPr>
          <w:rFonts w:asciiTheme="minorBidi" w:hAnsiTheme="minorBidi"/>
        </w:rPr>
        <w:t>earning CPD as an added burden rather than an enabler.</w:t>
      </w:r>
    </w:p>
    <w:p w14:paraId="6A222991" w14:textId="201CE319" w:rsidR="003E7DB0" w:rsidRPr="00CB1B09" w:rsidRDefault="00444A3B" w:rsidP="00444A3B">
      <w:pPr>
        <w:spacing w:line="360" w:lineRule="auto"/>
        <w:jc w:val="both"/>
        <w:rPr>
          <w:rFonts w:asciiTheme="minorBidi" w:hAnsiTheme="minorBidi"/>
        </w:rPr>
      </w:pPr>
      <w:r w:rsidRPr="00444A3B">
        <w:rPr>
          <w:rFonts w:asciiTheme="minorBidi" w:hAnsiTheme="minorBidi"/>
        </w:rPr>
        <w:t xml:space="preserve">Sri Lanka-specific empirical research on e-learning adoption has largely relied on survey-based quantitative methods, often employing regression analysis or structural equation modelling to examine factors shaping usage behaviour, alongside case-based and qualitative investigations of academic staff experiences. Studies conducted in Sri Lankan higher education institutions have analysed determinants such as perceived usefulness, ease of use, institutional support, and digital readiness in influencing academics’ and students’ continued engagement with e-learning systems in Sri Lanka (Gunawardena et al., 2019; Wijekularathna &amp; Gunawardana, 2021). More recent work has extended this focus to broader organisational and contextual </w:t>
      </w:r>
      <w:r w:rsidRPr="00444A3B">
        <w:rPr>
          <w:rFonts w:asciiTheme="minorBidi" w:hAnsiTheme="minorBidi"/>
        </w:rPr>
        <w:lastRenderedPageBreak/>
        <w:t>conditions</w:t>
      </w:r>
      <w:r>
        <w:rPr>
          <w:rFonts w:asciiTheme="minorBidi" w:hAnsiTheme="minorBidi"/>
        </w:rPr>
        <w:t xml:space="preserve">, </w:t>
      </w:r>
      <w:r w:rsidRPr="00444A3B">
        <w:rPr>
          <w:rFonts w:asciiTheme="minorBidi" w:hAnsiTheme="minorBidi"/>
        </w:rPr>
        <w:t>including infrastructure, professional development, and policy support</w:t>
      </w:r>
      <w:r>
        <w:rPr>
          <w:rFonts w:asciiTheme="minorBidi" w:hAnsiTheme="minorBidi"/>
        </w:rPr>
        <w:t xml:space="preserve">, </w:t>
      </w:r>
      <w:r w:rsidRPr="00444A3B">
        <w:rPr>
          <w:rFonts w:asciiTheme="minorBidi" w:hAnsiTheme="minorBidi"/>
        </w:rPr>
        <w:t>that affect the sustainability of e-learning adoption beyond initial uptake (Karunanayaka &amp; Naidu, 2020)</w:t>
      </w:r>
      <w:r>
        <w:rPr>
          <w:rFonts w:asciiTheme="minorBidi" w:hAnsiTheme="minorBidi"/>
        </w:rPr>
        <w:t xml:space="preserve">. </w:t>
      </w:r>
      <w:r w:rsidR="003E7DB0" w:rsidRPr="00CB1B09">
        <w:rPr>
          <w:rFonts w:asciiTheme="minorBidi" w:hAnsiTheme="minorBidi"/>
        </w:rPr>
        <w:t xml:space="preserve">Research also documents adoption issues and enablers in relation to learning management system (LMS) uptake among educators in Sri Lanka, reinforcing the importance of facilitating conditions and institutional support. </w:t>
      </w:r>
    </w:p>
    <w:p w14:paraId="3BA19850" w14:textId="5DFC0EA8" w:rsidR="003E7DB0" w:rsidRPr="00CB1B09" w:rsidRDefault="003E7DB0" w:rsidP="003E7DB0">
      <w:pPr>
        <w:spacing w:line="360" w:lineRule="auto"/>
        <w:jc w:val="both"/>
        <w:rPr>
          <w:rFonts w:asciiTheme="minorBidi" w:hAnsiTheme="minorBidi"/>
        </w:rPr>
      </w:pPr>
      <w:r w:rsidRPr="00CB1B09">
        <w:rPr>
          <w:rFonts w:asciiTheme="minorBidi" w:hAnsiTheme="minorBidi"/>
        </w:rPr>
        <w:t>Context-specific enablers include: (1) the presence of active SDCs and induction/training provision, (2) institutional policy guidance for staff development, and (3) increased familiarity with online platforms following pandemic-driven shifts (</w:t>
      </w:r>
      <w:hyperlink r:id="rId24" w:tooltip="Handbook Staff Development Centre (SDC) University of ..." w:history="1">
        <w:r w:rsidRPr="00CB1B09">
          <w:rPr>
            <w:rStyle w:val="Hyperlink"/>
            <w:rFonts w:asciiTheme="minorBidi" w:hAnsiTheme="minorBidi"/>
          </w:rPr>
          <w:t>units.kln.ac.lk</w:t>
        </w:r>
      </w:hyperlink>
      <w:r w:rsidRPr="00CB1B09">
        <w:rPr>
          <w:rFonts w:asciiTheme="minorBidi" w:hAnsiTheme="minorBidi"/>
        </w:rPr>
        <w:t>)</w:t>
      </w:r>
      <w:r w:rsidR="00903D58">
        <w:rPr>
          <w:rFonts w:asciiTheme="minorBidi" w:hAnsiTheme="minorBidi"/>
        </w:rPr>
        <w:t xml:space="preserve">. </w:t>
      </w:r>
      <w:r w:rsidRPr="00CB1B09">
        <w:rPr>
          <w:rFonts w:asciiTheme="minorBidi" w:hAnsiTheme="minorBidi"/>
        </w:rPr>
        <w:t xml:space="preserve"> However, barriers frequently reported include: (a) infrastructural limitations (connectivity, device access, platform reliability), (b) uneven access to technical support and training, (c) heavy workloads and limited protected time for CPD, and (d) broader socio-economic differences that shape digital access and readiness (</w:t>
      </w:r>
      <w:hyperlink r:id="rId25" w:tooltip="Perception of academic staff of sri lankan universities on ..." w:history="1">
        <w:r w:rsidRPr="00CB1B09">
          <w:rPr>
            <w:rStyle w:val="Hyperlink"/>
            <w:rFonts w:asciiTheme="minorBidi" w:hAnsiTheme="minorBidi"/>
          </w:rPr>
          <w:t>seu.ac.lk</w:t>
        </w:r>
      </w:hyperlink>
      <w:r w:rsidRPr="00CB1B09">
        <w:rPr>
          <w:rFonts w:asciiTheme="minorBidi" w:hAnsiTheme="minorBidi"/>
        </w:rPr>
        <w:t>)</w:t>
      </w:r>
      <w:r w:rsidR="00903D58">
        <w:rPr>
          <w:rFonts w:asciiTheme="minorBidi" w:hAnsiTheme="minorBidi"/>
        </w:rPr>
        <w:t xml:space="preserve">. </w:t>
      </w:r>
    </w:p>
    <w:p w14:paraId="415CF979" w14:textId="05BFC982" w:rsidR="003E7DB0" w:rsidRPr="00CB1B09" w:rsidRDefault="003E7DB0" w:rsidP="003E7DB0">
      <w:pPr>
        <w:spacing w:line="360" w:lineRule="auto"/>
        <w:jc w:val="both"/>
        <w:rPr>
          <w:rFonts w:asciiTheme="minorBidi" w:hAnsiTheme="minorBidi"/>
        </w:rPr>
      </w:pPr>
      <w:r w:rsidRPr="00CB1B09">
        <w:rPr>
          <w:rFonts w:asciiTheme="minorBidi" w:hAnsiTheme="minorBidi"/>
        </w:rPr>
        <w:t>Taken together, the Sri Lankan evidence base supports the argument that adoption may be constrained less by attitudes alone and more by systemic and organisational limitations</w:t>
      </w:r>
      <w:r w:rsidR="00903D58">
        <w:rPr>
          <w:rFonts w:asciiTheme="minorBidi" w:hAnsiTheme="minorBidi"/>
        </w:rPr>
        <w:t xml:space="preserve">, </w:t>
      </w:r>
      <w:r w:rsidRPr="00CB1B09">
        <w:rPr>
          <w:rFonts w:asciiTheme="minorBidi" w:hAnsiTheme="minorBidi"/>
        </w:rPr>
        <w:t>making technological and organisational CSFs particularly salient. In comparative terms, while the UK context demonstrates strong professional standards infrastructure (e.g., PSF-aligned recognition and accredited CPD schemes), Sri Lanka demonstrates more variable institutional capacity and resource conditions, even where policy intent is clear. This contrast reinforces the value of a UK–Sri Lanka comparative design to test which CSFs are universal and which are context-dependent for academics’ adoption of eLearning for CPD.</w:t>
      </w:r>
    </w:p>
    <w:p w14:paraId="4A947E84" w14:textId="77777777" w:rsidR="003E7DB0" w:rsidRDefault="003E7DB0" w:rsidP="003E7DB0">
      <w:pPr>
        <w:spacing w:line="360" w:lineRule="auto"/>
        <w:jc w:val="both"/>
        <w:rPr>
          <w:rFonts w:asciiTheme="minorBidi" w:hAnsiTheme="minorBidi"/>
        </w:rPr>
      </w:pPr>
    </w:p>
    <w:p w14:paraId="3DC6641F" w14:textId="77777777" w:rsidR="003E7DB0" w:rsidRPr="00510122" w:rsidRDefault="003E7DB0" w:rsidP="006D1F37">
      <w:pPr>
        <w:pStyle w:val="Heading3"/>
      </w:pPr>
      <w:bookmarkStart w:id="93" w:name="_Toc218504118"/>
      <w:r w:rsidRPr="00510122">
        <w:t>Comparative Analysis of Developed and Developing Contexts</w:t>
      </w:r>
      <w:bookmarkEnd w:id="93"/>
    </w:p>
    <w:p w14:paraId="7EFBCEC0" w14:textId="1E2654F9" w:rsidR="003E7DB0" w:rsidRPr="00510122" w:rsidRDefault="003E7DB0" w:rsidP="003E7DB0">
      <w:pPr>
        <w:spacing w:line="360" w:lineRule="auto"/>
        <w:jc w:val="both"/>
        <w:rPr>
          <w:rFonts w:asciiTheme="minorBidi" w:hAnsiTheme="minorBidi"/>
        </w:rPr>
      </w:pPr>
      <w:r w:rsidRPr="007165F3">
        <w:rPr>
          <w:rFonts w:asciiTheme="minorBidi" w:hAnsiTheme="minorBidi"/>
        </w:rPr>
        <w:t>Comparative analysis of e</w:t>
      </w:r>
      <w:r w:rsidR="007165F3">
        <w:rPr>
          <w:rFonts w:asciiTheme="minorBidi" w:hAnsiTheme="minorBidi"/>
        </w:rPr>
        <w:t>-</w:t>
      </w:r>
      <w:r w:rsidR="00441D9C">
        <w:rPr>
          <w:rFonts w:asciiTheme="minorBidi" w:hAnsiTheme="minorBidi"/>
        </w:rPr>
        <w:t>l</w:t>
      </w:r>
      <w:r w:rsidRPr="007165F3">
        <w:rPr>
          <w:rFonts w:asciiTheme="minorBidi" w:hAnsiTheme="minorBidi"/>
        </w:rPr>
        <w:t xml:space="preserve">earning adoption for CPD highlights that Critical Success Factors (CSFs) are often similar in </w:t>
      </w:r>
      <w:r w:rsidRPr="007165F3">
        <w:rPr>
          <w:rFonts w:asciiTheme="minorBidi" w:hAnsiTheme="minorBidi"/>
          <w:i/>
          <w:iCs/>
        </w:rPr>
        <w:t>category</w:t>
      </w:r>
      <w:r w:rsidRPr="007165F3">
        <w:rPr>
          <w:rFonts w:asciiTheme="minorBidi" w:hAnsiTheme="minorBidi"/>
        </w:rPr>
        <w:t xml:space="preserve"> across settings, but differ substantially in their relative weight, interaction effects, and the constraints shaping academics’ capacity to engage. Across both developed and developing contexts, adoption tends to be influenced by a combination of individual perceptions and capabilities, technology and support quality, organisational leadership and incentives, and pedagogical relevance and design (Selim, 2007; Kirkwood and Price, 2014). However, the extent to which these CSFs can be mobilised is strongly conditioned by</w:t>
      </w:r>
      <w:r w:rsidRPr="00510122">
        <w:rPr>
          <w:rFonts w:asciiTheme="minorBidi" w:hAnsiTheme="minorBidi"/>
        </w:rPr>
        <w:t xml:space="preserve"> institutional </w:t>
      </w:r>
      <w:r w:rsidRPr="00510122">
        <w:rPr>
          <w:rFonts w:asciiTheme="minorBidi" w:hAnsiTheme="minorBidi"/>
        </w:rPr>
        <w:lastRenderedPageBreak/>
        <w:t>maturity, resource availability, and national policy environments (Altbach, Reisberg and Rumbley, 2019).</w:t>
      </w:r>
    </w:p>
    <w:p w14:paraId="1D37A59F" w14:textId="77777777" w:rsidR="003E7DB0" w:rsidRPr="00510122" w:rsidRDefault="003E7DB0" w:rsidP="006D1F37">
      <w:pPr>
        <w:pStyle w:val="Heading3"/>
      </w:pPr>
      <w:bookmarkStart w:id="94" w:name="_Toc218504119"/>
      <w:r w:rsidRPr="00510122">
        <w:t>Differences and similarities in CSFs across contexts</w:t>
      </w:r>
      <w:bookmarkEnd w:id="94"/>
    </w:p>
    <w:p w14:paraId="7AD980A0" w14:textId="7F410C16" w:rsidR="003E7DB0" w:rsidRPr="00441D9C" w:rsidRDefault="003E7DB0" w:rsidP="003E7DB0">
      <w:pPr>
        <w:spacing w:line="360" w:lineRule="auto"/>
        <w:jc w:val="both"/>
        <w:rPr>
          <w:rFonts w:asciiTheme="minorBidi" w:hAnsiTheme="minorBidi"/>
        </w:rPr>
      </w:pPr>
      <w:r w:rsidRPr="00441D9C">
        <w:rPr>
          <w:rFonts w:asciiTheme="minorBidi" w:hAnsiTheme="minorBidi"/>
        </w:rPr>
        <w:t>In developed contexts such as the UK, CSFs often operate within relatively stable institutional systems where the baseline infrastructure (connectivity, platforms, support units) is assumed, shifting emphasis toward quality, alignment, and professional recognition. For example, CPD engagement can be reinforced through professional standards frameworks and quality assurance expectations that normalise continuing development as part of academic work (Advance HE, 2016; QAA, 2018). As a result, individual-level factors</w:t>
      </w:r>
      <w:r w:rsidR="00945886">
        <w:rPr>
          <w:rFonts w:asciiTheme="minorBidi" w:hAnsiTheme="minorBidi"/>
        </w:rPr>
        <w:t xml:space="preserve"> </w:t>
      </w:r>
      <w:r w:rsidRPr="00441D9C">
        <w:rPr>
          <w:rFonts w:asciiTheme="minorBidi" w:hAnsiTheme="minorBidi"/>
        </w:rPr>
        <w:t>such as perceived usefulness, ease of use, and professional identity</w:t>
      </w:r>
      <w:r w:rsidR="00945886">
        <w:rPr>
          <w:rFonts w:asciiTheme="minorBidi" w:hAnsiTheme="minorBidi"/>
        </w:rPr>
        <w:t xml:space="preserve"> </w:t>
      </w:r>
      <w:r w:rsidRPr="00441D9C">
        <w:rPr>
          <w:rFonts w:asciiTheme="minorBidi" w:hAnsiTheme="minorBidi"/>
        </w:rPr>
        <w:t>can be strong differentiators of uptake, because minimum access barriers are comparatively lower (Davis, 1989; Venkatesh et al., 2003).</w:t>
      </w:r>
    </w:p>
    <w:p w14:paraId="05287F5A" w14:textId="77777777" w:rsidR="003E7DB0" w:rsidRPr="00441D9C" w:rsidRDefault="003E7DB0" w:rsidP="003E7DB0">
      <w:pPr>
        <w:spacing w:line="360" w:lineRule="auto"/>
        <w:jc w:val="both"/>
        <w:rPr>
          <w:rFonts w:asciiTheme="minorBidi" w:hAnsiTheme="minorBidi"/>
        </w:rPr>
      </w:pPr>
      <w:r w:rsidRPr="00441D9C">
        <w:rPr>
          <w:rFonts w:asciiTheme="minorBidi" w:hAnsiTheme="minorBidi"/>
        </w:rPr>
        <w:t>In developing contexts, CSFs frequently become more structural and enabling-condition dependent. While individual factors (motivation, self-efficacy) remain relevant, adoption may be constrained less by intention and more by systemic limitations such as inadequate connectivity, insufficient devices, limited technical support, and inconsistent institutional resourcing (Avgerou, 2008; Heeks, 2010). This changes the practical significance of models that prioritise user perceptions (e.g., TAM), because positive attitudes do not necessarily translate into sustained behaviour when facilitating conditions are weak (Bagozzi, 2007; Venkatesh and Bala, 2008).</w:t>
      </w:r>
    </w:p>
    <w:p w14:paraId="7DAA51AB" w14:textId="77777777" w:rsidR="003E7DB0" w:rsidRPr="00510122" w:rsidRDefault="003E7DB0" w:rsidP="006D1F37">
      <w:pPr>
        <w:pStyle w:val="Heading3"/>
      </w:pPr>
      <w:bookmarkStart w:id="95" w:name="_Toc218504120"/>
      <w:r w:rsidRPr="00510122">
        <w:t>Cultural, institutional, and technological contrasts</w:t>
      </w:r>
      <w:bookmarkEnd w:id="95"/>
    </w:p>
    <w:p w14:paraId="0A0C133F" w14:textId="7A613DA0" w:rsidR="003E7DB0" w:rsidRPr="00510122" w:rsidRDefault="003E7DB0" w:rsidP="003E7DB0">
      <w:pPr>
        <w:spacing w:line="360" w:lineRule="auto"/>
        <w:jc w:val="both"/>
        <w:rPr>
          <w:rFonts w:asciiTheme="minorBidi" w:hAnsiTheme="minorBidi"/>
        </w:rPr>
      </w:pPr>
      <w:r w:rsidRPr="00510122">
        <w:rPr>
          <w:rFonts w:asciiTheme="minorBidi" w:hAnsiTheme="minorBidi"/>
        </w:rPr>
        <w:t>Culturally, academic norms influence both the perceived legitimacy of CPD and the preferred modes of learning. Professional learning cultures that value peer exchange, reflective practice, and teaching enhancement tend to support collaborative, constructivist e</w:t>
      </w:r>
      <w:r w:rsidR="00F760A5">
        <w:rPr>
          <w:rFonts w:asciiTheme="minorBidi" w:hAnsiTheme="minorBidi"/>
        </w:rPr>
        <w:t>-</w:t>
      </w:r>
      <w:r w:rsidR="0000772E">
        <w:rPr>
          <w:rFonts w:asciiTheme="minorBidi" w:hAnsiTheme="minorBidi"/>
        </w:rPr>
        <w:t>l</w:t>
      </w:r>
      <w:r w:rsidRPr="00510122">
        <w:rPr>
          <w:rFonts w:asciiTheme="minorBidi" w:hAnsiTheme="minorBidi"/>
        </w:rPr>
        <w:t>earning designs (Vygotsky, 1978). However, where organisational cultures are more hierarchical or compliance-driven, CPD may be viewed as an administrative requirement rather than a developmental opportunity, reducing intrinsic motivation and limiting deep engagement (Knowles, 1984). These cultural dynamics also shape “social influence” effects</w:t>
      </w:r>
      <w:r w:rsidR="0000772E">
        <w:rPr>
          <w:rFonts w:asciiTheme="minorBidi" w:hAnsiTheme="minorBidi"/>
        </w:rPr>
        <w:t xml:space="preserve">, </w:t>
      </w:r>
      <w:r w:rsidRPr="00510122">
        <w:rPr>
          <w:rFonts w:asciiTheme="minorBidi" w:hAnsiTheme="minorBidi"/>
        </w:rPr>
        <w:t>encouraging adoption when respected peers and leaders participate, but discouraging it when e</w:t>
      </w:r>
      <w:r w:rsidR="0000772E">
        <w:rPr>
          <w:rFonts w:asciiTheme="minorBidi" w:hAnsiTheme="minorBidi"/>
        </w:rPr>
        <w:t>-l</w:t>
      </w:r>
      <w:r w:rsidRPr="00510122">
        <w:rPr>
          <w:rFonts w:asciiTheme="minorBidi" w:hAnsiTheme="minorBidi"/>
        </w:rPr>
        <w:t>earning is perceived as low-status or peripheral (Venkatesh et al., 2003).</w:t>
      </w:r>
    </w:p>
    <w:p w14:paraId="0C4B10C3" w14:textId="77777777" w:rsidR="003E7DB0" w:rsidRPr="00510122" w:rsidRDefault="003E7DB0" w:rsidP="003E7DB0">
      <w:pPr>
        <w:spacing w:line="360" w:lineRule="auto"/>
        <w:jc w:val="both"/>
        <w:rPr>
          <w:rFonts w:asciiTheme="minorBidi" w:hAnsiTheme="minorBidi"/>
        </w:rPr>
      </w:pPr>
      <w:r w:rsidRPr="00510122">
        <w:rPr>
          <w:rFonts w:asciiTheme="minorBidi" w:hAnsiTheme="minorBidi"/>
        </w:rPr>
        <w:lastRenderedPageBreak/>
        <w:t xml:space="preserve">Institutionally, developed contexts often demonstrate stronger </w:t>
      </w:r>
      <w:r w:rsidRPr="0000772E">
        <w:rPr>
          <w:rFonts w:asciiTheme="minorBidi" w:hAnsiTheme="minorBidi"/>
        </w:rPr>
        <w:t>policy coherence</w:t>
      </w:r>
      <w:r w:rsidRPr="00510122">
        <w:rPr>
          <w:rFonts w:asciiTheme="minorBidi" w:hAnsiTheme="minorBidi"/>
        </w:rPr>
        <w:t xml:space="preserve"> between national quality systems and institutional HR/academic development structures. Institutional theory explains how formal rules, norms, and professional expectations become embedded and reproduced across the sector (DiMaggio and Powell, 1983; Scott, 2014). In the UK, mechanisms such as professional standards frameworks and quality codes can exert normative pressure that supports CPD engagement and legitimises eLearning pathways (Advance HE, 2016; QAA, 2018). By contrast, developing contexts may exhibit </w:t>
      </w:r>
      <w:r w:rsidRPr="00E95592">
        <w:rPr>
          <w:rFonts w:asciiTheme="minorBidi" w:hAnsiTheme="minorBidi"/>
        </w:rPr>
        <w:t>policy–practice gaps,</w:t>
      </w:r>
      <w:r w:rsidRPr="00510122">
        <w:rPr>
          <w:rFonts w:asciiTheme="minorBidi" w:hAnsiTheme="minorBidi"/>
        </w:rPr>
        <w:t xml:space="preserve"> where policy intent exists but implementation is constrained by resources, competing priorities, and uneven organisational capacity (Avgerou, 2008; Altbach, Reisberg and Rumbley, 2019).</w:t>
      </w:r>
    </w:p>
    <w:p w14:paraId="36CEB725" w14:textId="6F7ED2A4" w:rsidR="003E7DB0" w:rsidRPr="00510122" w:rsidRDefault="003E7DB0" w:rsidP="003E7DB0">
      <w:pPr>
        <w:spacing w:line="360" w:lineRule="auto"/>
        <w:jc w:val="both"/>
        <w:rPr>
          <w:rFonts w:asciiTheme="minorBidi" w:hAnsiTheme="minorBidi"/>
        </w:rPr>
      </w:pPr>
      <w:r w:rsidRPr="00510122">
        <w:rPr>
          <w:rFonts w:asciiTheme="minorBidi" w:hAnsiTheme="minorBidi"/>
        </w:rPr>
        <w:t xml:space="preserve">Technologically, the contrast is often less about whether platforms exist and more about </w:t>
      </w:r>
      <w:r w:rsidRPr="00E95592">
        <w:rPr>
          <w:rFonts w:asciiTheme="minorBidi" w:hAnsiTheme="minorBidi"/>
        </w:rPr>
        <w:t>reliability and equitable access</w:t>
      </w:r>
      <w:r w:rsidRPr="00510122">
        <w:rPr>
          <w:rFonts w:asciiTheme="minorBidi" w:hAnsiTheme="minorBidi"/>
        </w:rPr>
        <w:t>. In developed settings, usability and learning experience (navigation, accessibility compliance, integration with workload systems) may dominate adoption outcomes (Kirkwood and Price, 2014). In developing settings, basic factors</w:t>
      </w:r>
      <w:r w:rsidR="00F07269">
        <w:rPr>
          <w:rFonts w:asciiTheme="minorBidi" w:hAnsiTheme="minorBidi"/>
        </w:rPr>
        <w:t xml:space="preserve"> such as </w:t>
      </w:r>
      <w:r w:rsidRPr="00510122">
        <w:rPr>
          <w:rFonts w:asciiTheme="minorBidi" w:hAnsiTheme="minorBidi"/>
        </w:rPr>
        <w:t>stable internet, affordable data, device access, and timely technical support</w:t>
      </w:r>
      <w:r w:rsidR="00F07269">
        <w:rPr>
          <w:rFonts w:asciiTheme="minorBidi" w:hAnsiTheme="minorBidi"/>
        </w:rPr>
        <w:t xml:space="preserve"> </w:t>
      </w:r>
      <w:r w:rsidRPr="00510122">
        <w:rPr>
          <w:rFonts w:asciiTheme="minorBidi" w:hAnsiTheme="minorBidi"/>
        </w:rPr>
        <w:t>can be decisive “make-or-break” CSFs (Heeks, 2010). These disparities align with the Resource-Based View: unequal organisational resources (infrastructure, skilled staff, funding) create divergent capabilities to deliver and sustain eLearning for CPD (Barney, 1991; Barney, Ketchen and Wright, 2011).</w:t>
      </w:r>
    </w:p>
    <w:p w14:paraId="3354EA06" w14:textId="6C445A7D" w:rsidR="003E7DB0" w:rsidRPr="00510122" w:rsidRDefault="003E7DB0" w:rsidP="003E7DB0">
      <w:pPr>
        <w:spacing w:line="360" w:lineRule="auto"/>
        <w:jc w:val="both"/>
        <w:rPr>
          <w:rFonts w:asciiTheme="minorBidi" w:hAnsiTheme="minorBidi"/>
          <w:b/>
          <w:bCs/>
        </w:rPr>
      </w:pPr>
      <w:r w:rsidRPr="00510122">
        <w:rPr>
          <w:rFonts w:asciiTheme="minorBidi" w:hAnsiTheme="minorBidi"/>
          <w:b/>
          <w:bCs/>
        </w:rPr>
        <w:t>Transferability of e</w:t>
      </w:r>
      <w:r w:rsidR="00F07269">
        <w:rPr>
          <w:rFonts w:asciiTheme="minorBidi" w:hAnsiTheme="minorBidi"/>
          <w:b/>
          <w:bCs/>
        </w:rPr>
        <w:t>-l</w:t>
      </w:r>
      <w:r w:rsidRPr="00510122">
        <w:rPr>
          <w:rFonts w:asciiTheme="minorBidi" w:hAnsiTheme="minorBidi"/>
          <w:b/>
          <w:bCs/>
        </w:rPr>
        <w:t>earning models from the UK to Sri Lanka</w:t>
      </w:r>
    </w:p>
    <w:p w14:paraId="5BA2AB04" w14:textId="58CE8E7D" w:rsidR="003E7DB0" w:rsidRPr="00510122" w:rsidRDefault="003E7DB0" w:rsidP="003E7DB0">
      <w:pPr>
        <w:spacing w:line="360" w:lineRule="auto"/>
        <w:jc w:val="both"/>
        <w:rPr>
          <w:rFonts w:asciiTheme="minorBidi" w:hAnsiTheme="minorBidi"/>
        </w:rPr>
      </w:pPr>
      <w:r w:rsidRPr="00510122">
        <w:rPr>
          <w:rFonts w:asciiTheme="minorBidi" w:hAnsiTheme="minorBidi"/>
        </w:rPr>
        <w:t xml:space="preserve">The transferability of UK eLearning-for-CPD models to Sri Lanka should be treated as </w:t>
      </w:r>
      <w:r w:rsidRPr="00F07269">
        <w:rPr>
          <w:rFonts w:asciiTheme="minorBidi" w:hAnsiTheme="minorBidi"/>
        </w:rPr>
        <w:t>conditional rather than direct</w:t>
      </w:r>
      <w:r w:rsidRPr="00510122">
        <w:rPr>
          <w:rFonts w:asciiTheme="minorBidi" w:hAnsiTheme="minorBidi"/>
        </w:rPr>
        <w:t>. From a sociotechnical perspective, adoption depends on the fit between technical systems and the social system (work practices, incentives, support structures, culture) in which they are embedded (Trist and Bamforth, 1951; Bostrom and Heinen, 1977). Therefore, importing UK models</w:t>
      </w:r>
      <w:r w:rsidR="00F07269">
        <w:rPr>
          <w:rFonts w:asciiTheme="minorBidi" w:hAnsiTheme="minorBidi"/>
        </w:rPr>
        <w:t xml:space="preserve"> </w:t>
      </w:r>
      <w:r w:rsidRPr="00510122">
        <w:rPr>
          <w:rFonts w:asciiTheme="minorBidi" w:hAnsiTheme="minorBidi"/>
        </w:rPr>
        <w:t>such as structured professional recognition routes and platform-based CPD pathways</w:t>
      </w:r>
      <w:r w:rsidR="00F07269">
        <w:rPr>
          <w:rFonts w:asciiTheme="minorBidi" w:hAnsiTheme="minorBidi"/>
        </w:rPr>
        <w:t xml:space="preserve"> </w:t>
      </w:r>
      <w:r w:rsidRPr="00510122">
        <w:rPr>
          <w:rFonts w:asciiTheme="minorBidi" w:hAnsiTheme="minorBidi"/>
        </w:rPr>
        <w:t>may be effective only if adapted to local realities of workload, connectivity, institutional capacity, and CPD policy enforcement.</w:t>
      </w:r>
    </w:p>
    <w:p w14:paraId="0A879332" w14:textId="77777777" w:rsidR="003E7DB0" w:rsidRPr="00510122" w:rsidRDefault="003E7DB0" w:rsidP="003E7DB0">
      <w:pPr>
        <w:spacing w:line="360" w:lineRule="auto"/>
        <w:jc w:val="both"/>
        <w:rPr>
          <w:rFonts w:asciiTheme="minorBidi" w:hAnsiTheme="minorBidi"/>
        </w:rPr>
      </w:pPr>
      <w:r w:rsidRPr="00510122">
        <w:rPr>
          <w:rFonts w:asciiTheme="minorBidi" w:hAnsiTheme="minorBidi"/>
        </w:rPr>
        <w:t xml:space="preserve">A pragmatic approach is to treat UK frameworks as </w:t>
      </w:r>
      <w:r w:rsidRPr="00F07269">
        <w:rPr>
          <w:rFonts w:asciiTheme="minorBidi" w:hAnsiTheme="minorBidi"/>
        </w:rPr>
        <w:t>design references</w:t>
      </w:r>
      <w:r w:rsidRPr="00510122">
        <w:rPr>
          <w:rFonts w:asciiTheme="minorBidi" w:hAnsiTheme="minorBidi"/>
        </w:rPr>
        <w:t xml:space="preserve"> rather than templates. Elements likely to transfer well include: (1) clear competency frameworks and CPD pathways, (2) recognition mechanisms that link development to career </w:t>
      </w:r>
      <w:r w:rsidRPr="00510122">
        <w:rPr>
          <w:rFonts w:asciiTheme="minorBidi" w:hAnsiTheme="minorBidi"/>
        </w:rPr>
        <w:lastRenderedPageBreak/>
        <w:t xml:space="preserve">progression, and (3) robust instructional design standards for online CPD (Advance HE, 2016; Gagné et al., 2005). Elements requiring significant adaptation include: (a) delivery assumptions (bandwidth-heavy synchronous provision), (b) support models (availability of dedicated learning technologists), and (c) reliance on individual motivation without protected time. In Sri Lanka, the most transferable approach is often </w:t>
      </w:r>
      <w:r w:rsidRPr="005331C7">
        <w:rPr>
          <w:rFonts w:asciiTheme="minorBidi" w:hAnsiTheme="minorBidi"/>
        </w:rPr>
        <w:t>low-bandwidth, blended, modular CPD</w:t>
      </w:r>
      <w:r w:rsidRPr="00510122">
        <w:rPr>
          <w:rFonts w:asciiTheme="minorBidi" w:hAnsiTheme="minorBidi"/>
        </w:rPr>
        <w:t xml:space="preserve"> with strong facilitation and local relevance, aligned to institutional priorities and available support capacity (Knowles, 1984; Kirkwood and Price, 2014).</w:t>
      </w:r>
    </w:p>
    <w:p w14:paraId="0E26975F" w14:textId="77777777" w:rsidR="003E7DB0" w:rsidRPr="00510122" w:rsidRDefault="003E7DB0" w:rsidP="006D1F37">
      <w:pPr>
        <w:pStyle w:val="Heading2"/>
      </w:pPr>
      <w:bookmarkStart w:id="96" w:name="_Toc218504121"/>
      <w:r w:rsidRPr="00510122">
        <w:t>Gaps in comparative research</w:t>
      </w:r>
      <w:bookmarkEnd w:id="96"/>
    </w:p>
    <w:p w14:paraId="7989BF72" w14:textId="78D41CA9" w:rsidR="003E7DB0" w:rsidRPr="00510122" w:rsidRDefault="003E7DB0" w:rsidP="003E7DB0">
      <w:pPr>
        <w:spacing w:line="360" w:lineRule="auto"/>
        <w:jc w:val="both"/>
        <w:rPr>
          <w:rFonts w:asciiTheme="minorBidi" w:hAnsiTheme="minorBidi"/>
        </w:rPr>
      </w:pPr>
      <w:r w:rsidRPr="00510122">
        <w:rPr>
          <w:rFonts w:asciiTheme="minorBidi" w:hAnsiTheme="minorBidi"/>
        </w:rPr>
        <w:t>Despite substantial research on technology adoption and e</w:t>
      </w:r>
      <w:r w:rsidR="005331C7">
        <w:rPr>
          <w:rFonts w:asciiTheme="minorBidi" w:hAnsiTheme="minorBidi"/>
        </w:rPr>
        <w:t>-l</w:t>
      </w:r>
      <w:r w:rsidRPr="00510122">
        <w:rPr>
          <w:rFonts w:asciiTheme="minorBidi" w:hAnsiTheme="minorBidi"/>
        </w:rPr>
        <w:t xml:space="preserve">earning in higher education, comparative work remains limited in several ways. First, many studies are </w:t>
      </w:r>
      <w:r w:rsidRPr="005331C7">
        <w:rPr>
          <w:rFonts w:asciiTheme="minorBidi" w:hAnsiTheme="minorBidi"/>
        </w:rPr>
        <w:t>single-country and cross-sectional</w:t>
      </w:r>
      <w:r w:rsidRPr="00510122">
        <w:rPr>
          <w:rFonts w:asciiTheme="minorBidi" w:hAnsiTheme="minorBidi"/>
        </w:rPr>
        <w:t xml:space="preserve">, making it difficult to test whether the same CSFs operate similarly across contexts or whether their effects are moderated by infrastructure and policy conditions. Second, research often focuses on students rather than </w:t>
      </w:r>
      <w:r w:rsidRPr="00695D20">
        <w:rPr>
          <w:rFonts w:asciiTheme="minorBidi" w:hAnsiTheme="minorBidi"/>
        </w:rPr>
        <w:t>academics as CPD participants</w:t>
      </w:r>
      <w:r w:rsidRPr="00510122">
        <w:rPr>
          <w:rFonts w:asciiTheme="minorBidi" w:hAnsiTheme="minorBidi"/>
        </w:rPr>
        <w:t xml:space="preserve">, leaving a gap in understanding staff-specific drivers such as professional identity, promotion incentives, and workload allocation (Gibbs, 2013). Third, the literature frequently prioritises </w:t>
      </w:r>
      <w:r w:rsidRPr="00695D20">
        <w:rPr>
          <w:rFonts w:asciiTheme="minorBidi" w:hAnsiTheme="minorBidi"/>
        </w:rPr>
        <w:t xml:space="preserve">intention and self-reported acceptance </w:t>
      </w:r>
      <w:r w:rsidRPr="00510122">
        <w:rPr>
          <w:rFonts w:asciiTheme="minorBidi" w:hAnsiTheme="minorBidi"/>
        </w:rPr>
        <w:t>over longitudinal evidence of sustained engagement and changes in teaching practice (Bagozzi, 2007; Kirkwood and Price, 2014). Finally, cross-cultural transfer is often discussed implicitly rather than tested through designs that explicitly compare developed and developing contexts using comparable measures and mixed methods (Avgerou, 2008; Altbach, Reisberg and Rumbley, 2019).</w:t>
      </w:r>
    </w:p>
    <w:p w14:paraId="34827180" w14:textId="2C4F7F83" w:rsidR="003E7DB0" w:rsidRDefault="003E7DB0" w:rsidP="003E7DB0">
      <w:pPr>
        <w:spacing w:line="360" w:lineRule="auto"/>
        <w:jc w:val="both"/>
        <w:rPr>
          <w:rFonts w:asciiTheme="minorBidi" w:hAnsiTheme="minorBidi"/>
        </w:rPr>
      </w:pPr>
      <w:r w:rsidRPr="00695D20">
        <w:rPr>
          <w:rFonts w:asciiTheme="minorBidi" w:hAnsiTheme="minorBidi"/>
        </w:rPr>
        <w:t>Implication for this study</w:t>
      </w:r>
      <w:r w:rsidRPr="00510122">
        <w:rPr>
          <w:rFonts w:asciiTheme="minorBidi" w:hAnsiTheme="minorBidi"/>
          <w:b/>
          <w:bCs/>
        </w:rPr>
        <w:t>:</w:t>
      </w:r>
      <w:r w:rsidRPr="00510122">
        <w:rPr>
          <w:rFonts w:asciiTheme="minorBidi" w:hAnsiTheme="minorBidi"/>
        </w:rPr>
        <w:t xml:space="preserve"> a UK–Sri Lanka comparison can contribute by (1) identifying which CSFs are robust across contexts, (2) specifying which CSFs are context-dependent (especially facilitating conditions and institutional incentives), and (3) informing a context-sensitive framework for e</w:t>
      </w:r>
      <w:r w:rsidR="00695D20">
        <w:rPr>
          <w:rFonts w:asciiTheme="minorBidi" w:hAnsiTheme="minorBidi"/>
        </w:rPr>
        <w:t>-l</w:t>
      </w:r>
      <w:r w:rsidRPr="00510122">
        <w:rPr>
          <w:rFonts w:asciiTheme="minorBidi" w:hAnsiTheme="minorBidi"/>
        </w:rPr>
        <w:t>earning-based CPD adoption that integrates individual, organisational, and systemic dimensions (Venkatesh et al., 2003; Scott, 2014; Heeks, 2010).</w:t>
      </w:r>
    </w:p>
    <w:p w14:paraId="0B49035C" w14:textId="77777777" w:rsidR="003E7DB0" w:rsidRDefault="003E7DB0" w:rsidP="003E7DB0">
      <w:pPr>
        <w:spacing w:line="360" w:lineRule="auto"/>
        <w:jc w:val="both"/>
        <w:rPr>
          <w:rFonts w:asciiTheme="minorBidi" w:hAnsiTheme="minorBidi"/>
        </w:rPr>
      </w:pPr>
    </w:p>
    <w:p w14:paraId="0B129B52" w14:textId="77777777" w:rsidR="003E7DB0" w:rsidRDefault="003E7DB0" w:rsidP="003E7DB0">
      <w:pPr>
        <w:spacing w:line="360" w:lineRule="auto"/>
        <w:jc w:val="both"/>
        <w:rPr>
          <w:rFonts w:asciiTheme="minorBidi" w:hAnsiTheme="minorBidi"/>
        </w:rPr>
      </w:pPr>
    </w:p>
    <w:p w14:paraId="062AD32C" w14:textId="77777777" w:rsidR="003E7DB0" w:rsidRPr="00624339" w:rsidRDefault="003E7DB0" w:rsidP="006D1F37">
      <w:pPr>
        <w:pStyle w:val="Heading2"/>
      </w:pPr>
      <w:bookmarkStart w:id="97" w:name="_Toc218504122"/>
      <w:r w:rsidRPr="00624339">
        <w:lastRenderedPageBreak/>
        <w:t>Methodological Trends and Limitations in Existing Studies</w:t>
      </w:r>
      <w:bookmarkEnd w:id="97"/>
    </w:p>
    <w:p w14:paraId="33F3E101" w14:textId="5E924589" w:rsidR="003E7DB0" w:rsidRPr="00624339" w:rsidRDefault="003E7DB0" w:rsidP="003E7DB0">
      <w:pPr>
        <w:spacing w:line="360" w:lineRule="auto"/>
        <w:jc w:val="both"/>
        <w:rPr>
          <w:rFonts w:asciiTheme="minorBidi" w:hAnsiTheme="minorBidi"/>
        </w:rPr>
      </w:pPr>
      <w:r w:rsidRPr="00624339">
        <w:rPr>
          <w:rFonts w:asciiTheme="minorBidi" w:hAnsiTheme="minorBidi"/>
        </w:rPr>
        <w:t>Research on e</w:t>
      </w:r>
      <w:r w:rsidR="00914B2A">
        <w:rPr>
          <w:rFonts w:asciiTheme="minorBidi" w:hAnsiTheme="minorBidi"/>
        </w:rPr>
        <w:t>-</w:t>
      </w:r>
      <w:r w:rsidRPr="00624339">
        <w:rPr>
          <w:rFonts w:asciiTheme="minorBidi" w:hAnsiTheme="minorBidi"/>
        </w:rPr>
        <w:t>earning adoption for Continuous Professional Development (CPD) has expanded significantly over the past two decades, particularly within higher education and organisational learning contexts. However, a review of the empirical literature reveals several dominant methodological trends alongside persistent limitations that constrain theoretical development and contextual understanding.</w:t>
      </w:r>
    </w:p>
    <w:p w14:paraId="2E0BA8AC" w14:textId="77777777" w:rsidR="003E7DB0" w:rsidRPr="00624339" w:rsidRDefault="003E7DB0" w:rsidP="006D1F37">
      <w:pPr>
        <w:pStyle w:val="Heading2"/>
      </w:pPr>
      <w:bookmarkStart w:id="98" w:name="_Toc218504123"/>
      <w:r w:rsidRPr="00624339">
        <w:t>Dominant Research Designs and Data Collection Methods</w:t>
      </w:r>
      <w:bookmarkEnd w:id="98"/>
    </w:p>
    <w:p w14:paraId="1052A900" w14:textId="3C90DA8E" w:rsidR="003E7DB0" w:rsidRPr="00624339" w:rsidRDefault="003E7DB0" w:rsidP="003E7DB0">
      <w:pPr>
        <w:spacing w:line="360" w:lineRule="auto"/>
        <w:jc w:val="both"/>
        <w:rPr>
          <w:rFonts w:asciiTheme="minorBidi" w:hAnsiTheme="minorBidi"/>
        </w:rPr>
      </w:pPr>
      <w:r w:rsidRPr="00624339">
        <w:rPr>
          <w:rFonts w:asciiTheme="minorBidi" w:hAnsiTheme="minorBidi"/>
        </w:rPr>
        <w:t>The majority of studies examining e</w:t>
      </w:r>
      <w:r w:rsidR="00914B2A">
        <w:rPr>
          <w:rFonts w:asciiTheme="minorBidi" w:hAnsiTheme="minorBidi"/>
        </w:rPr>
        <w:t>-l</w:t>
      </w:r>
      <w:r w:rsidRPr="00624339">
        <w:rPr>
          <w:rFonts w:asciiTheme="minorBidi" w:hAnsiTheme="minorBidi"/>
        </w:rPr>
        <w:t xml:space="preserve">earning adoption and success factors have employed </w:t>
      </w:r>
      <w:r w:rsidRPr="00914B2A">
        <w:rPr>
          <w:rFonts w:asciiTheme="minorBidi" w:hAnsiTheme="minorBidi"/>
        </w:rPr>
        <w:t>quantitative, cross-sectional survey designs</w:t>
      </w:r>
      <w:r w:rsidRPr="00624339">
        <w:rPr>
          <w:rFonts w:asciiTheme="minorBidi" w:hAnsiTheme="minorBidi"/>
        </w:rPr>
        <w:t>, often grounded in established technology adoption models such as the Technology Acceptance Model (TAM) and the Unified Theory of Acceptance and Use of Technology (UTAUT). These studies typically rely on self-administered questionnaires to measure perceptions such as perceived usefulness, ease of use, behavioural intention, and satisfaction, with data analysed using regression techniques or structural equation modelling (Davis, 1989; Venkatesh et al., 2003; Selim, 2007). While such approaches offer statistical generalisability and predictive insights, they tend to privilege individual-level variables and provide limited explanation of organisational and contextual influences.</w:t>
      </w:r>
    </w:p>
    <w:p w14:paraId="4E2A28A9" w14:textId="3D3F948F" w:rsidR="003E7DB0" w:rsidRPr="00624339" w:rsidRDefault="003E7DB0" w:rsidP="003E7DB0">
      <w:pPr>
        <w:spacing w:line="360" w:lineRule="auto"/>
        <w:jc w:val="both"/>
        <w:rPr>
          <w:rFonts w:asciiTheme="minorBidi" w:hAnsiTheme="minorBidi"/>
        </w:rPr>
      </w:pPr>
      <w:r w:rsidRPr="00624339">
        <w:rPr>
          <w:rFonts w:asciiTheme="minorBidi" w:hAnsiTheme="minorBidi"/>
        </w:rPr>
        <w:t xml:space="preserve">In contrast, </w:t>
      </w:r>
      <w:r w:rsidRPr="0003017F">
        <w:rPr>
          <w:rFonts w:asciiTheme="minorBidi" w:hAnsiTheme="minorBidi"/>
        </w:rPr>
        <w:t>mixed-method approaches</w:t>
      </w:r>
      <w:r w:rsidRPr="00624339">
        <w:rPr>
          <w:rFonts w:asciiTheme="minorBidi" w:hAnsiTheme="minorBidi"/>
        </w:rPr>
        <w:t xml:space="preserve"> remain comparatively underrepresented but are increasingly recognised for their ability to capture the complexity of e</w:t>
      </w:r>
      <w:r w:rsidR="00312350">
        <w:rPr>
          <w:rFonts w:asciiTheme="minorBidi" w:hAnsiTheme="minorBidi"/>
        </w:rPr>
        <w:t>-l</w:t>
      </w:r>
      <w:r w:rsidRPr="00624339">
        <w:rPr>
          <w:rFonts w:asciiTheme="minorBidi" w:hAnsiTheme="minorBidi"/>
        </w:rPr>
        <w:t>earning adoption in professional settings. Case studies, interviews, and focus groups</w:t>
      </w:r>
      <w:r w:rsidR="00312350">
        <w:rPr>
          <w:rFonts w:asciiTheme="minorBidi" w:hAnsiTheme="minorBidi"/>
        </w:rPr>
        <w:t xml:space="preserve"> along with a quantitative survey</w:t>
      </w:r>
      <w:r w:rsidRPr="00624339">
        <w:rPr>
          <w:rFonts w:asciiTheme="minorBidi" w:hAnsiTheme="minorBidi"/>
        </w:rPr>
        <w:t xml:space="preserve"> are particularly valuable for exploring institutional strategies, leadership practices, and cultural factors that shape e</w:t>
      </w:r>
      <w:r w:rsidR="00ED6C60">
        <w:rPr>
          <w:rFonts w:asciiTheme="minorBidi" w:hAnsiTheme="minorBidi"/>
        </w:rPr>
        <w:t>-l</w:t>
      </w:r>
      <w:r w:rsidRPr="00624339">
        <w:rPr>
          <w:rFonts w:asciiTheme="minorBidi" w:hAnsiTheme="minorBidi"/>
        </w:rPr>
        <w:t xml:space="preserve">earning for CPD. For example, Surber (2017) employed a </w:t>
      </w:r>
      <w:r w:rsidRPr="00ED6C60">
        <w:rPr>
          <w:rFonts w:asciiTheme="minorBidi" w:hAnsiTheme="minorBidi"/>
        </w:rPr>
        <w:t>multi-case study design</w:t>
      </w:r>
      <w:r w:rsidRPr="00624339">
        <w:rPr>
          <w:rFonts w:asciiTheme="minorBidi" w:hAnsiTheme="minorBidi"/>
        </w:rPr>
        <w:t xml:space="preserve"> to investigate factors influencing e</w:t>
      </w:r>
      <w:r w:rsidR="00ED6C60">
        <w:rPr>
          <w:rFonts w:asciiTheme="minorBidi" w:hAnsiTheme="minorBidi"/>
        </w:rPr>
        <w:t>-l</w:t>
      </w:r>
      <w:r w:rsidRPr="00624339">
        <w:rPr>
          <w:rFonts w:asciiTheme="minorBidi" w:hAnsiTheme="minorBidi"/>
        </w:rPr>
        <w:t>earning strategies for employee training within a higher education institution. This qualitative approach enabled an in-depth examination of organisational, technological, and human factors that are often overlooked in large-scale surveys, highlighting the value of context-sensitive methodologies.</w:t>
      </w:r>
    </w:p>
    <w:p w14:paraId="4266B60F" w14:textId="77777777" w:rsidR="003E7DB0" w:rsidRPr="00624339" w:rsidRDefault="003E7DB0" w:rsidP="003E7DB0">
      <w:pPr>
        <w:spacing w:line="360" w:lineRule="auto"/>
        <w:jc w:val="both"/>
        <w:rPr>
          <w:rFonts w:asciiTheme="minorBidi" w:hAnsiTheme="minorBidi"/>
        </w:rPr>
      </w:pPr>
      <w:r w:rsidRPr="00624339">
        <w:rPr>
          <w:rFonts w:asciiTheme="minorBidi" w:hAnsiTheme="minorBidi"/>
        </w:rPr>
        <w:t xml:space="preserve">Despite this, even qualitative studies frequently focus on </w:t>
      </w:r>
      <w:r w:rsidRPr="00C32445">
        <w:rPr>
          <w:rFonts w:asciiTheme="minorBidi" w:hAnsiTheme="minorBidi"/>
        </w:rPr>
        <w:t>training or organisational learning broadly defined</w:t>
      </w:r>
      <w:r w:rsidRPr="00624339">
        <w:rPr>
          <w:rFonts w:asciiTheme="minorBidi" w:hAnsiTheme="minorBidi"/>
        </w:rPr>
        <w:t>, rather than CPD for academics specifically. Furthermore, data collection often relies on a single stakeholder group, limiting triangulation across academic staff, managers, instructional designers, and policy actors.</w:t>
      </w:r>
    </w:p>
    <w:p w14:paraId="40B8078A" w14:textId="77777777" w:rsidR="003E7DB0" w:rsidRPr="00510122" w:rsidRDefault="003E7DB0" w:rsidP="003E7DB0">
      <w:pPr>
        <w:spacing w:line="360" w:lineRule="auto"/>
        <w:jc w:val="both"/>
        <w:rPr>
          <w:rFonts w:asciiTheme="minorBidi" w:hAnsiTheme="minorBidi"/>
        </w:rPr>
      </w:pPr>
    </w:p>
    <w:p w14:paraId="6F060E79" w14:textId="77777777" w:rsidR="003E7DB0" w:rsidRPr="00CB1B09" w:rsidRDefault="003E7DB0" w:rsidP="003E7DB0">
      <w:pPr>
        <w:spacing w:line="360" w:lineRule="auto"/>
        <w:jc w:val="both"/>
        <w:rPr>
          <w:rFonts w:asciiTheme="minorBidi" w:hAnsiTheme="minorBidi"/>
        </w:rPr>
      </w:pPr>
    </w:p>
    <w:p w14:paraId="566633E3" w14:textId="77777777" w:rsidR="003E7DB0" w:rsidRPr="00574217" w:rsidRDefault="003E7DB0" w:rsidP="006D1F37">
      <w:pPr>
        <w:pStyle w:val="Heading2"/>
      </w:pPr>
      <w:bookmarkStart w:id="99" w:name="_Toc218504125"/>
      <w:r w:rsidRPr="00574217">
        <w:t>Critical Review of Surber (2017)</w:t>
      </w:r>
      <w:bookmarkEnd w:id="99"/>
    </w:p>
    <w:p w14:paraId="29E17617" w14:textId="38EFC247" w:rsidR="003E7DB0" w:rsidRPr="00574217" w:rsidRDefault="003E7DB0" w:rsidP="003E7DB0">
      <w:pPr>
        <w:spacing w:line="360" w:lineRule="auto"/>
        <w:jc w:val="both"/>
        <w:rPr>
          <w:rFonts w:asciiTheme="minorBidi" w:hAnsiTheme="minorBidi"/>
        </w:rPr>
      </w:pPr>
      <w:r w:rsidRPr="00574217">
        <w:rPr>
          <w:rFonts w:asciiTheme="minorBidi" w:hAnsiTheme="minorBidi"/>
        </w:rPr>
        <w:t>Surber (2017) conducted a qualitative multi-case study examining factors influencing e</w:t>
      </w:r>
      <w:r w:rsidR="007E5D78">
        <w:rPr>
          <w:rFonts w:asciiTheme="minorBidi" w:hAnsiTheme="minorBidi"/>
        </w:rPr>
        <w:t>-l</w:t>
      </w:r>
      <w:r w:rsidRPr="00574217">
        <w:rPr>
          <w:rFonts w:asciiTheme="minorBidi" w:hAnsiTheme="minorBidi"/>
        </w:rPr>
        <w:t>earning strategies for employee training within a higher education institution. The study aimed to identify organisational, technological, and human factors shaping the implementation of e</w:t>
      </w:r>
      <w:r w:rsidR="007E5D78">
        <w:rPr>
          <w:rFonts w:asciiTheme="minorBidi" w:hAnsiTheme="minorBidi"/>
        </w:rPr>
        <w:t>-l</w:t>
      </w:r>
      <w:r w:rsidRPr="00574217">
        <w:rPr>
          <w:rFonts w:asciiTheme="minorBidi" w:hAnsiTheme="minorBidi"/>
        </w:rPr>
        <w:t>earning initiatives, with particular attention to strategic decision-making processes. By adopting a multi-case design, the research sought to provide an in-depth understanding of how eLearning strategies are developed and operationalised within institutional contexts.</w:t>
      </w:r>
    </w:p>
    <w:p w14:paraId="497C160A" w14:textId="62490AE8" w:rsidR="003E7DB0" w:rsidRPr="00574217" w:rsidRDefault="003E7DB0" w:rsidP="003E7DB0">
      <w:pPr>
        <w:spacing w:line="360" w:lineRule="auto"/>
        <w:jc w:val="both"/>
        <w:rPr>
          <w:rFonts w:asciiTheme="minorBidi" w:hAnsiTheme="minorBidi"/>
        </w:rPr>
      </w:pPr>
      <w:r w:rsidRPr="00574217">
        <w:rPr>
          <w:rFonts w:asciiTheme="minorBidi" w:hAnsiTheme="minorBidi"/>
        </w:rPr>
        <w:t>A key strength of Surber’s (2017) study lies in its qualitative orientation, which enables rich, contextualised insights into institutional practices that are often overlooked in large-scale, survey-based research. The use of multiple cases allows for cross-case comparison, enhancing the internal validity of the findings and offering a more nuanced view of eLearning strategy formation. The study contributes to the literature by highlighting the role of leadership, organisational readiness, and alignment between institutional goals and technological capabilities in shaping e</w:t>
      </w:r>
      <w:r w:rsidR="009E1C8E">
        <w:rPr>
          <w:rFonts w:asciiTheme="minorBidi" w:hAnsiTheme="minorBidi"/>
        </w:rPr>
        <w:t>-l</w:t>
      </w:r>
      <w:r w:rsidRPr="00574217">
        <w:rPr>
          <w:rFonts w:asciiTheme="minorBidi" w:hAnsiTheme="minorBidi"/>
        </w:rPr>
        <w:t>earning initiatives.</w:t>
      </w:r>
    </w:p>
    <w:p w14:paraId="386654A0" w14:textId="10221F01" w:rsidR="003E7DB0" w:rsidRPr="00574217" w:rsidRDefault="003E7DB0" w:rsidP="003E7DB0">
      <w:pPr>
        <w:spacing w:line="360" w:lineRule="auto"/>
        <w:jc w:val="both"/>
        <w:rPr>
          <w:rFonts w:asciiTheme="minorBidi" w:hAnsiTheme="minorBidi"/>
        </w:rPr>
      </w:pPr>
      <w:r w:rsidRPr="00574217">
        <w:rPr>
          <w:rFonts w:asciiTheme="minorBidi" w:hAnsiTheme="minorBidi"/>
        </w:rPr>
        <w:t>Despite these contributions, several limitations constrain the study’s applicability to research on e</w:t>
      </w:r>
      <w:r w:rsidR="000C3BC2">
        <w:rPr>
          <w:rFonts w:asciiTheme="minorBidi" w:hAnsiTheme="minorBidi"/>
        </w:rPr>
        <w:t>-l</w:t>
      </w:r>
      <w:r w:rsidRPr="00574217">
        <w:rPr>
          <w:rFonts w:asciiTheme="minorBidi" w:hAnsiTheme="minorBidi"/>
        </w:rPr>
        <w:t xml:space="preserve">earning for Continuous Professional Development (CPD) among academics. First, the study focuses broadly on </w:t>
      </w:r>
      <w:r w:rsidRPr="000C3BC2">
        <w:rPr>
          <w:rFonts w:asciiTheme="minorBidi" w:hAnsiTheme="minorBidi"/>
        </w:rPr>
        <w:t>employee training</w:t>
      </w:r>
      <w:r w:rsidRPr="00574217">
        <w:rPr>
          <w:rFonts w:asciiTheme="minorBidi" w:hAnsiTheme="minorBidi"/>
        </w:rPr>
        <w:t xml:space="preserve"> rather than CPD for academic staff specifically. As a result, it does not sufficiently account for the distinctive professional identities, autonomy, and disciplinary norms that characterise academic work. CPD for academics often involves reflective practice, pedagogical development, and research capability enhancement, which differ substantially from general staff training objectives. This limits the relevance of the findings for studies centred on academic CPD.</w:t>
      </w:r>
    </w:p>
    <w:p w14:paraId="48C9538B" w14:textId="206AC4FF" w:rsidR="003E7DB0" w:rsidRPr="00574217" w:rsidRDefault="003E7DB0" w:rsidP="003E7DB0">
      <w:pPr>
        <w:spacing w:line="360" w:lineRule="auto"/>
        <w:jc w:val="both"/>
        <w:rPr>
          <w:rFonts w:asciiTheme="minorBidi" w:hAnsiTheme="minorBidi"/>
        </w:rPr>
      </w:pPr>
      <w:r w:rsidRPr="00574217">
        <w:rPr>
          <w:rFonts w:asciiTheme="minorBidi" w:hAnsiTheme="minorBidi"/>
        </w:rPr>
        <w:t>Second, the study is situated within a single higher education system, thereby restricting its transferability to other national and institutional contexts. The absence of a comparative or cross-cultural dimension is particularly limiting given that e</w:t>
      </w:r>
      <w:r w:rsidR="0001419D">
        <w:rPr>
          <w:rFonts w:asciiTheme="minorBidi" w:hAnsiTheme="minorBidi"/>
        </w:rPr>
        <w:t>-l</w:t>
      </w:r>
      <w:r w:rsidRPr="00574217">
        <w:rPr>
          <w:rFonts w:asciiTheme="minorBidi" w:hAnsiTheme="minorBidi"/>
        </w:rPr>
        <w:t xml:space="preserve">earning adoption is strongly influenced by national policies, technological infrastructure, and </w:t>
      </w:r>
      <w:r w:rsidRPr="00574217">
        <w:rPr>
          <w:rFonts w:asciiTheme="minorBidi" w:hAnsiTheme="minorBidi"/>
        </w:rPr>
        <w:lastRenderedPageBreak/>
        <w:t>resource availability. Consequently, the study offers limited insight into how identified factors might operate differently in developing country contexts, where systemic constraints may outweigh strategic considerations.</w:t>
      </w:r>
    </w:p>
    <w:p w14:paraId="6E96D808" w14:textId="467C4C5D" w:rsidR="003E7DB0" w:rsidRPr="00574217" w:rsidRDefault="003E7DB0" w:rsidP="00C951BF">
      <w:pPr>
        <w:spacing w:line="360" w:lineRule="auto"/>
        <w:jc w:val="both"/>
        <w:rPr>
          <w:rFonts w:asciiTheme="minorBidi" w:hAnsiTheme="minorBidi"/>
        </w:rPr>
      </w:pPr>
      <w:r w:rsidRPr="00574217">
        <w:rPr>
          <w:rFonts w:asciiTheme="minorBidi" w:hAnsiTheme="minorBidi"/>
        </w:rPr>
        <w:t xml:space="preserve">Methodologically, while the multi-case design is a strength, the study relies primarily on qualitative data from a limited number of participants. The relatively small sample size restricts the generalisability of the findings, and the absence of quantitative data limits the ability to assess the relative importance or prevalence of identified factors across a broader population. </w:t>
      </w:r>
    </w:p>
    <w:p w14:paraId="2BEA9143" w14:textId="6278E325" w:rsidR="003E7DB0" w:rsidRPr="00574217" w:rsidRDefault="003E7DB0" w:rsidP="003E7DB0">
      <w:pPr>
        <w:spacing w:line="360" w:lineRule="auto"/>
        <w:jc w:val="both"/>
        <w:rPr>
          <w:rFonts w:asciiTheme="minorBidi" w:hAnsiTheme="minorBidi"/>
        </w:rPr>
      </w:pPr>
      <w:r w:rsidRPr="00574217">
        <w:rPr>
          <w:rFonts w:asciiTheme="minorBidi" w:hAnsiTheme="minorBidi"/>
        </w:rPr>
        <w:t>Another limitation relates to stakeholder representation. The study primarily reflects the perspectives of organisational leaders and decision-makers involved in e</w:t>
      </w:r>
      <w:r w:rsidR="00C951BF">
        <w:rPr>
          <w:rFonts w:asciiTheme="minorBidi" w:hAnsiTheme="minorBidi"/>
        </w:rPr>
        <w:t>-l</w:t>
      </w:r>
      <w:r w:rsidRPr="00574217">
        <w:rPr>
          <w:rFonts w:asciiTheme="minorBidi" w:hAnsiTheme="minorBidi"/>
        </w:rPr>
        <w:t>earning strategy development, with limited attention to end-users’ experiences. Academics’ perceptions, motivations, and constraints are therefore underrepresented, despite their central role in the success of e</w:t>
      </w:r>
      <w:r w:rsidR="00C951BF">
        <w:rPr>
          <w:rFonts w:asciiTheme="minorBidi" w:hAnsiTheme="minorBidi"/>
        </w:rPr>
        <w:t>-</w:t>
      </w:r>
      <w:r w:rsidRPr="00574217">
        <w:rPr>
          <w:rFonts w:asciiTheme="minorBidi" w:hAnsiTheme="minorBidi"/>
        </w:rPr>
        <w:t>earning-based CPD initiatives. This top-down perspective may overlook important individual-level barriers such as workload pressures, digital self-efficacy, and perceived relevance.</w:t>
      </w:r>
    </w:p>
    <w:p w14:paraId="60D36F9C" w14:textId="77777777" w:rsidR="003E7DB0" w:rsidRPr="00574217" w:rsidRDefault="003E7DB0" w:rsidP="003E7DB0">
      <w:pPr>
        <w:spacing w:line="360" w:lineRule="auto"/>
        <w:jc w:val="both"/>
        <w:rPr>
          <w:rFonts w:asciiTheme="minorBidi" w:hAnsiTheme="minorBidi"/>
        </w:rPr>
      </w:pPr>
      <w:r w:rsidRPr="00574217">
        <w:rPr>
          <w:rFonts w:asciiTheme="minorBidi" w:hAnsiTheme="minorBidi"/>
        </w:rPr>
        <w:t>Finally, the study does not explicitly integrate established technology adoption or learning theories to frame its analysis. While several influencing factors are identified, the absence of a strong theoretical grounding limits the study’s contribution to theory development and reduces its capacity to inform the construction of an integrated conceptual framework.</w:t>
      </w:r>
    </w:p>
    <w:p w14:paraId="2A6D9D53" w14:textId="0EBA0AF7" w:rsidR="003E7DB0" w:rsidRPr="00574217" w:rsidRDefault="003E7DB0" w:rsidP="003E7DB0">
      <w:pPr>
        <w:spacing w:line="360" w:lineRule="auto"/>
        <w:jc w:val="both"/>
        <w:rPr>
          <w:rFonts w:asciiTheme="minorBidi" w:hAnsiTheme="minorBidi"/>
        </w:rPr>
      </w:pPr>
      <w:r w:rsidRPr="00574217">
        <w:rPr>
          <w:rFonts w:asciiTheme="minorBidi" w:hAnsiTheme="minorBidi"/>
        </w:rPr>
        <w:t>In summary, Surber (2017) provides valuable qualitative insights into organisational factors influencing eLearning strategy in higher education. However, its focus on employee training, limited contextual scope, small sample size, and lack of theoretical integration highlight important gaps. These limitations underscore the need for further research that is CPD-specific, theory-driven, comparative, and inclusive of academics’ perspectives</w:t>
      </w:r>
      <w:r w:rsidR="009E3596">
        <w:rPr>
          <w:rFonts w:asciiTheme="minorBidi" w:hAnsiTheme="minorBidi"/>
        </w:rPr>
        <w:t xml:space="preserve">, </w:t>
      </w:r>
      <w:r w:rsidRPr="00574217">
        <w:rPr>
          <w:rFonts w:asciiTheme="minorBidi" w:hAnsiTheme="minorBidi"/>
        </w:rPr>
        <w:t>gaps that the present study seeks to address.</w:t>
      </w:r>
    </w:p>
    <w:p w14:paraId="4A3930F9" w14:textId="34EC588A" w:rsidR="003E7DB0" w:rsidRPr="00F84AD3" w:rsidRDefault="003E7DB0" w:rsidP="006D1F37">
      <w:pPr>
        <w:pStyle w:val="Heading2"/>
      </w:pPr>
      <w:bookmarkStart w:id="100" w:name="_Toc218504126"/>
      <w:r w:rsidRPr="00F84AD3">
        <w:t>Conceptual Framework for the Study</w:t>
      </w:r>
      <w:bookmarkEnd w:id="100"/>
    </w:p>
    <w:p w14:paraId="0F18A6AA" w14:textId="77777777" w:rsidR="003E7DB0" w:rsidRPr="00F84AD3" w:rsidRDefault="003E7DB0" w:rsidP="00CA68CD">
      <w:pPr>
        <w:numPr>
          <w:ilvl w:val="0"/>
          <w:numId w:val="8"/>
        </w:numPr>
        <w:spacing w:line="360" w:lineRule="auto"/>
        <w:jc w:val="both"/>
        <w:rPr>
          <w:rFonts w:asciiTheme="minorBidi" w:hAnsiTheme="minorBidi"/>
        </w:rPr>
      </w:pPr>
      <w:r w:rsidRPr="00F84AD3">
        <w:rPr>
          <w:rFonts w:asciiTheme="minorBidi" w:hAnsiTheme="minorBidi"/>
        </w:rPr>
        <w:t>Development of a proposed framework based on literature</w:t>
      </w:r>
    </w:p>
    <w:p w14:paraId="3FBE71F1" w14:textId="77777777" w:rsidR="003E7DB0" w:rsidRPr="00F84AD3" w:rsidRDefault="003E7DB0" w:rsidP="00CA68CD">
      <w:pPr>
        <w:numPr>
          <w:ilvl w:val="0"/>
          <w:numId w:val="8"/>
        </w:numPr>
        <w:spacing w:line="360" w:lineRule="auto"/>
        <w:jc w:val="both"/>
        <w:rPr>
          <w:rFonts w:asciiTheme="minorBidi" w:hAnsiTheme="minorBidi"/>
        </w:rPr>
      </w:pPr>
      <w:r w:rsidRPr="00F84AD3">
        <w:rPr>
          <w:rFonts w:asciiTheme="minorBidi" w:hAnsiTheme="minorBidi"/>
        </w:rPr>
        <w:t>Explanation of variables and relationships</w:t>
      </w:r>
    </w:p>
    <w:p w14:paraId="08260E82" w14:textId="77777777" w:rsidR="003E7DB0" w:rsidRPr="00F84AD3" w:rsidRDefault="003E7DB0" w:rsidP="00CA68CD">
      <w:pPr>
        <w:numPr>
          <w:ilvl w:val="0"/>
          <w:numId w:val="8"/>
        </w:numPr>
        <w:spacing w:line="360" w:lineRule="auto"/>
        <w:jc w:val="both"/>
        <w:rPr>
          <w:rFonts w:asciiTheme="minorBidi" w:hAnsiTheme="minorBidi"/>
        </w:rPr>
      </w:pPr>
      <w:r w:rsidRPr="00F84AD3">
        <w:rPr>
          <w:rFonts w:asciiTheme="minorBidi" w:hAnsiTheme="minorBidi"/>
        </w:rPr>
        <w:t>Alignment with research questions and objectives</w:t>
      </w:r>
    </w:p>
    <w:p w14:paraId="2EA9AAA1" w14:textId="32B22CAE" w:rsidR="003E7DB0" w:rsidRPr="006D1F37" w:rsidRDefault="003E7DB0" w:rsidP="006D1F37">
      <w:pPr>
        <w:pStyle w:val="Heading2"/>
      </w:pPr>
      <w:bookmarkStart w:id="101" w:name="_Toc218504127"/>
      <w:r w:rsidRPr="00F84AD3">
        <w:lastRenderedPageBreak/>
        <w:t>Chapter Summary</w:t>
      </w:r>
      <w:bookmarkEnd w:id="101"/>
    </w:p>
    <w:p w14:paraId="3E03BCED" w14:textId="77777777" w:rsidR="003E7DB0" w:rsidRPr="00F84AD3" w:rsidRDefault="003E7DB0" w:rsidP="00CA68CD">
      <w:pPr>
        <w:numPr>
          <w:ilvl w:val="0"/>
          <w:numId w:val="9"/>
        </w:numPr>
        <w:spacing w:line="360" w:lineRule="auto"/>
        <w:jc w:val="both"/>
        <w:rPr>
          <w:rFonts w:asciiTheme="minorBidi" w:hAnsiTheme="minorBidi"/>
        </w:rPr>
      </w:pPr>
      <w:r w:rsidRPr="00F84AD3">
        <w:rPr>
          <w:rFonts w:asciiTheme="minorBidi" w:hAnsiTheme="minorBidi"/>
        </w:rPr>
        <w:t>Key themes and insights from the literature</w:t>
      </w:r>
    </w:p>
    <w:p w14:paraId="3073B327" w14:textId="77777777" w:rsidR="003E7DB0" w:rsidRPr="00F84AD3" w:rsidRDefault="003E7DB0" w:rsidP="00CA68CD">
      <w:pPr>
        <w:numPr>
          <w:ilvl w:val="0"/>
          <w:numId w:val="9"/>
        </w:numPr>
        <w:spacing w:line="360" w:lineRule="auto"/>
        <w:jc w:val="both"/>
        <w:rPr>
          <w:rFonts w:asciiTheme="minorBidi" w:hAnsiTheme="minorBidi"/>
        </w:rPr>
      </w:pPr>
      <w:r w:rsidRPr="00F84AD3">
        <w:rPr>
          <w:rFonts w:asciiTheme="minorBidi" w:hAnsiTheme="minorBidi"/>
        </w:rPr>
        <w:t>How the literature informs the research design</w:t>
      </w:r>
    </w:p>
    <w:p w14:paraId="61ACBDF3" w14:textId="77777777" w:rsidR="003E7DB0" w:rsidRPr="00F84AD3" w:rsidRDefault="003E7DB0" w:rsidP="00CA68CD">
      <w:pPr>
        <w:numPr>
          <w:ilvl w:val="0"/>
          <w:numId w:val="9"/>
        </w:numPr>
        <w:spacing w:line="360" w:lineRule="auto"/>
        <w:jc w:val="both"/>
        <w:rPr>
          <w:rFonts w:asciiTheme="minorBidi" w:hAnsiTheme="minorBidi"/>
        </w:rPr>
      </w:pPr>
      <w:r w:rsidRPr="00F84AD3">
        <w:rPr>
          <w:rFonts w:asciiTheme="minorBidi" w:hAnsiTheme="minorBidi"/>
        </w:rPr>
        <w:t>Link to the next chapter (Methodology)</w:t>
      </w:r>
    </w:p>
    <w:p w14:paraId="67CF7E6C" w14:textId="1D5A960A" w:rsidR="004E08C7" w:rsidRPr="009E3596" w:rsidRDefault="004E08C7" w:rsidP="009E3596">
      <w:pPr>
        <w:spacing w:before="100" w:beforeAutospacing="1" w:after="100" w:afterAutospacing="1" w:line="360" w:lineRule="auto"/>
        <w:ind w:left="360"/>
        <w:jc w:val="both"/>
        <w:rPr>
          <w:rFonts w:asciiTheme="minorBidi" w:eastAsia="Times New Roman" w:hAnsiTheme="minorBidi"/>
          <w:kern w:val="0"/>
          <w14:ligatures w14:val="none"/>
        </w:rPr>
      </w:pPr>
      <w:r w:rsidRPr="009E3596">
        <w:rPr>
          <w:rFonts w:asciiTheme="minorBidi" w:eastAsia="Times New Roman" w:hAnsiTheme="minorBidi"/>
          <w:kern w:val="0"/>
          <w14:ligatures w14:val="none"/>
        </w:rPr>
        <w:t>This research model provides an integrative framework that synthesises the Critical Success Factors (CSFs) identified and discussed throughout this chapter and explains their collective influence on the adoption of e</w:t>
      </w:r>
      <w:r w:rsidR="009B531F">
        <w:rPr>
          <w:rFonts w:asciiTheme="minorBidi" w:eastAsia="Times New Roman" w:hAnsiTheme="minorBidi"/>
          <w:kern w:val="0"/>
          <w14:ligatures w14:val="none"/>
        </w:rPr>
        <w:t>-</w:t>
      </w:r>
      <w:r w:rsidRPr="009E3596">
        <w:rPr>
          <w:rFonts w:asciiTheme="minorBidi" w:eastAsia="Times New Roman" w:hAnsiTheme="minorBidi"/>
          <w:kern w:val="0"/>
          <w14:ligatures w14:val="none"/>
        </w:rPr>
        <w:t>earning for Continuous Professional Development (CPD) among academics in universities. Drawing on established technology adoption and organisational theories, the model conceptualises CSFs at five interrelated levels</w:t>
      </w:r>
      <w:r w:rsidR="009E3596">
        <w:rPr>
          <w:rFonts w:asciiTheme="minorBidi" w:eastAsia="Times New Roman" w:hAnsiTheme="minorBidi"/>
          <w:kern w:val="0"/>
          <w14:ligatures w14:val="none"/>
        </w:rPr>
        <w:t xml:space="preserve">, </w:t>
      </w:r>
      <w:r w:rsidRPr="009E3596">
        <w:rPr>
          <w:rFonts w:asciiTheme="minorBidi" w:eastAsia="Times New Roman" w:hAnsiTheme="minorBidi"/>
          <w:kern w:val="0"/>
          <w14:ligatures w14:val="none"/>
        </w:rPr>
        <w:t>individual, pedagogical, technological, organisational, and environmental</w:t>
      </w:r>
      <w:r w:rsidR="009E3596">
        <w:rPr>
          <w:rFonts w:asciiTheme="minorBidi" w:eastAsia="Times New Roman" w:hAnsiTheme="minorBidi"/>
          <w:kern w:val="0"/>
          <w14:ligatures w14:val="none"/>
        </w:rPr>
        <w:t xml:space="preserve">, </w:t>
      </w:r>
      <w:r w:rsidRPr="009E3596">
        <w:rPr>
          <w:rFonts w:asciiTheme="minorBidi" w:eastAsia="Times New Roman" w:hAnsiTheme="minorBidi"/>
          <w:kern w:val="0"/>
          <w14:ligatures w14:val="none"/>
        </w:rPr>
        <w:t>as antecedents that shape academics’ adoption perceptions, specifically performance expectancy (perceived usefulness), effort expectancy (perceived ease of use), facilitating conditions, and social influence. These adoption perceptions act as key mediating mechanisms through which CSFs translate into measurable adoption outcomes, conceptualised as a staged process comprising intention to use, actual use, continued use, and perceived CPD impact. Importantly, the model explicitly incorporates national context (United Kingdom and Sri Lanka) as a moderating variable, recognising that structural conditions, policy environments, resource availability, and socio-cultural norms influence both the salience of specific CSFs and the strength of their relationships with adoption outcomes. By linking the reviewed literature to a coherent analytical structure, this model provides a theoretically grounded foundation for the empirical phase of the study and directly informs the selection of variables, hypotheses, and comparative research design presented in the subsequent chapter.</w:t>
      </w:r>
    </w:p>
    <w:p w14:paraId="0D8671CC" w14:textId="77777777" w:rsidR="009B736D" w:rsidRDefault="009B736D" w:rsidP="004E08C7">
      <w:pPr>
        <w:spacing w:before="100" w:beforeAutospacing="1" w:after="100" w:afterAutospacing="1" w:line="240" w:lineRule="auto"/>
        <w:ind w:left="360"/>
        <w:rPr>
          <w:rFonts w:ascii="Times New Roman" w:eastAsia="Times New Roman" w:hAnsi="Times New Roman" w:cs="Times New Roman"/>
          <w:kern w:val="0"/>
          <w14:ligatures w14:val="none"/>
        </w:rPr>
      </w:pPr>
    </w:p>
    <w:p w14:paraId="14969BDB" w14:textId="77777777" w:rsidR="009B736D" w:rsidRPr="004E08C7" w:rsidRDefault="009B736D" w:rsidP="004E08C7">
      <w:pPr>
        <w:spacing w:before="100" w:beforeAutospacing="1" w:after="100" w:afterAutospacing="1" w:line="240" w:lineRule="auto"/>
        <w:ind w:left="360"/>
        <w:rPr>
          <w:rFonts w:ascii="Times New Roman" w:eastAsia="Times New Roman" w:hAnsi="Times New Roman" w:cs="Times New Roman"/>
          <w:kern w:val="0"/>
          <w14:ligatures w14:val="none"/>
        </w:rPr>
      </w:pPr>
    </w:p>
    <w:p w14:paraId="1BCC720B" w14:textId="31429872" w:rsidR="00D37945" w:rsidRPr="00D37945" w:rsidRDefault="00D37945" w:rsidP="00D37945">
      <w:pPr>
        <w:spacing w:line="360" w:lineRule="auto"/>
        <w:jc w:val="both"/>
        <w:rPr>
          <w:rFonts w:asciiTheme="minorBidi" w:hAnsiTheme="minorBidi"/>
        </w:rPr>
      </w:pPr>
      <w:r w:rsidRPr="00D37945">
        <w:rPr>
          <w:rFonts w:asciiTheme="minorBidi" w:hAnsiTheme="minorBidi"/>
          <w:noProof/>
        </w:rPr>
        <w:lastRenderedPageBreak/>
        <w:drawing>
          <wp:inline distT="0" distB="0" distL="0" distR="0" wp14:anchorId="0EA645B2" wp14:editId="2A0F4966">
            <wp:extent cx="5731510" cy="3820795"/>
            <wp:effectExtent l="0" t="0" r="2540" b="8255"/>
            <wp:docPr id="1079880285" name="Picture 2" descr="A diagram of adoption and ado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80285" name="Picture 2" descr="A diagram of adoption and adoption&#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B000ADD" w14:textId="77777777" w:rsidR="003E7DB0" w:rsidRPr="003A61FF" w:rsidRDefault="003E7DB0" w:rsidP="003E7DB0">
      <w:pPr>
        <w:spacing w:line="360" w:lineRule="auto"/>
        <w:jc w:val="both"/>
        <w:rPr>
          <w:rFonts w:asciiTheme="minorBidi" w:hAnsiTheme="minorBidi"/>
        </w:rPr>
      </w:pPr>
    </w:p>
    <w:p w14:paraId="0BAD963B" w14:textId="77777777" w:rsidR="003E7DB0" w:rsidRPr="003A61FF" w:rsidRDefault="003E7DB0" w:rsidP="003E7DB0">
      <w:pPr>
        <w:spacing w:line="360" w:lineRule="auto"/>
        <w:jc w:val="both"/>
        <w:rPr>
          <w:rFonts w:asciiTheme="minorBidi" w:hAnsiTheme="minorBidi"/>
        </w:rPr>
      </w:pPr>
    </w:p>
    <w:p w14:paraId="1D691606" w14:textId="77777777" w:rsidR="003E7DB0" w:rsidRPr="003A61FF" w:rsidRDefault="003E7DB0" w:rsidP="003E7DB0">
      <w:pPr>
        <w:spacing w:line="360" w:lineRule="auto"/>
        <w:jc w:val="both"/>
        <w:rPr>
          <w:rFonts w:asciiTheme="minorBidi" w:hAnsiTheme="minorBidi"/>
          <w:b/>
          <w:bCs/>
        </w:rPr>
      </w:pPr>
      <w:r w:rsidRPr="003A61FF">
        <w:rPr>
          <w:rFonts w:asciiTheme="minorBidi" w:hAnsiTheme="minorBidi"/>
          <w:b/>
          <w:bCs/>
        </w:rPr>
        <w:t>References</w:t>
      </w:r>
    </w:p>
    <w:p w14:paraId="637EADAF"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Advance HE</w:t>
      </w:r>
      <w:r w:rsidRPr="003A61FF">
        <w:rPr>
          <w:rFonts w:asciiTheme="minorBidi" w:hAnsiTheme="minorBidi"/>
        </w:rPr>
        <w:t xml:space="preserve"> (2016) </w:t>
      </w:r>
      <w:r w:rsidRPr="003A61FF">
        <w:rPr>
          <w:rFonts w:asciiTheme="minorBidi" w:hAnsiTheme="minorBidi"/>
          <w:i/>
          <w:iCs/>
        </w:rPr>
        <w:t>UK Professional Standards Framework for Teaching and Supporting Learning in Higher Education</w:t>
      </w:r>
      <w:r w:rsidRPr="003A61FF">
        <w:rPr>
          <w:rFonts w:asciiTheme="minorBidi" w:hAnsiTheme="minorBidi"/>
        </w:rPr>
        <w:t>. York: Advance HE.</w:t>
      </w:r>
    </w:p>
    <w:p w14:paraId="0DD9F3AF"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Ajzen, I.</w:t>
      </w:r>
      <w:r w:rsidRPr="003A61FF">
        <w:rPr>
          <w:rFonts w:asciiTheme="minorBidi" w:hAnsiTheme="minorBidi"/>
        </w:rPr>
        <w:t xml:space="preserve"> (1991) ‘The theory of planned behavior’, </w:t>
      </w:r>
      <w:r w:rsidRPr="003A61FF">
        <w:rPr>
          <w:rFonts w:asciiTheme="minorBidi" w:hAnsiTheme="minorBidi"/>
          <w:i/>
          <w:iCs/>
        </w:rPr>
        <w:t>Organizational Behavior and Human Decision Processes</w:t>
      </w:r>
      <w:r w:rsidRPr="003A61FF">
        <w:rPr>
          <w:rFonts w:asciiTheme="minorBidi" w:hAnsiTheme="minorBidi"/>
        </w:rPr>
        <w:t>, 50(2), pp. 179–211.</w:t>
      </w:r>
    </w:p>
    <w:p w14:paraId="7D6643A2"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Al-Fraihat, D., Joy, M., Masa’deh, R. and Sinclair, J.</w:t>
      </w:r>
      <w:r w:rsidRPr="003A61FF">
        <w:rPr>
          <w:rFonts w:asciiTheme="minorBidi" w:hAnsiTheme="minorBidi"/>
        </w:rPr>
        <w:t xml:space="preserve"> (2020) ‘Evaluating E-learning systems success: An empirical study’, </w:t>
      </w:r>
      <w:r w:rsidRPr="003A61FF">
        <w:rPr>
          <w:rFonts w:asciiTheme="minorBidi" w:hAnsiTheme="minorBidi"/>
          <w:i/>
          <w:iCs/>
        </w:rPr>
        <w:t>Computers in Human Behavior</w:t>
      </w:r>
      <w:r w:rsidRPr="003A61FF">
        <w:rPr>
          <w:rFonts w:asciiTheme="minorBidi" w:hAnsiTheme="minorBidi"/>
        </w:rPr>
        <w:t>, 102, pp. 67–86.</w:t>
      </w:r>
    </w:p>
    <w:p w14:paraId="573D8D7E"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Ally, M.</w:t>
      </w:r>
      <w:r w:rsidRPr="003A61FF">
        <w:rPr>
          <w:rFonts w:asciiTheme="minorBidi" w:hAnsiTheme="minorBidi"/>
        </w:rPr>
        <w:t xml:space="preserve"> (2004) ‘Foundations of educational theory for online learning’, in Anderson, T. and Elloumi, F. (eds.) </w:t>
      </w:r>
      <w:r w:rsidRPr="003A61FF">
        <w:rPr>
          <w:rFonts w:asciiTheme="minorBidi" w:hAnsiTheme="minorBidi"/>
          <w:i/>
          <w:iCs/>
        </w:rPr>
        <w:t>Theory and Practice of Online Learning</w:t>
      </w:r>
      <w:r w:rsidRPr="003A61FF">
        <w:rPr>
          <w:rFonts w:asciiTheme="minorBidi" w:hAnsiTheme="minorBidi"/>
        </w:rPr>
        <w:t>. Athabasca: Athabasca University, pp. 3–31.</w:t>
      </w:r>
    </w:p>
    <w:p w14:paraId="6F6A0D7C"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Altbach, P.G., Reisberg, L. and Rumbley, L.E.</w:t>
      </w:r>
      <w:r w:rsidRPr="003A61FF">
        <w:rPr>
          <w:rFonts w:asciiTheme="minorBidi" w:hAnsiTheme="minorBidi"/>
        </w:rPr>
        <w:t xml:space="preserve"> (2019) </w:t>
      </w:r>
      <w:r w:rsidRPr="003A61FF">
        <w:rPr>
          <w:rFonts w:asciiTheme="minorBidi" w:hAnsiTheme="minorBidi"/>
          <w:i/>
          <w:iCs/>
        </w:rPr>
        <w:t>Trends in Global Higher Education: Tracking an Academic Revolution</w:t>
      </w:r>
      <w:r w:rsidRPr="003A61FF">
        <w:rPr>
          <w:rFonts w:asciiTheme="minorBidi" w:hAnsiTheme="minorBidi"/>
        </w:rPr>
        <w:t>. Rotterdam: Sense Publishers.</w:t>
      </w:r>
    </w:p>
    <w:p w14:paraId="529451C5"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lastRenderedPageBreak/>
        <w:t>Avgerou, C.</w:t>
      </w:r>
      <w:r w:rsidRPr="003A61FF">
        <w:rPr>
          <w:rFonts w:asciiTheme="minorBidi" w:hAnsiTheme="minorBidi"/>
        </w:rPr>
        <w:t xml:space="preserve"> (2008) ‘Information systems in developing countries: A critical research review’, </w:t>
      </w:r>
      <w:r w:rsidRPr="003A61FF">
        <w:rPr>
          <w:rFonts w:asciiTheme="minorBidi" w:hAnsiTheme="minorBidi"/>
          <w:i/>
          <w:iCs/>
        </w:rPr>
        <w:t>Journal of Information Technology</w:t>
      </w:r>
      <w:r w:rsidRPr="003A61FF">
        <w:rPr>
          <w:rFonts w:asciiTheme="minorBidi" w:hAnsiTheme="minorBidi"/>
        </w:rPr>
        <w:t>, 23(3), pp. 133–146.</w:t>
      </w:r>
    </w:p>
    <w:p w14:paraId="1F11D8FF"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Bandura, A.</w:t>
      </w:r>
      <w:r w:rsidRPr="003A61FF">
        <w:rPr>
          <w:rFonts w:asciiTheme="minorBidi" w:hAnsiTheme="minorBidi"/>
        </w:rPr>
        <w:t xml:space="preserve"> (1997) </w:t>
      </w:r>
      <w:r w:rsidRPr="003A61FF">
        <w:rPr>
          <w:rFonts w:asciiTheme="minorBidi" w:hAnsiTheme="minorBidi"/>
          <w:i/>
          <w:iCs/>
        </w:rPr>
        <w:t>Self-efficacy: The Exercise of Control</w:t>
      </w:r>
      <w:r w:rsidRPr="003A61FF">
        <w:rPr>
          <w:rFonts w:asciiTheme="minorBidi" w:hAnsiTheme="minorBidi"/>
        </w:rPr>
        <w:t>. New York: Freeman.</w:t>
      </w:r>
    </w:p>
    <w:p w14:paraId="0ABE6DBB"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Barney, J.</w:t>
      </w:r>
      <w:r w:rsidRPr="003A61FF">
        <w:rPr>
          <w:rFonts w:asciiTheme="minorBidi" w:hAnsiTheme="minorBidi"/>
        </w:rPr>
        <w:t xml:space="preserve"> (1991) ‘Firm resources and sustained competitive advantage’, </w:t>
      </w:r>
      <w:r w:rsidRPr="003A61FF">
        <w:rPr>
          <w:rFonts w:asciiTheme="minorBidi" w:hAnsiTheme="minorBidi"/>
          <w:i/>
          <w:iCs/>
        </w:rPr>
        <w:t>Journal of Management</w:t>
      </w:r>
      <w:r w:rsidRPr="003A61FF">
        <w:rPr>
          <w:rFonts w:asciiTheme="minorBidi" w:hAnsiTheme="minorBidi"/>
        </w:rPr>
        <w:t>, 17(1), pp. 99–120.</w:t>
      </w:r>
    </w:p>
    <w:p w14:paraId="46845029"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Barney, J.B., Ketchen, D.J. and Wright, M.</w:t>
      </w:r>
      <w:r w:rsidRPr="003A61FF">
        <w:rPr>
          <w:rFonts w:asciiTheme="minorBidi" w:hAnsiTheme="minorBidi"/>
        </w:rPr>
        <w:t xml:space="preserve"> (2011) ‘The future of resource</w:t>
      </w:r>
      <w:r w:rsidRPr="003A61FF">
        <w:rPr>
          <w:rFonts w:ascii="Cambria Math" w:hAnsi="Cambria Math" w:cs="Cambria Math"/>
        </w:rPr>
        <w:t>‐</w:t>
      </w:r>
      <w:r w:rsidRPr="003A61FF">
        <w:rPr>
          <w:rFonts w:asciiTheme="minorBidi" w:hAnsiTheme="minorBidi"/>
        </w:rPr>
        <w:t>based theory: Revitalization or decline?</w:t>
      </w:r>
      <w:r w:rsidRPr="003A61FF">
        <w:rPr>
          <w:rFonts w:ascii="Arial" w:hAnsi="Arial" w:cs="Arial"/>
        </w:rPr>
        <w:t>’</w:t>
      </w:r>
      <w:r w:rsidRPr="003A61FF">
        <w:rPr>
          <w:rFonts w:asciiTheme="minorBidi" w:hAnsiTheme="minorBidi"/>
        </w:rPr>
        <w:t xml:space="preserve">, </w:t>
      </w:r>
      <w:r w:rsidRPr="003A61FF">
        <w:rPr>
          <w:rFonts w:asciiTheme="minorBidi" w:hAnsiTheme="minorBidi"/>
          <w:i/>
          <w:iCs/>
        </w:rPr>
        <w:t>Journal of Management</w:t>
      </w:r>
      <w:r w:rsidRPr="003A61FF">
        <w:rPr>
          <w:rFonts w:asciiTheme="minorBidi" w:hAnsiTheme="minorBidi"/>
        </w:rPr>
        <w:t>, 37(5), pp. 1299–1315.</w:t>
      </w:r>
    </w:p>
    <w:p w14:paraId="5D041BB2"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Bloom, B.S.</w:t>
      </w:r>
      <w:r w:rsidRPr="003A61FF">
        <w:rPr>
          <w:rFonts w:asciiTheme="minorBidi" w:hAnsiTheme="minorBidi"/>
        </w:rPr>
        <w:t xml:space="preserve"> (1956) </w:t>
      </w:r>
      <w:r w:rsidRPr="003A61FF">
        <w:rPr>
          <w:rFonts w:asciiTheme="minorBidi" w:hAnsiTheme="minorBidi"/>
          <w:i/>
          <w:iCs/>
        </w:rPr>
        <w:t>Taxonomy of Educational Objectives: The Classification of Educational Goals</w:t>
      </w:r>
      <w:r w:rsidRPr="003A61FF">
        <w:rPr>
          <w:rFonts w:asciiTheme="minorBidi" w:hAnsiTheme="minorBidi"/>
        </w:rPr>
        <w:t>. Handbook I: Cognitive Domain. New York: Longman.</w:t>
      </w:r>
    </w:p>
    <w:p w14:paraId="01A75D99"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Bullen, C.V. and Rockart, J.F.</w:t>
      </w:r>
      <w:r w:rsidRPr="003A61FF">
        <w:rPr>
          <w:rFonts w:asciiTheme="minorBidi" w:hAnsiTheme="minorBidi"/>
        </w:rPr>
        <w:t xml:space="preserve"> (1981) ‘A primer on critical success factors’, </w:t>
      </w:r>
      <w:r w:rsidRPr="003A61FF">
        <w:rPr>
          <w:rFonts w:asciiTheme="minorBidi" w:hAnsiTheme="minorBidi"/>
          <w:i/>
          <w:iCs/>
        </w:rPr>
        <w:t>Sloan School of Management Working Paper No. 1220-81</w:t>
      </w:r>
      <w:r w:rsidRPr="003A61FF">
        <w:rPr>
          <w:rFonts w:asciiTheme="minorBidi" w:hAnsiTheme="minorBidi"/>
        </w:rPr>
        <w:t>. Cambridge, MA: MIT.</w:t>
      </w:r>
    </w:p>
    <w:p w14:paraId="0CBE7992"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Burhanuddin, B., Wahyuni, E., Yamin, M. and Yusriadi, Y.</w:t>
      </w:r>
      <w:r w:rsidRPr="003A61FF">
        <w:rPr>
          <w:rFonts w:asciiTheme="minorBidi" w:hAnsiTheme="minorBidi"/>
        </w:rPr>
        <w:t xml:space="preserve"> (2021) ‘The effect of online learning on students’ learning outcomes’, </w:t>
      </w:r>
      <w:r w:rsidRPr="003A61FF">
        <w:rPr>
          <w:rFonts w:asciiTheme="minorBidi" w:hAnsiTheme="minorBidi"/>
          <w:i/>
          <w:iCs/>
        </w:rPr>
        <w:t>Journal of Education and Learning</w:t>
      </w:r>
      <w:r w:rsidRPr="003A61FF">
        <w:rPr>
          <w:rFonts w:asciiTheme="minorBidi" w:hAnsiTheme="minorBidi"/>
        </w:rPr>
        <w:t>, 15(3), pp. 377–385.</w:t>
      </w:r>
    </w:p>
    <w:p w14:paraId="024A985B"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Conner, M. and Armitage, C.J.</w:t>
      </w:r>
      <w:r w:rsidRPr="003A61FF">
        <w:rPr>
          <w:rFonts w:asciiTheme="minorBidi" w:hAnsiTheme="minorBidi"/>
        </w:rPr>
        <w:t xml:space="preserve"> (1998) ‘Extending the theory of planned behavior: A review and avenues for further research’, </w:t>
      </w:r>
      <w:r w:rsidRPr="003A61FF">
        <w:rPr>
          <w:rFonts w:asciiTheme="minorBidi" w:hAnsiTheme="minorBidi"/>
          <w:i/>
          <w:iCs/>
        </w:rPr>
        <w:t>Journal of Applied Social Psychology</w:t>
      </w:r>
      <w:r w:rsidRPr="003A61FF">
        <w:rPr>
          <w:rFonts w:asciiTheme="minorBidi" w:hAnsiTheme="minorBidi"/>
        </w:rPr>
        <w:t>, 28(15), pp. 1429–1464.</w:t>
      </w:r>
    </w:p>
    <w:p w14:paraId="02C39086"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Davis, F.D.</w:t>
      </w:r>
      <w:r w:rsidRPr="003A61FF">
        <w:rPr>
          <w:rFonts w:asciiTheme="minorBidi" w:hAnsiTheme="minorBidi"/>
        </w:rPr>
        <w:t xml:space="preserve"> (1989) ‘Perceived usefulness, perceived ease of use, and user acceptance of information technology’, </w:t>
      </w:r>
      <w:r w:rsidRPr="003A61FF">
        <w:rPr>
          <w:rFonts w:asciiTheme="minorBidi" w:hAnsiTheme="minorBidi"/>
          <w:i/>
          <w:iCs/>
        </w:rPr>
        <w:t>MIS Quarterly</w:t>
      </w:r>
      <w:r w:rsidRPr="003A61FF">
        <w:rPr>
          <w:rFonts w:asciiTheme="minorBidi" w:hAnsiTheme="minorBidi"/>
        </w:rPr>
        <w:t>, 13(3), pp. 319–340.</w:t>
      </w:r>
    </w:p>
    <w:p w14:paraId="238C1C05"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DiMaggio, P.J. and Powell, W.W.</w:t>
      </w:r>
      <w:r w:rsidRPr="003A61FF">
        <w:rPr>
          <w:rFonts w:asciiTheme="minorBidi" w:hAnsiTheme="minorBidi"/>
        </w:rPr>
        <w:t xml:space="preserve"> (1983) ‘The iron cage revisited: Institutional isomorphism and collective rationality in organizational fields’, </w:t>
      </w:r>
      <w:r w:rsidRPr="003A61FF">
        <w:rPr>
          <w:rFonts w:asciiTheme="minorBidi" w:hAnsiTheme="minorBidi"/>
          <w:i/>
          <w:iCs/>
        </w:rPr>
        <w:t>American Sociological Review</w:t>
      </w:r>
      <w:r w:rsidRPr="003A61FF">
        <w:rPr>
          <w:rFonts w:asciiTheme="minorBidi" w:hAnsiTheme="minorBidi"/>
        </w:rPr>
        <w:t>, 48(2), pp. 147–160.</w:t>
      </w:r>
    </w:p>
    <w:p w14:paraId="511BA88A"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Gagné, R.M., Wager, W.W., Golas, K.C. and Keller, J.M.</w:t>
      </w:r>
      <w:r w:rsidRPr="003A61FF">
        <w:rPr>
          <w:rFonts w:asciiTheme="minorBidi" w:hAnsiTheme="minorBidi"/>
        </w:rPr>
        <w:t xml:space="preserve"> (2005) </w:t>
      </w:r>
      <w:r w:rsidRPr="003A61FF">
        <w:rPr>
          <w:rFonts w:asciiTheme="minorBidi" w:hAnsiTheme="minorBidi"/>
          <w:i/>
          <w:iCs/>
        </w:rPr>
        <w:t>Principles of Instructional Design</w:t>
      </w:r>
      <w:r w:rsidRPr="003A61FF">
        <w:rPr>
          <w:rFonts w:asciiTheme="minorBidi" w:hAnsiTheme="minorBidi"/>
        </w:rPr>
        <w:t>. 5th edn. Belmont, CA: Wadsworth.</w:t>
      </w:r>
    </w:p>
    <w:p w14:paraId="2D1DA3F1"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Gibbs, G.</w:t>
      </w:r>
      <w:r w:rsidRPr="003A61FF">
        <w:rPr>
          <w:rFonts w:asciiTheme="minorBidi" w:hAnsiTheme="minorBidi"/>
        </w:rPr>
        <w:t xml:space="preserve"> (2013) </w:t>
      </w:r>
      <w:r w:rsidRPr="003A61FF">
        <w:rPr>
          <w:rFonts w:asciiTheme="minorBidi" w:hAnsiTheme="minorBidi"/>
          <w:i/>
          <w:iCs/>
        </w:rPr>
        <w:t>Reflections on the Changing Nature of Educational Development</w:t>
      </w:r>
      <w:r w:rsidRPr="003A61FF">
        <w:rPr>
          <w:rFonts w:asciiTheme="minorBidi" w:hAnsiTheme="minorBidi"/>
        </w:rPr>
        <w:t>. York: Higher Education Academy.</w:t>
      </w:r>
    </w:p>
    <w:p w14:paraId="652722A0" w14:textId="77777777" w:rsidR="003E7DB0" w:rsidRPr="003A61FF" w:rsidRDefault="003E7DB0" w:rsidP="003E7DB0">
      <w:pPr>
        <w:spacing w:line="360" w:lineRule="auto"/>
        <w:jc w:val="both"/>
        <w:rPr>
          <w:rFonts w:asciiTheme="minorBidi" w:hAnsiTheme="minorBidi"/>
        </w:rPr>
      </w:pPr>
      <w:r w:rsidRPr="003A61FF">
        <w:rPr>
          <w:rFonts w:asciiTheme="minorBidi" w:hAnsiTheme="minorBidi"/>
          <w:b/>
          <w:bCs/>
        </w:rPr>
        <w:t>Heeks, R.</w:t>
      </w:r>
      <w:r w:rsidRPr="003A61FF">
        <w:rPr>
          <w:rFonts w:asciiTheme="minorBidi" w:hAnsiTheme="minorBidi"/>
        </w:rPr>
        <w:t xml:space="preserve"> (2010) ‘Development 2.0: The IT-enabled transformation of international development’, </w:t>
      </w:r>
      <w:r w:rsidRPr="003A61FF">
        <w:rPr>
          <w:rFonts w:asciiTheme="minorBidi" w:hAnsiTheme="minorBidi"/>
          <w:i/>
          <w:iCs/>
        </w:rPr>
        <w:t>Communications of the ACM</w:t>
      </w:r>
      <w:r w:rsidRPr="003A61FF">
        <w:rPr>
          <w:rFonts w:asciiTheme="minorBidi" w:hAnsiTheme="minorBidi"/>
        </w:rPr>
        <w:t>, 53(4), pp. 22–24.</w:t>
      </w:r>
    </w:p>
    <w:p w14:paraId="2968384E"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lastRenderedPageBreak/>
        <w:t xml:space="preserve">Kirkwood, A. and Price, L. (2014) ‘Technology-enhanced learning and teaching in higher education: What is “enhanced” and how do we know?’, </w:t>
      </w:r>
      <w:r w:rsidRPr="00C073CC">
        <w:rPr>
          <w:rFonts w:asciiTheme="minorBidi" w:hAnsiTheme="minorBidi"/>
          <w:i/>
          <w:iCs/>
        </w:rPr>
        <w:t>Learning, Media and Technology</w:t>
      </w:r>
      <w:r w:rsidRPr="00C073CC">
        <w:rPr>
          <w:rFonts w:asciiTheme="minorBidi" w:hAnsiTheme="minorBidi"/>
        </w:rPr>
        <w:t>, 39(1), pp. 6–36.</w:t>
      </w:r>
    </w:p>
    <w:p w14:paraId="1E44DC8F"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Kirschner, P.A., Sweller, J. and Clark, R.E. (2006) ‘Why minimal guidance during instruction does not work’, </w:t>
      </w:r>
      <w:r w:rsidRPr="00C073CC">
        <w:rPr>
          <w:rFonts w:asciiTheme="minorBidi" w:hAnsiTheme="minorBidi"/>
          <w:i/>
          <w:iCs/>
        </w:rPr>
        <w:t>Educational Psychologist</w:t>
      </w:r>
      <w:r w:rsidRPr="00C073CC">
        <w:rPr>
          <w:rFonts w:asciiTheme="minorBidi" w:hAnsiTheme="minorBidi"/>
        </w:rPr>
        <w:t>, 41(2), pp. 75–86.</w:t>
      </w:r>
    </w:p>
    <w:p w14:paraId="52CE13B8"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Knowles, M.S. (1984) </w:t>
      </w:r>
      <w:r w:rsidRPr="00C073CC">
        <w:rPr>
          <w:rFonts w:asciiTheme="minorBidi" w:hAnsiTheme="minorBidi"/>
          <w:i/>
          <w:iCs/>
        </w:rPr>
        <w:t>The Adult Learner: A Neglected Species</w:t>
      </w:r>
      <w:r w:rsidRPr="00C073CC">
        <w:rPr>
          <w:rFonts w:asciiTheme="minorBidi" w:hAnsiTheme="minorBidi"/>
        </w:rPr>
        <w:t>. 3rd edn. Houston, TX: Gulf Publishing.</w:t>
      </w:r>
    </w:p>
    <w:p w14:paraId="46D75568"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Lave, J. and Wenger, E. (1991) </w:t>
      </w:r>
      <w:r w:rsidRPr="00C073CC">
        <w:rPr>
          <w:rFonts w:asciiTheme="minorBidi" w:hAnsiTheme="minorBidi"/>
          <w:i/>
          <w:iCs/>
        </w:rPr>
        <w:t>Situated Learning: Legitimate Peripheral Participation</w:t>
      </w:r>
      <w:r w:rsidRPr="00C073CC">
        <w:rPr>
          <w:rFonts w:asciiTheme="minorBidi" w:hAnsiTheme="minorBidi"/>
        </w:rPr>
        <w:t>. Cambridge: Cambridge University Press.</w:t>
      </w:r>
    </w:p>
    <w:p w14:paraId="4DF44F45"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OECD (2019) </w:t>
      </w:r>
      <w:r w:rsidRPr="00C073CC">
        <w:rPr>
          <w:rFonts w:asciiTheme="minorBidi" w:hAnsiTheme="minorBidi"/>
          <w:i/>
          <w:iCs/>
        </w:rPr>
        <w:t>Enhancing Higher Education System Performance</w:t>
      </w:r>
      <w:r w:rsidRPr="00C073CC">
        <w:rPr>
          <w:rFonts w:asciiTheme="minorBidi" w:hAnsiTheme="minorBidi"/>
        </w:rPr>
        <w:t>. Paris: OECD Publishing.</w:t>
      </w:r>
    </w:p>
    <w:p w14:paraId="3091F7C3"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OECD (2021) </w:t>
      </w:r>
      <w:r w:rsidRPr="00C073CC">
        <w:rPr>
          <w:rFonts w:asciiTheme="minorBidi" w:hAnsiTheme="minorBidi"/>
          <w:i/>
          <w:iCs/>
        </w:rPr>
        <w:t>The State of Higher Education: One Year into the COVID-19 Pandemic</w:t>
      </w:r>
      <w:r w:rsidRPr="00C073CC">
        <w:rPr>
          <w:rFonts w:asciiTheme="minorBidi" w:hAnsiTheme="minorBidi"/>
        </w:rPr>
        <w:t>. Paris: OECD Publishing.</w:t>
      </w:r>
    </w:p>
    <w:p w14:paraId="6ADACAAE"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Piaget, J. (1972) </w:t>
      </w:r>
      <w:r w:rsidRPr="00C073CC">
        <w:rPr>
          <w:rFonts w:asciiTheme="minorBidi" w:hAnsiTheme="minorBidi"/>
          <w:i/>
          <w:iCs/>
        </w:rPr>
        <w:t>The Psychology of the Child</w:t>
      </w:r>
      <w:r w:rsidRPr="00C073CC">
        <w:rPr>
          <w:rFonts w:asciiTheme="minorBidi" w:hAnsiTheme="minorBidi"/>
        </w:rPr>
        <w:t>. New York: Basic Books.</w:t>
      </w:r>
    </w:p>
    <w:p w14:paraId="669E630E"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Quality Assurance Agency (QAA) (2018) </w:t>
      </w:r>
      <w:r w:rsidRPr="00C073CC">
        <w:rPr>
          <w:rFonts w:asciiTheme="minorBidi" w:hAnsiTheme="minorBidi"/>
          <w:i/>
          <w:iCs/>
        </w:rPr>
        <w:t>UK Quality Code for Higher Education</w:t>
      </w:r>
      <w:r w:rsidRPr="00C073CC">
        <w:rPr>
          <w:rFonts w:asciiTheme="minorBidi" w:hAnsiTheme="minorBidi"/>
        </w:rPr>
        <w:t>. Gloucester: QAA.</w:t>
      </w:r>
    </w:p>
    <w:p w14:paraId="654AF503"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Rockart, J.F. (1979) ‘Chief executives define their own data needs’, </w:t>
      </w:r>
      <w:r w:rsidRPr="00C073CC">
        <w:rPr>
          <w:rFonts w:asciiTheme="minorBidi" w:hAnsiTheme="minorBidi"/>
          <w:i/>
          <w:iCs/>
        </w:rPr>
        <w:t>Harvard Business Review</w:t>
      </w:r>
      <w:r w:rsidRPr="00C073CC">
        <w:rPr>
          <w:rFonts w:asciiTheme="minorBidi" w:hAnsiTheme="minorBidi"/>
        </w:rPr>
        <w:t>, 57(2), pp. 81–93.</w:t>
      </w:r>
    </w:p>
    <w:p w14:paraId="07A667A2"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Scott, W.R. (2014) </w:t>
      </w:r>
      <w:r w:rsidRPr="00C073CC">
        <w:rPr>
          <w:rFonts w:asciiTheme="minorBidi" w:hAnsiTheme="minorBidi"/>
          <w:i/>
          <w:iCs/>
        </w:rPr>
        <w:t>Institutions and Organizations: Ideas, Interests, and Identities</w:t>
      </w:r>
      <w:r w:rsidRPr="00C073CC">
        <w:rPr>
          <w:rFonts w:asciiTheme="minorBidi" w:hAnsiTheme="minorBidi"/>
        </w:rPr>
        <w:t>. 4th edn. Thousand Oaks, CA: Sage.</w:t>
      </w:r>
    </w:p>
    <w:p w14:paraId="15E268C7"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Selim, H.M. (2007) ‘Critical success factors for e-learning acceptance: Confirmatory factor models’, </w:t>
      </w:r>
      <w:r w:rsidRPr="00C073CC">
        <w:rPr>
          <w:rFonts w:asciiTheme="minorBidi" w:hAnsiTheme="minorBidi"/>
          <w:i/>
          <w:iCs/>
        </w:rPr>
        <w:t>Computers &amp; Education</w:t>
      </w:r>
      <w:r w:rsidRPr="00C073CC">
        <w:rPr>
          <w:rFonts w:asciiTheme="minorBidi" w:hAnsiTheme="minorBidi"/>
        </w:rPr>
        <w:t>, 49(2), pp. 396–413.</w:t>
      </w:r>
    </w:p>
    <w:p w14:paraId="29DA533D"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Siemens, G. (2005) ‘Connectivism: A learning theory for the digital age’, </w:t>
      </w:r>
      <w:r w:rsidRPr="00C073CC">
        <w:rPr>
          <w:rFonts w:asciiTheme="minorBidi" w:hAnsiTheme="minorBidi"/>
          <w:i/>
          <w:iCs/>
        </w:rPr>
        <w:t>International Journal of Instructional Technology and Distance Learning</w:t>
      </w:r>
      <w:r w:rsidRPr="00C073CC">
        <w:rPr>
          <w:rFonts w:asciiTheme="minorBidi" w:hAnsiTheme="minorBidi"/>
        </w:rPr>
        <w:t>, 2(1), pp. 3–10.</w:t>
      </w:r>
    </w:p>
    <w:p w14:paraId="37B826CC"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Trist, E.L. and Bamforth, K.W. (1951) ‘Some social and psychological consequences of the longwall method of coal-getting’, </w:t>
      </w:r>
      <w:r w:rsidRPr="00C073CC">
        <w:rPr>
          <w:rFonts w:asciiTheme="minorBidi" w:hAnsiTheme="minorBidi"/>
          <w:i/>
          <w:iCs/>
        </w:rPr>
        <w:t>Human Relations</w:t>
      </w:r>
      <w:r w:rsidRPr="00C073CC">
        <w:rPr>
          <w:rFonts w:asciiTheme="minorBidi" w:hAnsiTheme="minorBidi"/>
        </w:rPr>
        <w:t>, 4(1), pp. 3–38.</w:t>
      </w:r>
    </w:p>
    <w:p w14:paraId="2EB53F92"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UNESCO (2020) </w:t>
      </w:r>
      <w:r w:rsidRPr="00C073CC">
        <w:rPr>
          <w:rFonts w:asciiTheme="minorBidi" w:hAnsiTheme="minorBidi"/>
          <w:i/>
          <w:iCs/>
        </w:rPr>
        <w:t>Education in a Post-COVID World: Nine Ideas for Public Action</w:t>
      </w:r>
      <w:r w:rsidRPr="00C073CC">
        <w:rPr>
          <w:rFonts w:asciiTheme="minorBidi" w:hAnsiTheme="minorBidi"/>
        </w:rPr>
        <w:t>. Paris: UNESCO.</w:t>
      </w:r>
    </w:p>
    <w:p w14:paraId="7A54873F"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lastRenderedPageBreak/>
        <w:t xml:space="preserve">Venkatesh, V., Morris, M.G., Davis, G.B. and Davis, F.D. (2003) ‘User acceptance of information technology: Toward a unified view’, </w:t>
      </w:r>
      <w:r w:rsidRPr="00C073CC">
        <w:rPr>
          <w:rFonts w:asciiTheme="minorBidi" w:hAnsiTheme="minorBidi"/>
          <w:i/>
          <w:iCs/>
        </w:rPr>
        <w:t>MIS Quarterly</w:t>
      </w:r>
      <w:r w:rsidRPr="00C073CC">
        <w:rPr>
          <w:rFonts w:asciiTheme="minorBidi" w:hAnsiTheme="minorBidi"/>
        </w:rPr>
        <w:t>, 27(3), pp. 425–478.</w:t>
      </w:r>
    </w:p>
    <w:p w14:paraId="17D57978"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Venkatesh, V. and Bala, H. (2008) ‘Technology Acceptance Model 3 and a research agenda on interventions’, </w:t>
      </w:r>
      <w:r w:rsidRPr="00C073CC">
        <w:rPr>
          <w:rFonts w:asciiTheme="minorBidi" w:hAnsiTheme="minorBidi"/>
          <w:i/>
          <w:iCs/>
        </w:rPr>
        <w:t>Decision Sciences</w:t>
      </w:r>
      <w:r w:rsidRPr="00C073CC">
        <w:rPr>
          <w:rFonts w:asciiTheme="minorBidi" w:hAnsiTheme="minorBidi"/>
        </w:rPr>
        <w:t>, 39(2), pp. 273–315.</w:t>
      </w:r>
    </w:p>
    <w:p w14:paraId="73A1B48D"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Vygotsky, L.S. (1978) </w:t>
      </w:r>
      <w:r w:rsidRPr="00C073CC">
        <w:rPr>
          <w:rFonts w:asciiTheme="minorBidi" w:hAnsiTheme="minorBidi"/>
          <w:i/>
          <w:iCs/>
        </w:rPr>
        <w:t>Mind in Society: The Development of Higher Psychological Processes</w:t>
      </w:r>
      <w:r w:rsidRPr="00C073CC">
        <w:rPr>
          <w:rFonts w:asciiTheme="minorBidi" w:hAnsiTheme="minorBidi"/>
        </w:rPr>
        <w:t>. Cambridge, MA: Harvard University Press.</w:t>
      </w:r>
    </w:p>
    <w:p w14:paraId="1D987BC3"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Williams, M.D., Rana, N.P. and Dwivedi, Y.K. (2015) ‘The unified theory of acceptance and use of technology (UTAUT): A literature review’, </w:t>
      </w:r>
      <w:r w:rsidRPr="00C073CC">
        <w:rPr>
          <w:rFonts w:asciiTheme="minorBidi" w:hAnsiTheme="minorBidi"/>
          <w:i/>
          <w:iCs/>
        </w:rPr>
        <w:t>Journal of Enterprise Information Management</w:t>
      </w:r>
      <w:r w:rsidRPr="00C073CC">
        <w:rPr>
          <w:rFonts w:asciiTheme="minorBidi" w:hAnsiTheme="minorBidi"/>
        </w:rPr>
        <w:t>, 28(3), pp. 443–488.</w:t>
      </w:r>
    </w:p>
    <w:p w14:paraId="48F42C4D" w14:textId="77777777" w:rsidR="003E7DB0" w:rsidRDefault="003E7DB0" w:rsidP="003E7DB0">
      <w:pPr>
        <w:spacing w:line="360" w:lineRule="auto"/>
        <w:jc w:val="both"/>
        <w:rPr>
          <w:rFonts w:asciiTheme="minorBidi" w:hAnsiTheme="minorBidi"/>
        </w:rPr>
      </w:pPr>
      <w:r w:rsidRPr="00022A1D">
        <w:rPr>
          <w:rFonts w:asciiTheme="minorBidi" w:hAnsiTheme="minorBidi"/>
        </w:rPr>
        <w:t>Ahsan, M.J., 2025. Cultivating a culture of learning: the role of leadership in fostering lifelong development. </w:t>
      </w:r>
      <w:r w:rsidRPr="00022A1D">
        <w:rPr>
          <w:rFonts w:asciiTheme="minorBidi" w:hAnsiTheme="minorBidi"/>
          <w:i/>
          <w:iCs/>
        </w:rPr>
        <w:t>The learning organization</w:t>
      </w:r>
      <w:r w:rsidRPr="00022A1D">
        <w:rPr>
          <w:rFonts w:asciiTheme="minorBidi" w:hAnsiTheme="minorBidi"/>
        </w:rPr>
        <w:t>, </w:t>
      </w:r>
      <w:r w:rsidRPr="00022A1D">
        <w:rPr>
          <w:rFonts w:asciiTheme="minorBidi" w:hAnsiTheme="minorBidi"/>
          <w:i/>
          <w:iCs/>
        </w:rPr>
        <w:t>32</w:t>
      </w:r>
      <w:r w:rsidRPr="00022A1D">
        <w:rPr>
          <w:rFonts w:asciiTheme="minorBidi" w:hAnsiTheme="minorBidi"/>
        </w:rPr>
        <w:t>(2), pp.282-306.</w:t>
      </w:r>
    </w:p>
    <w:p w14:paraId="5A546881" w14:textId="77777777" w:rsidR="003E7DB0" w:rsidRDefault="003E7DB0" w:rsidP="003E7DB0">
      <w:pPr>
        <w:spacing w:line="360" w:lineRule="auto"/>
        <w:jc w:val="both"/>
        <w:rPr>
          <w:rFonts w:asciiTheme="minorBidi" w:hAnsiTheme="minorBidi"/>
        </w:rPr>
      </w:pPr>
      <w:r w:rsidRPr="000752AB">
        <w:rPr>
          <w:rFonts w:asciiTheme="minorBidi" w:hAnsiTheme="minorBidi"/>
        </w:rPr>
        <w:t xml:space="preserve">Teunissen, P. W., &amp; Westerman, M. (2021). </w:t>
      </w:r>
      <w:r w:rsidRPr="00096E2B">
        <w:rPr>
          <w:rFonts w:asciiTheme="minorBidi" w:hAnsiTheme="minorBidi"/>
        </w:rPr>
        <w:t xml:space="preserve">Perspectives on assessment and feedback in continuing professional development: “Just a tick-box exercise?”. </w:t>
      </w:r>
      <w:r w:rsidRPr="00096E2B">
        <w:rPr>
          <w:rFonts w:asciiTheme="minorBidi" w:hAnsiTheme="minorBidi"/>
          <w:i/>
          <w:iCs/>
        </w:rPr>
        <w:t>Medical Teacher, 43</w:t>
      </w:r>
      <w:r w:rsidRPr="00096E2B">
        <w:rPr>
          <w:rFonts w:asciiTheme="minorBidi" w:hAnsiTheme="minorBidi"/>
        </w:rPr>
        <w:t>(5), 536–543.</w:t>
      </w:r>
    </w:p>
    <w:p w14:paraId="7339F13B" w14:textId="77777777" w:rsidR="003E7DB0" w:rsidRPr="00096E2B" w:rsidRDefault="003E7DB0" w:rsidP="003E7DB0">
      <w:pPr>
        <w:spacing w:line="360" w:lineRule="auto"/>
        <w:jc w:val="both"/>
        <w:rPr>
          <w:rFonts w:asciiTheme="minorBidi" w:hAnsiTheme="minorBidi"/>
        </w:rPr>
      </w:pPr>
      <w:r w:rsidRPr="00096E2B">
        <w:rPr>
          <w:rFonts w:asciiTheme="minorBidi" w:hAnsiTheme="minorBidi"/>
        </w:rPr>
        <w:t xml:space="preserve">Regmi, K., &amp; Jones, L. (2020). A systematic review of the factors—enablers and barriers—affecting e-learning in health sciences education. </w:t>
      </w:r>
      <w:r w:rsidRPr="00096E2B">
        <w:rPr>
          <w:rFonts w:asciiTheme="minorBidi" w:hAnsiTheme="minorBidi"/>
          <w:i/>
          <w:iCs/>
        </w:rPr>
        <w:t>BMC Medical Education, 20</w:t>
      </w:r>
      <w:r w:rsidRPr="00096E2B">
        <w:rPr>
          <w:rFonts w:asciiTheme="minorBidi" w:hAnsiTheme="minorBidi"/>
        </w:rPr>
        <w:t>(1), 91.</w:t>
      </w:r>
    </w:p>
    <w:p w14:paraId="10E85282" w14:textId="77777777" w:rsidR="003E7DB0" w:rsidRPr="00096E2B" w:rsidRDefault="003E7DB0" w:rsidP="003E7DB0">
      <w:pPr>
        <w:spacing w:line="360" w:lineRule="auto"/>
        <w:jc w:val="both"/>
        <w:rPr>
          <w:rFonts w:asciiTheme="minorBidi" w:hAnsiTheme="minorBidi"/>
        </w:rPr>
      </w:pPr>
      <w:r w:rsidRPr="00096E2B">
        <w:rPr>
          <w:rFonts w:asciiTheme="minorBidi" w:hAnsiTheme="minorBidi"/>
        </w:rPr>
        <w:t xml:space="preserve">Sangrà, A., Vlachopoulos, D., &amp; Cabrera, N. (2022). Building an inclusive, integrated, and impactful digital learning environment for professionals. </w:t>
      </w:r>
      <w:r w:rsidRPr="00096E2B">
        <w:rPr>
          <w:rFonts w:asciiTheme="minorBidi" w:hAnsiTheme="minorBidi"/>
          <w:i/>
          <w:iCs/>
        </w:rPr>
        <w:t>Education and Information Technologies, 27</w:t>
      </w:r>
      <w:r w:rsidRPr="00096E2B">
        <w:rPr>
          <w:rFonts w:asciiTheme="minorBidi" w:hAnsiTheme="minorBidi"/>
        </w:rPr>
        <w:t>, 12345–12363.</w:t>
      </w:r>
    </w:p>
    <w:p w14:paraId="3BB1F242" w14:textId="77777777" w:rsidR="003E7DB0" w:rsidRPr="00022A1D" w:rsidRDefault="003E7DB0" w:rsidP="003E7DB0">
      <w:pPr>
        <w:spacing w:line="360" w:lineRule="auto"/>
        <w:jc w:val="both"/>
        <w:rPr>
          <w:rFonts w:asciiTheme="minorBidi" w:hAnsiTheme="minorBidi"/>
        </w:rPr>
      </w:pPr>
    </w:p>
    <w:p w14:paraId="34A7AE2F" w14:textId="77777777" w:rsidR="003E7DB0" w:rsidRPr="00022A1D" w:rsidRDefault="003E7DB0" w:rsidP="003E7DB0">
      <w:pPr>
        <w:spacing w:line="360" w:lineRule="auto"/>
        <w:jc w:val="both"/>
        <w:rPr>
          <w:rFonts w:asciiTheme="minorBidi" w:hAnsiTheme="minorBidi"/>
        </w:rPr>
      </w:pPr>
      <w:r w:rsidRPr="000752AB">
        <w:rPr>
          <w:rFonts w:asciiTheme="minorBidi" w:hAnsiTheme="minorBidi"/>
        </w:rPr>
        <w:t xml:space="preserve">Teunissen, P. W., &amp; Westerman, M. (2021). </w:t>
      </w:r>
      <w:r w:rsidRPr="00022A1D">
        <w:rPr>
          <w:rFonts w:asciiTheme="minorBidi" w:hAnsiTheme="minorBidi"/>
        </w:rPr>
        <w:t xml:space="preserve">Perspectives on assessment and feedback in continuing professional development: “Just a tick-box exercise?”. </w:t>
      </w:r>
      <w:r w:rsidRPr="00022A1D">
        <w:rPr>
          <w:rFonts w:asciiTheme="minorBidi" w:hAnsiTheme="minorBidi"/>
          <w:i/>
          <w:iCs/>
        </w:rPr>
        <w:t>Medical Teacher, 43</w:t>
      </w:r>
      <w:r w:rsidRPr="00022A1D">
        <w:rPr>
          <w:rFonts w:asciiTheme="minorBidi" w:hAnsiTheme="minorBidi"/>
        </w:rPr>
        <w:t>(5), 536–543.</w:t>
      </w:r>
    </w:p>
    <w:p w14:paraId="1FD2239B" w14:textId="77777777" w:rsidR="003E7DB0" w:rsidRPr="004E7E7B" w:rsidRDefault="003E7DB0" w:rsidP="003E7DB0">
      <w:pPr>
        <w:spacing w:line="360" w:lineRule="auto"/>
        <w:jc w:val="both"/>
        <w:rPr>
          <w:rFonts w:asciiTheme="minorBidi" w:hAnsiTheme="minorBidi"/>
        </w:rPr>
      </w:pPr>
      <w:r w:rsidRPr="004E7E7B">
        <w:rPr>
          <w:rFonts w:asciiTheme="minorBidi" w:hAnsiTheme="minorBidi"/>
        </w:rPr>
        <w:t xml:space="preserve"> Hosseini, S., Allen, L., Khalid, F., Li, D., Stellrecht, E., Howard, M. &amp; Chan, T. M. (2023). </w:t>
      </w:r>
      <w:r w:rsidRPr="004E7E7B">
        <w:rPr>
          <w:rFonts w:asciiTheme="minorBidi" w:hAnsiTheme="minorBidi"/>
          <w:i/>
          <w:iCs/>
        </w:rPr>
        <w:t>Evaluation of Continuing Professional Development for Physicians – Time for Change: A Scoping Review</w:t>
      </w:r>
      <w:r w:rsidRPr="004E7E7B">
        <w:rPr>
          <w:rFonts w:asciiTheme="minorBidi" w:hAnsiTheme="minorBidi"/>
        </w:rPr>
        <w:t xml:space="preserve">. </w:t>
      </w:r>
      <w:r w:rsidRPr="004E7E7B">
        <w:rPr>
          <w:rFonts w:asciiTheme="minorBidi" w:hAnsiTheme="minorBidi"/>
          <w:i/>
          <w:iCs/>
        </w:rPr>
        <w:t>Perspectives on Medical Education, 12</w:t>
      </w:r>
      <w:r w:rsidRPr="004E7E7B">
        <w:rPr>
          <w:rFonts w:asciiTheme="minorBidi" w:hAnsiTheme="minorBidi"/>
        </w:rPr>
        <w:t xml:space="preserve">(1), 198–207. </w:t>
      </w:r>
    </w:p>
    <w:p w14:paraId="5BACC5AD" w14:textId="77777777" w:rsidR="003E7DB0" w:rsidRPr="004E7E7B" w:rsidRDefault="003E7DB0" w:rsidP="003E7DB0">
      <w:pPr>
        <w:spacing w:line="360" w:lineRule="auto"/>
        <w:jc w:val="both"/>
        <w:rPr>
          <w:rFonts w:asciiTheme="minorBidi" w:hAnsiTheme="minorBidi"/>
        </w:rPr>
      </w:pPr>
      <w:r w:rsidRPr="004E7E7B">
        <w:rPr>
          <w:rFonts w:asciiTheme="minorBidi" w:hAnsiTheme="minorBidi"/>
        </w:rPr>
        <w:lastRenderedPageBreak/>
        <w:t></w:t>
      </w:r>
      <w:r w:rsidRPr="000752AB">
        <w:rPr>
          <w:rFonts w:asciiTheme="minorBidi" w:hAnsiTheme="minorBidi"/>
        </w:rPr>
        <w:t xml:space="preserve">  Nīmante, D., Kokare, M., Baranova, S. &amp; Surikova, S. (2025). </w:t>
      </w:r>
      <w:r w:rsidRPr="004E7E7B">
        <w:rPr>
          <w:rFonts w:asciiTheme="minorBidi" w:hAnsiTheme="minorBidi"/>
          <w:i/>
          <w:iCs/>
        </w:rPr>
        <w:t>Transferring Results of Professional Development into Practice: A Scoping Review</w:t>
      </w:r>
      <w:r w:rsidRPr="004E7E7B">
        <w:rPr>
          <w:rFonts w:asciiTheme="minorBidi" w:hAnsiTheme="minorBidi"/>
        </w:rPr>
        <w:t xml:space="preserve">. </w:t>
      </w:r>
      <w:r w:rsidRPr="004E7E7B">
        <w:rPr>
          <w:rFonts w:asciiTheme="minorBidi" w:hAnsiTheme="minorBidi"/>
          <w:i/>
          <w:iCs/>
        </w:rPr>
        <w:t>Education Sciences, 15</w:t>
      </w:r>
      <w:r w:rsidRPr="004E7E7B">
        <w:rPr>
          <w:rFonts w:asciiTheme="minorBidi" w:hAnsiTheme="minorBidi"/>
        </w:rPr>
        <w:t>(1), 95</w:t>
      </w:r>
    </w:p>
    <w:p w14:paraId="0E286BEC" w14:textId="77777777" w:rsidR="003E7DB0" w:rsidRPr="00022A1D" w:rsidRDefault="003E7DB0" w:rsidP="003E7DB0">
      <w:pPr>
        <w:spacing w:line="360" w:lineRule="auto"/>
        <w:jc w:val="both"/>
        <w:rPr>
          <w:rFonts w:asciiTheme="minorBidi" w:hAnsiTheme="minorBidi"/>
        </w:rPr>
      </w:pPr>
    </w:p>
    <w:p w14:paraId="3FC0E9B1" w14:textId="77777777" w:rsidR="003E7DB0" w:rsidRPr="00022A1D" w:rsidRDefault="003E7DB0" w:rsidP="003E7DB0">
      <w:pPr>
        <w:spacing w:line="360" w:lineRule="auto"/>
        <w:jc w:val="both"/>
        <w:rPr>
          <w:rFonts w:asciiTheme="minorBidi" w:hAnsiTheme="minorBidi"/>
        </w:rPr>
      </w:pPr>
      <w:r w:rsidRPr="004E7E7B">
        <w:rPr>
          <w:rFonts w:asciiTheme="minorBidi" w:hAnsiTheme="minorBidi"/>
        </w:rPr>
        <w:t xml:space="preserve"> Manuel</w:t>
      </w:r>
      <w:r w:rsidRPr="00022A1D">
        <w:rPr>
          <w:rFonts w:asciiTheme="minorBidi" w:hAnsiTheme="minorBidi"/>
        </w:rPr>
        <w:t xml:space="preserve">, S. (2022), Research shows value of Continuous Professional Development (CPD) available at </w:t>
      </w:r>
      <w:hyperlink r:id="rId27" w:history="1">
        <w:r w:rsidRPr="00022A1D">
          <w:rPr>
            <w:rStyle w:val="Hyperlink"/>
            <w:rFonts w:asciiTheme="minorBidi" w:hAnsiTheme="minorBidi"/>
          </w:rPr>
          <w:t>https://www.step.org/knowledge-hub/knowledge</w:t>
        </w:r>
      </w:hyperlink>
      <w:r w:rsidRPr="00022A1D">
        <w:rPr>
          <w:rFonts w:asciiTheme="minorBidi" w:hAnsiTheme="minorBidi"/>
        </w:rPr>
        <w:t>, Accessed on 02/12/2025</w:t>
      </w:r>
    </w:p>
    <w:p w14:paraId="66D2048A" w14:textId="77777777" w:rsidR="003E7DB0" w:rsidRPr="00292205" w:rsidRDefault="003E7DB0" w:rsidP="003E7DB0">
      <w:pPr>
        <w:spacing w:line="360" w:lineRule="auto"/>
        <w:jc w:val="both"/>
        <w:rPr>
          <w:rFonts w:asciiTheme="minorBidi" w:hAnsiTheme="minorBidi"/>
        </w:rPr>
      </w:pPr>
      <w:r w:rsidRPr="00022A1D">
        <w:rPr>
          <w:rFonts w:asciiTheme="minorBidi" w:hAnsiTheme="minorBidi"/>
          <w:lang w:val="it-IT"/>
        </w:rPr>
        <w:t xml:space="preserve">Novrianto, A., Fitriadi, Y. and Nengsi, N.S.W., 2024. </w:t>
      </w:r>
      <w:r w:rsidRPr="00022A1D">
        <w:rPr>
          <w:rFonts w:asciiTheme="minorBidi" w:hAnsiTheme="minorBidi"/>
        </w:rPr>
        <w:t>Cultivating a Growth Mindset: HR's Role in Fostering Continuous Learning Cultures. </w:t>
      </w:r>
      <w:r w:rsidRPr="00022A1D">
        <w:rPr>
          <w:rFonts w:asciiTheme="minorBidi" w:hAnsiTheme="minorBidi"/>
          <w:i/>
          <w:iCs/>
        </w:rPr>
        <w:t>Equator Journal of Management and Entrepreneurship (EJME)</w:t>
      </w:r>
      <w:r w:rsidRPr="00022A1D">
        <w:rPr>
          <w:rFonts w:asciiTheme="minorBidi" w:hAnsiTheme="minorBidi"/>
        </w:rPr>
        <w:t>, </w:t>
      </w:r>
      <w:r w:rsidRPr="00022A1D">
        <w:rPr>
          <w:rFonts w:asciiTheme="minorBidi" w:hAnsiTheme="minorBidi"/>
          <w:i/>
          <w:iCs/>
        </w:rPr>
        <w:t>12</w:t>
      </w:r>
      <w:r w:rsidRPr="00022A1D">
        <w:rPr>
          <w:rFonts w:asciiTheme="minorBidi" w:hAnsiTheme="minorBidi"/>
        </w:rPr>
        <w:t>(3), pp.235-243.</w:t>
      </w:r>
    </w:p>
    <w:p w14:paraId="220508C9" w14:textId="77777777" w:rsidR="003E7DB0" w:rsidRPr="00022A1D" w:rsidRDefault="003E7DB0" w:rsidP="003E7DB0">
      <w:pPr>
        <w:spacing w:line="360" w:lineRule="auto"/>
        <w:jc w:val="both"/>
        <w:rPr>
          <w:rFonts w:asciiTheme="minorBidi" w:hAnsiTheme="minorBidi"/>
        </w:rPr>
      </w:pPr>
      <w:r w:rsidRPr="00022A1D">
        <w:rPr>
          <w:rFonts w:asciiTheme="minorBidi" w:hAnsiTheme="minorBidi"/>
        </w:rPr>
        <w:t>Aleo, G., Pagnucci, N., Walsh, N., Watson, R., Lang, D., Kearns, T., White, M. and Fitzgerald, C., 2024. The effectiveness of continuing professional development for the residential long-term care workforce: A systematic review. </w:t>
      </w:r>
      <w:r w:rsidRPr="00022A1D">
        <w:rPr>
          <w:rFonts w:asciiTheme="minorBidi" w:hAnsiTheme="minorBidi"/>
          <w:i/>
          <w:iCs/>
        </w:rPr>
        <w:t>Nurse Education Today</w:t>
      </w:r>
      <w:r w:rsidRPr="00022A1D">
        <w:rPr>
          <w:rFonts w:asciiTheme="minorBidi" w:hAnsiTheme="minorBidi"/>
        </w:rPr>
        <w:t>, </w:t>
      </w:r>
      <w:r w:rsidRPr="00022A1D">
        <w:rPr>
          <w:rFonts w:asciiTheme="minorBidi" w:hAnsiTheme="minorBidi"/>
          <w:i/>
          <w:iCs/>
        </w:rPr>
        <w:t>137</w:t>
      </w:r>
      <w:r w:rsidRPr="00022A1D">
        <w:rPr>
          <w:rFonts w:asciiTheme="minorBidi" w:hAnsiTheme="minorBidi"/>
        </w:rPr>
        <w:t>, p.106161.</w:t>
      </w:r>
      <w:r w:rsidRPr="00292205">
        <w:rPr>
          <w:rFonts w:asciiTheme="minorBidi" w:hAnsiTheme="minorBidi"/>
        </w:rPr>
        <w:t xml:space="preserve">Ali, S., et al. (2025). Impact of continuing professional development on health professionals’ performance and patient outcomes: A systematic review. </w:t>
      </w:r>
      <w:r w:rsidRPr="00292205">
        <w:rPr>
          <w:rFonts w:asciiTheme="minorBidi" w:hAnsiTheme="minorBidi"/>
          <w:i/>
          <w:iCs/>
        </w:rPr>
        <w:t>BMC Medical Education</w:t>
      </w:r>
      <w:r w:rsidRPr="00292205">
        <w:rPr>
          <w:rFonts w:asciiTheme="minorBidi" w:hAnsiTheme="minorBidi"/>
        </w:rPr>
        <w:t>.</w:t>
      </w:r>
      <w:hyperlink r:id="rId28" w:tgtFrame="_blank" w:history="1">
        <w:r w:rsidRPr="00292205">
          <w:rPr>
            <w:rStyle w:val="Hyperlink"/>
            <w:rFonts w:asciiTheme="minorBidi" w:hAnsiTheme="minorBidi"/>
          </w:rPr>
          <w:t>SpringerLink</w:t>
        </w:r>
      </w:hyperlink>
    </w:p>
    <w:p w14:paraId="362EDB04" w14:textId="77777777" w:rsidR="003E7DB0" w:rsidRPr="00022A1D" w:rsidRDefault="003E7DB0" w:rsidP="003E7DB0">
      <w:pPr>
        <w:spacing w:line="360" w:lineRule="auto"/>
        <w:jc w:val="both"/>
        <w:rPr>
          <w:rFonts w:asciiTheme="minorBidi" w:hAnsiTheme="minorBidi"/>
        </w:rPr>
      </w:pPr>
      <w:r w:rsidRPr="000752AB">
        <w:rPr>
          <w:rFonts w:asciiTheme="minorBidi" w:hAnsiTheme="minorBidi"/>
        </w:rPr>
        <w:t xml:space="preserve">Ali, S., Sethi, A., Soltani, A. and Nazar, Z., 2025. </w:t>
      </w:r>
      <w:r w:rsidRPr="00022A1D">
        <w:rPr>
          <w:rFonts w:asciiTheme="minorBidi" w:hAnsiTheme="minorBidi"/>
        </w:rPr>
        <w:t>Impact of continuing professional development (CPD) on patient outcomes: a systematic scoping review. </w:t>
      </w:r>
      <w:r w:rsidRPr="00022A1D">
        <w:rPr>
          <w:rFonts w:asciiTheme="minorBidi" w:hAnsiTheme="minorBidi"/>
          <w:i/>
          <w:iCs/>
        </w:rPr>
        <w:t>BMC Medical Education</w:t>
      </w:r>
      <w:r w:rsidRPr="00022A1D">
        <w:rPr>
          <w:rFonts w:asciiTheme="minorBidi" w:hAnsiTheme="minorBidi"/>
        </w:rPr>
        <w:t>, </w:t>
      </w:r>
      <w:r w:rsidRPr="00022A1D">
        <w:rPr>
          <w:rFonts w:asciiTheme="minorBidi" w:hAnsiTheme="minorBidi"/>
          <w:i/>
          <w:iCs/>
        </w:rPr>
        <w:t>25</w:t>
      </w:r>
      <w:r w:rsidRPr="00022A1D">
        <w:rPr>
          <w:rFonts w:asciiTheme="minorBidi" w:hAnsiTheme="minorBidi"/>
        </w:rPr>
        <w:t>(1), p.1284.</w:t>
      </w:r>
    </w:p>
    <w:p w14:paraId="3E94F3AE" w14:textId="77777777" w:rsidR="003E7DB0" w:rsidRPr="00292205" w:rsidRDefault="003E7DB0" w:rsidP="003E7DB0">
      <w:pPr>
        <w:spacing w:line="360" w:lineRule="auto"/>
        <w:jc w:val="both"/>
        <w:rPr>
          <w:rFonts w:asciiTheme="minorBidi" w:hAnsiTheme="minorBidi"/>
        </w:rPr>
      </w:pPr>
      <w:r w:rsidRPr="00022A1D">
        <w:rPr>
          <w:rFonts w:asciiTheme="minorBidi" w:hAnsiTheme="minorBidi"/>
        </w:rPr>
        <w:t>Awal, M.R., 2022. A literature review on the continuing professional development (CPD) for accounting teachers: perspective of government colleges in Bangladesh. </w:t>
      </w:r>
      <w:r w:rsidRPr="00022A1D">
        <w:rPr>
          <w:rFonts w:asciiTheme="minorBidi" w:hAnsiTheme="minorBidi"/>
          <w:i/>
          <w:iCs/>
        </w:rPr>
        <w:t>Global Journal of Management and Business Research: D Accounting and Auditing</w:t>
      </w:r>
      <w:r w:rsidRPr="00022A1D">
        <w:rPr>
          <w:rFonts w:asciiTheme="minorBidi" w:hAnsiTheme="minorBidi"/>
        </w:rPr>
        <w:t>, </w:t>
      </w:r>
      <w:r w:rsidRPr="00022A1D">
        <w:rPr>
          <w:rFonts w:asciiTheme="minorBidi" w:hAnsiTheme="minorBidi"/>
          <w:i/>
          <w:iCs/>
        </w:rPr>
        <w:t>22</w:t>
      </w:r>
      <w:r w:rsidRPr="00022A1D">
        <w:rPr>
          <w:rFonts w:asciiTheme="minorBidi" w:hAnsiTheme="minorBidi"/>
        </w:rPr>
        <w:t>(1), pp.47-51.</w:t>
      </w:r>
    </w:p>
    <w:p w14:paraId="73554222" w14:textId="77777777" w:rsidR="003E7DB0" w:rsidRPr="00022A1D" w:rsidRDefault="003E7DB0" w:rsidP="003E7DB0">
      <w:pPr>
        <w:spacing w:line="360" w:lineRule="auto"/>
        <w:jc w:val="both"/>
        <w:rPr>
          <w:rFonts w:asciiTheme="minorBidi" w:hAnsiTheme="minorBidi"/>
        </w:rPr>
      </w:pPr>
      <w:r w:rsidRPr="00022A1D">
        <w:rPr>
          <w:rFonts w:asciiTheme="minorBidi" w:hAnsiTheme="minorBidi"/>
        </w:rPr>
        <w:t xml:space="preserve">Coldwell, M and Simkins, T (2011). Level models of continuing professional development evaluation: a grounded review and critique. </w:t>
      </w:r>
      <w:r w:rsidRPr="00022A1D">
        <w:rPr>
          <w:rFonts w:asciiTheme="minorBidi" w:hAnsiTheme="minorBidi"/>
          <w:i/>
          <w:iCs/>
        </w:rPr>
        <w:t>Professional development in education</w:t>
      </w:r>
      <w:r w:rsidRPr="00022A1D">
        <w:rPr>
          <w:rFonts w:asciiTheme="minorBidi" w:hAnsiTheme="minorBidi"/>
        </w:rPr>
        <w:t>, 37 (1), 143-157. [Article]</w:t>
      </w:r>
    </w:p>
    <w:p w14:paraId="28D71015" w14:textId="77777777" w:rsidR="003E7DB0" w:rsidRPr="00022A1D" w:rsidRDefault="003E7DB0" w:rsidP="003E7DB0">
      <w:pPr>
        <w:spacing w:line="360" w:lineRule="auto"/>
        <w:jc w:val="both"/>
        <w:rPr>
          <w:rFonts w:asciiTheme="minorBidi" w:hAnsiTheme="minorBidi"/>
        </w:rPr>
      </w:pPr>
      <w:r w:rsidRPr="00022A1D">
        <w:rPr>
          <w:rFonts w:asciiTheme="minorBidi" w:hAnsiTheme="minorBidi"/>
        </w:rPr>
        <w:t>Kirkpatrick, D., 1998. Evaluating Training Programmes: the four levels. 2nd ed. San Francisco: Berrett-Koehler.</w:t>
      </w:r>
    </w:p>
    <w:p w14:paraId="5D90C7AD" w14:textId="77777777" w:rsidR="003E7DB0" w:rsidRPr="00292205" w:rsidRDefault="003E7DB0" w:rsidP="003E7DB0">
      <w:pPr>
        <w:spacing w:line="360" w:lineRule="auto"/>
        <w:jc w:val="both"/>
        <w:rPr>
          <w:rFonts w:asciiTheme="minorBidi" w:hAnsiTheme="minorBidi"/>
        </w:rPr>
      </w:pPr>
      <w:r w:rsidRPr="00292205">
        <w:rPr>
          <w:rFonts w:asciiTheme="minorBidi" w:hAnsiTheme="minorBidi"/>
        </w:rPr>
        <w:t xml:space="preserve">Friedman, A. L. (2023). Continuing professional development as lifelong learning and education. </w:t>
      </w:r>
      <w:r w:rsidRPr="00292205">
        <w:rPr>
          <w:rFonts w:asciiTheme="minorBidi" w:hAnsiTheme="minorBidi"/>
          <w:i/>
          <w:iCs/>
        </w:rPr>
        <w:t>International Journal of Lifelong Education</w:t>
      </w:r>
      <w:r w:rsidRPr="00292205">
        <w:rPr>
          <w:rFonts w:asciiTheme="minorBidi" w:hAnsiTheme="minorBidi"/>
        </w:rPr>
        <w:t xml:space="preserve">. </w:t>
      </w:r>
    </w:p>
    <w:p w14:paraId="16490DB8" w14:textId="77777777" w:rsidR="003E7DB0" w:rsidRPr="00292205" w:rsidRDefault="003E7DB0" w:rsidP="003E7DB0">
      <w:pPr>
        <w:spacing w:line="360" w:lineRule="auto"/>
        <w:jc w:val="both"/>
        <w:rPr>
          <w:rFonts w:asciiTheme="minorBidi" w:hAnsiTheme="minorBidi"/>
        </w:rPr>
      </w:pPr>
      <w:r w:rsidRPr="00292205">
        <w:rPr>
          <w:rFonts w:asciiTheme="minorBidi" w:hAnsiTheme="minorBidi"/>
        </w:rPr>
        <w:lastRenderedPageBreak/>
        <w:t>Harunavamwe</w:t>
      </w:r>
      <w:r w:rsidRPr="00022A1D">
        <w:rPr>
          <w:rFonts w:asciiTheme="minorBidi" w:hAnsiTheme="minorBidi"/>
        </w:rPr>
        <w:t>, M. and Mnqayi, R.B., 2021. Exploring the Effect of Continuous Professional Development (CPD) Programs on Employee Performance at Company A in Empangeni, KwaZulu-Natal. </w:t>
      </w:r>
      <w:r w:rsidRPr="00022A1D">
        <w:rPr>
          <w:rFonts w:asciiTheme="minorBidi" w:hAnsiTheme="minorBidi"/>
          <w:i/>
          <w:iCs/>
        </w:rPr>
        <w:t>Expert Journal of Business and Management</w:t>
      </w:r>
      <w:r w:rsidRPr="00022A1D">
        <w:rPr>
          <w:rFonts w:asciiTheme="minorBidi" w:hAnsiTheme="minorBidi"/>
        </w:rPr>
        <w:t>, </w:t>
      </w:r>
      <w:r w:rsidRPr="00022A1D">
        <w:rPr>
          <w:rFonts w:asciiTheme="minorBidi" w:hAnsiTheme="minorBidi"/>
          <w:i/>
          <w:iCs/>
        </w:rPr>
        <w:t>9</w:t>
      </w:r>
      <w:r w:rsidRPr="00022A1D">
        <w:rPr>
          <w:rFonts w:asciiTheme="minorBidi" w:hAnsiTheme="minorBidi"/>
        </w:rPr>
        <w:t>(1).</w:t>
      </w:r>
    </w:p>
    <w:p w14:paraId="0BA00578" w14:textId="77777777" w:rsidR="003E7DB0" w:rsidRPr="00292205" w:rsidRDefault="003E7DB0" w:rsidP="003E7DB0">
      <w:pPr>
        <w:spacing w:line="360" w:lineRule="auto"/>
        <w:jc w:val="both"/>
        <w:rPr>
          <w:rFonts w:asciiTheme="minorBidi" w:hAnsiTheme="minorBidi"/>
        </w:rPr>
      </w:pPr>
      <w:r w:rsidRPr="00022A1D">
        <w:rPr>
          <w:rFonts w:asciiTheme="minorBidi" w:hAnsiTheme="minorBidi"/>
        </w:rPr>
        <w:t>Kennedy, A., 2005. Models of continuing professional development: A framework for analysis. </w:t>
      </w:r>
      <w:r w:rsidRPr="00022A1D">
        <w:rPr>
          <w:rFonts w:asciiTheme="minorBidi" w:hAnsiTheme="minorBidi"/>
          <w:i/>
          <w:iCs/>
        </w:rPr>
        <w:t>Journal of in-service education</w:t>
      </w:r>
      <w:r w:rsidRPr="00022A1D">
        <w:rPr>
          <w:rFonts w:asciiTheme="minorBidi" w:hAnsiTheme="minorBidi"/>
        </w:rPr>
        <w:t>, </w:t>
      </w:r>
      <w:r w:rsidRPr="00022A1D">
        <w:rPr>
          <w:rFonts w:asciiTheme="minorBidi" w:hAnsiTheme="minorBidi"/>
          <w:i/>
          <w:iCs/>
        </w:rPr>
        <w:t>31</w:t>
      </w:r>
      <w:r w:rsidRPr="00022A1D">
        <w:rPr>
          <w:rFonts w:asciiTheme="minorBidi" w:hAnsiTheme="minorBidi"/>
        </w:rPr>
        <w:t>(2), pp.235-250.</w:t>
      </w:r>
    </w:p>
    <w:p w14:paraId="14FE73DC" w14:textId="77777777" w:rsidR="003E7DB0" w:rsidRPr="00292205" w:rsidRDefault="003E7DB0" w:rsidP="003E7DB0">
      <w:pPr>
        <w:spacing w:line="360" w:lineRule="auto"/>
        <w:jc w:val="both"/>
        <w:rPr>
          <w:rFonts w:asciiTheme="minorBidi" w:hAnsiTheme="minorBidi"/>
        </w:rPr>
      </w:pPr>
      <w:r w:rsidRPr="00292205">
        <w:rPr>
          <w:rFonts w:asciiTheme="minorBidi" w:hAnsiTheme="minorBidi"/>
        </w:rPr>
        <w:t xml:space="preserve">Mandelid, M. B., et al. (2024). Workplace-based continuing professional development: A pedagogical framework. </w:t>
      </w:r>
      <w:r w:rsidRPr="00292205">
        <w:rPr>
          <w:rFonts w:asciiTheme="minorBidi" w:hAnsiTheme="minorBidi"/>
          <w:i/>
          <w:iCs/>
        </w:rPr>
        <w:t>Frontiers in Education</w:t>
      </w:r>
      <w:r w:rsidRPr="00292205">
        <w:rPr>
          <w:rFonts w:asciiTheme="minorBidi" w:hAnsiTheme="minorBidi"/>
        </w:rPr>
        <w:t xml:space="preserve">. </w:t>
      </w:r>
    </w:p>
    <w:p w14:paraId="00AF794C" w14:textId="77777777" w:rsidR="003E7DB0" w:rsidRPr="00292205" w:rsidRDefault="003E7DB0" w:rsidP="003E7DB0">
      <w:pPr>
        <w:spacing w:line="360" w:lineRule="auto"/>
        <w:jc w:val="both"/>
        <w:rPr>
          <w:rFonts w:asciiTheme="minorBidi" w:hAnsiTheme="minorBidi"/>
        </w:rPr>
      </w:pPr>
      <w:r w:rsidRPr="00292205">
        <w:rPr>
          <w:rFonts w:asciiTheme="minorBidi" w:hAnsiTheme="minorBidi"/>
        </w:rPr>
        <w:t xml:space="preserve">Osei, et al. (2021). Effect of continuous professional development on the job performance of public university administrators in Ghana. </w:t>
      </w:r>
    </w:p>
    <w:p w14:paraId="66CCF8D4" w14:textId="77777777" w:rsidR="003E7DB0" w:rsidRPr="00292205" w:rsidRDefault="003E7DB0" w:rsidP="003E7DB0">
      <w:pPr>
        <w:spacing w:line="360" w:lineRule="auto"/>
        <w:jc w:val="both"/>
        <w:rPr>
          <w:rFonts w:asciiTheme="minorBidi" w:hAnsiTheme="minorBidi"/>
        </w:rPr>
      </w:pPr>
      <w:r w:rsidRPr="00292205">
        <w:rPr>
          <w:rFonts w:asciiTheme="minorBidi" w:hAnsiTheme="minorBidi"/>
        </w:rPr>
        <w:t xml:space="preserve">Samuel, A., et al. (2021). Effect of continuing professional development on health professionals and patient outcomes. </w:t>
      </w:r>
      <w:r w:rsidRPr="00292205">
        <w:rPr>
          <w:rFonts w:asciiTheme="minorBidi" w:hAnsiTheme="minorBidi"/>
          <w:i/>
          <w:iCs/>
        </w:rPr>
        <w:t>Academic Medicine</w:t>
      </w:r>
      <w:r w:rsidRPr="00292205">
        <w:rPr>
          <w:rFonts w:asciiTheme="minorBidi" w:hAnsiTheme="minorBidi"/>
        </w:rPr>
        <w:t xml:space="preserve">. </w:t>
      </w:r>
    </w:p>
    <w:p w14:paraId="6072BAE6" w14:textId="77777777" w:rsidR="003E7DB0" w:rsidRPr="00292205" w:rsidRDefault="003E7DB0" w:rsidP="003E7DB0">
      <w:pPr>
        <w:spacing w:line="360" w:lineRule="auto"/>
        <w:jc w:val="both"/>
        <w:rPr>
          <w:rFonts w:asciiTheme="minorBidi" w:hAnsiTheme="minorBidi"/>
        </w:rPr>
      </w:pPr>
      <w:r w:rsidRPr="00292205">
        <w:rPr>
          <w:rFonts w:asciiTheme="minorBidi" w:hAnsiTheme="minorBidi"/>
        </w:rPr>
        <w:t xml:space="preserve">The CPD Certification Service. (n.d.). </w:t>
      </w:r>
      <w:r w:rsidRPr="00292205">
        <w:rPr>
          <w:rFonts w:asciiTheme="minorBidi" w:hAnsiTheme="minorBidi"/>
          <w:i/>
          <w:iCs/>
        </w:rPr>
        <w:t>What is Continuing Professional Development (CPD)?</w:t>
      </w:r>
      <w:hyperlink r:id="rId29" w:tgtFrame="_blank" w:history="1">
        <w:r w:rsidRPr="00292205">
          <w:rPr>
            <w:rStyle w:val="Hyperlink"/>
            <w:rFonts w:asciiTheme="minorBidi" w:hAnsiTheme="minorBidi"/>
          </w:rPr>
          <w:t>CPD UK</w:t>
        </w:r>
      </w:hyperlink>
    </w:p>
    <w:p w14:paraId="2C7905B6" w14:textId="77777777" w:rsidR="003E7DB0" w:rsidRPr="00292205" w:rsidRDefault="003E7DB0" w:rsidP="003E7DB0">
      <w:pPr>
        <w:spacing w:line="360" w:lineRule="auto"/>
        <w:jc w:val="both"/>
        <w:rPr>
          <w:rFonts w:asciiTheme="minorBidi" w:hAnsiTheme="minorBidi"/>
        </w:rPr>
      </w:pPr>
      <w:r w:rsidRPr="00292205">
        <w:rPr>
          <w:rFonts w:asciiTheme="minorBidi" w:hAnsiTheme="minorBidi"/>
        </w:rPr>
        <w:t xml:space="preserve">CIPD. (n.d.). </w:t>
      </w:r>
      <w:r w:rsidRPr="00292205">
        <w:rPr>
          <w:rFonts w:asciiTheme="minorBidi" w:hAnsiTheme="minorBidi"/>
          <w:i/>
          <w:iCs/>
        </w:rPr>
        <w:t>About continuing professional development (CPD).</w:t>
      </w:r>
      <w:r w:rsidRPr="00292205">
        <w:rPr>
          <w:rFonts w:asciiTheme="minorBidi" w:hAnsiTheme="minorBidi"/>
        </w:rPr>
        <w:t xml:space="preserve"> </w:t>
      </w:r>
    </w:p>
    <w:p w14:paraId="39DCF022" w14:textId="77777777" w:rsidR="003E7DB0" w:rsidRPr="00292205" w:rsidRDefault="003E7DB0" w:rsidP="003E7DB0">
      <w:pPr>
        <w:spacing w:line="360" w:lineRule="auto"/>
        <w:jc w:val="both"/>
        <w:rPr>
          <w:rFonts w:asciiTheme="minorBidi" w:hAnsiTheme="minorBidi"/>
        </w:rPr>
      </w:pPr>
      <w:r w:rsidRPr="00292205">
        <w:rPr>
          <w:rFonts w:asciiTheme="minorBidi" w:hAnsiTheme="minorBidi"/>
        </w:rPr>
        <w:t xml:space="preserve">“Continuing professional development (CPD): A necessary component in the workplace or not?” (2020). </w:t>
      </w:r>
    </w:p>
    <w:p w14:paraId="6BF51A19" w14:textId="77777777" w:rsidR="003E7DB0" w:rsidRPr="00292205" w:rsidRDefault="003E7DB0" w:rsidP="003E7DB0">
      <w:pPr>
        <w:spacing w:line="360" w:lineRule="auto"/>
        <w:jc w:val="both"/>
        <w:rPr>
          <w:rFonts w:asciiTheme="minorBidi" w:hAnsiTheme="minorBidi"/>
        </w:rPr>
      </w:pPr>
      <w:r w:rsidRPr="00292205">
        <w:rPr>
          <w:rFonts w:asciiTheme="minorBidi" w:hAnsiTheme="minorBidi"/>
        </w:rPr>
        <w:t>“Effective professional development design in a civil service context” (2024). UK Government systematic review report</w:t>
      </w:r>
      <w:r>
        <w:rPr>
          <w:rFonts w:asciiTheme="minorBidi" w:hAnsiTheme="minorBidi"/>
        </w:rPr>
        <w:t xml:space="preserve">. </w:t>
      </w:r>
      <w:r w:rsidRPr="00292205">
        <w:rPr>
          <w:rFonts w:asciiTheme="minorBidi" w:hAnsiTheme="minorBidi"/>
        </w:rPr>
        <w:t xml:space="preserve"> </w:t>
      </w:r>
    </w:p>
    <w:p w14:paraId="34F71171" w14:textId="77777777" w:rsidR="003E7DB0" w:rsidRPr="00022A1D" w:rsidRDefault="003E7DB0" w:rsidP="003E7DB0">
      <w:pPr>
        <w:spacing w:line="360" w:lineRule="auto"/>
        <w:jc w:val="both"/>
        <w:rPr>
          <w:rFonts w:asciiTheme="minorBidi" w:hAnsiTheme="minorBidi"/>
        </w:rPr>
      </w:pPr>
      <w:r w:rsidRPr="00292205">
        <w:rPr>
          <w:rFonts w:asciiTheme="minorBidi" w:hAnsiTheme="minorBidi"/>
        </w:rPr>
        <w:t>You can adapt or expand this reference list depending on the specific sector or country context you need for your assignment.</w:t>
      </w:r>
    </w:p>
    <w:p w14:paraId="0564E64F" w14:textId="77777777" w:rsidR="003E7DB0" w:rsidRPr="00022A1D" w:rsidRDefault="003E7DB0" w:rsidP="003E7DB0">
      <w:pPr>
        <w:spacing w:line="360" w:lineRule="auto"/>
        <w:jc w:val="both"/>
        <w:rPr>
          <w:rFonts w:asciiTheme="minorBidi" w:hAnsiTheme="minorBidi"/>
        </w:rPr>
      </w:pPr>
      <w:r w:rsidRPr="00022A1D">
        <w:rPr>
          <w:rFonts w:asciiTheme="minorBidi" w:hAnsiTheme="minorBidi"/>
        </w:rPr>
        <w:t>Mustafa, B. and Lleshi, S., 2024. The impact of lifelong learning and investments in employee development on employee productivity and performance. </w:t>
      </w:r>
      <w:r w:rsidRPr="00022A1D">
        <w:rPr>
          <w:rFonts w:asciiTheme="minorBidi" w:hAnsiTheme="minorBidi"/>
          <w:i/>
          <w:iCs/>
        </w:rPr>
        <w:t>Multidisciplinary Reviews</w:t>
      </w:r>
      <w:r w:rsidRPr="00022A1D">
        <w:rPr>
          <w:rFonts w:asciiTheme="minorBidi" w:hAnsiTheme="minorBidi"/>
        </w:rPr>
        <w:t>, </w:t>
      </w:r>
      <w:r w:rsidRPr="00022A1D">
        <w:rPr>
          <w:rFonts w:asciiTheme="minorBidi" w:hAnsiTheme="minorBidi"/>
          <w:i/>
          <w:iCs/>
        </w:rPr>
        <w:t>7</w:t>
      </w:r>
      <w:r w:rsidRPr="00022A1D">
        <w:rPr>
          <w:rFonts w:asciiTheme="minorBidi" w:hAnsiTheme="minorBidi"/>
        </w:rPr>
        <w:t>(8), pp.2024175-2024175.</w:t>
      </w:r>
    </w:p>
    <w:p w14:paraId="0AE41867" w14:textId="77777777" w:rsidR="003E7DB0" w:rsidRPr="00022A1D" w:rsidRDefault="003E7DB0" w:rsidP="003E7DB0">
      <w:pPr>
        <w:spacing w:line="360" w:lineRule="auto"/>
        <w:jc w:val="both"/>
        <w:rPr>
          <w:rFonts w:asciiTheme="minorBidi" w:hAnsiTheme="minorBidi"/>
        </w:rPr>
      </w:pPr>
      <w:r w:rsidRPr="00022A1D">
        <w:rPr>
          <w:rFonts w:asciiTheme="minorBidi" w:hAnsiTheme="minorBidi"/>
        </w:rPr>
        <w:t>Hemmington, N., 1999. Attitudes to CPD: establishing a culture of life-long learning at work. </w:t>
      </w:r>
      <w:r w:rsidRPr="00022A1D">
        <w:rPr>
          <w:rFonts w:asciiTheme="minorBidi" w:hAnsiTheme="minorBidi"/>
          <w:i/>
          <w:iCs/>
        </w:rPr>
        <w:t>Continuing Professional Development</w:t>
      </w:r>
      <w:r w:rsidRPr="00022A1D">
        <w:rPr>
          <w:rFonts w:asciiTheme="minorBidi" w:hAnsiTheme="minorBidi"/>
        </w:rPr>
        <w:t>, </w:t>
      </w:r>
      <w:r w:rsidRPr="00022A1D">
        <w:rPr>
          <w:rFonts w:asciiTheme="minorBidi" w:hAnsiTheme="minorBidi"/>
          <w:i/>
          <w:iCs/>
        </w:rPr>
        <w:t>2</w:t>
      </w:r>
      <w:r w:rsidRPr="00022A1D">
        <w:rPr>
          <w:rFonts w:asciiTheme="minorBidi" w:hAnsiTheme="minorBidi"/>
        </w:rPr>
        <w:t>(4), pp.100-109.</w:t>
      </w:r>
    </w:p>
    <w:p w14:paraId="6B88E7A1" w14:textId="77777777" w:rsidR="003E7DB0" w:rsidRPr="00022A1D" w:rsidRDefault="003E7DB0" w:rsidP="003E7DB0">
      <w:pPr>
        <w:spacing w:line="360" w:lineRule="auto"/>
        <w:jc w:val="both"/>
        <w:rPr>
          <w:rFonts w:asciiTheme="minorBidi" w:hAnsiTheme="minorBidi"/>
        </w:rPr>
      </w:pPr>
      <w:r w:rsidRPr="00022A1D">
        <w:rPr>
          <w:rFonts w:asciiTheme="minorBidi" w:hAnsiTheme="minorBidi"/>
        </w:rPr>
        <w:t xml:space="preserve">Susuawu, D. and Antwi, G., 2022. Effect of continuous professional development on the job performance of public university administrators: evidence from an emerging economy, </w:t>
      </w:r>
      <w:r w:rsidRPr="00022A1D">
        <w:rPr>
          <w:rFonts w:asciiTheme="minorBidi" w:hAnsiTheme="minorBidi"/>
          <w:i/>
          <w:iCs/>
        </w:rPr>
        <w:t>Academy of Accounting and Financial Studies Journal</w:t>
      </w:r>
      <w:r w:rsidRPr="00022A1D">
        <w:rPr>
          <w:rFonts w:asciiTheme="minorBidi" w:hAnsiTheme="minorBidi"/>
        </w:rPr>
        <w:t>, </w:t>
      </w:r>
      <w:r w:rsidRPr="00022A1D">
        <w:rPr>
          <w:rFonts w:asciiTheme="minorBidi" w:hAnsiTheme="minorBidi"/>
          <w:i/>
          <w:iCs/>
        </w:rPr>
        <w:t>26</w:t>
      </w:r>
      <w:r w:rsidRPr="00022A1D">
        <w:rPr>
          <w:rFonts w:asciiTheme="minorBidi" w:hAnsiTheme="minorBidi"/>
        </w:rPr>
        <w:t>(5).</w:t>
      </w:r>
    </w:p>
    <w:p w14:paraId="7E2AFEE0" w14:textId="77777777" w:rsidR="003E7DB0" w:rsidRPr="00022A1D" w:rsidRDefault="003E7DB0" w:rsidP="003E7DB0">
      <w:pPr>
        <w:spacing w:line="360" w:lineRule="auto"/>
        <w:jc w:val="both"/>
        <w:rPr>
          <w:rFonts w:asciiTheme="minorBidi" w:hAnsiTheme="minorBidi"/>
        </w:rPr>
      </w:pPr>
      <w:r w:rsidRPr="00022A1D">
        <w:rPr>
          <w:rFonts w:asciiTheme="minorBidi" w:hAnsiTheme="minorBidi"/>
        </w:rPr>
        <w:lastRenderedPageBreak/>
        <w:t>Steevan Pinto, and  Dr. Rashmi Uchil. (2024). Analysing the Impact of Continuous Professional Development on Employee Performance Across Time: Evidence from the Petrochemical Sector. </w:t>
      </w:r>
      <w:r w:rsidRPr="00022A1D">
        <w:rPr>
          <w:rFonts w:asciiTheme="minorBidi" w:hAnsiTheme="minorBidi"/>
          <w:i/>
          <w:iCs/>
        </w:rPr>
        <w:t>Educational Administration: Theory and Practice</w:t>
      </w:r>
      <w:r w:rsidRPr="00022A1D">
        <w:rPr>
          <w:rFonts w:asciiTheme="minorBidi" w:hAnsiTheme="minorBidi"/>
        </w:rPr>
        <w:t>, </w:t>
      </w:r>
      <w:r w:rsidRPr="00022A1D">
        <w:rPr>
          <w:rFonts w:asciiTheme="minorBidi" w:hAnsiTheme="minorBidi"/>
          <w:i/>
          <w:iCs/>
        </w:rPr>
        <w:t>30</w:t>
      </w:r>
      <w:r w:rsidRPr="00022A1D">
        <w:rPr>
          <w:rFonts w:asciiTheme="minorBidi" w:hAnsiTheme="minorBidi"/>
        </w:rPr>
        <w:t xml:space="preserve">(1), 5418–5425. </w:t>
      </w:r>
      <w:hyperlink r:id="rId30" w:history="1">
        <w:r w:rsidRPr="00022A1D">
          <w:rPr>
            <w:rStyle w:val="Hyperlink"/>
            <w:rFonts w:asciiTheme="minorBidi" w:hAnsiTheme="minorBidi"/>
          </w:rPr>
          <w:t>https://doi.org/10.53555/kuey.v30i1.9004</w:t>
        </w:r>
      </w:hyperlink>
    </w:p>
    <w:p w14:paraId="5280CD16" w14:textId="77777777" w:rsidR="003E7DB0" w:rsidRPr="00292205" w:rsidRDefault="003E7DB0" w:rsidP="003E7DB0">
      <w:pPr>
        <w:spacing w:line="360" w:lineRule="auto"/>
        <w:jc w:val="both"/>
        <w:rPr>
          <w:rFonts w:asciiTheme="minorBidi" w:hAnsiTheme="minorBidi"/>
        </w:rPr>
      </w:pPr>
      <w:r w:rsidRPr="00022A1D">
        <w:rPr>
          <w:rFonts w:asciiTheme="minorBidi" w:hAnsiTheme="minorBidi"/>
        </w:rPr>
        <w:t xml:space="preserve">Jill Schostaka , Mike Davisb , Jacky Hansonc , John Schostakd, Tony Browne , Peter Driscollf Ian Starkeg , Nick Jenkins(2010) The Effectiveness of Continuing Professional Development A report prepared on behalf of College of Emergency Medicine, Federation of Royal Colleges of Physicians and Manchester Metropolitan University available at </w:t>
      </w:r>
      <w:hyperlink r:id="rId31" w:history="1">
        <w:r w:rsidRPr="00022A1D">
          <w:rPr>
            <w:rStyle w:val="Hyperlink"/>
            <w:rFonts w:asciiTheme="minorBidi" w:hAnsiTheme="minorBidi"/>
          </w:rPr>
          <w:t>Microsoft Word - Effectiveness of CPD Final Report.doc</w:t>
        </w:r>
      </w:hyperlink>
      <w:r w:rsidRPr="00022A1D">
        <w:rPr>
          <w:rFonts w:asciiTheme="minorBidi" w:hAnsiTheme="minorBidi"/>
        </w:rPr>
        <w:t xml:space="preserve">  accessed on 02/12/2025.m</w:t>
      </w:r>
    </w:p>
    <w:p w14:paraId="3248AC9F" w14:textId="77777777" w:rsidR="003E7DB0" w:rsidRPr="00022A1D" w:rsidRDefault="003E7DB0" w:rsidP="003E7DB0">
      <w:pPr>
        <w:spacing w:line="360" w:lineRule="auto"/>
        <w:jc w:val="both"/>
        <w:rPr>
          <w:rFonts w:asciiTheme="minorBidi" w:hAnsiTheme="minorBidi"/>
        </w:rPr>
      </w:pPr>
      <w:r w:rsidRPr="00022A1D">
        <w:rPr>
          <w:rFonts w:asciiTheme="minorBidi" w:hAnsiTheme="minorBidi"/>
        </w:rPr>
        <w:t>Mandelid, M.B., Dyngeland, E.S., Teslo, S., Lerum, Ø., Tjomsland, H.E., Jenssen, E.S., Eriksen, P.B., Wergeland, T.C., Sandal, M.Ø., Stein, H. and Schjerven, H., 2024, August. Workplace-based continuing professional development program for physically active learning: designing a framework and prospective directions. In </w:t>
      </w:r>
      <w:r w:rsidRPr="00022A1D">
        <w:rPr>
          <w:rFonts w:asciiTheme="minorBidi" w:hAnsiTheme="minorBidi"/>
          <w:i/>
          <w:iCs/>
        </w:rPr>
        <w:t>Frontiers in Education</w:t>
      </w:r>
      <w:r w:rsidRPr="00022A1D">
        <w:rPr>
          <w:rFonts w:asciiTheme="minorBidi" w:hAnsiTheme="minorBidi"/>
        </w:rPr>
        <w:t> (Vol. 9, p. 1407542). Frontiers Media SA.</w:t>
      </w:r>
    </w:p>
    <w:p w14:paraId="29130B42" w14:textId="77777777" w:rsidR="003E7DB0" w:rsidRDefault="003E7DB0" w:rsidP="003E7DB0">
      <w:pPr>
        <w:spacing w:line="360" w:lineRule="auto"/>
        <w:jc w:val="both"/>
        <w:rPr>
          <w:rFonts w:asciiTheme="minorBidi" w:hAnsiTheme="minorBidi"/>
        </w:rPr>
      </w:pPr>
      <w:r w:rsidRPr="00022A1D">
        <w:rPr>
          <w:rFonts w:asciiTheme="minorBidi" w:hAnsiTheme="minorBidi"/>
        </w:rPr>
        <w:t>Suliman, Z., Kruger, W. and Pienaar, J.A., 2020. Continuing professional development (CPD): a necessary component in the workplace or not?. </w:t>
      </w:r>
      <w:r w:rsidRPr="00022A1D">
        <w:rPr>
          <w:rFonts w:asciiTheme="minorBidi" w:hAnsiTheme="minorBidi"/>
          <w:i/>
          <w:iCs/>
        </w:rPr>
        <w:t>The Journal of Medical Laboratory Science and Technology of South Africa</w:t>
      </w:r>
      <w:r w:rsidRPr="00022A1D">
        <w:rPr>
          <w:rFonts w:asciiTheme="minorBidi" w:hAnsiTheme="minorBidi"/>
        </w:rPr>
        <w:t>, </w:t>
      </w:r>
      <w:r w:rsidRPr="00022A1D">
        <w:rPr>
          <w:rFonts w:asciiTheme="minorBidi" w:hAnsiTheme="minorBidi"/>
          <w:i/>
          <w:iCs/>
        </w:rPr>
        <w:t>2</w:t>
      </w:r>
      <w:r w:rsidRPr="00022A1D">
        <w:rPr>
          <w:rFonts w:asciiTheme="minorBidi" w:hAnsiTheme="minorBidi"/>
        </w:rPr>
        <w:t>(1), pp.41-45.</w:t>
      </w:r>
    </w:p>
    <w:p w14:paraId="5AA39EFE" w14:textId="77777777" w:rsidR="003E7DB0" w:rsidRPr="00E02F11" w:rsidRDefault="003E7DB0" w:rsidP="003E7DB0">
      <w:pPr>
        <w:spacing w:line="360" w:lineRule="auto"/>
        <w:jc w:val="both"/>
        <w:rPr>
          <w:rFonts w:asciiTheme="minorBidi" w:hAnsiTheme="minorBidi"/>
        </w:rPr>
      </w:pPr>
      <w:r w:rsidRPr="00E02F11">
        <w:rPr>
          <w:rFonts w:asciiTheme="minorBidi" w:hAnsiTheme="minorBidi"/>
          <w:b/>
          <w:bCs/>
        </w:rPr>
        <w:t>Gibbs, G.</w:t>
      </w:r>
      <w:r w:rsidRPr="00E02F11">
        <w:rPr>
          <w:rFonts w:asciiTheme="minorBidi" w:hAnsiTheme="minorBidi"/>
        </w:rPr>
        <w:t xml:space="preserve"> (2013) </w:t>
      </w:r>
      <w:r w:rsidRPr="00E02F11">
        <w:rPr>
          <w:rFonts w:asciiTheme="minorBidi" w:hAnsiTheme="minorBidi"/>
          <w:i/>
          <w:iCs/>
        </w:rPr>
        <w:t>Reflections on the Changing Nature of Educational Development</w:t>
      </w:r>
      <w:r w:rsidRPr="00E02F11">
        <w:rPr>
          <w:rFonts w:asciiTheme="minorBidi" w:hAnsiTheme="minorBidi"/>
        </w:rPr>
        <w:t>. York: Higher Education Academy.</w:t>
      </w:r>
    </w:p>
    <w:p w14:paraId="52176312" w14:textId="77777777" w:rsidR="003E7DB0" w:rsidRDefault="003E7DB0" w:rsidP="003E7DB0">
      <w:pPr>
        <w:spacing w:line="360" w:lineRule="auto"/>
        <w:jc w:val="both"/>
        <w:rPr>
          <w:rFonts w:asciiTheme="minorBidi" w:hAnsiTheme="minorBidi"/>
        </w:rPr>
      </w:pPr>
      <w:r w:rsidRPr="00E02F11">
        <w:rPr>
          <w:rFonts w:asciiTheme="minorBidi" w:hAnsiTheme="minorBidi"/>
          <w:b/>
          <w:bCs/>
        </w:rPr>
        <w:t>European Commission</w:t>
      </w:r>
      <w:r w:rsidRPr="00E02F11">
        <w:rPr>
          <w:rFonts w:asciiTheme="minorBidi" w:hAnsiTheme="minorBidi"/>
        </w:rPr>
        <w:t xml:space="preserve"> (2020) </w:t>
      </w:r>
      <w:r w:rsidRPr="00E02F11">
        <w:rPr>
          <w:rFonts w:asciiTheme="minorBidi" w:hAnsiTheme="minorBidi"/>
          <w:i/>
          <w:iCs/>
        </w:rPr>
        <w:t>A New Skills Agenda for Europe: Working Together to Strengthen Human Capital, Employability and Competitiveness</w:t>
      </w:r>
      <w:r w:rsidRPr="00E02F11">
        <w:rPr>
          <w:rFonts w:asciiTheme="minorBidi" w:hAnsiTheme="minorBidi"/>
        </w:rPr>
        <w:t>. Luxembourg: Publications Office of the European Union.</w:t>
      </w:r>
    </w:p>
    <w:p w14:paraId="6640797C" w14:textId="77777777" w:rsidR="003E7DB0" w:rsidRDefault="003E7DB0" w:rsidP="003E7DB0">
      <w:pPr>
        <w:spacing w:line="360" w:lineRule="auto"/>
        <w:jc w:val="both"/>
        <w:rPr>
          <w:rFonts w:asciiTheme="minorBidi" w:hAnsiTheme="minorBidi"/>
        </w:rPr>
      </w:pPr>
      <w:r w:rsidRPr="00E77D3F">
        <w:rPr>
          <w:rFonts w:asciiTheme="minorBidi" w:hAnsiTheme="minorBidi"/>
        </w:rPr>
        <w:t>Gibbs , G. and Coffey , M. 2004 . The impact of training of university teachers on their teaching skills, their approach to teaching and the approach to learning of their students . </w:t>
      </w:r>
      <w:r w:rsidRPr="00E77D3F">
        <w:rPr>
          <w:rFonts w:asciiTheme="minorBidi" w:hAnsiTheme="minorBidi"/>
          <w:i/>
          <w:iCs/>
        </w:rPr>
        <w:t>Active Learning in Higher Education</w:t>
      </w:r>
      <w:r w:rsidRPr="00E77D3F">
        <w:rPr>
          <w:rFonts w:asciiTheme="minorBidi" w:hAnsiTheme="minorBidi"/>
        </w:rPr>
        <w:t> , 5 ( 1 ) : 87 – 100</w:t>
      </w:r>
      <w:r>
        <w:rPr>
          <w:rFonts w:asciiTheme="minorBidi" w:hAnsiTheme="minorBidi"/>
        </w:rPr>
        <w:t>.</w:t>
      </w:r>
    </w:p>
    <w:p w14:paraId="528182FB" w14:textId="77777777" w:rsidR="003E7DB0" w:rsidRPr="00C74649" w:rsidRDefault="003E7DB0" w:rsidP="003E7DB0">
      <w:pPr>
        <w:spacing w:line="360" w:lineRule="auto"/>
        <w:jc w:val="both"/>
        <w:rPr>
          <w:rFonts w:asciiTheme="minorBidi" w:hAnsiTheme="minorBidi"/>
        </w:rPr>
      </w:pPr>
      <w:r w:rsidRPr="00C74649">
        <w:rPr>
          <w:rFonts w:asciiTheme="minorBidi" w:hAnsiTheme="minorBidi"/>
          <w:b/>
          <w:bCs/>
        </w:rPr>
        <w:t>Advance HE</w:t>
      </w:r>
      <w:r w:rsidRPr="00C74649">
        <w:rPr>
          <w:rFonts w:asciiTheme="minorBidi" w:hAnsiTheme="minorBidi"/>
        </w:rPr>
        <w:t xml:space="preserve"> (2018) </w:t>
      </w:r>
      <w:r w:rsidRPr="00C74649">
        <w:rPr>
          <w:rFonts w:asciiTheme="minorBidi" w:hAnsiTheme="minorBidi"/>
          <w:i/>
          <w:iCs/>
        </w:rPr>
        <w:t>Embedding Equality and Diversity in the Curriculum</w:t>
      </w:r>
      <w:r w:rsidRPr="00C74649">
        <w:rPr>
          <w:rFonts w:asciiTheme="minorBidi" w:hAnsiTheme="minorBidi"/>
        </w:rPr>
        <w:t>. York: Advance HE.</w:t>
      </w:r>
    </w:p>
    <w:p w14:paraId="4D8AB777" w14:textId="77777777" w:rsidR="003E7DB0" w:rsidRDefault="003E7DB0" w:rsidP="003E7DB0">
      <w:pPr>
        <w:spacing w:line="360" w:lineRule="auto"/>
        <w:jc w:val="both"/>
        <w:rPr>
          <w:rFonts w:asciiTheme="minorBidi" w:hAnsiTheme="minorBidi"/>
        </w:rPr>
      </w:pPr>
      <w:r w:rsidRPr="00C74649">
        <w:rPr>
          <w:rFonts w:asciiTheme="minorBidi" w:hAnsiTheme="minorBidi"/>
          <w:b/>
          <w:bCs/>
        </w:rPr>
        <w:t>Quality Assurance Agency (QAA)</w:t>
      </w:r>
      <w:r w:rsidRPr="00C74649">
        <w:rPr>
          <w:rFonts w:asciiTheme="minorBidi" w:hAnsiTheme="minorBidi"/>
        </w:rPr>
        <w:t xml:space="preserve"> (2018) </w:t>
      </w:r>
      <w:r w:rsidRPr="00C74649">
        <w:rPr>
          <w:rFonts w:asciiTheme="minorBidi" w:hAnsiTheme="minorBidi"/>
          <w:i/>
          <w:iCs/>
        </w:rPr>
        <w:t>UK Quality Code for Higher Education</w:t>
      </w:r>
      <w:r w:rsidRPr="00C74649">
        <w:rPr>
          <w:rFonts w:asciiTheme="minorBidi" w:hAnsiTheme="minorBidi"/>
        </w:rPr>
        <w:t>. Gloucester: QAA.</w:t>
      </w:r>
    </w:p>
    <w:p w14:paraId="5DAD39BA" w14:textId="77777777" w:rsidR="003E7DB0" w:rsidRDefault="003E7DB0" w:rsidP="003E7DB0">
      <w:pPr>
        <w:spacing w:line="360" w:lineRule="auto"/>
        <w:jc w:val="both"/>
        <w:rPr>
          <w:rFonts w:asciiTheme="minorBidi" w:hAnsiTheme="minorBidi"/>
        </w:rPr>
      </w:pPr>
      <w:r w:rsidRPr="00EA129F">
        <w:rPr>
          <w:rFonts w:asciiTheme="minorBidi" w:hAnsiTheme="minorBidi"/>
        </w:rPr>
        <w:lastRenderedPageBreak/>
        <w:t>Crawford, J., Butler-Henderson, K., Rudolph, J., Malkawi, B., Glowatz, M., Burton, R., Magni, P.A. and Lam, S., 2020. COVID-19: 20 countries’ higher education intra-period digital pedagogy responses. </w:t>
      </w:r>
      <w:r w:rsidRPr="00EA129F">
        <w:rPr>
          <w:rFonts w:asciiTheme="minorBidi" w:hAnsiTheme="minorBidi"/>
          <w:i/>
          <w:iCs/>
        </w:rPr>
        <w:t>Journal of applied learning &amp; teaching</w:t>
      </w:r>
      <w:r w:rsidRPr="00EA129F">
        <w:rPr>
          <w:rFonts w:asciiTheme="minorBidi" w:hAnsiTheme="minorBidi"/>
        </w:rPr>
        <w:t>, </w:t>
      </w:r>
      <w:r w:rsidRPr="00EA129F">
        <w:rPr>
          <w:rFonts w:asciiTheme="minorBidi" w:hAnsiTheme="minorBidi"/>
          <w:i/>
          <w:iCs/>
        </w:rPr>
        <w:t>3</w:t>
      </w:r>
      <w:r w:rsidRPr="00EA129F">
        <w:rPr>
          <w:rFonts w:asciiTheme="minorBidi" w:hAnsiTheme="minorBidi"/>
        </w:rPr>
        <w:t>(1), pp.1-20.</w:t>
      </w:r>
    </w:p>
    <w:p w14:paraId="598C8B2E" w14:textId="77777777" w:rsidR="003E7DB0" w:rsidRPr="00482739" w:rsidRDefault="003E7DB0" w:rsidP="003E7DB0">
      <w:pPr>
        <w:spacing w:line="360" w:lineRule="auto"/>
        <w:jc w:val="both"/>
        <w:rPr>
          <w:rFonts w:asciiTheme="minorBidi" w:hAnsiTheme="minorBidi"/>
        </w:rPr>
      </w:pPr>
      <w:r w:rsidRPr="00482739">
        <w:rPr>
          <w:rFonts w:asciiTheme="minorBidi" w:hAnsiTheme="minorBidi"/>
        </w:rPr>
        <w:t xml:space="preserve">Teferra, D. and Knight, J. (2008) </w:t>
      </w:r>
      <w:r w:rsidRPr="00482739">
        <w:rPr>
          <w:rFonts w:asciiTheme="minorBidi" w:hAnsiTheme="minorBidi"/>
          <w:i/>
          <w:iCs/>
        </w:rPr>
        <w:t>Higher Education in Africa: The International Dimension</w:t>
      </w:r>
      <w:r w:rsidRPr="00482739">
        <w:rPr>
          <w:rFonts w:asciiTheme="minorBidi" w:hAnsiTheme="minorBidi"/>
        </w:rPr>
        <w:t>. Boston: Boston College Center for International Higher Education.</w:t>
      </w:r>
    </w:p>
    <w:p w14:paraId="7FC45227" w14:textId="77777777" w:rsidR="003E7DB0" w:rsidRPr="00482739" w:rsidRDefault="003E7DB0" w:rsidP="003E7DB0">
      <w:pPr>
        <w:spacing w:line="360" w:lineRule="auto"/>
        <w:jc w:val="both"/>
        <w:rPr>
          <w:rFonts w:asciiTheme="minorBidi" w:hAnsiTheme="minorBidi"/>
        </w:rPr>
      </w:pPr>
      <w:r w:rsidRPr="00482739">
        <w:rPr>
          <w:rFonts w:asciiTheme="minorBidi" w:hAnsiTheme="minorBidi"/>
        </w:rPr>
        <w:t xml:space="preserve">Kirkwood, A. and Price, L. (2014) ‘Technology-enhanced learning and teaching in higher education: What is “enhanced” and how do we know?’, </w:t>
      </w:r>
      <w:r w:rsidRPr="00482739">
        <w:rPr>
          <w:rFonts w:asciiTheme="minorBidi" w:hAnsiTheme="minorBidi"/>
          <w:i/>
          <w:iCs/>
        </w:rPr>
        <w:t>A Critical Literature Review</w:t>
      </w:r>
      <w:r w:rsidRPr="00482739">
        <w:rPr>
          <w:rFonts w:asciiTheme="minorBidi" w:hAnsiTheme="minorBidi"/>
        </w:rPr>
        <w:t xml:space="preserve">, </w:t>
      </w:r>
      <w:r w:rsidRPr="00482739">
        <w:rPr>
          <w:rFonts w:asciiTheme="minorBidi" w:hAnsiTheme="minorBidi"/>
          <w:i/>
          <w:iCs/>
        </w:rPr>
        <w:t>Learning, Media and Technology</w:t>
      </w:r>
      <w:r w:rsidRPr="00482739">
        <w:rPr>
          <w:rFonts w:asciiTheme="minorBidi" w:hAnsiTheme="minorBidi"/>
        </w:rPr>
        <w:t>, 39(1), pp. 6–36.</w:t>
      </w:r>
    </w:p>
    <w:p w14:paraId="29909855" w14:textId="77777777" w:rsidR="003E7DB0" w:rsidRDefault="003E7DB0" w:rsidP="003E7DB0">
      <w:pPr>
        <w:spacing w:line="360" w:lineRule="auto"/>
        <w:jc w:val="both"/>
        <w:rPr>
          <w:rFonts w:asciiTheme="minorBidi" w:hAnsiTheme="minorBidi"/>
        </w:rPr>
      </w:pPr>
      <w:r w:rsidRPr="00482739">
        <w:rPr>
          <w:rFonts w:asciiTheme="minorBidi" w:hAnsiTheme="minorBidi"/>
        </w:rPr>
        <w:t xml:space="preserve">Altbach, P.G., Reisberg, L. and Rumbley, L.E. (2019) </w:t>
      </w:r>
      <w:r w:rsidRPr="00482739">
        <w:rPr>
          <w:rFonts w:asciiTheme="minorBidi" w:hAnsiTheme="minorBidi"/>
          <w:i/>
          <w:iCs/>
        </w:rPr>
        <w:t>Trends in Global Higher Education: Tracking an Academic Revolution</w:t>
      </w:r>
      <w:r w:rsidRPr="00482739">
        <w:rPr>
          <w:rFonts w:asciiTheme="minorBidi" w:hAnsiTheme="minorBidi"/>
        </w:rPr>
        <w:t>. Rotterdam: Sense Publishers.</w:t>
      </w:r>
    </w:p>
    <w:p w14:paraId="2B30B997" w14:textId="77777777" w:rsidR="003E7DB0" w:rsidRDefault="003E7DB0" w:rsidP="003E7DB0">
      <w:pPr>
        <w:spacing w:line="360" w:lineRule="auto"/>
        <w:jc w:val="both"/>
        <w:rPr>
          <w:rFonts w:asciiTheme="minorBidi" w:hAnsiTheme="minorBidi"/>
        </w:rPr>
      </w:pPr>
      <w:r w:rsidRPr="00F84900">
        <w:rPr>
          <w:rFonts w:asciiTheme="minorBidi" w:hAnsiTheme="minorBidi"/>
        </w:rPr>
        <w:t>Burhanuddin, N.A.N., Ahmad, N.A., Said, R.R. and Asimiran, S., 2021. Learning theories: Views from behaviourism theory and constructivism theory. </w:t>
      </w:r>
      <w:r w:rsidRPr="00F84900">
        <w:rPr>
          <w:rFonts w:asciiTheme="minorBidi" w:hAnsiTheme="minorBidi"/>
          <w:i/>
          <w:iCs/>
        </w:rPr>
        <w:t>International Journal of Academic Research in Progressive Education and Development</w:t>
      </w:r>
      <w:r w:rsidRPr="00F84900">
        <w:rPr>
          <w:rFonts w:asciiTheme="minorBidi" w:hAnsiTheme="minorBidi"/>
        </w:rPr>
        <w:t>, </w:t>
      </w:r>
      <w:r w:rsidRPr="00F84900">
        <w:rPr>
          <w:rFonts w:asciiTheme="minorBidi" w:hAnsiTheme="minorBidi"/>
          <w:i/>
          <w:iCs/>
        </w:rPr>
        <w:t>10</w:t>
      </w:r>
      <w:r w:rsidRPr="00F84900">
        <w:rPr>
          <w:rFonts w:asciiTheme="minorBidi" w:hAnsiTheme="minorBidi"/>
        </w:rPr>
        <w:t>(1), pp.85-98.</w:t>
      </w:r>
    </w:p>
    <w:p w14:paraId="074C9EFD"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Ally, M. (2004) ‘Foundations of educational theory for online learning’, in Anderson, T. and Elloumi, F. (eds.) </w:t>
      </w:r>
      <w:r w:rsidRPr="00C073CC">
        <w:rPr>
          <w:rFonts w:asciiTheme="minorBidi" w:hAnsiTheme="minorBidi"/>
          <w:i/>
          <w:iCs/>
        </w:rPr>
        <w:t>Theory and Practice of Online Learning</w:t>
      </w:r>
      <w:r w:rsidRPr="00C073CC">
        <w:rPr>
          <w:rFonts w:asciiTheme="minorBidi" w:hAnsiTheme="minorBidi"/>
        </w:rPr>
        <w:t>. Athabasca: Athabasca University, pp. 3–31.</w:t>
      </w:r>
    </w:p>
    <w:p w14:paraId="217C0E2E"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Bloom, B.S. (1956) </w:t>
      </w:r>
      <w:r w:rsidRPr="00C073CC">
        <w:rPr>
          <w:rFonts w:asciiTheme="minorBidi" w:hAnsiTheme="minorBidi"/>
          <w:i/>
          <w:iCs/>
        </w:rPr>
        <w:t>Taxonomy of Educational Objectives: The Classification of Educational Goals</w:t>
      </w:r>
      <w:r w:rsidRPr="00C073CC">
        <w:rPr>
          <w:rFonts w:asciiTheme="minorBidi" w:hAnsiTheme="minorBidi"/>
        </w:rPr>
        <w:t>. Handbook I: Cognitive Domain. New York: Longman.</w:t>
      </w:r>
    </w:p>
    <w:p w14:paraId="2F38AC04"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Kirschner, P.A., Sweller, J. and Clark, R.E. (2006) ‘Why minimal guidance during instruction does not work: An analysis of the failure of constructivist, discovery, problem-based, experiential, and inquiry-based teaching’, </w:t>
      </w:r>
      <w:r w:rsidRPr="00C073CC">
        <w:rPr>
          <w:rFonts w:asciiTheme="minorBidi" w:hAnsiTheme="minorBidi"/>
          <w:i/>
          <w:iCs/>
        </w:rPr>
        <w:t>Educational Psychologist</w:t>
      </w:r>
      <w:r w:rsidRPr="00C073CC">
        <w:rPr>
          <w:rFonts w:asciiTheme="minorBidi" w:hAnsiTheme="minorBidi"/>
        </w:rPr>
        <w:t>, 41(2), pp. 75–86.</w:t>
      </w:r>
    </w:p>
    <w:p w14:paraId="2C2BDCDC"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Vygotsky, L.S. (1978) </w:t>
      </w:r>
      <w:r w:rsidRPr="00C073CC">
        <w:rPr>
          <w:rFonts w:asciiTheme="minorBidi" w:hAnsiTheme="minorBidi"/>
          <w:i/>
          <w:iCs/>
        </w:rPr>
        <w:t>Mind in Society: The Development of Higher Psychological Processes</w:t>
      </w:r>
      <w:r w:rsidRPr="00C073CC">
        <w:rPr>
          <w:rFonts w:asciiTheme="minorBidi" w:hAnsiTheme="minorBidi"/>
        </w:rPr>
        <w:t>. Cambridge, MA: Harvard University Press.</w:t>
      </w:r>
    </w:p>
    <w:p w14:paraId="29C4C1BC"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w:t>
      </w:r>
    </w:p>
    <w:p w14:paraId="7C490CA7"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Lave, J. and Wenger, E. (1991) </w:t>
      </w:r>
      <w:r w:rsidRPr="00C073CC">
        <w:rPr>
          <w:rFonts w:asciiTheme="minorBidi" w:hAnsiTheme="minorBidi"/>
          <w:i/>
          <w:iCs/>
        </w:rPr>
        <w:t>Situated Learning: Legitimate Peripheral Participation</w:t>
      </w:r>
      <w:r w:rsidRPr="00C073CC">
        <w:rPr>
          <w:rFonts w:asciiTheme="minorBidi" w:hAnsiTheme="minorBidi"/>
        </w:rPr>
        <w:t>. Cambridge: Cambridge University Press.</w:t>
      </w:r>
    </w:p>
    <w:p w14:paraId="19776E30" w14:textId="77777777" w:rsidR="003E7DB0" w:rsidRPr="00490D3D" w:rsidRDefault="003E7DB0" w:rsidP="003E7DB0">
      <w:pPr>
        <w:spacing w:line="360" w:lineRule="auto"/>
        <w:jc w:val="both"/>
        <w:rPr>
          <w:rFonts w:asciiTheme="minorBidi" w:hAnsiTheme="minorBidi"/>
        </w:rPr>
      </w:pPr>
    </w:p>
    <w:p w14:paraId="15CAE34F" w14:textId="77777777" w:rsidR="003E7DB0" w:rsidRPr="00C91DAB" w:rsidRDefault="003E7DB0" w:rsidP="003E7DB0">
      <w:pPr>
        <w:spacing w:line="360" w:lineRule="auto"/>
        <w:jc w:val="both"/>
        <w:rPr>
          <w:rFonts w:asciiTheme="minorBidi" w:hAnsiTheme="minorBidi"/>
        </w:rPr>
      </w:pPr>
      <w:r w:rsidRPr="00C91DAB">
        <w:rPr>
          <w:rFonts w:asciiTheme="minorBidi" w:hAnsiTheme="minorBidi"/>
          <w:b/>
          <w:bCs/>
        </w:rPr>
        <w:lastRenderedPageBreak/>
        <w:t>Bagozzi, R.P.</w:t>
      </w:r>
      <w:r w:rsidRPr="00C91DAB">
        <w:rPr>
          <w:rFonts w:asciiTheme="minorBidi" w:hAnsiTheme="minorBidi"/>
        </w:rPr>
        <w:t xml:space="preserve"> (2007) ‘The legacy of the Technology Acceptance Model and a proposal for a paradigm shift’, </w:t>
      </w:r>
      <w:r w:rsidRPr="00C91DAB">
        <w:rPr>
          <w:rFonts w:asciiTheme="minorBidi" w:hAnsiTheme="minorBidi"/>
          <w:i/>
          <w:iCs/>
        </w:rPr>
        <w:t>Journal of the Association for Information Systems</w:t>
      </w:r>
      <w:r w:rsidRPr="00C91DAB">
        <w:rPr>
          <w:rFonts w:asciiTheme="minorBidi" w:hAnsiTheme="minorBidi"/>
        </w:rPr>
        <w:t>, 8(4), pp. 244–254.</w:t>
      </w:r>
    </w:p>
    <w:p w14:paraId="237F0632" w14:textId="77777777" w:rsidR="003E7DB0" w:rsidRPr="00C91DAB" w:rsidRDefault="003E7DB0" w:rsidP="003E7DB0">
      <w:pPr>
        <w:spacing w:line="360" w:lineRule="auto"/>
        <w:jc w:val="both"/>
        <w:rPr>
          <w:rFonts w:asciiTheme="minorBidi" w:hAnsiTheme="minorBidi"/>
        </w:rPr>
      </w:pPr>
      <w:r w:rsidRPr="00C91DAB">
        <w:rPr>
          <w:rFonts w:asciiTheme="minorBidi" w:hAnsiTheme="minorBidi"/>
        </w:rPr>
        <w:t>(Seminal critique highlighting TAM’s oversimplification and lack of contextual depth.)</w:t>
      </w:r>
    </w:p>
    <w:p w14:paraId="5B1D845A"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Venkatesh, V. and Bala, H. (2008) ‘Technology Acceptance Model 3 and a research agenda on interventions’, </w:t>
      </w:r>
      <w:r w:rsidRPr="00C073CC">
        <w:rPr>
          <w:rFonts w:asciiTheme="minorBidi" w:hAnsiTheme="minorBidi"/>
          <w:i/>
          <w:iCs/>
        </w:rPr>
        <w:t>Decision Sciences</w:t>
      </w:r>
      <w:r w:rsidRPr="00C073CC">
        <w:rPr>
          <w:rFonts w:asciiTheme="minorBidi" w:hAnsiTheme="minorBidi"/>
        </w:rPr>
        <w:t>, 39(2), pp. 273–315.</w:t>
      </w:r>
    </w:p>
    <w:p w14:paraId="166B68E2"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Venkatesh, V., Morris, M.G., Davis, G.B. and Davis, F.D. (2003) ‘User acceptance of information technology: Toward a unified view’, </w:t>
      </w:r>
      <w:r w:rsidRPr="00C073CC">
        <w:rPr>
          <w:rFonts w:asciiTheme="minorBidi" w:hAnsiTheme="minorBidi"/>
          <w:i/>
          <w:iCs/>
        </w:rPr>
        <w:t>MIS Quarterly</w:t>
      </w:r>
      <w:r w:rsidRPr="00C073CC">
        <w:rPr>
          <w:rFonts w:asciiTheme="minorBidi" w:hAnsiTheme="minorBidi"/>
        </w:rPr>
        <w:t>, 27(3), pp. 425–478.</w:t>
      </w:r>
    </w:p>
    <w:p w14:paraId="31A36711"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Williams, M.D., Rana, N.P. and Dwivedi, Y.K. (2015) ‘The unified theory of acceptance and use of technology (UTAUT): A literature review’, </w:t>
      </w:r>
      <w:r w:rsidRPr="00C073CC">
        <w:rPr>
          <w:rFonts w:asciiTheme="minorBidi" w:hAnsiTheme="minorBidi"/>
          <w:i/>
          <w:iCs/>
        </w:rPr>
        <w:t>Journal of Enterprise Information Management</w:t>
      </w:r>
      <w:r w:rsidRPr="00C073CC">
        <w:rPr>
          <w:rFonts w:asciiTheme="minorBidi" w:hAnsiTheme="minorBidi"/>
        </w:rPr>
        <w:t>, 28(3), pp. 443–488.</w:t>
      </w:r>
    </w:p>
    <w:p w14:paraId="64B5BD28"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Dwivedi, Y.K., Rana, N.P., Jeyaraj, A., Clement, M. and Williams, M.D. (2019) ‘Re-examining the Unified Theory of Acceptance and Use of Technology (UTAUT): Towards a revised theoretical model’, </w:t>
      </w:r>
      <w:r w:rsidRPr="00C073CC">
        <w:rPr>
          <w:rFonts w:asciiTheme="minorBidi" w:hAnsiTheme="minorBidi"/>
          <w:i/>
          <w:iCs/>
        </w:rPr>
        <w:t>Information Systems Frontiers</w:t>
      </w:r>
      <w:r w:rsidRPr="00C073CC">
        <w:rPr>
          <w:rFonts w:asciiTheme="minorBidi" w:hAnsiTheme="minorBidi"/>
        </w:rPr>
        <w:t>, 21(3), pp. 719–734.</w:t>
      </w:r>
    </w:p>
    <w:p w14:paraId="2B269A66"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Rogers, E.M. (2003) </w:t>
      </w:r>
      <w:r w:rsidRPr="00C073CC">
        <w:rPr>
          <w:rFonts w:asciiTheme="minorBidi" w:hAnsiTheme="minorBidi"/>
          <w:i/>
          <w:iCs/>
        </w:rPr>
        <w:t>Diffusion of Innovations</w:t>
      </w:r>
      <w:r w:rsidRPr="00C073CC">
        <w:rPr>
          <w:rFonts w:asciiTheme="minorBidi" w:hAnsiTheme="minorBidi"/>
        </w:rPr>
        <w:t>. 5th edn. New York: Free Press.</w:t>
      </w:r>
    </w:p>
    <w:p w14:paraId="02FDFFFE"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(Foundational text; later critiques often stem from assumptions implicit in this model.)</w:t>
      </w:r>
    </w:p>
    <w:p w14:paraId="65526AF1"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Avgerou, C. (2008) ‘Information systems in developing countries: A critical research review’, </w:t>
      </w:r>
      <w:r w:rsidRPr="00C073CC">
        <w:rPr>
          <w:rFonts w:asciiTheme="minorBidi" w:hAnsiTheme="minorBidi"/>
          <w:i/>
          <w:iCs/>
        </w:rPr>
        <w:t>Journal of Information Technology</w:t>
      </w:r>
      <w:r w:rsidRPr="00C073CC">
        <w:rPr>
          <w:rFonts w:asciiTheme="minorBidi" w:hAnsiTheme="minorBidi"/>
        </w:rPr>
        <w:t>, 23(3), pp. 133–146.</w:t>
      </w:r>
    </w:p>
    <w:p w14:paraId="25DD9E2F" w14:textId="77777777" w:rsidR="003E7DB0" w:rsidRDefault="003E7DB0" w:rsidP="003E7DB0">
      <w:pPr>
        <w:spacing w:line="360" w:lineRule="auto"/>
        <w:jc w:val="both"/>
        <w:rPr>
          <w:rFonts w:asciiTheme="minorBidi" w:hAnsiTheme="minorBidi"/>
        </w:rPr>
      </w:pPr>
      <w:r w:rsidRPr="00C073CC">
        <w:rPr>
          <w:rFonts w:asciiTheme="minorBidi" w:hAnsiTheme="minorBidi"/>
        </w:rPr>
        <w:t>Heeks, R. (2010</w:t>
      </w:r>
      <w:r w:rsidRPr="0090720B">
        <w:rPr>
          <w:rFonts w:asciiTheme="minorBidi" w:hAnsiTheme="minorBidi"/>
        </w:rPr>
        <w:t xml:space="preserve">) ‘Development 2.0: The IT-enabled transformation of international development’, </w:t>
      </w:r>
      <w:r w:rsidRPr="0090720B">
        <w:rPr>
          <w:rFonts w:asciiTheme="minorBidi" w:hAnsiTheme="minorBidi"/>
          <w:i/>
          <w:iCs/>
        </w:rPr>
        <w:t>Communications of the ACM</w:t>
      </w:r>
      <w:r w:rsidRPr="0090720B">
        <w:rPr>
          <w:rFonts w:asciiTheme="minorBidi" w:hAnsiTheme="minorBidi"/>
        </w:rPr>
        <w:t>, 53(4), pp. 22–24.</w:t>
      </w:r>
    </w:p>
    <w:p w14:paraId="420A3A81" w14:textId="77777777" w:rsidR="003E7DB0" w:rsidRDefault="003E7DB0" w:rsidP="003E7DB0">
      <w:pPr>
        <w:spacing w:line="360" w:lineRule="auto"/>
        <w:jc w:val="both"/>
        <w:rPr>
          <w:rFonts w:asciiTheme="minorBidi" w:hAnsiTheme="minorBidi"/>
        </w:rPr>
      </w:pPr>
    </w:p>
    <w:p w14:paraId="1D734101" w14:textId="77777777" w:rsidR="003E7DB0" w:rsidRPr="002C6DB6" w:rsidRDefault="003E7DB0" w:rsidP="003E7DB0">
      <w:pPr>
        <w:spacing w:line="360" w:lineRule="auto"/>
        <w:jc w:val="both"/>
        <w:rPr>
          <w:rFonts w:asciiTheme="minorBidi" w:hAnsiTheme="minorBidi"/>
        </w:rPr>
      </w:pPr>
      <w:r w:rsidRPr="002C6DB6">
        <w:rPr>
          <w:rFonts w:asciiTheme="minorBidi" w:hAnsiTheme="minorBidi"/>
          <w:b/>
          <w:bCs/>
        </w:rPr>
        <w:t>Ajzen, I.</w:t>
      </w:r>
      <w:r w:rsidRPr="002C6DB6">
        <w:rPr>
          <w:rFonts w:asciiTheme="minorBidi" w:hAnsiTheme="minorBidi"/>
        </w:rPr>
        <w:t xml:space="preserve"> (1991) ‘The theory of planned behavior’, </w:t>
      </w:r>
      <w:r w:rsidRPr="002C6DB6">
        <w:rPr>
          <w:rFonts w:asciiTheme="minorBidi" w:hAnsiTheme="minorBidi"/>
          <w:i/>
          <w:iCs/>
        </w:rPr>
        <w:t>Organizational Behavior and Human Decision Processes</w:t>
      </w:r>
      <w:r w:rsidRPr="002C6DB6">
        <w:rPr>
          <w:rFonts w:asciiTheme="minorBidi" w:hAnsiTheme="minorBidi"/>
        </w:rPr>
        <w:t>, 50(2), pp. 179–211.</w:t>
      </w:r>
    </w:p>
    <w:p w14:paraId="69918A8B" w14:textId="77777777" w:rsidR="003E7DB0" w:rsidRPr="002C6DB6" w:rsidRDefault="003E7DB0" w:rsidP="003E7DB0">
      <w:pPr>
        <w:spacing w:line="360" w:lineRule="auto"/>
        <w:jc w:val="both"/>
        <w:rPr>
          <w:rFonts w:asciiTheme="minorBidi" w:hAnsiTheme="minorBidi"/>
        </w:rPr>
      </w:pPr>
      <w:r w:rsidRPr="002C6DB6">
        <w:rPr>
          <w:rFonts w:asciiTheme="minorBidi" w:hAnsiTheme="minorBidi"/>
        </w:rPr>
        <w:t>(Foundational theory; also acknowledges the intention–behaviour gap.)</w:t>
      </w:r>
    </w:p>
    <w:p w14:paraId="0F7CE5C5" w14:textId="77777777" w:rsidR="003E7DB0" w:rsidRPr="002C6DB6" w:rsidRDefault="003E7DB0" w:rsidP="003E7DB0">
      <w:pPr>
        <w:spacing w:line="360" w:lineRule="auto"/>
        <w:jc w:val="both"/>
        <w:rPr>
          <w:rFonts w:asciiTheme="minorBidi" w:hAnsiTheme="minorBidi"/>
        </w:rPr>
      </w:pPr>
      <w:r w:rsidRPr="002C6DB6">
        <w:rPr>
          <w:rFonts w:asciiTheme="minorBidi" w:hAnsiTheme="minorBidi"/>
          <w:b/>
          <w:bCs/>
        </w:rPr>
        <w:t>Sheeran, P.</w:t>
      </w:r>
      <w:r w:rsidRPr="002C6DB6">
        <w:rPr>
          <w:rFonts w:asciiTheme="minorBidi" w:hAnsiTheme="minorBidi"/>
        </w:rPr>
        <w:t xml:space="preserve"> (2002) ‘Intention–behavior relations: A conceptual and empirical review’, </w:t>
      </w:r>
      <w:r w:rsidRPr="002C6DB6">
        <w:rPr>
          <w:rFonts w:asciiTheme="minorBidi" w:hAnsiTheme="minorBidi"/>
          <w:i/>
          <w:iCs/>
        </w:rPr>
        <w:t>European Review of Social Psychology</w:t>
      </w:r>
      <w:r w:rsidRPr="002C6DB6">
        <w:rPr>
          <w:rFonts w:asciiTheme="minorBidi" w:hAnsiTheme="minorBidi"/>
        </w:rPr>
        <w:t>, 12(1), pp. 1–36.</w:t>
      </w:r>
    </w:p>
    <w:p w14:paraId="45875FED" w14:textId="77777777" w:rsidR="003E7DB0" w:rsidRPr="002C6DB6" w:rsidRDefault="003E7DB0" w:rsidP="003E7DB0">
      <w:pPr>
        <w:spacing w:line="360" w:lineRule="auto"/>
        <w:jc w:val="both"/>
        <w:rPr>
          <w:rFonts w:asciiTheme="minorBidi" w:hAnsiTheme="minorBidi"/>
        </w:rPr>
      </w:pPr>
      <w:r w:rsidRPr="002C6DB6">
        <w:rPr>
          <w:rFonts w:asciiTheme="minorBidi" w:hAnsiTheme="minorBidi"/>
        </w:rPr>
        <w:lastRenderedPageBreak/>
        <w:t>(Seminal critique demonstrating that intentions do not always translate into actual behaviour.)</w:t>
      </w:r>
    </w:p>
    <w:p w14:paraId="7577EB20"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Conner, M. and Armitage, C.J. (1998) ‘Extending the theory of planned behavior: A review and avenues for further research’, </w:t>
      </w:r>
      <w:r w:rsidRPr="00C073CC">
        <w:rPr>
          <w:rFonts w:asciiTheme="minorBidi" w:hAnsiTheme="minorBidi"/>
          <w:i/>
          <w:iCs/>
        </w:rPr>
        <w:t>Journal of Applied Social Psychology</w:t>
      </w:r>
      <w:r w:rsidRPr="00C073CC">
        <w:rPr>
          <w:rFonts w:asciiTheme="minorBidi" w:hAnsiTheme="minorBidi"/>
        </w:rPr>
        <w:t>, 28(15), pp. 1429–1464.</w:t>
      </w:r>
    </w:p>
    <w:p w14:paraId="14841746"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DiMaggio, P.J. and Powell, W.W. (1983) ‘The iron cage revisited: Institutional isomorphism and collective rationality in organizational fields’, </w:t>
      </w:r>
      <w:r w:rsidRPr="00C073CC">
        <w:rPr>
          <w:rFonts w:asciiTheme="minorBidi" w:hAnsiTheme="minorBidi"/>
          <w:i/>
          <w:iCs/>
        </w:rPr>
        <w:t>American Sociological Review</w:t>
      </w:r>
      <w:r w:rsidRPr="00C073CC">
        <w:rPr>
          <w:rFonts w:asciiTheme="minorBidi" w:hAnsiTheme="minorBidi"/>
        </w:rPr>
        <w:t>, 48(2), pp. 147–160.</w:t>
      </w:r>
    </w:p>
    <w:p w14:paraId="2A7D9A98"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Scott, W.R. (2014) </w:t>
      </w:r>
      <w:r w:rsidRPr="00C073CC">
        <w:rPr>
          <w:rFonts w:asciiTheme="minorBidi" w:hAnsiTheme="minorBidi"/>
          <w:i/>
          <w:iCs/>
        </w:rPr>
        <w:t>Institutions and Organizations: Ideas, Interests, and Identities</w:t>
      </w:r>
      <w:r w:rsidRPr="00C073CC">
        <w:rPr>
          <w:rFonts w:asciiTheme="minorBidi" w:hAnsiTheme="minorBidi"/>
        </w:rPr>
        <w:t>. 4th edn. Thousand Oaks, CA: Sage.</w:t>
      </w:r>
    </w:p>
    <w:p w14:paraId="2FA07B9B"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Quality Assurance Agency (QAA) (2018) </w:t>
      </w:r>
      <w:r w:rsidRPr="00C073CC">
        <w:rPr>
          <w:rFonts w:asciiTheme="minorBidi" w:hAnsiTheme="minorBidi"/>
          <w:i/>
          <w:iCs/>
        </w:rPr>
        <w:t>UK Quality Code for Higher Education</w:t>
      </w:r>
      <w:r w:rsidRPr="00C073CC">
        <w:rPr>
          <w:rFonts w:asciiTheme="minorBidi" w:hAnsiTheme="minorBidi"/>
        </w:rPr>
        <w:t>. Gloucester: QAA.</w:t>
      </w:r>
    </w:p>
    <w:p w14:paraId="3AB2C09A"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Advance HE (2016) </w:t>
      </w:r>
      <w:r w:rsidRPr="00C073CC">
        <w:rPr>
          <w:rFonts w:asciiTheme="minorBidi" w:hAnsiTheme="minorBidi"/>
          <w:i/>
          <w:iCs/>
        </w:rPr>
        <w:t>UK Professional Standards Framework for Teaching and Supporting Learning in Higher Education</w:t>
      </w:r>
      <w:r w:rsidRPr="00C073CC">
        <w:rPr>
          <w:rFonts w:asciiTheme="minorBidi" w:hAnsiTheme="minorBidi"/>
        </w:rPr>
        <w:t>. York: Advance HE.</w:t>
      </w:r>
    </w:p>
    <w:p w14:paraId="76939EDF"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Barney, J. (1991) ‘Firm resources and sustained competitive advantage’, </w:t>
      </w:r>
      <w:r w:rsidRPr="00C073CC">
        <w:rPr>
          <w:rFonts w:asciiTheme="minorBidi" w:hAnsiTheme="minorBidi"/>
          <w:i/>
          <w:iCs/>
        </w:rPr>
        <w:t>Journal of Management</w:t>
      </w:r>
      <w:r w:rsidRPr="00C073CC">
        <w:rPr>
          <w:rFonts w:asciiTheme="minorBidi" w:hAnsiTheme="minorBidi"/>
        </w:rPr>
        <w:t>, 17(1), pp. 99–120.</w:t>
      </w:r>
    </w:p>
    <w:p w14:paraId="1842C36E"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Barney, J.B., Ketchen, D.J. and Wright, M. (2011) ‘The future of resource</w:t>
      </w:r>
      <w:r w:rsidRPr="00C073CC">
        <w:rPr>
          <w:rFonts w:ascii="Cambria Math" w:hAnsi="Cambria Math" w:cs="Cambria Math"/>
        </w:rPr>
        <w:t>‐</w:t>
      </w:r>
      <w:r w:rsidRPr="00C073CC">
        <w:rPr>
          <w:rFonts w:asciiTheme="minorBidi" w:hAnsiTheme="minorBidi"/>
        </w:rPr>
        <w:t>based theory: Revitalization or decline?</w:t>
      </w:r>
      <w:r w:rsidRPr="00C073CC">
        <w:rPr>
          <w:rFonts w:ascii="Arial" w:hAnsi="Arial" w:cs="Arial"/>
        </w:rPr>
        <w:t>’</w:t>
      </w:r>
      <w:r w:rsidRPr="00C073CC">
        <w:rPr>
          <w:rFonts w:asciiTheme="minorBidi" w:hAnsiTheme="minorBidi"/>
        </w:rPr>
        <w:t xml:space="preserve">, </w:t>
      </w:r>
      <w:r w:rsidRPr="00C073CC">
        <w:rPr>
          <w:rFonts w:asciiTheme="minorBidi" w:hAnsiTheme="minorBidi"/>
          <w:i/>
          <w:iCs/>
        </w:rPr>
        <w:t>Journal of Management</w:t>
      </w:r>
      <w:r w:rsidRPr="00C073CC">
        <w:rPr>
          <w:rFonts w:asciiTheme="minorBidi" w:hAnsiTheme="minorBidi"/>
        </w:rPr>
        <w:t>, 37(5), pp. 1299–1315.</w:t>
      </w:r>
    </w:p>
    <w:p w14:paraId="54501486"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Selim, H.M. (2007) ‘Critical success factors for e-learning acceptance: Confirmatory factor models’, </w:t>
      </w:r>
      <w:r w:rsidRPr="00C073CC">
        <w:rPr>
          <w:rFonts w:asciiTheme="minorBidi" w:hAnsiTheme="minorBidi"/>
          <w:i/>
          <w:iCs/>
        </w:rPr>
        <w:t>Computers &amp; Education</w:t>
      </w:r>
      <w:r w:rsidRPr="00C073CC">
        <w:rPr>
          <w:rFonts w:asciiTheme="minorBidi" w:hAnsiTheme="minorBidi"/>
        </w:rPr>
        <w:t>, 49(2), pp. 396–413.</w:t>
      </w:r>
    </w:p>
    <w:p w14:paraId="1F30300C"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Trist, E.L. and Bamforth, K.W. (1951) ‘Some social and psychological consequences of the longwall method of coal-getting’, </w:t>
      </w:r>
      <w:r w:rsidRPr="00C073CC">
        <w:rPr>
          <w:rFonts w:asciiTheme="minorBidi" w:hAnsiTheme="minorBidi"/>
          <w:i/>
          <w:iCs/>
        </w:rPr>
        <w:t>Human Relations</w:t>
      </w:r>
      <w:r w:rsidRPr="00C073CC">
        <w:rPr>
          <w:rFonts w:asciiTheme="minorBidi" w:hAnsiTheme="minorBidi"/>
        </w:rPr>
        <w:t>, 4(1), pp. 3–38.</w:t>
      </w:r>
    </w:p>
    <w:p w14:paraId="16B00E42"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Bostrom, R.P. and Heinen, J.S. (1977) ‘MIS problems and failures: A socio-technical perspective’, </w:t>
      </w:r>
      <w:r w:rsidRPr="00C073CC">
        <w:rPr>
          <w:rFonts w:asciiTheme="minorBidi" w:hAnsiTheme="minorBidi"/>
          <w:i/>
          <w:iCs/>
        </w:rPr>
        <w:t>MIS Quarterly</w:t>
      </w:r>
      <w:r w:rsidRPr="00C073CC">
        <w:rPr>
          <w:rFonts w:asciiTheme="minorBidi" w:hAnsiTheme="minorBidi"/>
        </w:rPr>
        <w:t>, 1(3), pp. 17–32.</w:t>
      </w:r>
    </w:p>
    <w:p w14:paraId="7B1FC1E8" w14:textId="77777777" w:rsidR="003E7DB0" w:rsidRPr="00C073CC" w:rsidRDefault="003E7DB0" w:rsidP="003E7DB0">
      <w:pPr>
        <w:spacing w:line="360" w:lineRule="auto"/>
        <w:jc w:val="both"/>
        <w:rPr>
          <w:rFonts w:asciiTheme="minorBidi" w:hAnsiTheme="minorBidi"/>
        </w:rPr>
      </w:pPr>
    </w:p>
    <w:p w14:paraId="0C5EC983" w14:textId="77777777" w:rsidR="003E7DB0" w:rsidRPr="00C073CC" w:rsidRDefault="003E7DB0" w:rsidP="003E7DB0">
      <w:pPr>
        <w:spacing w:line="360" w:lineRule="auto"/>
        <w:jc w:val="both"/>
        <w:rPr>
          <w:rFonts w:asciiTheme="minorBidi" w:hAnsiTheme="minorBidi"/>
        </w:rPr>
      </w:pPr>
    </w:p>
    <w:p w14:paraId="2B654D2E"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Advance HE (2016) </w:t>
      </w:r>
      <w:r w:rsidRPr="00C073CC">
        <w:rPr>
          <w:rFonts w:asciiTheme="minorBidi" w:hAnsiTheme="minorBidi"/>
          <w:i/>
          <w:iCs/>
        </w:rPr>
        <w:t>UK Professional Standards Framework for Teaching and Supporting Learning in Higher Education</w:t>
      </w:r>
      <w:r w:rsidRPr="00C073CC">
        <w:rPr>
          <w:rFonts w:asciiTheme="minorBidi" w:hAnsiTheme="minorBidi"/>
        </w:rPr>
        <w:t>. York: Advance HE.</w:t>
      </w:r>
    </w:p>
    <w:p w14:paraId="684EA617"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lastRenderedPageBreak/>
        <w:t xml:space="preserve">Ajzen, I. (1991) ‘The theory of planned behavior’, </w:t>
      </w:r>
      <w:r w:rsidRPr="00C073CC">
        <w:rPr>
          <w:rFonts w:asciiTheme="minorBidi" w:hAnsiTheme="minorBidi"/>
          <w:i/>
          <w:iCs/>
        </w:rPr>
        <w:t>Organizational Behavior and Human Decision Processes</w:t>
      </w:r>
      <w:r w:rsidRPr="00C073CC">
        <w:rPr>
          <w:rFonts w:asciiTheme="minorBidi" w:hAnsiTheme="minorBidi"/>
        </w:rPr>
        <w:t>, 50(2), pp. 179–211.</w:t>
      </w:r>
    </w:p>
    <w:p w14:paraId="2C46AC07"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Altbach, P.G., Reisberg, L. and Rumbley, L.E. (2019) </w:t>
      </w:r>
      <w:r w:rsidRPr="00C073CC">
        <w:rPr>
          <w:rFonts w:asciiTheme="minorBidi" w:hAnsiTheme="minorBidi"/>
          <w:i/>
          <w:iCs/>
        </w:rPr>
        <w:t>Trends in Global Higher Education: Tracking an Academic Revolution</w:t>
      </w:r>
      <w:r w:rsidRPr="00C073CC">
        <w:rPr>
          <w:rFonts w:asciiTheme="minorBidi" w:hAnsiTheme="minorBidi"/>
        </w:rPr>
        <w:t>. Rotterdam: Sense Publishers.</w:t>
      </w:r>
    </w:p>
    <w:p w14:paraId="2E42630F"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Avgerou, C. (2008) ‘Information systems in developing countries: A critical research review’, </w:t>
      </w:r>
      <w:r w:rsidRPr="00C073CC">
        <w:rPr>
          <w:rFonts w:asciiTheme="minorBidi" w:hAnsiTheme="minorBidi"/>
          <w:i/>
          <w:iCs/>
        </w:rPr>
        <w:t>Journal of Information Technology</w:t>
      </w:r>
      <w:r w:rsidRPr="00C073CC">
        <w:rPr>
          <w:rFonts w:asciiTheme="minorBidi" w:hAnsiTheme="minorBidi"/>
        </w:rPr>
        <w:t>, 23(3), pp. 133–146.</w:t>
      </w:r>
    </w:p>
    <w:p w14:paraId="43DEFA1C"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Bagozzi, R.P. (2007) ‘The legacy of the Technology Acceptance Model and a proposal for a paradigm shift’, </w:t>
      </w:r>
      <w:r w:rsidRPr="00C073CC">
        <w:rPr>
          <w:rFonts w:asciiTheme="minorBidi" w:hAnsiTheme="minorBidi"/>
          <w:i/>
          <w:iCs/>
        </w:rPr>
        <w:t>Journal of the Association for Information Systems</w:t>
      </w:r>
      <w:r w:rsidRPr="00C073CC">
        <w:rPr>
          <w:rFonts w:asciiTheme="minorBidi" w:hAnsiTheme="minorBidi"/>
        </w:rPr>
        <w:t>, 8(4), pp. 244–254.</w:t>
      </w:r>
    </w:p>
    <w:p w14:paraId="5C2DDED5"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Barney, J. (1991) ‘Firm resources and sustained competitive advantage’, </w:t>
      </w:r>
      <w:r w:rsidRPr="00C073CC">
        <w:rPr>
          <w:rFonts w:asciiTheme="minorBidi" w:hAnsiTheme="minorBidi"/>
          <w:i/>
          <w:iCs/>
        </w:rPr>
        <w:t>Journal of Management</w:t>
      </w:r>
      <w:r w:rsidRPr="00C073CC">
        <w:rPr>
          <w:rFonts w:asciiTheme="minorBidi" w:hAnsiTheme="minorBidi"/>
        </w:rPr>
        <w:t>, 17(1), pp. 99–120.</w:t>
      </w:r>
    </w:p>
    <w:p w14:paraId="66CA8956"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Barney, J.B., Ketchen, D.J. and Wright, M. (2011) ‘The future of resource</w:t>
      </w:r>
      <w:r w:rsidRPr="00C073CC">
        <w:rPr>
          <w:rFonts w:ascii="Cambria Math" w:hAnsi="Cambria Math" w:cs="Cambria Math"/>
        </w:rPr>
        <w:t>‐</w:t>
      </w:r>
      <w:r w:rsidRPr="00C073CC">
        <w:rPr>
          <w:rFonts w:asciiTheme="minorBidi" w:hAnsiTheme="minorBidi"/>
        </w:rPr>
        <w:t>based theory: Revitalization or decline?</w:t>
      </w:r>
      <w:r w:rsidRPr="00C073CC">
        <w:rPr>
          <w:rFonts w:ascii="Arial" w:hAnsi="Arial" w:cs="Arial"/>
        </w:rPr>
        <w:t>’</w:t>
      </w:r>
      <w:r w:rsidRPr="00C073CC">
        <w:rPr>
          <w:rFonts w:asciiTheme="minorBidi" w:hAnsiTheme="minorBidi"/>
        </w:rPr>
        <w:t xml:space="preserve">, </w:t>
      </w:r>
      <w:r w:rsidRPr="00C073CC">
        <w:rPr>
          <w:rFonts w:asciiTheme="minorBidi" w:hAnsiTheme="minorBidi"/>
          <w:i/>
          <w:iCs/>
        </w:rPr>
        <w:t>Journal of Management</w:t>
      </w:r>
      <w:r w:rsidRPr="00C073CC">
        <w:rPr>
          <w:rFonts w:asciiTheme="minorBidi" w:hAnsiTheme="minorBidi"/>
        </w:rPr>
        <w:t>, 37(5), pp. 1299–1315.</w:t>
      </w:r>
    </w:p>
    <w:p w14:paraId="0303A108"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Bostrom, R.P. and Heinen, J.S. (1977) ‘MIS problems and failures: A socio-technical perspective’, </w:t>
      </w:r>
      <w:r w:rsidRPr="00C073CC">
        <w:rPr>
          <w:rFonts w:asciiTheme="minorBidi" w:hAnsiTheme="minorBidi"/>
          <w:i/>
          <w:iCs/>
        </w:rPr>
        <w:t>MIS Quarterly</w:t>
      </w:r>
      <w:r w:rsidRPr="00C073CC">
        <w:rPr>
          <w:rFonts w:asciiTheme="minorBidi" w:hAnsiTheme="minorBidi"/>
        </w:rPr>
        <w:t>, 1(3), pp. 17–32.</w:t>
      </w:r>
    </w:p>
    <w:p w14:paraId="3D455BE4"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Davis, F.D. (1989) ‘Perceived usefulness, perceived ease of use, and user acceptance of information technology’, </w:t>
      </w:r>
      <w:r w:rsidRPr="00C073CC">
        <w:rPr>
          <w:rFonts w:asciiTheme="minorBidi" w:hAnsiTheme="minorBidi"/>
          <w:i/>
          <w:iCs/>
        </w:rPr>
        <w:t>MIS Quarterly</w:t>
      </w:r>
      <w:r w:rsidRPr="00C073CC">
        <w:rPr>
          <w:rFonts w:asciiTheme="minorBidi" w:hAnsiTheme="minorBidi"/>
        </w:rPr>
        <w:t>, 13(3), pp. 319–340.</w:t>
      </w:r>
    </w:p>
    <w:p w14:paraId="28E30536"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DiMaggio, P.J. and Powell, W.W. (1983) ‘The iron cage revisited: Institutional isomorphism and collective rationality in organizational fields’, </w:t>
      </w:r>
      <w:r w:rsidRPr="00C073CC">
        <w:rPr>
          <w:rFonts w:asciiTheme="minorBidi" w:hAnsiTheme="minorBidi"/>
          <w:i/>
          <w:iCs/>
        </w:rPr>
        <w:t>American Sociological Review</w:t>
      </w:r>
      <w:r w:rsidRPr="00C073CC">
        <w:rPr>
          <w:rFonts w:asciiTheme="minorBidi" w:hAnsiTheme="minorBidi"/>
        </w:rPr>
        <w:t>, 48(2), pp. 147–160.</w:t>
      </w:r>
    </w:p>
    <w:p w14:paraId="284BA8C2"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Gagné, R.M., Wager, W.W., Golas, K.C. and Keller, J.M. (2005) </w:t>
      </w:r>
      <w:r w:rsidRPr="00C073CC">
        <w:rPr>
          <w:rFonts w:asciiTheme="minorBidi" w:hAnsiTheme="minorBidi"/>
          <w:i/>
          <w:iCs/>
        </w:rPr>
        <w:t>Principles of Instructional Design</w:t>
      </w:r>
      <w:r w:rsidRPr="00C073CC">
        <w:rPr>
          <w:rFonts w:asciiTheme="minorBidi" w:hAnsiTheme="minorBidi"/>
        </w:rPr>
        <w:t>. 5th edn. Belmont, CA: Wadsworth.</w:t>
      </w:r>
    </w:p>
    <w:p w14:paraId="7995E088"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Gibbs, G. (2013) </w:t>
      </w:r>
      <w:r w:rsidRPr="00C073CC">
        <w:rPr>
          <w:rFonts w:asciiTheme="minorBidi" w:hAnsiTheme="minorBidi"/>
          <w:i/>
          <w:iCs/>
        </w:rPr>
        <w:t>Reflections on the Changing Nature of Educational Development</w:t>
      </w:r>
      <w:r w:rsidRPr="00C073CC">
        <w:rPr>
          <w:rFonts w:asciiTheme="minorBidi" w:hAnsiTheme="minorBidi"/>
        </w:rPr>
        <w:t>. York: Higher Education Academy.</w:t>
      </w:r>
    </w:p>
    <w:p w14:paraId="05D3BB3E"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Heeks, R. (2010) ‘Development 2.0: The IT-enabled transformation of international development’, </w:t>
      </w:r>
      <w:r w:rsidRPr="00C073CC">
        <w:rPr>
          <w:rFonts w:asciiTheme="minorBidi" w:hAnsiTheme="minorBidi"/>
          <w:i/>
          <w:iCs/>
        </w:rPr>
        <w:t>Communications of the ACM</w:t>
      </w:r>
      <w:r w:rsidRPr="00C073CC">
        <w:rPr>
          <w:rFonts w:asciiTheme="minorBidi" w:hAnsiTheme="minorBidi"/>
        </w:rPr>
        <w:t>, 53(4), pp. 22–24.</w:t>
      </w:r>
    </w:p>
    <w:p w14:paraId="26C2FA7D"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Kirkwood, A. and Price, L. (2014) ‘Technology-enhanced learning and teaching in higher education: What is “enhanced” and how do we know?’, </w:t>
      </w:r>
      <w:r w:rsidRPr="00C073CC">
        <w:rPr>
          <w:rFonts w:asciiTheme="minorBidi" w:hAnsiTheme="minorBidi"/>
          <w:i/>
          <w:iCs/>
        </w:rPr>
        <w:t>Learning, Media and Technology</w:t>
      </w:r>
      <w:r w:rsidRPr="00C073CC">
        <w:rPr>
          <w:rFonts w:asciiTheme="minorBidi" w:hAnsiTheme="minorBidi"/>
        </w:rPr>
        <w:t>, 39(1), pp. 6–36.</w:t>
      </w:r>
    </w:p>
    <w:p w14:paraId="21105365"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lastRenderedPageBreak/>
        <w:t xml:space="preserve">Knowles, M.S. (1984) </w:t>
      </w:r>
      <w:r w:rsidRPr="00C073CC">
        <w:rPr>
          <w:rFonts w:asciiTheme="minorBidi" w:hAnsiTheme="minorBidi"/>
          <w:i/>
          <w:iCs/>
        </w:rPr>
        <w:t>The Adult Learner: A Neglected Species</w:t>
      </w:r>
      <w:r w:rsidRPr="00C073CC">
        <w:rPr>
          <w:rFonts w:asciiTheme="minorBidi" w:hAnsiTheme="minorBidi"/>
        </w:rPr>
        <w:t>. 3rd edn. Houston, TX: Gulf Publishing.</w:t>
      </w:r>
    </w:p>
    <w:p w14:paraId="0A5C1632"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OECD (2019) </w:t>
      </w:r>
      <w:r w:rsidRPr="00C073CC">
        <w:rPr>
          <w:rFonts w:asciiTheme="minorBidi" w:hAnsiTheme="minorBidi"/>
          <w:i/>
          <w:iCs/>
        </w:rPr>
        <w:t>Enhancing Higher Education System Performance</w:t>
      </w:r>
      <w:r w:rsidRPr="00C073CC">
        <w:rPr>
          <w:rFonts w:asciiTheme="minorBidi" w:hAnsiTheme="minorBidi"/>
        </w:rPr>
        <w:t>. Paris: OECD Publishing.</w:t>
      </w:r>
    </w:p>
    <w:p w14:paraId="09CC411A"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Quality Assurance Agency (QAA) (2018) </w:t>
      </w:r>
      <w:r w:rsidRPr="00C073CC">
        <w:rPr>
          <w:rFonts w:asciiTheme="minorBidi" w:hAnsiTheme="minorBidi"/>
          <w:i/>
          <w:iCs/>
        </w:rPr>
        <w:t>UK Quality Code for Higher Education</w:t>
      </w:r>
      <w:r w:rsidRPr="00C073CC">
        <w:rPr>
          <w:rFonts w:asciiTheme="minorBidi" w:hAnsiTheme="minorBidi"/>
        </w:rPr>
        <w:t>. Gloucester: QAA.</w:t>
      </w:r>
    </w:p>
    <w:p w14:paraId="7BEA3A1D"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Scott, W.R. (2014) </w:t>
      </w:r>
      <w:r w:rsidRPr="00C073CC">
        <w:rPr>
          <w:rFonts w:asciiTheme="minorBidi" w:hAnsiTheme="minorBidi"/>
          <w:i/>
          <w:iCs/>
        </w:rPr>
        <w:t>Institutions and Organizations: Ideas, Interests, and Identities</w:t>
      </w:r>
      <w:r w:rsidRPr="00C073CC">
        <w:rPr>
          <w:rFonts w:asciiTheme="minorBidi" w:hAnsiTheme="minorBidi"/>
        </w:rPr>
        <w:t>. 4th edn. Thousand Oaks, CA: Sage.</w:t>
      </w:r>
    </w:p>
    <w:p w14:paraId="63C4692A"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Selim, H.M. (2007) ‘Critical success factors for e-learning acceptance: Confirmatory factor models’, </w:t>
      </w:r>
      <w:r w:rsidRPr="00C073CC">
        <w:rPr>
          <w:rFonts w:asciiTheme="minorBidi" w:hAnsiTheme="minorBidi"/>
          <w:i/>
          <w:iCs/>
        </w:rPr>
        <w:t>Computers &amp; Education</w:t>
      </w:r>
      <w:r w:rsidRPr="00C073CC">
        <w:rPr>
          <w:rFonts w:asciiTheme="minorBidi" w:hAnsiTheme="minorBidi"/>
        </w:rPr>
        <w:t>, 49(2), pp. 396–413.</w:t>
      </w:r>
    </w:p>
    <w:p w14:paraId="01034934"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Trist, E.L. and Bamforth, K.W. (1951) ‘Some social and psychological consequences of the longwall method of coal-getting’, </w:t>
      </w:r>
      <w:r w:rsidRPr="00C073CC">
        <w:rPr>
          <w:rFonts w:asciiTheme="minorBidi" w:hAnsiTheme="minorBidi"/>
          <w:i/>
          <w:iCs/>
        </w:rPr>
        <w:t>Human Relations</w:t>
      </w:r>
      <w:r w:rsidRPr="00C073CC">
        <w:rPr>
          <w:rFonts w:asciiTheme="minorBidi" w:hAnsiTheme="minorBidi"/>
        </w:rPr>
        <w:t>, 4(1), pp. 3–38.</w:t>
      </w:r>
    </w:p>
    <w:p w14:paraId="761BF44E"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Venkatesh, V., Morris, M.G., Davis, G.B. and Davis, F.D. (2003) ‘User acceptance of information technology: Toward a unified view’, </w:t>
      </w:r>
      <w:r w:rsidRPr="00C073CC">
        <w:rPr>
          <w:rFonts w:asciiTheme="minorBidi" w:hAnsiTheme="minorBidi"/>
          <w:i/>
          <w:iCs/>
        </w:rPr>
        <w:t>MIS Quarterly</w:t>
      </w:r>
      <w:r w:rsidRPr="00C073CC">
        <w:rPr>
          <w:rFonts w:asciiTheme="minorBidi" w:hAnsiTheme="minorBidi"/>
        </w:rPr>
        <w:t>, 27(3), pp. 425–478.</w:t>
      </w:r>
    </w:p>
    <w:p w14:paraId="297838D1"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Venkatesh, V. and Bala, H. (2008) ‘Technology Acceptance Model 3 and a research agenda on interventions’, </w:t>
      </w:r>
      <w:r w:rsidRPr="00C073CC">
        <w:rPr>
          <w:rFonts w:asciiTheme="minorBidi" w:hAnsiTheme="minorBidi"/>
          <w:i/>
          <w:iCs/>
        </w:rPr>
        <w:t>Decision Sciences</w:t>
      </w:r>
      <w:r w:rsidRPr="00C073CC">
        <w:rPr>
          <w:rFonts w:asciiTheme="minorBidi" w:hAnsiTheme="minorBidi"/>
        </w:rPr>
        <w:t>, 39(2), pp. 273–315.</w:t>
      </w:r>
    </w:p>
    <w:p w14:paraId="04287F46" w14:textId="77777777" w:rsidR="003E7DB0" w:rsidRPr="00C073CC" w:rsidRDefault="003E7DB0" w:rsidP="003E7DB0">
      <w:pPr>
        <w:spacing w:line="360" w:lineRule="auto"/>
        <w:jc w:val="both"/>
        <w:rPr>
          <w:rFonts w:asciiTheme="minorBidi" w:hAnsiTheme="minorBidi"/>
        </w:rPr>
      </w:pPr>
      <w:r w:rsidRPr="00C073CC">
        <w:rPr>
          <w:rFonts w:asciiTheme="minorBidi" w:hAnsiTheme="minorBidi"/>
        </w:rPr>
        <w:t xml:space="preserve">Vygotsky, L.S. (1978) </w:t>
      </w:r>
      <w:r w:rsidRPr="00C073CC">
        <w:rPr>
          <w:rFonts w:asciiTheme="minorBidi" w:hAnsiTheme="minorBidi"/>
          <w:i/>
          <w:iCs/>
        </w:rPr>
        <w:t>Mind in Society: The Development of Higher Psychological Processes</w:t>
      </w:r>
      <w:r w:rsidRPr="00C073CC">
        <w:rPr>
          <w:rFonts w:asciiTheme="minorBidi" w:hAnsiTheme="minorBidi"/>
        </w:rPr>
        <w:t>. Cambridge, MA: Harvard University Press.</w:t>
      </w:r>
    </w:p>
    <w:p w14:paraId="20A74FA3" w14:textId="77777777" w:rsidR="003E7DB0" w:rsidRPr="00C073CC" w:rsidRDefault="003E7DB0" w:rsidP="003E7DB0">
      <w:pPr>
        <w:spacing w:line="360" w:lineRule="auto"/>
        <w:jc w:val="both"/>
        <w:rPr>
          <w:rFonts w:asciiTheme="minorBidi" w:hAnsiTheme="minorBidi"/>
        </w:rPr>
      </w:pPr>
    </w:p>
    <w:p w14:paraId="328837C8" w14:textId="4220B3EA" w:rsidR="00B65461" w:rsidRPr="00C073CC" w:rsidRDefault="003E7DB0" w:rsidP="00B65461">
      <w:pPr>
        <w:spacing w:line="360" w:lineRule="auto"/>
        <w:jc w:val="both"/>
        <w:rPr>
          <w:rFonts w:asciiTheme="minorBidi" w:hAnsiTheme="minorBidi"/>
        </w:rPr>
      </w:pPr>
      <w:r w:rsidRPr="00C073CC">
        <w:rPr>
          <w:rFonts w:asciiTheme="minorBidi" w:hAnsiTheme="minorBidi"/>
        </w:rPr>
        <w:t>.</w:t>
      </w:r>
      <w:r w:rsidR="00B65461" w:rsidRPr="00C073CC">
        <w:rPr>
          <w:rFonts w:asciiTheme="minorBidi" w:hAnsiTheme="minorBidi"/>
        </w:rPr>
        <w:t xml:space="preserve"> References </w:t>
      </w:r>
    </w:p>
    <w:p w14:paraId="2ED0CC86" w14:textId="77777777" w:rsidR="00B65461" w:rsidRPr="00C073CC" w:rsidRDefault="00B65461" w:rsidP="00B65461">
      <w:pPr>
        <w:spacing w:line="360" w:lineRule="auto"/>
        <w:jc w:val="both"/>
        <w:rPr>
          <w:rFonts w:asciiTheme="minorBidi" w:hAnsiTheme="minorBidi"/>
        </w:rPr>
      </w:pPr>
      <w:r w:rsidRPr="00C073CC">
        <w:rPr>
          <w:rFonts w:asciiTheme="minorBidi" w:hAnsiTheme="minorBidi"/>
        </w:rPr>
        <w:t>Ahsan, M.J., 2025. Cultivating a culture of learning: the role of leadership in fostering lifelong development. </w:t>
      </w:r>
      <w:r w:rsidRPr="00C073CC">
        <w:rPr>
          <w:rFonts w:asciiTheme="minorBidi" w:hAnsiTheme="minorBidi"/>
          <w:i/>
          <w:iCs/>
        </w:rPr>
        <w:t>The learning organization</w:t>
      </w:r>
      <w:r w:rsidRPr="00C073CC">
        <w:rPr>
          <w:rFonts w:asciiTheme="minorBidi" w:hAnsiTheme="minorBidi"/>
        </w:rPr>
        <w:t>, </w:t>
      </w:r>
      <w:r w:rsidRPr="00C073CC">
        <w:rPr>
          <w:rFonts w:asciiTheme="minorBidi" w:hAnsiTheme="minorBidi"/>
          <w:i/>
          <w:iCs/>
        </w:rPr>
        <w:t>32</w:t>
      </w:r>
      <w:r w:rsidRPr="00C073CC">
        <w:rPr>
          <w:rFonts w:asciiTheme="minorBidi" w:hAnsiTheme="minorBidi"/>
        </w:rPr>
        <w:t>(2), pp.282-306.</w:t>
      </w:r>
    </w:p>
    <w:p w14:paraId="1B42F47E" w14:textId="77777777" w:rsidR="00B65461" w:rsidRPr="00C073CC" w:rsidRDefault="00B65461" w:rsidP="00B65461">
      <w:pPr>
        <w:spacing w:line="360" w:lineRule="auto"/>
        <w:jc w:val="both"/>
        <w:rPr>
          <w:rFonts w:asciiTheme="minorBidi" w:hAnsiTheme="minorBidi"/>
        </w:rPr>
      </w:pPr>
      <w:r w:rsidRPr="00C073CC">
        <w:rPr>
          <w:rFonts w:asciiTheme="minorBidi" w:hAnsiTheme="minorBidi"/>
        </w:rPr>
        <w:t xml:space="preserve">Teunissen, P. W., &amp; Westerman, M. (2021). Perspectives on assessment and feedback in continuing professional development: “Just a tick-box exercise?”. </w:t>
      </w:r>
      <w:r w:rsidRPr="00C073CC">
        <w:rPr>
          <w:rFonts w:asciiTheme="minorBidi" w:hAnsiTheme="minorBidi"/>
          <w:i/>
          <w:iCs/>
        </w:rPr>
        <w:t>Medical Teacher, 43</w:t>
      </w:r>
      <w:r w:rsidRPr="00C073CC">
        <w:rPr>
          <w:rFonts w:asciiTheme="minorBidi" w:hAnsiTheme="minorBidi"/>
        </w:rPr>
        <w:t>(5), 536–543.</w:t>
      </w:r>
    </w:p>
    <w:p w14:paraId="72AA4802" w14:textId="77777777" w:rsidR="00B65461" w:rsidRPr="00C073CC" w:rsidRDefault="00B65461" w:rsidP="00B65461">
      <w:pPr>
        <w:spacing w:line="360" w:lineRule="auto"/>
        <w:jc w:val="both"/>
        <w:rPr>
          <w:rFonts w:asciiTheme="minorBidi" w:hAnsiTheme="minorBidi"/>
        </w:rPr>
      </w:pPr>
      <w:r w:rsidRPr="00C073CC">
        <w:rPr>
          <w:rFonts w:asciiTheme="minorBidi" w:hAnsiTheme="minorBidi"/>
        </w:rPr>
        <w:t xml:space="preserve">Regmi, K., &amp; Jones, L. (2020). A systematic review of the factors—enablers and barriers—affecting e-learning in health sciences education. </w:t>
      </w:r>
      <w:r w:rsidRPr="00C073CC">
        <w:rPr>
          <w:rFonts w:asciiTheme="minorBidi" w:hAnsiTheme="minorBidi"/>
          <w:i/>
          <w:iCs/>
        </w:rPr>
        <w:t>BMC Medical Education, 20</w:t>
      </w:r>
      <w:r w:rsidRPr="00C073CC">
        <w:rPr>
          <w:rFonts w:asciiTheme="minorBidi" w:hAnsiTheme="minorBidi"/>
        </w:rPr>
        <w:t>(1), 91.</w:t>
      </w:r>
    </w:p>
    <w:p w14:paraId="09996473" w14:textId="77777777" w:rsidR="00B65461" w:rsidRPr="00C073CC" w:rsidRDefault="00B65461" w:rsidP="00B65461">
      <w:pPr>
        <w:spacing w:line="360" w:lineRule="auto"/>
        <w:jc w:val="both"/>
        <w:rPr>
          <w:rFonts w:asciiTheme="minorBidi" w:hAnsiTheme="minorBidi"/>
        </w:rPr>
      </w:pPr>
      <w:r w:rsidRPr="00C073CC">
        <w:rPr>
          <w:rFonts w:asciiTheme="minorBidi" w:hAnsiTheme="minorBidi"/>
        </w:rPr>
        <w:lastRenderedPageBreak/>
        <w:t xml:space="preserve">Sangrà, A., Vlachopoulos, D., &amp; Cabrera, N. (2022). Building an inclusive, integrated, and impactful digital learning environment for professionals. </w:t>
      </w:r>
      <w:r w:rsidRPr="00C073CC">
        <w:rPr>
          <w:rFonts w:asciiTheme="minorBidi" w:hAnsiTheme="minorBidi"/>
          <w:i/>
          <w:iCs/>
        </w:rPr>
        <w:t>Education and Information Technologies, 27</w:t>
      </w:r>
      <w:r w:rsidRPr="00C073CC">
        <w:rPr>
          <w:rFonts w:asciiTheme="minorBidi" w:hAnsiTheme="minorBidi"/>
        </w:rPr>
        <w:t>, 12345–12363.</w:t>
      </w:r>
    </w:p>
    <w:p w14:paraId="5CAF3CA8" w14:textId="77777777" w:rsidR="00B65461" w:rsidRPr="00C073CC" w:rsidRDefault="00B65461" w:rsidP="00B65461">
      <w:pPr>
        <w:spacing w:line="360" w:lineRule="auto"/>
        <w:jc w:val="both"/>
        <w:rPr>
          <w:rFonts w:asciiTheme="minorBidi" w:hAnsiTheme="minorBidi"/>
        </w:rPr>
      </w:pPr>
    </w:p>
    <w:p w14:paraId="49B6F1AA" w14:textId="77777777" w:rsidR="00B65461" w:rsidRPr="00C073CC" w:rsidRDefault="00B65461" w:rsidP="00B65461">
      <w:pPr>
        <w:spacing w:line="360" w:lineRule="auto"/>
        <w:jc w:val="both"/>
        <w:rPr>
          <w:rFonts w:asciiTheme="minorBidi" w:hAnsiTheme="minorBidi"/>
        </w:rPr>
      </w:pPr>
      <w:r w:rsidRPr="00C073CC">
        <w:rPr>
          <w:rFonts w:asciiTheme="minorBidi" w:hAnsiTheme="minorBidi"/>
        </w:rPr>
        <w:t xml:space="preserve">Teunissen, P. W., &amp; Westerman, M. (2021). Perspectives on assessment and feedback in continuing professional development: “Just a tick-box exercise?”. </w:t>
      </w:r>
      <w:r w:rsidRPr="00C073CC">
        <w:rPr>
          <w:rFonts w:asciiTheme="minorBidi" w:hAnsiTheme="minorBidi"/>
          <w:i/>
          <w:iCs/>
        </w:rPr>
        <w:t>Medical Teacher, 43</w:t>
      </w:r>
      <w:r w:rsidRPr="00C073CC">
        <w:rPr>
          <w:rFonts w:asciiTheme="minorBidi" w:hAnsiTheme="minorBidi"/>
        </w:rPr>
        <w:t>(5), 536–543.</w:t>
      </w:r>
    </w:p>
    <w:p w14:paraId="0A61F189" w14:textId="541611A0" w:rsidR="00B65461" w:rsidRPr="004E7E7B" w:rsidRDefault="00B65461" w:rsidP="00B65461">
      <w:pPr>
        <w:spacing w:line="360" w:lineRule="auto"/>
        <w:jc w:val="both"/>
        <w:rPr>
          <w:rFonts w:asciiTheme="minorBidi" w:hAnsiTheme="minorBidi"/>
        </w:rPr>
      </w:pPr>
      <w:r w:rsidRPr="004E7E7B">
        <w:rPr>
          <w:rFonts w:asciiTheme="minorBidi" w:hAnsiTheme="minorBidi"/>
        </w:rPr>
        <w:t xml:space="preserve"> Hosseini, S., Allen, L., Khalid, F., Li, D., Stellrecht, E., Howard, M. &amp; Chan, T. M. (2023). </w:t>
      </w:r>
      <w:r w:rsidRPr="004E7E7B">
        <w:rPr>
          <w:rFonts w:asciiTheme="minorBidi" w:hAnsiTheme="minorBidi"/>
          <w:i/>
          <w:iCs/>
        </w:rPr>
        <w:t>Evaluation of Continuing Professional Development for Physicians – Time for Change: A Scoping Review</w:t>
      </w:r>
      <w:r w:rsidRPr="004E7E7B">
        <w:rPr>
          <w:rFonts w:asciiTheme="minorBidi" w:hAnsiTheme="minorBidi"/>
        </w:rPr>
        <w:t xml:space="preserve">. </w:t>
      </w:r>
      <w:r w:rsidRPr="004E7E7B">
        <w:rPr>
          <w:rFonts w:asciiTheme="minorBidi" w:hAnsiTheme="minorBidi"/>
          <w:i/>
          <w:iCs/>
        </w:rPr>
        <w:t>Perspectives on Medical Education, 12</w:t>
      </w:r>
      <w:r w:rsidRPr="004E7E7B">
        <w:rPr>
          <w:rFonts w:asciiTheme="minorBidi" w:hAnsiTheme="minorBidi"/>
        </w:rPr>
        <w:t xml:space="preserve">(1), 198–207. </w:t>
      </w:r>
      <w:hyperlink r:id="rId32" w:tgtFrame="_blank" w:history="1">
        <w:r w:rsidRPr="004E7E7B">
          <w:rPr>
            <w:rStyle w:val="Hyperlink"/>
            <w:rFonts w:asciiTheme="minorBidi" w:hAnsiTheme="minorBidi"/>
          </w:rPr>
          <w:t>Perspectives on Medical Education+2PubMed+2</w:t>
        </w:r>
      </w:hyperlink>
    </w:p>
    <w:p w14:paraId="6A7BC206" w14:textId="60506787" w:rsidR="00B65461" w:rsidRPr="004E7E7B" w:rsidRDefault="00B65461" w:rsidP="00B65461">
      <w:pPr>
        <w:spacing w:line="360" w:lineRule="auto"/>
        <w:jc w:val="both"/>
        <w:rPr>
          <w:rFonts w:asciiTheme="minorBidi" w:hAnsiTheme="minorBidi"/>
        </w:rPr>
      </w:pPr>
      <w:r w:rsidRPr="00C073CC">
        <w:rPr>
          <w:rFonts w:asciiTheme="minorBidi" w:hAnsiTheme="minorBidi"/>
          <w:lang w:val="sv-SE"/>
        </w:rPr>
        <w:t xml:space="preserve">Nīmante, D., Kokare, M., Baranova, S. &amp; Surikova, S. (2025). </w:t>
      </w:r>
      <w:r w:rsidRPr="004E7E7B">
        <w:rPr>
          <w:rFonts w:asciiTheme="minorBidi" w:hAnsiTheme="minorBidi"/>
          <w:i/>
          <w:iCs/>
        </w:rPr>
        <w:t>Transferring Results of Professional Development into Practice: A Scoping Review</w:t>
      </w:r>
      <w:r w:rsidRPr="004E7E7B">
        <w:rPr>
          <w:rFonts w:asciiTheme="minorBidi" w:hAnsiTheme="minorBidi"/>
        </w:rPr>
        <w:t xml:space="preserve">. </w:t>
      </w:r>
      <w:r w:rsidRPr="004E7E7B">
        <w:rPr>
          <w:rFonts w:asciiTheme="minorBidi" w:hAnsiTheme="minorBidi"/>
          <w:i/>
          <w:iCs/>
        </w:rPr>
        <w:t>Education Sciences, 15</w:t>
      </w:r>
      <w:r w:rsidRPr="004E7E7B">
        <w:rPr>
          <w:rFonts w:asciiTheme="minorBidi" w:hAnsiTheme="minorBidi"/>
        </w:rPr>
        <w:t>(1), 95</w:t>
      </w:r>
    </w:p>
    <w:p w14:paraId="28CF554B" w14:textId="77777777" w:rsidR="00B65461" w:rsidRPr="00022A1D" w:rsidRDefault="00B65461" w:rsidP="00B65461">
      <w:pPr>
        <w:spacing w:line="360" w:lineRule="auto"/>
        <w:jc w:val="both"/>
        <w:rPr>
          <w:rFonts w:asciiTheme="minorBidi" w:hAnsiTheme="minorBidi"/>
        </w:rPr>
      </w:pPr>
    </w:p>
    <w:p w14:paraId="3507F46A" w14:textId="77777777" w:rsidR="00B65461" w:rsidRPr="00022A1D" w:rsidRDefault="00B65461" w:rsidP="00B65461">
      <w:pPr>
        <w:spacing w:line="360" w:lineRule="auto"/>
        <w:jc w:val="both"/>
        <w:rPr>
          <w:rFonts w:asciiTheme="minorBidi" w:hAnsiTheme="minorBidi"/>
        </w:rPr>
      </w:pPr>
      <w:r w:rsidRPr="004E7E7B">
        <w:rPr>
          <w:rFonts w:asciiTheme="minorBidi" w:hAnsiTheme="minorBidi"/>
        </w:rPr>
        <w:t xml:space="preserve"> Manuel</w:t>
      </w:r>
      <w:r w:rsidRPr="00022A1D">
        <w:rPr>
          <w:rFonts w:asciiTheme="minorBidi" w:hAnsiTheme="minorBidi"/>
        </w:rPr>
        <w:t xml:space="preserve">, S. (2022), Research shows value of Continuous Professional Development (CPD) available at </w:t>
      </w:r>
      <w:hyperlink r:id="rId33" w:history="1">
        <w:r w:rsidRPr="00022A1D">
          <w:rPr>
            <w:rStyle w:val="Hyperlink"/>
            <w:rFonts w:asciiTheme="minorBidi" w:hAnsiTheme="minorBidi"/>
          </w:rPr>
          <w:t>https://www.step.org/knowledge-hub/knowledge</w:t>
        </w:r>
      </w:hyperlink>
      <w:r w:rsidRPr="00022A1D">
        <w:rPr>
          <w:rFonts w:asciiTheme="minorBidi" w:hAnsiTheme="minorBidi"/>
        </w:rPr>
        <w:t>, Accessed on 02/12/2025</w:t>
      </w:r>
    </w:p>
    <w:p w14:paraId="0D385C01" w14:textId="77777777" w:rsidR="00B65461" w:rsidRPr="00292205" w:rsidRDefault="00B65461" w:rsidP="00B65461">
      <w:pPr>
        <w:spacing w:line="360" w:lineRule="auto"/>
        <w:jc w:val="both"/>
        <w:rPr>
          <w:rFonts w:asciiTheme="minorBidi" w:hAnsiTheme="minorBidi"/>
        </w:rPr>
      </w:pPr>
      <w:r w:rsidRPr="00022A1D">
        <w:rPr>
          <w:rFonts w:asciiTheme="minorBidi" w:hAnsiTheme="minorBidi"/>
          <w:lang w:val="it-IT"/>
        </w:rPr>
        <w:t xml:space="preserve">Novrianto, A., Fitriadi, Y. and Nengsi, N.S.W., 2024. </w:t>
      </w:r>
      <w:r w:rsidRPr="00022A1D">
        <w:rPr>
          <w:rFonts w:asciiTheme="minorBidi" w:hAnsiTheme="minorBidi"/>
        </w:rPr>
        <w:t>Cultivating a Growth Mindset: HR's Role in Fostering Continuous Learning Cultures. </w:t>
      </w:r>
      <w:r w:rsidRPr="00022A1D">
        <w:rPr>
          <w:rFonts w:asciiTheme="minorBidi" w:hAnsiTheme="minorBidi"/>
          <w:i/>
          <w:iCs/>
        </w:rPr>
        <w:t>Equator Journal of Management and Entrepreneurship (EJME)</w:t>
      </w:r>
      <w:r w:rsidRPr="00022A1D">
        <w:rPr>
          <w:rFonts w:asciiTheme="minorBidi" w:hAnsiTheme="minorBidi"/>
        </w:rPr>
        <w:t>, </w:t>
      </w:r>
      <w:r w:rsidRPr="00022A1D">
        <w:rPr>
          <w:rFonts w:asciiTheme="minorBidi" w:hAnsiTheme="minorBidi"/>
          <w:i/>
          <w:iCs/>
        </w:rPr>
        <w:t>12</w:t>
      </w:r>
      <w:r w:rsidRPr="00022A1D">
        <w:rPr>
          <w:rFonts w:asciiTheme="minorBidi" w:hAnsiTheme="minorBidi"/>
        </w:rPr>
        <w:t>(3), pp.235-243.</w:t>
      </w:r>
    </w:p>
    <w:p w14:paraId="462E4F81" w14:textId="77777777" w:rsidR="00B65461" w:rsidRPr="00022A1D" w:rsidRDefault="00B65461" w:rsidP="00B65461">
      <w:pPr>
        <w:spacing w:line="360" w:lineRule="auto"/>
        <w:jc w:val="both"/>
        <w:rPr>
          <w:rFonts w:asciiTheme="minorBidi" w:hAnsiTheme="minorBidi"/>
        </w:rPr>
      </w:pPr>
      <w:r w:rsidRPr="00022A1D">
        <w:rPr>
          <w:rFonts w:asciiTheme="minorBidi" w:hAnsiTheme="minorBidi"/>
        </w:rPr>
        <w:t>Aleo, G., Pagnucci, N., Walsh, N., Watson, R., Lang, D., Kearns, T., White, M. and Fitzgerald, C., 2024. The effectiveness of continuing professional development for the residential long-term care workforce: A systematic review. </w:t>
      </w:r>
      <w:r w:rsidRPr="00022A1D">
        <w:rPr>
          <w:rFonts w:asciiTheme="minorBidi" w:hAnsiTheme="minorBidi"/>
          <w:i/>
          <w:iCs/>
        </w:rPr>
        <w:t>Nurse Education Today</w:t>
      </w:r>
      <w:r w:rsidRPr="00022A1D">
        <w:rPr>
          <w:rFonts w:asciiTheme="minorBidi" w:hAnsiTheme="minorBidi"/>
        </w:rPr>
        <w:t>, </w:t>
      </w:r>
      <w:r w:rsidRPr="00022A1D">
        <w:rPr>
          <w:rFonts w:asciiTheme="minorBidi" w:hAnsiTheme="minorBidi"/>
          <w:i/>
          <w:iCs/>
        </w:rPr>
        <w:t>137</w:t>
      </w:r>
      <w:r w:rsidRPr="00022A1D">
        <w:rPr>
          <w:rFonts w:asciiTheme="minorBidi" w:hAnsiTheme="minorBidi"/>
        </w:rPr>
        <w:t>, p.106161.</w:t>
      </w:r>
      <w:r w:rsidRPr="00292205">
        <w:rPr>
          <w:rFonts w:asciiTheme="minorBidi" w:hAnsiTheme="minorBidi"/>
        </w:rPr>
        <w:t xml:space="preserve">Ali, S., et al. (2025). Impact of continuing professional development on health professionals’ performance and patient outcomes: A systematic review. </w:t>
      </w:r>
      <w:r w:rsidRPr="00292205">
        <w:rPr>
          <w:rFonts w:asciiTheme="minorBidi" w:hAnsiTheme="minorBidi"/>
          <w:i/>
          <w:iCs/>
        </w:rPr>
        <w:t>BMC Medical Education</w:t>
      </w:r>
      <w:r w:rsidRPr="00292205">
        <w:rPr>
          <w:rFonts w:asciiTheme="minorBidi" w:hAnsiTheme="minorBidi"/>
        </w:rPr>
        <w:t>.</w:t>
      </w:r>
      <w:hyperlink r:id="rId34" w:tgtFrame="_blank" w:history="1">
        <w:r w:rsidRPr="00292205">
          <w:rPr>
            <w:rStyle w:val="Hyperlink"/>
            <w:rFonts w:asciiTheme="minorBidi" w:hAnsiTheme="minorBidi"/>
          </w:rPr>
          <w:t>SpringerLink</w:t>
        </w:r>
      </w:hyperlink>
    </w:p>
    <w:p w14:paraId="79ACEA17" w14:textId="77777777" w:rsidR="00B65461" w:rsidRPr="00022A1D" w:rsidRDefault="00B65461" w:rsidP="00B65461">
      <w:pPr>
        <w:spacing w:line="360" w:lineRule="auto"/>
        <w:jc w:val="both"/>
        <w:rPr>
          <w:rFonts w:asciiTheme="minorBidi" w:hAnsiTheme="minorBidi"/>
        </w:rPr>
      </w:pPr>
      <w:r w:rsidRPr="00811AE6">
        <w:rPr>
          <w:rFonts w:asciiTheme="minorBidi" w:hAnsiTheme="minorBidi"/>
        </w:rPr>
        <w:t xml:space="preserve">Ali, S., Sethi, A., Soltani, A. and Nazar, Z., 2025. </w:t>
      </w:r>
      <w:r w:rsidRPr="00022A1D">
        <w:rPr>
          <w:rFonts w:asciiTheme="minorBidi" w:hAnsiTheme="minorBidi"/>
        </w:rPr>
        <w:t>Impact of continuing professional development (CPD) on patient outcomes: a systematic scoping review. </w:t>
      </w:r>
      <w:r w:rsidRPr="00022A1D">
        <w:rPr>
          <w:rFonts w:asciiTheme="minorBidi" w:hAnsiTheme="minorBidi"/>
          <w:i/>
          <w:iCs/>
        </w:rPr>
        <w:t>BMC Medical Education</w:t>
      </w:r>
      <w:r w:rsidRPr="00022A1D">
        <w:rPr>
          <w:rFonts w:asciiTheme="minorBidi" w:hAnsiTheme="minorBidi"/>
        </w:rPr>
        <w:t>, </w:t>
      </w:r>
      <w:r w:rsidRPr="00022A1D">
        <w:rPr>
          <w:rFonts w:asciiTheme="minorBidi" w:hAnsiTheme="minorBidi"/>
          <w:i/>
          <w:iCs/>
        </w:rPr>
        <w:t>25</w:t>
      </w:r>
      <w:r w:rsidRPr="00022A1D">
        <w:rPr>
          <w:rFonts w:asciiTheme="minorBidi" w:hAnsiTheme="minorBidi"/>
        </w:rPr>
        <w:t>(1), p.1284.</w:t>
      </w:r>
    </w:p>
    <w:p w14:paraId="799D7993" w14:textId="77777777" w:rsidR="00B65461" w:rsidRPr="00292205" w:rsidRDefault="00B65461" w:rsidP="00B65461">
      <w:pPr>
        <w:spacing w:line="360" w:lineRule="auto"/>
        <w:jc w:val="both"/>
        <w:rPr>
          <w:rFonts w:asciiTheme="minorBidi" w:hAnsiTheme="minorBidi"/>
        </w:rPr>
      </w:pPr>
      <w:r w:rsidRPr="00022A1D">
        <w:rPr>
          <w:rFonts w:asciiTheme="minorBidi" w:hAnsiTheme="minorBidi"/>
        </w:rPr>
        <w:lastRenderedPageBreak/>
        <w:t>Awal, M.R., 2022. A literature review on the continuing professional development (CPD) for accounting teachers: perspective of government colleges in Bangladesh. </w:t>
      </w:r>
      <w:r w:rsidRPr="00022A1D">
        <w:rPr>
          <w:rFonts w:asciiTheme="minorBidi" w:hAnsiTheme="minorBidi"/>
          <w:i/>
          <w:iCs/>
        </w:rPr>
        <w:t>Global Journal of Management and Business Research: D Accounting and Auditing</w:t>
      </w:r>
      <w:r w:rsidRPr="00022A1D">
        <w:rPr>
          <w:rFonts w:asciiTheme="minorBidi" w:hAnsiTheme="minorBidi"/>
        </w:rPr>
        <w:t>, </w:t>
      </w:r>
      <w:r w:rsidRPr="00022A1D">
        <w:rPr>
          <w:rFonts w:asciiTheme="minorBidi" w:hAnsiTheme="minorBidi"/>
          <w:i/>
          <w:iCs/>
        </w:rPr>
        <w:t>22</w:t>
      </w:r>
      <w:r w:rsidRPr="00022A1D">
        <w:rPr>
          <w:rFonts w:asciiTheme="minorBidi" w:hAnsiTheme="minorBidi"/>
        </w:rPr>
        <w:t>(1), pp.47-51.</w:t>
      </w:r>
    </w:p>
    <w:p w14:paraId="294DFB1C" w14:textId="77777777" w:rsidR="00B65461" w:rsidRPr="00022A1D" w:rsidRDefault="00B65461" w:rsidP="00B65461">
      <w:pPr>
        <w:spacing w:line="360" w:lineRule="auto"/>
        <w:jc w:val="both"/>
        <w:rPr>
          <w:rFonts w:asciiTheme="minorBidi" w:hAnsiTheme="minorBidi"/>
        </w:rPr>
      </w:pPr>
      <w:r w:rsidRPr="00022A1D">
        <w:rPr>
          <w:rFonts w:asciiTheme="minorBidi" w:hAnsiTheme="minorBidi"/>
        </w:rPr>
        <w:t xml:space="preserve">Coldwell, M and Simkins, T (2011). Level models of continuing professional development evaluation: a grounded review and critique. </w:t>
      </w:r>
      <w:r w:rsidRPr="00022A1D">
        <w:rPr>
          <w:rFonts w:asciiTheme="minorBidi" w:hAnsiTheme="minorBidi"/>
          <w:i/>
          <w:iCs/>
        </w:rPr>
        <w:t>Professional development in education</w:t>
      </w:r>
      <w:r w:rsidRPr="00022A1D">
        <w:rPr>
          <w:rFonts w:asciiTheme="minorBidi" w:hAnsiTheme="minorBidi"/>
        </w:rPr>
        <w:t>, 37 (1), 143-157. [Article]</w:t>
      </w:r>
    </w:p>
    <w:p w14:paraId="2FA71AA5" w14:textId="77777777" w:rsidR="00B65461" w:rsidRPr="00022A1D" w:rsidRDefault="00B65461" w:rsidP="00B65461">
      <w:pPr>
        <w:spacing w:line="360" w:lineRule="auto"/>
        <w:jc w:val="both"/>
        <w:rPr>
          <w:rFonts w:asciiTheme="minorBidi" w:hAnsiTheme="minorBidi"/>
        </w:rPr>
      </w:pPr>
      <w:r w:rsidRPr="00022A1D">
        <w:rPr>
          <w:rFonts w:asciiTheme="minorBidi" w:hAnsiTheme="minorBidi"/>
        </w:rPr>
        <w:t>Kirkpatrick, D., 1998. Evaluating Training Programmes: the four levels. 2nd ed. San Francisco: Berrett-Koehler.</w:t>
      </w:r>
    </w:p>
    <w:p w14:paraId="38B5EBA2" w14:textId="77777777" w:rsidR="00B65461" w:rsidRPr="00292205" w:rsidRDefault="00B65461" w:rsidP="00B65461">
      <w:pPr>
        <w:spacing w:line="360" w:lineRule="auto"/>
        <w:jc w:val="both"/>
        <w:rPr>
          <w:rFonts w:asciiTheme="minorBidi" w:hAnsiTheme="minorBidi"/>
        </w:rPr>
      </w:pPr>
      <w:r w:rsidRPr="00292205">
        <w:rPr>
          <w:rFonts w:asciiTheme="minorBidi" w:hAnsiTheme="minorBidi"/>
        </w:rPr>
        <w:t xml:space="preserve">Friedman, A. L. (2023). Continuing professional development as lifelong learning and education. </w:t>
      </w:r>
      <w:r w:rsidRPr="00292205">
        <w:rPr>
          <w:rFonts w:asciiTheme="minorBidi" w:hAnsiTheme="minorBidi"/>
          <w:i/>
          <w:iCs/>
        </w:rPr>
        <w:t>International Journal of Lifelong Education</w:t>
      </w:r>
      <w:r w:rsidRPr="00292205">
        <w:rPr>
          <w:rFonts w:asciiTheme="minorBidi" w:hAnsiTheme="minorBidi"/>
        </w:rPr>
        <w:t>.</w:t>
      </w:r>
      <w:hyperlink r:id="rId35" w:tgtFrame="_blank" w:history="1">
        <w:r w:rsidRPr="00292205">
          <w:rPr>
            <w:rStyle w:val="Hyperlink"/>
            <w:rFonts w:asciiTheme="minorBidi" w:hAnsiTheme="minorBidi"/>
          </w:rPr>
          <w:t>Taylor &amp; Francis Online</w:t>
        </w:r>
      </w:hyperlink>
    </w:p>
    <w:p w14:paraId="361D6877" w14:textId="77777777" w:rsidR="00B65461" w:rsidRPr="00292205" w:rsidRDefault="00B65461" w:rsidP="00B65461">
      <w:pPr>
        <w:spacing w:line="360" w:lineRule="auto"/>
        <w:jc w:val="both"/>
        <w:rPr>
          <w:rFonts w:asciiTheme="minorBidi" w:hAnsiTheme="minorBidi"/>
        </w:rPr>
      </w:pPr>
      <w:r w:rsidRPr="00292205">
        <w:rPr>
          <w:rFonts w:asciiTheme="minorBidi" w:hAnsiTheme="minorBidi"/>
        </w:rPr>
        <w:t>Harunavamwe</w:t>
      </w:r>
      <w:r w:rsidRPr="00022A1D">
        <w:rPr>
          <w:rFonts w:asciiTheme="minorBidi" w:hAnsiTheme="minorBidi"/>
        </w:rPr>
        <w:t>, M. and Mnqayi, R.B., 2021. Exploring the Effect of Continuous Professional Development (CPD) Programs on Employee Performance at Company A in Empangeni, KwaZulu-Natal. </w:t>
      </w:r>
      <w:r w:rsidRPr="00022A1D">
        <w:rPr>
          <w:rFonts w:asciiTheme="minorBidi" w:hAnsiTheme="minorBidi"/>
          <w:i/>
          <w:iCs/>
        </w:rPr>
        <w:t>Expert Journal of Business and Management</w:t>
      </w:r>
      <w:r w:rsidRPr="00022A1D">
        <w:rPr>
          <w:rFonts w:asciiTheme="minorBidi" w:hAnsiTheme="minorBidi"/>
        </w:rPr>
        <w:t>, </w:t>
      </w:r>
      <w:r w:rsidRPr="00022A1D">
        <w:rPr>
          <w:rFonts w:asciiTheme="minorBidi" w:hAnsiTheme="minorBidi"/>
          <w:i/>
          <w:iCs/>
        </w:rPr>
        <w:t>9</w:t>
      </w:r>
      <w:r w:rsidRPr="00022A1D">
        <w:rPr>
          <w:rFonts w:asciiTheme="minorBidi" w:hAnsiTheme="minorBidi"/>
        </w:rPr>
        <w:t>(1).</w:t>
      </w:r>
    </w:p>
    <w:p w14:paraId="213D6311" w14:textId="77777777" w:rsidR="00B65461" w:rsidRPr="00292205" w:rsidRDefault="00B65461" w:rsidP="00B65461">
      <w:pPr>
        <w:spacing w:line="360" w:lineRule="auto"/>
        <w:jc w:val="both"/>
        <w:rPr>
          <w:rFonts w:asciiTheme="minorBidi" w:hAnsiTheme="minorBidi"/>
        </w:rPr>
      </w:pPr>
      <w:r w:rsidRPr="00022A1D">
        <w:rPr>
          <w:rFonts w:asciiTheme="minorBidi" w:hAnsiTheme="minorBidi"/>
        </w:rPr>
        <w:t>Kennedy, A., 2005. Models of continuing professional development: A framework for analysis. </w:t>
      </w:r>
      <w:r w:rsidRPr="00022A1D">
        <w:rPr>
          <w:rFonts w:asciiTheme="minorBidi" w:hAnsiTheme="minorBidi"/>
          <w:i/>
          <w:iCs/>
        </w:rPr>
        <w:t>Journal of in-service education</w:t>
      </w:r>
      <w:r w:rsidRPr="00022A1D">
        <w:rPr>
          <w:rFonts w:asciiTheme="minorBidi" w:hAnsiTheme="minorBidi"/>
        </w:rPr>
        <w:t>, </w:t>
      </w:r>
      <w:r w:rsidRPr="00022A1D">
        <w:rPr>
          <w:rFonts w:asciiTheme="minorBidi" w:hAnsiTheme="minorBidi"/>
          <w:i/>
          <w:iCs/>
        </w:rPr>
        <w:t>31</w:t>
      </w:r>
      <w:r w:rsidRPr="00022A1D">
        <w:rPr>
          <w:rFonts w:asciiTheme="minorBidi" w:hAnsiTheme="minorBidi"/>
        </w:rPr>
        <w:t>(2), pp.235-250.</w:t>
      </w:r>
    </w:p>
    <w:p w14:paraId="4B0E41BE" w14:textId="77777777" w:rsidR="00B65461" w:rsidRPr="00292205" w:rsidRDefault="00B65461" w:rsidP="00B65461">
      <w:pPr>
        <w:spacing w:line="360" w:lineRule="auto"/>
        <w:jc w:val="both"/>
        <w:rPr>
          <w:rFonts w:asciiTheme="minorBidi" w:hAnsiTheme="minorBidi"/>
        </w:rPr>
      </w:pPr>
      <w:r w:rsidRPr="00292205">
        <w:rPr>
          <w:rFonts w:asciiTheme="minorBidi" w:hAnsiTheme="minorBidi"/>
        </w:rPr>
        <w:t xml:space="preserve">Mandelid, M. B., et al. (2024). Workplace-based continuing professional development: A pedagogical framework. </w:t>
      </w:r>
      <w:r w:rsidRPr="00292205">
        <w:rPr>
          <w:rFonts w:asciiTheme="minorBidi" w:hAnsiTheme="minorBidi"/>
          <w:i/>
          <w:iCs/>
        </w:rPr>
        <w:t>Frontiers in Education</w:t>
      </w:r>
      <w:r w:rsidRPr="00292205">
        <w:rPr>
          <w:rFonts w:asciiTheme="minorBidi" w:hAnsiTheme="minorBidi"/>
        </w:rPr>
        <w:t>.</w:t>
      </w:r>
      <w:hyperlink r:id="rId36" w:tgtFrame="_blank" w:history="1">
        <w:r w:rsidRPr="00292205">
          <w:rPr>
            <w:rStyle w:val="Hyperlink"/>
            <w:rFonts w:asciiTheme="minorBidi" w:hAnsiTheme="minorBidi"/>
          </w:rPr>
          <w:t>Frontiers</w:t>
        </w:r>
      </w:hyperlink>
    </w:p>
    <w:p w14:paraId="7CFCE332" w14:textId="77777777" w:rsidR="00B65461" w:rsidRPr="00292205" w:rsidRDefault="00B65461" w:rsidP="00B65461">
      <w:pPr>
        <w:spacing w:line="360" w:lineRule="auto"/>
        <w:jc w:val="both"/>
        <w:rPr>
          <w:rFonts w:asciiTheme="minorBidi" w:hAnsiTheme="minorBidi"/>
        </w:rPr>
      </w:pPr>
      <w:r w:rsidRPr="00292205">
        <w:rPr>
          <w:rFonts w:asciiTheme="minorBidi" w:hAnsiTheme="minorBidi"/>
        </w:rPr>
        <w:t>Osei, et al. (2021). Effect of continuous professional development on the job performance of public university administrators in Ghana.</w:t>
      </w:r>
      <w:hyperlink r:id="rId37" w:tgtFrame="_blank" w:history="1">
        <w:r w:rsidRPr="00292205">
          <w:rPr>
            <w:rStyle w:val="Hyperlink"/>
            <w:rFonts w:asciiTheme="minorBidi" w:hAnsiTheme="minorBidi"/>
          </w:rPr>
          <w:t>Allied Business Academies</w:t>
        </w:r>
      </w:hyperlink>
    </w:p>
    <w:p w14:paraId="0CA4F8D1" w14:textId="77777777" w:rsidR="00B65461" w:rsidRPr="00292205" w:rsidRDefault="00B65461" w:rsidP="00B65461">
      <w:pPr>
        <w:spacing w:line="360" w:lineRule="auto"/>
        <w:jc w:val="both"/>
        <w:rPr>
          <w:rFonts w:asciiTheme="minorBidi" w:hAnsiTheme="minorBidi"/>
        </w:rPr>
      </w:pPr>
      <w:r w:rsidRPr="00292205">
        <w:rPr>
          <w:rFonts w:asciiTheme="minorBidi" w:hAnsiTheme="minorBidi"/>
        </w:rPr>
        <w:t xml:space="preserve">Samuel, A., et al. (2021). Effect of continuing professional development on health professionals and patient outcomes. </w:t>
      </w:r>
      <w:r w:rsidRPr="00292205">
        <w:rPr>
          <w:rFonts w:asciiTheme="minorBidi" w:hAnsiTheme="minorBidi"/>
          <w:i/>
          <w:iCs/>
        </w:rPr>
        <w:t>Academic Medicine</w:t>
      </w:r>
      <w:r w:rsidRPr="00292205">
        <w:rPr>
          <w:rFonts w:asciiTheme="minorBidi" w:hAnsiTheme="minorBidi"/>
        </w:rPr>
        <w:t>.</w:t>
      </w:r>
      <w:hyperlink r:id="rId38" w:tgtFrame="_blank" w:history="1">
        <w:r w:rsidRPr="00292205">
          <w:rPr>
            <w:rStyle w:val="Hyperlink"/>
            <w:rFonts w:asciiTheme="minorBidi" w:hAnsiTheme="minorBidi"/>
          </w:rPr>
          <w:t>Lippincott Journals</w:t>
        </w:r>
      </w:hyperlink>
    </w:p>
    <w:p w14:paraId="2FEA22F3" w14:textId="77777777" w:rsidR="00B65461" w:rsidRPr="00292205" w:rsidRDefault="00B65461" w:rsidP="00B65461">
      <w:pPr>
        <w:spacing w:line="360" w:lineRule="auto"/>
        <w:jc w:val="both"/>
        <w:rPr>
          <w:rFonts w:asciiTheme="minorBidi" w:hAnsiTheme="minorBidi"/>
        </w:rPr>
      </w:pPr>
      <w:r w:rsidRPr="00292205">
        <w:rPr>
          <w:rFonts w:asciiTheme="minorBidi" w:hAnsiTheme="minorBidi"/>
        </w:rPr>
        <w:t xml:space="preserve">The CPD Certification Service. (n.d.). </w:t>
      </w:r>
      <w:r w:rsidRPr="00292205">
        <w:rPr>
          <w:rFonts w:asciiTheme="minorBidi" w:hAnsiTheme="minorBidi"/>
          <w:i/>
          <w:iCs/>
        </w:rPr>
        <w:t>What is Continuing Professional Development (CPD)?</w:t>
      </w:r>
      <w:hyperlink r:id="rId39" w:tgtFrame="_blank" w:history="1">
        <w:r w:rsidRPr="00292205">
          <w:rPr>
            <w:rStyle w:val="Hyperlink"/>
            <w:rFonts w:asciiTheme="minorBidi" w:hAnsiTheme="minorBidi"/>
          </w:rPr>
          <w:t>CPD UK</w:t>
        </w:r>
      </w:hyperlink>
    </w:p>
    <w:p w14:paraId="444B8085" w14:textId="77777777" w:rsidR="00B65461" w:rsidRPr="00292205" w:rsidRDefault="00B65461" w:rsidP="00B65461">
      <w:pPr>
        <w:spacing w:line="360" w:lineRule="auto"/>
        <w:jc w:val="both"/>
        <w:rPr>
          <w:rFonts w:asciiTheme="minorBidi" w:hAnsiTheme="minorBidi"/>
        </w:rPr>
      </w:pPr>
      <w:r w:rsidRPr="00292205">
        <w:rPr>
          <w:rFonts w:asciiTheme="minorBidi" w:hAnsiTheme="minorBidi"/>
        </w:rPr>
        <w:t xml:space="preserve">CIPD. (n.d.). </w:t>
      </w:r>
      <w:r w:rsidRPr="00292205">
        <w:rPr>
          <w:rFonts w:asciiTheme="minorBidi" w:hAnsiTheme="minorBidi"/>
          <w:i/>
          <w:iCs/>
        </w:rPr>
        <w:t>About continuing professional development (CPD).</w:t>
      </w:r>
      <w:hyperlink r:id="rId40" w:tgtFrame="_blank" w:history="1">
        <w:r w:rsidRPr="00292205">
          <w:rPr>
            <w:rStyle w:val="Hyperlink"/>
            <w:rFonts w:asciiTheme="minorBidi" w:hAnsiTheme="minorBidi"/>
          </w:rPr>
          <w:t>CIPD</w:t>
        </w:r>
      </w:hyperlink>
    </w:p>
    <w:p w14:paraId="1F8E49A8" w14:textId="77777777" w:rsidR="00B65461" w:rsidRPr="00292205" w:rsidRDefault="00B65461" w:rsidP="00B65461">
      <w:pPr>
        <w:spacing w:line="360" w:lineRule="auto"/>
        <w:jc w:val="both"/>
        <w:rPr>
          <w:rFonts w:asciiTheme="minorBidi" w:hAnsiTheme="minorBidi"/>
        </w:rPr>
      </w:pPr>
      <w:r w:rsidRPr="00292205">
        <w:rPr>
          <w:rFonts w:asciiTheme="minorBidi" w:hAnsiTheme="minorBidi"/>
        </w:rPr>
        <w:t>“Continuing professional development (CPD): A necessary component in the workplace or not?” (2020).</w:t>
      </w:r>
      <w:hyperlink r:id="rId41" w:tgtFrame="_blank" w:history="1">
        <w:r w:rsidRPr="00292205">
          <w:rPr>
            <w:rStyle w:val="Hyperlink"/>
            <w:rFonts w:asciiTheme="minorBidi" w:hAnsiTheme="minorBidi"/>
          </w:rPr>
          <w:t>ResearchGate</w:t>
        </w:r>
      </w:hyperlink>
    </w:p>
    <w:p w14:paraId="30AC759E" w14:textId="77777777" w:rsidR="00B65461" w:rsidRPr="00292205" w:rsidRDefault="00B65461" w:rsidP="00B65461">
      <w:pPr>
        <w:spacing w:line="360" w:lineRule="auto"/>
        <w:jc w:val="both"/>
        <w:rPr>
          <w:rFonts w:asciiTheme="minorBidi" w:hAnsiTheme="minorBidi"/>
        </w:rPr>
      </w:pPr>
      <w:r w:rsidRPr="00292205">
        <w:rPr>
          <w:rFonts w:asciiTheme="minorBidi" w:hAnsiTheme="minorBidi"/>
        </w:rPr>
        <w:t>“Effective professional development design in a civil service context” (2024). UK Government systematic review report.</w:t>
      </w:r>
      <w:hyperlink r:id="rId42" w:tgtFrame="_blank" w:history="1">
        <w:r w:rsidRPr="00292205">
          <w:rPr>
            <w:rStyle w:val="Hyperlink"/>
            <w:rFonts w:asciiTheme="minorBidi" w:hAnsiTheme="minorBidi"/>
          </w:rPr>
          <w:t>GOV.UK</w:t>
        </w:r>
      </w:hyperlink>
    </w:p>
    <w:p w14:paraId="63290217" w14:textId="77777777" w:rsidR="00B65461" w:rsidRPr="00292205" w:rsidRDefault="00B65461" w:rsidP="00B65461">
      <w:pPr>
        <w:spacing w:line="360" w:lineRule="auto"/>
        <w:jc w:val="both"/>
        <w:rPr>
          <w:rFonts w:asciiTheme="minorBidi" w:hAnsiTheme="minorBidi"/>
        </w:rPr>
      </w:pPr>
      <w:r w:rsidRPr="00292205">
        <w:rPr>
          <w:rFonts w:asciiTheme="minorBidi" w:hAnsiTheme="minorBidi"/>
        </w:rPr>
        <w:lastRenderedPageBreak/>
        <w:t>“Research shows value of continuous professional development.” (2022). STEP blog.</w:t>
      </w:r>
      <w:hyperlink r:id="rId43" w:tgtFrame="_blank" w:history="1">
        <w:r w:rsidRPr="00292205">
          <w:rPr>
            <w:rStyle w:val="Hyperlink"/>
            <w:rFonts w:asciiTheme="minorBidi" w:hAnsiTheme="minorBidi"/>
          </w:rPr>
          <w:t>The STEP Blog</w:t>
        </w:r>
      </w:hyperlink>
    </w:p>
    <w:p w14:paraId="37422870" w14:textId="77777777" w:rsidR="00B65461" w:rsidRPr="00022A1D" w:rsidRDefault="00B65461" w:rsidP="00B65461">
      <w:pPr>
        <w:spacing w:line="360" w:lineRule="auto"/>
        <w:jc w:val="both"/>
        <w:rPr>
          <w:rFonts w:asciiTheme="minorBidi" w:hAnsiTheme="minorBidi"/>
        </w:rPr>
      </w:pPr>
      <w:r w:rsidRPr="00292205">
        <w:rPr>
          <w:rFonts w:asciiTheme="minorBidi" w:hAnsiTheme="minorBidi"/>
        </w:rPr>
        <w:t>You can adapt or expand this reference list depending on the specific sector or country context you need for your assignment.</w:t>
      </w:r>
    </w:p>
    <w:p w14:paraId="001622BD" w14:textId="77777777" w:rsidR="00B65461" w:rsidRPr="00022A1D" w:rsidRDefault="00B65461" w:rsidP="00B65461">
      <w:pPr>
        <w:spacing w:line="360" w:lineRule="auto"/>
        <w:jc w:val="both"/>
        <w:rPr>
          <w:rFonts w:asciiTheme="minorBidi" w:hAnsiTheme="minorBidi"/>
        </w:rPr>
      </w:pPr>
      <w:r w:rsidRPr="00022A1D">
        <w:rPr>
          <w:rFonts w:asciiTheme="minorBidi" w:hAnsiTheme="minorBidi"/>
        </w:rPr>
        <w:t>Mustafa, B. and Lleshi, S., 2024. The impact of lifelong learning and investments in employee development on employee productivity and performance. </w:t>
      </w:r>
      <w:r w:rsidRPr="00022A1D">
        <w:rPr>
          <w:rFonts w:asciiTheme="minorBidi" w:hAnsiTheme="minorBidi"/>
          <w:i/>
          <w:iCs/>
        </w:rPr>
        <w:t>Multidisciplinary Reviews</w:t>
      </w:r>
      <w:r w:rsidRPr="00022A1D">
        <w:rPr>
          <w:rFonts w:asciiTheme="minorBidi" w:hAnsiTheme="minorBidi"/>
        </w:rPr>
        <w:t>, </w:t>
      </w:r>
      <w:r w:rsidRPr="00022A1D">
        <w:rPr>
          <w:rFonts w:asciiTheme="minorBidi" w:hAnsiTheme="minorBidi"/>
          <w:i/>
          <w:iCs/>
        </w:rPr>
        <w:t>7</w:t>
      </w:r>
      <w:r w:rsidRPr="00022A1D">
        <w:rPr>
          <w:rFonts w:asciiTheme="minorBidi" w:hAnsiTheme="minorBidi"/>
        </w:rPr>
        <w:t>(8), pp.2024175-2024175.</w:t>
      </w:r>
    </w:p>
    <w:p w14:paraId="6C3F5C2A" w14:textId="77777777" w:rsidR="00B65461" w:rsidRPr="00022A1D" w:rsidRDefault="00B65461" w:rsidP="00B65461">
      <w:pPr>
        <w:spacing w:line="360" w:lineRule="auto"/>
        <w:jc w:val="both"/>
        <w:rPr>
          <w:rFonts w:asciiTheme="minorBidi" w:hAnsiTheme="minorBidi"/>
        </w:rPr>
      </w:pPr>
      <w:r w:rsidRPr="00022A1D">
        <w:rPr>
          <w:rFonts w:asciiTheme="minorBidi" w:hAnsiTheme="minorBidi"/>
        </w:rPr>
        <w:t>Hemmington, N., 1999. Attitudes to CPD: establishing a culture of life-long learning at work. </w:t>
      </w:r>
      <w:r w:rsidRPr="00022A1D">
        <w:rPr>
          <w:rFonts w:asciiTheme="minorBidi" w:hAnsiTheme="minorBidi"/>
          <w:i/>
          <w:iCs/>
        </w:rPr>
        <w:t>Continuing Professional Development</w:t>
      </w:r>
      <w:r w:rsidRPr="00022A1D">
        <w:rPr>
          <w:rFonts w:asciiTheme="minorBidi" w:hAnsiTheme="minorBidi"/>
        </w:rPr>
        <w:t>, </w:t>
      </w:r>
      <w:r w:rsidRPr="00022A1D">
        <w:rPr>
          <w:rFonts w:asciiTheme="minorBidi" w:hAnsiTheme="minorBidi"/>
          <w:i/>
          <w:iCs/>
        </w:rPr>
        <w:t>2</w:t>
      </w:r>
      <w:r w:rsidRPr="00022A1D">
        <w:rPr>
          <w:rFonts w:asciiTheme="minorBidi" w:hAnsiTheme="minorBidi"/>
        </w:rPr>
        <w:t>(4), pp.100-109.</w:t>
      </w:r>
    </w:p>
    <w:p w14:paraId="55BF973E" w14:textId="77777777" w:rsidR="00B65461" w:rsidRPr="00022A1D" w:rsidRDefault="00B65461" w:rsidP="00B65461">
      <w:pPr>
        <w:spacing w:line="360" w:lineRule="auto"/>
        <w:jc w:val="both"/>
        <w:rPr>
          <w:rFonts w:asciiTheme="minorBidi" w:hAnsiTheme="minorBidi"/>
        </w:rPr>
      </w:pPr>
      <w:r w:rsidRPr="00022A1D">
        <w:rPr>
          <w:rFonts w:asciiTheme="minorBidi" w:hAnsiTheme="minorBidi"/>
        </w:rPr>
        <w:t xml:space="preserve">Susuawu, D. and Antwi, G., 2022. Effect of continuous professional development on the job performance of public university administrators: evidence from an emerging economy, </w:t>
      </w:r>
      <w:r w:rsidRPr="00022A1D">
        <w:rPr>
          <w:rFonts w:asciiTheme="minorBidi" w:hAnsiTheme="minorBidi"/>
          <w:i/>
          <w:iCs/>
        </w:rPr>
        <w:t>Academy of Accounting and Financial Studies Journal</w:t>
      </w:r>
      <w:r w:rsidRPr="00022A1D">
        <w:rPr>
          <w:rFonts w:asciiTheme="minorBidi" w:hAnsiTheme="minorBidi"/>
        </w:rPr>
        <w:t>, </w:t>
      </w:r>
      <w:r w:rsidRPr="00022A1D">
        <w:rPr>
          <w:rFonts w:asciiTheme="minorBidi" w:hAnsiTheme="minorBidi"/>
          <w:i/>
          <w:iCs/>
        </w:rPr>
        <w:t>26</w:t>
      </w:r>
      <w:r w:rsidRPr="00022A1D">
        <w:rPr>
          <w:rFonts w:asciiTheme="minorBidi" w:hAnsiTheme="minorBidi"/>
        </w:rPr>
        <w:t>(5).</w:t>
      </w:r>
    </w:p>
    <w:p w14:paraId="321A00DD" w14:textId="77777777" w:rsidR="00B65461" w:rsidRPr="00022A1D" w:rsidRDefault="00B65461" w:rsidP="00B65461">
      <w:pPr>
        <w:spacing w:line="360" w:lineRule="auto"/>
        <w:jc w:val="both"/>
        <w:rPr>
          <w:rFonts w:asciiTheme="minorBidi" w:hAnsiTheme="minorBidi"/>
        </w:rPr>
      </w:pPr>
      <w:r w:rsidRPr="00022A1D">
        <w:rPr>
          <w:rFonts w:asciiTheme="minorBidi" w:hAnsiTheme="minorBidi"/>
        </w:rPr>
        <w:t>Steevan Pinto, and  Dr. Rashmi Uchil. (2024). Analysing the Impact of Continuous Professional Development on Employee Performance Across Time: Evidence from the Petrochemical Sector. </w:t>
      </w:r>
      <w:r w:rsidRPr="00022A1D">
        <w:rPr>
          <w:rFonts w:asciiTheme="minorBidi" w:hAnsiTheme="minorBidi"/>
          <w:i/>
          <w:iCs/>
        </w:rPr>
        <w:t>Educational Administration: Theory and Practice</w:t>
      </w:r>
      <w:r w:rsidRPr="00022A1D">
        <w:rPr>
          <w:rFonts w:asciiTheme="minorBidi" w:hAnsiTheme="minorBidi"/>
        </w:rPr>
        <w:t>, </w:t>
      </w:r>
      <w:r w:rsidRPr="00022A1D">
        <w:rPr>
          <w:rFonts w:asciiTheme="minorBidi" w:hAnsiTheme="minorBidi"/>
          <w:i/>
          <w:iCs/>
        </w:rPr>
        <w:t>30</w:t>
      </w:r>
      <w:r w:rsidRPr="00022A1D">
        <w:rPr>
          <w:rFonts w:asciiTheme="minorBidi" w:hAnsiTheme="minorBidi"/>
        </w:rPr>
        <w:t xml:space="preserve">(1), 5418–5425. </w:t>
      </w:r>
      <w:hyperlink r:id="rId44" w:history="1">
        <w:r w:rsidRPr="00022A1D">
          <w:rPr>
            <w:rStyle w:val="Hyperlink"/>
            <w:rFonts w:asciiTheme="minorBidi" w:hAnsiTheme="minorBidi"/>
          </w:rPr>
          <w:t>https://doi.org/10.53555/kuey.v30i1.9004</w:t>
        </w:r>
      </w:hyperlink>
    </w:p>
    <w:p w14:paraId="2A9FE1DF" w14:textId="77777777" w:rsidR="00B65461" w:rsidRPr="00292205" w:rsidRDefault="00B65461" w:rsidP="00B65461">
      <w:pPr>
        <w:spacing w:line="360" w:lineRule="auto"/>
        <w:jc w:val="both"/>
        <w:rPr>
          <w:rFonts w:asciiTheme="minorBidi" w:hAnsiTheme="minorBidi"/>
        </w:rPr>
      </w:pPr>
      <w:r w:rsidRPr="00022A1D">
        <w:rPr>
          <w:rFonts w:asciiTheme="minorBidi" w:hAnsiTheme="minorBidi"/>
        </w:rPr>
        <w:t xml:space="preserve">Jill Schostaka , Mike Davisb , Jacky Hansonc , John Schostakd, Tony Browne , Peter Driscollf Ian Starkeg , Nick Jenkins(2010) The Effectiveness of Continuing Professional Development A report prepared on behalf of College of Emergency Medicine, Federation of Royal Colleges of Physicians and Manchester Metropolitan University available at </w:t>
      </w:r>
      <w:hyperlink r:id="rId45" w:history="1">
        <w:r w:rsidRPr="00022A1D">
          <w:rPr>
            <w:rStyle w:val="Hyperlink"/>
            <w:rFonts w:asciiTheme="minorBidi" w:hAnsiTheme="minorBidi"/>
          </w:rPr>
          <w:t>Microsoft Word - Effectiveness of CPD Final Report.doc</w:t>
        </w:r>
      </w:hyperlink>
      <w:r w:rsidRPr="00022A1D">
        <w:rPr>
          <w:rFonts w:asciiTheme="minorBidi" w:hAnsiTheme="minorBidi"/>
        </w:rPr>
        <w:t xml:space="preserve">  accessed on 02/12/2025.m</w:t>
      </w:r>
    </w:p>
    <w:p w14:paraId="52A8FBB5" w14:textId="77777777" w:rsidR="00B65461" w:rsidRPr="00022A1D" w:rsidRDefault="00B65461" w:rsidP="00B65461">
      <w:pPr>
        <w:spacing w:line="360" w:lineRule="auto"/>
        <w:jc w:val="both"/>
        <w:rPr>
          <w:rFonts w:asciiTheme="minorBidi" w:hAnsiTheme="minorBidi"/>
        </w:rPr>
      </w:pPr>
      <w:r w:rsidRPr="00022A1D">
        <w:rPr>
          <w:rFonts w:asciiTheme="minorBidi" w:hAnsiTheme="minorBidi"/>
        </w:rPr>
        <w:t>Mandelid, M.B., Dyngeland, E.S., Teslo, S., Lerum, Ø., Tjomsland, H.E., Jenssen, E.S., Eriksen, P.B., Wergeland, T.C., Sandal, M.Ø., Stein, H. and Schjerven, H., 2024, August. Workplace-based continuing professional development program for physically active learning: designing a framework and prospective directions. In </w:t>
      </w:r>
      <w:r w:rsidRPr="00022A1D">
        <w:rPr>
          <w:rFonts w:asciiTheme="minorBidi" w:hAnsiTheme="minorBidi"/>
          <w:i/>
          <w:iCs/>
        </w:rPr>
        <w:t>Frontiers in Education</w:t>
      </w:r>
      <w:r w:rsidRPr="00022A1D">
        <w:rPr>
          <w:rFonts w:asciiTheme="minorBidi" w:hAnsiTheme="minorBidi"/>
        </w:rPr>
        <w:t> (Vol. 9, p. 1407542). Frontiers Media SA.</w:t>
      </w:r>
    </w:p>
    <w:p w14:paraId="37CD2479" w14:textId="77777777" w:rsidR="00B65461" w:rsidRPr="00022A1D" w:rsidRDefault="00B65461" w:rsidP="00B65461">
      <w:pPr>
        <w:spacing w:line="360" w:lineRule="auto"/>
        <w:jc w:val="both"/>
        <w:rPr>
          <w:rFonts w:asciiTheme="minorBidi" w:hAnsiTheme="minorBidi"/>
        </w:rPr>
      </w:pPr>
      <w:r w:rsidRPr="00022A1D">
        <w:rPr>
          <w:rFonts w:asciiTheme="minorBidi" w:hAnsiTheme="minorBidi"/>
        </w:rPr>
        <w:t>Suliman, Z., Kruger, W. and Pienaar, J.A., 2020. Continuing professional development (CPD): a necessary component in the workplace or not?. </w:t>
      </w:r>
      <w:r w:rsidRPr="00022A1D">
        <w:rPr>
          <w:rFonts w:asciiTheme="minorBidi" w:hAnsiTheme="minorBidi"/>
          <w:i/>
          <w:iCs/>
        </w:rPr>
        <w:t>The Journal of Medical Laboratory Science and Technology of South Africa</w:t>
      </w:r>
      <w:r w:rsidRPr="00022A1D">
        <w:rPr>
          <w:rFonts w:asciiTheme="minorBidi" w:hAnsiTheme="minorBidi"/>
        </w:rPr>
        <w:t>, </w:t>
      </w:r>
      <w:r w:rsidRPr="00022A1D">
        <w:rPr>
          <w:rFonts w:asciiTheme="minorBidi" w:hAnsiTheme="minorBidi"/>
          <w:i/>
          <w:iCs/>
        </w:rPr>
        <w:t>2</w:t>
      </w:r>
      <w:r w:rsidRPr="00022A1D">
        <w:rPr>
          <w:rFonts w:asciiTheme="minorBidi" w:hAnsiTheme="minorBidi"/>
        </w:rPr>
        <w:t>(1), pp.41-45.</w:t>
      </w:r>
    </w:p>
    <w:p w14:paraId="53FD0801" w14:textId="77777777" w:rsidR="00B65461" w:rsidRPr="00BC5E5D" w:rsidRDefault="00B65461" w:rsidP="00B65461">
      <w:pPr>
        <w:spacing w:line="360" w:lineRule="auto"/>
        <w:jc w:val="both"/>
        <w:rPr>
          <w:rFonts w:asciiTheme="minorBidi" w:hAnsiTheme="minorBidi"/>
          <w:sz w:val="22"/>
          <w:szCs w:val="22"/>
        </w:rPr>
      </w:pPr>
    </w:p>
    <w:p w14:paraId="2D28E43C" w14:textId="77777777" w:rsidR="00B65461" w:rsidRPr="00BC5E5D" w:rsidRDefault="00B65461" w:rsidP="00B65461">
      <w:pPr>
        <w:spacing w:line="360" w:lineRule="auto"/>
        <w:jc w:val="both"/>
        <w:rPr>
          <w:rFonts w:asciiTheme="minorBidi" w:hAnsiTheme="minorBidi"/>
          <w:sz w:val="22"/>
          <w:szCs w:val="22"/>
        </w:rPr>
      </w:pPr>
    </w:p>
    <w:p w14:paraId="14C88B6B" w14:textId="77777777" w:rsidR="00B65461" w:rsidRPr="00BC5E5D" w:rsidRDefault="00B65461" w:rsidP="00B65461">
      <w:pPr>
        <w:spacing w:line="360" w:lineRule="auto"/>
        <w:jc w:val="both"/>
        <w:rPr>
          <w:rFonts w:asciiTheme="minorBidi" w:hAnsiTheme="minorBidi"/>
          <w:sz w:val="22"/>
          <w:szCs w:val="22"/>
        </w:rPr>
      </w:pPr>
    </w:p>
    <w:p w14:paraId="6C99557F" w14:textId="77777777" w:rsidR="00B65461" w:rsidRPr="00BC5E5D" w:rsidRDefault="00B65461" w:rsidP="00B65461">
      <w:pPr>
        <w:spacing w:line="360" w:lineRule="auto"/>
        <w:jc w:val="both"/>
        <w:rPr>
          <w:rFonts w:asciiTheme="minorBidi" w:hAnsiTheme="minorBidi"/>
          <w:sz w:val="22"/>
          <w:szCs w:val="22"/>
        </w:rPr>
      </w:pPr>
    </w:p>
    <w:p w14:paraId="5171C9DE" w14:textId="77777777" w:rsidR="00B65461" w:rsidRPr="00BC5E5D" w:rsidRDefault="00B65461" w:rsidP="00B65461">
      <w:pPr>
        <w:spacing w:line="360" w:lineRule="auto"/>
        <w:jc w:val="both"/>
        <w:rPr>
          <w:rFonts w:asciiTheme="minorBidi" w:hAnsiTheme="minorBidi"/>
          <w:sz w:val="22"/>
          <w:szCs w:val="22"/>
        </w:rPr>
      </w:pPr>
    </w:p>
    <w:p w14:paraId="155A36AC" w14:textId="77777777" w:rsidR="00B65461" w:rsidRPr="00BC5E5D" w:rsidRDefault="00B65461" w:rsidP="00B65461">
      <w:pPr>
        <w:spacing w:line="360" w:lineRule="auto"/>
        <w:jc w:val="both"/>
        <w:rPr>
          <w:rFonts w:asciiTheme="minorBidi" w:hAnsiTheme="minorBidi"/>
          <w:sz w:val="22"/>
          <w:szCs w:val="22"/>
        </w:rPr>
      </w:pPr>
    </w:p>
    <w:p w14:paraId="40F022FA" w14:textId="77777777" w:rsidR="00B65461" w:rsidRPr="00BC5E5D" w:rsidRDefault="00B65461" w:rsidP="00B65461">
      <w:pPr>
        <w:spacing w:line="360" w:lineRule="auto"/>
        <w:jc w:val="both"/>
        <w:rPr>
          <w:rFonts w:asciiTheme="minorBidi" w:hAnsiTheme="minorBidi"/>
          <w:sz w:val="22"/>
          <w:szCs w:val="22"/>
        </w:rPr>
      </w:pPr>
    </w:p>
    <w:p w14:paraId="577A9707"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Alam, A.S., Ma, L., Watson, A. and Wijeratne, V., 2022. E-Learning during a Pandemic: Challenges, Opportunities, and. </w:t>
      </w:r>
      <w:r w:rsidRPr="00BC5E5D">
        <w:rPr>
          <w:rFonts w:asciiTheme="minorBidi" w:hAnsiTheme="minorBidi"/>
          <w:i/>
          <w:iCs/>
          <w:sz w:val="22"/>
          <w:szCs w:val="22"/>
        </w:rPr>
        <w:t>E-learning and digital Education in the twenty-first century</w:t>
      </w:r>
      <w:r w:rsidRPr="00BC5E5D">
        <w:rPr>
          <w:rFonts w:asciiTheme="minorBidi" w:hAnsiTheme="minorBidi"/>
          <w:sz w:val="22"/>
          <w:szCs w:val="22"/>
        </w:rPr>
        <w:t>, p.267.</w:t>
      </w:r>
    </w:p>
    <w:p w14:paraId="1500C8F4"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Aljaser, A.M., 2019. The effectiveness of e-learning environment in developing academic achievement and the attitude to learn English among primary students. </w:t>
      </w:r>
      <w:r w:rsidRPr="00BC5E5D">
        <w:rPr>
          <w:rFonts w:asciiTheme="minorBidi" w:hAnsiTheme="minorBidi"/>
          <w:i/>
          <w:iCs/>
          <w:sz w:val="22"/>
          <w:szCs w:val="22"/>
        </w:rPr>
        <w:t>Turkish Online Journal of Distance Education</w:t>
      </w:r>
      <w:r w:rsidRPr="00BC5E5D">
        <w:rPr>
          <w:rFonts w:asciiTheme="minorBidi" w:hAnsiTheme="minorBidi"/>
          <w:sz w:val="22"/>
          <w:szCs w:val="22"/>
        </w:rPr>
        <w:t>, </w:t>
      </w:r>
      <w:r w:rsidRPr="00BC5E5D">
        <w:rPr>
          <w:rFonts w:asciiTheme="minorBidi" w:hAnsiTheme="minorBidi"/>
          <w:i/>
          <w:iCs/>
          <w:sz w:val="22"/>
          <w:szCs w:val="22"/>
        </w:rPr>
        <w:t>20</w:t>
      </w:r>
      <w:r w:rsidRPr="00BC5E5D">
        <w:rPr>
          <w:rFonts w:asciiTheme="minorBidi" w:hAnsiTheme="minorBidi"/>
          <w:sz w:val="22"/>
          <w:szCs w:val="22"/>
        </w:rPr>
        <w:t>(2), pp.176-194.</w:t>
      </w:r>
    </w:p>
    <w:p w14:paraId="5A29F136"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Allen, I., &amp; Seaman, J. (2017). Digital Compass Learning: Distance Education Enrollment Report 2017. Massachusetts: Babson Survey Research Group.</w:t>
      </w:r>
    </w:p>
    <w:p w14:paraId="161783C7"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Anderson, M. (2015). Smartphone, computer or tablet? 36% of Americans own all three. Pew Research Center. Retrieved from http://www.pewresearch.org/facttank/2015/11/25/device-ownership/</w:t>
      </w:r>
    </w:p>
    <w:p w14:paraId="1F2736FF"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Barmon, P. and Singh, C., 2025. Mobile Learning and Microlearning: Redefining Learning Experiences in the Digital Age.</w:t>
      </w:r>
    </w:p>
    <w:p w14:paraId="3E7595FA" w14:textId="77777777" w:rsidR="00B65461" w:rsidRPr="00BC5E5D" w:rsidRDefault="00B65461" w:rsidP="00B65461">
      <w:pPr>
        <w:spacing w:line="360" w:lineRule="auto"/>
        <w:jc w:val="both"/>
        <w:rPr>
          <w:rFonts w:asciiTheme="minorBidi" w:hAnsiTheme="minorBidi"/>
          <w:sz w:val="22"/>
          <w:szCs w:val="22"/>
        </w:rPr>
      </w:pPr>
    </w:p>
    <w:p w14:paraId="40075A48" w14:textId="77777777" w:rsidR="00B65461" w:rsidRPr="00BC5E5D" w:rsidRDefault="00B65461" w:rsidP="00B65461">
      <w:pPr>
        <w:spacing w:line="360" w:lineRule="auto"/>
        <w:jc w:val="both"/>
        <w:rPr>
          <w:rFonts w:asciiTheme="minorBidi" w:hAnsiTheme="minorBidi"/>
          <w:sz w:val="22"/>
          <w:szCs w:val="22"/>
        </w:rPr>
      </w:pPr>
    </w:p>
    <w:p w14:paraId="751F5A6A"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Belfi LM, Dean KE, Bartolotta RJ, Shih G, Min RJ. Medical student education in the time of COVID-19: a virtual solution to the introductory radiology elective. Clin Imaging. 2021;75:67–74. </w:t>
      </w:r>
    </w:p>
    <w:p w14:paraId="4EDC81AE"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Crompton, H. (2013). A historical overview of mobile learning: Toward learner-centered education. In Z. Berge, &amp; L. Muilenburg. (eds.). Handbook of mobile learning (pp. 3- 14). London: Routledge.</w:t>
      </w:r>
    </w:p>
    <w:p w14:paraId="7C67BCB6"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lastRenderedPageBreak/>
        <w:t xml:space="preserve">Dhanda D, Yadav A, Singh G.(2025) From Learning Style to E-Learning Style: A Paradigm Shift in Digital Era.Integrated Journal for Research in Arts and Humanities ISSN (Online): 2583-1712 Volume-5 Issue-2 || March 2025 || PP. 303-310 </w:t>
      </w:r>
    </w:p>
    <w:p w14:paraId="32BF7D6A"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Eddy, E.R., Tannenbaum, S.I., 2003. Transfer in an e-learning context. In: Holton, E.F., Baldwin, T.T. (Eds.), </w:t>
      </w:r>
      <w:r w:rsidRPr="00BC5E5D">
        <w:rPr>
          <w:rFonts w:asciiTheme="minorBidi" w:hAnsiTheme="minorBidi"/>
          <w:i/>
          <w:iCs/>
          <w:sz w:val="22"/>
          <w:szCs w:val="22"/>
        </w:rPr>
        <w:t>Improving Learning Transfer in Organizations</w:t>
      </w:r>
      <w:r w:rsidRPr="00BC5E5D">
        <w:rPr>
          <w:rFonts w:asciiTheme="minorBidi" w:hAnsiTheme="minorBidi"/>
          <w:sz w:val="22"/>
          <w:szCs w:val="22"/>
        </w:rPr>
        <w:t>. Jossey-Bass, San Francisco.</w:t>
      </w:r>
    </w:p>
    <w:p w14:paraId="773B298A"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Falbel, A. (1990). “The Computer As A Convivial Tool.” In 1. H a re I ( E d . ) . Constructionist Learning: </w:t>
      </w:r>
      <w:r w:rsidRPr="00BC5E5D">
        <w:rPr>
          <w:rFonts w:asciiTheme="minorBidi" w:hAnsiTheme="minorBidi"/>
          <w:i/>
          <w:iCs/>
          <w:sz w:val="22"/>
          <w:szCs w:val="22"/>
        </w:rPr>
        <w:t>A 5th Anniversary Collection Of Papers</w:t>
      </w:r>
      <w:r w:rsidRPr="00BC5E5D">
        <w:rPr>
          <w:rFonts w:asciiTheme="minorBidi" w:hAnsiTheme="minorBidi"/>
          <w:sz w:val="22"/>
          <w:szCs w:val="22"/>
        </w:rPr>
        <w:t>. Cambridge, MA: MIT Media Laboratory.</w:t>
      </w:r>
    </w:p>
    <w:p w14:paraId="33B591C3"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Gismalla, M.D.A., Mohamed, M.S., Ibrahim, O.S.O., Elhassan, M.M.A. and Mohamed, M.N., 2021. Medical students’ perception towards E-learning during COVID 19 pandemic in a high burden developing country. </w:t>
      </w:r>
      <w:r w:rsidRPr="00BC5E5D">
        <w:rPr>
          <w:rFonts w:asciiTheme="minorBidi" w:hAnsiTheme="minorBidi"/>
          <w:i/>
          <w:iCs/>
          <w:sz w:val="22"/>
          <w:szCs w:val="22"/>
        </w:rPr>
        <w:t>BMC Medical Education</w:t>
      </w:r>
      <w:r w:rsidRPr="00BC5E5D">
        <w:rPr>
          <w:rFonts w:asciiTheme="minorBidi" w:hAnsiTheme="minorBidi"/>
          <w:sz w:val="22"/>
          <w:szCs w:val="22"/>
        </w:rPr>
        <w:t>, </w:t>
      </w:r>
      <w:r w:rsidRPr="00BC5E5D">
        <w:rPr>
          <w:rFonts w:asciiTheme="minorBidi" w:hAnsiTheme="minorBidi"/>
          <w:i/>
          <w:iCs/>
          <w:sz w:val="22"/>
          <w:szCs w:val="22"/>
        </w:rPr>
        <w:t>21</w:t>
      </w:r>
      <w:r w:rsidRPr="00BC5E5D">
        <w:rPr>
          <w:rFonts w:asciiTheme="minorBidi" w:hAnsiTheme="minorBidi"/>
          <w:sz w:val="22"/>
          <w:szCs w:val="22"/>
        </w:rPr>
        <w:t>(1), p.377.</w:t>
      </w:r>
    </w:p>
    <w:p w14:paraId="57A5BEC7"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Gligorea, I., Cioca, M., Oancea, R., Gorski, A.T., Gorski, H. and Tudorache, P., 2023. Adaptive learning using artificial intelligence in e-learning: A literature review. </w:t>
      </w:r>
      <w:r w:rsidRPr="00BC5E5D">
        <w:rPr>
          <w:rFonts w:asciiTheme="minorBidi" w:hAnsiTheme="minorBidi"/>
          <w:i/>
          <w:iCs/>
          <w:sz w:val="22"/>
          <w:szCs w:val="22"/>
        </w:rPr>
        <w:t>Education Sciences</w:t>
      </w:r>
      <w:r w:rsidRPr="00BC5E5D">
        <w:rPr>
          <w:rFonts w:asciiTheme="minorBidi" w:hAnsiTheme="minorBidi"/>
          <w:sz w:val="22"/>
          <w:szCs w:val="22"/>
        </w:rPr>
        <w:t>, 13(12), p.1216.</w:t>
      </w:r>
    </w:p>
    <w:p w14:paraId="0C94C970"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Gligorea, I., Cioca, M., Oancea, R., Gorski, A.T., Gorski, H. and Tudorache, P., 2023. Adaptive learning using artificial intelligence in e-learning: A literature review. </w:t>
      </w:r>
      <w:r w:rsidRPr="00BC5E5D">
        <w:rPr>
          <w:rFonts w:asciiTheme="minorBidi" w:hAnsiTheme="minorBidi"/>
          <w:i/>
          <w:iCs/>
          <w:sz w:val="22"/>
          <w:szCs w:val="22"/>
        </w:rPr>
        <w:t>Education Sciences</w:t>
      </w:r>
      <w:r w:rsidRPr="00BC5E5D">
        <w:rPr>
          <w:rFonts w:asciiTheme="minorBidi" w:hAnsiTheme="minorBidi"/>
          <w:sz w:val="22"/>
          <w:szCs w:val="22"/>
        </w:rPr>
        <w:t>, </w:t>
      </w:r>
      <w:r w:rsidRPr="00BC5E5D">
        <w:rPr>
          <w:rFonts w:asciiTheme="minorBidi" w:hAnsiTheme="minorBidi"/>
          <w:i/>
          <w:iCs/>
          <w:sz w:val="22"/>
          <w:szCs w:val="22"/>
        </w:rPr>
        <w:t>13</w:t>
      </w:r>
      <w:r w:rsidRPr="00BC5E5D">
        <w:rPr>
          <w:rFonts w:asciiTheme="minorBidi" w:hAnsiTheme="minorBidi"/>
          <w:sz w:val="22"/>
          <w:szCs w:val="22"/>
        </w:rPr>
        <w:t>(12), p.1216.</w:t>
      </w:r>
    </w:p>
    <w:p w14:paraId="43008BCE"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Gligorea, L., Heller, K., &amp; Simionescu, L. (2023). Learning using artificial intelligence: E-learning as a solution for personalized learning. Procedia Computer Science, 200, 405-412.</w:t>
      </w:r>
    </w:p>
    <w:p w14:paraId="07002792"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i/>
          <w:iCs/>
          <w:sz w:val="22"/>
          <w:szCs w:val="22"/>
        </w:rPr>
        <w:t>Gumantan, Nugroho &amp; Yuliandra (2021)</w:t>
      </w:r>
      <w:r w:rsidRPr="00BC5E5D">
        <w:rPr>
          <w:rFonts w:asciiTheme="minorBidi" w:hAnsiTheme="minorBidi"/>
          <w:sz w:val="22"/>
          <w:szCs w:val="22"/>
        </w:rPr>
        <w:t xml:space="preserve"> </w:t>
      </w:r>
      <w:r w:rsidRPr="00BC5E5D">
        <w:rPr>
          <w:rFonts w:asciiTheme="minorBidi" w:hAnsiTheme="minorBidi"/>
          <w:i/>
          <w:iCs/>
          <w:sz w:val="22"/>
          <w:szCs w:val="22"/>
        </w:rPr>
        <w:t>“Learning during the COVID-19 Pandemic: Analysis of E-Learning on Sports Education Students”</w:t>
      </w:r>
      <w:r w:rsidRPr="00BC5E5D">
        <w:rPr>
          <w:rFonts w:asciiTheme="minorBidi" w:hAnsiTheme="minorBidi"/>
          <w:sz w:val="22"/>
          <w:szCs w:val="22"/>
        </w:rPr>
        <w:t>:</w:t>
      </w:r>
    </w:p>
    <w:p w14:paraId="2BFAB553"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Hameed, S., Badii, A. and Cullen, A.J., 2008, May. Effective e-learning integration with traditional learning in a blended learning environment. In </w:t>
      </w:r>
      <w:r w:rsidRPr="00BC5E5D">
        <w:rPr>
          <w:rFonts w:asciiTheme="minorBidi" w:hAnsiTheme="minorBidi"/>
          <w:i/>
          <w:iCs/>
          <w:sz w:val="22"/>
          <w:szCs w:val="22"/>
        </w:rPr>
        <w:t>European and Mediterranean conference on information systems</w:t>
      </w:r>
      <w:r w:rsidRPr="00BC5E5D">
        <w:rPr>
          <w:rFonts w:asciiTheme="minorBidi" w:hAnsiTheme="minorBidi"/>
          <w:sz w:val="22"/>
          <w:szCs w:val="22"/>
        </w:rPr>
        <w:t> (Vol. 60, p. 14).</w:t>
      </w:r>
    </w:p>
    <w:p w14:paraId="4C0B0E36"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Harasim, L., 2006. A history of e-learning: Shift happened. In </w:t>
      </w:r>
      <w:r w:rsidRPr="00BC5E5D">
        <w:rPr>
          <w:rFonts w:asciiTheme="minorBidi" w:hAnsiTheme="minorBidi"/>
          <w:i/>
          <w:iCs/>
          <w:sz w:val="22"/>
          <w:szCs w:val="22"/>
        </w:rPr>
        <w:t>The international handbook of virtual learning environments</w:t>
      </w:r>
      <w:r w:rsidRPr="00BC5E5D">
        <w:rPr>
          <w:rFonts w:asciiTheme="minorBidi" w:hAnsiTheme="minorBidi"/>
          <w:sz w:val="22"/>
          <w:szCs w:val="22"/>
        </w:rPr>
        <w:t> (pp. 59-94). Dordrecht: Springer Netherlands.</w:t>
      </w:r>
    </w:p>
    <w:p w14:paraId="5F2D1E62"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Hubackova, S., 2015. History and perspectives of elearning. </w:t>
      </w:r>
      <w:r w:rsidRPr="00BC5E5D">
        <w:rPr>
          <w:rFonts w:asciiTheme="minorBidi" w:hAnsiTheme="minorBidi"/>
          <w:i/>
          <w:iCs/>
          <w:sz w:val="22"/>
          <w:szCs w:val="22"/>
        </w:rPr>
        <w:t>Procedia-Social and Behavioral Sciences</w:t>
      </w:r>
      <w:r w:rsidRPr="00BC5E5D">
        <w:rPr>
          <w:rFonts w:asciiTheme="minorBidi" w:hAnsiTheme="minorBidi"/>
          <w:sz w:val="22"/>
          <w:szCs w:val="22"/>
        </w:rPr>
        <w:t>, </w:t>
      </w:r>
      <w:r w:rsidRPr="00BC5E5D">
        <w:rPr>
          <w:rFonts w:asciiTheme="minorBidi" w:hAnsiTheme="minorBidi"/>
          <w:i/>
          <w:iCs/>
          <w:sz w:val="22"/>
          <w:szCs w:val="22"/>
        </w:rPr>
        <w:t>191</w:t>
      </w:r>
      <w:r w:rsidRPr="00BC5E5D">
        <w:rPr>
          <w:rFonts w:asciiTheme="minorBidi" w:hAnsiTheme="minorBidi"/>
          <w:sz w:val="22"/>
          <w:szCs w:val="22"/>
        </w:rPr>
        <w:t>, pp.1187-1190.</w:t>
      </w:r>
    </w:p>
    <w:p w14:paraId="60F37D9A"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ISP (2004) ‘Getting started with e-learning ’, last updated: November 2004, isp.webopedia.com/TERM/E/e_learning.html, date visited: August  2025</w:t>
      </w:r>
    </w:p>
    <w:p w14:paraId="78265B47"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lastRenderedPageBreak/>
        <w:t>Jugon, A. (2003) ‘What is E-Learning ?’ last updated: not available, www.enpc.fr/enseignements/Legait/projet/MQTM-2003/ G8/definition.htm, date visited: 21/ August  2025</w:t>
      </w:r>
    </w:p>
    <w:p w14:paraId="7288A6EE"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Kidd, T.T., 2010. A brief history of eLearning. In </w:t>
      </w:r>
      <w:r w:rsidRPr="00BC5E5D">
        <w:rPr>
          <w:rFonts w:asciiTheme="minorBidi" w:hAnsiTheme="minorBidi"/>
          <w:i/>
          <w:iCs/>
          <w:sz w:val="22"/>
          <w:szCs w:val="22"/>
        </w:rPr>
        <w:t>Web-based education: Concepts, methodologies, tools and applications</w:t>
      </w:r>
      <w:r w:rsidRPr="00BC5E5D">
        <w:rPr>
          <w:rFonts w:asciiTheme="minorBidi" w:hAnsiTheme="minorBidi"/>
          <w:sz w:val="22"/>
          <w:szCs w:val="22"/>
        </w:rPr>
        <w:t> (pp. 1-8). IGI Global Scientific Publishing.</w:t>
      </w:r>
    </w:p>
    <w:p w14:paraId="7F78E747"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 Kim S. The future of E-Learning in medical education: current trend and future opportunity. J Educ Eval Health Prof. 2006;3:3.</w:t>
      </w:r>
    </w:p>
    <w:p w14:paraId="5C4D8182"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Kirkwood, A., 2009. E</w:t>
      </w:r>
      <w:r w:rsidRPr="00BC5E5D">
        <w:rPr>
          <w:rFonts w:ascii="Cambria Math" w:hAnsi="Cambria Math" w:cs="Cambria Math"/>
          <w:sz w:val="22"/>
          <w:szCs w:val="22"/>
        </w:rPr>
        <w:t>‐</w:t>
      </w:r>
      <w:r w:rsidRPr="00BC5E5D">
        <w:rPr>
          <w:rFonts w:asciiTheme="minorBidi" w:hAnsiTheme="minorBidi"/>
          <w:sz w:val="22"/>
          <w:szCs w:val="22"/>
        </w:rPr>
        <w:t>learning: you don't always get what you hope for. </w:t>
      </w:r>
      <w:r w:rsidRPr="00BC5E5D">
        <w:rPr>
          <w:rFonts w:asciiTheme="minorBidi" w:hAnsiTheme="minorBidi"/>
          <w:i/>
          <w:iCs/>
          <w:sz w:val="22"/>
          <w:szCs w:val="22"/>
        </w:rPr>
        <w:t>Technology, Pedagogy and Education</w:t>
      </w:r>
      <w:r w:rsidRPr="00BC5E5D">
        <w:rPr>
          <w:rFonts w:asciiTheme="minorBidi" w:hAnsiTheme="minorBidi"/>
          <w:sz w:val="22"/>
          <w:szCs w:val="22"/>
        </w:rPr>
        <w:t>, </w:t>
      </w:r>
      <w:r w:rsidRPr="00BC5E5D">
        <w:rPr>
          <w:rFonts w:asciiTheme="minorBidi" w:hAnsiTheme="minorBidi"/>
          <w:i/>
          <w:iCs/>
          <w:sz w:val="22"/>
          <w:szCs w:val="22"/>
        </w:rPr>
        <w:t>18</w:t>
      </w:r>
      <w:r w:rsidRPr="00BC5E5D">
        <w:rPr>
          <w:rFonts w:asciiTheme="minorBidi" w:hAnsiTheme="minorBidi"/>
          <w:sz w:val="22"/>
          <w:szCs w:val="22"/>
        </w:rPr>
        <w:t>(2), pp.107-121.</w:t>
      </w:r>
    </w:p>
    <w:p w14:paraId="246E35AA"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Klein, D. and Ware, M., 2003. E</w:t>
      </w:r>
      <w:r w:rsidRPr="00BC5E5D">
        <w:rPr>
          <w:rFonts w:ascii="Cambria Math" w:hAnsi="Cambria Math" w:cs="Cambria Math"/>
          <w:sz w:val="22"/>
          <w:szCs w:val="22"/>
        </w:rPr>
        <w:t>‐</w:t>
      </w:r>
      <w:r w:rsidRPr="00BC5E5D">
        <w:rPr>
          <w:rFonts w:asciiTheme="minorBidi" w:hAnsiTheme="minorBidi"/>
          <w:sz w:val="22"/>
          <w:szCs w:val="22"/>
        </w:rPr>
        <w:t>learning: New opportunities in continuing professional development. </w:t>
      </w:r>
      <w:r w:rsidRPr="00BC5E5D">
        <w:rPr>
          <w:rFonts w:asciiTheme="minorBidi" w:hAnsiTheme="minorBidi"/>
          <w:i/>
          <w:iCs/>
          <w:sz w:val="22"/>
          <w:szCs w:val="22"/>
        </w:rPr>
        <w:t>Learned publishing</w:t>
      </w:r>
      <w:r w:rsidRPr="00BC5E5D">
        <w:rPr>
          <w:rFonts w:asciiTheme="minorBidi" w:hAnsiTheme="minorBidi"/>
          <w:sz w:val="22"/>
          <w:szCs w:val="22"/>
        </w:rPr>
        <w:t>, </w:t>
      </w:r>
      <w:r w:rsidRPr="00BC5E5D">
        <w:rPr>
          <w:rFonts w:asciiTheme="minorBidi" w:hAnsiTheme="minorBidi"/>
          <w:i/>
          <w:iCs/>
          <w:sz w:val="22"/>
          <w:szCs w:val="22"/>
        </w:rPr>
        <w:t>16</w:t>
      </w:r>
      <w:r w:rsidRPr="00BC5E5D">
        <w:rPr>
          <w:rFonts w:asciiTheme="minorBidi" w:hAnsiTheme="minorBidi"/>
          <w:sz w:val="22"/>
          <w:szCs w:val="22"/>
        </w:rPr>
        <w:t>(1), pp.34-46.</w:t>
      </w:r>
    </w:p>
    <w:p w14:paraId="330D81A4"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Lehner, F. and Nosekabel, H., 2002, August. The role of mobile devices in E-Learning first experiences with a wireless E-Learning environment. In </w:t>
      </w:r>
      <w:r w:rsidRPr="00BC5E5D">
        <w:rPr>
          <w:rFonts w:asciiTheme="minorBidi" w:hAnsiTheme="minorBidi"/>
          <w:i/>
          <w:iCs/>
          <w:sz w:val="22"/>
          <w:szCs w:val="22"/>
        </w:rPr>
        <w:t>Proceedings. IEEE International Workshop on Wireless and Mobile Technologies in Education</w:t>
      </w:r>
      <w:r w:rsidRPr="00BC5E5D">
        <w:rPr>
          <w:rFonts w:asciiTheme="minorBidi" w:hAnsiTheme="minorBidi"/>
          <w:sz w:val="22"/>
          <w:szCs w:val="22"/>
        </w:rPr>
        <w:t> (pp. 103-106). IEEE.</w:t>
      </w:r>
    </w:p>
    <w:p w14:paraId="283343FA"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Li, K.C., 2018. The Evolution of Open Learning: A Review of the Transition from Pre-e-Learning to the Era of e-Learning. </w:t>
      </w:r>
      <w:r w:rsidRPr="00BC5E5D">
        <w:rPr>
          <w:rFonts w:asciiTheme="minorBidi" w:hAnsiTheme="minorBidi"/>
          <w:i/>
          <w:iCs/>
          <w:sz w:val="22"/>
          <w:szCs w:val="22"/>
        </w:rPr>
        <w:t>Knowledge Management &amp; E-Learning</w:t>
      </w:r>
      <w:r w:rsidRPr="00BC5E5D">
        <w:rPr>
          <w:rFonts w:asciiTheme="minorBidi" w:hAnsiTheme="minorBidi"/>
          <w:sz w:val="22"/>
          <w:szCs w:val="22"/>
        </w:rPr>
        <w:t>, </w:t>
      </w:r>
      <w:r w:rsidRPr="00BC5E5D">
        <w:rPr>
          <w:rFonts w:asciiTheme="minorBidi" w:hAnsiTheme="minorBidi"/>
          <w:i/>
          <w:iCs/>
          <w:sz w:val="22"/>
          <w:szCs w:val="22"/>
        </w:rPr>
        <w:t>10</w:t>
      </w:r>
      <w:r w:rsidRPr="00BC5E5D">
        <w:rPr>
          <w:rFonts w:asciiTheme="minorBidi" w:hAnsiTheme="minorBidi"/>
          <w:sz w:val="22"/>
          <w:szCs w:val="22"/>
        </w:rPr>
        <w:t>(4), pp.408-425.</w:t>
      </w:r>
    </w:p>
    <w:p w14:paraId="51C387AA"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Lynch, M., 2020. E-Learning during a global pandemic. </w:t>
      </w:r>
      <w:r w:rsidRPr="00BC5E5D">
        <w:rPr>
          <w:rFonts w:asciiTheme="minorBidi" w:hAnsiTheme="minorBidi"/>
          <w:i/>
          <w:iCs/>
          <w:sz w:val="22"/>
          <w:szCs w:val="22"/>
        </w:rPr>
        <w:t>Asian Journal of Distance Education</w:t>
      </w:r>
      <w:r w:rsidRPr="00BC5E5D">
        <w:rPr>
          <w:rFonts w:asciiTheme="minorBidi" w:hAnsiTheme="minorBidi"/>
          <w:sz w:val="22"/>
          <w:szCs w:val="22"/>
        </w:rPr>
        <w:t>, </w:t>
      </w:r>
      <w:r w:rsidRPr="00BC5E5D">
        <w:rPr>
          <w:rFonts w:asciiTheme="minorBidi" w:hAnsiTheme="minorBidi"/>
          <w:i/>
          <w:iCs/>
          <w:sz w:val="22"/>
          <w:szCs w:val="22"/>
        </w:rPr>
        <w:t>15</w:t>
      </w:r>
      <w:r w:rsidRPr="00BC5E5D">
        <w:rPr>
          <w:rFonts w:asciiTheme="minorBidi" w:hAnsiTheme="minorBidi"/>
          <w:sz w:val="22"/>
          <w:szCs w:val="22"/>
        </w:rPr>
        <w:t>(1), pp.189-195.</w:t>
      </w:r>
    </w:p>
    <w:p w14:paraId="5538674A"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Means, B., Toyama, Y., Murphy, R., Bakia, M., &amp; Jones, K. (2013). Evaluation of evidencebased practices in online learning: A meta-analysis and review of online learning studies. U.S. Department of Education</w:t>
      </w:r>
    </w:p>
    <w:p w14:paraId="6FDF5640"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Molnár, G., 2013, September. Challenges and opportunities in virtual and electronic learning environments. In </w:t>
      </w:r>
      <w:r w:rsidRPr="00BC5E5D">
        <w:rPr>
          <w:rFonts w:asciiTheme="minorBidi" w:hAnsiTheme="minorBidi"/>
          <w:i/>
          <w:iCs/>
          <w:sz w:val="22"/>
          <w:szCs w:val="22"/>
        </w:rPr>
        <w:t>2013 IEEE 11th International Symposium on Intelligent Systems and Informatics (SISY)</w:t>
      </w:r>
      <w:r w:rsidRPr="00BC5E5D">
        <w:rPr>
          <w:rFonts w:asciiTheme="minorBidi" w:hAnsiTheme="minorBidi"/>
          <w:sz w:val="22"/>
          <w:szCs w:val="22"/>
        </w:rPr>
        <w:t> (pp. 397-401). IEEE.</w:t>
      </w:r>
    </w:p>
    <w:p w14:paraId="65FCC351"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Nagy, A., 2005. The impact of e-learning. In </w:t>
      </w:r>
      <w:r w:rsidRPr="00BC5E5D">
        <w:rPr>
          <w:rFonts w:asciiTheme="minorBidi" w:hAnsiTheme="minorBidi"/>
          <w:i/>
          <w:iCs/>
          <w:sz w:val="22"/>
          <w:szCs w:val="22"/>
        </w:rPr>
        <w:t>E-Content: Technologies and perspectives for the European Market</w:t>
      </w:r>
      <w:r w:rsidRPr="00BC5E5D">
        <w:rPr>
          <w:rFonts w:asciiTheme="minorBidi" w:hAnsiTheme="minorBidi"/>
          <w:sz w:val="22"/>
          <w:szCs w:val="22"/>
        </w:rPr>
        <w:t> (pp. 79-96). Berlin, Heidelberg: Springer Berlin Heidelberg.</w:t>
      </w:r>
    </w:p>
    <w:p w14:paraId="2CDDF430"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Nicholson, P., 2007. A history of e-learning. </w:t>
      </w:r>
      <w:r w:rsidRPr="00BC5E5D">
        <w:rPr>
          <w:rFonts w:asciiTheme="minorBidi" w:hAnsiTheme="minorBidi"/>
          <w:i/>
          <w:iCs/>
          <w:sz w:val="22"/>
          <w:szCs w:val="22"/>
        </w:rPr>
        <w:t>Computers and education</w:t>
      </w:r>
      <w:r w:rsidRPr="00BC5E5D">
        <w:rPr>
          <w:rFonts w:asciiTheme="minorBidi" w:hAnsiTheme="minorBidi"/>
          <w:sz w:val="22"/>
          <w:szCs w:val="22"/>
        </w:rPr>
        <w:t>, pp.1-11.</w:t>
      </w:r>
    </w:p>
    <w:p w14:paraId="59ED8F48"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Nicholson, P., 2007. A history of e-learning. </w:t>
      </w:r>
      <w:r w:rsidRPr="00BC5E5D">
        <w:rPr>
          <w:rFonts w:asciiTheme="minorBidi" w:hAnsiTheme="minorBidi"/>
          <w:i/>
          <w:iCs/>
          <w:sz w:val="22"/>
          <w:szCs w:val="22"/>
        </w:rPr>
        <w:t>Computers and education</w:t>
      </w:r>
      <w:r w:rsidRPr="00BC5E5D">
        <w:rPr>
          <w:rFonts w:asciiTheme="minorBidi" w:hAnsiTheme="minorBidi"/>
          <w:sz w:val="22"/>
          <w:szCs w:val="22"/>
        </w:rPr>
        <w:t>, pp.1-11.</w:t>
      </w:r>
    </w:p>
    <w:p w14:paraId="099E9FB1"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Priyambudi, S. and Murdani, M.H., 2020. The development of e-learning model for college students in the industrial era 4.0. </w:t>
      </w:r>
      <w:r w:rsidRPr="00BC5E5D">
        <w:rPr>
          <w:rFonts w:asciiTheme="minorBidi" w:hAnsiTheme="minorBidi"/>
          <w:i/>
          <w:iCs/>
          <w:sz w:val="22"/>
          <w:szCs w:val="22"/>
        </w:rPr>
        <w:t>Journal of Education and Practice</w:t>
      </w:r>
      <w:r w:rsidRPr="00BC5E5D">
        <w:rPr>
          <w:rFonts w:asciiTheme="minorBidi" w:hAnsiTheme="minorBidi"/>
          <w:sz w:val="22"/>
          <w:szCs w:val="22"/>
        </w:rPr>
        <w:t>, </w:t>
      </w:r>
      <w:r w:rsidRPr="00BC5E5D">
        <w:rPr>
          <w:rFonts w:asciiTheme="minorBidi" w:hAnsiTheme="minorBidi"/>
          <w:i/>
          <w:iCs/>
          <w:sz w:val="22"/>
          <w:szCs w:val="22"/>
        </w:rPr>
        <w:t>11</w:t>
      </w:r>
      <w:r w:rsidRPr="00BC5E5D">
        <w:rPr>
          <w:rFonts w:asciiTheme="minorBidi" w:hAnsiTheme="minorBidi"/>
          <w:sz w:val="22"/>
          <w:szCs w:val="22"/>
        </w:rPr>
        <w:t>(31), pp.68-78.</w:t>
      </w:r>
    </w:p>
    <w:p w14:paraId="2560F74F"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lastRenderedPageBreak/>
        <w:t>Raisinghani, M. ed., 2016. </w:t>
      </w:r>
      <w:r w:rsidRPr="00BC5E5D">
        <w:rPr>
          <w:rFonts w:asciiTheme="minorBidi" w:hAnsiTheme="minorBidi"/>
          <w:i/>
          <w:iCs/>
          <w:sz w:val="22"/>
          <w:szCs w:val="22"/>
        </w:rPr>
        <w:t>Revolutionizing education through web-based instruction</w:t>
      </w:r>
      <w:r w:rsidRPr="00BC5E5D">
        <w:rPr>
          <w:rFonts w:asciiTheme="minorBidi" w:hAnsiTheme="minorBidi"/>
          <w:sz w:val="22"/>
          <w:szCs w:val="22"/>
        </w:rPr>
        <w:t>. IGI Global.</w:t>
      </w:r>
    </w:p>
    <w:p w14:paraId="13FC5969"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Shen, L., Wang, M. and Shen, R., 2009. Affective e-learning: Using “emotional” data to improve learning in pervasive learning environment. </w:t>
      </w:r>
      <w:r w:rsidRPr="00BC5E5D">
        <w:rPr>
          <w:rFonts w:asciiTheme="minorBidi" w:hAnsiTheme="minorBidi"/>
          <w:i/>
          <w:iCs/>
          <w:sz w:val="22"/>
          <w:szCs w:val="22"/>
        </w:rPr>
        <w:t>Journal of Educational Technology &amp; Society</w:t>
      </w:r>
      <w:r w:rsidRPr="00BC5E5D">
        <w:rPr>
          <w:rFonts w:asciiTheme="minorBidi" w:hAnsiTheme="minorBidi"/>
          <w:sz w:val="22"/>
          <w:szCs w:val="22"/>
        </w:rPr>
        <w:t>, </w:t>
      </w:r>
      <w:r w:rsidRPr="00BC5E5D">
        <w:rPr>
          <w:rFonts w:asciiTheme="minorBidi" w:hAnsiTheme="minorBidi"/>
          <w:i/>
          <w:iCs/>
          <w:sz w:val="22"/>
          <w:szCs w:val="22"/>
        </w:rPr>
        <w:t>12</w:t>
      </w:r>
      <w:r w:rsidRPr="00BC5E5D">
        <w:rPr>
          <w:rFonts w:asciiTheme="minorBidi" w:hAnsiTheme="minorBidi"/>
          <w:sz w:val="22"/>
          <w:szCs w:val="22"/>
        </w:rPr>
        <w:t>(2), pp.176-189.</w:t>
      </w:r>
    </w:p>
    <w:p w14:paraId="52FEBE1A"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Simonson, M., Smaldino, S., &amp; Zvacek, S. (2019). Teaching and learning at a distance: Foundations of distance education. North Carolina: Information Age Publishing.</w:t>
      </w:r>
    </w:p>
    <w:p w14:paraId="11CFC4B0"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Sun, P.C., Finger, G. and Liu, Z.L., 2014. Mapping the evolution of eLearning from 1977–2005 to inform understandings of eLearning historical trends. </w:t>
      </w:r>
      <w:r w:rsidRPr="00BC5E5D">
        <w:rPr>
          <w:rFonts w:asciiTheme="minorBidi" w:hAnsiTheme="minorBidi"/>
          <w:i/>
          <w:iCs/>
          <w:sz w:val="22"/>
          <w:szCs w:val="22"/>
        </w:rPr>
        <w:t>Education Sciences</w:t>
      </w:r>
      <w:r w:rsidRPr="00BC5E5D">
        <w:rPr>
          <w:rFonts w:asciiTheme="minorBidi" w:hAnsiTheme="minorBidi"/>
          <w:sz w:val="22"/>
          <w:szCs w:val="22"/>
        </w:rPr>
        <w:t>, </w:t>
      </w:r>
      <w:r w:rsidRPr="00BC5E5D">
        <w:rPr>
          <w:rFonts w:asciiTheme="minorBidi" w:hAnsiTheme="minorBidi"/>
          <w:i/>
          <w:iCs/>
          <w:sz w:val="22"/>
          <w:szCs w:val="22"/>
        </w:rPr>
        <w:t>4</w:t>
      </w:r>
      <w:r w:rsidRPr="00BC5E5D">
        <w:rPr>
          <w:rFonts w:asciiTheme="minorBidi" w:hAnsiTheme="minorBidi"/>
          <w:sz w:val="22"/>
          <w:szCs w:val="22"/>
        </w:rPr>
        <w:t>(1), pp.155-171.</w:t>
      </w:r>
    </w:p>
    <w:p w14:paraId="6AB95439"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Sun, P.C., Finger, G. and Liu, Z.L., 2014. Mapping the evolution of eLearning from 1977–2005 to inform understandings of eLearning historical trends. </w:t>
      </w:r>
      <w:r w:rsidRPr="00BC5E5D">
        <w:rPr>
          <w:rFonts w:asciiTheme="minorBidi" w:hAnsiTheme="minorBidi"/>
          <w:i/>
          <w:iCs/>
          <w:sz w:val="22"/>
          <w:szCs w:val="22"/>
        </w:rPr>
        <w:t>Education Sciences</w:t>
      </w:r>
      <w:r w:rsidRPr="00BC5E5D">
        <w:rPr>
          <w:rFonts w:asciiTheme="minorBidi" w:hAnsiTheme="minorBidi"/>
          <w:sz w:val="22"/>
          <w:szCs w:val="22"/>
        </w:rPr>
        <w:t>, </w:t>
      </w:r>
      <w:r w:rsidRPr="00BC5E5D">
        <w:rPr>
          <w:rFonts w:asciiTheme="minorBidi" w:hAnsiTheme="minorBidi"/>
          <w:i/>
          <w:iCs/>
          <w:sz w:val="22"/>
          <w:szCs w:val="22"/>
        </w:rPr>
        <w:t>4</w:t>
      </w:r>
      <w:r w:rsidRPr="00BC5E5D">
        <w:rPr>
          <w:rFonts w:asciiTheme="minorBidi" w:hAnsiTheme="minorBidi"/>
          <w:sz w:val="22"/>
          <w:szCs w:val="22"/>
        </w:rPr>
        <w:t>(1), pp.155-171.</w:t>
      </w:r>
    </w:p>
    <w:p w14:paraId="62E10910"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Suppes, P. (1964). Modern learning theory and the elementary-school curriculum. American Educational Research Journal, 1, 79–93. </w:t>
      </w:r>
    </w:p>
    <w:p w14:paraId="6E259C67"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Suppes, P. (1966). The uses of computers in education. Scientific American, 215, 206–220. Suppes, P. (1986). Computers and education in the 21st century. In W. Neilson &amp; C. Gaffield (Eds.), Universities in Crisis: A mediaeval institution in the twenty-first century (pp. 137-151). Toronto, Canada: The Institute for Research on Public Policy.</w:t>
      </w:r>
    </w:p>
    <w:p w14:paraId="33EE0358"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Swan, K., 2003. Learning effectiveness: what the research tells us. In: Bourne, J., Moore, J. (Eds.), </w:t>
      </w:r>
      <w:r w:rsidRPr="00BC5E5D">
        <w:rPr>
          <w:rFonts w:asciiTheme="minorBidi" w:hAnsiTheme="minorBidi"/>
          <w:i/>
          <w:iCs/>
          <w:sz w:val="22"/>
          <w:szCs w:val="22"/>
        </w:rPr>
        <w:t>Elements of Quality Online Education</w:t>
      </w:r>
      <w:r w:rsidRPr="00BC5E5D">
        <w:rPr>
          <w:rFonts w:asciiTheme="minorBidi" w:hAnsiTheme="minorBidi"/>
          <w:sz w:val="22"/>
          <w:szCs w:val="22"/>
        </w:rPr>
        <w:t>, vol. 4. Sloan Center for Online Education, Olin and Babson Colleges, pp. 12–45.</w:t>
      </w:r>
    </w:p>
    <w:p w14:paraId="4D031E69"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Thamarana, S., 2016. Role of E-learning and Virtual Learning Environment in English language learning. </w:t>
      </w:r>
      <w:r w:rsidRPr="00BC5E5D">
        <w:rPr>
          <w:rFonts w:asciiTheme="minorBidi" w:hAnsiTheme="minorBidi"/>
          <w:i/>
          <w:iCs/>
          <w:sz w:val="22"/>
          <w:szCs w:val="22"/>
        </w:rPr>
        <w:t>Teaching English Language and Literature: Innovative Methods and Practices, ELTAI Tirupati</w:t>
      </w:r>
      <w:r w:rsidRPr="00BC5E5D">
        <w:rPr>
          <w:rFonts w:asciiTheme="minorBidi" w:hAnsiTheme="minorBidi"/>
          <w:sz w:val="22"/>
          <w:szCs w:val="22"/>
        </w:rPr>
        <w:t>, pp.61-62.</w:t>
      </w:r>
    </w:p>
    <w:p w14:paraId="0BB27B03"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U.S. Department of Education, Office of Planning, Evaluation and Policy Development. Evaluation of evidence baced practise in online learning; a meta-analyisis and review of online learning studies. Whashington. DC.: 2010. 8.</w:t>
      </w:r>
    </w:p>
    <w:p w14:paraId="5925E5E6"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White, B.Y. and Frederiksen, J.R., 1990. Causal model progressions as a foundation for intelligent learning environments. </w:t>
      </w:r>
      <w:r w:rsidRPr="00BC5E5D">
        <w:rPr>
          <w:rFonts w:asciiTheme="minorBidi" w:hAnsiTheme="minorBidi"/>
          <w:i/>
          <w:iCs/>
          <w:sz w:val="22"/>
          <w:szCs w:val="22"/>
        </w:rPr>
        <w:t>Artificial intelligence</w:t>
      </w:r>
      <w:r w:rsidRPr="00BC5E5D">
        <w:rPr>
          <w:rFonts w:asciiTheme="minorBidi" w:hAnsiTheme="minorBidi"/>
          <w:sz w:val="22"/>
          <w:szCs w:val="22"/>
        </w:rPr>
        <w:t>, </w:t>
      </w:r>
      <w:r w:rsidRPr="00BC5E5D">
        <w:rPr>
          <w:rFonts w:asciiTheme="minorBidi" w:hAnsiTheme="minorBidi"/>
          <w:i/>
          <w:iCs/>
          <w:sz w:val="22"/>
          <w:szCs w:val="22"/>
        </w:rPr>
        <w:t>42</w:t>
      </w:r>
      <w:r w:rsidRPr="00BC5E5D">
        <w:rPr>
          <w:rFonts w:asciiTheme="minorBidi" w:hAnsiTheme="minorBidi"/>
          <w:sz w:val="22"/>
          <w:szCs w:val="22"/>
        </w:rPr>
        <w:t>(1), pp.99-157.</w:t>
      </w:r>
    </w:p>
    <w:p w14:paraId="1DF19128"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Harasim, L., 2006. A history of e-learning: Shift happened. In </w:t>
      </w:r>
      <w:r w:rsidRPr="00BC5E5D">
        <w:rPr>
          <w:rFonts w:asciiTheme="minorBidi" w:hAnsiTheme="minorBidi"/>
          <w:i/>
          <w:iCs/>
          <w:sz w:val="22"/>
          <w:szCs w:val="22"/>
        </w:rPr>
        <w:t>The international handbook of virtual learning environments</w:t>
      </w:r>
      <w:r w:rsidRPr="00BC5E5D">
        <w:rPr>
          <w:rFonts w:asciiTheme="minorBidi" w:hAnsiTheme="minorBidi"/>
          <w:sz w:val="22"/>
          <w:szCs w:val="22"/>
        </w:rPr>
        <w:t> (pp. 59-94). Dordrecht: Springer Netherlands.</w:t>
      </w:r>
    </w:p>
    <w:p w14:paraId="575A74E3" w14:textId="77777777" w:rsidR="00B65461" w:rsidRPr="00BC5E5D" w:rsidRDefault="00B65461" w:rsidP="00B65461">
      <w:pPr>
        <w:spacing w:line="360" w:lineRule="auto"/>
        <w:jc w:val="both"/>
        <w:rPr>
          <w:rFonts w:asciiTheme="minorBidi" w:hAnsiTheme="minorBidi"/>
          <w:sz w:val="22"/>
          <w:szCs w:val="22"/>
        </w:rPr>
      </w:pPr>
    </w:p>
    <w:p w14:paraId="4442FBA3"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lastRenderedPageBreak/>
        <w:t>Keegan, D., 2002. The Future of Learning: From eLearning to mLearning.</w:t>
      </w:r>
    </w:p>
    <w:p w14:paraId="58BC6784"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Bezovski, Z. and Poorani, S., 2016, March. The evolution of e-learning and new trends. In </w:t>
      </w:r>
      <w:r w:rsidRPr="00BC5E5D">
        <w:rPr>
          <w:rFonts w:asciiTheme="minorBidi" w:hAnsiTheme="minorBidi"/>
          <w:i/>
          <w:iCs/>
          <w:sz w:val="22"/>
          <w:szCs w:val="22"/>
        </w:rPr>
        <w:t>Information and Knowledge Management</w:t>
      </w:r>
      <w:r w:rsidRPr="00BC5E5D">
        <w:rPr>
          <w:rFonts w:asciiTheme="minorBidi" w:hAnsiTheme="minorBidi"/>
          <w:sz w:val="22"/>
          <w:szCs w:val="22"/>
        </w:rPr>
        <w:t> (Vol. 6, No. 3, pp. 50-57). Iiste.</w:t>
      </w:r>
    </w:p>
    <w:p w14:paraId="4EDC21D9"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Betts, K., Delaney, B., Galoyan, T., &amp; Lynch, W. (2021). </w:t>
      </w:r>
      <w:r w:rsidRPr="00BC5E5D">
        <w:rPr>
          <w:rFonts w:asciiTheme="minorBidi" w:hAnsiTheme="minorBidi"/>
          <w:i/>
          <w:iCs/>
          <w:sz w:val="22"/>
          <w:szCs w:val="22"/>
        </w:rPr>
        <w:t>Historical review of distance and online education from 1700s to 2021 in the United States: Instructional design and pivotal pedagogy in higher education.</w:t>
      </w:r>
      <w:r w:rsidRPr="00BC5E5D">
        <w:rPr>
          <w:rFonts w:asciiTheme="minorBidi" w:hAnsiTheme="minorBidi"/>
          <w:sz w:val="22"/>
          <w:szCs w:val="22"/>
        </w:rPr>
        <w:t xml:space="preserve"> Journal of Online Learning Research &amp; Practice, 8(1),</w:t>
      </w:r>
    </w:p>
    <w:p w14:paraId="6E0B5513"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Gyambrah, M.K., 2007. </w:t>
      </w:r>
      <w:r w:rsidRPr="00BC5E5D">
        <w:rPr>
          <w:rFonts w:asciiTheme="minorBidi" w:hAnsiTheme="minorBidi"/>
          <w:i/>
          <w:iCs/>
          <w:sz w:val="22"/>
          <w:szCs w:val="22"/>
        </w:rPr>
        <w:t>E-Learning Technologies and Its Application in Higher Education: A Descriptive Comparison of Germany, United Kingdom and United States</w:t>
      </w:r>
      <w:r w:rsidRPr="00BC5E5D">
        <w:rPr>
          <w:rFonts w:asciiTheme="minorBidi" w:hAnsiTheme="minorBidi"/>
          <w:sz w:val="22"/>
          <w:szCs w:val="22"/>
        </w:rPr>
        <w:t> (Doctoral dissertation, lmu).</w:t>
      </w:r>
    </w:p>
    <w:p w14:paraId="43CBB289"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Regmi, K. and Jones, L., 2020. A systematic review of the factors–enablers and barriers–affecting e-learning in health sciences education. </w:t>
      </w:r>
      <w:r w:rsidRPr="00BC5E5D">
        <w:rPr>
          <w:rFonts w:asciiTheme="minorBidi" w:hAnsiTheme="minorBidi"/>
          <w:i/>
          <w:iCs/>
          <w:sz w:val="22"/>
          <w:szCs w:val="22"/>
        </w:rPr>
        <w:t>BMC medical education</w:t>
      </w:r>
      <w:r w:rsidRPr="00BC5E5D">
        <w:rPr>
          <w:rFonts w:asciiTheme="minorBidi" w:hAnsiTheme="minorBidi"/>
          <w:sz w:val="22"/>
          <w:szCs w:val="22"/>
        </w:rPr>
        <w:t>, </w:t>
      </w:r>
      <w:r w:rsidRPr="00BC5E5D">
        <w:rPr>
          <w:rFonts w:asciiTheme="minorBidi" w:hAnsiTheme="minorBidi"/>
          <w:i/>
          <w:iCs/>
          <w:sz w:val="22"/>
          <w:szCs w:val="22"/>
        </w:rPr>
        <w:t>20</w:t>
      </w:r>
      <w:r w:rsidRPr="00BC5E5D">
        <w:rPr>
          <w:rFonts w:asciiTheme="minorBidi" w:hAnsiTheme="minorBidi"/>
          <w:sz w:val="22"/>
          <w:szCs w:val="22"/>
        </w:rPr>
        <w:t>(1), p.91.</w:t>
      </w:r>
    </w:p>
    <w:p w14:paraId="788D1CB0" w14:textId="77777777" w:rsidR="00B65461" w:rsidRPr="00BC5E5D" w:rsidRDefault="00B65461" w:rsidP="00B65461">
      <w:pPr>
        <w:spacing w:line="360" w:lineRule="auto"/>
        <w:jc w:val="both"/>
        <w:rPr>
          <w:rFonts w:asciiTheme="minorBidi" w:hAnsiTheme="minorBidi"/>
          <w:sz w:val="22"/>
          <w:szCs w:val="22"/>
        </w:rPr>
      </w:pPr>
    </w:p>
    <w:p w14:paraId="589293DB"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Zawacki-Richter, O. (2023) ‘The Origins of the Term Distance Education and the Roots of e-Learning’, Canadian Journal of Learning and Technology, 49(3).</w:t>
      </w:r>
    </w:p>
    <w:p w14:paraId="0A3F2595"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Dubey, P. (2023) ‘Underlying factors of student engagement to E-learning’, Journal of Research in Innovative Teaching &amp; Learning, 16(1), pp. 17–33.</w:t>
      </w:r>
    </w:p>
    <w:p w14:paraId="3391839F" w14:textId="77777777" w:rsidR="00B65461" w:rsidRPr="00BC5E5D" w:rsidRDefault="00B65461" w:rsidP="00B65461">
      <w:pPr>
        <w:spacing w:line="360" w:lineRule="auto"/>
        <w:jc w:val="both"/>
        <w:rPr>
          <w:rFonts w:asciiTheme="minorBidi" w:hAnsiTheme="minorBidi"/>
          <w:sz w:val="22"/>
          <w:szCs w:val="22"/>
        </w:rPr>
      </w:pPr>
    </w:p>
    <w:p w14:paraId="707330F8"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lang w:val="es-ES"/>
        </w:rPr>
        <w:t xml:space="preserve">Martínez-García, A., et al. </w:t>
      </w:r>
      <w:r w:rsidRPr="00BC5E5D">
        <w:rPr>
          <w:rFonts w:asciiTheme="minorBidi" w:hAnsiTheme="minorBidi"/>
          <w:sz w:val="22"/>
          <w:szCs w:val="22"/>
        </w:rPr>
        <w:t xml:space="preserve">(2023) ‘Evolution and current state of research into e-learning’, </w:t>
      </w:r>
      <w:r w:rsidRPr="00BC5E5D">
        <w:rPr>
          <w:rFonts w:asciiTheme="minorBidi" w:hAnsiTheme="minorBidi"/>
          <w:i/>
          <w:iCs/>
          <w:sz w:val="22"/>
          <w:szCs w:val="22"/>
        </w:rPr>
        <w:t>BMC Medical Education</w:t>
      </w:r>
      <w:r w:rsidRPr="00BC5E5D">
        <w:rPr>
          <w:rFonts w:asciiTheme="minorBidi" w:hAnsiTheme="minorBidi"/>
          <w:sz w:val="22"/>
          <w:szCs w:val="22"/>
        </w:rPr>
        <w:t xml:space="preserve">. </w:t>
      </w:r>
      <w:hyperlink r:id="rId46" w:tgtFrame="_blank" w:history="1">
        <w:r w:rsidRPr="00BC5E5D">
          <w:rPr>
            <w:rStyle w:val="Hyperlink"/>
            <w:rFonts w:asciiTheme="minorBidi" w:hAnsiTheme="minorBidi"/>
            <w:sz w:val="22"/>
            <w:szCs w:val="22"/>
          </w:rPr>
          <w:t>pmc.ncbi.nlm.nih.gov</w:t>
        </w:r>
      </w:hyperlink>
      <w:r w:rsidRPr="00BC5E5D">
        <w:rPr>
          <w:rFonts w:asciiTheme="minorBidi" w:hAnsiTheme="minorBidi"/>
          <w:sz w:val="22"/>
          <w:szCs w:val="22"/>
        </w:rPr>
        <w:br/>
        <w:t xml:space="preserve">Zou, Y. (2025) ‘Digital learning in the 21st century: trends, challenges, and innovations’, </w:t>
      </w:r>
      <w:r w:rsidRPr="00BC5E5D">
        <w:rPr>
          <w:rFonts w:asciiTheme="minorBidi" w:hAnsiTheme="minorBidi"/>
          <w:i/>
          <w:iCs/>
          <w:sz w:val="22"/>
          <w:szCs w:val="22"/>
        </w:rPr>
        <w:t>Frontiers in Education</w:t>
      </w:r>
      <w:r w:rsidRPr="00BC5E5D">
        <w:rPr>
          <w:rFonts w:asciiTheme="minorBidi" w:hAnsiTheme="minorBidi"/>
          <w:sz w:val="22"/>
          <w:szCs w:val="22"/>
        </w:rPr>
        <w:t>.</w:t>
      </w:r>
    </w:p>
    <w:p w14:paraId="0E2A7B81" w14:textId="77777777" w:rsidR="00B65461" w:rsidRPr="00BC5E5D" w:rsidRDefault="00B65461" w:rsidP="00B65461">
      <w:pPr>
        <w:spacing w:line="360" w:lineRule="auto"/>
        <w:jc w:val="both"/>
        <w:rPr>
          <w:rFonts w:asciiTheme="minorBidi" w:hAnsiTheme="minorBidi"/>
          <w:sz w:val="22"/>
          <w:szCs w:val="22"/>
        </w:rPr>
      </w:pPr>
    </w:p>
    <w:p w14:paraId="0ED0BC70" w14:textId="77777777" w:rsidR="00B65461" w:rsidRPr="00BC5E5D" w:rsidRDefault="00B65461" w:rsidP="00B65461">
      <w:pPr>
        <w:spacing w:line="360" w:lineRule="auto"/>
        <w:jc w:val="both"/>
        <w:rPr>
          <w:rFonts w:asciiTheme="minorBidi" w:hAnsiTheme="minorBidi"/>
          <w:sz w:val="22"/>
          <w:szCs w:val="22"/>
        </w:rPr>
      </w:pPr>
    </w:p>
    <w:p w14:paraId="78D9CD7B"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Sangrà, A., Vlachopoulos, D., &amp; Cabrera, N. (2012). </w:t>
      </w:r>
      <w:r w:rsidRPr="00BC5E5D">
        <w:rPr>
          <w:rFonts w:asciiTheme="minorBidi" w:hAnsiTheme="minorBidi"/>
          <w:i/>
          <w:iCs/>
          <w:sz w:val="22"/>
          <w:szCs w:val="22"/>
        </w:rPr>
        <w:t>Building an inclusive definition of e-learning: An approach to the conceptual framework.</w:t>
      </w:r>
      <w:r w:rsidRPr="00BC5E5D">
        <w:rPr>
          <w:rFonts w:asciiTheme="minorBidi" w:hAnsiTheme="minorBidi"/>
          <w:sz w:val="22"/>
          <w:szCs w:val="22"/>
        </w:rPr>
        <w:t xml:space="preserve"> </w:t>
      </w:r>
      <w:r w:rsidRPr="00BC5E5D">
        <w:rPr>
          <w:rFonts w:asciiTheme="minorBidi" w:hAnsiTheme="minorBidi"/>
          <w:b/>
          <w:bCs/>
          <w:sz w:val="22"/>
          <w:szCs w:val="22"/>
        </w:rPr>
        <w:t>International Review of Research in Open and Distributed Learning</w:t>
      </w:r>
      <w:r w:rsidRPr="00BC5E5D">
        <w:rPr>
          <w:rFonts w:asciiTheme="minorBidi" w:hAnsiTheme="minorBidi"/>
          <w:sz w:val="22"/>
          <w:szCs w:val="22"/>
        </w:rPr>
        <w:t xml:space="preserve">, 13(2), 145-159. </w:t>
      </w:r>
      <w:hyperlink r:id="rId47" w:tgtFrame="_blank" w:history="1">
        <w:r w:rsidRPr="00BC5E5D">
          <w:rPr>
            <w:rStyle w:val="Hyperlink"/>
            <w:rFonts w:asciiTheme="minorBidi" w:hAnsiTheme="minorBidi"/>
            <w:sz w:val="22"/>
            <w:szCs w:val="22"/>
          </w:rPr>
          <w:t>ERIC</w:t>
        </w:r>
      </w:hyperlink>
    </w:p>
    <w:p w14:paraId="56ACDBBF"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Moore, J. L., Dickson-Deane, C., &amp; Galyen, K. (2011). </w:t>
      </w:r>
      <w:r w:rsidRPr="00BC5E5D">
        <w:rPr>
          <w:rFonts w:asciiTheme="minorBidi" w:hAnsiTheme="minorBidi"/>
          <w:i/>
          <w:iCs/>
          <w:sz w:val="22"/>
          <w:szCs w:val="22"/>
        </w:rPr>
        <w:t>e-Learning, online learning, and distance learning environments: Are they the same?</w:t>
      </w:r>
      <w:r w:rsidRPr="00BC5E5D">
        <w:rPr>
          <w:rFonts w:asciiTheme="minorBidi" w:hAnsiTheme="minorBidi"/>
          <w:sz w:val="22"/>
          <w:szCs w:val="22"/>
        </w:rPr>
        <w:t xml:space="preserve"> </w:t>
      </w:r>
      <w:r w:rsidRPr="00BC5E5D">
        <w:rPr>
          <w:rFonts w:asciiTheme="minorBidi" w:hAnsiTheme="minorBidi"/>
          <w:b/>
          <w:bCs/>
          <w:sz w:val="22"/>
          <w:szCs w:val="22"/>
        </w:rPr>
        <w:t>The Internet and Higher Education</w:t>
      </w:r>
      <w:r w:rsidRPr="00BC5E5D">
        <w:rPr>
          <w:rFonts w:asciiTheme="minorBidi" w:hAnsiTheme="minorBidi"/>
          <w:sz w:val="22"/>
          <w:szCs w:val="22"/>
        </w:rPr>
        <w:t xml:space="preserve">, 14(2), 129-135. </w:t>
      </w:r>
      <w:hyperlink r:id="rId48" w:tgtFrame="_blank" w:history="1">
        <w:r w:rsidRPr="00BC5E5D">
          <w:rPr>
            <w:rStyle w:val="Hyperlink"/>
            <w:rFonts w:asciiTheme="minorBidi" w:hAnsiTheme="minorBidi"/>
            <w:sz w:val="22"/>
            <w:szCs w:val="22"/>
          </w:rPr>
          <w:t>ScienceDirect</w:t>
        </w:r>
      </w:hyperlink>
    </w:p>
    <w:p w14:paraId="4077162A"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 Bezhovski, Z. (2016). </w:t>
      </w:r>
      <w:r w:rsidRPr="00BC5E5D">
        <w:rPr>
          <w:rFonts w:asciiTheme="minorBidi" w:hAnsiTheme="minorBidi"/>
          <w:i/>
          <w:iCs/>
          <w:sz w:val="22"/>
          <w:szCs w:val="22"/>
        </w:rPr>
        <w:t>The evolution of e-learning and new trends.</w:t>
      </w:r>
      <w:r w:rsidRPr="00BC5E5D">
        <w:rPr>
          <w:rFonts w:asciiTheme="minorBidi" w:hAnsiTheme="minorBidi"/>
          <w:sz w:val="22"/>
          <w:szCs w:val="22"/>
        </w:rPr>
        <w:t xml:space="preserve"> [Working Paper]. </w:t>
      </w:r>
      <w:hyperlink r:id="rId49" w:tgtFrame="_blank" w:history="1">
        <w:r w:rsidRPr="00BC5E5D">
          <w:rPr>
            <w:rStyle w:val="Hyperlink"/>
            <w:rFonts w:asciiTheme="minorBidi" w:hAnsiTheme="minorBidi"/>
            <w:sz w:val="22"/>
            <w:szCs w:val="22"/>
          </w:rPr>
          <w:t>CORE</w:t>
        </w:r>
      </w:hyperlink>
    </w:p>
    <w:p w14:paraId="339A12B0"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lastRenderedPageBreak/>
        <w:t xml:space="preserve"> O’Neill, A. (2024). </w:t>
      </w:r>
      <w:r w:rsidRPr="00BC5E5D">
        <w:rPr>
          <w:rFonts w:asciiTheme="minorBidi" w:hAnsiTheme="minorBidi"/>
          <w:i/>
          <w:iCs/>
          <w:sz w:val="22"/>
          <w:szCs w:val="22"/>
        </w:rPr>
        <w:t>Was humpty dumpty right?: Towards a functional definition of e-learning.</w:t>
      </w:r>
      <w:r w:rsidRPr="00BC5E5D">
        <w:rPr>
          <w:rFonts w:asciiTheme="minorBidi" w:hAnsiTheme="minorBidi"/>
          <w:sz w:val="22"/>
          <w:szCs w:val="22"/>
        </w:rPr>
        <w:t xml:space="preserve"> </w:t>
      </w:r>
      <w:r w:rsidRPr="00BC5E5D">
        <w:rPr>
          <w:rFonts w:asciiTheme="minorBidi" w:hAnsiTheme="minorBidi"/>
          <w:b/>
          <w:bCs/>
          <w:sz w:val="22"/>
          <w:szCs w:val="22"/>
        </w:rPr>
        <w:t>Education &amp; Information Technologies</w:t>
      </w:r>
      <w:r w:rsidRPr="00BC5E5D">
        <w:rPr>
          <w:rFonts w:asciiTheme="minorBidi" w:hAnsiTheme="minorBidi"/>
          <w:sz w:val="22"/>
          <w:szCs w:val="22"/>
        </w:rPr>
        <w:t xml:space="preserve">, online. </w:t>
      </w:r>
      <w:hyperlink r:id="rId50" w:tgtFrame="_blank" w:history="1">
        <w:r w:rsidRPr="00BC5E5D">
          <w:rPr>
            <w:rStyle w:val="Hyperlink"/>
            <w:rFonts w:asciiTheme="minorBidi" w:hAnsiTheme="minorBidi"/>
            <w:sz w:val="22"/>
            <w:szCs w:val="22"/>
          </w:rPr>
          <w:t>SpringerLink</w:t>
        </w:r>
      </w:hyperlink>
    </w:p>
    <w:p w14:paraId="38CBC414"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 Manjeese, C. (2022). </w:t>
      </w:r>
      <w:r w:rsidRPr="00BC5E5D">
        <w:rPr>
          <w:rFonts w:asciiTheme="minorBidi" w:hAnsiTheme="minorBidi"/>
          <w:i/>
          <w:iCs/>
          <w:sz w:val="22"/>
          <w:szCs w:val="22"/>
        </w:rPr>
        <w:t>Divulging the efficacy of e-learning through the eyes of learners.</w:t>
      </w:r>
      <w:r w:rsidRPr="00BC5E5D">
        <w:rPr>
          <w:rFonts w:asciiTheme="minorBidi" w:hAnsiTheme="minorBidi"/>
          <w:sz w:val="22"/>
          <w:szCs w:val="22"/>
        </w:rPr>
        <w:t xml:space="preserve"> </w:t>
      </w:r>
      <w:r w:rsidRPr="00BC5E5D">
        <w:rPr>
          <w:rFonts w:asciiTheme="minorBidi" w:hAnsiTheme="minorBidi"/>
          <w:b/>
          <w:bCs/>
          <w:sz w:val="22"/>
          <w:szCs w:val="22"/>
        </w:rPr>
        <w:t>Frontiers in Education</w:t>
      </w:r>
      <w:r w:rsidRPr="00BC5E5D">
        <w:rPr>
          <w:rFonts w:asciiTheme="minorBidi" w:hAnsiTheme="minorBidi"/>
          <w:sz w:val="22"/>
          <w:szCs w:val="22"/>
        </w:rPr>
        <w:t>, [Article].</w:t>
      </w:r>
    </w:p>
    <w:p w14:paraId="7C2DFA72" w14:textId="77777777" w:rsidR="00B65461" w:rsidRPr="00BC5E5D" w:rsidRDefault="00B65461" w:rsidP="00B65461">
      <w:pPr>
        <w:spacing w:line="360" w:lineRule="auto"/>
        <w:jc w:val="both"/>
        <w:rPr>
          <w:rFonts w:asciiTheme="minorBidi" w:hAnsiTheme="minorBidi"/>
          <w:sz w:val="22"/>
          <w:szCs w:val="22"/>
        </w:rPr>
      </w:pPr>
    </w:p>
    <w:p w14:paraId="0AEDD6B0"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Clark, R. C., &amp; Mayer, R. E. (2016). </w:t>
      </w:r>
      <w:r w:rsidRPr="00BC5E5D">
        <w:rPr>
          <w:rFonts w:asciiTheme="minorBidi" w:hAnsiTheme="minorBidi"/>
          <w:i/>
          <w:iCs/>
          <w:sz w:val="22"/>
          <w:szCs w:val="22"/>
        </w:rPr>
        <w:t>E-learning and the science of instruction: Proven guidelines for consumers and designers of multimedia learning</w:t>
      </w:r>
      <w:r w:rsidRPr="00BC5E5D">
        <w:rPr>
          <w:rFonts w:asciiTheme="minorBidi" w:hAnsiTheme="minorBidi"/>
          <w:sz w:val="22"/>
          <w:szCs w:val="22"/>
        </w:rPr>
        <w:t xml:space="preserve"> (4th ed.). Wiley.</w:t>
      </w:r>
    </w:p>
    <w:p w14:paraId="6151C75F"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Moore, M. G., &amp; Kearsley, G. (2012). </w:t>
      </w:r>
      <w:r w:rsidRPr="00BC5E5D">
        <w:rPr>
          <w:rFonts w:asciiTheme="minorBidi" w:hAnsiTheme="minorBidi"/>
          <w:i/>
          <w:iCs/>
          <w:sz w:val="22"/>
          <w:szCs w:val="22"/>
        </w:rPr>
        <w:t>Distance education: A systems view of online learning</w:t>
      </w:r>
      <w:r w:rsidRPr="00BC5E5D">
        <w:rPr>
          <w:rFonts w:asciiTheme="minorBidi" w:hAnsiTheme="minorBidi"/>
          <w:sz w:val="22"/>
          <w:szCs w:val="22"/>
        </w:rPr>
        <w:t xml:space="preserve"> (3rd ed.). Wadsworth Cengage Learning.</w:t>
      </w:r>
    </w:p>
    <w:p w14:paraId="195A7283"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Organisation for Economic Co-operation and Development (OECD). (2021). </w:t>
      </w:r>
      <w:r w:rsidRPr="00BC5E5D">
        <w:rPr>
          <w:rFonts w:asciiTheme="minorBidi" w:hAnsiTheme="minorBidi"/>
          <w:i/>
          <w:iCs/>
          <w:sz w:val="22"/>
          <w:szCs w:val="22"/>
        </w:rPr>
        <w:t>Digital education outlook 2021: Pushing the frontiers with AI, blockchain and robots.</w:t>
      </w:r>
      <w:r w:rsidRPr="00BC5E5D">
        <w:rPr>
          <w:rFonts w:asciiTheme="minorBidi" w:hAnsiTheme="minorBidi"/>
          <w:sz w:val="22"/>
          <w:szCs w:val="22"/>
        </w:rPr>
        <w:t xml:space="preserve"> OECD Publishing. </w:t>
      </w:r>
      <w:hyperlink r:id="rId51" w:tgtFrame="_new" w:history="1">
        <w:r w:rsidRPr="00BC5E5D">
          <w:rPr>
            <w:rStyle w:val="Hyperlink"/>
            <w:rFonts w:asciiTheme="minorBidi" w:hAnsiTheme="minorBidi"/>
            <w:sz w:val="22"/>
            <w:szCs w:val="22"/>
          </w:rPr>
          <w:t>https://doi.org/10.1787/589b283f-en</w:t>
        </w:r>
      </w:hyperlink>
    </w:p>
    <w:p w14:paraId="3DE7CDC1"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United Nations Educational, Scientific and Cultural Organization (UNESCO). (2023). </w:t>
      </w:r>
      <w:r w:rsidRPr="00BC5E5D">
        <w:rPr>
          <w:rFonts w:asciiTheme="minorBidi" w:hAnsiTheme="minorBidi"/>
          <w:i/>
          <w:iCs/>
          <w:sz w:val="22"/>
          <w:szCs w:val="22"/>
        </w:rPr>
        <w:t>Guidelines on open and distance learning for higher education during emergency situations.</w:t>
      </w:r>
      <w:r w:rsidRPr="00BC5E5D">
        <w:rPr>
          <w:rFonts w:asciiTheme="minorBidi" w:hAnsiTheme="minorBidi"/>
          <w:sz w:val="22"/>
          <w:szCs w:val="22"/>
        </w:rPr>
        <w:t xml:space="preserve"> UNESCO. </w:t>
      </w:r>
      <w:hyperlink r:id="rId52" w:tgtFrame="_new" w:history="1">
        <w:r w:rsidRPr="00BC5E5D">
          <w:rPr>
            <w:rStyle w:val="Hyperlink"/>
            <w:rFonts w:asciiTheme="minorBidi" w:hAnsiTheme="minorBidi"/>
            <w:sz w:val="22"/>
            <w:szCs w:val="22"/>
          </w:rPr>
          <w:t>https://unesdoc.unesco.org</w:t>
        </w:r>
      </w:hyperlink>
    </w:p>
    <w:p w14:paraId="00CD2781" w14:textId="77777777" w:rsidR="00B65461" w:rsidRPr="00F924D0" w:rsidRDefault="00B65461" w:rsidP="00B65461">
      <w:pPr>
        <w:spacing w:line="360" w:lineRule="auto"/>
        <w:jc w:val="both"/>
        <w:rPr>
          <w:rFonts w:asciiTheme="minorBidi" w:hAnsiTheme="minorBidi"/>
          <w:sz w:val="22"/>
          <w:szCs w:val="22"/>
        </w:rPr>
      </w:pPr>
      <w:r w:rsidRPr="00F924D0">
        <w:rPr>
          <w:rFonts w:asciiTheme="minorBidi" w:hAnsiTheme="minorBidi"/>
          <w:sz w:val="22"/>
          <w:szCs w:val="22"/>
        </w:rPr>
        <w:t xml:space="preserve">  Mehanna, W. N. (2004). </w:t>
      </w:r>
      <w:r w:rsidRPr="00F924D0">
        <w:rPr>
          <w:rFonts w:asciiTheme="minorBidi" w:hAnsiTheme="minorBidi"/>
          <w:i/>
          <w:iCs/>
          <w:sz w:val="22"/>
          <w:szCs w:val="22"/>
        </w:rPr>
        <w:t>e-Pedagogy: the pedagogies of e-learning</w:t>
      </w:r>
      <w:r w:rsidRPr="00F924D0">
        <w:rPr>
          <w:rFonts w:asciiTheme="minorBidi" w:hAnsiTheme="minorBidi"/>
          <w:sz w:val="22"/>
          <w:szCs w:val="22"/>
        </w:rPr>
        <w:t xml:space="preserve">. Journal of Information Technology for Teacher Education. </w:t>
      </w:r>
      <w:hyperlink r:id="rId53" w:tgtFrame="_blank" w:history="1">
        <w:r w:rsidRPr="00F924D0">
          <w:rPr>
            <w:rStyle w:val="Hyperlink"/>
            <w:rFonts w:asciiTheme="minorBidi" w:hAnsiTheme="minorBidi"/>
            <w:sz w:val="22"/>
            <w:szCs w:val="22"/>
          </w:rPr>
          <w:t>Taylor &amp; Francis Online</w:t>
        </w:r>
      </w:hyperlink>
    </w:p>
    <w:p w14:paraId="597130CA" w14:textId="77777777" w:rsidR="00B65461" w:rsidRPr="00F924D0" w:rsidRDefault="00B65461" w:rsidP="00B65461">
      <w:pPr>
        <w:spacing w:line="360" w:lineRule="auto"/>
        <w:jc w:val="both"/>
        <w:rPr>
          <w:rFonts w:asciiTheme="minorBidi" w:hAnsiTheme="minorBidi"/>
          <w:sz w:val="22"/>
          <w:szCs w:val="22"/>
        </w:rPr>
      </w:pPr>
      <w:r w:rsidRPr="00F924D0">
        <w:rPr>
          <w:rFonts w:asciiTheme="minorBidi" w:hAnsiTheme="minorBidi"/>
          <w:sz w:val="22"/>
          <w:szCs w:val="22"/>
        </w:rPr>
        <w:t xml:space="preserve">  Ali, S., et al. (2018). A conceptual framework highlighting e-learning implementation barriers. </w:t>
      </w:r>
      <w:r w:rsidRPr="00F924D0">
        <w:rPr>
          <w:rFonts w:asciiTheme="minorBidi" w:hAnsiTheme="minorBidi"/>
          <w:i/>
          <w:iCs/>
          <w:sz w:val="22"/>
          <w:szCs w:val="22"/>
        </w:rPr>
        <w:t>Information Technology &amp; People</w:t>
      </w:r>
      <w:r w:rsidRPr="00F924D0">
        <w:rPr>
          <w:rFonts w:asciiTheme="minorBidi" w:hAnsiTheme="minorBidi"/>
          <w:sz w:val="22"/>
          <w:szCs w:val="22"/>
        </w:rPr>
        <w:t xml:space="preserve">. </w:t>
      </w:r>
      <w:hyperlink r:id="rId54" w:tgtFrame="_blank" w:history="1">
        <w:r w:rsidRPr="00F924D0">
          <w:rPr>
            <w:rStyle w:val="Hyperlink"/>
            <w:rFonts w:asciiTheme="minorBidi" w:hAnsiTheme="minorBidi"/>
            <w:sz w:val="22"/>
            <w:szCs w:val="22"/>
          </w:rPr>
          <w:t>CentAUR</w:t>
        </w:r>
      </w:hyperlink>
    </w:p>
    <w:p w14:paraId="6669A6AC" w14:textId="77777777" w:rsidR="00B65461" w:rsidRPr="00BC5E5D" w:rsidRDefault="00B65461" w:rsidP="00B65461">
      <w:pPr>
        <w:spacing w:line="360" w:lineRule="auto"/>
        <w:jc w:val="both"/>
        <w:rPr>
          <w:rFonts w:asciiTheme="minorBidi" w:hAnsiTheme="minorBidi"/>
          <w:sz w:val="22"/>
          <w:szCs w:val="22"/>
        </w:rPr>
      </w:pPr>
      <w:r w:rsidRPr="00F924D0">
        <w:rPr>
          <w:rFonts w:asciiTheme="minorBidi" w:hAnsiTheme="minorBidi"/>
          <w:sz w:val="22"/>
          <w:szCs w:val="22"/>
        </w:rPr>
        <w:t xml:space="preserve">  Giannakos, M. N., et al. (2021). Systematic literature review of e-learning capabilities to support organizational learning. </w:t>
      </w:r>
      <w:r w:rsidRPr="00F924D0">
        <w:rPr>
          <w:rFonts w:asciiTheme="minorBidi" w:hAnsiTheme="minorBidi"/>
          <w:i/>
          <w:iCs/>
          <w:sz w:val="22"/>
          <w:szCs w:val="22"/>
        </w:rPr>
        <w:t>PLOS ONE</w:t>
      </w:r>
      <w:r w:rsidRPr="00F924D0">
        <w:rPr>
          <w:rFonts w:asciiTheme="minorBidi" w:hAnsiTheme="minorBidi"/>
          <w:sz w:val="22"/>
          <w:szCs w:val="22"/>
        </w:rPr>
        <w:t>.</w:t>
      </w:r>
    </w:p>
    <w:p w14:paraId="7E2C125C" w14:textId="77777777" w:rsidR="00B65461" w:rsidRPr="00B24C71" w:rsidRDefault="00B65461" w:rsidP="00B65461">
      <w:pPr>
        <w:spacing w:line="360" w:lineRule="auto"/>
        <w:jc w:val="both"/>
        <w:rPr>
          <w:rFonts w:asciiTheme="minorBidi" w:hAnsiTheme="minorBidi"/>
          <w:sz w:val="22"/>
          <w:szCs w:val="22"/>
        </w:rPr>
      </w:pPr>
      <w:r w:rsidRPr="00B24C71">
        <w:rPr>
          <w:rFonts w:asciiTheme="minorBidi" w:hAnsiTheme="minorBidi"/>
          <w:b/>
          <w:bCs/>
          <w:sz w:val="22"/>
          <w:szCs w:val="22"/>
        </w:rPr>
        <w:t>Beauchamp, G.</w:t>
      </w:r>
      <w:r w:rsidRPr="00B24C71">
        <w:rPr>
          <w:rFonts w:asciiTheme="minorBidi" w:hAnsiTheme="minorBidi"/>
          <w:sz w:val="22"/>
          <w:szCs w:val="22"/>
        </w:rPr>
        <w:t xml:space="preserve"> (2008). </w:t>
      </w:r>
      <w:r w:rsidRPr="00B24C71">
        <w:rPr>
          <w:rFonts w:asciiTheme="minorBidi" w:hAnsiTheme="minorBidi"/>
          <w:i/>
          <w:iCs/>
          <w:sz w:val="22"/>
          <w:szCs w:val="22"/>
        </w:rPr>
        <w:t>The influence of ICT on the interactivity of teaching</w:t>
      </w:r>
      <w:r w:rsidRPr="00B24C71">
        <w:rPr>
          <w:rFonts w:asciiTheme="minorBidi" w:hAnsiTheme="minorBidi"/>
          <w:sz w:val="22"/>
          <w:szCs w:val="22"/>
        </w:rPr>
        <w:t>. Education and Information Technologies, 13(4), 305–315. https://doi.org/10.1007/s10639-008-9071-y</w:t>
      </w:r>
    </w:p>
    <w:p w14:paraId="7BC9599D" w14:textId="77777777" w:rsidR="00B65461" w:rsidRPr="00BC5E5D" w:rsidRDefault="00B65461" w:rsidP="00B65461">
      <w:pPr>
        <w:spacing w:line="360" w:lineRule="auto"/>
        <w:jc w:val="both"/>
        <w:rPr>
          <w:rFonts w:asciiTheme="minorBidi" w:hAnsiTheme="minorBidi"/>
          <w:sz w:val="22"/>
          <w:szCs w:val="22"/>
        </w:rPr>
      </w:pPr>
      <w:r w:rsidRPr="00B24C71">
        <w:rPr>
          <w:rFonts w:asciiTheme="minorBidi" w:hAnsiTheme="minorBidi"/>
          <w:b/>
          <w:bCs/>
          <w:sz w:val="22"/>
          <w:szCs w:val="22"/>
        </w:rPr>
        <w:t>Miller, D., Glover, D., &amp; Averis, D.</w:t>
      </w:r>
      <w:r w:rsidRPr="00B24C71">
        <w:rPr>
          <w:rFonts w:asciiTheme="minorBidi" w:hAnsiTheme="minorBidi"/>
          <w:sz w:val="22"/>
          <w:szCs w:val="22"/>
        </w:rPr>
        <w:t xml:space="preserve"> (2005). </w:t>
      </w:r>
      <w:r w:rsidRPr="00B24C71">
        <w:rPr>
          <w:rFonts w:asciiTheme="minorBidi" w:hAnsiTheme="minorBidi"/>
          <w:i/>
          <w:iCs/>
          <w:sz w:val="22"/>
          <w:szCs w:val="22"/>
        </w:rPr>
        <w:t>Presentation and pedagogy: The effective use of interactive whiteboards in mathematics lessons</w:t>
      </w:r>
      <w:r w:rsidRPr="00B24C71">
        <w:rPr>
          <w:rFonts w:asciiTheme="minorBidi" w:hAnsiTheme="minorBidi"/>
          <w:sz w:val="22"/>
          <w:szCs w:val="22"/>
        </w:rPr>
        <w:t>. British Society for Research into Learning Mathematics (BSRLM) Proceedings, 25(1), 93–98.</w:t>
      </w:r>
    </w:p>
    <w:p w14:paraId="767FE886"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 xml:space="preserve">Davies, C., &amp; Harris, L. (2016). </w:t>
      </w:r>
      <w:r w:rsidRPr="00BC5E5D">
        <w:rPr>
          <w:rFonts w:asciiTheme="minorBidi" w:hAnsiTheme="minorBidi"/>
          <w:i/>
          <w:iCs/>
          <w:sz w:val="22"/>
          <w:szCs w:val="22"/>
        </w:rPr>
        <w:t>Engaging professional learners using the virtual learning environment (VLE): A case study from social care.</w:t>
      </w:r>
      <w:r w:rsidRPr="00BC5E5D">
        <w:rPr>
          <w:rFonts w:asciiTheme="minorBidi" w:hAnsiTheme="minorBidi"/>
          <w:sz w:val="22"/>
          <w:szCs w:val="22"/>
        </w:rPr>
        <w:t xml:space="preserve"> Wales Journal of Learning and Teaching in Higher Education, 1(1), 60-65.</w:t>
      </w:r>
    </w:p>
    <w:p w14:paraId="24084CB3" w14:textId="77777777" w:rsidR="00B65461" w:rsidRPr="005751CA" w:rsidRDefault="00B65461" w:rsidP="00B65461">
      <w:pPr>
        <w:spacing w:line="360" w:lineRule="auto"/>
        <w:jc w:val="both"/>
        <w:rPr>
          <w:rFonts w:asciiTheme="minorBidi" w:hAnsiTheme="minorBidi"/>
          <w:sz w:val="22"/>
          <w:szCs w:val="22"/>
        </w:rPr>
      </w:pPr>
      <w:r w:rsidRPr="005751CA">
        <w:rPr>
          <w:rFonts w:asciiTheme="minorBidi" w:hAnsiTheme="minorBidi"/>
          <w:sz w:val="22"/>
          <w:szCs w:val="22"/>
        </w:rPr>
        <w:t xml:space="preserve">andura, A. (1977). </w:t>
      </w:r>
      <w:r w:rsidRPr="005751CA">
        <w:rPr>
          <w:rFonts w:asciiTheme="minorBidi" w:hAnsiTheme="minorBidi"/>
          <w:i/>
          <w:iCs/>
          <w:sz w:val="22"/>
          <w:szCs w:val="22"/>
        </w:rPr>
        <w:t>Social learning theory</w:t>
      </w:r>
      <w:r w:rsidRPr="005751CA">
        <w:rPr>
          <w:rFonts w:asciiTheme="minorBidi" w:hAnsiTheme="minorBidi"/>
          <w:sz w:val="22"/>
          <w:szCs w:val="22"/>
        </w:rPr>
        <w:t>. Prentice-Hall.</w:t>
      </w:r>
    </w:p>
    <w:p w14:paraId="6D7337C8" w14:textId="77777777" w:rsidR="00B65461" w:rsidRPr="005751CA" w:rsidRDefault="00B65461" w:rsidP="00B65461">
      <w:pPr>
        <w:spacing w:line="360" w:lineRule="auto"/>
        <w:jc w:val="both"/>
        <w:rPr>
          <w:rFonts w:asciiTheme="minorBidi" w:hAnsiTheme="minorBidi"/>
          <w:sz w:val="22"/>
          <w:szCs w:val="22"/>
        </w:rPr>
      </w:pPr>
      <w:r w:rsidRPr="005751CA">
        <w:rPr>
          <w:rFonts w:asciiTheme="minorBidi" w:hAnsiTheme="minorBidi"/>
          <w:sz w:val="22"/>
          <w:szCs w:val="22"/>
        </w:rPr>
        <w:t xml:space="preserve">Bruner, J. S. (1960). </w:t>
      </w:r>
      <w:r w:rsidRPr="005751CA">
        <w:rPr>
          <w:rFonts w:asciiTheme="minorBidi" w:hAnsiTheme="minorBidi"/>
          <w:i/>
          <w:iCs/>
          <w:sz w:val="22"/>
          <w:szCs w:val="22"/>
        </w:rPr>
        <w:t>The process of education</w:t>
      </w:r>
      <w:r w:rsidRPr="005751CA">
        <w:rPr>
          <w:rFonts w:asciiTheme="minorBidi" w:hAnsiTheme="minorBidi"/>
          <w:sz w:val="22"/>
          <w:szCs w:val="22"/>
        </w:rPr>
        <w:t>. Harvard University Press.</w:t>
      </w:r>
    </w:p>
    <w:p w14:paraId="782FDBCE" w14:textId="77777777" w:rsidR="00B65461" w:rsidRPr="005751CA" w:rsidRDefault="00B65461" w:rsidP="00B65461">
      <w:pPr>
        <w:spacing w:line="360" w:lineRule="auto"/>
        <w:jc w:val="both"/>
        <w:rPr>
          <w:rFonts w:asciiTheme="minorBidi" w:hAnsiTheme="minorBidi"/>
          <w:sz w:val="22"/>
          <w:szCs w:val="22"/>
        </w:rPr>
      </w:pPr>
      <w:r w:rsidRPr="005751CA">
        <w:rPr>
          <w:rFonts w:asciiTheme="minorBidi" w:hAnsiTheme="minorBidi"/>
          <w:sz w:val="22"/>
          <w:szCs w:val="22"/>
        </w:rPr>
        <w:lastRenderedPageBreak/>
        <w:t xml:space="preserve">Piaget, J. (1972). </w:t>
      </w:r>
      <w:r w:rsidRPr="005751CA">
        <w:rPr>
          <w:rFonts w:asciiTheme="minorBidi" w:hAnsiTheme="minorBidi"/>
          <w:i/>
          <w:iCs/>
          <w:sz w:val="22"/>
          <w:szCs w:val="22"/>
        </w:rPr>
        <w:t>The psychology of the child</w:t>
      </w:r>
      <w:r w:rsidRPr="005751CA">
        <w:rPr>
          <w:rFonts w:asciiTheme="minorBidi" w:hAnsiTheme="minorBidi"/>
          <w:sz w:val="22"/>
          <w:szCs w:val="22"/>
        </w:rPr>
        <w:t>. Basic Books.</w:t>
      </w:r>
    </w:p>
    <w:p w14:paraId="5F105A41" w14:textId="77777777" w:rsidR="00B65461" w:rsidRPr="005751CA" w:rsidRDefault="00B65461" w:rsidP="00B65461">
      <w:pPr>
        <w:spacing w:line="360" w:lineRule="auto"/>
        <w:jc w:val="both"/>
        <w:rPr>
          <w:rFonts w:asciiTheme="minorBidi" w:hAnsiTheme="minorBidi"/>
          <w:sz w:val="22"/>
          <w:szCs w:val="22"/>
        </w:rPr>
      </w:pPr>
      <w:r w:rsidRPr="005751CA">
        <w:rPr>
          <w:rFonts w:asciiTheme="minorBidi" w:hAnsiTheme="minorBidi"/>
          <w:sz w:val="22"/>
          <w:szCs w:val="22"/>
        </w:rPr>
        <w:t xml:space="preserve">Skinner, B. F. (1953). </w:t>
      </w:r>
      <w:r w:rsidRPr="005751CA">
        <w:rPr>
          <w:rFonts w:asciiTheme="minorBidi" w:hAnsiTheme="minorBidi"/>
          <w:i/>
          <w:iCs/>
          <w:sz w:val="22"/>
          <w:szCs w:val="22"/>
        </w:rPr>
        <w:t>Science and human behavior</w:t>
      </w:r>
      <w:r w:rsidRPr="005751CA">
        <w:rPr>
          <w:rFonts w:asciiTheme="minorBidi" w:hAnsiTheme="minorBidi"/>
          <w:sz w:val="22"/>
          <w:szCs w:val="22"/>
        </w:rPr>
        <w:t>. Macmillan.</w:t>
      </w:r>
    </w:p>
    <w:p w14:paraId="11636986" w14:textId="77777777" w:rsidR="00B65461" w:rsidRPr="00BC5E5D" w:rsidRDefault="00B65461" w:rsidP="00B65461">
      <w:pPr>
        <w:spacing w:line="360" w:lineRule="auto"/>
        <w:jc w:val="both"/>
        <w:rPr>
          <w:rFonts w:asciiTheme="minorBidi" w:hAnsiTheme="minorBidi"/>
          <w:sz w:val="22"/>
          <w:szCs w:val="22"/>
        </w:rPr>
      </w:pPr>
      <w:r w:rsidRPr="005751CA">
        <w:rPr>
          <w:rFonts w:asciiTheme="minorBidi" w:hAnsiTheme="minorBidi"/>
          <w:sz w:val="22"/>
          <w:szCs w:val="22"/>
        </w:rPr>
        <w:t xml:space="preserve">Vygotsky, L. S. (1978). </w:t>
      </w:r>
      <w:r w:rsidRPr="005751CA">
        <w:rPr>
          <w:rFonts w:asciiTheme="minorBidi" w:hAnsiTheme="minorBidi"/>
          <w:i/>
          <w:iCs/>
          <w:sz w:val="22"/>
          <w:szCs w:val="22"/>
        </w:rPr>
        <w:t>Mind in society: The development of higher psychological processes</w:t>
      </w:r>
      <w:r w:rsidRPr="005751CA">
        <w:rPr>
          <w:rFonts w:asciiTheme="minorBidi" w:hAnsiTheme="minorBidi"/>
          <w:sz w:val="22"/>
          <w:szCs w:val="22"/>
        </w:rPr>
        <w:t>. Harvard University Press.</w:t>
      </w:r>
    </w:p>
    <w:p w14:paraId="2DD40176" w14:textId="77777777" w:rsidR="00B65461" w:rsidRPr="00BC5E5D" w:rsidRDefault="00B65461" w:rsidP="00B65461">
      <w:pPr>
        <w:spacing w:line="360" w:lineRule="auto"/>
        <w:jc w:val="both"/>
        <w:rPr>
          <w:rFonts w:asciiTheme="minorBidi" w:hAnsiTheme="minorBidi"/>
          <w:sz w:val="22"/>
          <w:szCs w:val="22"/>
        </w:rPr>
      </w:pPr>
    </w:p>
    <w:p w14:paraId="3948E628" w14:textId="77777777" w:rsidR="00B65461" w:rsidRPr="00D46D7C" w:rsidRDefault="00B65461" w:rsidP="00B65461">
      <w:pPr>
        <w:spacing w:line="360" w:lineRule="auto"/>
        <w:jc w:val="both"/>
        <w:rPr>
          <w:rFonts w:asciiTheme="minorBidi" w:hAnsiTheme="minorBidi"/>
          <w:sz w:val="22"/>
          <w:szCs w:val="22"/>
        </w:rPr>
      </w:pPr>
      <w:r w:rsidRPr="00D46D7C">
        <w:rPr>
          <w:rFonts w:asciiTheme="minorBidi" w:hAnsiTheme="minorBidi"/>
          <w:sz w:val="22"/>
          <w:szCs w:val="22"/>
        </w:rPr>
        <w:t xml:space="preserve">Bagozzi, R. P. (2007). The legacy of the technology acceptance model and a proposal for a paradigm shift. </w:t>
      </w:r>
      <w:r w:rsidRPr="00D46D7C">
        <w:rPr>
          <w:rFonts w:asciiTheme="minorBidi" w:hAnsiTheme="minorBidi"/>
          <w:i/>
          <w:iCs/>
          <w:sz w:val="22"/>
          <w:szCs w:val="22"/>
        </w:rPr>
        <w:t>Journal of the Association for Information Systems, 8</w:t>
      </w:r>
      <w:r w:rsidRPr="00D46D7C">
        <w:rPr>
          <w:rFonts w:asciiTheme="minorBidi" w:hAnsiTheme="minorBidi"/>
          <w:sz w:val="22"/>
          <w:szCs w:val="22"/>
        </w:rPr>
        <w:t>(4), 244–254.</w:t>
      </w:r>
    </w:p>
    <w:p w14:paraId="3CB261A6" w14:textId="77777777" w:rsidR="00B65461" w:rsidRPr="00D46D7C" w:rsidRDefault="00B65461" w:rsidP="00B65461">
      <w:pPr>
        <w:spacing w:line="360" w:lineRule="auto"/>
        <w:jc w:val="both"/>
        <w:rPr>
          <w:rFonts w:asciiTheme="minorBidi" w:hAnsiTheme="minorBidi"/>
          <w:sz w:val="22"/>
          <w:szCs w:val="22"/>
        </w:rPr>
      </w:pPr>
      <w:r w:rsidRPr="00D46D7C">
        <w:rPr>
          <w:rFonts w:asciiTheme="minorBidi" w:hAnsiTheme="minorBidi"/>
          <w:sz w:val="22"/>
          <w:szCs w:val="22"/>
        </w:rPr>
        <w:t xml:space="preserve">Davis, F. D. (1989). Perceived usefulness, perceived ease of use, and user acceptance of information technology. </w:t>
      </w:r>
      <w:r w:rsidRPr="00D46D7C">
        <w:rPr>
          <w:rFonts w:asciiTheme="minorBidi" w:hAnsiTheme="minorBidi"/>
          <w:i/>
          <w:iCs/>
          <w:sz w:val="22"/>
          <w:szCs w:val="22"/>
        </w:rPr>
        <w:t>MIS Quarterly, 13</w:t>
      </w:r>
      <w:r w:rsidRPr="00D46D7C">
        <w:rPr>
          <w:rFonts w:asciiTheme="minorBidi" w:hAnsiTheme="minorBidi"/>
          <w:sz w:val="22"/>
          <w:szCs w:val="22"/>
        </w:rPr>
        <w:t>(3), 319–340.</w:t>
      </w:r>
    </w:p>
    <w:p w14:paraId="22590455" w14:textId="77777777" w:rsidR="00B65461" w:rsidRPr="00D46D7C" w:rsidRDefault="00B65461" w:rsidP="00B65461">
      <w:pPr>
        <w:spacing w:line="360" w:lineRule="auto"/>
        <w:jc w:val="both"/>
        <w:rPr>
          <w:rFonts w:asciiTheme="minorBidi" w:hAnsiTheme="minorBidi"/>
          <w:sz w:val="22"/>
          <w:szCs w:val="22"/>
        </w:rPr>
      </w:pPr>
      <w:r w:rsidRPr="00D46D7C">
        <w:rPr>
          <w:rFonts w:asciiTheme="minorBidi" w:hAnsiTheme="minorBidi"/>
          <w:sz w:val="22"/>
          <w:szCs w:val="22"/>
        </w:rPr>
        <w:t xml:space="preserve">Dwivedi, Y. K., Lal, B., Williams, M. D., &amp; Schneberger, S. L. (2011). Understanding information systems continuance: The case of e-government. </w:t>
      </w:r>
      <w:r w:rsidRPr="00D46D7C">
        <w:rPr>
          <w:rFonts w:asciiTheme="minorBidi" w:hAnsiTheme="minorBidi"/>
          <w:i/>
          <w:iCs/>
          <w:sz w:val="22"/>
          <w:szCs w:val="22"/>
        </w:rPr>
        <w:t>Government Information Quarterly, 28</w:t>
      </w:r>
      <w:r w:rsidRPr="00D46D7C">
        <w:rPr>
          <w:rFonts w:asciiTheme="minorBidi" w:hAnsiTheme="minorBidi"/>
          <w:sz w:val="22"/>
          <w:szCs w:val="22"/>
        </w:rPr>
        <w:t>(1), 89–97.</w:t>
      </w:r>
    </w:p>
    <w:p w14:paraId="4C08015A" w14:textId="77777777" w:rsidR="00B65461" w:rsidRPr="00D46D7C" w:rsidRDefault="00B65461" w:rsidP="00B65461">
      <w:pPr>
        <w:spacing w:line="360" w:lineRule="auto"/>
        <w:jc w:val="both"/>
        <w:rPr>
          <w:rFonts w:asciiTheme="minorBidi" w:hAnsiTheme="minorBidi"/>
          <w:sz w:val="22"/>
          <w:szCs w:val="22"/>
        </w:rPr>
      </w:pPr>
      <w:r w:rsidRPr="00D46D7C">
        <w:rPr>
          <w:rFonts w:asciiTheme="minorBidi" w:hAnsiTheme="minorBidi"/>
          <w:sz w:val="22"/>
          <w:szCs w:val="22"/>
        </w:rPr>
        <w:t xml:space="preserve">Greenhalgh, T., Robert, G., Macfarlane, F., Bate, P., &amp; Kyriakidou, O. (2004). Diffusion of innovations in service organizations: Systematic review and recommendations. </w:t>
      </w:r>
      <w:r w:rsidRPr="00D46D7C">
        <w:rPr>
          <w:rFonts w:asciiTheme="minorBidi" w:hAnsiTheme="minorBidi"/>
          <w:i/>
          <w:iCs/>
          <w:sz w:val="22"/>
          <w:szCs w:val="22"/>
        </w:rPr>
        <w:t>The Milbank Quarterly, 82</w:t>
      </w:r>
      <w:r w:rsidRPr="00D46D7C">
        <w:rPr>
          <w:rFonts w:asciiTheme="minorBidi" w:hAnsiTheme="minorBidi"/>
          <w:sz w:val="22"/>
          <w:szCs w:val="22"/>
        </w:rPr>
        <w:t>(4), 581–629.</w:t>
      </w:r>
    </w:p>
    <w:p w14:paraId="6A28B6AE" w14:textId="77777777" w:rsidR="00B65461" w:rsidRPr="00D46D7C" w:rsidRDefault="00B65461" w:rsidP="00B65461">
      <w:pPr>
        <w:spacing w:line="360" w:lineRule="auto"/>
        <w:jc w:val="both"/>
        <w:rPr>
          <w:rFonts w:asciiTheme="minorBidi" w:hAnsiTheme="minorBidi"/>
          <w:sz w:val="22"/>
          <w:szCs w:val="22"/>
        </w:rPr>
      </w:pPr>
      <w:r w:rsidRPr="00D46D7C">
        <w:rPr>
          <w:rFonts w:asciiTheme="minorBidi" w:hAnsiTheme="minorBidi"/>
          <w:sz w:val="22"/>
          <w:szCs w:val="22"/>
        </w:rPr>
        <w:t xml:space="preserve">Rogers, E. M. (2003). </w:t>
      </w:r>
      <w:r w:rsidRPr="00D46D7C">
        <w:rPr>
          <w:rFonts w:asciiTheme="minorBidi" w:hAnsiTheme="minorBidi"/>
          <w:i/>
          <w:iCs/>
          <w:sz w:val="22"/>
          <w:szCs w:val="22"/>
        </w:rPr>
        <w:t>Diffusion of innovations</w:t>
      </w:r>
      <w:r w:rsidRPr="00D46D7C">
        <w:rPr>
          <w:rFonts w:asciiTheme="minorBidi" w:hAnsiTheme="minorBidi"/>
          <w:sz w:val="22"/>
          <w:szCs w:val="22"/>
        </w:rPr>
        <w:t xml:space="preserve"> (5th ed.). Free Press.</w:t>
      </w:r>
    </w:p>
    <w:p w14:paraId="36F51B03" w14:textId="77777777" w:rsidR="00B65461" w:rsidRPr="00BC5E5D" w:rsidRDefault="00B65461" w:rsidP="00B65461">
      <w:pPr>
        <w:spacing w:line="360" w:lineRule="auto"/>
        <w:jc w:val="both"/>
        <w:rPr>
          <w:rFonts w:asciiTheme="minorBidi" w:hAnsiTheme="minorBidi"/>
          <w:sz w:val="22"/>
          <w:szCs w:val="22"/>
        </w:rPr>
      </w:pPr>
      <w:r w:rsidRPr="00D46D7C">
        <w:rPr>
          <w:rFonts w:asciiTheme="minorBidi" w:hAnsiTheme="minorBidi"/>
          <w:sz w:val="22"/>
          <w:szCs w:val="22"/>
        </w:rPr>
        <w:t xml:space="preserve">Venkatesh, V., Morris, M. G., Davis, G. B., &amp; Davis, F. D. (2003). User acceptance of information technology: Toward a unified view. </w:t>
      </w:r>
      <w:r w:rsidRPr="00D46D7C">
        <w:rPr>
          <w:rFonts w:asciiTheme="minorBidi" w:hAnsiTheme="minorBidi"/>
          <w:i/>
          <w:iCs/>
          <w:sz w:val="22"/>
          <w:szCs w:val="22"/>
        </w:rPr>
        <w:t>MIS Quarterly, 27</w:t>
      </w:r>
      <w:r w:rsidRPr="00D46D7C">
        <w:rPr>
          <w:rFonts w:asciiTheme="minorBidi" w:hAnsiTheme="minorBidi"/>
          <w:sz w:val="22"/>
          <w:szCs w:val="22"/>
        </w:rPr>
        <w:t>(3), 425–478.</w:t>
      </w:r>
    </w:p>
    <w:p w14:paraId="741A07D8" w14:textId="77777777" w:rsidR="00B65461" w:rsidRPr="00BC5E5D"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Silva, P., 2015. Davis' technology acceptance model (TAM)(1989). </w:t>
      </w:r>
      <w:r w:rsidRPr="00BC5E5D">
        <w:rPr>
          <w:rFonts w:asciiTheme="minorBidi" w:hAnsiTheme="minorBidi"/>
          <w:i/>
          <w:iCs/>
          <w:sz w:val="22"/>
          <w:szCs w:val="22"/>
        </w:rPr>
        <w:t>Information seeking behavior and technology adoption: Theories and trends</w:t>
      </w:r>
      <w:r w:rsidRPr="00BC5E5D">
        <w:rPr>
          <w:rFonts w:asciiTheme="minorBidi" w:hAnsiTheme="minorBidi"/>
          <w:sz w:val="22"/>
          <w:szCs w:val="22"/>
        </w:rPr>
        <w:t>, pp.205-219.</w:t>
      </w:r>
    </w:p>
    <w:p w14:paraId="25ABEDCB" w14:textId="77777777" w:rsidR="00B65461" w:rsidRPr="00D46D7C"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Williams, M.D., Rana, N.P. and Dwivedi, Y.K., 2015. The unified theory of acceptance and use of technology (UTAUT): a literature review. </w:t>
      </w:r>
      <w:r w:rsidRPr="00BC5E5D">
        <w:rPr>
          <w:rFonts w:asciiTheme="minorBidi" w:hAnsiTheme="minorBidi"/>
          <w:i/>
          <w:iCs/>
          <w:sz w:val="22"/>
          <w:szCs w:val="22"/>
        </w:rPr>
        <w:t>Journal of enterprise information management</w:t>
      </w:r>
      <w:r w:rsidRPr="00BC5E5D">
        <w:rPr>
          <w:rFonts w:asciiTheme="minorBidi" w:hAnsiTheme="minorBidi"/>
          <w:sz w:val="22"/>
          <w:szCs w:val="22"/>
        </w:rPr>
        <w:t>, </w:t>
      </w:r>
      <w:r w:rsidRPr="00BC5E5D">
        <w:rPr>
          <w:rFonts w:asciiTheme="minorBidi" w:hAnsiTheme="minorBidi"/>
          <w:i/>
          <w:iCs/>
          <w:sz w:val="22"/>
          <w:szCs w:val="22"/>
        </w:rPr>
        <w:t>28</w:t>
      </w:r>
      <w:r w:rsidRPr="00BC5E5D">
        <w:rPr>
          <w:rFonts w:asciiTheme="minorBidi" w:hAnsiTheme="minorBidi"/>
          <w:sz w:val="22"/>
          <w:szCs w:val="22"/>
        </w:rPr>
        <w:t>(3), pp.443-488.</w:t>
      </w:r>
    </w:p>
    <w:p w14:paraId="4FCE5631" w14:textId="77777777" w:rsidR="00B65461" w:rsidRDefault="00B65461" w:rsidP="00B65461">
      <w:pPr>
        <w:spacing w:line="360" w:lineRule="auto"/>
        <w:jc w:val="both"/>
        <w:rPr>
          <w:rFonts w:asciiTheme="minorBidi" w:hAnsiTheme="minorBidi"/>
          <w:sz w:val="22"/>
          <w:szCs w:val="22"/>
        </w:rPr>
      </w:pPr>
      <w:r w:rsidRPr="00BC5E5D">
        <w:rPr>
          <w:rFonts w:asciiTheme="minorBidi" w:hAnsiTheme="minorBidi"/>
          <w:sz w:val="22"/>
          <w:szCs w:val="22"/>
        </w:rPr>
        <w:t>Rahi, S. and Abd. Ghani, M., 2018. The role of UTAUT, DOI, perceived technology security and game elements in internet banking adoption. </w:t>
      </w:r>
      <w:r w:rsidRPr="00BC5E5D">
        <w:rPr>
          <w:rFonts w:asciiTheme="minorBidi" w:hAnsiTheme="minorBidi"/>
          <w:i/>
          <w:iCs/>
          <w:sz w:val="22"/>
          <w:szCs w:val="22"/>
        </w:rPr>
        <w:t>World Journal of Science, Technology and Sustainable Development</w:t>
      </w:r>
      <w:r w:rsidRPr="00BC5E5D">
        <w:rPr>
          <w:rFonts w:asciiTheme="minorBidi" w:hAnsiTheme="minorBidi"/>
          <w:sz w:val="22"/>
          <w:szCs w:val="22"/>
        </w:rPr>
        <w:t>, </w:t>
      </w:r>
      <w:r w:rsidRPr="00BC5E5D">
        <w:rPr>
          <w:rFonts w:asciiTheme="minorBidi" w:hAnsiTheme="minorBidi"/>
          <w:i/>
          <w:iCs/>
          <w:sz w:val="22"/>
          <w:szCs w:val="22"/>
        </w:rPr>
        <w:t>15</w:t>
      </w:r>
      <w:r w:rsidRPr="00BC5E5D">
        <w:rPr>
          <w:rFonts w:asciiTheme="minorBidi" w:hAnsiTheme="minorBidi"/>
          <w:sz w:val="22"/>
          <w:szCs w:val="22"/>
        </w:rPr>
        <w:t>(4), pp.338-356.</w:t>
      </w:r>
    </w:p>
    <w:p w14:paraId="39CD80A6" w14:textId="77777777" w:rsidR="00B65461" w:rsidRPr="00F343F4" w:rsidRDefault="00B65461" w:rsidP="00B65461">
      <w:pPr>
        <w:spacing w:line="360" w:lineRule="auto"/>
        <w:jc w:val="both"/>
        <w:rPr>
          <w:rFonts w:asciiTheme="minorBidi" w:hAnsiTheme="minorBidi"/>
          <w:sz w:val="22"/>
          <w:szCs w:val="22"/>
        </w:rPr>
      </w:pPr>
      <w:r w:rsidRPr="00F343F4">
        <w:rPr>
          <w:rFonts w:asciiTheme="minorBidi" w:hAnsiTheme="minorBidi"/>
          <w:sz w:val="22"/>
          <w:szCs w:val="22"/>
        </w:rPr>
        <w:t xml:space="preserve">Dahlan, N., Kamaludin, A., &amp; Hassan, H. (2020). Challenges and factors influencing e-learning adoption in developing countries. </w:t>
      </w:r>
      <w:r w:rsidRPr="00F343F4">
        <w:rPr>
          <w:rFonts w:asciiTheme="minorBidi" w:hAnsiTheme="minorBidi"/>
          <w:i/>
          <w:iCs/>
          <w:sz w:val="22"/>
          <w:szCs w:val="22"/>
        </w:rPr>
        <w:t>International Journal of Advanced Computer Science and Applications, 11</w:t>
      </w:r>
      <w:r w:rsidRPr="00F343F4">
        <w:rPr>
          <w:rFonts w:asciiTheme="minorBidi" w:hAnsiTheme="minorBidi"/>
          <w:sz w:val="22"/>
          <w:szCs w:val="22"/>
        </w:rPr>
        <w:t>(3), 143–150.</w:t>
      </w:r>
    </w:p>
    <w:p w14:paraId="1BCD3AE5" w14:textId="77777777" w:rsidR="00B65461" w:rsidRPr="00534CDB" w:rsidRDefault="00B65461" w:rsidP="00B65461">
      <w:pPr>
        <w:spacing w:line="360" w:lineRule="auto"/>
        <w:jc w:val="both"/>
        <w:rPr>
          <w:rFonts w:asciiTheme="minorBidi" w:hAnsiTheme="minorBidi"/>
          <w:sz w:val="22"/>
          <w:szCs w:val="22"/>
        </w:rPr>
      </w:pPr>
      <w:r w:rsidRPr="00534CDB">
        <w:rPr>
          <w:rFonts w:asciiTheme="minorBidi" w:hAnsiTheme="minorBidi"/>
          <w:sz w:val="22"/>
          <w:szCs w:val="22"/>
        </w:rPr>
        <w:t xml:space="preserve">Islam, M. N., &amp; Grönlund, Å. (2016). An international literature review of 1:1 computing in schools. </w:t>
      </w:r>
      <w:r w:rsidRPr="00534CDB">
        <w:rPr>
          <w:rFonts w:asciiTheme="minorBidi" w:hAnsiTheme="minorBidi"/>
          <w:i/>
          <w:iCs/>
          <w:sz w:val="22"/>
          <w:szCs w:val="22"/>
        </w:rPr>
        <w:t>Journal of Educational Change, 17</w:t>
      </w:r>
      <w:r w:rsidRPr="00534CDB">
        <w:rPr>
          <w:rFonts w:asciiTheme="minorBidi" w:hAnsiTheme="minorBidi"/>
          <w:sz w:val="22"/>
          <w:szCs w:val="22"/>
        </w:rPr>
        <w:t>(2), 191–222.</w:t>
      </w:r>
    </w:p>
    <w:p w14:paraId="2B592DD2" w14:textId="77777777" w:rsidR="00B65461" w:rsidRPr="00534CDB" w:rsidRDefault="00B65461" w:rsidP="00B65461">
      <w:pPr>
        <w:spacing w:line="360" w:lineRule="auto"/>
        <w:jc w:val="both"/>
        <w:rPr>
          <w:rFonts w:asciiTheme="minorBidi" w:hAnsiTheme="minorBidi"/>
          <w:sz w:val="22"/>
          <w:szCs w:val="22"/>
        </w:rPr>
      </w:pPr>
      <w:r w:rsidRPr="00534CDB">
        <w:rPr>
          <w:rFonts w:asciiTheme="minorBidi" w:hAnsiTheme="minorBidi"/>
          <w:sz w:val="22"/>
          <w:szCs w:val="22"/>
        </w:rPr>
        <w:lastRenderedPageBreak/>
        <w:t xml:space="preserve">Khalid, M. S., Rongbutsri, N., &amp; Atif, Y. (2022). Barriers to e-learning in developing countries: A systematic review. </w:t>
      </w:r>
      <w:r w:rsidRPr="00534CDB">
        <w:rPr>
          <w:rFonts w:asciiTheme="minorBidi" w:hAnsiTheme="minorBidi"/>
          <w:i/>
          <w:iCs/>
          <w:sz w:val="22"/>
          <w:szCs w:val="22"/>
        </w:rPr>
        <w:t>Education and Information Technologies, 27</w:t>
      </w:r>
      <w:r w:rsidRPr="00534CDB">
        <w:rPr>
          <w:rFonts w:asciiTheme="minorBidi" w:hAnsiTheme="minorBidi"/>
          <w:sz w:val="22"/>
          <w:szCs w:val="22"/>
        </w:rPr>
        <w:t>(1), 237–263.</w:t>
      </w:r>
    </w:p>
    <w:p w14:paraId="173FA7D6" w14:textId="77777777" w:rsidR="00B65461" w:rsidRPr="005751CA" w:rsidRDefault="00B65461" w:rsidP="00B65461">
      <w:pPr>
        <w:spacing w:line="360" w:lineRule="auto"/>
        <w:jc w:val="both"/>
        <w:rPr>
          <w:rFonts w:asciiTheme="minorBidi" w:hAnsiTheme="minorBidi"/>
          <w:sz w:val="22"/>
          <w:szCs w:val="22"/>
        </w:rPr>
      </w:pPr>
    </w:p>
    <w:p w14:paraId="0016685B" w14:textId="77777777" w:rsidR="00B65461" w:rsidRPr="00D2507F" w:rsidRDefault="00B65461" w:rsidP="00B65461">
      <w:pPr>
        <w:spacing w:line="360" w:lineRule="auto"/>
        <w:jc w:val="both"/>
        <w:rPr>
          <w:rFonts w:asciiTheme="minorBidi" w:hAnsiTheme="minorBidi"/>
          <w:sz w:val="22"/>
          <w:szCs w:val="22"/>
        </w:rPr>
      </w:pPr>
      <w:r w:rsidRPr="00D2507F">
        <w:rPr>
          <w:rFonts w:asciiTheme="minorBidi" w:hAnsiTheme="minorBidi"/>
          <w:sz w:val="22"/>
          <w:szCs w:val="22"/>
        </w:rPr>
        <w:t xml:space="preserve">Bagozzi, R. P. (2007). The legacy of the technology acceptance model and a proposal for a paradigm shift. </w:t>
      </w:r>
      <w:r w:rsidRPr="00D2507F">
        <w:rPr>
          <w:rFonts w:asciiTheme="minorBidi" w:hAnsiTheme="minorBidi"/>
          <w:i/>
          <w:iCs/>
          <w:sz w:val="22"/>
          <w:szCs w:val="22"/>
        </w:rPr>
        <w:t>Journal of the Association for Information Systems, 8</w:t>
      </w:r>
      <w:r w:rsidRPr="00D2507F">
        <w:rPr>
          <w:rFonts w:asciiTheme="minorBidi" w:hAnsiTheme="minorBidi"/>
          <w:sz w:val="22"/>
          <w:szCs w:val="22"/>
        </w:rPr>
        <w:t>(4), 244–254.</w:t>
      </w:r>
    </w:p>
    <w:p w14:paraId="76AE1397" w14:textId="77777777" w:rsidR="00B65461" w:rsidRPr="00D2507F" w:rsidRDefault="00B65461" w:rsidP="00B65461">
      <w:pPr>
        <w:spacing w:line="360" w:lineRule="auto"/>
        <w:jc w:val="both"/>
        <w:rPr>
          <w:rFonts w:asciiTheme="minorBidi" w:hAnsiTheme="minorBidi"/>
          <w:sz w:val="22"/>
          <w:szCs w:val="22"/>
        </w:rPr>
      </w:pPr>
      <w:r w:rsidRPr="00D2507F">
        <w:rPr>
          <w:rFonts w:asciiTheme="minorBidi" w:hAnsiTheme="minorBidi"/>
          <w:sz w:val="22"/>
          <w:szCs w:val="22"/>
        </w:rPr>
        <w:t xml:space="preserve">Benbasat, I., &amp; Barki, H. (2007). Quo vadis TAM? </w:t>
      </w:r>
      <w:r w:rsidRPr="00D2507F">
        <w:rPr>
          <w:rFonts w:asciiTheme="minorBidi" w:hAnsiTheme="minorBidi"/>
          <w:i/>
          <w:iCs/>
          <w:sz w:val="22"/>
          <w:szCs w:val="22"/>
        </w:rPr>
        <w:t>Journal of the Association for Information Systems, 8</w:t>
      </w:r>
      <w:r w:rsidRPr="00D2507F">
        <w:rPr>
          <w:rFonts w:asciiTheme="minorBidi" w:hAnsiTheme="minorBidi"/>
          <w:sz w:val="22"/>
          <w:szCs w:val="22"/>
        </w:rPr>
        <w:t>(4), 211–218.</w:t>
      </w:r>
    </w:p>
    <w:p w14:paraId="0F329254" w14:textId="77777777" w:rsidR="00B65461" w:rsidRPr="00D2507F" w:rsidRDefault="00B65461" w:rsidP="00B65461">
      <w:pPr>
        <w:spacing w:line="360" w:lineRule="auto"/>
        <w:jc w:val="both"/>
        <w:rPr>
          <w:rFonts w:asciiTheme="minorBidi" w:hAnsiTheme="minorBidi"/>
          <w:sz w:val="22"/>
          <w:szCs w:val="22"/>
        </w:rPr>
      </w:pPr>
      <w:r w:rsidRPr="00D2507F">
        <w:rPr>
          <w:rFonts w:asciiTheme="minorBidi" w:hAnsiTheme="minorBidi"/>
          <w:sz w:val="22"/>
          <w:szCs w:val="22"/>
        </w:rPr>
        <w:t xml:space="preserve">Nguyen, T., Netto, C. L. M., Wilkins, J. F., Bröker, P., Vargas, E. E., Sealfon, C. D., &amp; Bell, J. R. (2021). Insights into e-learning adoption: A comprehensive review of theoretical frameworks. </w:t>
      </w:r>
      <w:r w:rsidRPr="00D2507F">
        <w:rPr>
          <w:rFonts w:asciiTheme="minorBidi" w:hAnsiTheme="minorBidi"/>
          <w:i/>
          <w:iCs/>
          <w:sz w:val="22"/>
          <w:szCs w:val="22"/>
        </w:rPr>
        <w:t>Education and Information Technologies, 26</w:t>
      </w:r>
      <w:r w:rsidRPr="00D2507F">
        <w:rPr>
          <w:rFonts w:asciiTheme="minorBidi" w:hAnsiTheme="minorBidi"/>
          <w:sz w:val="22"/>
          <w:szCs w:val="22"/>
        </w:rPr>
        <w:t>(3), 3001–3027.</w:t>
      </w:r>
    </w:p>
    <w:p w14:paraId="22245531" w14:textId="77777777" w:rsidR="00B65461" w:rsidRDefault="00B65461" w:rsidP="00B65461">
      <w:pPr>
        <w:spacing w:line="360" w:lineRule="auto"/>
        <w:jc w:val="both"/>
        <w:rPr>
          <w:rFonts w:asciiTheme="minorBidi" w:hAnsiTheme="minorBidi"/>
          <w:sz w:val="22"/>
          <w:szCs w:val="22"/>
        </w:rPr>
      </w:pPr>
      <w:r w:rsidRPr="00D2507F">
        <w:rPr>
          <w:rFonts w:asciiTheme="minorBidi" w:hAnsiTheme="minorBidi"/>
          <w:sz w:val="22"/>
          <w:szCs w:val="22"/>
        </w:rPr>
        <w:t xml:space="preserve">Šumak, B., &amp; Šorgo, A. (2016). The acceptance and use of interactive whiteboards among teachers: Differences in UTAUT determinants between pre- and in-service teachers. </w:t>
      </w:r>
      <w:r w:rsidRPr="00D2507F">
        <w:rPr>
          <w:rFonts w:asciiTheme="minorBidi" w:hAnsiTheme="minorBidi"/>
          <w:i/>
          <w:iCs/>
          <w:sz w:val="22"/>
          <w:szCs w:val="22"/>
        </w:rPr>
        <w:t>Computers in Human Behavior, 64</w:t>
      </w:r>
      <w:r w:rsidRPr="00D2507F">
        <w:rPr>
          <w:rFonts w:asciiTheme="minorBidi" w:hAnsiTheme="minorBidi"/>
          <w:sz w:val="22"/>
          <w:szCs w:val="22"/>
        </w:rPr>
        <w:t>, 602–620.</w:t>
      </w:r>
    </w:p>
    <w:p w14:paraId="66E506E0" w14:textId="77777777" w:rsidR="00B65461" w:rsidRPr="00670EA8" w:rsidRDefault="00B65461" w:rsidP="00B65461">
      <w:pPr>
        <w:spacing w:line="360" w:lineRule="auto"/>
        <w:jc w:val="both"/>
        <w:rPr>
          <w:rFonts w:asciiTheme="minorBidi" w:hAnsiTheme="minorBidi"/>
          <w:sz w:val="22"/>
          <w:szCs w:val="22"/>
        </w:rPr>
      </w:pPr>
      <w:r w:rsidRPr="00670EA8">
        <w:rPr>
          <w:rFonts w:asciiTheme="minorBidi" w:hAnsiTheme="minorBidi"/>
          <w:sz w:val="22"/>
          <w:szCs w:val="22"/>
        </w:rPr>
        <w:t xml:space="preserve">Arbaugh, J. B. (2014). System, scholar, or student? Which most influences online MBA course effectiveness? </w:t>
      </w:r>
      <w:r w:rsidRPr="00670EA8">
        <w:rPr>
          <w:rFonts w:asciiTheme="minorBidi" w:hAnsiTheme="minorBidi"/>
          <w:i/>
          <w:iCs/>
          <w:sz w:val="22"/>
          <w:szCs w:val="22"/>
        </w:rPr>
        <w:t>Journal of Computer Assisted Learning, 30</w:t>
      </w:r>
      <w:r w:rsidRPr="00670EA8">
        <w:rPr>
          <w:rFonts w:asciiTheme="minorBidi" w:hAnsiTheme="minorBidi"/>
          <w:sz w:val="22"/>
          <w:szCs w:val="22"/>
        </w:rPr>
        <w:t>(4), 349–362.</w:t>
      </w:r>
    </w:p>
    <w:p w14:paraId="7B45A38D" w14:textId="77777777" w:rsidR="00B65461" w:rsidRPr="00670EA8" w:rsidRDefault="00B65461" w:rsidP="00B65461">
      <w:pPr>
        <w:spacing w:line="360" w:lineRule="auto"/>
        <w:jc w:val="both"/>
        <w:rPr>
          <w:rFonts w:asciiTheme="minorBidi" w:hAnsiTheme="minorBidi"/>
          <w:sz w:val="22"/>
          <w:szCs w:val="22"/>
        </w:rPr>
      </w:pPr>
      <w:r w:rsidRPr="00670EA8">
        <w:rPr>
          <w:rFonts w:asciiTheme="minorBidi" w:hAnsiTheme="minorBidi"/>
          <w:sz w:val="22"/>
          <w:szCs w:val="22"/>
        </w:rPr>
        <w:t>Cheng, Y. M. (2011). Antecedents and consequences of e</w:t>
      </w:r>
      <w:r w:rsidRPr="00670EA8">
        <w:rPr>
          <w:rFonts w:ascii="Cambria Math" w:hAnsi="Cambria Math" w:cs="Cambria Math"/>
          <w:sz w:val="22"/>
          <w:szCs w:val="22"/>
        </w:rPr>
        <w:t>‐</w:t>
      </w:r>
      <w:r w:rsidRPr="00670EA8">
        <w:rPr>
          <w:rFonts w:asciiTheme="minorBidi" w:hAnsiTheme="minorBidi"/>
          <w:sz w:val="22"/>
          <w:szCs w:val="22"/>
        </w:rPr>
        <w:t xml:space="preserve">learning acceptance. </w:t>
      </w:r>
      <w:r w:rsidRPr="00670EA8">
        <w:rPr>
          <w:rFonts w:asciiTheme="minorBidi" w:hAnsiTheme="minorBidi"/>
          <w:i/>
          <w:iCs/>
          <w:sz w:val="22"/>
          <w:szCs w:val="22"/>
        </w:rPr>
        <w:t>Information Systems Journal, 21</w:t>
      </w:r>
      <w:r w:rsidRPr="00670EA8">
        <w:rPr>
          <w:rFonts w:asciiTheme="minorBidi" w:hAnsiTheme="minorBidi"/>
          <w:sz w:val="22"/>
          <w:szCs w:val="22"/>
        </w:rPr>
        <w:t>(3), 269–299.</w:t>
      </w:r>
    </w:p>
    <w:p w14:paraId="39A052CE" w14:textId="77777777" w:rsidR="00B65461" w:rsidRPr="00670EA8" w:rsidRDefault="00B65461" w:rsidP="00B65461">
      <w:pPr>
        <w:spacing w:line="360" w:lineRule="auto"/>
        <w:jc w:val="both"/>
        <w:rPr>
          <w:rFonts w:asciiTheme="minorBidi" w:hAnsiTheme="minorBidi"/>
          <w:sz w:val="22"/>
          <w:szCs w:val="22"/>
        </w:rPr>
      </w:pPr>
      <w:r w:rsidRPr="00670EA8">
        <w:rPr>
          <w:rFonts w:asciiTheme="minorBidi" w:hAnsiTheme="minorBidi"/>
          <w:sz w:val="22"/>
          <w:szCs w:val="22"/>
        </w:rPr>
        <w:t xml:space="preserve">Means, B., Toyama, Y., Murphy, R., &amp; Baki, M. (2013). The effectiveness of online and blended learning: A meta-analysis of the empirical literature. </w:t>
      </w:r>
      <w:r w:rsidRPr="00670EA8">
        <w:rPr>
          <w:rFonts w:asciiTheme="minorBidi" w:hAnsiTheme="minorBidi"/>
          <w:i/>
          <w:iCs/>
          <w:sz w:val="22"/>
          <w:szCs w:val="22"/>
        </w:rPr>
        <w:t>Teachers College Record, 115</w:t>
      </w:r>
      <w:r w:rsidRPr="00670EA8">
        <w:rPr>
          <w:rFonts w:asciiTheme="minorBidi" w:hAnsiTheme="minorBidi"/>
          <w:sz w:val="22"/>
          <w:szCs w:val="22"/>
        </w:rPr>
        <w:t>(3), 1–47.</w:t>
      </w:r>
    </w:p>
    <w:p w14:paraId="569588F8" w14:textId="77777777" w:rsidR="00B65461" w:rsidRDefault="00B65461" w:rsidP="00B65461">
      <w:pPr>
        <w:spacing w:line="360" w:lineRule="auto"/>
        <w:jc w:val="both"/>
        <w:rPr>
          <w:rFonts w:asciiTheme="minorBidi" w:hAnsiTheme="minorBidi"/>
          <w:sz w:val="22"/>
          <w:szCs w:val="22"/>
        </w:rPr>
      </w:pPr>
      <w:r w:rsidRPr="00670EA8">
        <w:rPr>
          <w:rFonts w:asciiTheme="minorBidi" w:hAnsiTheme="minorBidi"/>
          <w:sz w:val="22"/>
          <w:szCs w:val="22"/>
        </w:rPr>
        <w:t xml:space="preserve">Wong, L. H., Milrad, M., &amp; Specht, M. (2020). Seamless learning: An international perspective on next-generation technology-enhanced learning. </w:t>
      </w:r>
      <w:r w:rsidRPr="00670EA8">
        <w:rPr>
          <w:rFonts w:asciiTheme="minorBidi" w:hAnsiTheme="minorBidi"/>
          <w:i/>
          <w:iCs/>
          <w:sz w:val="22"/>
          <w:szCs w:val="22"/>
        </w:rPr>
        <w:t>Educational Technology &amp; Society, 23</w:t>
      </w:r>
      <w:r w:rsidRPr="00670EA8">
        <w:rPr>
          <w:rFonts w:asciiTheme="minorBidi" w:hAnsiTheme="minorBidi"/>
          <w:sz w:val="22"/>
          <w:szCs w:val="22"/>
        </w:rPr>
        <w:t>(1), 1–12.</w:t>
      </w:r>
    </w:p>
    <w:p w14:paraId="41B46DA8" w14:textId="77777777" w:rsidR="00B65461" w:rsidRPr="000434C5" w:rsidRDefault="00B65461" w:rsidP="00B65461">
      <w:pPr>
        <w:spacing w:line="360" w:lineRule="auto"/>
        <w:jc w:val="both"/>
        <w:rPr>
          <w:rFonts w:asciiTheme="minorBidi" w:hAnsiTheme="minorBidi"/>
          <w:sz w:val="22"/>
          <w:szCs w:val="22"/>
        </w:rPr>
      </w:pPr>
      <w:r w:rsidRPr="000434C5">
        <w:rPr>
          <w:rFonts w:asciiTheme="minorBidi" w:hAnsiTheme="minorBidi"/>
          <w:sz w:val="22"/>
          <w:szCs w:val="22"/>
        </w:rPr>
        <w:t xml:space="preserve">Bandura, A. (1977). </w:t>
      </w:r>
      <w:r w:rsidRPr="000434C5">
        <w:rPr>
          <w:rFonts w:asciiTheme="minorBidi" w:hAnsiTheme="minorBidi"/>
          <w:i/>
          <w:iCs/>
          <w:sz w:val="22"/>
          <w:szCs w:val="22"/>
        </w:rPr>
        <w:t>Social learning theory</w:t>
      </w:r>
      <w:r w:rsidRPr="000434C5">
        <w:rPr>
          <w:rFonts w:asciiTheme="minorBidi" w:hAnsiTheme="minorBidi"/>
          <w:sz w:val="22"/>
          <w:szCs w:val="22"/>
        </w:rPr>
        <w:t>. Prentice-Hall.</w:t>
      </w:r>
    </w:p>
    <w:p w14:paraId="41DF9E86" w14:textId="77777777" w:rsidR="00B65461" w:rsidRPr="000434C5" w:rsidRDefault="00B65461" w:rsidP="00B65461">
      <w:pPr>
        <w:spacing w:line="360" w:lineRule="auto"/>
        <w:jc w:val="both"/>
        <w:rPr>
          <w:rFonts w:asciiTheme="minorBidi" w:hAnsiTheme="minorBidi"/>
          <w:sz w:val="22"/>
          <w:szCs w:val="22"/>
        </w:rPr>
      </w:pPr>
      <w:r w:rsidRPr="000434C5">
        <w:rPr>
          <w:rFonts w:asciiTheme="minorBidi" w:hAnsiTheme="minorBidi"/>
          <w:sz w:val="22"/>
          <w:szCs w:val="22"/>
        </w:rPr>
        <w:t xml:space="preserve">Hrastinski, S. (2008). Asynchronous and synchronous e-learning. </w:t>
      </w:r>
      <w:r w:rsidRPr="000434C5">
        <w:rPr>
          <w:rFonts w:asciiTheme="minorBidi" w:hAnsiTheme="minorBidi"/>
          <w:i/>
          <w:iCs/>
          <w:sz w:val="22"/>
          <w:szCs w:val="22"/>
        </w:rPr>
        <w:t>Educause Quarterly, 31</w:t>
      </w:r>
      <w:r w:rsidRPr="000434C5">
        <w:rPr>
          <w:rFonts w:asciiTheme="minorBidi" w:hAnsiTheme="minorBidi"/>
          <w:sz w:val="22"/>
          <w:szCs w:val="22"/>
        </w:rPr>
        <w:t>(4), 51–55.</w:t>
      </w:r>
    </w:p>
    <w:p w14:paraId="3AD14203" w14:textId="77777777" w:rsidR="00B65461" w:rsidRPr="000434C5" w:rsidRDefault="00B65461" w:rsidP="00B65461">
      <w:pPr>
        <w:spacing w:line="360" w:lineRule="auto"/>
        <w:jc w:val="both"/>
        <w:rPr>
          <w:rFonts w:asciiTheme="minorBidi" w:hAnsiTheme="minorBidi"/>
          <w:sz w:val="22"/>
          <w:szCs w:val="22"/>
        </w:rPr>
      </w:pPr>
      <w:r w:rsidRPr="000434C5">
        <w:rPr>
          <w:rFonts w:asciiTheme="minorBidi" w:hAnsiTheme="minorBidi"/>
          <w:sz w:val="22"/>
          <w:szCs w:val="22"/>
        </w:rPr>
        <w:t xml:space="preserve">Khalid, M. S., Rongbutsri, N., &amp; Atif, Y. (2022). Barriers to e-learning in developing countries: A systematic review. </w:t>
      </w:r>
      <w:r w:rsidRPr="000434C5">
        <w:rPr>
          <w:rFonts w:asciiTheme="minorBidi" w:hAnsiTheme="minorBidi"/>
          <w:i/>
          <w:iCs/>
          <w:sz w:val="22"/>
          <w:szCs w:val="22"/>
        </w:rPr>
        <w:t>Education and Information Technologies, 27</w:t>
      </w:r>
      <w:r w:rsidRPr="000434C5">
        <w:rPr>
          <w:rFonts w:asciiTheme="minorBidi" w:hAnsiTheme="minorBidi"/>
          <w:sz w:val="22"/>
          <w:szCs w:val="22"/>
        </w:rPr>
        <w:t>(1), 237–263.</w:t>
      </w:r>
    </w:p>
    <w:p w14:paraId="08DE43EF" w14:textId="77777777" w:rsidR="00B65461" w:rsidRPr="000434C5" w:rsidRDefault="00B65461" w:rsidP="00B65461">
      <w:pPr>
        <w:spacing w:line="360" w:lineRule="auto"/>
        <w:jc w:val="both"/>
        <w:rPr>
          <w:rFonts w:asciiTheme="minorBidi" w:hAnsiTheme="minorBidi"/>
          <w:sz w:val="22"/>
          <w:szCs w:val="22"/>
        </w:rPr>
      </w:pPr>
      <w:r w:rsidRPr="000434C5">
        <w:rPr>
          <w:rFonts w:asciiTheme="minorBidi" w:hAnsiTheme="minorBidi"/>
          <w:sz w:val="22"/>
          <w:szCs w:val="22"/>
        </w:rPr>
        <w:t xml:space="preserve">Martin, F., Sun, T., &amp; Westine, C. D. (2020). A systematic review of research on online teaching and learning from 2009 to 2018. </w:t>
      </w:r>
      <w:r w:rsidRPr="000434C5">
        <w:rPr>
          <w:rFonts w:asciiTheme="minorBidi" w:hAnsiTheme="minorBidi"/>
          <w:i/>
          <w:iCs/>
          <w:sz w:val="22"/>
          <w:szCs w:val="22"/>
        </w:rPr>
        <w:t>Computers &amp; Education, 159</w:t>
      </w:r>
      <w:r w:rsidRPr="000434C5">
        <w:rPr>
          <w:rFonts w:asciiTheme="minorBidi" w:hAnsiTheme="minorBidi"/>
          <w:sz w:val="22"/>
          <w:szCs w:val="22"/>
        </w:rPr>
        <w:t>, 104009.</w:t>
      </w:r>
    </w:p>
    <w:p w14:paraId="51E0EF4E" w14:textId="77777777" w:rsidR="00B65461" w:rsidRDefault="00B65461" w:rsidP="00B65461">
      <w:pPr>
        <w:spacing w:line="360" w:lineRule="auto"/>
        <w:jc w:val="both"/>
        <w:rPr>
          <w:rFonts w:asciiTheme="minorBidi" w:hAnsiTheme="minorBidi"/>
          <w:sz w:val="22"/>
          <w:szCs w:val="22"/>
        </w:rPr>
      </w:pPr>
      <w:r w:rsidRPr="000434C5">
        <w:rPr>
          <w:rFonts w:asciiTheme="minorBidi" w:hAnsiTheme="minorBidi"/>
          <w:sz w:val="22"/>
          <w:szCs w:val="22"/>
        </w:rPr>
        <w:lastRenderedPageBreak/>
        <w:t xml:space="preserve">Mtebe, J. S., &amp; Raisamo, R. (2014). Investigating students’ behavioural intention to adopt and use e-learning in Tanzania. </w:t>
      </w:r>
      <w:r w:rsidRPr="000434C5">
        <w:rPr>
          <w:rFonts w:asciiTheme="minorBidi" w:hAnsiTheme="minorBidi"/>
          <w:i/>
          <w:iCs/>
          <w:sz w:val="22"/>
          <w:szCs w:val="22"/>
        </w:rPr>
        <w:t>International Journal of Education and Development using ICT, 10</w:t>
      </w:r>
      <w:r w:rsidRPr="000434C5">
        <w:rPr>
          <w:rFonts w:asciiTheme="minorBidi" w:hAnsiTheme="minorBidi"/>
          <w:sz w:val="22"/>
          <w:szCs w:val="22"/>
        </w:rPr>
        <w:t>(1), 1–17.</w:t>
      </w:r>
    </w:p>
    <w:p w14:paraId="3D49681D" w14:textId="77777777" w:rsidR="00B65461" w:rsidRPr="00F9330E" w:rsidRDefault="00B65461" w:rsidP="00B65461">
      <w:pPr>
        <w:spacing w:line="360" w:lineRule="auto"/>
        <w:jc w:val="both"/>
        <w:rPr>
          <w:rFonts w:asciiTheme="minorBidi" w:hAnsiTheme="minorBidi"/>
          <w:sz w:val="22"/>
          <w:szCs w:val="22"/>
        </w:rPr>
      </w:pPr>
      <w:r w:rsidRPr="00F9330E">
        <w:rPr>
          <w:rFonts w:asciiTheme="minorBidi" w:hAnsiTheme="minorBidi"/>
          <w:sz w:val="22"/>
          <w:szCs w:val="22"/>
        </w:rPr>
        <w:t xml:space="preserve">  Haleem, A. (2022). </w:t>
      </w:r>
      <w:r w:rsidRPr="00F9330E">
        <w:rPr>
          <w:rFonts w:asciiTheme="minorBidi" w:hAnsiTheme="minorBidi"/>
          <w:i/>
          <w:iCs/>
          <w:sz w:val="22"/>
          <w:szCs w:val="22"/>
        </w:rPr>
        <w:t>Understanding the role of digital technologies in education.</w:t>
      </w:r>
      <w:r w:rsidRPr="00F9330E">
        <w:rPr>
          <w:rFonts w:asciiTheme="minorBidi" w:hAnsiTheme="minorBidi"/>
          <w:sz w:val="22"/>
          <w:szCs w:val="22"/>
        </w:rPr>
        <w:t xml:space="preserve"> </w:t>
      </w:r>
      <w:r w:rsidRPr="00F9330E">
        <w:rPr>
          <w:rFonts w:asciiTheme="minorBidi" w:hAnsiTheme="minorBidi"/>
          <w:i/>
          <w:iCs/>
          <w:sz w:val="22"/>
          <w:szCs w:val="22"/>
        </w:rPr>
        <w:t>ScienceDirect.</w:t>
      </w:r>
      <w:r w:rsidRPr="00F9330E">
        <w:rPr>
          <w:rFonts w:asciiTheme="minorBidi" w:hAnsiTheme="minorBidi"/>
          <w:sz w:val="22"/>
          <w:szCs w:val="22"/>
        </w:rPr>
        <w:t xml:space="preserve"> https://doi.org/10.1016/j.scs.2022.100 (Some key points: highlights how digital / online learning supports flexibility and accessibility.) </w:t>
      </w:r>
      <w:hyperlink r:id="rId55" w:tgtFrame="_blank" w:history="1">
        <w:r w:rsidRPr="00F9330E">
          <w:rPr>
            <w:rStyle w:val="Hyperlink"/>
            <w:rFonts w:asciiTheme="minorBidi" w:hAnsiTheme="minorBidi"/>
            <w:sz w:val="22"/>
            <w:szCs w:val="22"/>
          </w:rPr>
          <w:t>ScienceDirect</w:t>
        </w:r>
      </w:hyperlink>
    </w:p>
    <w:p w14:paraId="442C0623" w14:textId="77777777" w:rsidR="00B65461" w:rsidRDefault="00B65461" w:rsidP="00B65461">
      <w:pPr>
        <w:spacing w:line="360" w:lineRule="auto"/>
        <w:jc w:val="both"/>
        <w:rPr>
          <w:rFonts w:asciiTheme="minorBidi" w:hAnsiTheme="minorBidi"/>
          <w:sz w:val="22"/>
          <w:szCs w:val="22"/>
        </w:rPr>
      </w:pPr>
      <w:r w:rsidRPr="00F9330E">
        <w:rPr>
          <w:rFonts w:asciiTheme="minorBidi" w:hAnsiTheme="minorBidi"/>
          <w:sz w:val="22"/>
          <w:szCs w:val="22"/>
        </w:rPr>
        <w:t xml:space="preserve">Rueda, M.M. (2024). </w:t>
      </w:r>
      <w:r w:rsidRPr="00F9330E">
        <w:rPr>
          <w:rFonts w:asciiTheme="minorBidi" w:hAnsiTheme="minorBidi"/>
          <w:i/>
          <w:iCs/>
          <w:sz w:val="22"/>
          <w:szCs w:val="22"/>
        </w:rPr>
        <w:t>Perspectives on online learning: Advantages and challenges.</w:t>
      </w:r>
      <w:r w:rsidRPr="00F9330E">
        <w:rPr>
          <w:rFonts w:asciiTheme="minorBidi" w:hAnsiTheme="minorBidi"/>
          <w:sz w:val="22"/>
          <w:szCs w:val="22"/>
        </w:rPr>
        <w:t xml:space="preserve"> </w:t>
      </w:r>
      <w:r w:rsidRPr="00F9330E">
        <w:rPr>
          <w:rFonts w:asciiTheme="minorBidi" w:hAnsiTheme="minorBidi"/>
          <w:i/>
          <w:iCs/>
          <w:sz w:val="22"/>
          <w:szCs w:val="22"/>
        </w:rPr>
        <w:t>International Journal of Digital Learning</w:t>
      </w:r>
      <w:r w:rsidRPr="00F9330E">
        <w:rPr>
          <w:rFonts w:asciiTheme="minorBidi" w:hAnsiTheme="minorBidi"/>
          <w:sz w:val="22"/>
          <w:szCs w:val="22"/>
        </w:rPr>
        <w:t xml:space="preserve"> (or similar). – emphasises benefits such as flexibility &amp; accessibility of online learning. </w:t>
      </w:r>
      <w:hyperlink r:id="rId56" w:tgtFrame="_blank" w:history="1">
        <w:r w:rsidRPr="00F9330E">
          <w:rPr>
            <w:rStyle w:val="Hyperlink"/>
            <w:rFonts w:asciiTheme="minorBidi" w:hAnsiTheme="minorBidi"/>
            <w:sz w:val="22"/>
            <w:szCs w:val="22"/>
          </w:rPr>
          <w:t>ERIC</w:t>
        </w:r>
      </w:hyperlink>
    </w:p>
    <w:p w14:paraId="67F4523E" w14:textId="77777777" w:rsidR="00B65461" w:rsidRPr="00F9330E" w:rsidRDefault="00B65461" w:rsidP="00B65461">
      <w:pPr>
        <w:spacing w:line="360" w:lineRule="auto"/>
        <w:jc w:val="both"/>
        <w:rPr>
          <w:rFonts w:asciiTheme="minorBidi" w:hAnsiTheme="minorBidi"/>
          <w:sz w:val="22"/>
          <w:szCs w:val="22"/>
        </w:rPr>
      </w:pPr>
      <w:r w:rsidRPr="00F9330E">
        <w:rPr>
          <w:rFonts w:asciiTheme="minorBidi" w:hAnsiTheme="minorBidi"/>
          <w:sz w:val="22"/>
          <w:szCs w:val="22"/>
        </w:rPr>
        <w:t xml:space="preserve">  Akpen, C.N., Asaolu, S., Atobatele, S., Okagbue, H., Sampson, S. (2024). </w:t>
      </w:r>
      <w:r w:rsidRPr="00F9330E">
        <w:rPr>
          <w:rFonts w:asciiTheme="minorBidi" w:hAnsiTheme="minorBidi"/>
          <w:i/>
          <w:iCs/>
          <w:sz w:val="22"/>
          <w:szCs w:val="22"/>
        </w:rPr>
        <w:t>Impact of online learning on students’ performance and engagement: A systematic review.</w:t>
      </w:r>
      <w:r w:rsidRPr="00F9330E">
        <w:rPr>
          <w:rFonts w:asciiTheme="minorBidi" w:hAnsiTheme="minorBidi"/>
          <w:sz w:val="22"/>
          <w:szCs w:val="22"/>
        </w:rPr>
        <w:t xml:space="preserve"> </w:t>
      </w:r>
      <w:r w:rsidRPr="00F9330E">
        <w:rPr>
          <w:rFonts w:asciiTheme="minorBidi" w:hAnsiTheme="minorBidi"/>
          <w:i/>
          <w:iCs/>
          <w:sz w:val="22"/>
          <w:szCs w:val="22"/>
        </w:rPr>
        <w:t>Discover Education</w:t>
      </w:r>
      <w:r w:rsidRPr="00F9330E">
        <w:rPr>
          <w:rFonts w:asciiTheme="minorBidi" w:hAnsiTheme="minorBidi"/>
          <w:sz w:val="22"/>
          <w:szCs w:val="22"/>
        </w:rPr>
        <w:t xml:space="preserve">, 3, 205. </w:t>
      </w:r>
      <w:hyperlink r:id="rId57" w:tgtFrame="_new" w:history="1">
        <w:r w:rsidRPr="00F9330E">
          <w:rPr>
            <w:rStyle w:val="Hyperlink"/>
            <w:rFonts w:asciiTheme="minorBidi" w:hAnsiTheme="minorBidi"/>
            <w:sz w:val="22"/>
            <w:szCs w:val="22"/>
          </w:rPr>
          <w:t>https://doi.org/10.1007/s44217-024-00253-0</w:t>
        </w:r>
      </w:hyperlink>
      <w:r w:rsidRPr="00F9330E">
        <w:rPr>
          <w:rFonts w:asciiTheme="minorBidi" w:hAnsiTheme="minorBidi"/>
          <w:sz w:val="22"/>
          <w:szCs w:val="22"/>
        </w:rPr>
        <w:t xml:space="preserve"> – notes that online learning gives “learn at own pace” flexibility that can improve performance. </w:t>
      </w:r>
      <w:hyperlink r:id="rId58" w:tgtFrame="_blank" w:history="1">
        <w:r w:rsidRPr="00F9330E">
          <w:rPr>
            <w:rStyle w:val="Hyperlink"/>
            <w:rFonts w:asciiTheme="minorBidi" w:hAnsiTheme="minorBidi"/>
            <w:sz w:val="22"/>
            <w:szCs w:val="22"/>
          </w:rPr>
          <w:t>SpringerLink</w:t>
        </w:r>
      </w:hyperlink>
    </w:p>
    <w:p w14:paraId="2303F316" w14:textId="77777777" w:rsidR="00B65461" w:rsidRDefault="00B65461" w:rsidP="00B65461">
      <w:pPr>
        <w:spacing w:line="360" w:lineRule="auto"/>
        <w:jc w:val="both"/>
        <w:rPr>
          <w:rFonts w:asciiTheme="minorBidi" w:hAnsiTheme="minorBidi"/>
          <w:sz w:val="22"/>
          <w:szCs w:val="22"/>
        </w:rPr>
      </w:pPr>
      <w:r w:rsidRPr="00F9330E">
        <w:rPr>
          <w:rFonts w:asciiTheme="minorBidi" w:hAnsiTheme="minorBidi"/>
          <w:sz w:val="22"/>
          <w:szCs w:val="22"/>
        </w:rPr>
        <w:t xml:space="preserve">  Dritsas, E., &amp; Trigka, M. (2025). </w:t>
      </w:r>
      <w:r w:rsidRPr="00F9330E">
        <w:rPr>
          <w:rFonts w:asciiTheme="minorBidi" w:hAnsiTheme="minorBidi"/>
          <w:i/>
          <w:iCs/>
          <w:sz w:val="22"/>
          <w:szCs w:val="22"/>
        </w:rPr>
        <w:t>Methodological and Technological Advancements in E-Learning.</w:t>
      </w:r>
      <w:r w:rsidRPr="00F9330E">
        <w:rPr>
          <w:rFonts w:asciiTheme="minorBidi" w:hAnsiTheme="minorBidi"/>
          <w:sz w:val="22"/>
          <w:szCs w:val="22"/>
        </w:rPr>
        <w:t xml:space="preserve"> </w:t>
      </w:r>
      <w:r w:rsidRPr="00F9330E">
        <w:rPr>
          <w:rFonts w:asciiTheme="minorBidi" w:hAnsiTheme="minorBidi"/>
          <w:i/>
          <w:iCs/>
          <w:sz w:val="22"/>
          <w:szCs w:val="22"/>
        </w:rPr>
        <w:t>Information</w:t>
      </w:r>
      <w:r w:rsidRPr="00F9330E">
        <w:rPr>
          <w:rFonts w:asciiTheme="minorBidi" w:hAnsiTheme="minorBidi"/>
          <w:sz w:val="22"/>
          <w:szCs w:val="22"/>
        </w:rPr>
        <w:t xml:space="preserve">, 16(1), 56. </w:t>
      </w:r>
      <w:hyperlink r:id="rId59" w:tgtFrame="_new" w:history="1">
        <w:r w:rsidRPr="00F9330E">
          <w:rPr>
            <w:rStyle w:val="Hyperlink"/>
            <w:rFonts w:asciiTheme="minorBidi" w:hAnsiTheme="minorBidi"/>
            <w:sz w:val="22"/>
            <w:szCs w:val="22"/>
          </w:rPr>
          <w:t>https://doi.org/10.3390/info16010056</w:t>
        </w:r>
      </w:hyperlink>
      <w:r w:rsidRPr="00F9330E">
        <w:rPr>
          <w:rFonts w:asciiTheme="minorBidi" w:hAnsiTheme="minorBidi"/>
          <w:sz w:val="22"/>
          <w:szCs w:val="22"/>
        </w:rPr>
        <w:t xml:space="preserve"> – explores how scalable-digital technologies (AI, VR, analytics) are supporting inclusive and lifelong-learning ecosystems. </w:t>
      </w:r>
      <w:hyperlink r:id="rId60" w:tgtFrame="_blank" w:history="1">
        <w:r w:rsidRPr="00F9330E">
          <w:rPr>
            <w:rStyle w:val="Hyperlink"/>
            <w:rFonts w:asciiTheme="minorBidi" w:hAnsiTheme="minorBidi"/>
            <w:sz w:val="22"/>
            <w:szCs w:val="22"/>
          </w:rPr>
          <w:t>MD</w:t>
        </w:r>
      </w:hyperlink>
    </w:p>
    <w:p w14:paraId="69914F4F" w14:textId="77777777" w:rsidR="00B65461" w:rsidRDefault="00B65461" w:rsidP="00B65461">
      <w:pPr>
        <w:spacing w:line="360" w:lineRule="auto"/>
        <w:jc w:val="both"/>
        <w:rPr>
          <w:rFonts w:asciiTheme="minorBidi" w:hAnsiTheme="minorBidi"/>
          <w:sz w:val="22"/>
          <w:szCs w:val="22"/>
        </w:rPr>
      </w:pPr>
    </w:p>
    <w:p w14:paraId="069C6C02" w14:textId="77777777" w:rsidR="00B65461" w:rsidRDefault="00B65461" w:rsidP="00B65461">
      <w:pPr>
        <w:spacing w:line="360" w:lineRule="auto"/>
        <w:jc w:val="both"/>
      </w:pPr>
      <w:r w:rsidRPr="00C36D16">
        <w:rPr>
          <w:rFonts w:asciiTheme="minorBidi" w:hAnsiTheme="minorBidi"/>
          <w:sz w:val="22"/>
          <w:szCs w:val="22"/>
        </w:rPr>
        <w:t xml:space="preserve">ork, K. (2023, January 31). </w:t>
      </w:r>
      <w:r w:rsidRPr="00C36D16">
        <w:rPr>
          <w:rFonts w:asciiTheme="minorBidi" w:hAnsiTheme="minorBidi"/>
          <w:i/>
          <w:iCs/>
          <w:sz w:val="22"/>
          <w:szCs w:val="22"/>
        </w:rPr>
        <w:t>Creating connections: The role of virtual communities of practice in teacher continuing professional development.</w:t>
      </w:r>
      <w:r w:rsidRPr="00C36D16">
        <w:rPr>
          <w:rFonts w:asciiTheme="minorBidi" w:hAnsiTheme="minorBidi"/>
          <w:sz w:val="22"/>
          <w:szCs w:val="22"/>
        </w:rPr>
        <w:t xml:space="preserve"> Chartered College. Retrieved from </w:t>
      </w:r>
      <w:hyperlink r:id="rId61" w:tgtFrame="_new" w:history="1">
        <w:r w:rsidRPr="00C36D16">
          <w:rPr>
            <w:rStyle w:val="Hyperlink"/>
            <w:rFonts w:asciiTheme="minorBidi" w:hAnsiTheme="minorBidi"/>
            <w:sz w:val="22"/>
            <w:szCs w:val="22"/>
          </w:rPr>
          <w:t>https://my.chartered.college/impact_article/creating-connections-the-role-of-virtual-communities-of-practice-in-teacher-continuing-professional-development/</w:t>
        </w:r>
      </w:hyperlink>
    </w:p>
    <w:p w14:paraId="39E84831" w14:textId="77777777" w:rsidR="00B65461" w:rsidRDefault="00B65461" w:rsidP="00B65461">
      <w:pPr>
        <w:spacing w:line="360" w:lineRule="auto"/>
        <w:jc w:val="both"/>
      </w:pPr>
    </w:p>
    <w:p w14:paraId="1F2653DF" w14:textId="77777777" w:rsidR="00B65461" w:rsidRDefault="00B65461" w:rsidP="00B65461">
      <w:pPr>
        <w:spacing w:line="360" w:lineRule="auto"/>
        <w:jc w:val="both"/>
        <w:rPr>
          <w:rFonts w:asciiTheme="minorBidi" w:hAnsiTheme="minorBidi"/>
          <w:sz w:val="22"/>
          <w:szCs w:val="22"/>
        </w:rPr>
      </w:pPr>
      <w:r w:rsidRPr="0031015E">
        <w:rPr>
          <w:rFonts w:asciiTheme="minorBidi" w:hAnsiTheme="minorBidi"/>
          <w:sz w:val="22"/>
          <w:szCs w:val="22"/>
        </w:rPr>
        <w:t xml:space="preserve">Harasim, L. (1989). </w:t>
      </w:r>
      <w:r w:rsidRPr="0031015E">
        <w:rPr>
          <w:rFonts w:asciiTheme="minorBidi" w:hAnsiTheme="minorBidi"/>
          <w:i/>
          <w:iCs/>
          <w:sz w:val="22"/>
          <w:szCs w:val="22"/>
        </w:rPr>
        <w:t>Online education: A new domain.</w:t>
      </w:r>
      <w:r w:rsidRPr="0031015E">
        <w:rPr>
          <w:rFonts w:asciiTheme="minorBidi" w:hAnsiTheme="minorBidi"/>
          <w:sz w:val="22"/>
          <w:szCs w:val="22"/>
        </w:rPr>
        <w:t xml:space="preserve"> In R. Mason &amp; A. Kaye (Eds.), </w:t>
      </w:r>
      <w:r w:rsidRPr="0031015E">
        <w:rPr>
          <w:rFonts w:asciiTheme="minorBidi" w:hAnsiTheme="minorBidi"/>
          <w:b/>
          <w:bCs/>
          <w:sz w:val="22"/>
          <w:szCs w:val="22"/>
        </w:rPr>
        <w:t>Mindweave: Communication, computers and distance education</w:t>
      </w:r>
      <w:r w:rsidRPr="0031015E">
        <w:rPr>
          <w:rFonts w:asciiTheme="minorBidi" w:hAnsiTheme="minorBidi"/>
          <w:sz w:val="22"/>
          <w:szCs w:val="22"/>
        </w:rPr>
        <w:t xml:space="preserve"> (pp. 50–62). Pergamon Press.</w:t>
      </w:r>
    </w:p>
    <w:p w14:paraId="1C6C6436" w14:textId="77777777" w:rsidR="00B65461" w:rsidRDefault="00B65461" w:rsidP="00B65461">
      <w:pPr>
        <w:spacing w:line="360" w:lineRule="auto"/>
        <w:jc w:val="both"/>
        <w:rPr>
          <w:rFonts w:asciiTheme="minorBidi" w:hAnsiTheme="minorBidi"/>
          <w:sz w:val="22"/>
          <w:szCs w:val="22"/>
        </w:rPr>
      </w:pPr>
      <w:r w:rsidRPr="001D791F">
        <w:rPr>
          <w:rFonts w:asciiTheme="minorBidi" w:hAnsiTheme="minorBidi"/>
          <w:sz w:val="22"/>
          <w:szCs w:val="22"/>
        </w:rPr>
        <w:t xml:space="preserve">Zawacki-Richter, O., &amp; Qayyum, A. (Eds.). (2019). </w:t>
      </w:r>
      <w:r w:rsidRPr="001D791F">
        <w:rPr>
          <w:rFonts w:asciiTheme="minorBidi" w:hAnsiTheme="minorBidi"/>
          <w:i/>
          <w:iCs/>
          <w:sz w:val="22"/>
          <w:szCs w:val="22"/>
        </w:rPr>
        <w:t>Open and Distance Education in Asia, Africa and the Middle East: National Perspectives in a Digital Age</w:t>
      </w:r>
      <w:r w:rsidRPr="001D791F">
        <w:rPr>
          <w:rFonts w:asciiTheme="minorBidi" w:hAnsiTheme="minorBidi"/>
          <w:sz w:val="22"/>
          <w:szCs w:val="22"/>
        </w:rPr>
        <w:t>. Springer.</w:t>
      </w:r>
    </w:p>
    <w:p w14:paraId="054D2910" w14:textId="77777777" w:rsidR="00B65461" w:rsidRPr="00F9330E" w:rsidRDefault="00B65461" w:rsidP="00B65461">
      <w:pPr>
        <w:spacing w:line="360" w:lineRule="auto"/>
        <w:jc w:val="both"/>
        <w:rPr>
          <w:rFonts w:asciiTheme="minorBidi" w:hAnsiTheme="minorBidi"/>
          <w:sz w:val="22"/>
          <w:szCs w:val="22"/>
        </w:rPr>
      </w:pPr>
      <w:r w:rsidRPr="0037642D">
        <w:rPr>
          <w:rFonts w:asciiTheme="minorBidi" w:hAnsiTheme="minorBidi"/>
          <w:sz w:val="22"/>
          <w:szCs w:val="22"/>
        </w:rPr>
        <w:t xml:space="preserve">Jin, F., et al. (2025). Knowledge (Co-)Construction Among Artificial Intelligence and Humans in Online Professional Learning Communities. </w:t>
      </w:r>
      <w:r w:rsidRPr="0037642D">
        <w:rPr>
          <w:rFonts w:asciiTheme="minorBidi" w:hAnsiTheme="minorBidi"/>
          <w:i/>
          <w:iCs/>
          <w:sz w:val="22"/>
          <w:szCs w:val="22"/>
        </w:rPr>
        <w:t>Journal of Computer-Assisted Learning</w:t>
      </w:r>
      <w:r w:rsidRPr="0037642D">
        <w:rPr>
          <w:rFonts w:asciiTheme="minorBidi" w:hAnsiTheme="minorBidi"/>
          <w:sz w:val="22"/>
          <w:szCs w:val="22"/>
        </w:rPr>
        <w:t>.</w:t>
      </w:r>
    </w:p>
    <w:p w14:paraId="7C2CFC30" w14:textId="77777777" w:rsidR="00B65461" w:rsidRDefault="00B65461" w:rsidP="00B65461">
      <w:pPr>
        <w:spacing w:line="360" w:lineRule="auto"/>
        <w:jc w:val="both"/>
        <w:rPr>
          <w:rFonts w:asciiTheme="minorBidi" w:hAnsiTheme="minorBidi"/>
          <w:sz w:val="22"/>
          <w:szCs w:val="22"/>
        </w:rPr>
      </w:pPr>
      <w:r w:rsidRPr="00AD258A">
        <w:rPr>
          <w:rFonts w:asciiTheme="minorBidi" w:hAnsiTheme="minorBidi"/>
          <w:sz w:val="22"/>
          <w:szCs w:val="22"/>
        </w:rPr>
        <w:t xml:space="preserve">Müller, C., Mildenberger, T., &amp; Steingruber, D. (2023). </w:t>
      </w:r>
      <w:r w:rsidRPr="00AD258A">
        <w:rPr>
          <w:rFonts w:asciiTheme="minorBidi" w:hAnsiTheme="minorBidi"/>
          <w:i/>
          <w:iCs/>
          <w:sz w:val="22"/>
          <w:szCs w:val="22"/>
        </w:rPr>
        <w:t xml:space="preserve">Learning effectiveness of a flexible learning study programme in a blended learning design: Why are some courses more effective </w:t>
      </w:r>
      <w:r w:rsidRPr="00AD258A">
        <w:rPr>
          <w:rFonts w:asciiTheme="minorBidi" w:hAnsiTheme="minorBidi"/>
          <w:i/>
          <w:iCs/>
          <w:sz w:val="22"/>
          <w:szCs w:val="22"/>
        </w:rPr>
        <w:lastRenderedPageBreak/>
        <w:t>than others?</w:t>
      </w:r>
      <w:r w:rsidRPr="00AD258A">
        <w:rPr>
          <w:rFonts w:asciiTheme="minorBidi" w:hAnsiTheme="minorBidi"/>
          <w:sz w:val="22"/>
          <w:szCs w:val="22"/>
        </w:rPr>
        <w:t xml:space="preserve"> International Journal of Educational Technology in Higher Education, 20, Article 10. </w:t>
      </w:r>
      <w:hyperlink r:id="rId62" w:tgtFrame="_new" w:history="1">
        <w:r w:rsidRPr="00AD258A">
          <w:rPr>
            <w:rStyle w:val="Hyperlink"/>
            <w:rFonts w:asciiTheme="minorBidi" w:hAnsiTheme="minorBidi"/>
            <w:sz w:val="22"/>
            <w:szCs w:val="22"/>
          </w:rPr>
          <w:t>https://doi.org/10.1186/s41239-022-00379-x</w:t>
        </w:r>
      </w:hyperlink>
      <w:r w:rsidRPr="00AD258A">
        <w:rPr>
          <w:rFonts w:asciiTheme="minorBidi" w:hAnsiTheme="minorBidi"/>
          <w:sz w:val="22"/>
          <w:szCs w:val="22"/>
        </w:rPr>
        <w:t xml:space="preserve"> </w:t>
      </w:r>
      <w:hyperlink r:id="rId63" w:tgtFrame="_blank" w:history="1">
        <w:r w:rsidRPr="00AD258A">
          <w:rPr>
            <w:rStyle w:val="Hyperlink"/>
            <w:rFonts w:asciiTheme="minorBidi" w:hAnsiTheme="minorBidi"/>
            <w:sz w:val="22"/>
            <w:szCs w:val="22"/>
          </w:rPr>
          <w:t>SpringerOpen</w:t>
        </w:r>
      </w:hyperlink>
      <w:r w:rsidRPr="00AD258A">
        <w:rPr>
          <w:rFonts w:asciiTheme="minorBidi" w:hAnsiTheme="minorBidi"/>
          <w:sz w:val="22"/>
          <w:szCs w:val="22"/>
        </w:rPr>
        <w:br/>
        <w:t xml:space="preserve">Stanevičienė, E. (2025). </w:t>
      </w:r>
      <w:r w:rsidRPr="00AD258A">
        <w:rPr>
          <w:rFonts w:asciiTheme="minorBidi" w:hAnsiTheme="minorBidi"/>
          <w:i/>
          <w:iCs/>
          <w:sz w:val="22"/>
          <w:szCs w:val="22"/>
        </w:rPr>
        <w:t>The Use of Multimedia in the Teaching and Learning of Higher Education.</w:t>
      </w:r>
      <w:r w:rsidRPr="00AD258A">
        <w:rPr>
          <w:rFonts w:asciiTheme="minorBidi" w:hAnsiTheme="minorBidi"/>
          <w:sz w:val="22"/>
          <w:szCs w:val="22"/>
        </w:rPr>
        <w:t xml:space="preserve"> Sustainability, 17(19), 8859. </w:t>
      </w:r>
      <w:hyperlink r:id="rId64" w:tgtFrame="_new" w:history="1">
        <w:r w:rsidRPr="00AD258A">
          <w:rPr>
            <w:rStyle w:val="Hyperlink"/>
            <w:rFonts w:asciiTheme="minorBidi" w:hAnsiTheme="minorBidi"/>
            <w:sz w:val="22"/>
            <w:szCs w:val="22"/>
          </w:rPr>
          <w:t>https://doi.org/10.3390/su17198859</w:t>
        </w:r>
      </w:hyperlink>
    </w:p>
    <w:p w14:paraId="64D3B22D" w14:textId="77777777" w:rsidR="00B65461" w:rsidRDefault="00B65461" w:rsidP="00B65461">
      <w:pPr>
        <w:spacing w:line="360" w:lineRule="auto"/>
        <w:jc w:val="both"/>
        <w:rPr>
          <w:rFonts w:asciiTheme="minorBidi" w:hAnsiTheme="minorBidi"/>
          <w:sz w:val="22"/>
          <w:szCs w:val="22"/>
        </w:rPr>
      </w:pPr>
      <w:r w:rsidRPr="00542F68">
        <w:rPr>
          <w:rFonts w:asciiTheme="minorBidi" w:hAnsiTheme="minorBidi"/>
          <w:sz w:val="22"/>
          <w:szCs w:val="22"/>
        </w:rPr>
        <w:t xml:space="preserve">Bozkurt, A., Jung, I., Xiao, J., Vladimirschi, V., Schuwer, R., Egorov, G., Lambert, S., Al-Freih, M., Pete, J., Don Olcott Jr., Rodes, V., Aranciaga, I., &amp; Paskevicius, M. (2020). </w:t>
      </w:r>
      <w:r w:rsidRPr="00542F68">
        <w:rPr>
          <w:rFonts w:asciiTheme="minorBidi" w:hAnsiTheme="minorBidi"/>
          <w:i/>
          <w:iCs/>
          <w:sz w:val="22"/>
          <w:szCs w:val="22"/>
        </w:rPr>
        <w:t>A global outlook to the interruption of education due to COVID-19 pandemic: Navigating in a time of uncertainty and crisis.</w:t>
      </w:r>
      <w:r w:rsidRPr="00542F68">
        <w:rPr>
          <w:rFonts w:asciiTheme="minorBidi" w:hAnsiTheme="minorBidi"/>
          <w:sz w:val="22"/>
          <w:szCs w:val="22"/>
        </w:rPr>
        <w:t xml:space="preserve"> Asian Journal of Distance Education, 15(1), 1–126.</w:t>
      </w:r>
    </w:p>
    <w:p w14:paraId="28674230" w14:textId="77777777" w:rsidR="00B65461" w:rsidRDefault="00B65461" w:rsidP="00B65461">
      <w:pPr>
        <w:spacing w:line="360" w:lineRule="auto"/>
        <w:jc w:val="both"/>
        <w:rPr>
          <w:rFonts w:asciiTheme="minorBidi" w:hAnsiTheme="minorBidi"/>
          <w:sz w:val="22"/>
          <w:szCs w:val="22"/>
        </w:rPr>
      </w:pPr>
      <w:r w:rsidRPr="001C1D8D">
        <w:rPr>
          <w:rFonts w:asciiTheme="minorBidi" w:hAnsiTheme="minorBidi"/>
          <w:sz w:val="22"/>
          <w:szCs w:val="22"/>
        </w:rPr>
        <w:t xml:space="preserve">Hodges, C., Moore, S., Lockee, B., Trust, T., &amp; Bond, A. (2020). </w:t>
      </w:r>
      <w:r w:rsidRPr="001C1D8D">
        <w:rPr>
          <w:rFonts w:asciiTheme="minorBidi" w:hAnsiTheme="minorBidi"/>
          <w:i/>
          <w:iCs/>
          <w:sz w:val="22"/>
          <w:szCs w:val="22"/>
        </w:rPr>
        <w:t>The difference between emergency remote teaching and online learning.</w:t>
      </w:r>
      <w:r w:rsidRPr="001C1D8D">
        <w:rPr>
          <w:rFonts w:asciiTheme="minorBidi" w:hAnsiTheme="minorBidi"/>
          <w:sz w:val="22"/>
          <w:szCs w:val="22"/>
        </w:rPr>
        <w:t xml:space="preserve"> EDUCAUSE Review.</w:t>
      </w:r>
    </w:p>
    <w:p w14:paraId="1C62FD1D" w14:textId="77777777" w:rsidR="00B65461" w:rsidRDefault="00B65461" w:rsidP="00B65461">
      <w:pPr>
        <w:spacing w:line="360" w:lineRule="auto"/>
        <w:jc w:val="both"/>
        <w:rPr>
          <w:rFonts w:asciiTheme="minorBidi" w:hAnsiTheme="minorBidi"/>
          <w:sz w:val="22"/>
          <w:szCs w:val="22"/>
        </w:rPr>
      </w:pPr>
      <w:r w:rsidRPr="008646C6">
        <w:rPr>
          <w:rFonts w:asciiTheme="minorBidi" w:hAnsiTheme="minorBidi"/>
          <w:sz w:val="22"/>
          <w:szCs w:val="22"/>
        </w:rPr>
        <w:t xml:space="preserve">Marinoni, G., van’t Land, H., &amp; Jensen, T. (2020). </w:t>
      </w:r>
      <w:r w:rsidRPr="008646C6">
        <w:rPr>
          <w:rFonts w:asciiTheme="minorBidi" w:hAnsiTheme="minorBidi"/>
          <w:i/>
          <w:iCs/>
          <w:sz w:val="22"/>
          <w:szCs w:val="22"/>
        </w:rPr>
        <w:t>The impact of COVID-19 on higher education around the world: IAU global survey report.</w:t>
      </w:r>
      <w:r w:rsidRPr="008646C6">
        <w:rPr>
          <w:rFonts w:asciiTheme="minorBidi" w:hAnsiTheme="minorBidi"/>
          <w:sz w:val="22"/>
          <w:szCs w:val="22"/>
        </w:rPr>
        <w:t xml:space="preserve"> International Association of Universities.</w:t>
      </w:r>
    </w:p>
    <w:p w14:paraId="1C94F490" w14:textId="77777777" w:rsidR="00B65461" w:rsidRDefault="00B65461" w:rsidP="00B65461">
      <w:pPr>
        <w:spacing w:line="360" w:lineRule="auto"/>
        <w:jc w:val="both"/>
        <w:rPr>
          <w:rFonts w:asciiTheme="minorBidi" w:hAnsiTheme="minorBidi"/>
          <w:i/>
          <w:iCs/>
          <w:sz w:val="22"/>
          <w:szCs w:val="22"/>
        </w:rPr>
      </w:pPr>
      <w:r w:rsidRPr="00E81A9C">
        <w:rPr>
          <w:rFonts w:asciiTheme="minorBidi" w:hAnsiTheme="minorBidi"/>
          <w:sz w:val="22"/>
          <w:szCs w:val="22"/>
        </w:rPr>
        <w:t xml:space="preserve">Liasidou, A. (2022). </w:t>
      </w:r>
      <w:r w:rsidRPr="00E81A9C">
        <w:rPr>
          <w:rFonts w:asciiTheme="minorBidi" w:hAnsiTheme="minorBidi"/>
          <w:i/>
          <w:iCs/>
          <w:sz w:val="22"/>
          <w:szCs w:val="22"/>
        </w:rPr>
        <w:t>Inclusive pedagogies in digital post-Covid higher education: Re-imagining equity, participation and belonging.</w:t>
      </w:r>
      <w:r w:rsidRPr="00E81A9C">
        <w:rPr>
          <w:rFonts w:asciiTheme="minorBidi" w:hAnsiTheme="minorBidi"/>
          <w:sz w:val="22"/>
          <w:szCs w:val="22"/>
        </w:rPr>
        <w:t xml:space="preserve"> [PDF]. Retrieved from </w:t>
      </w:r>
      <w:hyperlink r:id="rId65" w:tgtFrame="_new" w:history="1">
        <w:r w:rsidRPr="00E81A9C">
          <w:rPr>
            <w:rStyle w:val="Hyperlink"/>
            <w:rFonts w:asciiTheme="minorBidi" w:hAnsiTheme="minorBidi"/>
            <w:sz w:val="22"/>
            <w:szCs w:val="22"/>
          </w:rPr>
          <w:t>https://research.stmarys.ac.uk/id/eprint/5621/3/inclusive.pdf</w:t>
        </w:r>
      </w:hyperlink>
      <w:r w:rsidRPr="00E81A9C">
        <w:rPr>
          <w:rFonts w:asciiTheme="minorBidi" w:hAnsiTheme="minorBidi"/>
          <w:sz w:val="22"/>
          <w:szCs w:val="22"/>
        </w:rPr>
        <w:t xml:space="preserve"> </w:t>
      </w:r>
      <w:hyperlink r:id="rId66" w:tgtFrame="_blank" w:history="1">
        <w:r w:rsidRPr="00E81A9C">
          <w:rPr>
            <w:rStyle w:val="Hyperlink"/>
            <w:rFonts w:asciiTheme="minorBidi" w:hAnsiTheme="minorBidi"/>
            <w:sz w:val="22"/>
            <w:szCs w:val="22"/>
          </w:rPr>
          <w:t>research.stmarys.ac.uk</w:t>
        </w:r>
      </w:hyperlink>
      <w:r w:rsidRPr="00E81A9C">
        <w:rPr>
          <w:rFonts w:asciiTheme="minorBidi" w:hAnsiTheme="minorBidi"/>
          <w:sz w:val="22"/>
          <w:szCs w:val="22"/>
        </w:rPr>
        <w:br/>
        <w:t xml:space="preserve">OECD. (2023). </w:t>
      </w:r>
      <w:r w:rsidRPr="00E81A9C">
        <w:rPr>
          <w:rFonts w:asciiTheme="minorBidi" w:hAnsiTheme="minorBidi"/>
          <w:i/>
          <w:iCs/>
          <w:sz w:val="22"/>
          <w:szCs w:val="22"/>
        </w:rPr>
        <w:t>Digital equity and inclusion in education.</w:t>
      </w:r>
      <w:r w:rsidRPr="00E81A9C">
        <w:rPr>
          <w:rFonts w:asciiTheme="minorBidi" w:hAnsiTheme="minorBidi"/>
          <w:sz w:val="22"/>
          <w:szCs w:val="22"/>
        </w:rPr>
        <w:t xml:space="preserve"> OECD Working Paper No. 14. OECD Publishing. </w:t>
      </w:r>
      <w:hyperlink r:id="rId67" w:tgtFrame="_blank" w:history="1">
        <w:r w:rsidRPr="00E81A9C">
          <w:rPr>
            <w:rStyle w:val="Hyperlink"/>
            <w:rFonts w:asciiTheme="minorBidi" w:hAnsiTheme="minorBidi"/>
            <w:sz w:val="22"/>
            <w:szCs w:val="22"/>
          </w:rPr>
          <w:t>ONE MP</w:t>
        </w:r>
      </w:hyperlink>
      <w:r w:rsidRPr="00E81A9C">
        <w:rPr>
          <w:rFonts w:asciiTheme="minorBidi" w:hAnsiTheme="minorBidi"/>
          <w:sz w:val="22"/>
          <w:szCs w:val="22"/>
        </w:rPr>
        <w:br/>
        <w:t xml:space="preserve">Horton, G. (2023). Examining the changing attitudes of academic staff towards online teaching tools during the pandemic. </w:t>
      </w:r>
      <w:r w:rsidRPr="00E81A9C">
        <w:rPr>
          <w:rFonts w:asciiTheme="minorBidi" w:hAnsiTheme="minorBidi"/>
          <w:i/>
          <w:iCs/>
          <w:sz w:val="22"/>
          <w:szCs w:val="22"/>
        </w:rPr>
        <w:t>Discourse: Studies in the Cultural Politics of Education</w:t>
      </w:r>
      <w:r w:rsidRPr="00E81A9C">
        <w:rPr>
          <w:rFonts w:asciiTheme="minorBidi" w:hAnsiTheme="minorBidi"/>
          <w:sz w:val="22"/>
          <w:szCs w:val="22"/>
        </w:rPr>
        <w:t xml:space="preserve">. </w:t>
      </w:r>
      <w:hyperlink r:id="rId68" w:tgtFrame="_blank" w:history="1">
        <w:r w:rsidRPr="00E81A9C">
          <w:rPr>
            <w:rStyle w:val="Hyperlink"/>
            <w:rFonts w:asciiTheme="minorBidi" w:hAnsiTheme="minorBidi"/>
            <w:sz w:val="22"/>
            <w:szCs w:val="22"/>
          </w:rPr>
          <w:t>liverpooluniversitypress.co.uk</w:t>
        </w:r>
      </w:hyperlink>
      <w:r w:rsidRPr="00E81A9C">
        <w:rPr>
          <w:rFonts w:asciiTheme="minorBidi" w:hAnsiTheme="minorBidi"/>
          <w:sz w:val="22"/>
          <w:szCs w:val="22"/>
        </w:rPr>
        <w:br/>
        <w:t xml:space="preserve">Wang, X., et al. (2024). Hybrid teaching after COVID-19: advantages, challenges and student preferences. </w:t>
      </w:r>
      <w:r w:rsidRPr="00E81A9C">
        <w:rPr>
          <w:rFonts w:asciiTheme="minorBidi" w:hAnsiTheme="minorBidi"/>
          <w:i/>
          <w:iCs/>
          <w:sz w:val="22"/>
          <w:szCs w:val="22"/>
        </w:rPr>
        <w:t>BMC Medical Education</w:t>
      </w:r>
    </w:p>
    <w:p w14:paraId="1977068A" w14:textId="77777777" w:rsidR="00B65461" w:rsidRDefault="00B65461" w:rsidP="00B65461">
      <w:pPr>
        <w:spacing w:line="360" w:lineRule="auto"/>
        <w:jc w:val="both"/>
        <w:rPr>
          <w:rFonts w:asciiTheme="minorBidi" w:hAnsiTheme="minorBidi"/>
          <w:sz w:val="22"/>
          <w:szCs w:val="22"/>
        </w:rPr>
      </w:pPr>
      <w:r w:rsidRPr="00CD09A0">
        <w:rPr>
          <w:rFonts w:asciiTheme="minorBidi" w:hAnsiTheme="minorBidi"/>
          <w:sz w:val="22"/>
          <w:szCs w:val="22"/>
        </w:rPr>
        <w:t xml:space="preserve">Naveed, Q. N., Choudhary, H., Ahmad, N., Alqahtani, J., &amp; Qahmash, A. I. (2023). </w:t>
      </w:r>
      <w:r w:rsidRPr="00CD09A0">
        <w:rPr>
          <w:rFonts w:asciiTheme="minorBidi" w:hAnsiTheme="minorBidi"/>
          <w:i/>
          <w:iCs/>
          <w:sz w:val="22"/>
          <w:szCs w:val="22"/>
        </w:rPr>
        <w:t>Mobile learning in higher education: A systematic literature review.</w:t>
      </w:r>
      <w:r w:rsidRPr="00CD09A0">
        <w:rPr>
          <w:rFonts w:asciiTheme="minorBidi" w:hAnsiTheme="minorBidi"/>
          <w:sz w:val="22"/>
          <w:szCs w:val="22"/>
        </w:rPr>
        <w:t xml:space="preserve"> </w:t>
      </w:r>
      <w:r w:rsidRPr="00CD09A0">
        <w:rPr>
          <w:rFonts w:asciiTheme="minorBidi" w:hAnsiTheme="minorBidi"/>
          <w:i/>
          <w:iCs/>
          <w:sz w:val="22"/>
          <w:szCs w:val="22"/>
        </w:rPr>
        <w:t>Sustainability, 15</w:t>
      </w:r>
      <w:r w:rsidRPr="00CD09A0">
        <w:rPr>
          <w:rFonts w:asciiTheme="minorBidi" w:hAnsiTheme="minorBidi"/>
          <w:sz w:val="22"/>
          <w:szCs w:val="22"/>
        </w:rPr>
        <w:t>(18), 13566.</w:t>
      </w:r>
    </w:p>
    <w:p w14:paraId="0642A7E4" w14:textId="77777777" w:rsidR="00B65461" w:rsidRDefault="00B65461" w:rsidP="00B65461">
      <w:pPr>
        <w:spacing w:line="360" w:lineRule="auto"/>
        <w:jc w:val="both"/>
      </w:pPr>
      <w:r w:rsidRPr="00611B31">
        <w:rPr>
          <w:rFonts w:asciiTheme="minorBidi" w:hAnsiTheme="minorBidi"/>
          <w:sz w:val="22"/>
          <w:szCs w:val="22"/>
        </w:rPr>
        <w:t xml:space="preserve">Sisouvong, V. (2024). </w:t>
      </w:r>
      <w:r w:rsidRPr="00611B31">
        <w:rPr>
          <w:rFonts w:asciiTheme="minorBidi" w:hAnsiTheme="minorBidi"/>
          <w:i/>
          <w:iCs/>
          <w:sz w:val="22"/>
          <w:szCs w:val="22"/>
        </w:rPr>
        <w:t>Mobile learning: Enhancing self-directed education and just-in-time accessibility.</w:t>
      </w:r>
      <w:r w:rsidRPr="00611B31">
        <w:rPr>
          <w:rFonts w:asciiTheme="minorBidi" w:hAnsiTheme="minorBidi"/>
          <w:sz w:val="22"/>
          <w:szCs w:val="22"/>
        </w:rPr>
        <w:t xml:space="preserve"> </w:t>
      </w:r>
      <w:r w:rsidRPr="00611B31">
        <w:rPr>
          <w:rFonts w:asciiTheme="minorBidi" w:hAnsiTheme="minorBidi"/>
          <w:i/>
          <w:iCs/>
          <w:sz w:val="22"/>
          <w:szCs w:val="22"/>
        </w:rPr>
        <w:t>Journal of Education and Learning Reviews, 1</w:t>
      </w:r>
      <w:r w:rsidRPr="00611B31">
        <w:rPr>
          <w:rFonts w:asciiTheme="minorBidi" w:hAnsiTheme="minorBidi"/>
          <w:sz w:val="22"/>
          <w:szCs w:val="22"/>
        </w:rPr>
        <w:t xml:space="preserve">(2). </w:t>
      </w:r>
      <w:hyperlink r:id="rId69" w:tgtFrame="_new" w:history="1">
        <w:r w:rsidRPr="00611B31">
          <w:rPr>
            <w:rStyle w:val="Hyperlink"/>
            <w:rFonts w:asciiTheme="minorBidi" w:hAnsiTheme="minorBidi"/>
            <w:sz w:val="22"/>
            <w:szCs w:val="22"/>
          </w:rPr>
          <w:t>https://so19.tci-thaijo.org/index.php/JELS/article/download/752/475</w:t>
        </w:r>
      </w:hyperlink>
    </w:p>
    <w:p w14:paraId="462F7B71" w14:textId="77777777" w:rsidR="00B65461" w:rsidRDefault="00B65461" w:rsidP="00B65461">
      <w:pPr>
        <w:spacing w:line="360" w:lineRule="auto"/>
        <w:jc w:val="both"/>
        <w:rPr>
          <w:rFonts w:asciiTheme="minorBidi" w:hAnsiTheme="minorBidi"/>
          <w:sz w:val="22"/>
          <w:szCs w:val="22"/>
        </w:rPr>
      </w:pPr>
      <w:r w:rsidRPr="00840DD6">
        <w:rPr>
          <w:rFonts w:asciiTheme="minorBidi" w:hAnsiTheme="minorBidi"/>
          <w:sz w:val="22"/>
          <w:szCs w:val="22"/>
        </w:rPr>
        <w:t xml:space="preserve">Bates, T. (2018). </w:t>
      </w:r>
      <w:r w:rsidRPr="00840DD6">
        <w:rPr>
          <w:rFonts w:asciiTheme="minorBidi" w:hAnsiTheme="minorBidi"/>
          <w:i/>
          <w:iCs/>
          <w:sz w:val="22"/>
          <w:szCs w:val="22"/>
        </w:rPr>
        <w:t>Teaching in a Digital Age: Guidelines for Designing Teaching and Learning</w:t>
      </w:r>
      <w:r w:rsidRPr="00840DD6">
        <w:rPr>
          <w:rFonts w:asciiTheme="minorBidi" w:hAnsiTheme="minorBidi"/>
          <w:sz w:val="22"/>
          <w:szCs w:val="22"/>
        </w:rPr>
        <w:t xml:space="preserve"> (2nd ed.). Tony Bates Associates Ltd.</w:t>
      </w:r>
    </w:p>
    <w:p w14:paraId="269F7EEF" w14:textId="77777777" w:rsidR="00B65461" w:rsidRDefault="00B65461" w:rsidP="00B65461">
      <w:pPr>
        <w:spacing w:line="360" w:lineRule="auto"/>
        <w:jc w:val="both"/>
        <w:rPr>
          <w:rFonts w:asciiTheme="minorBidi" w:hAnsiTheme="minorBidi"/>
          <w:sz w:val="22"/>
          <w:szCs w:val="22"/>
        </w:rPr>
      </w:pPr>
      <w:r w:rsidRPr="00157D47">
        <w:rPr>
          <w:rFonts w:asciiTheme="minorBidi" w:hAnsiTheme="minorBidi"/>
          <w:sz w:val="22"/>
          <w:szCs w:val="22"/>
        </w:rPr>
        <w:t xml:space="preserve">Sangrà, A., Vlachopoulos, D., &amp; Cabrera, N. (2012). </w:t>
      </w:r>
      <w:r w:rsidRPr="00157D47">
        <w:rPr>
          <w:rFonts w:asciiTheme="minorBidi" w:hAnsiTheme="minorBidi"/>
          <w:i/>
          <w:iCs/>
          <w:sz w:val="22"/>
          <w:szCs w:val="22"/>
        </w:rPr>
        <w:t>Building an inclusive definition of e-learning: An approach to the conceptual framework.</w:t>
      </w:r>
      <w:r w:rsidRPr="00157D47">
        <w:rPr>
          <w:rFonts w:asciiTheme="minorBidi" w:hAnsiTheme="minorBidi"/>
          <w:sz w:val="22"/>
          <w:szCs w:val="22"/>
        </w:rPr>
        <w:t xml:space="preserve"> </w:t>
      </w:r>
      <w:r w:rsidRPr="00157D47">
        <w:rPr>
          <w:rFonts w:asciiTheme="minorBidi" w:hAnsiTheme="minorBidi"/>
          <w:b/>
          <w:bCs/>
          <w:sz w:val="22"/>
          <w:szCs w:val="22"/>
        </w:rPr>
        <w:t>The International Review of Research in Open and Distance Learning, 13</w:t>
      </w:r>
      <w:r w:rsidRPr="00157D47">
        <w:rPr>
          <w:rFonts w:asciiTheme="minorBidi" w:hAnsiTheme="minorBidi"/>
          <w:sz w:val="22"/>
          <w:szCs w:val="22"/>
        </w:rPr>
        <w:t>(2), 145–159.</w:t>
      </w:r>
    </w:p>
    <w:p w14:paraId="4FD56B58" w14:textId="77777777" w:rsidR="00B65461" w:rsidRDefault="00B65461" w:rsidP="00B65461">
      <w:pPr>
        <w:spacing w:line="360" w:lineRule="auto"/>
        <w:jc w:val="both"/>
        <w:rPr>
          <w:rFonts w:asciiTheme="minorBidi" w:hAnsiTheme="minorBidi"/>
          <w:sz w:val="22"/>
          <w:szCs w:val="22"/>
        </w:rPr>
      </w:pPr>
    </w:p>
    <w:p w14:paraId="4983E49D" w14:textId="77777777" w:rsidR="00B65461" w:rsidRPr="00FD011D" w:rsidRDefault="00B65461" w:rsidP="00B65461">
      <w:pPr>
        <w:spacing w:line="360" w:lineRule="auto"/>
        <w:jc w:val="both"/>
        <w:rPr>
          <w:rFonts w:asciiTheme="minorBidi" w:hAnsiTheme="minorBidi"/>
          <w:sz w:val="22"/>
          <w:szCs w:val="22"/>
        </w:rPr>
      </w:pPr>
      <w:r w:rsidRPr="00FD011D">
        <w:rPr>
          <w:rFonts w:asciiTheme="minorBidi" w:hAnsiTheme="minorBidi"/>
          <w:sz w:val="22"/>
          <w:szCs w:val="22"/>
        </w:rPr>
        <w:lastRenderedPageBreak/>
        <w:t xml:space="preserve">Cuban, L. (1986). </w:t>
      </w:r>
      <w:r w:rsidRPr="00FD011D">
        <w:rPr>
          <w:rFonts w:asciiTheme="minorBidi" w:hAnsiTheme="minorBidi"/>
          <w:i/>
          <w:iCs/>
          <w:sz w:val="22"/>
          <w:szCs w:val="22"/>
        </w:rPr>
        <w:t>Teachers and machines: The classroom use of technology since 1920</w:t>
      </w:r>
      <w:r w:rsidRPr="00FD011D">
        <w:rPr>
          <w:rFonts w:asciiTheme="minorBidi" w:hAnsiTheme="minorBidi"/>
          <w:sz w:val="22"/>
          <w:szCs w:val="22"/>
        </w:rPr>
        <w:t>. Teachers College Press.</w:t>
      </w:r>
    </w:p>
    <w:p w14:paraId="63E6261D" w14:textId="77777777" w:rsidR="00B65461" w:rsidRPr="00FD011D" w:rsidRDefault="00B65461" w:rsidP="00B65461">
      <w:pPr>
        <w:spacing w:line="360" w:lineRule="auto"/>
        <w:jc w:val="both"/>
        <w:rPr>
          <w:rFonts w:asciiTheme="minorBidi" w:hAnsiTheme="minorBidi"/>
          <w:sz w:val="22"/>
          <w:szCs w:val="22"/>
        </w:rPr>
      </w:pPr>
      <w:r w:rsidRPr="00FD011D">
        <w:rPr>
          <w:rFonts w:asciiTheme="minorBidi" w:hAnsiTheme="minorBidi"/>
          <w:sz w:val="22"/>
          <w:szCs w:val="22"/>
        </w:rPr>
        <w:t xml:space="preserve">Molenda, M. (2008). The history of instructional design and technology. In J. M. Spector, M. D. Merrill, J. van Merriënboer, &amp; M. P. Driscoll (Eds.), </w:t>
      </w:r>
      <w:r w:rsidRPr="00FD011D">
        <w:rPr>
          <w:rFonts w:asciiTheme="minorBidi" w:hAnsiTheme="minorBidi"/>
          <w:i/>
          <w:iCs/>
          <w:sz w:val="22"/>
          <w:szCs w:val="22"/>
        </w:rPr>
        <w:t>Handbook of research on educational communications and technology</w:t>
      </w:r>
      <w:r w:rsidRPr="00FD011D">
        <w:rPr>
          <w:rFonts w:asciiTheme="minorBidi" w:hAnsiTheme="minorBidi"/>
          <w:sz w:val="22"/>
          <w:szCs w:val="22"/>
        </w:rPr>
        <w:t xml:space="preserve"> (3rd ed., pp. 3–20). Lawrence Erlbaum Associates.</w:t>
      </w:r>
    </w:p>
    <w:p w14:paraId="0F510087" w14:textId="77777777" w:rsidR="00B65461" w:rsidRPr="00FD011D" w:rsidRDefault="00B65461" w:rsidP="00B65461">
      <w:pPr>
        <w:spacing w:line="360" w:lineRule="auto"/>
        <w:jc w:val="both"/>
        <w:rPr>
          <w:rFonts w:asciiTheme="minorBidi" w:hAnsiTheme="minorBidi"/>
          <w:sz w:val="22"/>
          <w:szCs w:val="22"/>
        </w:rPr>
      </w:pPr>
      <w:r w:rsidRPr="00FD011D">
        <w:rPr>
          <w:rFonts w:asciiTheme="minorBidi" w:hAnsiTheme="minorBidi"/>
          <w:sz w:val="22"/>
          <w:szCs w:val="22"/>
        </w:rPr>
        <w:t xml:space="preserve">Moore, M. G., &amp; Kearsley, G. (2012). </w:t>
      </w:r>
      <w:r w:rsidRPr="00FD011D">
        <w:rPr>
          <w:rFonts w:asciiTheme="minorBidi" w:hAnsiTheme="minorBidi"/>
          <w:i/>
          <w:iCs/>
          <w:sz w:val="22"/>
          <w:szCs w:val="22"/>
        </w:rPr>
        <w:t>Distance education: A systems view of online learning</w:t>
      </w:r>
      <w:r w:rsidRPr="00FD011D">
        <w:rPr>
          <w:rFonts w:asciiTheme="minorBidi" w:hAnsiTheme="minorBidi"/>
          <w:sz w:val="22"/>
          <w:szCs w:val="22"/>
        </w:rPr>
        <w:t xml:space="preserve"> (3rd ed.). Wadsworth.</w:t>
      </w:r>
    </w:p>
    <w:p w14:paraId="318DF44A" w14:textId="77777777" w:rsidR="00B65461" w:rsidRPr="00FD011D" w:rsidRDefault="00B65461" w:rsidP="00B65461">
      <w:pPr>
        <w:spacing w:line="360" w:lineRule="auto"/>
        <w:jc w:val="both"/>
        <w:rPr>
          <w:rFonts w:asciiTheme="minorBidi" w:hAnsiTheme="minorBidi"/>
          <w:sz w:val="22"/>
          <w:szCs w:val="22"/>
        </w:rPr>
      </w:pPr>
      <w:r w:rsidRPr="00FD011D">
        <w:rPr>
          <w:rFonts w:asciiTheme="minorBidi" w:hAnsiTheme="minorBidi"/>
          <w:sz w:val="22"/>
          <w:szCs w:val="22"/>
        </w:rPr>
        <w:t xml:space="preserve">Pressey, S. L. (1926). A simple apparatus which gives tests and scores—and teaches. </w:t>
      </w:r>
      <w:r w:rsidRPr="00FD011D">
        <w:rPr>
          <w:rFonts w:asciiTheme="minorBidi" w:hAnsiTheme="minorBidi"/>
          <w:i/>
          <w:iCs/>
          <w:sz w:val="22"/>
          <w:szCs w:val="22"/>
        </w:rPr>
        <w:t>School and Society</w:t>
      </w:r>
      <w:r w:rsidRPr="00FD011D">
        <w:rPr>
          <w:rFonts w:asciiTheme="minorBidi" w:hAnsiTheme="minorBidi"/>
          <w:sz w:val="22"/>
          <w:szCs w:val="22"/>
        </w:rPr>
        <w:t>, 23(586), 373–376.</w:t>
      </w:r>
    </w:p>
    <w:p w14:paraId="2DE18C08" w14:textId="77777777" w:rsidR="00B65461" w:rsidRPr="00FD011D" w:rsidRDefault="00B65461" w:rsidP="00B65461">
      <w:pPr>
        <w:spacing w:line="360" w:lineRule="auto"/>
        <w:jc w:val="both"/>
        <w:rPr>
          <w:rFonts w:asciiTheme="minorBidi" w:hAnsiTheme="minorBidi"/>
          <w:sz w:val="22"/>
          <w:szCs w:val="22"/>
        </w:rPr>
      </w:pPr>
      <w:r w:rsidRPr="00FD011D">
        <w:rPr>
          <w:rFonts w:asciiTheme="minorBidi" w:hAnsiTheme="minorBidi"/>
          <w:sz w:val="22"/>
          <w:szCs w:val="22"/>
        </w:rPr>
        <w:t xml:space="preserve">Saettler, P. (2004). </w:t>
      </w:r>
      <w:r w:rsidRPr="00FD011D">
        <w:rPr>
          <w:rFonts w:asciiTheme="minorBidi" w:hAnsiTheme="minorBidi"/>
          <w:i/>
          <w:iCs/>
          <w:sz w:val="22"/>
          <w:szCs w:val="22"/>
        </w:rPr>
        <w:t>The evolution of American educational technology</w:t>
      </w:r>
      <w:r w:rsidRPr="00FD011D">
        <w:rPr>
          <w:rFonts w:asciiTheme="minorBidi" w:hAnsiTheme="minorBidi"/>
          <w:sz w:val="22"/>
          <w:szCs w:val="22"/>
        </w:rPr>
        <w:t>. Information Age Publishing.</w:t>
      </w:r>
    </w:p>
    <w:p w14:paraId="40C5DDE2" w14:textId="77777777" w:rsidR="00B65461" w:rsidRDefault="00B65461" w:rsidP="00B65461">
      <w:pPr>
        <w:spacing w:line="360" w:lineRule="auto"/>
        <w:jc w:val="both"/>
        <w:rPr>
          <w:rFonts w:asciiTheme="minorBidi" w:hAnsiTheme="minorBidi"/>
          <w:sz w:val="22"/>
          <w:szCs w:val="22"/>
        </w:rPr>
      </w:pPr>
      <w:r w:rsidRPr="00FD011D">
        <w:rPr>
          <w:rFonts w:asciiTheme="minorBidi" w:hAnsiTheme="minorBidi"/>
          <w:sz w:val="22"/>
          <w:szCs w:val="22"/>
        </w:rPr>
        <w:t xml:space="preserve">Watkins, B. L. (1991). A quite radical idea: The invention and elaboration of collegiate correspondence study. In B. L. Watkins &amp; S. J. Wright (Eds.), </w:t>
      </w:r>
      <w:r w:rsidRPr="00FD011D">
        <w:rPr>
          <w:rFonts w:asciiTheme="minorBidi" w:hAnsiTheme="minorBidi"/>
          <w:i/>
          <w:iCs/>
          <w:sz w:val="22"/>
          <w:szCs w:val="22"/>
        </w:rPr>
        <w:t>The foundations of American distance education</w:t>
      </w:r>
      <w:r w:rsidRPr="00FD011D">
        <w:rPr>
          <w:rFonts w:asciiTheme="minorBidi" w:hAnsiTheme="minorBidi"/>
          <w:sz w:val="22"/>
          <w:szCs w:val="22"/>
        </w:rPr>
        <w:t xml:space="preserve"> (pp. 1–35). Kendall/Hunt.</w:t>
      </w:r>
    </w:p>
    <w:p w14:paraId="01DDEBD1" w14:textId="77777777" w:rsidR="00B65461" w:rsidRDefault="00B65461" w:rsidP="00B65461">
      <w:pPr>
        <w:spacing w:line="360" w:lineRule="auto"/>
        <w:jc w:val="both"/>
        <w:rPr>
          <w:rFonts w:asciiTheme="minorBidi" w:hAnsiTheme="minorBidi"/>
          <w:sz w:val="22"/>
          <w:szCs w:val="22"/>
        </w:rPr>
      </w:pPr>
    </w:p>
    <w:p w14:paraId="39AC53B1" w14:textId="77777777" w:rsidR="00B65461" w:rsidRPr="008710F3" w:rsidRDefault="00B65461" w:rsidP="00B65461">
      <w:pPr>
        <w:spacing w:line="360" w:lineRule="auto"/>
        <w:jc w:val="both"/>
        <w:rPr>
          <w:rFonts w:asciiTheme="minorBidi" w:hAnsiTheme="minorBidi"/>
          <w:sz w:val="22"/>
          <w:szCs w:val="22"/>
        </w:rPr>
      </w:pPr>
      <w:r w:rsidRPr="008710F3">
        <w:rPr>
          <w:rFonts w:asciiTheme="minorBidi" w:hAnsiTheme="minorBidi"/>
          <w:sz w:val="22"/>
          <w:szCs w:val="22"/>
        </w:rPr>
        <w:t xml:space="preserve">uban, L. (1986). </w:t>
      </w:r>
      <w:r w:rsidRPr="008710F3">
        <w:rPr>
          <w:rFonts w:asciiTheme="minorBidi" w:hAnsiTheme="minorBidi"/>
          <w:i/>
          <w:iCs/>
          <w:sz w:val="22"/>
          <w:szCs w:val="22"/>
        </w:rPr>
        <w:t>Teachers and machines: The classroom use of technology since 1920</w:t>
      </w:r>
      <w:r w:rsidRPr="008710F3">
        <w:rPr>
          <w:rFonts w:asciiTheme="minorBidi" w:hAnsiTheme="minorBidi"/>
          <w:sz w:val="22"/>
          <w:szCs w:val="22"/>
        </w:rPr>
        <w:t>. Teachers College Press.</w:t>
      </w:r>
    </w:p>
    <w:p w14:paraId="231391EF" w14:textId="77777777" w:rsidR="00B65461" w:rsidRPr="008710F3" w:rsidRDefault="00B65461" w:rsidP="00B65461">
      <w:pPr>
        <w:spacing w:line="360" w:lineRule="auto"/>
        <w:jc w:val="both"/>
        <w:rPr>
          <w:rFonts w:asciiTheme="minorBidi" w:hAnsiTheme="minorBidi"/>
          <w:sz w:val="22"/>
          <w:szCs w:val="22"/>
        </w:rPr>
      </w:pPr>
      <w:r w:rsidRPr="008710F3">
        <w:rPr>
          <w:rFonts w:asciiTheme="minorBidi" w:hAnsiTheme="minorBidi"/>
          <w:sz w:val="22"/>
          <w:szCs w:val="22"/>
        </w:rPr>
        <w:t xml:space="preserve">Lumsdaine, A. A., &amp; Glaser, R. (Eds.). (1960). </w:t>
      </w:r>
      <w:r w:rsidRPr="008710F3">
        <w:rPr>
          <w:rFonts w:asciiTheme="minorBidi" w:hAnsiTheme="minorBidi"/>
          <w:i/>
          <w:iCs/>
          <w:sz w:val="22"/>
          <w:szCs w:val="22"/>
        </w:rPr>
        <w:t>Teaching machines and programmed learning: A source book</w:t>
      </w:r>
      <w:r w:rsidRPr="008710F3">
        <w:rPr>
          <w:rFonts w:asciiTheme="minorBidi" w:hAnsiTheme="minorBidi"/>
          <w:sz w:val="22"/>
          <w:szCs w:val="22"/>
        </w:rPr>
        <w:t>. National Education Association.</w:t>
      </w:r>
    </w:p>
    <w:p w14:paraId="40D24621" w14:textId="77777777" w:rsidR="00B65461" w:rsidRPr="008710F3" w:rsidRDefault="00B65461" w:rsidP="00B65461">
      <w:pPr>
        <w:spacing w:line="360" w:lineRule="auto"/>
        <w:jc w:val="both"/>
        <w:rPr>
          <w:rFonts w:asciiTheme="minorBidi" w:hAnsiTheme="minorBidi"/>
          <w:sz w:val="22"/>
          <w:szCs w:val="22"/>
        </w:rPr>
      </w:pPr>
      <w:r w:rsidRPr="008710F3">
        <w:rPr>
          <w:rFonts w:asciiTheme="minorBidi" w:hAnsiTheme="minorBidi"/>
          <w:sz w:val="22"/>
          <w:szCs w:val="22"/>
        </w:rPr>
        <w:t xml:space="preserve">Molenda, M. (2008). The history of instructional design and technology. In J. M. Spector, M. D. Merrill, J. van Merriënboer, &amp; M. P. Driscoll (Eds.), </w:t>
      </w:r>
      <w:r w:rsidRPr="008710F3">
        <w:rPr>
          <w:rFonts w:asciiTheme="minorBidi" w:hAnsiTheme="minorBidi"/>
          <w:i/>
          <w:iCs/>
          <w:sz w:val="22"/>
          <w:szCs w:val="22"/>
        </w:rPr>
        <w:t>Handbook of research on educational communications and technology</w:t>
      </w:r>
      <w:r w:rsidRPr="008710F3">
        <w:rPr>
          <w:rFonts w:asciiTheme="minorBidi" w:hAnsiTheme="minorBidi"/>
          <w:sz w:val="22"/>
          <w:szCs w:val="22"/>
        </w:rPr>
        <w:t xml:space="preserve"> (3rd ed., pp. 3–20). Lawrence Erlbaum Associates.</w:t>
      </w:r>
    </w:p>
    <w:p w14:paraId="5DD944B1" w14:textId="77777777" w:rsidR="00B65461" w:rsidRPr="008710F3" w:rsidRDefault="00B65461" w:rsidP="00B65461">
      <w:pPr>
        <w:spacing w:line="360" w:lineRule="auto"/>
        <w:jc w:val="both"/>
        <w:rPr>
          <w:rFonts w:asciiTheme="minorBidi" w:hAnsiTheme="minorBidi"/>
          <w:sz w:val="22"/>
          <w:szCs w:val="22"/>
        </w:rPr>
      </w:pPr>
      <w:r w:rsidRPr="008710F3">
        <w:rPr>
          <w:rFonts w:asciiTheme="minorBidi" w:hAnsiTheme="minorBidi"/>
          <w:sz w:val="22"/>
          <w:szCs w:val="22"/>
        </w:rPr>
        <w:t xml:space="preserve">Moore, M. G., &amp; Kearsley, G. (2012). </w:t>
      </w:r>
      <w:r w:rsidRPr="008710F3">
        <w:rPr>
          <w:rFonts w:asciiTheme="minorBidi" w:hAnsiTheme="minorBidi"/>
          <w:i/>
          <w:iCs/>
          <w:sz w:val="22"/>
          <w:szCs w:val="22"/>
        </w:rPr>
        <w:t>Distance education: A systems view of online learning</w:t>
      </w:r>
      <w:r w:rsidRPr="008710F3">
        <w:rPr>
          <w:rFonts w:asciiTheme="minorBidi" w:hAnsiTheme="minorBidi"/>
          <w:sz w:val="22"/>
          <w:szCs w:val="22"/>
        </w:rPr>
        <w:t xml:space="preserve"> (3rd ed.). Wadsworth.</w:t>
      </w:r>
    </w:p>
    <w:p w14:paraId="732D18EF" w14:textId="77777777" w:rsidR="00B65461" w:rsidRPr="008710F3" w:rsidRDefault="00B65461" w:rsidP="00B65461">
      <w:pPr>
        <w:spacing w:line="360" w:lineRule="auto"/>
        <w:jc w:val="both"/>
        <w:rPr>
          <w:rFonts w:asciiTheme="minorBidi" w:hAnsiTheme="minorBidi"/>
          <w:sz w:val="22"/>
          <w:szCs w:val="22"/>
        </w:rPr>
      </w:pPr>
      <w:r w:rsidRPr="008710F3">
        <w:rPr>
          <w:rFonts w:asciiTheme="minorBidi" w:hAnsiTheme="minorBidi"/>
          <w:sz w:val="22"/>
          <w:szCs w:val="22"/>
        </w:rPr>
        <w:t xml:space="preserve">Saettler, P. (2004). </w:t>
      </w:r>
      <w:r w:rsidRPr="008710F3">
        <w:rPr>
          <w:rFonts w:asciiTheme="minorBidi" w:hAnsiTheme="minorBidi"/>
          <w:i/>
          <w:iCs/>
          <w:sz w:val="22"/>
          <w:szCs w:val="22"/>
        </w:rPr>
        <w:t>The evolution of American educational technology</w:t>
      </w:r>
      <w:r w:rsidRPr="008710F3">
        <w:rPr>
          <w:rFonts w:asciiTheme="minorBidi" w:hAnsiTheme="minorBidi"/>
          <w:sz w:val="22"/>
          <w:szCs w:val="22"/>
        </w:rPr>
        <w:t>. Information Age Publishing.</w:t>
      </w:r>
    </w:p>
    <w:p w14:paraId="2422727A" w14:textId="77777777" w:rsidR="00B65461" w:rsidRPr="008710F3" w:rsidRDefault="00B65461" w:rsidP="00B65461">
      <w:pPr>
        <w:spacing w:line="360" w:lineRule="auto"/>
        <w:jc w:val="both"/>
        <w:rPr>
          <w:rFonts w:asciiTheme="minorBidi" w:hAnsiTheme="minorBidi"/>
          <w:sz w:val="22"/>
          <w:szCs w:val="22"/>
        </w:rPr>
      </w:pPr>
      <w:r w:rsidRPr="008710F3">
        <w:rPr>
          <w:rFonts w:asciiTheme="minorBidi" w:hAnsiTheme="minorBidi"/>
          <w:sz w:val="22"/>
          <w:szCs w:val="22"/>
        </w:rPr>
        <w:t xml:space="preserve">Skinner, B. F. (1954). The science of learning and the art of teaching. </w:t>
      </w:r>
      <w:r w:rsidRPr="008710F3">
        <w:rPr>
          <w:rFonts w:asciiTheme="minorBidi" w:hAnsiTheme="minorBidi"/>
          <w:i/>
          <w:iCs/>
          <w:sz w:val="22"/>
          <w:szCs w:val="22"/>
        </w:rPr>
        <w:t>Harvard Educational Review</w:t>
      </w:r>
      <w:r w:rsidRPr="008710F3">
        <w:rPr>
          <w:rFonts w:asciiTheme="minorBidi" w:hAnsiTheme="minorBidi"/>
          <w:sz w:val="22"/>
          <w:szCs w:val="22"/>
        </w:rPr>
        <w:t>, 24(2), 86–97.</w:t>
      </w:r>
    </w:p>
    <w:p w14:paraId="588E6A4A" w14:textId="77777777" w:rsidR="00B65461" w:rsidRDefault="00B65461" w:rsidP="00B65461">
      <w:pPr>
        <w:spacing w:line="360" w:lineRule="auto"/>
        <w:jc w:val="both"/>
        <w:rPr>
          <w:rFonts w:asciiTheme="minorBidi" w:hAnsiTheme="minorBidi"/>
          <w:sz w:val="22"/>
          <w:szCs w:val="22"/>
        </w:rPr>
      </w:pPr>
      <w:r w:rsidRPr="008710F3">
        <w:rPr>
          <w:rFonts w:asciiTheme="minorBidi" w:hAnsiTheme="minorBidi"/>
          <w:sz w:val="22"/>
          <w:szCs w:val="22"/>
        </w:rPr>
        <w:t xml:space="preserve">Skinner, B. F. (1958). Teaching machines. </w:t>
      </w:r>
      <w:r w:rsidRPr="008710F3">
        <w:rPr>
          <w:rFonts w:asciiTheme="minorBidi" w:hAnsiTheme="minorBidi"/>
          <w:i/>
          <w:iCs/>
          <w:sz w:val="22"/>
          <w:szCs w:val="22"/>
        </w:rPr>
        <w:t>Science</w:t>
      </w:r>
      <w:r w:rsidRPr="008710F3">
        <w:rPr>
          <w:rFonts w:asciiTheme="minorBidi" w:hAnsiTheme="minorBidi"/>
          <w:sz w:val="22"/>
          <w:szCs w:val="22"/>
        </w:rPr>
        <w:t>, 128(3330), 969–977.</w:t>
      </w:r>
    </w:p>
    <w:p w14:paraId="6A908D05" w14:textId="77777777" w:rsidR="00B65461" w:rsidRPr="00ED1CF9" w:rsidRDefault="00B65461" w:rsidP="00B65461">
      <w:pPr>
        <w:spacing w:line="360" w:lineRule="auto"/>
        <w:jc w:val="both"/>
        <w:rPr>
          <w:rFonts w:asciiTheme="minorBidi" w:hAnsiTheme="minorBidi"/>
          <w:sz w:val="22"/>
          <w:szCs w:val="22"/>
        </w:rPr>
      </w:pPr>
      <w:r w:rsidRPr="00F343F4">
        <w:rPr>
          <w:rFonts w:asciiTheme="minorBidi" w:hAnsiTheme="minorBidi"/>
          <w:sz w:val="22"/>
          <w:szCs w:val="22"/>
        </w:rPr>
        <w:t xml:space="preserve">Bitzer, D. L., Lichtenberger, W., &amp; Fingleton, J. (1961). </w:t>
      </w:r>
      <w:r w:rsidRPr="00ED1CF9">
        <w:rPr>
          <w:rFonts w:asciiTheme="minorBidi" w:hAnsiTheme="minorBidi"/>
          <w:i/>
          <w:iCs/>
          <w:sz w:val="22"/>
          <w:szCs w:val="22"/>
        </w:rPr>
        <w:t>The PLATO system, a computer-based education system.</w:t>
      </w:r>
      <w:r w:rsidRPr="00ED1CF9">
        <w:rPr>
          <w:rFonts w:asciiTheme="minorBidi" w:hAnsiTheme="minorBidi"/>
          <w:sz w:val="22"/>
          <w:szCs w:val="22"/>
        </w:rPr>
        <w:t xml:space="preserve"> University of Illinois.</w:t>
      </w:r>
    </w:p>
    <w:p w14:paraId="467EE77C" w14:textId="77777777" w:rsidR="00B65461" w:rsidRPr="00ED1CF9" w:rsidRDefault="00B65461" w:rsidP="00B65461">
      <w:pPr>
        <w:spacing w:line="360" w:lineRule="auto"/>
        <w:jc w:val="both"/>
        <w:rPr>
          <w:rFonts w:asciiTheme="minorBidi" w:hAnsiTheme="minorBidi"/>
          <w:sz w:val="22"/>
          <w:szCs w:val="22"/>
        </w:rPr>
      </w:pPr>
      <w:r w:rsidRPr="00ED1CF9">
        <w:rPr>
          <w:rFonts w:asciiTheme="minorBidi" w:hAnsiTheme="minorBidi"/>
          <w:sz w:val="22"/>
          <w:szCs w:val="22"/>
        </w:rPr>
        <w:lastRenderedPageBreak/>
        <w:t xml:space="preserve">Skinner, B. F. (1961). </w:t>
      </w:r>
      <w:r w:rsidRPr="00ED1CF9">
        <w:rPr>
          <w:rFonts w:asciiTheme="minorBidi" w:hAnsiTheme="minorBidi"/>
          <w:i/>
          <w:iCs/>
          <w:sz w:val="22"/>
          <w:szCs w:val="22"/>
        </w:rPr>
        <w:t>Teaching machines.</w:t>
      </w:r>
      <w:r w:rsidRPr="00ED1CF9">
        <w:rPr>
          <w:rFonts w:asciiTheme="minorBidi" w:hAnsiTheme="minorBidi"/>
          <w:sz w:val="22"/>
          <w:szCs w:val="22"/>
        </w:rPr>
        <w:t xml:space="preserve"> Scientific American, 205(5), 90–102.</w:t>
      </w:r>
    </w:p>
    <w:p w14:paraId="0D8364C1" w14:textId="77777777" w:rsidR="00B65461" w:rsidRDefault="00B65461" w:rsidP="00B65461">
      <w:pPr>
        <w:spacing w:line="360" w:lineRule="auto"/>
        <w:jc w:val="both"/>
        <w:rPr>
          <w:rFonts w:asciiTheme="minorBidi" w:hAnsiTheme="minorBidi"/>
          <w:sz w:val="22"/>
          <w:szCs w:val="22"/>
        </w:rPr>
      </w:pPr>
      <w:r w:rsidRPr="00ED1CF9">
        <w:rPr>
          <w:rFonts w:asciiTheme="minorBidi" w:hAnsiTheme="minorBidi"/>
          <w:sz w:val="22"/>
          <w:szCs w:val="22"/>
        </w:rPr>
        <w:t xml:space="preserve">Fein, A. (1967). </w:t>
      </w:r>
      <w:r w:rsidRPr="00ED1CF9">
        <w:rPr>
          <w:rFonts w:asciiTheme="minorBidi" w:hAnsiTheme="minorBidi"/>
          <w:i/>
          <w:iCs/>
          <w:sz w:val="22"/>
          <w:szCs w:val="22"/>
        </w:rPr>
        <w:t>The IBM 1500 Instructional System.</w:t>
      </w:r>
      <w:r w:rsidRPr="00ED1CF9">
        <w:rPr>
          <w:rFonts w:asciiTheme="minorBidi" w:hAnsiTheme="minorBidi"/>
          <w:sz w:val="22"/>
          <w:szCs w:val="22"/>
        </w:rPr>
        <w:t xml:space="preserve"> IBM Systems Journal, 6(3), 162–179. Woolley, D. R. (1994). </w:t>
      </w:r>
      <w:r w:rsidRPr="00ED1CF9">
        <w:rPr>
          <w:rFonts w:asciiTheme="minorBidi" w:hAnsiTheme="minorBidi"/>
          <w:i/>
          <w:iCs/>
          <w:sz w:val="22"/>
          <w:szCs w:val="22"/>
        </w:rPr>
        <w:t>PLATO: The emergence of online community.</w:t>
      </w:r>
      <w:r w:rsidRPr="00ED1CF9">
        <w:rPr>
          <w:rFonts w:asciiTheme="minorBidi" w:hAnsiTheme="minorBidi"/>
          <w:sz w:val="22"/>
          <w:szCs w:val="22"/>
        </w:rPr>
        <w:t xml:space="preserve"> University of Minnesota.</w:t>
      </w:r>
    </w:p>
    <w:p w14:paraId="04BCF863" w14:textId="77777777" w:rsidR="00B65461" w:rsidRPr="00ED1CF9" w:rsidRDefault="00B65461" w:rsidP="00B65461">
      <w:pPr>
        <w:spacing w:line="360" w:lineRule="auto"/>
        <w:jc w:val="both"/>
        <w:rPr>
          <w:rFonts w:asciiTheme="minorBidi" w:hAnsiTheme="minorBidi"/>
          <w:sz w:val="22"/>
          <w:szCs w:val="22"/>
        </w:rPr>
      </w:pPr>
      <w:r w:rsidRPr="00F85A5A">
        <w:rPr>
          <w:rFonts w:asciiTheme="minorBidi" w:hAnsiTheme="minorBidi"/>
          <w:sz w:val="22"/>
          <w:szCs w:val="22"/>
        </w:rPr>
        <w:t xml:space="preserve">Alpert, D., &amp; Bitzer, D. (1970). </w:t>
      </w:r>
      <w:r w:rsidRPr="00F85A5A">
        <w:rPr>
          <w:rFonts w:asciiTheme="minorBidi" w:hAnsiTheme="minorBidi"/>
          <w:i/>
          <w:iCs/>
          <w:sz w:val="22"/>
          <w:szCs w:val="22"/>
        </w:rPr>
        <w:t>Advances in computer-based education: The TICCIT and PLATO systems.</w:t>
      </w:r>
      <w:r w:rsidRPr="00F85A5A">
        <w:rPr>
          <w:rFonts w:asciiTheme="minorBidi" w:hAnsiTheme="minorBidi"/>
          <w:sz w:val="22"/>
          <w:szCs w:val="22"/>
        </w:rPr>
        <w:t xml:space="preserve"> IEEE Transactions on Education, 13(3), 157–166.</w:t>
      </w:r>
      <w:r w:rsidRPr="00F85A5A">
        <w:rPr>
          <w:rFonts w:asciiTheme="minorBidi" w:hAnsiTheme="minorBidi"/>
          <w:sz w:val="22"/>
          <w:szCs w:val="22"/>
        </w:rPr>
        <w:br/>
        <w:t xml:space="preserve">Bitzer, D. L., Braunfeld, P., &amp; Lyman, E. (1972). </w:t>
      </w:r>
      <w:r w:rsidRPr="00F85A5A">
        <w:rPr>
          <w:rFonts w:asciiTheme="minorBidi" w:hAnsiTheme="minorBidi"/>
          <w:i/>
          <w:iCs/>
          <w:sz w:val="22"/>
          <w:szCs w:val="22"/>
        </w:rPr>
        <w:t>PLATO IV: The next generation of computer-based education.</w:t>
      </w:r>
      <w:r w:rsidRPr="00F85A5A">
        <w:rPr>
          <w:rFonts w:asciiTheme="minorBidi" w:hAnsiTheme="minorBidi"/>
          <w:sz w:val="22"/>
          <w:szCs w:val="22"/>
        </w:rPr>
        <w:t xml:space="preserve"> University of Illinois Press.</w:t>
      </w:r>
      <w:r w:rsidRPr="00F85A5A">
        <w:rPr>
          <w:rFonts w:asciiTheme="minorBidi" w:hAnsiTheme="minorBidi"/>
          <w:sz w:val="22"/>
          <w:szCs w:val="22"/>
        </w:rPr>
        <w:br/>
        <w:t xml:space="preserve">Cerf, V. (1978). </w:t>
      </w:r>
      <w:r w:rsidRPr="00F85A5A">
        <w:rPr>
          <w:rFonts w:asciiTheme="minorBidi" w:hAnsiTheme="minorBidi"/>
          <w:i/>
          <w:iCs/>
          <w:sz w:val="22"/>
          <w:szCs w:val="22"/>
        </w:rPr>
        <w:t>The ARPA internet and its impact on networking.</w:t>
      </w:r>
      <w:r w:rsidRPr="00F85A5A">
        <w:rPr>
          <w:rFonts w:asciiTheme="minorBidi" w:hAnsiTheme="minorBidi"/>
          <w:sz w:val="22"/>
          <w:szCs w:val="22"/>
        </w:rPr>
        <w:t xml:space="preserve"> DARPA Technical Report.</w:t>
      </w:r>
      <w:r w:rsidRPr="00F85A5A">
        <w:rPr>
          <w:rFonts w:asciiTheme="minorBidi" w:hAnsiTheme="minorBidi"/>
          <w:sz w:val="22"/>
          <w:szCs w:val="22"/>
        </w:rPr>
        <w:br/>
        <w:t xml:space="preserve">Hafner, K., &amp; Lyon, M. (1996). </w:t>
      </w:r>
      <w:r w:rsidRPr="00F85A5A">
        <w:rPr>
          <w:rFonts w:asciiTheme="minorBidi" w:hAnsiTheme="minorBidi"/>
          <w:i/>
          <w:iCs/>
          <w:sz w:val="22"/>
          <w:szCs w:val="22"/>
        </w:rPr>
        <w:t>Where wizards stay up late: The origins of the Internet.</w:t>
      </w:r>
      <w:r w:rsidRPr="00F85A5A">
        <w:rPr>
          <w:rFonts w:asciiTheme="minorBidi" w:hAnsiTheme="minorBidi"/>
          <w:sz w:val="22"/>
          <w:szCs w:val="22"/>
        </w:rPr>
        <w:t xml:space="preserve"> Simon &amp; Schuster.</w:t>
      </w:r>
      <w:r w:rsidRPr="00F85A5A">
        <w:rPr>
          <w:rFonts w:asciiTheme="minorBidi" w:hAnsiTheme="minorBidi"/>
          <w:sz w:val="22"/>
          <w:szCs w:val="22"/>
        </w:rPr>
        <w:br/>
        <w:t xml:space="preserve">Molnar, A. R. (1978). </w:t>
      </w:r>
      <w:r w:rsidRPr="00F85A5A">
        <w:rPr>
          <w:rFonts w:asciiTheme="minorBidi" w:hAnsiTheme="minorBidi"/>
          <w:i/>
          <w:iCs/>
          <w:sz w:val="22"/>
          <w:szCs w:val="22"/>
        </w:rPr>
        <w:t>A review of research in computer-assisted instruction.</w:t>
      </w:r>
      <w:r w:rsidRPr="00F85A5A">
        <w:rPr>
          <w:rFonts w:asciiTheme="minorBidi" w:hAnsiTheme="minorBidi"/>
          <w:sz w:val="22"/>
          <w:szCs w:val="22"/>
        </w:rPr>
        <w:t xml:space="preserve"> Review of Educational Research, 48(1), 61–80.</w:t>
      </w:r>
      <w:r w:rsidRPr="00F85A5A">
        <w:rPr>
          <w:rFonts w:asciiTheme="minorBidi" w:hAnsiTheme="minorBidi"/>
          <w:sz w:val="22"/>
          <w:szCs w:val="22"/>
        </w:rPr>
        <w:br/>
        <w:t xml:space="preserve">Papert, S. (1980). </w:t>
      </w:r>
      <w:r w:rsidRPr="00F85A5A">
        <w:rPr>
          <w:rFonts w:asciiTheme="minorBidi" w:hAnsiTheme="minorBidi"/>
          <w:i/>
          <w:iCs/>
          <w:sz w:val="22"/>
          <w:szCs w:val="22"/>
        </w:rPr>
        <w:t>Mindstorms: Children, computers, and powerful ideas.</w:t>
      </w:r>
      <w:r w:rsidRPr="00F85A5A">
        <w:rPr>
          <w:rFonts w:asciiTheme="minorBidi" w:hAnsiTheme="minorBidi"/>
          <w:sz w:val="22"/>
          <w:szCs w:val="22"/>
        </w:rPr>
        <w:t xml:space="preserve"> Basic Books.</w:t>
      </w:r>
      <w:r w:rsidRPr="00F85A5A">
        <w:rPr>
          <w:rFonts w:asciiTheme="minorBidi" w:hAnsiTheme="minorBidi"/>
          <w:sz w:val="22"/>
          <w:szCs w:val="22"/>
        </w:rPr>
        <w:br/>
        <w:t xml:space="preserve">Woolley, D. R. (1994). </w:t>
      </w:r>
      <w:r w:rsidRPr="00F85A5A">
        <w:rPr>
          <w:rFonts w:asciiTheme="minorBidi" w:hAnsiTheme="minorBidi"/>
          <w:i/>
          <w:iCs/>
          <w:sz w:val="22"/>
          <w:szCs w:val="22"/>
        </w:rPr>
        <w:t>PLATO: The emergence of online community.</w:t>
      </w:r>
      <w:r w:rsidRPr="00F85A5A">
        <w:rPr>
          <w:rFonts w:asciiTheme="minorBidi" w:hAnsiTheme="minorBidi"/>
          <w:sz w:val="22"/>
          <w:szCs w:val="22"/>
        </w:rPr>
        <w:t xml:space="preserve"> University of Minnesota.</w:t>
      </w:r>
    </w:p>
    <w:p w14:paraId="6091B140" w14:textId="77777777" w:rsidR="00B65461" w:rsidRPr="008710F3" w:rsidRDefault="00B65461" w:rsidP="00B65461">
      <w:pPr>
        <w:spacing w:line="360" w:lineRule="auto"/>
        <w:jc w:val="both"/>
        <w:rPr>
          <w:rFonts w:asciiTheme="minorBidi" w:hAnsiTheme="minorBidi"/>
          <w:sz w:val="22"/>
          <w:szCs w:val="22"/>
        </w:rPr>
      </w:pPr>
    </w:p>
    <w:p w14:paraId="5049C26F" w14:textId="77777777" w:rsidR="00B65461" w:rsidRPr="001A3848" w:rsidRDefault="00B65461" w:rsidP="00B65461">
      <w:pPr>
        <w:spacing w:line="360" w:lineRule="auto"/>
        <w:jc w:val="both"/>
        <w:rPr>
          <w:rFonts w:asciiTheme="minorBidi" w:hAnsiTheme="minorBidi"/>
          <w:sz w:val="22"/>
          <w:szCs w:val="22"/>
        </w:rPr>
      </w:pPr>
      <w:r w:rsidRPr="001A3848">
        <w:rPr>
          <w:rFonts w:asciiTheme="minorBidi" w:hAnsiTheme="minorBidi"/>
          <w:sz w:val="22"/>
          <w:szCs w:val="22"/>
        </w:rPr>
        <w:t xml:space="preserve">Bitzer, D. L., Braunfeld, P. G., &amp; Lyman, E. R. (1961). </w:t>
      </w:r>
      <w:r w:rsidRPr="001A3848">
        <w:rPr>
          <w:rFonts w:asciiTheme="minorBidi" w:hAnsiTheme="minorBidi"/>
          <w:i/>
          <w:iCs/>
          <w:sz w:val="22"/>
          <w:szCs w:val="22"/>
        </w:rPr>
        <w:t>The PLATO system of computer-based education.</w:t>
      </w:r>
      <w:r w:rsidRPr="001A3848">
        <w:rPr>
          <w:rFonts w:asciiTheme="minorBidi" w:hAnsiTheme="minorBidi"/>
          <w:sz w:val="22"/>
          <w:szCs w:val="22"/>
        </w:rPr>
        <w:t xml:space="preserve"> Urbana, IL: University of Illinois.</w:t>
      </w:r>
    </w:p>
    <w:p w14:paraId="38B50287" w14:textId="77777777" w:rsidR="00B65461" w:rsidRPr="001A3848" w:rsidRDefault="00B65461" w:rsidP="00B65461">
      <w:pPr>
        <w:spacing w:line="360" w:lineRule="auto"/>
        <w:jc w:val="both"/>
        <w:rPr>
          <w:rFonts w:asciiTheme="minorBidi" w:hAnsiTheme="minorBidi"/>
          <w:sz w:val="22"/>
          <w:szCs w:val="22"/>
        </w:rPr>
      </w:pPr>
      <w:r w:rsidRPr="001A3848">
        <w:rPr>
          <w:rFonts w:asciiTheme="minorBidi" w:hAnsiTheme="minorBidi"/>
          <w:sz w:val="22"/>
          <w:szCs w:val="22"/>
        </w:rPr>
        <w:t xml:space="preserve">Molenda, M. (2008). </w:t>
      </w:r>
      <w:r w:rsidRPr="001A3848">
        <w:rPr>
          <w:rFonts w:asciiTheme="minorBidi" w:hAnsiTheme="minorBidi"/>
          <w:i/>
          <w:iCs/>
          <w:sz w:val="22"/>
          <w:szCs w:val="22"/>
        </w:rPr>
        <w:t>The history of instructional technology.</w:t>
      </w:r>
      <w:r w:rsidRPr="001A3848">
        <w:rPr>
          <w:rFonts w:asciiTheme="minorBidi" w:hAnsiTheme="minorBidi"/>
          <w:sz w:val="22"/>
          <w:szCs w:val="22"/>
        </w:rPr>
        <w:t xml:space="preserve"> In A. Januszewski &amp; M. Molenda (Eds.), </w:t>
      </w:r>
      <w:r w:rsidRPr="001A3848">
        <w:rPr>
          <w:rFonts w:asciiTheme="minorBidi" w:hAnsiTheme="minorBidi"/>
          <w:b/>
          <w:bCs/>
          <w:sz w:val="22"/>
          <w:szCs w:val="22"/>
        </w:rPr>
        <w:t>Educational Technology: A Definition with Commentary</w:t>
      </w:r>
      <w:r w:rsidRPr="001A3848">
        <w:rPr>
          <w:rFonts w:asciiTheme="minorBidi" w:hAnsiTheme="minorBidi"/>
          <w:sz w:val="22"/>
          <w:szCs w:val="22"/>
        </w:rPr>
        <w:t xml:space="preserve"> (pp. 3–20). New York, NY: Lawrence Erlbaum Associates.</w:t>
      </w:r>
    </w:p>
    <w:p w14:paraId="132EC598" w14:textId="77777777" w:rsidR="00B65461" w:rsidRPr="001A3848" w:rsidRDefault="00B65461" w:rsidP="00B65461">
      <w:pPr>
        <w:spacing w:line="360" w:lineRule="auto"/>
        <w:jc w:val="both"/>
        <w:rPr>
          <w:rFonts w:asciiTheme="minorBidi" w:hAnsiTheme="minorBidi"/>
          <w:sz w:val="22"/>
          <w:szCs w:val="22"/>
        </w:rPr>
      </w:pPr>
      <w:r w:rsidRPr="001A3848">
        <w:rPr>
          <w:rFonts w:asciiTheme="minorBidi" w:hAnsiTheme="minorBidi"/>
          <w:sz w:val="22"/>
          <w:szCs w:val="22"/>
        </w:rPr>
        <w:t xml:space="preserve">Saettler, P. (2004). </w:t>
      </w:r>
      <w:r w:rsidRPr="001A3848">
        <w:rPr>
          <w:rFonts w:asciiTheme="minorBidi" w:hAnsiTheme="minorBidi"/>
          <w:i/>
          <w:iCs/>
          <w:sz w:val="22"/>
          <w:szCs w:val="22"/>
        </w:rPr>
        <w:t>The Evolution of American Educational Technology.</w:t>
      </w:r>
      <w:r w:rsidRPr="001A3848">
        <w:rPr>
          <w:rFonts w:asciiTheme="minorBidi" w:hAnsiTheme="minorBidi"/>
          <w:sz w:val="22"/>
          <w:szCs w:val="22"/>
        </w:rPr>
        <w:t xml:space="preserve"> Greenwich, CT: Information Age Publishing.</w:t>
      </w:r>
    </w:p>
    <w:p w14:paraId="045F15D0" w14:textId="77777777" w:rsidR="00B65461" w:rsidRDefault="00B65461" w:rsidP="00B65461">
      <w:pPr>
        <w:spacing w:line="360" w:lineRule="auto"/>
        <w:jc w:val="both"/>
        <w:rPr>
          <w:rFonts w:asciiTheme="minorBidi" w:hAnsiTheme="minorBidi"/>
          <w:sz w:val="22"/>
          <w:szCs w:val="22"/>
        </w:rPr>
      </w:pPr>
      <w:r w:rsidRPr="001A3848">
        <w:rPr>
          <w:rFonts w:asciiTheme="minorBidi" w:hAnsiTheme="minorBidi"/>
          <w:sz w:val="22"/>
          <w:szCs w:val="22"/>
        </w:rPr>
        <w:t xml:space="preserve">Suppes, P., &amp; Atkinson, R. C. (1967). </w:t>
      </w:r>
      <w:r w:rsidRPr="001A3848">
        <w:rPr>
          <w:rFonts w:asciiTheme="minorBidi" w:hAnsiTheme="minorBidi"/>
          <w:i/>
          <w:iCs/>
          <w:sz w:val="22"/>
          <w:szCs w:val="22"/>
        </w:rPr>
        <w:t>Computer-Assisted Instruction: Methods and Developments.</w:t>
      </w:r>
      <w:r w:rsidRPr="001A3848">
        <w:rPr>
          <w:rFonts w:asciiTheme="minorBidi" w:hAnsiTheme="minorBidi"/>
          <w:sz w:val="22"/>
          <w:szCs w:val="22"/>
        </w:rPr>
        <w:t xml:space="preserve"> New York, NY: Academic Press.</w:t>
      </w:r>
    </w:p>
    <w:p w14:paraId="4ED48BE0" w14:textId="77777777" w:rsidR="00B65461" w:rsidRPr="00B637E9" w:rsidRDefault="00B65461" w:rsidP="00B65461">
      <w:pPr>
        <w:spacing w:line="360" w:lineRule="auto"/>
        <w:jc w:val="both"/>
        <w:rPr>
          <w:rFonts w:asciiTheme="minorBidi" w:hAnsiTheme="minorBidi"/>
          <w:sz w:val="22"/>
          <w:szCs w:val="22"/>
        </w:rPr>
      </w:pPr>
      <w:r w:rsidRPr="00B637E9">
        <w:rPr>
          <w:rFonts w:asciiTheme="minorBidi" w:hAnsiTheme="minorBidi"/>
          <w:sz w:val="22"/>
          <w:szCs w:val="22"/>
        </w:rPr>
        <w:t xml:space="preserve">Clark, R. E. (1983). Reconsidering research on learning from media. </w:t>
      </w:r>
      <w:r w:rsidRPr="00B637E9">
        <w:rPr>
          <w:rFonts w:asciiTheme="minorBidi" w:hAnsiTheme="minorBidi"/>
          <w:i/>
          <w:iCs/>
          <w:sz w:val="22"/>
          <w:szCs w:val="22"/>
        </w:rPr>
        <w:t>Review of Educational Research, 53</w:t>
      </w:r>
      <w:r w:rsidRPr="00B637E9">
        <w:rPr>
          <w:rFonts w:asciiTheme="minorBidi" w:hAnsiTheme="minorBidi"/>
          <w:sz w:val="22"/>
          <w:szCs w:val="22"/>
        </w:rPr>
        <w:t>(4), 445–459.</w:t>
      </w:r>
    </w:p>
    <w:p w14:paraId="4B06FCDF" w14:textId="77777777" w:rsidR="00B65461" w:rsidRPr="00B637E9" w:rsidRDefault="00B65461" w:rsidP="00B65461">
      <w:pPr>
        <w:spacing w:line="360" w:lineRule="auto"/>
        <w:jc w:val="both"/>
        <w:rPr>
          <w:rFonts w:asciiTheme="minorBidi" w:hAnsiTheme="minorBidi"/>
          <w:sz w:val="22"/>
          <w:szCs w:val="22"/>
        </w:rPr>
      </w:pPr>
      <w:r w:rsidRPr="00B637E9">
        <w:rPr>
          <w:rFonts w:asciiTheme="minorBidi" w:hAnsiTheme="minorBidi"/>
          <w:sz w:val="22"/>
          <w:szCs w:val="22"/>
        </w:rPr>
        <w:t xml:space="preserve">Jonassen, D. H. (1991). Objectivism versus constructivism: Do we need a new philosophical paradigm? </w:t>
      </w:r>
      <w:r w:rsidRPr="00B637E9">
        <w:rPr>
          <w:rFonts w:asciiTheme="minorBidi" w:hAnsiTheme="minorBidi"/>
          <w:i/>
          <w:iCs/>
          <w:sz w:val="22"/>
          <w:szCs w:val="22"/>
        </w:rPr>
        <w:t>Educational Technology Research and Development, 39</w:t>
      </w:r>
      <w:r w:rsidRPr="00B637E9">
        <w:rPr>
          <w:rFonts w:asciiTheme="minorBidi" w:hAnsiTheme="minorBidi"/>
          <w:sz w:val="22"/>
          <w:szCs w:val="22"/>
        </w:rPr>
        <w:t>(3), 5–14.</w:t>
      </w:r>
    </w:p>
    <w:p w14:paraId="661FD173" w14:textId="77777777" w:rsidR="00B65461" w:rsidRPr="00B637E9" w:rsidRDefault="00B65461" w:rsidP="00B65461">
      <w:pPr>
        <w:spacing w:line="360" w:lineRule="auto"/>
        <w:jc w:val="both"/>
        <w:rPr>
          <w:rFonts w:asciiTheme="minorBidi" w:hAnsiTheme="minorBidi"/>
          <w:sz w:val="22"/>
          <w:szCs w:val="22"/>
        </w:rPr>
      </w:pPr>
      <w:r w:rsidRPr="00B637E9">
        <w:rPr>
          <w:rFonts w:asciiTheme="minorBidi" w:hAnsiTheme="minorBidi"/>
          <w:sz w:val="22"/>
          <w:szCs w:val="22"/>
        </w:rPr>
        <w:t xml:space="preserve">Nielsen, J. (1990). </w:t>
      </w:r>
      <w:r w:rsidRPr="00B637E9">
        <w:rPr>
          <w:rFonts w:asciiTheme="minorBidi" w:hAnsiTheme="minorBidi"/>
          <w:i/>
          <w:iCs/>
          <w:sz w:val="22"/>
          <w:szCs w:val="22"/>
        </w:rPr>
        <w:t>Hypertext and Hypermedia.</w:t>
      </w:r>
      <w:r w:rsidRPr="00B637E9">
        <w:rPr>
          <w:rFonts w:asciiTheme="minorBidi" w:hAnsiTheme="minorBidi"/>
          <w:sz w:val="22"/>
          <w:szCs w:val="22"/>
        </w:rPr>
        <w:t xml:space="preserve"> San Diego, CA: Academic Press.</w:t>
      </w:r>
    </w:p>
    <w:p w14:paraId="6DB30BD5" w14:textId="77777777" w:rsidR="00B65461" w:rsidRPr="00B637E9" w:rsidRDefault="00B65461" w:rsidP="00B65461">
      <w:pPr>
        <w:spacing w:line="360" w:lineRule="auto"/>
        <w:jc w:val="both"/>
        <w:rPr>
          <w:rFonts w:asciiTheme="minorBidi" w:hAnsiTheme="minorBidi"/>
          <w:sz w:val="22"/>
          <w:szCs w:val="22"/>
        </w:rPr>
      </w:pPr>
      <w:r w:rsidRPr="00B637E9">
        <w:rPr>
          <w:rFonts w:asciiTheme="minorBidi" w:hAnsiTheme="minorBidi"/>
          <w:sz w:val="22"/>
          <w:szCs w:val="22"/>
        </w:rPr>
        <w:t xml:space="preserve">Papert, S. (1980). </w:t>
      </w:r>
      <w:r w:rsidRPr="00B637E9">
        <w:rPr>
          <w:rFonts w:asciiTheme="minorBidi" w:hAnsiTheme="minorBidi"/>
          <w:i/>
          <w:iCs/>
          <w:sz w:val="22"/>
          <w:szCs w:val="22"/>
        </w:rPr>
        <w:t>Mindstorms: Children, Computers, and Powerful Ideas.</w:t>
      </w:r>
      <w:r w:rsidRPr="00B637E9">
        <w:rPr>
          <w:rFonts w:asciiTheme="minorBidi" w:hAnsiTheme="minorBidi"/>
          <w:sz w:val="22"/>
          <w:szCs w:val="22"/>
        </w:rPr>
        <w:t xml:space="preserve"> New York, NY: Basic Books.</w:t>
      </w:r>
    </w:p>
    <w:p w14:paraId="08D9C92B" w14:textId="77777777" w:rsidR="00B65461" w:rsidRPr="00B637E9" w:rsidRDefault="00B65461" w:rsidP="00B65461">
      <w:pPr>
        <w:spacing w:line="360" w:lineRule="auto"/>
        <w:jc w:val="both"/>
        <w:rPr>
          <w:rFonts w:asciiTheme="minorBidi" w:hAnsiTheme="minorBidi"/>
          <w:sz w:val="22"/>
          <w:szCs w:val="22"/>
        </w:rPr>
      </w:pPr>
      <w:r w:rsidRPr="00B637E9">
        <w:rPr>
          <w:rFonts w:asciiTheme="minorBidi" w:hAnsiTheme="minorBidi"/>
          <w:sz w:val="22"/>
          <w:szCs w:val="22"/>
        </w:rPr>
        <w:lastRenderedPageBreak/>
        <w:t xml:space="preserve">Molenda, M. (2008). </w:t>
      </w:r>
      <w:r w:rsidRPr="00B637E9">
        <w:rPr>
          <w:rFonts w:asciiTheme="minorBidi" w:hAnsiTheme="minorBidi"/>
          <w:i/>
          <w:iCs/>
          <w:sz w:val="22"/>
          <w:szCs w:val="22"/>
        </w:rPr>
        <w:t>The history of instructional technology.</w:t>
      </w:r>
      <w:r w:rsidRPr="00B637E9">
        <w:rPr>
          <w:rFonts w:asciiTheme="minorBidi" w:hAnsiTheme="minorBidi"/>
          <w:sz w:val="22"/>
          <w:szCs w:val="22"/>
        </w:rPr>
        <w:t xml:space="preserve"> In A. Januszewski &amp; M. Molenda (Eds.), </w:t>
      </w:r>
      <w:r w:rsidRPr="00B637E9">
        <w:rPr>
          <w:rFonts w:asciiTheme="minorBidi" w:hAnsiTheme="minorBidi"/>
          <w:b/>
          <w:bCs/>
          <w:sz w:val="22"/>
          <w:szCs w:val="22"/>
        </w:rPr>
        <w:t>Educational Technology: A Definition with Commentary</w:t>
      </w:r>
      <w:r w:rsidRPr="00B637E9">
        <w:rPr>
          <w:rFonts w:asciiTheme="minorBidi" w:hAnsiTheme="minorBidi"/>
          <w:sz w:val="22"/>
          <w:szCs w:val="22"/>
        </w:rPr>
        <w:t xml:space="preserve"> (pp. 3–20). New York, NY: Lawrence Erlbaum Associates.</w:t>
      </w:r>
    </w:p>
    <w:p w14:paraId="2607218F" w14:textId="77777777" w:rsidR="00B65461" w:rsidRPr="00B637E9" w:rsidRDefault="00B65461" w:rsidP="00B65461">
      <w:pPr>
        <w:spacing w:line="360" w:lineRule="auto"/>
        <w:jc w:val="both"/>
        <w:rPr>
          <w:rFonts w:asciiTheme="minorBidi" w:hAnsiTheme="minorBidi"/>
          <w:sz w:val="22"/>
          <w:szCs w:val="22"/>
        </w:rPr>
      </w:pPr>
      <w:r w:rsidRPr="00B637E9">
        <w:rPr>
          <w:rFonts w:asciiTheme="minorBidi" w:hAnsiTheme="minorBidi"/>
          <w:sz w:val="22"/>
          <w:szCs w:val="22"/>
        </w:rPr>
        <w:t xml:space="preserve">Nielsen, J. (1990). </w:t>
      </w:r>
      <w:r w:rsidRPr="00B637E9">
        <w:rPr>
          <w:rFonts w:asciiTheme="minorBidi" w:hAnsiTheme="minorBidi"/>
          <w:i/>
          <w:iCs/>
          <w:sz w:val="22"/>
          <w:szCs w:val="22"/>
        </w:rPr>
        <w:t>Hypertext and Hypermedia.</w:t>
      </w:r>
      <w:r w:rsidRPr="00B637E9">
        <w:rPr>
          <w:rFonts w:asciiTheme="minorBidi" w:hAnsiTheme="minorBidi"/>
          <w:sz w:val="22"/>
          <w:szCs w:val="22"/>
        </w:rPr>
        <w:t xml:space="preserve"> San Diego, CA: Academic Press.</w:t>
      </w:r>
    </w:p>
    <w:p w14:paraId="7A9F217E" w14:textId="77777777" w:rsidR="00B65461" w:rsidRPr="00B637E9" w:rsidRDefault="00B65461" w:rsidP="00B65461">
      <w:pPr>
        <w:spacing w:line="360" w:lineRule="auto"/>
        <w:jc w:val="both"/>
        <w:rPr>
          <w:rFonts w:asciiTheme="minorBidi" w:hAnsiTheme="minorBidi"/>
          <w:sz w:val="22"/>
          <w:szCs w:val="22"/>
        </w:rPr>
      </w:pPr>
      <w:r w:rsidRPr="00B637E9">
        <w:rPr>
          <w:rFonts w:asciiTheme="minorBidi" w:hAnsiTheme="minorBidi"/>
          <w:sz w:val="22"/>
          <w:szCs w:val="22"/>
        </w:rPr>
        <w:t xml:space="preserve">Papert, S. (1980). </w:t>
      </w:r>
      <w:r w:rsidRPr="00B637E9">
        <w:rPr>
          <w:rFonts w:asciiTheme="minorBidi" w:hAnsiTheme="minorBidi"/>
          <w:i/>
          <w:iCs/>
          <w:sz w:val="22"/>
          <w:szCs w:val="22"/>
        </w:rPr>
        <w:t>Mindstorms: Children, Computers, and Powerful Ideas.</w:t>
      </w:r>
      <w:r w:rsidRPr="00B637E9">
        <w:rPr>
          <w:rFonts w:asciiTheme="minorBidi" w:hAnsiTheme="minorBidi"/>
          <w:sz w:val="22"/>
          <w:szCs w:val="22"/>
        </w:rPr>
        <w:t xml:space="preserve"> New York, NY: Basic Books.</w:t>
      </w:r>
    </w:p>
    <w:p w14:paraId="15F9658F" w14:textId="77777777" w:rsidR="00444A3B" w:rsidRDefault="00B65461" w:rsidP="00444A3B">
      <w:pPr>
        <w:spacing w:line="360" w:lineRule="auto"/>
        <w:jc w:val="both"/>
        <w:rPr>
          <w:rFonts w:asciiTheme="minorBidi" w:hAnsiTheme="minorBidi"/>
          <w:sz w:val="22"/>
          <w:szCs w:val="22"/>
        </w:rPr>
      </w:pPr>
      <w:r w:rsidRPr="00B637E9">
        <w:rPr>
          <w:rFonts w:asciiTheme="minorBidi" w:hAnsiTheme="minorBidi"/>
          <w:sz w:val="22"/>
          <w:szCs w:val="22"/>
        </w:rPr>
        <w:t xml:space="preserve">Saettler, P. (2004). </w:t>
      </w:r>
      <w:r w:rsidRPr="00B637E9">
        <w:rPr>
          <w:rFonts w:asciiTheme="minorBidi" w:hAnsiTheme="minorBidi"/>
          <w:i/>
          <w:iCs/>
          <w:sz w:val="22"/>
          <w:szCs w:val="22"/>
        </w:rPr>
        <w:t>The Evolution of American Educational Technology.</w:t>
      </w:r>
      <w:r w:rsidRPr="00B637E9">
        <w:rPr>
          <w:rFonts w:asciiTheme="minorBidi" w:hAnsiTheme="minorBidi"/>
          <w:sz w:val="22"/>
          <w:szCs w:val="22"/>
        </w:rPr>
        <w:t xml:space="preserve"> Greenwich, CT: Information Age Publishing.</w:t>
      </w:r>
    </w:p>
    <w:p w14:paraId="3ED6E43E" w14:textId="5EE518E8" w:rsidR="0053773B" w:rsidRPr="0053773B" w:rsidRDefault="0053773B" w:rsidP="00444A3B">
      <w:pPr>
        <w:spacing w:line="360" w:lineRule="auto"/>
        <w:jc w:val="both"/>
        <w:rPr>
          <w:rFonts w:asciiTheme="minorBidi" w:hAnsiTheme="minorBidi"/>
          <w:sz w:val="22"/>
          <w:szCs w:val="22"/>
        </w:rPr>
      </w:pPr>
      <w:r w:rsidRPr="0053773B">
        <w:rPr>
          <w:rFonts w:asciiTheme="minorBidi" w:hAnsiTheme="minorBidi"/>
          <w:sz w:val="22"/>
          <w:szCs w:val="22"/>
        </w:rPr>
        <w:t xml:space="preserve">  Dhawan, S. (2020). </w:t>
      </w:r>
      <w:r w:rsidRPr="0053773B">
        <w:rPr>
          <w:rFonts w:asciiTheme="minorBidi" w:hAnsiTheme="minorBidi"/>
          <w:i/>
          <w:iCs/>
          <w:sz w:val="22"/>
          <w:szCs w:val="22"/>
        </w:rPr>
        <w:t>Online learning: A panacea in the time of COVID-19 crisis</w:t>
      </w:r>
      <w:r w:rsidRPr="0053773B">
        <w:rPr>
          <w:rFonts w:asciiTheme="minorBidi" w:hAnsiTheme="minorBidi"/>
          <w:sz w:val="22"/>
          <w:szCs w:val="22"/>
        </w:rPr>
        <w:t>. Journal of Educational Technology Systems, 49(1), 5–22.</w:t>
      </w:r>
    </w:p>
    <w:p w14:paraId="54FEF43E" w14:textId="70A8C4E5" w:rsidR="0053773B" w:rsidRPr="0053773B" w:rsidRDefault="0053773B" w:rsidP="0053773B">
      <w:pPr>
        <w:spacing w:line="360" w:lineRule="auto"/>
        <w:jc w:val="both"/>
        <w:rPr>
          <w:rFonts w:asciiTheme="minorBidi" w:hAnsiTheme="minorBidi"/>
          <w:sz w:val="22"/>
          <w:szCs w:val="22"/>
        </w:rPr>
      </w:pPr>
      <w:r w:rsidRPr="0053773B">
        <w:rPr>
          <w:rFonts w:asciiTheme="minorBidi" w:hAnsiTheme="minorBidi"/>
          <w:sz w:val="22"/>
          <w:szCs w:val="22"/>
        </w:rPr>
        <w:t xml:space="preserve"> Laurillard, D. (2012). </w:t>
      </w:r>
      <w:r w:rsidRPr="0053773B">
        <w:rPr>
          <w:rFonts w:asciiTheme="minorBidi" w:hAnsiTheme="minorBidi"/>
          <w:i/>
          <w:iCs/>
          <w:sz w:val="22"/>
          <w:szCs w:val="22"/>
        </w:rPr>
        <w:t>Teaching as a design science: Building pedagogical patterns for learning and technology</w:t>
      </w:r>
      <w:r w:rsidRPr="0053773B">
        <w:rPr>
          <w:rFonts w:asciiTheme="minorBidi" w:hAnsiTheme="minorBidi"/>
          <w:sz w:val="22"/>
          <w:szCs w:val="22"/>
        </w:rPr>
        <w:t>. Routledge.</w:t>
      </w:r>
    </w:p>
    <w:p w14:paraId="3CA476E8" w14:textId="0181EF35" w:rsidR="0053773B" w:rsidRDefault="0053773B" w:rsidP="00444A3B">
      <w:pPr>
        <w:spacing w:line="360" w:lineRule="auto"/>
        <w:jc w:val="both"/>
        <w:rPr>
          <w:rFonts w:asciiTheme="minorBidi" w:hAnsiTheme="minorBidi"/>
          <w:sz w:val="22"/>
          <w:szCs w:val="22"/>
        </w:rPr>
      </w:pPr>
      <w:r w:rsidRPr="0053773B">
        <w:rPr>
          <w:rFonts w:asciiTheme="minorBidi" w:hAnsiTheme="minorBidi"/>
          <w:sz w:val="22"/>
          <w:szCs w:val="22"/>
        </w:rPr>
        <w:t xml:space="preserve"> Means, B., Toyama, Y., Murphy, R., &amp; Baki, M. (2014). </w:t>
      </w:r>
      <w:r w:rsidRPr="0053773B">
        <w:rPr>
          <w:rFonts w:asciiTheme="minorBidi" w:hAnsiTheme="minorBidi"/>
          <w:i/>
          <w:iCs/>
          <w:sz w:val="22"/>
          <w:szCs w:val="22"/>
        </w:rPr>
        <w:t>The effectiveness of online and blended learning: A meta-analysis of the empirical literature</w:t>
      </w:r>
      <w:r w:rsidRPr="0053773B">
        <w:rPr>
          <w:rFonts w:asciiTheme="minorBidi" w:hAnsiTheme="minorBidi"/>
          <w:sz w:val="22"/>
          <w:szCs w:val="22"/>
        </w:rPr>
        <w:t xml:space="preserve">. Teachers College Record, 115(3), 1–47.  OECD. (2021). </w:t>
      </w:r>
      <w:r w:rsidRPr="0053773B">
        <w:rPr>
          <w:rFonts w:asciiTheme="minorBidi" w:hAnsiTheme="minorBidi"/>
          <w:i/>
          <w:iCs/>
          <w:sz w:val="22"/>
          <w:szCs w:val="22"/>
        </w:rPr>
        <w:t>Teachers’ professional learning: Global trends, challenges and opportunities</w:t>
      </w:r>
      <w:r w:rsidRPr="0053773B">
        <w:rPr>
          <w:rFonts w:asciiTheme="minorBidi" w:hAnsiTheme="minorBidi"/>
          <w:sz w:val="22"/>
          <w:szCs w:val="22"/>
        </w:rPr>
        <w:t>. OECD Publishing.</w:t>
      </w:r>
    </w:p>
    <w:p w14:paraId="0B935E11" w14:textId="68BF3BB0" w:rsidR="009F3791" w:rsidRPr="009F3791" w:rsidRDefault="009F3791" w:rsidP="009F3791">
      <w:pPr>
        <w:spacing w:line="360" w:lineRule="auto"/>
        <w:jc w:val="both"/>
        <w:rPr>
          <w:rFonts w:asciiTheme="minorBidi" w:hAnsiTheme="minorBidi"/>
          <w:sz w:val="22"/>
          <w:szCs w:val="22"/>
        </w:rPr>
      </w:pPr>
      <w:r w:rsidRPr="009F3791">
        <w:rPr>
          <w:rFonts w:asciiTheme="minorBidi" w:hAnsiTheme="minorBidi"/>
          <w:sz w:val="22"/>
          <w:szCs w:val="22"/>
        </w:rPr>
        <w:t xml:space="preserve"> Dede, C., Ketelhut, D. J., Whitehouse, P., Breit, L., &amp; McCloskey, E. M. (2009). </w:t>
      </w:r>
      <w:r w:rsidRPr="009F3791">
        <w:rPr>
          <w:rFonts w:asciiTheme="minorBidi" w:hAnsiTheme="minorBidi"/>
          <w:i/>
          <w:iCs/>
          <w:sz w:val="22"/>
          <w:szCs w:val="22"/>
        </w:rPr>
        <w:t>A research agenda for online teacher professional development</w:t>
      </w:r>
      <w:r w:rsidRPr="009F3791">
        <w:rPr>
          <w:rFonts w:asciiTheme="minorBidi" w:hAnsiTheme="minorBidi"/>
          <w:sz w:val="22"/>
          <w:szCs w:val="22"/>
        </w:rPr>
        <w:t>. Journal of Teacher Education, 60(1), 8–19.</w:t>
      </w:r>
    </w:p>
    <w:p w14:paraId="2F8C6AAC" w14:textId="5ABDE74F" w:rsidR="009F3791" w:rsidRPr="009F3791" w:rsidRDefault="009F3791" w:rsidP="009F3791">
      <w:pPr>
        <w:spacing w:line="360" w:lineRule="auto"/>
        <w:jc w:val="both"/>
        <w:rPr>
          <w:rFonts w:asciiTheme="minorBidi" w:hAnsiTheme="minorBidi"/>
          <w:sz w:val="22"/>
          <w:szCs w:val="22"/>
        </w:rPr>
      </w:pPr>
      <w:r w:rsidRPr="009F3791">
        <w:rPr>
          <w:rFonts w:asciiTheme="minorBidi" w:hAnsiTheme="minorBidi"/>
          <w:sz w:val="22"/>
          <w:szCs w:val="22"/>
        </w:rPr>
        <w:t xml:space="preserve">Means, B., Toyama, Y., Murphy, R., &amp; Baki, M. (2014). </w:t>
      </w:r>
      <w:r w:rsidRPr="009F3791">
        <w:rPr>
          <w:rFonts w:asciiTheme="minorBidi" w:hAnsiTheme="minorBidi"/>
          <w:i/>
          <w:iCs/>
          <w:sz w:val="22"/>
          <w:szCs w:val="22"/>
        </w:rPr>
        <w:t>The effectiveness of online and blended learning: A meta-analysis of the empirical literature</w:t>
      </w:r>
      <w:r w:rsidRPr="009F3791">
        <w:rPr>
          <w:rFonts w:asciiTheme="minorBidi" w:hAnsiTheme="minorBidi"/>
          <w:sz w:val="22"/>
          <w:szCs w:val="22"/>
        </w:rPr>
        <w:t>. Teachers College Record, 115(3), 1–47.</w:t>
      </w:r>
    </w:p>
    <w:p w14:paraId="38E520AD" w14:textId="09864304" w:rsidR="009F3791" w:rsidRPr="009F3791" w:rsidRDefault="009F3791" w:rsidP="009F3791">
      <w:pPr>
        <w:spacing w:line="360" w:lineRule="auto"/>
        <w:jc w:val="both"/>
        <w:rPr>
          <w:rFonts w:asciiTheme="minorBidi" w:hAnsiTheme="minorBidi"/>
          <w:sz w:val="22"/>
          <w:szCs w:val="22"/>
        </w:rPr>
      </w:pPr>
      <w:r w:rsidRPr="009F3791">
        <w:rPr>
          <w:rFonts w:asciiTheme="minorBidi" w:hAnsiTheme="minorBidi"/>
          <w:sz w:val="22"/>
          <w:szCs w:val="22"/>
        </w:rPr>
        <w:t xml:space="preserve"> OECD. (2021). </w:t>
      </w:r>
      <w:r w:rsidRPr="009F3791">
        <w:rPr>
          <w:rFonts w:asciiTheme="minorBidi" w:hAnsiTheme="minorBidi"/>
          <w:i/>
          <w:iCs/>
          <w:sz w:val="22"/>
          <w:szCs w:val="22"/>
        </w:rPr>
        <w:t>Teachers’ professional learning: Global trends, challenges and opportunities</w:t>
      </w:r>
      <w:r w:rsidRPr="009F3791">
        <w:rPr>
          <w:rFonts w:asciiTheme="minorBidi" w:hAnsiTheme="minorBidi"/>
          <w:sz w:val="22"/>
          <w:szCs w:val="22"/>
        </w:rPr>
        <w:t>. OECD Publishing.</w:t>
      </w:r>
    </w:p>
    <w:p w14:paraId="49235EAB" w14:textId="3757CF6E" w:rsidR="009F3791" w:rsidRDefault="009F3791" w:rsidP="009F3791">
      <w:pPr>
        <w:spacing w:line="360" w:lineRule="auto"/>
        <w:jc w:val="both"/>
        <w:rPr>
          <w:rFonts w:asciiTheme="minorBidi" w:hAnsiTheme="minorBidi"/>
          <w:sz w:val="22"/>
          <w:szCs w:val="22"/>
        </w:rPr>
      </w:pPr>
      <w:r w:rsidRPr="009F3791">
        <w:rPr>
          <w:rFonts w:asciiTheme="minorBidi" w:hAnsiTheme="minorBidi"/>
          <w:sz w:val="22"/>
          <w:szCs w:val="22"/>
        </w:rPr>
        <w:t xml:space="preserve">Trust, T., Krutka, S., &amp; Carpenter, J. P. (2017). </w:t>
      </w:r>
      <w:r w:rsidRPr="009F3791">
        <w:rPr>
          <w:rFonts w:asciiTheme="minorBidi" w:hAnsiTheme="minorBidi"/>
          <w:i/>
          <w:iCs/>
          <w:sz w:val="22"/>
          <w:szCs w:val="22"/>
        </w:rPr>
        <w:t>Together we are better: Professional learning networks for teachers</w:t>
      </w:r>
      <w:r w:rsidRPr="009F3791">
        <w:rPr>
          <w:rFonts w:asciiTheme="minorBidi" w:hAnsiTheme="minorBidi"/>
          <w:sz w:val="22"/>
          <w:szCs w:val="22"/>
        </w:rPr>
        <w:t>. Computers &amp; Education, 102, 15–34.</w:t>
      </w:r>
    </w:p>
    <w:p w14:paraId="2F8346B5" w14:textId="77777777" w:rsidR="00444A3B" w:rsidRDefault="00444A3B" w:rsidP="009F3791">
      <w:pPr>
        <w:spacing w:line="360" w:lineRule="auto"/>
        <w:jc w:val="both"/>
        <w:rPr>
          <w:rFonts w:asciiTheme="minorBidi" w:hAnsiTheme="minorBidi"/>
          <w:sz w:val="22"/>
          <w:szCs w:val="22"/>
        </w:rPr>
      </w:pPr>
    </w:p>
    <w:p w14:paraId="3BD1BDA1" w14:textId="3BB77C29" w:rsidR="00444A3B" w:rsidRPr="00444A3B" w:rsidRDefault="00444A3B" w:rsidP="00444A3B">
      <w:pPr>
        <w:spacing w:line="360" w:lineRule="auto"/>
        <w:jc w:val="both"/>
        <w:rPr>
          <w:rFonts w:asciiTheme="minorBidi" w:hAnsiTheme="minorBidi"/>
          <w:sz w:val="22"/>
          <w:szCs w:val="22"/>
        </w:rPr>
      </w:pPr>
      <w:r w:rsidRPr="00444A3B">
        <w:rPr>
          <w:rFonts w:asciiTheme="minorBidi" w:hAnsiTheme="minorBidi"/>
          <w:sz w:val="22"/>
          <w:szCs w:val="22"/>
        </w:rPr>
        <w:t xml:space="preserve">Gunawardena, K. S. L. L., Jayatissa, L. P., &amp; Fernando, S. (2019). Factors influencing the intention to use e-learning among undergraduates in Sri Lankan universities. </w:t>
      </w:r>
      <w:r w:rsidRPr="00444A3B">
        <w:rPr>
          <w:rFonts w:asciiTheme="minorBidi" w:hAnsiTheme="minorBidi"/>
          <w:i/>
          <w:iCs/>
          <w:sz w:val="22"/>
          <w:szCs w:val="22"/>
        </w:rPr>
        <w:t>Asian Association of Open Universities Journal</w:t>
      </w:r>
      <w:r w:rsidRPr="00444A3B">
        <w:rPr>
          <w:rFonts w:asciiTheme="minorBidi" w:hAnsiTheme="minorBidi"/>
          <w:sz w:val="22"/>
          <w:szCs w:val="22"/>
        </w:rPr>
        <w:t>, 14(2), 159–173.</w:t>
      </w:r>
    </w:p>
    <w:p w14:paraId="7864905E" w14:textId="64B84439" w:rsidR="00444A3B" w:rsidRPr="00444A3B" w:rsidRDefault="00444A3B" w:rsidP="00444A3B">
      <w:pPr>
        <w:spacing w:line="360" w:lineRule="auto"/>
        <w:jc w:val="both"/>
        <w:rPr>
          <w:rFonts w:asciiTheme="minorBidi" w:hAnsiTheme="minorBidi"/>
          <w:sz w:val="22"/>
          <w:szCs w:val="22"/>
        </w:rPr>
      </w:pPr>
      <w:r w:rsidRPr="00444A3B">
        <w:rPr>
          <w:rFonts w:asciiTheme="minorBidi" w:hAnsiTheme="minorBidi"/>
          <w:sz w:val="22"/>
          <w:szCs w:val="22"/>
        </w:rPr>
        <w:lastRenderedPageBreak/>
        <w:t xml:space="preserve">Karunanayaka, S. P., &amp; Naidu, S. (2020). Professional development of teachers using technology-enhanced learning environments in Sri Lanka. </w:t>
      </w:r>
      <w:r w:rsidRPr="00444A3B">
        <w:rPr>
          <w:rFonts w:asciiTheme="minorBidi" w:hAnsiTheme="minorBidi"/>
          <w:i/>
          <w:iCs/>
          <w:sz w:val="22"/>
          <w:szCs w:val="22"/>
        </w:rPr>
        <w:t>Open Learning: The Journal of Open, Distance and e-Learning</w:t>
      </w:r>
      <w:r w:rsidRPr="00444A3B">
        <w:rPr>
          <w:rFonts w:asciiTheme="minorBidi" w:hAnsiTheme="minorBidi"/>
          <w:sz w:val="22"/>
          <w:szCs w:val="22"/>
        </w:rPr>
        <w:t>, 35(2), 166–181.</w:t>
      </w:r>
    </w:p>
    <w:p w14:paraId="45035FE8" w14:textId="29CFDE80" w:rsidR="00444A3B" w:rsidRPr="00444A3B" w:rsidRDefault="00444A3B" w:rsidP="00444A3B">
      <w:pPr>
        <w:spacing w:line="360" w:lineRule="auto"/>
        <w:jc w:val="both"/>
        <w:rPr>
          <w:rFonts w:asciiTheme="minorBidi" w:hAnsiTheme="minorBidi"/>
          <w:sz w:val="22"/>
          <w:szCs w:val="22"/>
        </w:rPr>
      </w:pPr>
      <w:r w:rsidRPr="00444A3B">
        <w:rPr>
          <w:rFonts w:asciiTheme="minorBidi" w:hAnsiTheme="minorBidi"/>
          <w:sz w:val="22"/>
          <w:szCs w:val="22"/>
        </w:rPr>
        <w:t xml:space="preserve">Wijekularathna, D. K., &amp; Gunawardana, K. D. (2021). Determinants of e-learning adoption and continued use in Sri Lankan higher education. </w:t>
      </w:r>
      <w:r w:rsidRPr="00444A3B">
        <w:rPr>
          <w:rFonts w:asciiTheme="minorBidi" w:hAnsiTheme="minorBidi"/>
          <w:i/>
          <w:iCs/>
          <w:sz w:val="22"/>
          <w:szCs w:val="22"/>
        </w:rPr>
        <w:t>Education and Information Technologies</w:t>
      </w:r>
      <w:r w:rsidRPr="00444A3B">
        <w:rPr>
          <w:rFonts w:asciiTheme="minorBidi" w:hAnsiTheme="minorBidi"/>
          <w:sz w:val="22"/>
          <w:szCs w:val="22"/>
        </w:rPr>
        <w:t>, 26, 5487–5508.</w:t>
      </w:r>
    </w:p>
    <w:p w14:paraId="57204944" w14:textId="77777777" w:rsidR="00444A3B" w:rsidRPr="009F3791" w:rsidRDefault="00444A3B" w:rsidP="009F3791">
      <w:pPr>
        <w:spacing w:line="360" w:lineRule="auto"/>
        <w:jc w:val="both"/>
        <w:rPr>
          <w:rFonts w:asciiTheme="minorBidi" w:hAnsiTheme="minorBidi"/>
          <w:sz w:val="22"/>
          <w:szCs w:val="22"/>
        </w:rPr>
      </w:pPr>
    </w:p>
    <w:p w14:paraId="7CD5C0E7" w14:textId="77777777" w:rsidR="009F3791" w:rsidRPr="0053773B" w:rsidRDefault="009F3791" w:rsidP="0053773B">
      <w:pPr>
        <w:spacing w:line="360" w:lineRule="auto"/>
        <w:jc w:val="both"/>
        <w:rPr>
          <w:rFonts w:asciiTheme="minorBidi" w:hAnsiTheme="minorBidi"/>
          <w:sz w:val="22"/>
          <w:szCs w:val="22"/>
        </w:rPr>
      </w:pPr>
    </w:p>
    <w:p w14:paraId="12ACDEE4" w14:textId="77777777" w:rsidR="0053773B" w:rsidRDefault="0053773B" w:rsidP="00B65461">
      <w:pPr>
        <w:spacing w:line="360" w:lineRule="auto"/>
        <w:jc w:val="both"/>
        <w:rPr>
          <w:rFonts w:asciiTheme="minorBidi" w:hAnsiTheme="minorBidi"/>
          <w:sz w:val="22"/>
          <w:szCs w:val="22"/>
        </w:rPr>
      </w:pPr>
    </w:p>
    <w:p w14:paraId="4DA6E453" w14:textId="13D3DF0D" w:rsidR="003E7DB0" w:rsidRPr="003A61FF" w:rsidRDefault="003E7DB0" w:rsidP="003E7DB0">
      <w:pPr>
        <w:spacing w:line="360" w:lineRule="auto"/>
        <w:jc w:val="both"/>
        <w:rPr>
          <w:rFonts w:asciiTheme="minorBidi" w:hAnsiTheme="minorBidi"/>
        </w:rPr>
      </w:pPr>
    </w:p>
    <w:p w14:paraId="16922244" w14:textId="77777777" w:rsidR="003E7DB0" w:rsidRPr="00EE037F" w:rsidRDefault="003E7DB0" w:rsidP="003E7DB0">
      <w:pPr>
        <w:spacing w:line="360" w:lineRule="auto"/>
        <w:jc w:val="both"/>
        <w:rPr>
          <w:rFonts w:asciiTheme="minorBidi" w:hAnsiTheme="minorBidi"/>
        </w:rPr>
      </w:pPr>
    </w:p>
    <w:p w14:paraId="7F394392" w14:textId="77777777" w:rsidR="003E7DB0" w:rsidRPr="00022A1D" w:rsidRDefault="003E7DB0" w:rsidP="003E7DB0">
      <w:pPr>
        <w:spacing w:line="360" w:lineRule="auto"/>
        <w:jc w:val="both"/>
        <w:rPr>
          <w:rFonts w:asciiTheme="minorBidi" w:hAnsiTheme="minorBidi"/>
        </w:rPr>
      </w:pPr>
    </w:p>
    <w:p w14:paraId="4CA57E0C" w14:textId="77777777" w:rsidR="003E7DB0" w:rsidRPr="00B637E9" w:rsidRDefault="003E7DB0" w:rsidP="00B637E9">
      <w:pPr>
        <w:spacing w:line="360" w:lineRule="auto"/>
        <w:jc w:val="both"/>
        <w:rPr>
          <w:rFonts w:asciiTheme="minorBidi" w:hAnsiTheme="minorBidi"/>
          <w:sz w:val="22"/>
          <w:szCs w:val="22"/>
        </w:rPr>
      </w:pPr>
    </w:p>
    <w:p w14:paraId="07E3BC44" w14:textId="77777777" w:rsidR="00B637E9" w:rsidRPr="001A3848" w:rsidRDefault="00B637E9" w:rsidP="001A3848">
      <w:pPr>
        <w:spacing w:line="360" w:lineRule="auto"/>
        <w:jc w:val="both"/>
        <w:rPr>
          <w:rFonts w:asciiTheme="minorBidi" w:hAnsiTheme="minorBidi"/>
          <w:sz w:val="22"/>
          <w:szCs w:val="22"/>
        </w:rPr>
      </w:pPr>
    </w:p>
    <w:p w14:paraId="48C34977" w14:textId="77777777" w:rsidR="008710F3" w:rsidRPr="00FD011D" w:rsidRDefault="008710F3" w:rsidP="00FD011D">
      <w:pPr>
        <w:spacing w:line="360" w:lineRule="auto"/>
        <w:jc w:val="both"/>
        <w:rPr>
          <w:rFonts w:asciiTheme="minorBidi" w:hAnsiTheme="minorBidi"/>
          <w:sz w:val="22"/>
          <w:szCs w:val="22"/>
        </w:rPr>
      </w:pPr>
    </w:p>
    <w:p w14:paraId="2ADC69E6" w14:textId="77777777" w:rsidR="00FD011D" w:rsidRPr="000434C5" w:rsidRDefault="00FD011D" w:rsidP="00157D47">
      <w:pPr>
        <w:spacing w:line="360" w:lineRule="auto"/>
        <w:jc w:val="both"/>
        <w:rPr>
          <w:rFonts w:asciiTheme="minorBidi" w:hAnsiTheme="minorBidi"/>
          <w:sz w:val="22"/>
          <w:szCs w:val="22"/>
        </w:rPr>
      </w:pPr>
    </w:p>
    <w:p w14:paraId="0D302DFF" w14:textId="77777777" w:rsidR="000434C5" w:rsidRPr="00670EA8" w:rsidRDefault="000434C5" w:rsidP="00670EA8">
      <w:pPr>
        <w:spacing w:line="360" w:lineRule="auto"/>
        <w:jc w:val="both"/>
        <w:rPr>
          <w:rFonts w:asciiTheme="minorBidi" w:hAnsiTheme="minorBidi"/>
          <w:sz w:val="22"/>
          <w:szCs w:val="22"/>
        </w:rPr>
      </w:pPr>
    </w:p>
    <w:p w14:paraId="2FD25584" w14:textId="77777777" w:rsidR="00670EA8" w:rsidRPr="00D2507F" w:rsidRDefault="00670EA8" w:rsidP="00D2507F">
      <w:pPr>
        <w:spacing w:line="360" w:lineRule="auto"/>
        <w:jc w:val="both"/>
        <w:rPr>
          <w:rFonts w:asciiTheme="minorBidi" w:hAnsiTheme="minorBidi"/>
          <w:sz w:val="22"/>
          <w:szCs w:val="22"/>
        </w:rPr>
      </w:pPr>
    </w:p>
    <w:p w14:paraId="2B148197" w14:textId="77777777" w:rsidR="005751CA" w:rsidRPr="00B24C71" w:rsidRDefault="005751CA" w:rsidP="00BC5E5D">
      <w:pPr>
        <w:spacing w:line="360" w:lineRule="auto"/>
        <w:jc w:val="both"/>
        <w:rPr>
          <w:rFonts w:asciiTheme="minorBidi" w:hAnsiTheme="minorBidi"/>
          <w:sz w:val="22"/>
          <w:szCs w:val="22"/>
        </w:rPr>
      </w:pPr>
    </w:p>
    <w:p w14:paraId="77E25DBC" w14:textId="77777777" w:rsidR="00B24C71" w:rsidRPr="00F924D0" w:rsidRDefault="00B24C71" w:rsidP="00BC5E5D">
      <w:pPr>
        <w:spacing w:line="360" w:lineRule="auto"/>
        <w:jc w:val="both"/>
        <w:rPr>
          <w:rFonts w:asciiTheme="minorBidi" w:hAnsiTheme="minorBidi"/>
          <w:sz w:val="22"/>
          <w:szCs w:val="22"/>
        </w:rPr>
      </w:pPr>
    </w:p>
    <w:p w14:paraId="2D983CA4" w14:textId="77777777" w:rsidR="009520E3" w:rsidRPr="00BC5E5D" w:rsidRDefault="009520E3" w:rsidP="00BC5E5D">
      <w:pPr>
        <w:spacing w:line="360" w:lineRule="auto"/>
        <w:jc w:val="both"/>
        <w:rPr>
          <w:rFonts w:asciiTheme="minorBidi" w:hAnsiTheme="minorBidi"/>
          <w:sz w:val="22"/>
          <w:szCs w:val="22"/>
        </w:rPr>
      </w:pPr>
    </w:p>
    <w:p w14:paraId="64B1D161" w14:textId="77777777" w:rsidR="004F504F" w:rsidRPr="00BC5E5D" w:rsidRDefault="004F504F" w:rsidP="00BC5E5D">
      <w:pPr>
        <w:spacing w:line="360" w:lineRule="auto"/>
        <w:jc w:val="both"/>
        <w:rPr>
          <w:rFonts w:asciiTheme="minorBidi" w:hAnsiTheme="minorBidi"/>
          <w:sz w:val="22"/>
          <w:szCs w:val="22"/>
        </w:rPr>
      </w:pPr>
    </w:p>
    <w:p w14:paraId="6D0ABEC6" w14:textId="77777777" w:rsidR="00241CE6" w:rsidRPr="00BC5E5D" w:rsidRDefault="00241CE6" w:rsidP="00BC5E5D">
      <w:pPr>
        <w:spacing w:line="360" w:lineRule="auto"/>
        <w:jc w:val="both"/>
        <w:rPr>
          <w:rFonts w:asciiTheme="minorBidi" w:hAnsiTheme="minorBidi"/>
          <w:sz w:val="22"/>
          <w:szCs w:val="22"/>
        </w:rPr>
      </w:pPr>
    </w:p>
    <w:p w14:paraId="1C0BD4EE" w14:textId="77777777" w:rsidR="003D31AD" w:rsidRPr="00BC5E5D" w:rsidRDefault="003D31AD" w:rsidP="00BC5E5D">
      <w:pPr>
        <w:spacing w:line="360" w:lineRule="auto"/>
        <w:jc w:val="both"/>
        <w:rPr>
          <w:rFonts w:asciiTheme="minorBidi" w:hAnsiTheme="minorBidi"/>
          <w:sz w:val="22"/>
          <w:szCs w:val="22"/>
        </w:rPr>
      </w:pPr>
    </w:p>
    <w:p w14:paraId="4491771D" w14:textId="77777777" w:rsidR="00B86ED9" w:rsidRPr="00BC5E5D" w:rsidRDefault="00B86ED9" w:rsidP="00BC5E5D">
      <w:pPr>
        <w:spacing w:line="360" w:lineRule="auto"/>
        <w:jc w:val="both"/>
        <w:rPr>
          <w:rFonts w:asciiTheme="minorBidi" w:hAnsiTheme="minorBidi"/>
          <w:sz w:val="22"/>
          <w:szCs w:val="22"/>
        </w:rPr>
      </w:pPr>
    </w:p>
    <w:p w14:paraId="360497A6" w14:textId="77777777" w:rsidR="0090450A" w:rsidRPr="00BC5E5D" w:rsidRDefault="0090450A" w:rsidP="00BC5E5D">
      <w:pPr>
        <w:spacing w:line="360" w:lineRule="auto"/>
        <w:jc w:val="both"/>
        <w:rPr>
          <w:rFonts w:asciiTheme="minorBidi" w:hAnsiTheme="minorBidi"/>
          <w:sz w:val="22"/>
          <w:szCs w:val="22"/>
        </w:rPr>
      </w:pPr>
    </w:p>
    <w:p w14:paraId="0600CD1E" w14:textId="77777777" w:rsidR="00450EC3" w:rsidRPr="00BC5E5D" w:rsidRDefault="00450EC3" w:rsidP="00BC5E5D">
      <w:pPr>
        <w:spacing w:line="360" w:lineRule="auto"/>
        <w:jc w:val="both"/>
        <w:rPr>
          <w:rFonts w:asciiTheme="minorBidi" w:hAnsiTheme="minorBidi"/>
          <w:sz w:val="22"/>
          <w:szCs w:val="22"/>
        </w:rPr>
      </w:pPr>
    </w:p>
    <w:p w14:paraId="573022BA" w14:textId="77777777" w:rsidR="00192921" w:rsidRPr="00BC5E5D" w:rsidRDefault="00192921" w:rsidP="00BC5E5D">
      <w:pPr>
        <w:spacing w:line="360" w:lineRule="auto"/>
        <w:jc w:val="both"/>
        <w:rPr>
          <w:rFonts w:asciiTheme="minorBidi" w:hAnsiTheme="minorBidi"/>
          <w:sz w:val="22"/>
          <w:szCs w:val="22"/>
        </w:rPr>
      </w:pPr>
    </w:p>
    <w:p w14:paraId="486DA9BB" w14:textId="77777777" w:rsidR="00192921" w:rsidRPr="00BC5E5D" w:rsidRDefault="00192921" w:rsidP="00BC5E5D">
      <w:pPr>
        <w:spacing w:line="360" w:lineRule="auto"/>
        <w:jc w:val="both"/>
        <w:rPr>
          <w:rFonts w:asciiTheme="minorBidi" w:hAnsiTheme="minorBidi"/>
          <w:sz w:val="22"/>
          <w:szCs w:val="22"/>
        </w:rPr>
      </w:pPr>
    </w:p>
    <w:p w14:paraId="39567925" w14:textId="50AA9A8F" w:rsidR="0098618B" w:rsidRPr="00BC5E5D" w:rsidRDefault="0098618B" w:rsidP="00BC5E5D">
      <w:pPr>
        <w:spacing w:line="360" w:lineRule="auto"/>
        <w:jc w:val="both"/>
        <w:rPr>
          <w:rFonts w:asciiTheme="minorBidi" w:hAnsiTheme="minorBidi"/>
          <w:b/>
          <w:bCs/>
          <w:sz w:val="22"/>
          <w:szCs w:val="22"/>
        </w:rPr>
      </w:pPr>
    </w:p>
    <w:p w14:paraId="74EB9482" w14:textId="77777777" w:rsidR="00865764" w:rsidRPr="00BC5E5D" w:rsidRDefault="00865764" w:rsidP="00BC5E5D">
      <w:pPr>
        <w:spacing w:line="360" w:lineRule="auto"/>
        <w:jc w:val="both"/>
        <w:rPr>
          <w:rFonts w:asciiTheme="minorBidi" w:hAnsiTheme="minorBidi"/>
          <w:sz w:val="22"/>
          <w:szCs w:val="22"/>
        </w:rPr>
      </w:pPr>
    </w:p>
    <w:p w14:paraId="45483127" w14:textId="77777777" w:rsidR="001308A0" w:rsidRPr="00BC5E5D" w:rsidRDefault="001308A0" w:rsidP="00BC5E5D">
      <w:pPr>
        <w:spacing w:line="360" w:lineRule="auto"/>
        <w:jc w:val="both"/>
        <w:rPr>
          <w:rFonts w:asciiTheme="minorBidi" w:hAnsiTheme="minorBidi"/>
          <w:sz w:val="22"/>
          <w:szCs w:val="22"/>
        </w:rPr>
      </w:pPr>
    </w:p>
    <w:p w14:paraId="57F30DC4" w14:textId="77777777" w:rsidR="00C82B67" w:rsidRPr="00BC5E5D" w:rsidRDefault="00C82B67" w:rsidP="00BC5E5D">
      <w:pPr>
        <w:spacing w:line="360" w:lineRule="auto"/>
        <w:jc w:val="both"/>
        <w:rPr>
          <w:rFonts w:asciiTheme="minorBidi" w:hAnsiTheme="minorBidi"/>
          <w:sz w:val="22"/>
          <w:szCs w:val="22"/>
        </w:rPr>
      </w:pPr>
    </w:p>
    <w:p w14:paraId="10376354" w14:textId="77777777" w:rsidR="0061717D" w:rsidRPr="00BC5E5D" w:rsidRDefault="0061717D" w:rsidP="00BC5E5D">
      <w:pPr>
        <w:spacing w:line="360" w:lineRule="auto"/>
        <w:jc w:val="both"/>
        <w:rPr>
          <w:rFonts w:asciiTheme="minorBidi" w:hAnsiTheme="minorBidi"/>
          <w:sz w:val="22"/>
          <w:szCs w:val="22"/>
        </w:rPr>
      </w:pPr>
    </w:p>
    <w:sectPr w:rsidR="0061717D" w:rsidRPr="00BC5E5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 w:author="Hettiarachchige, Mangala" w:date="2025-11-13T11:40:00Z" w:initials="SH">
    <w:p w14:paraId="57F6A3F7" w14:textId="77777777" w:rsidR="002C16E4" w:rsidRDefault="002C16E4" w:rsidP="002C16E4">
      <w:pPr>
        <w:pStyle w:val="CommentText"/>
      </w:pPr>
      <w:r>
        <w:rPr>
          <w:rStyle w:val="CommentReference"/>
        </w:rPr>
        <w:annotationRef/>
      </w:r>
      <w:r>
        <w:t xml:space="preserve">I am trying to address Professor Olu’s comment here why a discussion on a brief history of   eLearning is important for this research. </w:t>
      </w:r>
    </w:p>
  </w:comment>
  <w:comment w:id="17" w:author="Jones, Jenni (Prof)" w:date="2025-09-19T08:37:00Z" w:initials="JJ">
    <w:p w14:paraId="7738BEDA" w14:textId="2CD793C2" w:rsidR="003C14CB" w:rsidRDefault="000E7CDE">
      <w:r>
        <w:annotationRef/>
      </w:r>
      <w:r w:rsidRPr="43CD43D5">
        <w:t>do you have a reference for this statement?</w:t>
      </w:r>
    </w:p>
  </w:comment>
  <w:comment w:id="18" w:author="Hettiarachchige, Mangala" w:date="2025-11-24T09:09:00Z" w:initials="SH">
    <w:p w14:paraId="6529F580" w14:textId="77777777" w:rsidR="00F33988" w:rsidRDefault="00F33988" w:rsidP="00F33988">
      <w:pPr>
        <w:pStyle w:val="CommentText"/>
      </w:pPr>
      <w:r>
        <w:rPr>
          <w:rStyle w:val="CommentReference"/>
        </w:rPr>
        <w:annotationRef/>
      </w:r>
      <w:r>
        <w:t>addressed</w:t>
      </w:r>
    </w:p>
  </w:comment>
  <w:comment w:id="19" w:author="Jones, Jenni (Prof)" w:date="2025-09-19T08:55:00Z" w:initials="JJ">
    <w:p w14:paraId="6FC014CA" w14:textId="3997FE07" w:rsidR="003C14CB" w:rsidRDefault="000E7CDE">
      <w:r>
        <w:annotationRef/>
      </w:r>
      <w:r w:rsidRPr="744B0DDB">
        <w:t>I think you need a paragraph here to introduce what is coming in this section - it is a historical look at the definitions/terms used over time...</w:t>
      </w:r>
    </w:p>
  </w:comment>
  <w:comment w:id="20" w:author="Jones, Jenni (Prof)" w:date="2025-09-19T08:39:00Z" w:initials="JJ">
    <w:p w14:paraId="118577B3" w14:textId="19CF5841" w:rsidR="003C14CB" w:rsidRDefault="000E7CDE">
      <w:r>
        <w:annotationRef/>
      </w:r>
      <w:r w:rsidRPr="5C017FC2">
        <w:t>Why using this example from the US - were they first? Is this really e-learning though?</w:t>
      </w:r>
    </w:p>
  </w:comment>
  <w:comment w:id="21" w:author="Jones, Jenni (Prof)" w:date="2025-09-19T08:40:00Z" w:initials="JJ">
    <w:p w14:paraId="11A0C3BC" w14:textId="4A4E97F9" w:rsidR="003C14CB" w:rsidRDefault="000E7CDE">
      <w:r>
        <w:annotationRef/>
      </w:r>
      <w:r w:rsidRPr="56507767">
        <w:t>are you sure? Machines eg AI does learn in it's own way</w:t>
      </w:r>
    </w:p>
  </w:comment>
  <w:comment w:id="24" w:author="Shokunbi, Oluwole (Dr)" w:date="2025-09-19T08:14:00Z" w:initials="SO">
    <w:p w14:paraId="616F9149" w14:textId="3266DE51" w:rsidR="003C14CB" w:rsidRDefault="000E7CDE">
      <w:r>
        <w:annotationRef/>
      </w:r>
      <w:r w:rsidRPr="40B216B6">
        <w:t>whose systematic review?</w:t>
      </w:r>
    </w:p>
  </w:comment>
  <w:comment w:id="25" w:author="Jones, Jenni (Prof)" w:date="2025-09-19T08:43:00Z" w:initials="JJ">
    <w:p w14:paraId="6E7D629F" w14:textId="30668233" w:rsidR="003C14CB" w:rsidRDefault="000E7CDE">
      <w:r>
        <w:annotationRef/>
      </w:r>
      <w:r w:rsidRPr="65E78017">
        <w:t>is this your summary?</w:t>
      </w:r>
    </w:p>
  </w:comment>
  <w:comment w:id="28" w:author="Jones, Jenni (Prof)" w:date="2025-11-28T11:52:00Z" w:initials="JJ">
    <w:p w14:paraId="6D03623C" w14:textId="7FF7FA18" w:rsidR="00962DF5" w:rsidRDefault="00C073CC">
      <w:pPr>
        <w:pStyle w:val="CommentText"/>
      </w:pPr>
      <w:r>
        <w:rPr>
          <w:rStyle w:val="CommentReference"/>
        </w:rPr>
        <w:annotationRef/>
      </w:r>
      <w:r w:rsidRPr="0CA3FBA1">
        <w:t>I think this is helpful but needs some explanation</w:t>
      </w:r>
    </w:p>
  </w:comment>
  <w:comment w:id="33" w:author="Jones, Jenni (Prof)" w:date="2025-09-19T08:44:00Z" w:initials="JJ">
    <w:p w14:paraId="5CAA0147" w14:textId="16340523" w:rsidR="003C14CB" w:rsidRDefault="000E7CDE">
      <w:r>
        <w:annotationRef/>
      </w:r>
      <w:r w:rsidRPr="5D0CA310">
        <w:t>A good go at trying to tie them in together</w:t>
      </w:r>
    </w:p>
  </w:comment>
  <w:comment w:id="34" w:author="Jones, Jenni (Prof)" w:date="2025-09-19T08:45:00Z" w:initials="JJ">
    <w:p w14:paraId="428FF046" w14:textId="3A73B220" w:rsidR="003C14CB" w:rsidRDefault="000E7CDE">
      <w:r>
        <w:annotationRef/>
      </w:r>
      <w:r w:rsidRPr="75F43BD3">
        <w:t>This might be helpful as a teaser at the start too...</w:t>
      </w:r>
    </w:p>
  </w:comment>
  <w:comment w:id="35" w:author="Jones, Jenni (Prof)" w:date="2025-09-19T08:47:00Z" w:initials="JJ">
    <w:p w14:paraId="402ECEC9" w14:textId="05B6B0AA" w:rsidR="003C14CB" w:rsidRDefault="000E7CDE">
      <w:r>
        <w:annotationRef/>
      </w:r>
      <w:r w:rsidRPr="282BC973">
        <w:t>I like this definition - it is very clear - looks like you put the ref at the very end though and not straight after the exact quote? Try to reference as you go and then put the rest in your own words...</w:t>
      </w:r>
    </w:p>
  </w:comment>
  <w:comment w:id="36" w:author="Shokunbi, Oluwole (Dr)" w:date="2025-09-19T08:57:00Z" w:initials="SO">
    <w:p w14:paraId="31B74854" w14:textId="075D229E" w:rsidR="003C14CB" w:rsidRDefault="000E7CDE">
      <w:r>
        <w:annotationRef/>
      </w:r>
      <w:r w:rsidRPr="357A4E18">
        <w:t>I agree</w:t>
      </w:r>
    </w:p>
    <w:p w14:paraId="4797904A" w14:textId="5CE914B4" w:rsidR="003C14CB" w:rsidRDefault="003C14CB"/>
  </w:comment>
  <w:comment w:id="41" w:author="Jones, Jenni (Prof)" w:date="2025-11-28T11:53:00Z" w:initials="JJ">
    <w:p w14:paraId="1B2BDF65" w14:textId="31119737" w:rsidR="00962DF5" w:rsidRDefault="00C073CC">
      <w:pPr>
        <w:pStyle w:val="CommentText"/>
      </w:pPr>
      <w:r>
        <w:rPr>
          <w:rStyle w:val="CommentReference"/>
        </w:rPr>
        <w:annotationRef/>
      </w:r>
      <w:r w:rsidRPr="3A3B8C96">
        <w:t>did they change fundamentally after the pandemic?</w:t>
      </w:r>
    </w:p>
  </w:comment>
  <w:comment w:id="42" w:author="Jones, Jenni (Prof)" w:date="2025-09-19T08:52:00Z" w:initials="JJ">
    <w:p w14:paraId="202B7061" w14:textId="7FB14726" w:rsidR="003C14CB" w:rsidRDefault="000E7CDE">
      <w:r>
        <w:annotationRef/>
      </w:r>
      <w:r w:rsidRPr="4DDC44C0">
        <w:t>interesting angle</w:t>
      </w:r>
    </w:p>
  </w:comment>
  <w:comment w:id="43" w:author="Jones, Jenni (Prof)" w:date="2025-09-19T08:52:00Z" w:initials="JJ">
    <w:p w14:paraId="21783874" w14:textId="0A30AF7D" w:rsidR="003C14CB" w:rsidRDefault="000E7CDE">
      <w:r>
        <w:annotationRef/>
      </w:r>
      <w:r w:rsidRPr="36E7DE4B">
        <w:t>means or creates?</w:t>
      </w:r>
    </w:p>
  </w:comment>
  <w:comment w:id="47" w:author="Jones, Jenni (Prof)" w:date="2025-11-28T11:58:00Z" w:initials="JJ">
    <w:p w14:paraId="7F62BD5F" w14:textId="3D9061C9" w:rsidR="00962DF5" w:rsidRDefault="00C073CC">
      <w:pPr>
        <w:pStyle w:val="CommentText"/>
      </w:pPr>
      <w:r>
        <w:rPr>
          <w:rStyle w:val="CommentReference"/>
        </w:rPr>
        <w:annotationRef/>
      </w:r>
      <w:r w:rsidRPr="41477B3D">
        <w:t xml:space="preserve">Not enough here - you'll need the 2 schools of thought here and their associated theories eg psychological (behaviourist, cognitive, and constructivist, plus connectivism) educational eg adult learning/andragogy etc...) </w:t>
      </w:r>
    </w:p>
  </w:comment>
  <w:comment w:id="48" w:author="Hettiarachchige, Mangala" w:date="2026-01-05T11:26:00Z" w:initials="SH">
    <w:p w14:paraId="4266A040" w14:textId="77777777" w:rsidR="00FB516B" w:rsidRDefault="00FB516B" w:rsidP="00FB516B">
      <w:pPr>
        <w:pStyle w:val="CommentText"/>
      </w:pPr>
      <w:r>
        <w:rPr>
          <w:rStyle w:val="CommentReference"/>
        </w:rPr>
        <w:annotationRef/>
      </w:r>
      <w:r>
        <w:t xml:space="preserve">Addressed.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7F6A3F7" w15:done="0"/>
  <w15:commentEx w15:paraId="7738BEDA" w15:done="0"/>
  <w15:commentEx w15:paraId="6529F580" w15:paraIdParent="7738BEDA" w15:done="0"/>
  <w15:commentEx w15:paraId="6FC014CA" w15:done="0"/>
  <w15:commentEx w15:paraId="118577B3" w15:done="0"/>
  <w15:commentEx w15:paraId="11A0C3BC" w15:done="0"/>
  <w15:commentEx w15:paraId="616F9149" w15:done="0"/>
  <w15:commentEx w15:paraId="6E7D629F" w15:done="0"/>
  <w15:commentEx w15:paraId="6D03623C" w15:done="0"/>
  <w15:commentEx w15:paraId="5CAA0147" w15:done="0"/>
  <w15:commentEx w15:paraId="428FF046" w15:done="0"/>
  <w15:commentEx w15:paraId="402ECEC9" w15:done="0"/>
  <w15:commentEx w15:paraId="4797904A" w15:paraIdParent="402ECEC9" w15:done="0"/>
  <w15:commentEx w15:paraId="1B2BDF65" w15:done="0"/>
  <w15:commentEx w15:paraId="202B7061" w15:done="0"/>
  <w15:commentEx w15:paraId="21783874" w15:done="0"/>
  <w15:commentEx w15:paraId="7F62BD5F" w15:done="0"/>
  <w15:commentEx w15:paraId="4266A040" w15:paraIdParent="7F62BD5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A735832" w16cex:dateUtc="2025-11-13T11:40:00Z"/>
  <w16cex:commentExtensible w16cex:durableId="5E75D040" w16cex:dateUtc="2025-09-19T07:37:00Z"/>
  <w16cex:commentExtensible w16cex:durableId="6543D6BB" w16cex:dateUtc="2025-11-24T09:09:00Z"/>
  <w16cex:commentExtensible w16cex:durableId="7635AC07" w16cex:dateUtc="2025-09-19T07:55:00Z"/>
  <w16cex:commentExtensible w16cex:durableId="1DC58BC9" w16cex:dateUtc="2025-09-19T07:39:00Z"/>
  <w16cex:commentExtensible w16cex:durableId="749A1936" w16cex:dateUtc="2025-09-19T07:40:00Z"/>
  <w16cex:commentExtensible w16cex:durableId="7B2DFD87" w16cex:dateUtc="2025-09-19T07:14:00Z"/>
  <w16cex:commentExtensible w16cex:durableId="001F3F27" w16cex:dateUtc="2025-09-19T07:43:00Z"/>
  <w16cex:commentExtensible w16cex:durableId="31AF86D4" w16cex:dateUtc="2025-11-28T11:52:00Z"/>
  <w16cex:commentExtensible w16cex:durableId="09A0997C" w16cex:dateUtc="2025-09-19T07:44:00Z"/>
  <w16cex:commentExtensible w16cex:durableId="5EE90F94" w16cex:dateUtc="2025-09-19T07:45:00Z"/>
  <w16cex:commentExtensible w16cex:durableId="515A18F8" w16cex:dateUtc="2025-09-19T07:47:00Z"/>
  <w16cex:commentExtensible w16cex:durableId="7EDE908C" w16cex:dateUtc="2025-09-19T07:57:00Z"/>
  <w16cex:commentExtensible w16cex:durableId="39E12EC4" w16cex:dateUtc="2025-11-28T11:53:00Z"/>
  <w16cex:commentExtensible w16cex:durableId="32166A6A" w16cex:dateUtc="2025-09-19T07:52:00Z"/>
  <w16cex:commentExtensible w16cex:durableId="32EAF013" w16cex:dateUtc="2025-09-19T07:52:00Z"/>
  <w16cex:commentExtensible w16cex:durableId="207DCCA9" w16cex:dateUtc="2025-11-28T11:58:00Z"/>
  <w16cex:commentExtensible w16cex:durableId="2E2B3753" w16cex:dateUtc="2026-01-05T11: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7F6A3F7" w16cid:durableId="6A735832"/>
  <w16cid:commentId w16cid:paraId="7738BEDA" w16cid:durableId="5E75D040"/>
  <w16cid:commentId w16cid:paraId="6529F580" w16cid:durableId="6543D6BB"/>
  <w16cid:commentId w16cid:paraId="6FC014CA" w16cid:durableId="7635AC07"/>
  <w16cid:commentId w16cid:paraId="118577B3" w16cid:durableId="1DC58BC9"/>
  <w16cid:commentId w16cid:paraId="11A0C3BC" w16cid:durableId="749A1936"/>
  <w16cid:commentId w16cid:paraId="616F9149" w16cid:durableId="7B2DFD87"/>
  <w16cid:commentId w16cid:paraId="6E7D629F" w16cid:durableId="001F3F27"/>
  <w16cid:commentId w16cid:paraId="6D03623C" w16cid:durableId="31AF86D4"/>
  <w16cid:commentId w16cid:paraId="5CAA0147" w16cid:durableId="09A0997C"/>
  <w16cid:commentId w16cid:paraId="428FF046" w16cid:durableId="5EE90F94"/>
  <w16cid:commentId w16cid:paraId="402ECEC9" w16cid:durableId="515A18F8"/>
  <w16cid:commentId w16cid:paraId="4797904A" w16cid:durableId="7EDE908C"/>
  <w16cid:commentId w16cid:paraId="1B2BDF65" w16cid:durableId="39E12EC4"/>
  <w16cid:commentId w16cid:paraId="202B7061" w16cid:durableId="32166A6A"/>
  <w16cid:commentId w16cid:paraId="21783874" w16cid:durableId="32EAF013"/>
  <w16cid:commentId w16cid:paraId="7F62BD5F" w16cid:durableId="207DCCA9"/>
  <w16cid:commentId w16cid:paraId="4266A040" w16cid:durableId="2E2B37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BF87D2" w14:textId="77777777" w:rsidR="001F0C14" w:rsidRDefault="001F0C14" w:rsidP="00447808">
      <w:pPr>
        <w:spacing w:after="0" w:line="240" w:lineRule="auto"/>
      </w:pPr>
      <w:r>
        <w:separator/>
      </w:r>
    </w:p>
  </w:endnote>
  <w:endnote w:type="continuationSeparator" w:id="0">
    <w:p w14:paraId="4C959B08" w14:textId="77777777" w:rsidR="001F0C14" w:rsidRDefault="001F0C14" w:rsidP="00447808">
      <w:pPr>
        <w:spacing w:after="0" w:line="240" w:lineRule="auto"/>
      </w:pPr>
      <w:r>
        <w:continuationSeparator/>
      </w:r>
    </w:p>
  </w:endnote>
  <w:endnote w:type="continuationNotice" w:id="1">
    <w:p w14:paraId="3F6FFA5E" w14:textId="77777777" w:rsidR="001F0C14" w:rsidRDefault="001F0C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234217" w14:textId="77777777" w:rsidR="001F0C14" w:rsidRDefault="001F0C14" w:rsidP="00447808">
      <w:pPr>
        <w:spacing w:after="0" w:line="240" w:lineRule="auto"/>
      </w:pPr>
      <w:r>
        <w:separator/>
      </w:r>
    </w:p>
  </w:footnote>
  <w:footnote w:type="continuationSeparator" w:id="0">
    <w:p w14:paraId="23A083AD" w14:textId="77777777" w:rsidR="001F0C14" w:rsidRDefault="001F0C14" w:rsidP="00447808">
      <w:pPr>
        <w:spacing w:after="0" w:line="240" w:lineRule="auto"/>
      </w:pPr>
      <w:r>
        <w:continuationSeparator/>
      </w:r>
    </w:p>
  </w:footnote>
  <w:footnote w:type="continuationNotice" w:id="1">
    <w:p w14:paraId="6A997D15" w14:textId="77777777" w:rsidR="001F0C14" w:rsidRDefault="001F0C1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N6jvZ3nS/EBuH" int2:id="xZdFrOqw">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F1DA7"/>
    <w:multiLevelType w:val="multilevel"/>
    <w:tmpl w:val="6AD62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E716FF"/>
    <w:multiLevelType w:val="multilevel"/>
    <w:tmpl w:val="B23AE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B52C99"/>
    <w:multiLevelType w:val="multilevel"/>
    <w:tmpl w:val="39A4BF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D24C9E"/>
    <w:multiLevelType w:val="multilevel"/>
    <w:tmpl w:val="3BEE9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5B6454"/>
    <w:multiLevelType w:val="multilevel"/>
    <w:tmpl w:val="5F1C3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E949E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6B4A4B44"/>
    <w:multiLevelType w:val="multilevel"/>
    <w:tmpl w:val="45D20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EB627E"/>
    <w:multiLevelType w:val="multilevel"/>
    <w:tmpl w:val="74625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5E5A2C"/>
    <w:multiLevelType w:val="multilevel"/>
    <w:tmpl w:val="44F01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530FB4"/>
    <w:multiLevelType w:val="multilevel"/>
    <w:tmpl w:val="61FA1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5710282">
    <w:abstractNumId w:val="2"/>
  </w:num>
  <w:num w:numId="2" w16cid:durableId="387607153">
    <w:abstractNumId w:val="6"/>
  </w:num>
  <w:num w:numId="3" w16cid:durableId="524372370">
    <w:abstractNumId w:val="7"/>
  </w:num>
  <w:num w:numId="4" w16cid:durableId="965349670">
    <w:abstractNumId w:val="1"/>
  </w:num>
  <w:num w:numId="5" w16cid:durableId="932323546">
    <w:abstractNumId w:val="3"/>
  </w:num>
  <w:num w:numId="6" w16cid:durableId="14429057">
    <w:abstractNumId w:val="8"/>
  </w:num>
  <w:num w:numId="7" w16cid:durableId="1309557992">
    <w:abstractNumId w:val="9"/>
  </w:num>
  <w:num w:numId="8" w16cid:durableId="1812015241">
    <w:abstractNumId w:val="0"/>
  </w:num>
  <w:num w:numId="9" w16cid:durableId="67921609">
    <w:abstractNumId w:val="4"/>
  </w:num>
  <w:num w:numId="10" w16cid:durableId="706412972">
    <w:abstractNumId w:val="5"/>
  </w:num>
  <w:numIdMacAtCleanup w:val="10"/>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Hettiarachchige, Mangala">
    <w15:presenceInfo w15:providerId="AD" w15:userId="S::M.Hettiarachchi@wlv.ac.uk::b596ddcd-f69d-446d-a991-bad49fb39aea"/>
  </w15:person>
  <w15:person w15:author="Jones, Jenni (Prof)">
    <w15:presenceInfo w15:providerId="AD" w15:userId="S::jenni.jones@wlv.ac.uk::8c65060c-8278-4ddb-99f9-a5c2529cd424"/>
  </w15:person>
  <w15:person w15:author="Shokunbi, Oluwole (Dr)">
    <w15:presenceInfo w15:providerId="AD" w15:userId="S::o.shokunbi@wlv.ac.uk::373f6c9a-40c9-41b6-ad31-005931bb2d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79F"/>
    <w:rsid w:val="000005B7"/>
    <w:rsid w:val="0000276A"/>
    <w:rsid w:val="000027CE"/>
    <w:rsid w:val="0000456D"/>
    <w:rsid w:val="0000484B"/>
    <w:rsid w:val="00006875"/>
    <w:rsid w:val="0000772E"/>
    <w:rsid w:val="0001152C"/>
    <w:rsid w:val="0001152D"/>
    <w:rsid w:val="000129CF"/>
    <w:rsid w:val="0001419D"/>
    <w:rsid w:val="00014211"/>
    <w:rsid w:val="0001634B"/>
    <w:rsid w:val="00021DDE"/>
    <w:rsid w:val="00024520"/>
    <w:rsid w:val="0003017F"/>
    <w:rsid w:val="00030FE9"/>
    <w:rsid w:val="0003104E"/>
    <w:rsid w:val="00031267"/>
    <w:rsid w:val="00031F05"/>
    <w:rsid w:val="00032C42"/>
    <w:rsid w:val="00033A87"/>
    <w:rsid w:val="00034CB7"/>
    <w:rsid w:val="00037BAC"/>
    <w:rsid w:val="0004106D"/>
    <w:rsid w:val="000434C5"/>
    <w:rsid w:val="00045FD7"/>
    <w:rsid w:val="00046A0B"/>
    <w:rsid w:val="00050D7E"/>
    <w:rsid w:val="00055206"/>
    <w:rsid w:val="0005690C"/>
    <w:rsid w:val="00057875"/>
    <w:rsid w:val="00062057"/>
    <w:rsid w:val="0006481C"/>
    <w:rsid w:val="00067F66"/>
    <w:rsid w:val="0007153B"/>
    <w:rsid w:val="00071E1D"/>
    <w:rsid w:val="00072D3B"/>
    <w:rsid w:val="00074526"/>
    <w:rsid w:val="000763A3"/>
    <w:rsid w:val="00076FA4"/>
    <w:rsid w:val="00077595"/>
    <w:rsid w:val="0008286F"/>
    <w:rsid w:val="00084E56"/>
    <w:rsid w:val="000866FA"/>
    <w:rsid w:val="000867DB"/>
    <w:rsid w:val="00087BF2"/>
    <w:rsid w:val="000904AB"/>
    <w:rsid w:val="000920CE"/>
    <w:rsid w:val="00093039"/>
    <w:rsid w:val="000945E9"/>
    <w:rsid w:val="000948A8"/>
    <w:rsid w:val="00095293"/>
    <w:rsid w:val="000A1E70"/>
    <w:rsid w:val="000A2D79"/>
    <w:rsid w:val="000A3C27"/>
    <w:rsid w:val="000A406A"/>
    <w:rsid w:val="000B2129"/>
    <w:rsid w:val="000B435C"/>
    <w:rsid w:val="000B691C"/>
    <w:rsid w:val="000B7B97"/>
    <w:rsid w:val="000B7E76"/>
    <w:rsid w:val="000C3A8E"/>
    <w:rsid w:val="000C3BC2"/>
    <w:rsid w:val="000C3C04"/>
    <w:rsid w:val="000C65D4"/>
    <w:rsid w:val="000D0076"/>
    <w:rsid w:val="000D111D"/>
    <w:rsid w:val="000D18C2"/>
    <w:rsid w:val="000D229E"/>
    <w:rsid w:val="000D2F7B"/>
    <w:rsid w:val="000D5899"/>
    <w:rsid w:val="000D6BA6"/>
    <w:rsid w:val="000E7CDE"/>
    <w:rsid w:val="000F2396"/>
    <w:rsid w:val="000F282C"/>
    <w:rsid w:val="000F2BE5"/>
    <w:rsid w:val="000F5D66"/>
    <w:rsid w:val="000F6CC3"/>
    <w:rsid w:val="001016CF"/>
    <w:rsid w:val="00101921"/>
    <w:rsid w:val="0010299E"/>
    <w:rsid w:val="00104F1F"/>
    <w:rsid w:val="00106EA9"/>
    <w:rsid w:val="00107F98"/>
    <w:rsid w:val="00111A1A"/>
    <w:rsid w:val="00114657"/>
    <w:rsid w:val="00115042"/>
    <w:rsid w:val="00116567"/>
    <w:rsid w:val="00116F96"/>
    <w:rsid w:val="00120D79"/>
    <w:rsid w:val="00121076"/>
    <w:rsid w:val="00121747"/>
    <w:rsid w:val="00122507"/>
    <w:rsid w:val="00122797"/>
    <w:rsid w:val="00124396"/>
    <w:rsid w:val="00126F53"/>
    <w:rsid w:val="001308A0"/>
    <w:rsid w:val="00130A5E"/>
    <w:rsid w:val="00130FE7"/>
    <w:rsid w:val="00132BD6"/>
    <w:rsid w:val="00133DA8"/>
    <w:rsid w:val="00137778"/>
    <w:rsid w:val="001415C1"/>
    <w:rsid w:val="0014208D"/>
    <w:rsid w:val="00142E22"/>
    <w:rsid w:val="00143624"/>
    <w:rsid w:val="00143C50"/>
    <w:rsid w:val="00150AAF"/>
    <w:rsid w:val="00150E59"/>
    <w:rsid w:val="00151F01"/>
    <w:rsid w:val="001528DE"/>
    <w:rsid w:val="00152F2C"/>
    <w:rsid w:val="001532FC"/>
    <w:rsid w:val="00153F7F"/>
    <w:rsid w:val="00155698"/>
    <w:rsid w:val="001579C9"/>
    <w:rsid w:val="00157D47"/>
    <w:rsid w:val="00160833"/>
    <w:rsid w:val="00162458"/>
    <w:rsid w:val="0016311F"/>
    <w:rsid w:val="001635A4"/>
    <w:rsid w:val="0016580C"/>
    <w:rsid w:val="00165AEA"/>
    <w:rsid w:val="001662A0"/>
    <w:rsid w:val="00171EF8"/>
    <w:rsid w:val="001722FB"/>
    <w:rsid w:val="001731EC"/>
    <w:rsid w:val="00173E1B"/>
    <w:rsid w:val="00174696"/>
    <w:rsid w:val="00174834"/>
    <w:rsid w:val="0017554F"/>
    <w:rsid w:val="001771F0"/>
    <w:rsid w:val="00177927"/>
    <w:rsid w:val="0017794C"/>
    <w:rsid w:val="0018134F"/>
    <w:rsid w:val="001826FE"/>
    <w:rsid w:val="001828A5"/>
    <w:rsid w:val="0018360A"/>
    <w:rsid w:val="00183A67"/>
    <w:rsid w:val="00184470"/>
    <w:rsid w:val="00185C3F"/>
    <w:rsid w:val="001901DE"/>
    <w:rsid w:val="00190A7C"/>
    <w:rsid w:val="00191655"/>
    <w:rsid w:val="001919D3"/>
    <w:rsid w:val="00192794"/>
    <w:rsid w:val="00192921"/>
    <w:rsid w:val="00193D8E"/>
    <w:rsid w:val="00194EFE"/>
    <w:rsid w:val="001A050D"/>
    <w:rsid w:val="001A3848"/>
    <w:rsid w:val="001A3E74"/>
    <w:rsid w:val="001A4A76"/>
    <w:rsid w:val="001A5839"/>
    <w:rsid w:val="001B09EF"/>
    <w:rsid w:val="001B1164"/>
    <w:rsid w:val="001B11C3"/>
    <w:rsid w:val="001B1CE3"/>
    <w:rsid w:val="001C1D8D"/>
    <w:rsid w:val="001C203A"/>
    <w:rsid w:val="001C3A35"/>
    <w:rsid w:val="001C3DA1"/>
    <w:rsid w:val="001C41D3"/>
    <w:rsid w:val="001C42D2"/>
    <w:rsid w:val="001C456D"/>
    <w:rsid w:val="001C4C0A"/>
    <w:rsid w:val="001C5B15"/>
    <w:rsid w:val="001C7030"/>
    <w:rsid w:val="001D0016"/>
    <w:rsid w:val="001D0B1D"/>
    <w:rsid w:val="001D0C4D"/>
    <w:rsid w:val="001D291C"/>
    <w:rsid w:val="001D3923"/>
    <w:rsid w:val="001D3EAA"/>
    <w:rsid w:val="001D5135"/>
    <w:rsid w:val="001D6038"/>
    <w:rsid w:val="001D6739"/>
    <w:rsid w:val="001D791F"/>
    <w:rsid w:val="001E41B3"/>
    <w:rsid w:val="001E43BE"/>
    <w:rsid w:val="001E4E90"/>
    <w:rsid w:val="001E5BF5"/>
    <w:rsid w:val="001F0C14"/>
    <w:rsid w:val="001F1479"/>
    <w:rsid w:val="001F2420"/>
    <w:rsid w:val="001F5446"/>
    <w:rsid w:val="001F7D80"/>
    <w:rsid w:val="002004FE"/>
    <w:rsid w:val="002027CD"/>
    <w:rsid w:val="00202C0C"/>
    <w:rsid w:val="00202DCB"/>
    <w:rsid w:val="002100A2"/>
    <w:rsid w:val="00210CF7"/>
    <w:rsid w:val="00212C8A"/>
    <w:rsid w:val="00213B41"/>
    <w:rsid w:val="00213C6D"/>
    <w:rsid w:val="002143D7"/>
    <w:rsid w:val="0021537C"/>
    <w:rsid w:val="00217F80"/>
    <w:rsid w:val="00220B40"/>
    <w:rsid w:val="002216E6"/>
    <w:rsid w:val="002253E6"/>
    <w:rsid w:val="00230F50"/>
    <w:rsid w:val="00231178"/>
    <w:rsid w:val="00231F00"/>
    <w:rsid w:val="00232B2F"/>
    <w:rsid w:val="0023680F"/>
    <w:rsid w:val="00237FB1"/>
    <w:rsid w:val="002400B1"/>
    <w:rsid w:val="0024051C"/>
    <w:rsid w:val="00240B19"/>
    <w:rsid w:val="00241CE6"/>
    <w:rsid w:val="00242185"/>
    <w:rsid w:val="00242325"/>
    <w:rsid w:val="00242DDB"/>
    <w:rsid w:val="002449D4"/>
    <w:rsid w:val="0025010E"/>
    <w:rsid w:val="002519C7"/>
    <w:rsid w:val="00253B6B"/>
    <w:rsid w:val="00254AD5"/>
    <w:rsid w:val="00255E44"/>
    <w:rsid w:val="00261244"/>
    <w:rsid w:val="0026261C"/>
    <w:rsid w:val="00262FB9"/>
    <w:rsid w:val="002648F6"/>
    <w:rsid w:val="00264E62"/>
    <w:rsid w:val="00265965"/>
    <w:rsid w:val="00270CF5"/>
    <w:rsid w:val="00275FB9"/>
    <w:rsid w:val="00277B7A"/>
    <w:rsid w:val="00280751"/>
    <w:rsid w:val="00280832"/>
    <w:rsid w:val="002809F1"/>
    <w:rsid w:val="00280C78"/>
    <w:rsid w:val="0028189B"/>
    <w:rsid w:val="00281F3A"/>
    <w:rsid w:val="00285170"/>
    <w:rsid w:val="002907D0"/>
    <w:rsid w:val="0029113F"/>
    <w:rsid w:val="002938D8"/>
    <w:rsid w:val="00293D00"/>
    <w:rsid w:val="002943A5"/>
    <w:rsid w:val="002A0B60"/>
    <w:rsid w:val="002A1145"/>
    <w:rsid w:val="002A64ED"/>
    <w:rsid w:val="002A7E33"/>
    <w:rsid w:val="002A7EDE"/>
    <w:rsid w:val="002B0748"/>
    <w:rsid w:val="002B2947"/>
    <w:rsid w:val="002B3E8B"/>
    <w:rsid w:val="002B4488"/>
    <w:rsid w:val="002B4FF9"/>
    <w:rsid w:val="002B5FE2"/>
    <w:rsid w:val="002B7B30"/>
    <w:rsid w:val="002C07A6"/>
    <w:rsid w:val="002C0A1B"/>
    <w:rsid w:val="002C16E4"/>
    <w:rsid w:val="002C2CB1"/>
    <w:rsid w:val="002C2F8B"/>
    <w:rsid w:val="002C2F8E"/>
    <w:rsid w:val="002C6CCE"/>
    <w:rsid w:val="002C7726"/>
    <w:rsid w:val="002D1D7C"/>
    <w:rsid w:val="002D4079"/>
    <w:rsid w:val="002D506E"/>
    <w:rsid w:val="002D6C70"/>
    <w:rsid w:val="002E2628"/>
    <w:rsid w:val="002E3F77"/>
    <w:rsid w:val="002E4C2C"/>
    <w:rsid w:val="002E6835"/>
    <w:rsid w:val="002F158C"/>
    <w:rsid w:val="002F1697"/>
    <w:rsid w:val="002F23D9"/>
    <w:rsid w:val="002F29B8"/>
    <w:rsid w:val="002F3539"/>
    <w:rsid w:val="00301E40"/>
    <w:rsid w:val="0031015E"/>
    <w:rsid w:val="00310837"/>
    <w:rsid w:val="00310E26"/>
    <w:rsid w:val="00312350"/>
    <w:rsid w:val="00312FAF"/>
    <w:rsid w:val="00314DEE"/>
    <w:rsid w:val="003165DD"/>
    <w:rsid w:val="003177E2"/>
    <w:rsid w:val="00321DDF"/>
    <w:rsid w:val="00322FC0"/>
    <w:rsid w:val="00323263"/>
    <w:rsid w:val="00326F6D"/>
    <w:rsid w:val="00327E32"/>
    <w:rsid w:val="0033192A"/>
    <w:rsid w:val="0033283C"/>
    <w:rsid w:val="00332997"/>
    <w:rsid w:val="0033586B"/>
    <w:rsid w:val="00340193"/>
    <w:rsid w:val="003437B8"/>
    <w:rsid w:val="00352328"/>
    <w:rsid w:val="0035566E"/>
    <w:rsid w:val="00356100"/>
    <w:rsid w:val="00357C29"/>
    <w:rsid w:val="003609B5"/>
    <w:rsid w:val="00360A53"/>
    <w:rsid w:val="00360CD1"/>
    <w:rsid w:val="00361384"/>
    <w:rsid w:val="00363D2A"/>
    <w:rsid w:val="00365316"/>
    <w:rsid w:val="00365A5C"/>
    <w:rsid w:val="00366A00"/>
    <w:rsid w:val="00371388"/>
    <w:rsid w:val="00375B54"/>
    <w:rsid w:val="0037642D"/>
    <w:rsid w:val="003816CA"/>
    <w:rsid w:val="00382334"/>
    <w:rsid w:val="00384ACB"/>
    <w:rsid w:val="00384E29"/>
    <w:rsid w:val="003902A2"/>
    <w:rsid w:val="0039196E"/>
    <w:rsid w:val="00391F6C"/>
    <w:rsid w:val="00394318"/>
    <w:rsid w:val="00394B6D"/>
    <w:rsid w:val="003962AD"/>
    <w:rsid w:val="00396C69"/>
    <w:rsid w:val="003A197A"/>
    <w:rsid w:val="003A1E6E"/>
    <w:rsid w:val="003A5013"/>
    <w:rsid w:val="003A7207"/>
    <w:rsid w:val="003B2326"/>
    <w:rsid w:val="003B3109"/>
    <w:rsid w:val="003B4FB3"/>
    <w:rsid w:val="003B5D8D"/>
    <w:rsid w:val="003C033D"/>
    <w:rsid w:val="003C0587"/>
    <w:rsid w:val="003C0BBB"/>
    <w:rsid w:val="003C14CB"/>
    <w:rsid w:val="003C1A48"/>
    <w:rsid w:val="003C2AB8"/>
    <w:rsid w:val="003C4132"/>
    <w:rsid w:val="003C5A36"/>
    <w:rsid w:val="003C78C8"/>
    <w:rsid w:val="003D0626"/>
    <w:rsid w:val="003D0804"/>
    <w:rsid w:val="003D1A6E"/>
    <w:rsid w:val="003D31AD"/>
    <w:rsid w:val="003E0B20"/>
    <w:rsid w:val="003E0BD4"/>
    <w:rsid w:val="003E11C6"/>
    <w:rsid w:val="003E575A"/>
    <w:rsid w:val="003E6C58"/>
    <w:rsid w:val="003E744E"/>
    <w:rsid w:val="003E7DB0"/>
    <w:rsid w:val="003F1EA4"/>
    <w:rsid w:val="003F5124"/>
    <w:rsid w:val="0040256B"/>
    <w:rsid w:val="00403E9C"/>
    <w:rsid w:val="00404548"/>
    <w:rsid w:val="00404A93"/>
    <w:rsid w:val="0040585D"/>
    <w:rsid w:val="00407179"/>
    <w:rsid w:val="00410B90"/>
    <w:rsid w:val="0041251B"/>
    <w:rsid w:val="00413BD4"/>
    <w:rsid w:val="00414672"/>
    <w:rsid w:val="00416B41"/>
    <w:rsid w:val="00416E89"/>
    <w:rsid w:val="00417ADB"/>
    <w:rsid w:val="004200D4"/>
    <w:rsid w:val="0042477E"/>
    <w:rsid w:val="00427DD0"/>
    <w:rsid w:val="00431CAD"/>
    <w:rsid w:val="00431FEF"/>
    <w:rsid w:val="004326A7"/>
    <w:rsid w:val="0043328C"/>
    <w:rsid w:val="004336CF"/>
    <w:rsid w:val="00435646"/>
    <w:rsid w:val="0043612C"/>
    <w:rsid w:val="00441D9C"/>
    <w:rsid w:val="0044383E"/>
    <w:rsid w:val="004448B3"/>
    <w:rsid w:val="00444A3B"/>
    <w:rsid w:val="00447808"/>
    <w:rsid w:val="00447945"/>
    <w:rsid w:val="00450C68"/>
    <w:rsid w:val="00450EC3"/>
    <w:rsid w:val="004525B5"/>
    <w:rsid w:val="00452D65"/>
    <w:rsid w:val="00452E24"/>
    <w:rsid w:val="00457E3B"/>
    <w:rsid w:val="00460290"/>
    <w:rsid w:val="004619C5"/>
    <w:rsid w:val="00462746"/>
    <w:rsid w:val="00463A7D"/>
    <w:rsid w:val="004648E0"/>
    <w:rsid w:val="00464C87"/>
    <w:rsid w:val="00472175"/>
    <w:rsid w:val="00472D23"/>
    <w:rsid w:val="00473974"/>
    <w:rsid w:val="00473A8A"/>
    <w:rsid w:val="0047502E"/>
    <w:rsid w:val="00475F2A"/>
    <w:rsid w:val="00476DD9"/>
    <w:rsid w:val="00481C4C"/>
    <w:rsid w:val="00481C79"/>
    <w:rsid w:val="00482409"/>
    <w:rsid w:val="00483684"/>
    <w:rsid w:val="00483EB3"/>
    <w:rsid w:val="00483F66"/>
    <w:rsid w:val="0048623A"/>
    <w:rsid w:val="004874E0"/>
    <w:rsid w:val="0049071E"/>
    <w:rsid w:val="0049073C"/>
    <w:rsid w:val="0049117D"/>
    <w:rsid w:val="00491E6C"/>
    <w:rsid w:val="00493FB1"/>
    <w:rsid w:val="004979B4"/>
    <w:rsid w:val="00497C18"/>
    <w:rsid w:val="004A0BFD"/>
    <w:rsid w:val="004A0F33"/>
    <w:rsid w:val="004A259E"/>
    <w:rsid w:val="004A25DC"/>
    <w:rsid w:val="004A26E0"/>
    <w:rsid w:val="004A3CB1"/>
    <w:rsid w:val="004A579B"/>
    <w:rsid w:val="004A66D1"/>
    <w:rsid w:val="004B397E"/>
    <w:rsid w:val="004B7BCA"/>
    <w:rsid w:val="004C1613"/>
    <w:rsid w:val="004C2172"/>
    <w:rsid w:val="004C6F25"/>
    <w:rsid w:val="004C6FAF"/>
    <w:rsid w:val="004C7918"/>
    <w:rsid w:val="004C7AA1"/>
    <w:rsid w:val="004D2586"/>
    <w:rsid w:val="004D4085"/>
    <w:rsid w:val="004D418E"/>
    <w:rsid w:val="004D683F"/>
    <w:rsid w:val="004E00C5"/>
    <w:rsid w:val="004E08C7"/>
    <w:rsid w:val="004E163A"/>
    <w:rsid w:val="004E1F20"/>
    <w:rsid w:val="004E1FD4"/>
    <w:rsid w:val="004E2946"/>
    <w:rsid w:val="004E4C1C"/>
    <w:rsid w:val="004E5566"/>
    <w:rsid w:val="004E5CFA"/>
    <w:rsid w:val="004E6C19"/>
    <w:rsid w:val="004E70EA"/>
    <w:rsid w:val="004F01F6"/>
    <w:rsid w:val="004F0B63"/>
    <w:rsid w:val="004F15B6"/>
    <w:rsid w:val="004F3780"/>
    <w:rsid w:val="004F3AF5"/>
    <w:rsid w:val="004F45D2"/>
    <w:rsid w:val="004F504F"/>
    <w:rsid w:val="004F5691"/>
    <w:rsid w:val="004F57D7"/>
    <w:rsid w:val="004F5B52"/>
    <w:rsid w:val="004F785B"/>
    <w:rsid w:val="00500467"/>
    <w:rsid w:val="005020BC"/>
    <w:rsid w:val="005042FC"/>
    <w:rsid w:val="00504348"/>
    <w:rsid w:val="005062BA"/>
    <w:rsid w:val="00511509"/>
    <w:rsid w:val="00513015"/>
    <w:rsid w:val="00517B47"/>
    <w:rsid w:val="00522B85"/>
    <w:rsid w:val="00523F58"/>
    <w:rsid w:val="0052624A"/>
    <w:rsid w:val="005263F4"/>
    <w:rsid w:val="005275C2"/>
    <w:rsid w:val="005318C8"/>
    <w:rsid w:val="005331C7"/>
    <w:rsid w:val="00534CDB"/>
    <w:rsid w:val="005373B7"/>
    <w:rsid w:val="00537494"/>
    <w:rsid w:val="0053773B"/>
    <w:rsid w:val="00537E94"/>
    <w:rsid w:val="005401FB"/>
    <w:rsid w:val="00541CF1"/>
    <w:rsid w:val="00542F68"/>
    <w:rsid w:val="005448C9"/>
    <w:rsid w:val="005464F2"/>
    <w:rsid w:val="005521F7"/>
    <w:rsid w:val="005526BA"/>
    <w:rsid w:val="005536F9"/>
    <w:rsid w:val="00554429"/>
    <w:rsid w:val="00554A55"/>
    <w:rsid w:val="00564028"/>
    <w:rsid w:val="00564EAD"/>
    <w:rsid w:val="00570ED4"/>
    <w:rsid w:val="00571BE1"/>
    <w:rsid w:val="005725AB"/>
    <w:rsid w:val="0057270E"/>
    <w:rsid w:val="005733A8"/>
    <w:rsid w:val="00573C50"/>
    <w:rsid w:val="005741D3"/>
    <w:rsid w:val="005751CA"/>
    <w:rsid w:val="0057668E"/>
    <w:rsid w:val="0057779D"/>
    <w:rsid w:val="00577C20"/>
    <w:rsid w:val="00580DA7"/>
    <w:rsid w:val="005813E2"/>
    <w:rsid w:val="00581C13"/>
    <w:rsid w:val="00581D06"/>
    <w:rsid w:val="00583667"/>
    <w:rsid w:val="005839ED"/>
    <w:rsid w:val="00583BEC"/>
    <w:rsid w:val="00583C6C"/>
    <w:rsid w:val="00585740"/>
    <w:rsid w:val="00585EE6"/>
    <w:rsid w:val="00587CDA"/>
    <w:rsid w:val="00590566"/>
    <w:rsid w:val="005910AE"/>
    <w:rsid w:val="00592711"/>
    <w:rsid w:val="00595805"/>
    <w:rsid w:val="005968E6"/>
    <w:rsid w:val="00597F9B"/>
    <w:rsid w:val="005A42A8"/>
    <w:rsid w:val="005A6801"/>
    <w:rsid w:val="005B00B9"/>
    <w:rsid w:val="005B1E31"/>
    <w:rsid w:val="005B3656"/>
    <w:rsid w:val="005B3BDB"/>
    <w:rsid w:val="005B3E32"/>
    <w:rsid w:val="005B51FB"/>
    <w:rsid w:val="005B54D3"/>
    <w:rsid w:val="005B6390"/>
    <w:rsid w:val="005B7403"/>
    <w:rsid w:val="005B7DD2"/>
    <w:rsid w:val="005C0AB6"/>
    <w:rsid w:val="005C4F04"/>
    <w:rsid w:val="005C573B"/>
    <w:rsid w:val="005C72A5"/>
    <w:rsid w:val="005D09C5"/>
    <w:rsid w:val="005D2235"/>
    <w:rsid w:val="005D5C20"/>
    <w:rsid w:val="005E064D"/>
    <w:rsid w:val="005E2FE6"/>
    <w:rsid w:val="005E4B64"/>
    <w:rsid w:val="005E5298"/>
    <w:rsid w:val="005E6954"/>
    <w:rsid w:val="005E73AE"/>
    <w:rsid w:val="005E7683"/>
    <w:rsid w:val="005F055A"/>
    <w:rsid w:val="005F4865"/>
    <w:rsid w:val="005F5319"/>
    <w:rsid w:val="006049C8"/>
    <w:rsid w:val="00604EB0"/>
    <w:rsid w:val="00610C2C"/>
    <w:rsid w:val="00610D7D"/>
    <w:rsid w:val="00611B31"/>
    <w:rsid w:val="00611F61"/>
    <w:rsid w:val="006132F9"/>
    <w:rsid w:val="00616EDD"/>
    <w:rsid w:val="0061717D"/>
    <w:rsid w:val="00621CFD"/>
    <w:rsid w:val="00622400"/>
    <w:rsid w:val="006300F6"/>
    <w:rsid w:val="006333E1"/>
    <w:rsid w:val="00636E57"/>
    <w:rsid w:val="00640F78"/>
    <w:rsid w:val="00641D51"/>
    <w:rsid w:val="006422A5"/>
    <w:rsid w:val="00642367"/>
    <w:rsid w:val="00643375"/>
    <w:rsid w:val="006439FD"/>
    <w:rsid w:val="006456D2"/>
    <w:rsid w:val="00646CE6"/>
    <w:rsid w:val="00646DF1"/>
    <w:rsid w:val="00646E99"/>
    <w:rsid w:val="006472A1"/>
    <w:rsid w:val="0065017B"/>
    <w:rsid w:val="0065338C"/>
    <w:rsid w:val="006553C1"/>
    <w:rsid w:val="00660A14"/>
    <w:rsid w:val="00661DCA"/>
    <w:rsid w:val="00663C4C"/>
    <w:rsid w:val="0066641F"/>
    <w:rsid w:val="00666A8A"/>
    <w:rsid w:val="00670853"/>
    <w:rsid w:val="00670EA8"/>
    <w:rsid w:val="00674A5C"/>
    <w:rsid w:val="00676D66"/>
    <w:rsid w:val="0068113C"/>
    <w:rsid w:val="006813B1"/>
    <w:rsid w:val="00682BAD"/>
    <w:rsid w:val="00683E59"/>
    <w:rsid w:val="00684BED"/>
    <w:rsid w:val="0068598F"/>
    <w:rsid w:val="00685A33"/>
    <w:rsid w:val="00690973"/>
    <w:rsid w:val="00692B68"/>
    <w:rsid w:val="0069552E"/>
    <w:rsid w:val="00695D20"/>
    <w:rsid w:val="00696975"/>
    <w:rsid w:val="00697DF0"/>
    <w:rsid w:val="006A0976"/>
    <w:rsid w:val="006A17CF"/>
    <w:rsid w:val="006A221D"/>
    <w:rsid w:val="006A411F"/>
    <w:rsid w:val="006A647B"/>
    <w:rsid w:val="006B2160"/>
    <w:rsid w:val="006B2174"/>
    <w:rsid w:val="006B29E3"/>
    <w:rsid w:val="006B462A"/>
    <w:rsid w:val="006B51A4"/>
    <w:rsid w:val="006B6F45"/>
    <w:rsid w:val="006C1564"/>
    <w:rsid w:val="006C1EE8"/>
    <w:rsid w:val="006C45D5"/>
    <w:rsid w:val="006C49DD"/>
    <w:rsid w:val="006C6CEB"/>
    <w:rsid w:val="006D0C8B"/>
    <w:rsid w:val="006D1F37"/>
    <w:rsid w:val="006D23C3"/>
    <w:rsid w:val="006D3F90"/>
    <w:rsid w:val="006D5B26"/>
    <w:rsid w:val="006D6559"/>
    <w:rsid w:val="006D71AF"/>
    <w:rsid w:val="006D791F"/>
    <w:rsid w:val="006E18AB"/>
    <w:rsid w:val="006E22E1"/>
    <w:rsid w:val="006E506B"/>
    <w:rsid w:val="006E5770"/>
    <w:rsid w:val="006E5F62"/>
    <w:rsid w:val="006E64F8"/>
    <w:rsid w:val="006F1657"/>
    <w:rsid w:val="006F2C54"/>
    <w:rsid w:val="006F3BDF"/>
    <w:rsid w:val="006F3C69"/>
    <w:rsid w:val="006F3FA1"/>
    <w:rsid w:val="006F51E7"/>
    <w:rsid w:val="00700F6C"/>
    <w:rsid w:val="00705E6B"/>
    <w:rsid w:val="007103B2"/>
    <w:rsid w:val="00711864"/>
    <w:rsid w:val="00711B36"/>
    <w:rsid w:val="00712C4A"/>
    <w:rsid w:val="00715EDC"/>
    <w:rsid w:val="0071651F"/>
    <w:rsid w:val="007165F3"/>
    <w:rsid w:val="007172D7"/>
    <w:rsid w:val="00721D21"/>
    <w:rsid w:val="00722056"/>
    <w:rsid w:val="00723DDC"/>
    <w:rsid w:val="007276AF"/>
    <w:rsid w:val="00730CF7"/>
    <w:rsid w:val="00732DBD"/>
    <w:rsid w:val="00732DCD"/>
    <w:rsid w:val="00733284"/>
    <w:rsid w:val="00733C19"/>
    <w:rsid w:val="00736F33"/>
    <w:rsid w:val="007402B5"/>
    <w:rsid w:val="0074046A"/>
    <w:rsid w:val="007405E9"/>
    <w:rsid w:val="00741A60"/>
    <w:rsid w:val="007428FD"/>
    <w:rsid w:val="007439AA"/>
    <w:rsid w:val="00744E25"/>
    <w:rsid w:val="00747067"/>
    <w:rsid w:val="0075056E"/>
    <w:rsid w:val="007530C7"/>
    <w:rsid w:val="00753848"/>
    <w:rsid w:val="007545B1"/>
    <w:rsid w:val="007578B7"/>
    <w:rsid w:val="00757C76"/>
    <w:rsid w:val="00757C83"/>
    <w:rsid w:val="007645EF"/>
    <w:rsid w:val="007668CD"/>
    <w:rsid w:val="007708BC"/>
    <w:rsid w:val="007715BC"/>
    <w:rsid w:val="00771FE9"/>
    <w:rsid w:val="00774125"/>
    <w:rsid w:val="007746D1"/>
    <w:rsid w:val="00774B3B"/>
    <w:rsid w:val="00776443"/>
    <w:rsid w:val="007770FE"/>
    <w:rsid w:val="00780AB2"/>
    <w:rsid w:val="00781ACA"/>
    <w:rsid w:val="00781D40"/>
    <w:rsid w:val="007847C7"/>
    <w:rsid w:val="00785912"/>
    <w:rsid w:val="00785DE6"/>
    <w:rsid w:val="0079022A"/>
    <w:rsid w:val="007902AC"/>
    <w:rsid w:val="00790DC8"/>
    <w:rsid w:val="00796CB3"/>
    <w:rsid w:val="007974C8"/>
    <w:rsid w:val="007A2F94"/>
    <w:rsid w:val="007B2342"/>
    <w:rsid w:val="007B2E20"/>
    <w:rsid w:val="007B54E3"/>
    <w:rsid w:val="007B638A"/>
    <w:rsid w:val="007B639F"/>
    <w:rsid w:val="007B72B2"/>
    <w:rsid w:val="007C2752"/>
    <w:rsid w:val="007C4F62"/>
    <w:rsid w:val="007C6189"/>
    <w:rsid w:val="007C6E2D"/>
    <w:rsid w:val="007D1564"/>
    <w:rsid w:val="007D2012"/>
    <w:rsid w:val="007D3933"/>
    <w:rsid w:val="007D74F9"/>
    <w:rsid w:val="007D7616"/>
    <w:rsid w:val="007E0006"/>
    <w:rsid w:val="007E420C"/>
    <w:rsid w:val="007E517B"/>
    <w:rsid w:val="007E5BEC"/>
    <w:rsid w:val="007E5D78"/>
    <w:rsid w:val="007E6AF2"/>
    <w:rsid w:val="007E6AF6"/>
    <w:rsid w:val="007E7C05"/>
    <w:rsid w:val="007F2F30"/>
    <w:rsid w:val="007F5C39"/>
    <w:rsid w:val="007F7019"/>
    <w:rsid w:val="007F75D6"/>
    <w:rsid w:val="0080686B"/>
    <w:rsid w:val="0081035F"/>
    <w:rsid w:val="00811AE6"/>
    <w:rsid w:val="00811E8F"/>
    <w:rsid w:val="008121EC"/>
    <w:rsid w:val="00814713"/>
    <w:rsid w:val="008253D2"/>
    <w:rsid w:val="00825E53"/>
    <w:rsid w:val="00827B3F"/>
    <w:rsid w:val="00827E29"/>
    <w:rsid w:val="00831308"/>
    <w:rsid w:val="00833160"/>
    <w:rsid w:val="00835230"/>
    <w:rsid w:val="008358F8"/>
    <w:rsid w:val="0083605C"/>
    <w:rsid w:val="00840DD6"/>
    <w:rsid w:val="0084321A"/>
    <w:rsid w:val="0084380C"/>
    <w:rsid w:val="0084680F"/>
    <w:rsid w:val="00846971"/>
    <w:rsid w:val="00847681"/>
    <w:rsid w:val="00851121"/>
    <w:rsid w:val="00852F42"/>
    <w:rsid w:val="008545AB"/>
    <w:rsid w:val="0085556A"/>
    <w:rsid w:val="008571B2"/>
    <w:rsid w:val="00857A70"/>
    <w:rsid w:val="00857B3B"/>
    <w:rsid w:val="00861EC8"/>
    <w:rsid w:val="00862A64"/>
    <w:rsid w:val="008646C6"/>
    <w:rsid w:val="00864845"/>
    <w:rsid w:val="00865764"/>
    <w:rsid w:val="00865EFC"/>
    <w:rsid w:val="00870FDB"/>
    <w:rsid w:val="008710F3"/>
    <w:rsid w:val="00871956"/>
    <w:rsid w:val="0087268C"/>
    <w:rsid w:val="00873302"/>
    <w:rsid w:val="00875AC9"/>
    <w:rsid w:val="00875D19"/>
    <w:rsid w:val="00882682"/>
    <w:rsid w:val="00883498"/>
    <w:rsid w:val="00887F3E"/>
    <w:rsid w:val="0089063A"/>
    <w:rsid w:val="00891A7B"/>
    <w:rsid w:val="008922AF"/>
    <w:rsid w:val="00893C3B"/>
    <w:rsid w:val="00897DAD"/>
    <w:rsid w:val="008A164B"/>
    <w:rsid w:val="008A5895"/>
    <w:rsid w:val="008A6F1B"/>
    <w:rsid w:val="008A7B4A"/>
    <w:rsid w:val="008B0699"/>
    <w:rsid w:val="008B1CBC"/>
    <w:rsid w:val="008B6718"/>
    <w:rsid w:val="008C10E4"/>
    <w:rsid w:val="008C5680"/>
    <w:rsid w:val="008D2B85"/>
    <w:rsid w:val="008D3331"/>
    <w:rsid w:val="008D49DC"/>
    <w:rsid w:val="008D7CF5"/>
    <w:rsid w:val="008E1405"/>
    <w:rsid w:val="008E781F"/>
    <w:rsid w:val="008F0438"/>
    <w:rsid w:val="008F60DC"/>
    <w:rsid w:val="008F7F5E"/>
    <w:rsid w:val="00900B65"/>
    <w:rsid w:val="00901A33"/>
    <w:rsid w:val="00903D58"/>
    <w:rsid w:val="0090450A"/>
    <w:rsid w:val="0090516B"/>
    <w:rsid w:val="009104FE"/>
    <w:rsid w:val="0091082C"/>
    <w:rsid w:val="00914B2A"/>
    <w:rsid w:val="00915453"/>
    <w:rsid w:val="0091554F"/>
    <w:rsid w:val="0091593C"/>
    <w:rsid w:val="00920A19"/>
    <w:rsid w:val="00922860"/>
    <w:rsid w:val="00924894"/>
    <w:rsid w:val="00925213"/>
    <w:rsid w:val="0092541A"/>
    <w:rsid w:val="009276FA"/>
    <w:rsid w:val="009279E1"/>
    <w:rsid w:val="00930424"/>
    <w:rsid w:val="00932E48"/>
    <w:rsid w:val="009334E6"/>
    <w:rsid w:val="0093448F"/>
    <w:rsid w:val="0093498D"/>
    <w:rsid w:val="0093580D"/>
    <w:rsid w:val="00935C50"/>
    <w:rsid w:val="00935F77"/>
    <w:rsid w:val="009422DC"/>
    <w:rsid w:val="00942526"/>
    <w:rsid w:val="00943104"/>
    <w:rsid w:val="009434EE"/>
    <w:rsid w:val="00943E24"/>
    <w:rsid w:val="00944D82"/>
    <w:rsid w:val="00945886"/>
    <w:rsid w:val="00945BD7"/>
    <w:rsid w:val="00945D30"/>
    <w:rsid w:val="00951B4E"/>
    <w:rsid w:val="009520E3"/>
    <w:rsid w:val="00954272"/>
    <w:rsid w:val="00955E94"/>
    <w:rsid w:val="00962DF5"/>
    <w:rsid w:val="009651AB"/>
    <w:rsid w:val="00966BF1"/>
    <w:rsid w:val="009721C1"/>
    <w:rsid w:val="00972797"/>
    <w:rsid w:val="00974036"/>
    <w:rsid w:val="00976761"/>
    <w:rsid w:val="009815A6"/>
    <w:rsid w:val="00981810"/>
    <w:rsid w:val="00981EA5"/>
    <w:rsid w:val="00982899"/>
    <w:rsid w:val="009840B9"/>
    <w:rsid w:val="0098571F"/>
    <w:rsid w:val="0098618B"/>
    <w:rsid w:val="009865C5"/>
    <w:rsid w:val="00986F1E"/>
    <w:rsid w:val="0099229F"/>
    <w:rsid w:val="009961B4"/>
    <w:rsid w:val="00996399"/>
    <w:rsid w:val="00996FE4"/>
    <w:rsid w:val="0099779F"/>
    <w:rsid w:val="009B0EDF"/>
    <w:rsid w:val="009B195F"/>
    <w:rsid w:val="009B2F07"/>
    <w:rsid w:val="009B3CEB"/>
    <w:rsid w:val="009B531F"/>
    <w:rsid w:val="009B736D"/>
    <w:rsid w:val="009C404B"/>
    <w:rsid w:val="009C47AD"/>
    <w:rsid w:val="009C67A4"/>
    <w:rsid w:val="009C6D37"/>
    <w:rsid w:val="009D013D"/>
    <w:rsid w:val="009D04B5"/>
    <w:rsid w:val="009D27BF"/>
    <w:rsid w:val="009D3D75"/>
    <w:rsid w:val="009D4C6D"/>
    <w:rsid w:val="009D69C6"/>
    <w:rsid w:val="009E03AF"/>
    <w:rsid w:val="009E0B06"/>
    <w:rsid w:val="009E1C8E"/>
    <w:rsid w:val="009E3596"/>
    <w:rsid w:val="009F3791"/>
    <w:rsid w:val="009F3DE8"/>
    <w:rsid w:val="009F4917"/>
    <w:rsid w:val="009F5C38"/>
    <w:rsid w:val="009F6066"/>
    <w:rsid w:val="009F64A9"/>
    <w:rsid w:val="00A04051"/>
    <w:rsid w:val="00A11872"/>
    <w:rsid w:val="00A14C15"/>
    <w:rsid w:val="00A16A11"/>
    <w:rsid w:val="00A16E45"/>
    <w:rsid w:val="00A1799E"/>
    <w:rsid w:val="00A220AF"/>
    <w:rsid w:val="00A226E5"/>
    <w:rsid w:val="00A22AB4"/>
    <w:rsid w:val="00A22DB1"/>
    <w:rsid w:val="00A239FC"/>
    <w:rsid w:val="00A23AB8"/>
    <w:rsid w:val="00A2678D"/>
    <w:rsid w:val="00A314EA"/>
    <w:rsid w:val="00A35BD1"/>
    <w:rsid w:val="00A374C0"/>
    <w:rsid w:val="00A4029D"/>
    <w:rsid w:val="00A42C42"/>
    <w:rsid w:val="00A43C12"/>
    <w:rsid w:val="00A4450E"/>
    <w:rsid w:val="00A4607E"/>
    <w:rsid w:val="00A47C9C"/>
    <w:rsid w:val="00A54FB1"/>
    <w:rsid w:val="00A56220"/>
    <w:rsid w:val="00A57F2E"/>
    <w:rsid w:val="00A63882"/>
    <w:rsid w:val="00A6677A"/>
    <w:rsid w:val="00A6729F"/>
    <w:rsid w:val="00A67986"/>
    <w:rsid w:val="00A764D2"/>
    <w:rsid w:val="00A80E0F"/>
    <w:rsid w:val="00A81FDC"/>
    <w:rsid w:val="00A856AF"/>
    <w:rsid w:val="00A86514"/>
    <w:rsid w:val="00A90C48"/>
    <w:rsid w:val="00A90C73"/>
    <w:rsid w:val="00A93174"/>
    <w:rsid w:val="00A93298"/>
    <w:rsid w:val="00A951C7"/>
    <w:rsid w:val="00A9585E"/>
    <w:rsid w:val="00A95AE8"/>
    <w:rsid w:val="00AA02D4"/>
    <w:rsid w:val="00AA071E"/>
    <w:rsid w:val="00AA0E70"/>
    <w:rsid w:val="00AA41EF"/>
    <w:rsid w:val="00AA6A87"/>
    <w:rsid w:val="00AB05D1"/>
    <w:rsid w:val="00AB579E"/>
    <w:rsid w:val="00AB6F80"/>
    <w:rsid w:val="00AB73DF"/>
    <w:rsid w:val="00AC2F89"/>
    <w:rsid w:val="00AC325A"/>
    <w:rsid w:val="00AC6AE6"/>
    <w:rsid w:val="00AC6DCB"/>
    <w:rsid w:val="00AC791B"/>
    <w:rsid w:val="00AD02CC"/>
    <w:rsid w:val="00AD258A"/>
    <w:rsid w:val="00AD4229"/>
    <w:rsid w:val="00AD435D"/>
    <w:rsid w:val="00AD6E3E"/>
    <w:rsid w:val="00AE36B0"/>
    <w:rsid w:val="00AE4492"/>
    <w:rsid w:val="00AE4A14"/>
    <w:rsid w:val="00AE6F24"/>
    <w:rsid w:val="00AF23CA"/>
    <w:rsid w:val="00AF2CD0"/>
    <w:rsid w:val="00AF461A"/>
    <w:rsid w:val="00B00E0C"/>
    <w:rsid w:val="00B01455"/>
    <w:rsid w:val="00B03E7B"/>
    <w:rsid w:val="00B04186"/>
    <w:rsid w:val="00B04323"/>
    <w:rsid w:val="00B0496F"/>
    <w:rsid w:val="00B04D3B"/>
    <w:rsid w:val="00B06079"/>
    <w:rsid w:val="00B10893"/>
    <w:rsid w:val="00B12FC2"/>
    <w:rsid w:val="00B150C6"/>
    <w:rsid w:val="00B154AF"/>
    <w:rsid w:val="00B16621"/>
    <w:rsid w:val="00B17D77"/>
    <w:rsid w:val="00B21063"/>
    <w:rsid w:val="00B24C71"/>
    <w:rsid w:val="00B2749A"/>
    <w:rsid w:val="00B32136"/>
    <w:rsid w:val="00B3234A"/>
    <w:rsid w:val="00B3468F"/>
    <w:rsid w:val="00B36F57"/>
    <w:rsid w:val="00B40EDF"/>
    <w:rsid w:val="00B424EF"/>
    <w:rsid w:val="00B45F8A"/>
    <w:rsid w:val="00B46546"/>
    <w:rsid w:val="00B50882"/>
    <w:rsid w:val="00B54817"/>
    <w:rsid w:val="00B54B68"/>
    <w:rsid w:val="00B56248"/>
    <w:rsid w:val="00B5798A"/>
    <w:rsid w:val="00B637E9"/>
    <w:rsid w:val="00B651A7"/>
    <w:rsid w:val="00B65461"/>
    <w:rsid w:val="00B6656C"/>
    <w:rsid w:val="00B6664B"/>
    <w:rsid w:val="00B71407"/>
    <w:rsid w:val="00B7153F"/>
    <w:rsid w:val="00B75908"/>
    <w:rsid w:val="00B80E52"/>
    <w:rsid w:val="00B8186D"/>
    <w:rsid w:val="00B81B73"/>
    <w:rsid w:val="00B8285F"/>
    <w:rsid w:val="00B847BF"/>
    <w:rsid w:val="00B868C8"/>
    <w:rsid w:val="00B86ED9"/>
    <w:rsid w:val="00B90E5C"/>
    <w:rsid w:val="00B92D22"/>
    <w:rsid w:val="00B931C6"/>
    <w:rsid w:val="00B93E75"/>
    <w:rsid w:val="00B93F8C"/>
    <w:rsid w:val="00B94761"/>
    <w:rsid w:val="00B948E3"/>
    <w:rsid w:val="00B94F6F"/>
    <w:rsid w:val="00B96CE8"/>
    <w:rsid w:val="00B97120"/>
    <w:rsid w:val="00BA0335"/>
    <w:rsid w:val="00BA276F"/>
    <w:rsid w:val="00BA2CB7"/>
    <w:rsid w:val="00BA322D"/>
    <w:rsid w:val="00BA3B7B"/>
    <w:rsid w:val="00BA41F7"/>
    <w:rsid w:val="00BA6CE8"/>
    <w:rsid w:val="00BA7BBB"/>
    <w:rsid w:val="00BB0D06"/>
    <w:rsid w:val="00BB320A"/>
    <w:rsid w:val="00BB4AC9"/>
    <w:rsid w:val="00BB59D5"/>
    <w:rsid w:val="00BB641A"/>
    <w:rsid w:val="00BB7381"/>
    <w:rsid w:val="00BC0022"/>
    <w:rsid w:val="00BC016B"/>
    <w:rsid w:val="00BC0765"/>
    <w:rsid w:val="00BC3730"/>
    <w:rsid w:val="00BC5E5D"/>
    <w:rsid w:val="00BD0699"/>
    <w:rsid w:val="00BD0822"/>
    <w:rsid w:val="00BD0A3C"/>
    <w:rsid w:val="00BD2C17"/>
    <w:rsid w:val="00BD4F15"/>
    <w:rsid w:val="00BE09DD"/>
    <w:rsid w:val="00BE10C1"/>
    <w:rsid w:val="00BE28C4"/>
    <w:rsid w:val="00BE38F6"/>
    <w:rsid w:val="00BE70D0"/>
    <w:rsid w:val="00BF2869"/>
    <w:rsid w:val="00BF333A"/>
    <w:rsid w:val="00BF4D8D"/>
    <w:rsid w:val="00C01454"/>
    <w:rsid w:val="00C055A6"/>
    <w:rsid w:val="00C073CC"/>
    <w:rsid w:val="00C1273F"/>
    <w:rsid w:val="00C176E1"/>
    <w:rsid w:val="00C17A02"/>
    <w:rsid w:val="00C22632"/>
    <w:rsid w:val="00C238AE"/>
    <w:rsid w:val="00C23EBD"/>
    <w:rsid w:val="00C32445"/>
    <w:rsid w:val="00C34C87"/>
    <w:rsid w:val="00C36D16"/>
    <w:rsid w:val="00C3766A"/>
    <w:rsid w:val="00C37ABC"/>
    <w:rsid w:val="00C40B81"/>
    <w:rsid w:val="00C411F4"/>
    <w:rsid w:val="00C43091"/>
    <w:rsid w:val="00C502C4"/>
    <w:rsid w:val="00C516E5"/>
    <w:rsid w:val="00C53F18"/>
    <w:rsid w:val="00C55082"/>
    <w:rsid w:val="00C5598E"/>
    <w:rsid w:val="00C55B2B"/>
    <w:rsid w:val="00C56157"/>
    <w:rsid w:val="00C61905"/>
    <w:rsid w:val="00C626F3"/>
    <w:rsid w:val="00C6313B"/>
    <w:rsid w:val="00C67016"/>
    <w:rsid w:val="00C6744E"/>
    <w:rsid w:val="00C72E21"/>
    <w:rsid w:val="00C73B10"/>
    <w:rsid w:val="00C74C1D"/>
    <w:rsid w:val="00C75E83"/>
    <w:rsid w:val="00C81B22"/>
    <w:rsid w:val="00C82B67"/>
    <w:rsid w:val="00C82C2A"/>
    <w:rsid w:val="00C85FF9"/>
    <w:rsid w:val="00C865E9"/>
    <w:rsid w:val="00C9167F"/>
    <w:rsid w:val="00C951BF"/>
    <w:rsid w:val="00C969CF"/>
    <w:rsid w:val="00C97FEA"/>
    <w:rsid w:val="00CA08F9"/>
    <w:rsid w:val="00CA0DA7"/>
    <w:rsid w:val="00CA39D3"/>
    <w:rsid w:val="00CA3E9A"/>
    <w:rsid w:val="00CA68CD"/>
    <w:rsid w:val="00CB08AD"/>
    <w:rsid w:val="00CB172F"/>
    <w:rsid w:val="00CB3871"/>
    <w:rsid w:val="00CB4984"/>
    <w:rsid w:val="00CB54C1"/>
    <w:rsid w:val="00CC06F7"/>
    <w:rsid w:val="00CC5042"/>
    <w:rsid w:val="00CC7586"/>
    <w:rsid w:val="00CC7A77"/>
    <w:rsid w:val="00CD09A0"/>
    <w:rsid w:val="00CD0CEA"/>
    <w:rsid w:val="00CD0E2C"/>
    <w:rsid w:val="00CD44FD"/>
    <w:rsid w:val="00CD62D8"/>
    <w:rsid w:val="00CE00AC"/>
    <w:rsid w:val="00CE409C"/>
    <w:rsid w:val="00CE47BE"/>
    <w:rsid w:val="00CE6869"/>
    <w:rsid w:val="00CE6C99"/>
    <w:rsid w:val="00CF2E60"/>
    <w:rsid w:val="00CF3DF0"/>
    <w:rsid w:val="00CF45B7"/>
    <w:rsid w:val="00CF4D1E"/>
    <w:rsid w:val="00CF5E47"/>
    <w:rsid w:val="00CF7397"/>
    <w:rsid w:val="00D063CE"/>
    <w:rsid w:val="00D074A4"/>
    <w:rsid w:val="00D10B4A"/>
    <w:rsid w:val="00D1172C"/>
    <w:rsid w:val="00D11D86"/>
    <w:rsid w:val="00D1636B"/>
    <w:rsid w:val="00D172BF"/>
    <w:rsid w:val="00D23632"/>
    <w:rsid w:val="00D23635"/>
    <w:rsid w:val="00D24E87"/>
    <w:rsid w:val="00D2507F"/>
    <w:rsid w:val="00D25600"/>
    <w:rsid w:val="00D27F4E"/>
    <w:rsid w:val="00D301D2"/>
    <w:rsid w:val="00D3085E"/>
    <w:rsid w:val="00D308CB"/>
    <w:rsid w:val="00D33A75"/>
    <w:rsid w:val="00D33CD7"/>
    <w:rsid w:val="00D34D56"/>
    <w:rsid w:val="00D35067"/>
    <w:rsid w:val="00D35A46"/>
    <w:rsid w:val="00D370FC"/>
    <w:rsid w:val="00D37945"/>
    <w:rsid w:val="00D4058B"/>
    <w:rsid w:val="00D41EF8"/>
    <w:rsid w:val="00D45E79"/>
    <w:rsid w:val="00D463C1"/>
    <w:rsid w:val="00D46901"/>
    <w:rsid w:val="00D46C62"/>
    <w:rsid w:val="00D46D7C"/>
    <w:rsid w:val="00D46E2C"/>
    <w:rsid w:val="00D471DB"/>
    <w:rsid w:val="00D509A3"/>
    <w:rsid w:val="00D512E5"/>
    <w:rsid w:val="00D52DFF"/>
    <w:rsid w:val="00D55ACF"/>
    <w:rsid w:val="00D5730E"/>
    <w:rsid w:val="00D60B27"/>
    <w:rsid w:val="00D60D61"/>
    <w:rsid w:val="00D61CAB"/>
    <w:rsid w:val="00D64124"/>
    <w:rsid w:val="00D65A49"/>
    <w:rsid w:val="00D663CB"/>
    <w:rsid w:val="00D664FF"/>
    <w:rsid w:val="00D83E4A"/>
    <w:rsid w:val="00D8775F"/>
    <w:rsid w:val="00D87CDE"/>
    <w:rsid w:val="00D9364D"/>
    <w:rsid w:val="00D951C3"/>
    <w:rsid w:val="00D95DDB"/>
    <w:rsid w:val="00DA0253"/>
    <w:rsid w:val="00DB1822"/>
    <w:rsid w:val="00DB241E"/>
    <w:rsid w:val="00DB3954"/>
    <w:rsid w:val="00DC187E"/>
    <w:rsid w:val="00DC18ED"/>
    <w:rsid w:val="00DC1F63"/>
    <w:rsid w:val="00DC24A0"/>
    <w:rsid w:val="00DC5328"/>
    <w:rsid w:val="00DD0194"/>
    <w:rsid w:val="00DD1FD1"/>
    <w:rsid w:val="00DD30BA"/>
    <w:rsid w:val="00DD384E"/>
    <w:rsid w:val="00DD437F"/>
    <w:rsid w:val="00DD7ADD"/>
    <w:rsid w:val="00DE1531"/>
    <w:rsid w:val="00DE3604"/>
    <w:rsid w:val="00DE492F"/>
    <w:rsid w:val="00DE4E20"/>
    <w:rsid w:val="00DE690B"/>
    <w:rsid w:val="00DE7D05"/>
    <w:rsid w:val="00DE7D6D"/>
    <w:rsid w:val="00DF1C69"/>
    <w:rsid w:val="00DF1CCC"/>
    <w:rsid w:val="00DF2A21"/>
    <w:rsid w:val="00DF302E"/>
    <w:rsid w:val="00DF30E3"/>
    <w:rsid w:val="00DF7692"/>
    <w:rsid w:val="00E0112C"/>
    <w:rsid w:val="00E01719"/>
    <w:rsid w:val="00E01A13"/>
    <w:rsid w:val="00E01D06"/>
    <w:rsid w:val="00E03EED"/>
    <w:rsid w:val="00E04514"/>
    <w:rsid w:val="00E06164"/>
    <w:rsid w:val="00E06880"/>
    <w:rsid w:val="00E07038"/>
    <w:rsid w:val="00E1515F"/>
    <w:rsid w:val="00E1706D"/>
    <w:rsid w:val="00E17504"/>
    <w:rsid w:val="00E2021B"/>
    <w:rsid w:val="00E21F5E"/>
    <w:rsid w:val="00E221D5"/>
    <w:rsid w:val="00E22931"/>
    <w:rsid w:val="00E2294B"/>
    <w:rsid w:val="00E23503"/>
    <w:rsid w:val="00E2388B"/>
    <w:rsid w:val="00E25ADB"/>
    <w:rsid w:val="00E25CB2"/>
    <w:rsid w:val="00E26F56"/>
    <w:rsid w:val="00E27D42"/>
    <w:rsid w:val="00E3000E"/>
    <w:rsid w:val="00E3040C"/>
    <w:rsid w:val="00E3410F"/>
    <w:rsid w:val="00E36366"/>
    <w:rsid w:val="00E36A69"/>
    <w:rsid w:val="00E37758"/>
    <w:rsid w:val="00E40540"/>
    <w:rsid w:val="00E41B86"/>
    <w:rsid w:val="00E444CD"/>
    <w:rsid w:val="00E450B0"/>
    <w:rsid w:val="00E46243"/>
    <w:rsid w:val="00E46999"/>
    <w:rsid w:val="00E46FEF"/>
    <w:rsid w:val="00E500CD"/>
    <w:rsid w:val="00E50F00"/>
    <w:rsid w:val="00E50F9D"/>
    <w:rsid w:val="00E519CB"/>
    <w:rsid w:val="00E54EFD"/>
    <w:rsid w:val="00E561CC"/>
    <w:rsid w:val="00E5681A"/>
    <w:rsid w:val="00E57A8B"/>
    <w:rsid w:val="00E63D61"/>
    <w:rsid w:val="00E63F20"/>
    <w:rsid w:val="00E6475C"/>
    <w:rsid w:val="00E655B8"/>
    <w:rsid w:val="00E6582C"/>
    <w:rsid w:val="00E661C8"/>
    <w:rsid w:val="00E71EBB"/>
    <w:rsid w:val="00E73AD4"/>
    <w:rsid w:val="00E75A3F"/>
    <w:rsid w:val="00E76F5A"/>
    <w:rsid w:val="00E81A9C"/>
    <w:rsid w:val="00E82E11"/>
    <w:rsid w:val="00E83167"/>
    <w:rsid w:val="00E84BAE"/>
    <w:rsid w:val="00E935A9"/>
    <w:rsid w:val="00E93821"/>
    <w:rsid w:val="00E953A2"/>
    <w:rsid w:val="00E95592"/>
    <w:rsid w:val="00EA1747"/>
    <w:rsid w:val="00EA1BA0"/>
    <w:rsid w:val="00EA1C44"/>
    <w:rsid w:val="00EA217A"/>
    <w:rsid w:val="00EA6C6C"/>
    <w:rsid w:val="00EB16B7"/>
    <w:rsid w:val="00EB77ED"/>
    <w:rsid w:val="00EC2F6D"/>
    <w:rsid w:val="00EC360C"/>
    <w:rsid w:val="00EC37C8"/>
    <w:rsid w:val="00EC45EE"/>
    <w:rsid w:val="00EC46AF"/>
    <w:rsid w:val="00EC7641"/>
    <w:rsid w:val="00EC7D8F"/>
    <w:rsid w:val="00ED026F"/>
    <w:rsid w:val="00ED1CF9"/>
    <w:rsid w:val="00ED3EC3"/>
    <w:rsid w:val="00ED4E6F"/>
    <w:rsid w:val="00ED6643"/>
    <w:rsid w:val="00ED6C60"/>
    <w:rsid w:val="00EE0697"/>
    <w:rsid w:val="00EE0CEA"/>
    <w:rsid w:val="00EE0EA0"/>
    <w:rsid w:val="00EE4202"/>
    <w:rsid w:val="00EE4354"/>
    <w:rsid w:val="00EE4611"/>
    <w:rsid w:val="00EE505F"/>
    <w:rsid w:val="00EE77F3"/>
    <w:rsid w:val="00EF0199"/>
    <w:rsid w:val="00EF02E4"/>
    <w:rsid w:val="00EF0A6B"/>
    <w:rsid w:val="00EF22D7"/>
    <w:rsid w:val="00EF3D00"/>
    <w:rsid w:val="00EF4901"/>
    <w:rsid w:val="00EF7BE0"/>
    <w:rsid w:val="00F00398"/>
    <w:rsid w:val="00F03513"/>
    <w:rsid w:val="00F04D45"/>
    <w:rsid w:val="00F05912"/>
    <w:rsid w:val="00F069FC"/>
    <w:rsid w:val="00F0718E"/>
    <w:rsid w:val="00F07269"/>
    <w:rsid w:val="00F118B0"/>
    <w:rsid w:val="00F12015"/>
    <w:rsid w:val="00F12550"/>
    <w:rsid w:val="00F1325B"/>
    <w:rsid w:val="00F16DF0"/>
    <w:rsid w:val="00F208A8"/>
    <w:rsid w:val="00F2229A"/>
    <w:rsid w:val="00F24959"/>
    <w:rsid w:val="00F261F2"/>
    <w:rsid w:val="00F27137"/>
    <w:rsid w:val="00F3095F"/>
    <w:rsid w:val="00F31916"/>
    <w:rsid w:val="00F33988"/>
    <w:rsid w:val="00F343F4"/>
    <w:rsid w:val="00F346D1"/>
    <w:rsid w:val="00F36CBC"/>
    <w:rsid w:val="00F424E5"/>
    <w:rsid w:val="00F44A38"/>
    <w:rsid w:val="00F47F87"/>
    <w:rsid w:val="00F50F02"/>
    <w:rsid w:val="00F5149C"/>
    <w:rsid w:val="00F51F6C"/>
    <w:rsid w:val="00F52AE6"/>
    <w:rsid w:val="00F5304D"/>
    <w:rsid w:val="00F533EE"/>
    <w:rsid w:val="00F535B4"/>
    <w:rsid w:val="00F56ADD"/>
    <w:rsid w:val="00F61089"/>
    <w:rsid w:val="00F717C2"/>
    <w:rsid w:val="00F73045"/>
    <w:rsid w:val="00F73668"/>
    <w:rsid w:val="00F75FCA"/>
    <w:rsid w:val="00F760A5"/>
    <w:rsid w:val="00F82B92"/>
    <w:rsid w:val="00F83041"/>
    <w:rsid w:val="00F838FE"/>
    <w:rsid w:val="00F84950"/>
    <w:rsid w:val="00F84C1F"/>
    <w:rsid w:val="00F85A5A"/>
    <w:rsid w:val="00F869E5"/>
    <w:rsid w:val="00F92118"/>
    <w:rsid w:val="00F924D0"/>
    <w:rsid w:val="00F92A3B"/>
    <w:rsid w:val="00F92D8C"/>
    <w:rsid w:val="00F932A8"/>
    <w:rsid w:val="00F9330E"/>
    <w:rsid w:val="00F96E38"/>
    <w:rsid w:val="00FA127A"/>
    <w:rsid w:val="00FA2875"/>
    <w:rsid w:val="00FA501C"/>
    <w:rsid w:val="00FA7E12"/>
    <w:rsid w:val="00FB279E"/>
    <w:rsid w:val="00FB3F52"/>
    <w:rsid w:val="00FB40CD"/>
    <w:rsid w:val="00FB516B"/>
    <w:rsid w:val="00FB72A3"/>
    <w:rsid w:val="00FC4FD6"/>
    <w:rsid w:val="00FC527D"/>
    <w:rsid w:val="00FC5444"/>
    <w:rsid w:val="00FC6245"/>
    <w:rsid w:val="00FC751B"/>
    <w:rsid w:val="00FD011D"/>
    <w:rsid w:val="00FD17B4"/>
    <w:rsid w:val="00FD6DAC"/>
    <w:rsid w:val="00FD70FA"/>
    <w:rsid w:val="00FD7604"/>
    <w:rsid w:val="00FE1954"/>
    <w:rsid w:val="00FE353C"/>
    <w:rsid w:val="00FE3CBA"/>
    <w:rsid w:val="00FE4F67"/>
    <w:rsid w:val="00FE50EF"/>
    <w:rsid w:val="00FE59A7"/>
    <w:rsid w:val="00FE5C4A"/>
    <w:rsid w:val="00FE6FE4"/>
    <w:rsid w:val="00FF03A6"/>
    <w:rsid w:val="00FF04DD"/>
    <w:rsid w:val="00FF207F"/>
    <w:rsid w:val="00FF6873"/>
    <w:rsid w:val="01133ADD"/>
    <w:rsid w:val="011C0FA9"/>
    <w:rsid w:val="02BA8BD7"/>
    <w:rsid w:val="03079F0D"/>
    <w:rsid w:val="031529DD"/>
    <w:rsid w:val="03BE3EB6"/>
    <w:rsid w:val="042BC7B0"/>
    <w:rsid w:val="045E5C58"/>
    <w:rsid w:val="054E1236"/>
    <w:rsid w:val="059D5A8E"/>
    <w:rsid w:val="06C6FEF1"/>
    <w:rsid w:val="0859F204"/>
    <w:rsid w:val="0871E6A6"/>
    <w:rsid w:val="08A14129"/>
    <w:rsid w:val="09413694"/>
    <w:rsid w:val="097A5853"/>
    <w:rsid w:val="0BAF5A5B"/>
    <w:rsid w:val="0BE11A10"/>
    <w:rsid w:val="0C081ECD"/>
    <w:rsid w:val="0C69B7AC"/>
    <w:rsid w:val="0C824A59"/>
    <w:rsid w:val="0C88E951"/>
    <w:rsid w:val="0CD9399C"/>
    <w:rsid w:val="0D1A34DC"/>
    <w:rsid w:val="0D44E755"/>
    <w:rsid w:val="0D4F9DD8"/>
    <w:rsid w:val="0D99EA6E"/>
    <w:rsid w:val="0F117ABB"/>
    <w:rsid w:val="0F8A58AC"/>
    <w:rsid w:val="10B71751"/>
    <w:rsid w:val="10E04F01"/>
    <w:rsid w:val="11EDA359"/>
    <w:rsid w:val="13A554B7"/>
    <w:rsid w:val="14233087"/>
    <w:rsid w:val="15B2AE28"/>
    <w:rsid w:val="1621A7FF"/>
    <w:rsid w:val="1692244E"/>
    <w:rsid w:val="18F95328"/>
    <w:rsid w:val="196C2C30"/>
    <w:rsid w:val="19BDEDD5"/>
    <w:rsid w:val="1A10EDFA"/>
    <w:rsid w:val="1D5F4EA6"/>
    <w:rsid w:val="1F40129B"/>
    <w:rsid w:val="1FBE57DC"/>
    <w:rsid w:val="20A3C448"/>
    <w:rsid w:val="21B054D7"/>
    <w:rsid w:val="21B54786"/>
    <w:rsid w:val="22D93C11"/>
    <w:rsid w:val="235B286F"/>
    <w:rsid w:val="23E81DFD"/>
    <w:rsid w:val="24EEA853"/>
    <w:rsid w:val="2506F71F"/>
    <w:rsid w:val="25572821"/>
    <w:rsid w:val="256F88E9"/>
    <w:rsid w:val="278F81AF"/>
    <w:rsid w:val="27DED507"/>
    <w:rsid w:val="287C704C"/>
    <w:rsid w:val="2881E90C"/>
    <w:rsid w:val="28841E87"/>
    <w:rsid w:val="28B07298"/>
    <w:rsid w:val="2A36612A"/>
    <w:rsid w:val="2A95A45F"/>
    <w:rsid w:val="2ACD53D2"/>
    <w:rsid w:val="2B05DDD8"/>
    <w:rsid w:val="2B1F7E46"/>
    <w:rsid w:val="2CAB7239"/>
    <w:rsid w:val="2F2EA22E"/>
    <w:rsid w:val="2F73BD11"/>
    <w:rsid w:val="2FB365A1"/>
    <w:rsid w:val="2FC71D9D"/>
    <w:rsid w:val="302E2AE7"/>
    <w:rsid w:val="303306AB"/>
    <w:rsid w:val="318DA189"/>
    <w:rsid w:val="327473EC"/>
    <w:rsid w:val="32C2D0DE"/>
    <w:rsid w:val="32DEC61B"/>
    <w:rsid w:val="335F44A5"/>
    <w:rsid w:val="33854889"/>
    <w:rsid w:val="33D8EA89"/>
    <w:rsid w:val="33EB2F08"/>
    <w:rsid w:val="34376122"/>
    <w:rsid w:val="347E4193"/>
    <w:rsid w:val="34E20F55"/>
    <w:rsid w:val="375272B2"/>
    <w:rsid w:val="37A0E8B8"/>
    <w:rsid w:val="37BC77EC"/>
    <w:rsid w:val="398C4163"/>
    <w:rsid w:val="39AABFD9"/>
    <w:rsid w:val="39C57578"/>
    <w:rsid w:val="39F1155C"/>
    <w:rsid w:val="3BF598A1"/>
    <w:rsid w:val="3C2C28D4"/>
    <w:rsid w:val="3D8B47EC"/>
    <w:rsid w:val="3E58AA92"/>
    <w:rsid w:val="3EEB469B"/>
    <w:rsid w:val="405C2764"/>
    <w:rsid w:val="4105376F"/>
    <w:rsid w:val="41770BC9"/>
    <w:rsid w:val="41A17913"/>
    <w:rsid w:val="42DA5B3D"/>
    <w:rsid w:val="431D098B"/>
    <w:rsid w:val="43629D2A"/>
    <w:rsid w:val="43F0826C"/>
    <w:rsid w:val="43F563A4"/>
    <w:rsid w:val="44656EF5"/>
    <w:rsid w:val="4498FC20"/>
    <w:rsid w:val="461A2060"/>
    <w:rsid w:val="46358FDE"/>
    <w:rsid w:val="46B24B4E"/>
    <w:rsid w:val="46E62568"/>
    <w:rsid w:val="48613D6E"/>
    <w:rsid w:val="48A4109F"/>
    <w:rsid w:val="491305FE"/>
    <w:rsid w:val="4965B9E9"/>
    <w:rsid w:val="49AAB651"/>
    <w:rsid w:val="49B73CAA"/>
    <w:rsid w:val="4A6376CC"/>
    <w:rsid w:val="4B192B6A"/>
    <w:rsid w:val="4BE85B82"/>
    <w:rsid w:val="4C997EEE"/>
    <w:rsid w:val="4D3752BD"/>
    <w:rsid w:val="4D3F6CB4"/>
    <w:rsid w:val="4DCD5A8D"/>
    <w:rsid w:val="4F6CBF01"/>
    <w:rsid w:val="5045C0CA"/>
    <w:rsid w:val="5067D6A9"/>
    <w:rsid w:val="5088D25B"/>
    <w:rsid w:val="50E6A85C"/>
    <w:rsid w:val="5211E72A"/>
    <w:rsid w:val="522F93E6"/>
    <w:rsid w:val="52D28DA5"/>
    <w:rsid w:val="536D7930"/>
    <w:rsid w:val="548A7A93"/>
    <w:rsid w:val="553EA224"/>
    <w:rsid w:val="556A9437"/>
    <w:rsid w:val="56054680"/>
    <w:rsid w:val="56188709"/>
    <w:rsid w:val="5678DC77"/>
    <w:rsid w:val="570032B7"/>
    <w:rsid w:val="57C52DEB"/>
    <w:rsid w:val="58C66BEF"/>
    <w:rsid w:val="58EF3C0A"/>
    <w:rsid w:val="593F7CB5"/>
    <w:rsid w:val="59531C3F"/>
    <w:rsid w:val="5963AA83"/>
    <w:rsid w:val="596C7383"/>
    <w:rsid w:val="5A6B71C1"/>
    <w:rsid w:val="5A9C6165"/>
    <w:rsid w:val="5AD493B4"/>
    <w:rsid w:val="5B299409"/>
    <w:rsid w:val="5B7032B3"/>
    <w:rsid w:val="5C677905"/>
    <w:rsid w:val="5C79F2E3"/>
    <w:rsid w:val="5CAA857B"/>
    <w:rsid w:val="5E9345ED"/>
    <w:rsid w:val="5FC9B43E"/>
    <w:rsid w:val="61BA9990"/>
    <w:rsid w:val="61F114DC"/>
    <w:rsid w:val="63BEF3FB"/>
    <w:rsid w:val="64346407"/>
    <w:rsid w:val="648E3024"/>
    <w:rsid w:val="64BE076D"/>
    <w:rsid w:val="6527D3AF"/>
    <w:rsid w:val="6557483F"/>
    <w:rsid w:val="660E80F2"/>
    <w:rsid w:val="66529D74"/>
    <w:rsid w:val="678581A8"/>
    <w:rsid w:val="67B83F79"/>
    <w:rsid w:val="68F9A8AC"/>
    <w:rsid w:val="69056068"/>
    <w:rsid w:val="697924AA"/>
    <w:rsid w:val="698562A5"/>
    <w:rsid w:val="69A33ECD"/>
    <w:rsid w:val="6B92A780"/>
    <w:rsid w:val="6D3BB30E"/>
    <w:rsid w:val="6E89B93A"/>
    <w:rsid w:val="6EAFDDA4"/>
    <w:rsid w:val="71205850"/>
    <w:rsid w:val="712B6A5D"/>
    <w:rsid w:val="71327953"/>
    <w:rsid w:val="7227965B"/>
    <w:rsid w:val="72327286"/>
    <w:rsid w:val="72ABA345"/>
    <w:rsid w:val="7412D0CD"/>
    <w:rsid w:val="7486D63E"/>
    <w:rsid w:val="75B33744"/>
    <w:rsid w:val="7610AEAD"/>
    <w:rsid w:val="76975EE7"/>
    <w:rsid w:val="769F65F1"/>
    <w:rsid w:val="77BD31FE"/>
    <w:rsid w:val="7823D421"/>
    <w:rsid w:val="78B6C361"/>
    <w:rsid w:val="79A351C0"/>
    <w:rsid w:val="79AE5E9A"/>
    <w:rsid w:val="79C283DB"/>
    <w:rsid w:val="79CD8E09"/>
    <w:rsid w:val="7ABB32F9"/>
    <w:rsid w:val="7AF6B2A6"/>
    <w:rsid w:val="7B0AFB08"/>
    <w:rsid w:val="7B527AFA"/>
    <w:rsid w:val="7CF3A825"/>
    <w:rsid w:val="7D93BAC0"/>
    <w:rsid w:val="7DC26B38"/>
    <w:rsid w:val="7DE3CDCB"/>
    <w:rsid w:val="7E1D62CA"/>
    <w:rsid w:val="7E8D4368"/>
    <w:rsid w:val="7EC487B4"/>
    <w:rsid w:val="7F28BF9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BD3B52"/>
  <w15:chartTrackingRefBased/>
  <w15:docId w15:val="{C30BA7F7-C493-4F16-A149-47AD378A6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6901"/>
    <w:pPr>
      <w:keepNext/>
      <w:keepLines/>
      <w:numPr>
        <w:numId w:val="10"/>
      </w:numPr>
      <w:spacing w:before="360" w:after="80"/>
      <w:outlineLvl w:val="0"/>
    </w:pPr>
    <w:rPr>
      <w:rFonts w:asciiTheme="majorHAnsi" w:eastAsiaTheme="majorEastAsia" w:hAnsiTheme="majorHAnsi"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99779F"/>
    <w:pPr>
      <w:keepNext/>
      <w:keepLines/>
      <w:numPr>
        <w:ilvl w:val="1"/>
        <w:numId w:val="10"/>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779F"/>
    <w:pPr>
      <w:keepNext/>
      <w:keepLines/>
      <w:numPr>
        <w:ilvl w:val="2"/>
        <w:numId w:val="10"/>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9779F"/>
    <w:pPr>
      <w:keepNext/>
      <w:keepLines/>
      <w:numPr>
        <w:ilvl w:val="3"/>
        <w:numId w:val="10"/>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779F"/>
    <w:pPr>
      <w:keepNext/>
      <w:keepLines/>
      <w:numPr>
        <w:ilvl w:val="4"/>
        <w:numId w:val="10"/>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779F"/>
    <w:pPr>
      <w:keepNext/>
      <w:keepLines/>
      <w:numPr>
        <w:ilvl w:val="5"/>
        <w:numId w:val="10"/>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779F"/>
    <w:pPr>
      <w:keepNext/>
      <w:keepLines/>
      <w:numPr>
        <w:ilvl w:val="6"/>
        <w:numId w:val="10"/>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779F"/>
    <w:pPr>
      <w:keepNext/>
      <w:keepLines/>
      <w:numPr>
        <w:ilvl w:val="7"/>
        <w:numId w:val="10"/>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779F"/>
    <w:pPr>
      <w:keepNext/>
      <w:keepLines/>
      <w:numPr>
        <w:ilvl w:val="8"/>
        <w:numId w:val="10"/>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901"/>
    <w:rPr>
      <w:rFonts w:asciiTheme="majorHAnsi" w:eastAsiaTheme="majorEastAsia" w:hAnsiTheme="majorHAnsi" w:cstheme="majorBidi"/>
      <w:color w:val="0F4761" w:themeColor="accent1" w:themeShade="BF"/>
      <w:sz w:val="32"/>
      <w:szCs w:val="40"/>
    </w:rPr>
  </w:style>
  <w:style w:type="character" w:customStyle="1" w:styleId="Heading2Char">
    <w:name w:val="Heading 2 Char"/>
    <w:basedOn w:val="DefaultParagraphFont"/>
    <w:link w:val="Heading2"/>
    <w:uiPriority w:val="9"/>
    <w:rsid w:val="009977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77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977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77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77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77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77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779F"/>
    <w:rPr>
      <w:rFonts w:eastAsiaTheme="majorEastAsia" w:cstheme="majorBidi"/>
      <w:color w:val="272727" w:themeColor="text1" w:themeTint="D8"/>
    </w:rPr>
  </w:style>
  <w:style w:type="paragraph" w:styleId="Title">
    <w:name w:val="Title"/>
    <w:basedOn w:val="Normal"/>
    <w:next w:val="Normal"/>
    <w:link w:val="TitleChar"/>
    <w:uiPriority w:val="10"/>
    <w:qFormat/>
    <w:rsid w:val="009977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7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77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77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779F"/>
    <w:pPr>
      <w:spacing w:before="160"/>
      <w:jc w:val="center"/>
    </w:pPr>
    <w:rPr>
      <w:i/>
      <w:iCs/>
      <w:color w:val="404040" w:themeColor="text1" w:themeTint="BF"/>
    </w:rPr>
  </w:style>
  <w:style w:type="character" w:customStyle="1" w:styleId="QuoteChar">
    <w:name w:val="Quote Char"/>
    <w:basedOn w:val="DefaultParagraphFont"/>
    <w:link w:val="Quote"/>
    <w:uiPriority w:val="29"/>
    <w:rsid w:val="0099779F"/>
    <w:rPr>
      <w:i/>
      <w:iCs/>
      <w:color w:val="404040" w:themeColor="text1" w:themeTint="BF"/>
    </w:rPr>
  </w:style>
  <w:style w:type="paragraph" w:styleId="ListParagraph">
    <w:name w:val="List Paragraph"/>
    <w:basedOn w:val="Normal"/>
    <w:uiPriority w:val="34"/>
    <w:qFormat/>
    <w:rsid w:val="0099779F"/>
    <w:pPr>
      <w:ind w:left="720"/>
      <w:contextualSpacing/>
    </w:pPr>
  </w:style>
  <w:style w:type="character" w:styleId="IntenseEmphasis">
    <w:name w:val="Intense Emphasis"/>
    <w:basedOn w:val="DefaultParagraphFont"/>
    <w:uiPriority w:val="21"/>
    <w:qFormat/>
    <w:rsid w:val="0099779F"/>
    <w:rPr>
      <w:i/>
      <w:iCs/>
      <w:color w:val="0F4761" w:themeColor="accent1" w:themeShade="BF"/>
    </w:rPr>
  </w:style>
  <w:style w:type="paragraph" w:styleId="IntenseQuote">
    <w:name w:val="Intense Quote"/>
    <w:basedOn w:val="Normal"/>
    <w:next w:val="Normal"/>
    <w:link w:val="IntenseQuoteChar"/>
    <w:uiPriority w:val="30"/>
    <w:qFormat/>
    <w:rsid w:val="009977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779F"/>
    <w:rPr>
      <w:i/>
      <w:iCs/>
      <w:color w:val="0F4761" w:themeColor="accent1" w:themeShade="BF"/>
    </w:rPr>
  </w:style>
  <w:style w:type="character" w:styleId="IntenseReference">
    <w:name w:val="Intense Reference"/>
    <w:basedOn w:val="DefaultParagraphFont"/>
    <w:uiPriority w:val="32"/>
    <w:qFormat/>
    <w:rsid w:val="0099779F"/>
    <w:rPr>
      <w:b/>
      <w:bCs/>
      <w:smallCaps/>
      <w:color w:val="0F4761" w:themeColor="accent1" w:themeShade="BF"/>
      <w:spacing w:val="5"/>
    </w:rPr>
  </w:style>
  <w:style w:type="paragraph" w:styleId="NormalWeb">
    <w:name w:val="Normal (Web)"/>
    <w:basedOn w:val="Normal"/>
    <w:uiPriority w:val="99"/>
    <w:semiHidden/>
    <w:unhideWhenUsed/>
    <w:rsid w:val="007C4F62"/>
    <w:rPr>
      <w:rFonts w:ascii="Times New Roman" w:hAnsi="Times New Roman" w:cs="Times New Roman"/>
    </w:rPr>
  </w:style>
  <w:style w:type="paragraph" w:styleId="Header">
    <w:name w:val="header"/>
    <w:basedOn w:val="Normal"/>
    <w:link w:val="HeaderChar"/>
    <w:uiPriority w:val="99"/>
    <w:unhideWhenUsed/>
    <w:rsid w:val="004478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808"/>
  </w:style>
  <w:style w:type="paragraph" w:styleId="Footer">
    <w:name w:val="footer"/>
    <w:basedOn w:val="Normal"/>
    <w:link w:val="FooterChar"/>
    <w:uiPriority w:val="99"/>
    <w:unhideWhenUsed/>
    <w:rsid w:val="004478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808"/>
  </w:style>
  <w:style w:type="character" w:styleId="Hyperlink">
    <w:name w:val="Hyperlink"/>
    <w:basedOn w:val="DefaultParagraphFont"/>
    <w:uiPriority w:val="99"/>
    <w:unhideWhenUsed/>
    <w:rsid w:val="00955E94"/>
    <w:rPr>
      <w:color w:val="467886" w:themeColor="hyperlink"/>
      <w:u w:val="single"/>
    </w:rPr>
  </w:style>
  <w:style w:type="character" w:styleId="UnresolvedMention">
    <w:name w:val="Unresolved Mention"/>
    <w:basedOn w:val="DefaultParagraphFont"/>
    <w:uiPriority w:val="99"/>
    <w:semiHidden/>
    <w:unhideWhenUsed/>
    <w:rsid w:val="00955E94"/>
    <w:rPr>
      <w:color w:val="605E5C"/>
      <w:shd w:val="clear" w:color="auto" w:fill="E1DFDD"/>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NoSpacing">
    <w:name w:val="No Spacing"/>
    <w:uiPriority w:val="1"/>
    <w:qFormat/>
    <w:rsid w:val="00AA0E70"/>
    <w:pPr>
      <w:spacing w:after="0"/>
    </w:pPr>
  </w:style>
  <w:style w:type="paragraph" w:styleId="CommentSubject">
    <w:name w:val="annotation subject"/>
    <w:basedOn w:val="CommentText"/>
    <w:next w:val="CommentText"/>
    <w:link w:val="CommentSubjectChar"/>
    <w:uiPriority w:val="99"/>
    <w:semiHidden/>
    <w:unhideWhenUsed/>
    <w:rsid w:val="00CF4D1E"/>
    <w:rPr>
      <w:b/>
      <w:bCs/>
    </w:rPr>
  </w:style>
  <w:style w:type="character" w:customStyle="1" w:styleId="CommentSubjectChar">
    <w:name w:val="Comment Subject Char"/>
    <w:basedOn w:val="CommentTextChar"/>
    <w:link w:val="CommentSubject"/>
    <w:uiPriority w:val="99"/>
    <w:semiHidden/>
    <w:rsid w:val="00CF4D1E"/>
    <w:rPr>
      <w:b/>
      <w:bCs/>
      <w:sz w:val="20"/>
      <w:szCs w:val="20"/>
    </w:rPr>
  </w:style>
  <w:style w:type="paragraph" w:styleId="TOCHeading">
    <w:name w:val="TOC Heading"/>
    <w:basedOn w:val="Heading1"/>
    <w:next w:val="Normal"/>
    <w:uiPriority w:val="39"/>
    <w:unhideWhenUsed/>
    <w:qFormat/>
    <w:rsid w:val="008253D2"/>
    <w:pPr>
      <w:spacing w:before="240" w:after="0" w:line="259" w:lineRule="auto"/>
      <w:outlineLvl w:val="9"/>
    </w:pPr>
    <w:rPr>
      <w:kern w:val="0"/>
      <w:szCs w:val="32"/>
      <w:lang w:val="en-US" w:eastAsia="en-US"/>
      <w14:ligatures w14:val="none"/>
    </w:rPr>
  </w:style>
  <w:style w:type="paragraph" w:styleId="TOC1">
    <w:name w:val="toc 1"/>
    <w:basedOn w:val="Normal"/>
    <w:next w:val="Normal"/>
    <w:autoRedefine/>
    <w:uiPriority w:val="39"/>
    <w:unhideWhenUsed/>
    <w:rsid w:val="008253D2"/>
    <w:pPr>
      <w:spacing w:after="100"/>
    </w:pPr>
  </w:style>
  <w:style w:type="paragraph" w:styleId="TOC2">
    <w:name w:val="toc 2"/>
    <w:basedOn w:val="Normal"/>
    <w:next w:val="Normal"/>
    <w:autoRedefine/>
    <w:uiPriority w:val="39"/>
    <w:unhideWhenUsed/>
    <w:rsid w:val="008253D2"/>
    <w:pPr>
      <w:spacing w:after="100"/>
      <w:ind w:left="240"/>
    </w:pPr>
  </w:style>
  <w:style w:type="paragraph" w:styleId="TOC3">
    <w:name w:val="toc 3"/>
    <w:basedOn w:val="Normal"/>
    <w:next w:val="Normal"/>
    <w:autoRedefine/>
    <w:uiPriority w:val="39"/>
    <w:unhideWhenUsed/>
    <w:rsid w:val="004D683F"/>
    <w:pPr>
      <w:spacing w:after="100"/>
      <w:ind w:left="480"/>
    </w:pPr>
  </w:style>
  <w:style w:type="character" w:styleId="FollowedHyperlink">
    <w:name w:val="FollowedHyperlink"/>
    <w:basedOn w:val="DefaultParagraphFont"/>
    <w:uiPriority w:val="99"/>
    <w:semiHidden/>
    <w:unhideWhenUsed/>
    <w:rsid w:val="00581D0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6348">
      <w:bodyDiv w:val="1"/>
      <w:marLeft w:val="0"/>
      <w:marRight w:val="0"/>
      <w:marTop w:val="0"/>
      <w:marBottom w:val="0"/>
      <w:divBdr>
        <w:top w:val="none" w:sz="0" w:space="0" w:color="auto"/>
        <w:left w:val="none" w:sz="0" w:space="0" w:color="auto"/>
        <w:bottom w:val="none" w:sz="0" w:space="0" w:color="auto"/>
        <w:right w:val="none" w:sz="0" w:space="0" w:color="auto"/>
      </w:divBdr>
    </w:div>
    <w:div w:id="16469256">
      <w:bodyDiv w:val="1"/>
      <w:marLeft w:val="0"/>
      <w:marRight w:val="0"/>
      <w:marTop w:val="0"/>
      <w:marBottom w:val="0"/>
      <w:divBdr>
        <w:top w:val="none" w:sz="0" w:space="0" w:color="auto"/>
        <w:left w:val="none" w:sz="0" w:space="0" w:color="auto"/>
        <w:bottom w:val="none" w:sz="0" w:space="0" w:color="auto"/>
        <w:right w:val="none" w:sz="0" w:space="0" w:color="auto"/>
      </w:divBdr>
      <w:divsChild>
        <w:div w:id="660087773">
          <w:blockQuote w:val="1"/>
          <w:marLeft w:val="720"/>
          <w:marRight w:val="720"/>
          <w:marTop w:val="100"/>
          <w:marBottom w:val="100"/>
          <w:divBdr>
            <w:top w:val="none" w:sz="0" w:space="0" w:color="auto"/>
            <w:left w:val="none" w:sz="0" w:space="0" w:color="auto"/>
            <w:bottom w:val="none" w:sz="0" w:space="0" w:color="auto"/>
            <w:right w:val="none" w:sz="0" w:space="0" w:color="auto"/>
          </w:divBdr>
        </w:div>
        <w:div w:id="20334175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854974">
      <w:bodyDiv w:val="1"/>
      <w:marLeft w:val="0"/>
      <w:marRight w:val="0"/>
      <w:marTop w:val="0"/>
      <w:marBottom w:val="0"/>
      <w:divBdr>
        <w:top w:val="none" w:sz="0" w:space="0" w:color="auto"/>
        <w:left w:val="none" w:sz="0" w:space="0" w:color="auto"/>
        <w:bottom w:val="none" w:sz="0" w:space="0" w:color="auto"/>
        <w:right w:val="none" w:sz="0" w:space="0" w:color="auto"/>
      </w:divBdr>
    </w:div>
    <w:div w:id="94786466">
      <w:bodyDiv w:val="1"/>
      <w:marLeft w:val="0"/>
      <w:marRight w:val="0"/>
      <w:marTop w:val="0"/>
      <w:marBottom w:val="0"/>
      <w:divBdr>
        <w:top w:val="none" w:sz="0" w:space="0" w:color="auto"/>
        <w:left w:val="none" w:sz="0" w:space="0" w:color="auto"/>
        <w:bottom w:val="none" w:sz="0" w:space="0" w:color="auto"/>
        <w:right w:val="none" w:sz="0" w:space="0" w:color="auto"/>
      </w:divBdr>
    </w:div>
    <w:div w:id="113258539">
      <w:bodyDiv w:val="1"/>
      <w:marLeft w:val="0"/>
      <w:marRight w:val="0"/>
      <w:marTop w:val="0"/>
      <w:marBottom w:val="0"/>
      <w:divBdr>
        <w:top w:val="none" w:sz="0" w:space="0" w:color="auto"/>
        <w:left w:val="none" w:sz="0" w:space="0" w:color="auto"/>
        <w:bottom w:val="none" w:sz="0" w:space="0" w:color="auto"/>
        <w:right w:val="none" w:sz="0" w:space="0" w:color="auto"/>
      </w:divBdr>
    </w:div>
    <w:div w:id="130443022">
      <w:bodyDiv w:val="1"/>
      <w:marLeft w:val="0"/>
      <w:marRight w:val="0"/>
      <w:marTop w:val="0"/>
      <w:marBottom w:val="0"/>
      <w:divBdr>
        <w:top w:val="none" w:sz="0" w:space="0" w:color="auto"/>
        <w:left w:val="none" w:sz="0" w:space="0" w:color="auto"/>
        <w:bottom w:val="none" w:sz="0" w:space="0" w:color="auto"/>
        <w:right w:val="none" w:sz="0" w:space="0" w:color="auto"/>
      </w:divBdr>
    </w:div>
    <w:div w:id="136337573">
      <w:bodyDiv w:val="1"/>
      <w:marLeft w:val="0"/>
      <w:marRight w:val="0"/>
      <w:marTop w:val="0"/>
      <w:marBottom w:val="0"/>
      <w:divBdr>
        <w:top w:val="none" w:sz="0" w:space="0" w:color="auto"/>
        <w:left w:val="none" w:sz="0" w:space="0" w:color="auto"/>
        <w:bottom w:val="none" w:sz="0" w:space="0" w:color="auto"/>
        <w:right w:val="none" w:sz="0" w:space="0" w:color="auto"/>
      </w:divBdr>
    </w:div>
    <w:div w:id="152187094">
      <w:bodyDiv w:val="1"/>
      <w:marLeft w:val="0"/>
      <w:marRight w:val="0"/>
      <w:marTop w:val="0"/>
      <w:marBottom w:val="0"/>
      <w:divBdr>
        <w:top w:val="none" w:sz="0" w:space="0" w:color="auto"/>
        <w:left w:val="none" w:sz="0" w:space="0" w:color="auto"/>
        <w:bottom w:val="none" w:sz="0" w:space="0" w:color="auto"/>
        <w:right w:val="none" w:sz="0" w:space="0" w:color="auto"/>
      </w:divBdr>
    </w:div>
    <w:div w:id="161354534">
      <w:bodyDiv w:val="1"/>
      <w:marLeft w:val="0"/>
      <w:marRight w:val="0"/>
      <w:marTop w:val="0"/>
      <w:marBottom w:val="0"/>
      <w:divBdr>
        <w:top w:val="none" w:sz="0" w:space="0" w:color="auto"/>
        <w:left w:val="none" w:sz="0" w:space="0" w:color="auto"/>
        <w:bottom w:val="none" w:sz="0" w:space="0" w:color="auto"/>
        <w:right w:val="none" w:sz="0" w:space="0" w:color="auto"/>
      </w:divBdr>
    </w:div>
    <w:div w:id="170069209">
      <w:bodyDiv w:val="1"/>
      <w:marLeft w:val="0"/>
      <w:marRight w:val="0"/>
      <w:marTop w:val="0"/>
      <w:marBottom w:val="0"/>
      <w:divBdr>
        <w:top w:val="none" w:sz="0" w:space="0" w:color="auto"/>
        <w:left w:val="none" w:sz="0" w:space="0" w:color="auto"/>
        <w:bottom w:val="none" w:sz="0" w:space="0" w:color="auto"/>
        <w:right w:val="none" w:sz="0" w:space="0" w:color="auto"/>
      </w:divBdr>
    </w:div>
    <w:div w:id="216938680">
      <w:bodyDiv w:val="1"/>
      <w:marLeft w:val="0"/>
      <w:marRight w:val="0"/>
      <w:marTop w:val="0"/>
      <w:marBottom w:val="0"/>
      <w:divBdr>
        <w:top w:val="none" w:sz="0" w:space="0" w:color="auto"/>
        <w:left w:val="none" w:sz="0" w:space="0" w:color="auto"/>
        <w:bottom w:val="none" w:sz="0" w:space="0" w:color="auto"/>
        <w:right w:val="none" w:sz="0" w:space="0" w:color="auto"/>
      </w:divBdr>
    </w:div>
    <w:div w:id="233442713">
      <w:bodyDiv w:val="1"/>
      <w:marLeft w:val="0"/>
      <w:marRight w:val="0"/>
      <w:marTop w:val="0"/>
      <w:marBottom w:val="0"/>
      <w:divBdr>
        <w:top w:val="none" w:sz="0" w:space="0" w:color="auto"/>
        <w:left w:val="none" w:sz="0" w:space="0" w:color="auto"/>
        <w:bottom w:val="none" w:sz="0" w:space="0" w:color="auto"/>
        <w:right w:val="none" w:sz="0" w:space="0" w:color="auto"/>
      </w:divBdr>
    </w:div>
    <w:div w:id="247622056">
      <w:bodyDiv w:val="1"/>
      <w:marLeft w:val="0"/>
      <w:marRight w:val="0"/>
      <w:marTop w:val="0"/>
      <w:marBottom w:val="0"/>
      <w:divBdr>
        <w:top w:val="none" w:sz="0" w:space="0" w:color="auto"/>
        <w:left w:val="none" w:sz="0" w:space="0" w:color="auto"/>
        <w:bottom w:val="none" w:sz="0" w:space="0" w:color="auto"/>
        <w:right w:val="none" w:sz="0" w:space="0" w:color="auto"/>
      </w:divBdr>
    </w:div>
    <w:div w:id="257258517">
      <w:bodyDiv w:val="1"/>
      <w:marLeft w:val="0"/>
      <w:marRight w:val="0"/>
      <w:marTop w:val="0"/>
      <w:marBottom w:val="0"/>
      <w:divBdr>
        <w:top w:val="none" w:sz="0" w:space="0" w:color="auto"/>
        <w:left w:val="none" w:sz="0" w:space="0" w:color="auto"/>
        <w:bottom w:val="none" w:sz="0" w:space="0" w:color="auto"/>
        <w:right w:val="none" w:sz="0" w:space="0" w:color="auto"/>
      </w:divBdr>
    </w:div>
    <w:div w:id="284122701">
      <w:bodyDiv w:val="1"/>
      <w:marLeft w:val="0"/>
      <w:marRight w:val="0"/>
      <w:marTop w:val="0"/>
      <w:marBottom w:val="0"/>
      <w:divBdr>
        <w:top w:val="none" w:sz="0" w:space="0" w:color="auto"/>
        <w:left w:val="none" w:sz="0" w:space="0" w:color="auto"/>
        <w:bottom w:val="none" w:sz="0" w:space="0" w:color="auto"/>
        <w:right w:val="none" w:sz="0" w:space="0" w:color="auto"/>
      </w:divBdr>
    </w:div>
    <w:div w:id="303892998">
      <w:bodyDiv w:val="1"/>
      <w:marLeft w:val="0"/>
      <w:marRight w:val="0"/>
      <w:marTop w:val="0"/>
      <w:marBottom w:val="0"/>
      <w:divBdr>
        <w:top w:val="none" w:sz="0" w:space="0" w:color="auto"/>
        <w:left w:val="none" w:sz="0" w:space="0" w:color="auto"/>
        <w:bottom w:val="none" w:sz="0" w:space="0" w:color="auto"/>
        <w:right w:val="none" w:sz="0" w:space="0" w:color="auto"/>
      </w:divBdr>
    </w:div>
    <w:div w:id="408776130">
      <w:bodyDiv w:val="1"/>
      <w:marLeft w:val="0"/>
      <w:marRight w:val="0"/>
      <w:marTop w:val="0"/>
      <w:marBottom w:val="0"/>
      <w:divBdr>
        <w:top w:val="none" w:sz="0" w:space="0" w:color="auto"/>
        <w:left w:val="none" w:sz="0" w:space="0" w:color="auto"/>
        <w:bottom w:val="none" w:sz="0" w:space="0" w:color="auto"/>
        <w:right w:val="none" w:sz="0" w:space="0" w:color="auto"/>
      </w:divBdr>
    </w:div>
    <w:div w:id="433402609">
      <w:bodyDiv w:val="1"/>
      <w:marLeft w:val="0"/>
      <w:marRight w:val="0"/>
      <w:marTop w:val="0"/>
      <w:marBottom w:val="0"/>
      <w:divBdr>
        <w:top w:val="none" w:sz="0" w:space="0" w:color="auto"/>
        <w:left w:val="none" w:sz="0" w:space="0" w:color="auto"/>
        <w:bottom w:val="none" w:sz="0" w:space="0" w:color="auto"/>
        <w:right w:val="none" w:sz="0" w:space="0" w:color="auto"/>
      </w:divBdr>
    </w:div>
    <w:div w:id="450321337">
      <w:bodyDiv w:val="1"/>
      <w:marLeft w:val="0"/>
      <w:marRight w:val="0"/>
      <w:marTop w:val="0"/>
      <w:marBottom w:val="0"/>
      <w:divBdr>
        <w:top w:val="none" w:sz="0" w:space="0" w:color="auto"/>
        <w:left w:val="none" w:sz="0" w:space="0" w:color="auto"/>
        <w:bottom w:val="none" w:sz="0" w:space="0" w:color="auto"/>
        <w:right w:val="none" w:sz="0" w:space="0" w:color="auto"/>
      </w:divBdr>
    </w:div>
    <w:div w:id="453641938">
      <w:bodyDiv w:val="1"/>
      <w:marLeft w:val="0"/>
      <w:marRight w:val="0"/>
      <w:marTop w:val="0"/>
      <w:marBottom w:val="0"/>
      <w:divBdr>
        <w:top w:val="none" w:sz="0" w:space="0" w:color="auto"/>
        <w:left w:val="none" w:sz="0" w:space="0" w:color="auto"/>
        <w:bottom w:val="none" w:sz="0" w:space="0" w:color="auto"/>
        <w:right w:val="none" w:sz="0" w:space="0" w:color="auto"/>
      </w:divBdr>
    </w:div>
    <w:div w:id="483543336">
      <w:bodyDiv w:val="1"/>
      <w:marLeft w:val="0"/>
      <w:marRight w:val="0"/>
      <w:marTop w:val="0"/>
      <w:marBottom w:val="0"/>
      <w:divBdr>
        <w:top w:val="none" w:sz="0" w:space="0" w:color="auto"/>
        <w:left w:val="none" w:sz="0" w:space="0" w:color="auto"/>
        <w:bottom w:val="none" w:sz="0" w:space="0" w:color="auto"/>
        <w:right w:val="none" w:sz="0" w:space="0" w:color="auto"/>
      </w:divBdr>
    </w:div>
    <w:div w:id="491913710">
      <w:bodyDiv w:val="1"/>
      <w:marLeft w:val="0"/>
      <w:marRight w:val="0"/>
      <w:marTop w:val="0"/>
      <w:marBottom w:val="0"/>
      <w:divBdr>
        <w:top w:val="none" w:sz="0" w:space="0" w:color="auto"/>
        <w:left w:val="none" w:sz="0" w:space="0" w:color="auto"/>
        <w:bottom w:val="none" w:sz="0" w:space="0" w:color="auto"/>
        <w:right w:val="none" w:sz="0" w:space="0" w:color="auto"/>
      </w:divBdr>
    </w:div>
    <w:div w:id="495533339">
      <w:bodyDiv w:val="1"/>
      <w:marLeft w:val="0"/>
      <w:marRight w:val="0"/>
      <w:marTop w:val="0"/>
      <w:marBottom w:val="0"/>
      <w:divBdr>
        <w:top w:val="none" w:sz="0" w:space="0" w:color="auto"/>
        <w:left w:val="none" w:sz="0" w:space="0" w:color="auto"/>
        <w:bottom w:val="none" w:sz="0" w:space="0" w:color="auto"/>
        <w:right w:val="none" w:sz="0" w:space="0" w:color="auto"/>
      </w:divBdr>
    </w:div>
    <w:div w:id="512377137">
      <w:bodyDiv w:val="1"/>
      <w:marLeft w:val="0"/>
      <w:marRight w:val="0"/>
      <w:marTop w:val="0"/>
      <w:marBottom w:val="0"/>
      <w:divBdr>
        <w:top w:val="none" w:sz="0" w:space="0" w:color="auto"/>
        <w:left w:val="none" w:sz="0" w:space="0" w:color="auto"/>
        <w:bottom w:val="none" w:sz="0" w:space="0" w:color="auto"/>
        <w:right w:val="none" w:sz="0" w:space="0" w:color="auto"/>
      </w:divBdr>
    </w:div>
    <w:div w:id="528953467">
      <w:bodyDiv w:val="1"/>
      <w:marLeft w:val="0"/>
      <w:marRight w:val="0"/>
      <w:marTop w:val="0"/>
      <w:marBottom w:val="0"/>
      <w:divBdr>
        <w:top w:val="none" w:sz="0" w:space="0" w:color="auto"/>
        <w:left w:val="none" w:sz="0" w:space="0" w:color="auto"/>
        <w:bottom w:val="none" w:sz="0" w:space="0" w:color="auto"/>
        <w:right w:val="none" w:sz="0" w:space="0" w:color="auto"/>
      </w:divBdr>
    </w:div>
    <w:div w:id="550463001">
      <w:bodyDiv w:val="1"/>
      <w:marLeft w:val="0"/>
      <w:marRight w:val="0"/>
      <w:marTop w:val="0"/>
      <w:marBottom w:val="0"/>
      <w:divBdr>
        <w:top w:val="none" w:sz="0" w:space="0" w:color="auto"/>
        <w:left w:val="none" w:sz="0" w:space="0" w:color="auto"/>
        <w:bottom w:val="none" w:sz="0" w:space="0" w:color="auto"/>
        <w:right w:val="none" w:sz="0" w:space="0" w:color="auto"/>
      </w:divBdr>
    </w:div>
    <w:div w:id="552156353">
      <w:bodyDiv w:val="1"/>
      <w:marLeft w:val="0"/>
      <w:marRight w:val="0"/>
      <w:marTop w:val="0"/>
      <w:marBottom w:val="0"/>
      <w:divBdr>
        <w:top w:val="none" w:sz="0" w:space="0" w:color="auto"/>
        <w:left w:val="none" w:sz="0" w:space="0" w:color="auto"/>
        <w:bottom w:val="none" w:sz="0" w:space="0" w:color="auto"/>
        <w:right w:val="none" w:sz="0" w:space="0" w:color="auto"/>
      </w:divBdr>
    </w:div>
    <w:div w:id="565382033">
      <w:bodyDiv w:val="1"/>
      <w:marLeft w:val="0"/>
      <w:marRight w:val="0"/>
      <w:marTop w:val="0"/>
      <w:marBottom w:val="0"/>
      <w:divBdr>
        <w:top w:val="none" w:sz="0" w:space="0" w:color="auto"/>
        <w:left w:val="none" w:sz="0" w:space="0" w:color="auto"/>
        <w:bottom w:val="none" w:sz="0" w:space="0" w:color="auto"/>
        <w:right w:val="none" w:sz="0" w:space="0" w:color="auto"/>
      </w:divBdr>
    </w:div>
    <w:div w:id="573123846">
      <w:bodyDiv w:val="1"/>
      <w:marLeft w:val="0"/>
      <w:marRight w:val="0"/>
      <w:marTop w:val="0"/>
      <w:marBottom w:val="0"/>
      <w:divBdr>
        <w:top w:val="none" w:sz="0" w:space="0" w:color="auto"/>
        <w:left w:val="none" w:sz="0" w:space="0" w:color="auto"/>
        <w:bottom w:val="none" w:sz="0" w:space="0" w:color="auto"/>
        <w:right w:val="none" w:sz="0" w:space="0" w:color="auto"/>
      </w:divBdr>
    </w:div>
    <w:div w:id="584875050">
      <w:bodyDiv w:val="1"/>
      <w:marLeft w:val="0"/>
      <w:marRight w:val="0"/>
      <w:marTop w:val="0"/>
      <w:marBottom w:val="0"/>
      <w:divBdr>
        <w:top w:val="none" w:sz="0" w:space="0" w:color="auto"/>
        <w:left w:val="none" w:sz="0" w:space="0" w:color="auto"/>
        <w:bottom w:val="none" w:sz="0" w:space="0" w:color="auto"/>
        <w:right w:val="none" w:sz="0" w:space="0" w:color="auto"/>
      </w:divBdr>
    </w:div>
    <w:div w:id="592320990">
      <w:bodyDiv w:val="1"/>
      <w:marLeft w:val="0"/>
      <w:marRight w:val="0"/>
      <w:marTop w:val="0"/>
      <w:marBottom w:val="0"/>
      <w:divBdr>
        <w:top w:val="none" w:sz="0" w:space="0" w:color="auto"/>
        <w:left w:val="none" w:sz="0" w:space="0" w:color="auto"/>
        <w:bottom w:val="none" w:sz="0" w:space="0" w:color="auto"/>
        <w:right w:val="none" w:sz="0" w:space="0" w:color="auto"/>
      </w:divBdr>
    </w:div>
    <w:div w:id="601184528">
      <w:bodyDiv w:val="1"/>
      <w:marLeft w:val="0"/>
      <w:marRight w:val="0"/>
      <w:marTop w:val="0"/>
      <w:marBottom w:val="0"/>
      <w:divBdr>
        <w:top w:val="none" w:sz="0" w:space="0" w:color="auto"/>
        <w:left w:val="none" w:sz="0" w:space="0" w:color="auto"/>
        <w:bottom w:val="none" w:sz="0" w:space="0" w:color="auto"/>
        <w:right w:val="none" w:sz="0" w:space="0" w:color="auto"/>
      </w:divBdr>
    </w:div>
    <w:div w:id="608508694">
      <w:bodyDiv w:val="1"/>
      <w:marLeft w:val="0"/>
      <w:marRight w:val="0"/>
      <w:marTop w:val="0"/>
      <w:marBottom w:val="0"/>
      <w:divBdr>
        <w:top w:val="none" w:sz="0" w:space="0" w:color="auto"/>
        <w:left w:val="none" w:sz="0" w:space="0" w:color="auto"/>
        <w:bottom w:val="none" w:sz="0" w:space="0" w:color="auto"/>
        <w:right w:val="none" w:sz="0" w:space="0" w:color="auto"/>
      </w:divBdr>
    </w:div>
    <w:div w:id="610669393">
      <w:bodyDiv w:val="1"/>
      <w:marLeft w:val="0"/>
      <w:marRight w:val="0"/>
      <w:marTop w:val="0"/>
      <w:marBottom w:val="0"/>
      <w:divBdr>
        <w:top w:val="none" w:sz="0" w:space="0" w:color="auto"/>
        <w:left w:val="none" w:sz="0" w:space="0" w:color="auto"/>
        <w:bottom w:val="none" w:sz="0" w:space="0" w:color="auto"/>
        <w:right w:val="none" w:sz="0" w:space="0" w:color="auto"/>
      </w:divBdr>
    </w:div>
    <w:div w:id="667094860">
      <w:bodyDiv w:val="1"/>
      <w:marLeft w:val="0"/>
      <w:marRight w:val="0"/>
      <w:marTop w:val="0"/>
      <w:marBottom w:val="0"/>
      <w:divBdr>
        <w:top w:val="none" w:sz="0" w:space="0" w:color="auto"/>
        <w:left w:val="none" w:sz="0" w:space="0" w:color="auto"/>
        <w:bottom w:val="none" w:sz="0" w:space="0" w:color="auto"/>
        <w:right w:val="none" w:sz="0" w:space="0" w:color="auto"/>
      </w:divBdr>
    </w:div>
    <w:div w:id="707878291">
      <w:bodyDiv w:val="1"/>
      <w:marLeft w:val="0"/>
      <w:marRight w:val="0"/>
      <w:marTop w:val="0"/>
      <w:marBottom w:val="0"/>
      <w:divBdr>
        <w:top w:val="none" w:sz="0" w:space="0" w:color="auto"/>
        <w:left w:val="none" w:sz="0" w:space="0" w:color="auto"/>
        <w:bottom w:val="none" w:sz="0" w:space="0" w:color="auto"/>
        <w:right w:val="none" w:sz="0" w:space="0" w:color="auto"/>
      </w:divBdr>
    </w:div>
    <w:div w:id="710762043">
      <w:bodyDiv w:val="1"/>
      <w:marLeft w:val="0"/>
      <w:marRight w:val="0"/>
      <w:marTop w:val="0"/>
      <w:marBottom w:val="0"/>
      <w:divBdr>
        <w:top w:val="none" w:sz="0" w:space="0" w:color="auto"/>
        <w:left w:val="none" w:sz="0" w:space="0" w:color="auto"/>
        <w:bottom w:val="none" w:sz="0" w:space="0" w:color="auto"/>
        <w:right w:val="none" w:sz="0" w:space="0" w:color="auto"/>
      </w:divBdr>
    </w:div>
    <w:div w:id="712735091">
      <w:bodyDiv w:val="1"/>
      <w:marLeft w:val="0"/>
      <w:marRight w:val="0"/>
      <w:marTop w:val="0"/>
      <w:marBottom w:val="0"/>
      <w:divBdr>
        <w:top w:val="none" w:sz="0" w:space="0" w:color="auto"/>
        <w:left w:val="none" w:sz="0" w:space="0" w:color="auto"/>
        <w:bottom w:val="none" w:sz="0" w:space="0" w:color="auto"/>
        <w:right w:val="none" w:sz="0" w:space="0" w:color="auto"/>
      </w:divBdr>
    </w:div>
    <w:div w:id="749887912">
      <w:bodyDiv w:val="1"/>
      <w:marLeft w:val="0"/>
      <w:marRight w:val="0"/>
      <w:marTop w:val="0"/>
      <w:marBottom w:val="0"/>
      <w:divBdr>
        <w:top w:val="none" w:sz="0" w:space="0" w:color="auto"/>
        <w:left w:val="none" w:sz="0" w:space="0" w:color="auto"/>
        <w:bottom w:val="none" w:sz="0" w:space="0" w:color="auto"/>
        <w:right w:val="none" w:sz="0" w:space="0" w:color="auto"/>
      </w:divBdr>
    </w:div>
    <w:div w:id="780565860">
      <w:bodyDiv w:val="1"/>
      <w:marLeft w:val="0"/>
      <w:marRight w:val="0"/>
      <w:marTop w:val="0"/>
      <w:marBottom w:val="0"/>
      <w:divBdr>
        <w:top w:val="none" w:sz="0" w:space="0" w:color="auto"/>
        <w:left w:val="none" w:sz="0" w:space="0" w:color="auto"/>
        <w:bottom w:val="none" w:sz="0" w:space="0" w:color="auto"/>
        <w:right w:val="none" w:sz="0" w:space="0" w:color="auto"/>
      </w:divBdr>
    </w:div>
    <w:div w:id="808204478">
      <w:bodyDiv w:val="1"/>
      <w:marLeft w:val="0"/>
      <w:marRight w:val="0"/>
      <w:marTop w:val="0"/>
      <w:marBottom w:val="0"/>
      <w:divBdr>
        <w:top w:val="none" w:sz="0" w:space="0" w:color="auto"/>
        <w:left w:val="none" w:sz="0" w:space="0" w:color="auto"/>
        <w:bottom w:val="none" w:sz="0" w:space="0" w:color="auto"/>
        <w:right w:val="none" w:sz="0" w:space="0" w:color="auto"/>
      </w:divBdr>
    </w:div>
    <w:div w:id="818038803">
      <w:bodyDiv w:val="1"/>
      <w:marLeft w:val="0"/>
      <w:marRight w:val="0"/>
      <w:marTop w:val="0"/>
      <w:marBottom w:val="0"/>
      <w:divBdr>
        <w:top w:val="none" w:sz="0" w:space="0" w:color="auto"/>
        <w:left w:val="none" w:sz="0" w:space="0" w:color="auto"/>
        <w:bottom w:val="none" w:sz="0" w:space="0" w:color="auto"/>
        <w:right w:val="none" w:sz="0" w:space="0" w:color="auto"/>
      </w:divBdr>
    </w:div>
    <w:div w:id="821039444">
      <w:bodyDiv w:val="1"/>
      <w:marLeft w:val="0"/>
      <w:marRight w:val="0"/>
      <w:marTop w:val="0"/>
      <w:marBottom w:val="0"/>
      <w:divBdr>
        <w:top w:val="none" w:sz="0" w:space="0" w:color="auto"/>
        <w:left w:val="none" w:sz="0" w:space="0" w:color="auto"/>
        <w:bottom w:val="none" w:sz="0" w:space="0" w:color="auto"/>
        <w:right w:val="none" w:sz="0" w:space="0" w:color="auto"/>
      </w:divBdr>
    </w:div>
    <w:div w:id="826899441">
      <w:bodyDiv w:val="1"/>
      <w:marLeft w:val="0"/>
      <w:marRight w:val="0"/>
      <w:marTop w:val="0"/>
      <w:marBottom w:val="0"/>
      <w:divBdr>
        <w:top w:val="none" w:sz="0" w:space="0" w:color="auto"/>
        <w:left w:val="none" w:sz="0" w:space="0" w:color="auto"/>
        <w:bottom w:val="none" w:sz="0" w:space="0" w:color="auto"/>
        <w:right w:val="none" w:sz="0" w:space="0" w:color="auto"/>
      </w:divBdr>
    </w:div>
    <w:div w:id="830756214">
      <w:bodyDiv w:val="1"/>
      <w:marLeft w:val="0"/>
      <w:marRight w:val="0"/>
      <w:marTop w:val="0"/>
      <w:marBottom w:val="0"/>
      <w:divBdr>
        <w:top w:val="none" w:sz="0" w:space="0" w:color="auto"/>
        <w:left w:val="none" w:sz="0" w:space="0" w:color="auto"/>
        <w:bottom w:val="none" w:sz="0" w:space="0" w:color="auto"/>
        <w:right w:val="none" w:sz="0" w:space="0" w:color="auto"/>
      </w:divBdr>
    </w:div>
    <w:div w:id="832645778">
      <w:bodyDiv w:val="1"/>
      <w:marLeft w:val="0"/>
      <w:marRight w:val="0"/>
      <w:marTop w:val="0"/>
      <w:marBottom w:val="0"/>
      <w:divBdr>
        <w:top w:val="none" w:sz="0" w:space="0" w:color="auto"/>
        <w:left w:val="none" w:sz="0" w:space="0" w:color="auto"/>
        <w:bottom w:val="none" w:sz="0" w:space="0" w:color="auto"/>
        <w:right w:val="none" w:sz="0" w:space="0" w:color="auto"/>
      </w:divBdr>
    </w:div>
    <w:div w:id="839589184">
      <w:bodyDiv w:val="1"/>
      <w:marLeft w:val="0"/>
      <w:marRight w:val="0"/>
      <w:marTop w:val="0"/>
      <w:marBottom w:val="0"/>
      <w:divBdr>
        <w:top w:val="none" w:sz="0" w:space="0" w:color="auto"/>
        <w:left w:val="none" w:sz="0" w:space="0" w:color="auto"/>
        <w:bottom w:val="none" w:sz="0" w:space="0" w:color="auto"/>
        <w:right w:val="none" w:sz="0" w:space="0" w:color="auto"/>
      </w:divBdr>
    </w:div>
    <w:div w:id="878930474">
      <w:bodyDiv w:val="1"/>
      <w:marLeft w:val="0"/>
      <w:marRight w:val="0"/>
      <w:marTop w:val="0"/>
      <w:marBottom w:val="0"/>
      <w:divBdr>
        <w:top w:val="none" w:sz="0" w:space="0" w:color="auto"/>
        <w:left w:val="none" w:sz="0" w:space="0" w:color="auto"/>
        <w:bottom w:val="none" w:sz="0" w:space="0" w:color="auto"/>
        <w:right w:val="none" w:sz="0" w:space="0" w:color="auto"/>
      </w:divBdr>
    </w:div>
    <w:div w:id="883098196">
      <w:bodyDiv w:val="1"/>
      <w:marLeft w:val="0"/>
      <w:marRight w:val="0"/>
      <w:marTop w:val="0"/>
      <w:marBottom w:val="0"/>
      <w:divBdr>
        <w:top w:val="none" w:sz="0" w:space="0" w:color="auto"/>
        <w:left w:val="none" w:sz="0" w:space="0" w:color="auto"/>
        <w:bottom w:val="none" w:sz="0" w:space="0" w:color="auto"/>
        <w:right w:val="none" w:sz="0" w:space="0" w:color="auto"/>
      </w:divBdr>
    </w:div>
    <w:div w:id="895242216">
      <w:bodyDiv w:val="1"/>
      <w:marLeft w:val="0"/>
      <w:marRight w:val="0"/>
      <w:marTop w:val="0"/>
      <w:marBottom w:val="0"/>
      <w:divBdr>
        <w:top w:val="none" w:sz="0" w:space="0" w:color="auto"/>
        <w:left w:val="none" w:sz="0" w:space="0" w:color="auto"/>
        <w:bottom w:val="none" w:sz="0" w:space="0" w:color="auto"/>
        <w:right w:val="none" w:sz="0" w:space="0" w:color="auto"/>
      </w:divBdr>
    </w:div>
    <w:div w:id="903368947">
      <w:bodyDiv w:val="1"/>
      <w:marLeft w:val="0"/>
      <w:marRight w:val="0"/>
      <w:marTop w:val="0"/>
      <w:marBottom w:val="0"/>
      <w:divBdr>
        <w:top w:val="none" w:sz="0" w:space="0" w:color="auto"/>
        <w:left w:val="none" w:sz="0" w:space="0" w:color="auto"/>
        <w:bottom w:val="none" w:sz="0" w:space="0" w:color="auto"/>
        <w:right w:val="none" w:sz="0" w:space="0" w:color="auto"/>
      </w:divBdr>
    </w:div>
    <w:div w:id="932131338">
      <w:bodyDiv w:val="1"/>
      <w:marLeft w:val="0"/>
      <w:marRight w:val="0"/>
      <w:marTop w:val="0"/>
      <w:marBottom w:val="0"/>
      <w:divBdr>
        <w:top w:val="none" w:sz="0" w:space="0" w:color="auto"/>
        <w:left w:val="none" w:sz="0" w:space="0" w:color="auto"/>
        <w:bottom w:val="none" w:sz="0" w:space="0" w:color="auto"/>
        <w:right w:val="none" w:sz="0" w:space="0" w:color="auto"/>
      </w:divBdr>
    </w:div>
    <w:div w:id="964889744">
      <w:bodyDiv w:val="1"/>
      <w:marLeft w:val="0"/>
      <w:marRight w:val="0"/>
      <w:marTop w:val="0"/>
      <w:marBottom w:val="0"/>
      <w:divBdr>
        <w:top w:val="none" w:sz="0" w:space="0" w:color="auto"/>
        <w:left w:val="none" w:sz="0" w:space="0" w:color="auto"/>
        <w:bottom w:val="none" w:sz="0" w:space="0" w:color="auto"/>
        <w:right w:val="none" w:sz="0" w:space="0" w:color="auto"/>
      </w:divBdr>
      <w:divsChild>
        <w:div w:id="9680512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01590693">
      <w:bodyDiv w:val="1"/>
      <w:marLeft w:val="0"/>
      <w:marRight w:val="0"/>
      <w:marTop w:val="0"/>
      <w:marBottom w:val="0"/>
      <w:divBdr>
        <w:top w:val="none" w:sz="0" w:space="0" w:color="auto"/>
        <w:left w:val="none" w:sz="0" w:space="0" w:color="auto"/>
        <w:bottom w:val="none" w:sz="0" w:space="0" w:color="auto"/>
        <w:right w:val="none" w:sz="0" w:space="0" w:color="auto"/>
      </w:divBdr>
    </w:div>
    <w:div w:id="1082336864">
      <w:bodyDiv w:val="1"/>
      <w:marLeft w:val="0"/>
      <w:marRight w:val="0"/>
      <w:marTop w:val="0"/>
      <w:marBottom w:val="0"/>
      <w:divBdr>
        <w:top w:val="none" w:sz="0" w:space="0" w:color="auto"/>
        <w:left w:val="none" w:sz="0" w:space="0" w:color="auto"/>
        <w:bottom w:val="none" w:sz="0" w:space="0" w:color="auto"/>
        <w:right w:val="none" w:sz="0" w:space="0" w:color="auto"/>
      </w:divBdr>
    </w:div>
    <w:div w:id="1108038373">
      <w:bodyDiv w:val="1"/>
      <w:marLeft w:val="0"/>
      <w:marRight w:val="0"/>
      <w:marTop w:val="0"/>
      <w:marBottom w:val="0"/>
      <w:divBdr>
        <w:top w:val="none" w:sz="0" w:space="0" w:color="auto"/>
        <w:left w:val="none" w:sz="0" w:space="0" w:color="auto"/>
        <w:bottom w:val="none" w:sz="0" w:space="0" w:color="auto"/>
        <w:right w:val="none" w:sz="0" w:space="0" w:color="auto"/>
      </w:divBdr>
    </w:div>
    <w:div w:id="1109155560">
      <w:bodyDiv w:val="1"/>
      <w:marLeft w:val="0"/>
      <w:marRight w:val="0"/>
      <w:marTop w:val="0"/>
      <w:marBottom w:val="0"/>
      <w:divBdr>
        <w:top w:val="none" w:sz="0" w:space="0" w:color="auto"/>
        <w:left w:val="none" w:sz="0" w:space="0" w:color="auto"/>
        <w:bottom w:val="none" w:sz="0" w:space="0" w:color="auto"/>
        <w:right w:val="none" w:sz="0" w:space="0" w:color="auto"/>
      </w:divBdr>
    </w:div>
    <w:div w:id="1119839068">
      <w:bodyDiv w:val="1"/>
      <w:marLeft w:val="0"/>
      <w:marRight w:val="0"/>
      <w:marTop w:val="0"/>
      <w:marBottom w:val="0"/>
      <w:divBdr>
        <w:top w:val="none" w:sz="0" w:space="0" w:color="auto"/>
        <w:left w:val="none" w:sz="0" w:space="0" w:color="auto"/>
        <w:bottom w:val="none" w:sz="0" w:space="0" w:color="auto"/>
        <w:right w:val="none" w:sz="0" w:space="0" w:color="auto"/>
      </w:divBdr>
    </w:div>
    <w:div w:id="1153133525">
      <w:bodyDiv w:val="1"/>
      <w:marLeft w:val="0"/>
      <w:marRight w:val="0"/>
      <w:marTop w:val="0"/>
      <w:marBottom w:val="0"/>
      <w:divBdr>
        <w:top w:val="none" w:sz="0" w:space="0" w:color="auto"/>
        <w:left w:val="none" w:sz="0" w:space="0" w:color="auto"/>
        <w:bottom w:val="none" w:sz="0" w:space="0" w:color="auto"/>
        <w:right w:val="none" w:sz="0" w:space="0" w:color="auto"/>
      </w:divBdr>
      <w:divsChild>
        <w:div w:id="1554341843">
          <w:blockQuote w:val="1"/>
          <w:marLeft w:val="720"/>
          <w:marRight w:val="720"/>
          <w:marTop w:val="100"/>
          <w:marBottom w:val="100"/>
          <w:divBdr>
            <w:top w:val="none" w:sz="0" w:space="0" w:color="auto"/>
            <w:left w:val="none" w:sz="0" w:space="0" w:color="auto"/>
            <w:bottom w:val="none" w:sz="0" w:space="0" w:color="auto"/>
            <w:right w:val="none" w:sz="0" w:space="0" w:color="auto"/>
          </w:divBdr>
        </w:div>
        <w:div w:id="20506455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0000945">
      <w:bodyDiv w:val="1"/>
      <w:marLeft w:val="0"/>
      <w:marRight w:val="0"/>
      <w:marTop w:val="0"/>
      <w:marBottom w:val="0"/>
      <w:divBdr>
        <w:top w:val="none" w:sz="0" w:space="0" w:color="auto"/>
        <w:left w:val="none" w:sz="0" w:space="0" w:color="auto"/>
        <w:bottom w:val="none" w:sz="0" w:space="0" w:color="auto"/>
        <w:right w:val="none" w:sz="0" w:space="0" w:color="auto"/>
      </w:divBdr>
    </w:div>
    <w:div w:id="1215659264">
      <w:bodyDiv w:val="1"/>
      <w:marLeft w:val="0"/>
      <w:marRight w:val="0"/>
      <w:marTop w:val="0"/>
      <w:marBottom w:val="0"/>
      <w:divBdr>
        <w:top w:val="none" w:sz="0" w:space="0" w:color="auto"/>
        <w:left w:val="none" w:sz="0" w:space="0" w:color="auto"/>
        <w:bottom w:val="none" w:sz="0" w:space="0" w:color="auto"/>
        <w:right w:val="none" w:sz="0" w:space="0" w:color="auto"/>
      </w:divBdr>
    </w:div>
    <w:div w:id="1223982817">
      <w:bodyDiv w:val="1"/>
      <w:marLeft w:val="0"/>
      <w:marRight w:val="0"/>
      <w:marTop w:val="0"/>
      <w:marBottom w:val="0"/>
      <w:divBdr>
        <w:top w:val="none" w:sz="0" w:space="0" w:color="auto"/>
        <w:left w:val="none" w:sz="0" w:space="0" w:color="auto"/>
        <w:bottom w:val="none" w:sz="0" w:space="0" w:color="auto"/>
        <w:right w:val="none" w:sz="0" w:space="0" w:color="auto"/>
      </w:divBdr>
    </w:div>
    <w:div w:id="1329871258">
      <w:bodyDiv w:val="1"/>
      <w:marLeft w:val="0"/>
      <w:marRight w:val="0"/>
      <w:marTop w:val="0"/>
      <w:marBottom w:val="0"/>
      <w:divBdr>
        <w:top w:val="none" w:sz="0" w:space="0" w:color="auto"/>
        <w:left w:val="none" w:sz="0" w:space="0" w:color="auto"/>
        <w:bottom w:val="none" w:sz="0" w:space="0" w:color="auto"/>
        <w:right w:val="none" w:sz="0" w:space="0" w:color="auto"/>
      </w:divBdr>
    </w:div>
    <w:div w:id="1370376659">
      <w:bodyDiv w:val="1"/>
      <w:marLeft w:val="0"/>
      <w:marRight w:val="0"/>
      <w:marTop w:val="0"/>
      <w:marBottom w:val="0"/>
      <w:divBdr>
        <w:top w:val="none" w:sz="0" w:space="0" w:color="auto"/>
        <w:left w:val="none" w:sz="0" w:space="0" w:color="auto"/>
        <w:bottom w:val="none" w:sz="0" w:space="0" w:color="auto"/>
        <w:right w:val="none" w:sz="0" w:space="0" w:color="auto"/>
      </w:divBdr>
    </w:div>
    <w:div w:id="1393456506">
      <w:bodyDiv w:val="1"/>
      <w:marLeft w:val="0"/>
      <w:marRight w:val="0"/>
      <w:marTop w:val="0"/>
      <w:marBottom w:val="0"/>
      <w:divBdr>
        <w:top w:val="none" w:sz="0" w:space="0" w:color="auto"/>
        <w:left w:val="none" w:sz="0" w:space="0" w:color="auto"/>
        <w:bottom w:val="none" w:sz="0" w:space="0" w:color="auto"/>
        <w:right w:val="none" w:sz="0" w:space="0" w:color="auto"/>
      </w:divBdr>
    </w:div>
    <w:div w:id="1395544792">
      <w:bodyDiv w:val="1"/>
      <w:marLeft w:val="0"/>
      <w:marRight w:val="0"/>
      <w:marTop w:val="0"/>
      <w:marBottom w:val="0"/>
      <w:divBdr>
        <w:top w:val="none" w:sz="0" w:space="0" w:color="auto"/>
        <w:left w:val="none" w:sz="0" w:space="0" w:color="auto"/>
        <w:bottom w:val="none" w:sz="0" w:space="0" w:color="auto"/>
        <w:right w:val="none" w:sz="0" w:space="0" w:color="auto"/>
      </w:divBdr>
    </w:div>
    <w:div w:id="1401321389">
      <w:bodyDiv w:val="1"/>
      <w:marLeft w:val="0"/>
      <w:marRight w:val="0"/>
      <w:marTop w:val="0"/>
      <w:marBottom w:val="0"/>
      <w:divBdr>
        <w:top w:val="none" w:sz="0" w:space="0" w:color="auto"/>
        <w:left w:val="none" w:sz="0" w:space="0" w:color="auto"/>
        <w:bottom w:val="none" w:sz="0" w:space="0" w:color="auto"/>
        <w:right w:val="none" w:sz="0" w:space="0" w:color="auto"/>
      </w:divBdr>
    </w:div>
    <w:div w:id="1408377929">
      <w:bodyDiv w:val="1"/>
      <w:marLeft w:val="0"/>
      <w:marRight w:val="0"/>
      <w:marTop w:val="0"/>
      <w:marBottom w:val="0"/>
      <w:divBdr>
        <w:top w:val="none" w:sz="0" w:space="0" w:color="auto"/>
        <w:left w:val="none" w:sz="0" w:space="0" w:color="auto"/>
        <w:bottom w:val="none" w:sz="0" w:space="0" w:color="auto"/>
        <w:right w:val="none" w:sz="0" w:space="0" w:color="auto"/>
      </w:divBdr>
    </w:div>
    <w:div w:id="1462455237">
      <w:bodyDiv w:val="1"/>
      <w:marLeft w:val="0"/>
      <w:marRight w:val="0"/>
      <w:marTop w:val="0"/>
      <w:marBottom w:val="0"/>
      <w:divBdr>
        <w:top w:val="none" w:sz="0" w:space="0" w:color="auto"/>
        <w:left w:val="none" w:sz="0" w:space="0" w:color="auto"/>
        <w:bottom w:val="none" w:sz="0" w:space="0" w:color="auto"/>
        <w:right w:val="none" w:sz="0" w:space="0" w:color="auto"/>
      </w:divBdr>
    </w:div>
    <w:div w:id="1509709484">
      <w:bodyDiv w:val="1"/>
      <w:marLeft w:val="0"/>
      <w:marRight w:val="0"/>
      <w:marTop w:val="0"/>
      <w:marBottom w:val="0"/>
      <w:divBdr>
        <w:top w:val="none" w:sz="0" w:space="0" w:color="auto"/>
        <w:left w:val="none" w:sz="0" w:space="0" w:color="auto"/>
        <w:bottom w:val="none" w:sz="0" w:space="0" w:color="auto"/>
        <w:right w:val="none" w:sz="0" w:space="0" w:color="auto"/>
      </w:divBdr>
    </w:div>
    <w:div w:id="1512836214">
      <w:bodyDiv w:val="1"/>
      <w:marLeft w:val="0"/>
      <w:marRight w:val="0"/>
      <w:marTop w:val="0"/>
      <w:marBottom w:val="0"/>
      <w:divBdr>
        <w:top w:val="none" w:sz="0" w:space="0" w:color="auto"/>
        <w:left w:val="none" w:sz="0" w:space="0" w:color="auto"/>
        <w:bottom w:val="none" w:sz="0" w:space="0" w:color="auto"/>
        <w:right w:val="none" w:sz="0" w:space="0" w:color="auto"/>
      </w:divBdr>
    </w:div>
    <w:div w:id="1520966876">
      <w:bodyDiv w:val="1"/>
      <w:marLeft w:val="0"/>
      <w:marRight w:val="0"/>
      <w:marTop w:val="0"/>
      <w:marBottom w:val="0"/>
      <w:divBdr>
        <w:top w:val="none" w:sz="0" w:space="0" w:color="auto"/>
        <w:left w:val="none" w:sz="0" w:space="0" w:color="auto"/>
        <w:bottom w:val="none" w:sz="0" w:space="0" w:color="auto"/>
        <w:right w:val="none" w:sz="0" w:space="0" w:color="auto"/>
      </w:divBdr>
    </w:div>
    <w:div w:id="1532958694">
      <w:bodyDiv w:val="1"/>
      <w:marLeft w:val="0"/>
      <w:marRight w:val="0"/>
      <w:marTop w:val="0"/>
      <w:marBottom w:val="0"/>
      <w:divBdr>
        <w:top w:val="none" w:sz="0" w:space="0" w:color="auto"/>
        <w:left w:val="none" w:sz="0" w:space="0" w:color="auto"/>
        <w:bottom w:val="none" w:sz="0" w:space="0" w:color="auto"/>
        <w:right w:val="none" w:sz="0" w:space="0" w:color="auto"/>
      </w:divBdr>
    </w:div>
    <w:div w:id="1549146100">
      <w:bodyDiv w:val="1"/>
      <w:marLeft w:val="0"/>
      <w:marRight w:val="0"/>
      <w:marTop w:val="0"/>
      <w:marBottom w:val="0"/>
      <w:divBdr>
        <w:top w:val="none" w:sz="0" w:space="0" w:color="auto"/>
        <w:left w:val="none" w:sz="0" w:space="0" w:color="auto"/>
        <w:bottom w:val="none" w:sz="0" w:space="0" w:color="auto"/>
        <w:right w:val="none" w:sz="0" w:space="0" w:color="auto"/>
      </w:divBdr>
    </w:div>
    <w:div w:id="1613978089">
      <w:bodyDiv w:val="1"/>
      <w:marLeft w:val="0"/>
      <w:marRight w:val="0"/>
      <w:marTop w:val="0"/>
      <w:marBottom w:val="0"/>
      <w:divBdr>
        <w:top w:val="none" w:sz="0" w:space="0" w:color="auto"/>
        <w:left w:val="none" w:sz="0" w:space="0" w:color="auto"/>
        <w:bottom w:val="none" w:sz="0" w:space="0" w:color="auto"/>
        <w:right w:val="none" w:sz="0" w:space="0" w:color="auto"/>
      </w:divBdr>
    </w:div>
    <w:div w:id="1623422068">
      <w:bodyDiv w:val="1"/>
      <w:marLeft w:val="0"/>
      <w:marRight w:val="0"/>
      <w:marTop w:val="0"/>
      <w:marBottom w:val="0"/>
      <w:divBdr>
        <w:top w:val="none" w:sz="0" w:space="0" w:color="auto"/>
        <w:left w:val="none" w:sz="0" w:space="0" w:color="auto"/>
        <w:bottom w:val="none" w:sz="0" w:space="0" w:color="auto"/>
        <w:right w:val="none" w:sz="0" w:space="0" w:color="auto"/>
      </w:divBdr>
    </w:div>
    <w:div w:id="1663506951">
      <w:bodyDiv w:val="1"/>
      <w:marLeft w:val="0"/>
      <w:marRight w:val="0"/>
      <w:marTop w:val="0"/>
      <w:marBottom w:val="0"/>
      <w:divBdr>
        <w:top w:val="none" w:sz="0" w:space="0" w:color="auto"/>
        <w:left w:val="none" w:sz="0" w:space="0" w:color="auto"/>
        <w:bottom w:val="none" w:sz="0" w:space="0" w:color="auto"/>
        <w:right w:val="none" w:sz="0" w:space="0" w:color="auto"/>
      </w:divBdr>
    </w:div>
    <w:div w:id="1671910277">
      <w:bodyDiv w:val="1"/>
      <w:marLeft w:val="0"/>
      <w:marRight w:val="0"/>
      <w:marTop w:val="0"/>
      <w:marBottom w:val="0"/>
      <w:divBdr>
        <w:top w:val="none" w:sz="0" w:space="0" w:color="auto"/>
        <w:left w:val="none" w:sz="0" w:space="0" w:color="auto"/>
        <w:bottom w:val="none" w:sz="0" w:space="0" w:color="auto"/>
        <w:right w:val="none" w:sz="0" w:space="0" w:color="auto"/>
      </w:divBdr>
    </w:div>
    <w:div w:id="1700743643">
      <w:bodyDiv w:val="1"/>
      <w:marLeft w:val="0"/>
      <w:marRight w:val="0"/>
      <w:marTop w:val="0"/>
      <w:marBottom w:val="0"/>
      <w:divBdr>
        <w:top w:val="none" w:sz="0" w:space="0" w:color="auto"/>
        <w:left w:val="none" w:sz="0" w:space="0" w:color="auto"/>
        <w:bottom w:val="none" w:sz="0" w:space="0" w:color="auto"/>
        <w:right w:val="none" w:sz="0" w:space="0" w:color="auto"/>
      </w:divBdr>
    </w:div>
    <w:div w:id="1742947765">
      <w:bodyDiv w:val="1"/>
      <w:marLeft w:val="0"/>
      <w:marRight w:val="0"/>
      <w:marTop w:val="0"/>
      <w:marBottom w:val="0"/>
      <w:divBdr>
        <w:top w:val="none" w:sz="0" w:space="0" w:color="auto"/>
        <w:left w:val="none" w:sz="0" w:space="0" w:color="auto"/>
        <w:bottom w:val="none" w:sz="0" w:space="0" w:color="auto"/>
        <w:right w:val="none" w:sz="0" w:space="0" w:color="auto"/>
      </w:divBdr>
    </w:div>
    <w:div w:id="1759252699">
      <w:bodyDiv w:val="1"/>
      <w:marLeft w:val="0"/>
      <w:marRight w:val="0"/>
      <w:marTop w:val="0"/>
      <w:marBottom w:val="0"/>
      <w:divBdr>
        <w:top w:val="none" w:sz="0" w:space="0" w:color="auto"/>
        <w:left w:val="none" w:sz="0" w:space="0" w:color="auto"/>
        <w:bottom w:val="none" w:sz="0" w:space="0" w:color="auto"/>
        <w:right w:val="none" w:sz="0" w:space="0" w:color="auto"/>
      </w:divBdr>
    </w:div>
    <w:div w:id="1773088211">
      <w:bodyDiv w:val="1"/>
      <w:marLeft w:val="0"/>
      <w:marRight w:val="0"/>
      <w:marTop w:val="0"/>
      <w:marBottom w:val="0"/>
      <w:divBdr>
        <w:top w:val="none" w:sz="0" w:space="0" w:color="auto"/>
        <w:left w:val="none" w:sz="0" w:space="0" w:color="auto"/>
        <w:bottom w:val="none" w:sz="0" w:space="0" w:color="auto"/>
        <w:right w:val="none" w:sz="0" w:space="0" w:color="auto"/>
      </w:divBdr>
    </w:div>
    <w:div w:id="1790321747">
      <w:bodyDiv w:val="1"/>
      <w:marLeft w:val="0"/>
      <w:marRight w:val="0"/>
      <w:marTop w:val="0"/>
      <w:marBottom w:val="0"/>
      <w:divBdr>
        <w:top w:val="none" w:sz="0" w:space="0" w:color="auto"/>
        <w:left w:val="none" w:sz="0" w:space="0" w:color="auto"/>
        <w:bottom w:val="none" w:sz="0" w:space="0" w:color="auto"/>
        <w:right w:val="none" w:sz="0" w:space="0" w:color="auto"/>
      </w:divBdr>
    </w:div>
    <w:div w:id="1804300820">
      <w:bodyDiv w:val="1"/>
      <w:marLeft w:val="0"/>
      <w:marRight w:val="0"/>
      <w:marTop w:val="0"/>
      <w:marBottom w:val="0"/>
      <w:divBdr>
        <w:top w:val="none" w:sz="0" w:space="0" w:color="auto"/>
        <w:left w:val="none" w:sz="0" w:space="0" w:color="auto"/>
        <w:bottom w:val="none" w:sz="0" w:space="0" w:color="auto"/>
        <w:right w:val="none" w:sz="0" w:space="0" w:color="auto"/>
      </w:divBdr>
    </w:div>
    <w:div w:id="1808547225">
      <w:bodyDiv w:val="1"/>
      <w:marLeft w:val="0"/>
      <w:marRight w:val="0"/>
      <w:marTop w:val="0"/>
      <w:marBottom w:val="0"/>
      <w:divBdr>
        <w:top w:val="none" w:sz="0" w:space="0" w:color="auto"/>
        <w:left w:val="none" w:sz="0" w:space="0" w:color="auto"/>
        <w:bottom w:val="none" w:sz="0" w:space="0" w:color="auto"/>
        <w:right w:val="none" w:sz="0" w:space="0" w:color="auto"/>
      </w:divBdr>
    </w:div>
    <w:div w:id="1817452908">
      <w:bodyDiv w:val="1"/>
      <w:marLeft w:val="0"/>
      <w:marRight w:val="0"/>
      <w:marTop w:val="0"/>
      <w:marBottom w:val="0"/>
      <w:divBdr>
        <w:top w:val="none" w:sz="0" w:space="0" w:color="auto"/>
        <w:left w:val="none" w:sz="0" w:space="0" w:color="auto"/>
        <w:bottom w:val="none" w:sz="0" w:space="0" w:color="auto"/>
        <w:right w:val="none" w:sz="0" w:space="0" w:color="auto"/>
      </w:divBdr>
      <w:divsChild>
        <w:div w:id="14566048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28352091">
      <w:bodyDiv w:val="1"/>
      <w:marLeft w:val="0"/>
      <w:marRight w:val="0"/>
      <w:marTop w:val="0"/>
      <w:marBottom w:val="0"/>
      <w:divBdr>
        <w:top w:val="none" w:sz="0" w:space="0" w:color="auto"/>
        <w:left w:val="none" w:sz="0" w:space="0" w:color="auto"/>
        <w:bottom w:val="none" w:sz="0" w:space="0" w:color="auto"/>
        <w:right w:val="none" w:sz="0" w:space="0" w:color="auto"/>
      </w:divBdr>
    </w:div>
    <w:div w:id="1959212154">
      <w:bodyDiv w:val="1"/>
      <w:marLeft w:val="0"/>
      <w:marRight w:val="0"/>
      <w:marTop w:val="0"/>
      <w:marBottom w:val="0"/>
      <w:divBdr>
        <w:top w:val="none" w:sz="0" w:space="0" w:color="auto"/>
        <w:left w:val="none" w:sz="0" w:space="0" w:color="auto"/>
        <w:bottom w:val="none" w:sz="0" w:space="0" w:color="auto"/>
        <w:right w:val="none" w:sz="0" w:space="0" w:color="auto"/>
      </w:divBdr>
    </w:div>
    <w:div w:id="2003854732">
      <w:bodyDiv w:val="1"/>
      <w:marLeft w:val="0"/>
      <w:marRight w:val="0"/>
      <w:marTop w:val="0"/>
      <w:marBottom w:val="0"/>
      <w:divBdr>
        <w:top w:val="none" w:sz="0" w:space="0" w:color="auto"/>
        <w:left w:val="none" w:sz="0" w:space="0" w:color="auto"/>
        <w:bottom w:val="none" w:sz="0" w:space="0" w:color="auto"/>
        <w:right w:val="none" w:sz="0" w:space="0" w:color="auto"/>
      </w:divBdr>
    </w:div>
    <w:div w:id="2035958924">
      <w:bodyDiv w:val="1"/>
      <w:marLeft w:val="0"/>
      <w:marRight w:val="0"/>
      <w:marTop w:val="0"/>
      <w:marBottom w:val="0"/>
      <w:divBdr>
        <w:top w:val="none" w:sz="0" w:space="0" w:color="auto"/>
        <w:left w:val="none" w:sz="0" w:space="0" w:color="auto"/>
        <w:bottom w:val="none" w:sz="0" w:space="0" w:color="auto"/>
        <w:right w:val="none" w:sz="0" w:space="0" w:color="auto"/>
      </w:divBdr>
    </w:div>
    <w:div w:id="2131432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png"/><Relationship Id="rId21" Type="http://schemas.openxmlformats.org/officeDocument/2006/relationships/hyperlink" Target="https://eugc.ugc.ac.lk/qac/downloads/Codes%20of%20Practice%20on%20Staff%20Development.pdf?utm_source=chatgpt.com" TargetMode="External"/><Relationship Id="rId42" Type="http://schemas.openxmlformats.org/officeDocument/2006/relationships/hyperlink" Target="https://assets.publishing.service.gov.uk/media/6895e6663080e72710b2e2de/Effective_Professional_Development_Design_in_a_Civil_Service_Context.pdf?utm_source=chatgpt.com" TargetMode="External"/><Relationship Id="rId47" Type="http://schemas.openxmlformats.org/officeDocument/2006/relationships/hyperlink" Target="https://files.eric.ed.gov/fulltext/EJ983277.pdf?utm_source=chatgpt.com" TargetMode="External"/><Relationship Id="rId63" Type="http://schemas.openxmlformats.org/officeDocument/2006/relationships/hyperlink" Target="https://educationaltechnologyjournal.springeropen.com/articles/10.1186/s41239-022-00379-x?utm_source=chatgpt.com" TargetMode="External"/><Relationship Id="rId68" Type="http://schemas.openxmlformats.org/officeDocument/2006/relationships/hyperlink" Target="https://www.liverpooluniversitypress.co.uk/doi/10.3828/dap.2023.1?utm_source=chatgpt.com" TargetMode="External"/><Relationship Id="rId2" Type="http://schemas.openxmlformats.org/officeDocument/2006/relationships/customXml" Target="../customXml/item2.xml"/><Relationship Id="rId16" Type="http://schemas.openxmlformats.org/officeDocument/2006/relationships/hyperlink" Target="https://www.advance-he.ac.uk/membership/teaching-and-learning-accreditation?utm_source=chatgpt.com" TargetMode="External"/><Relationship Id="rId29" Type="http://schemas.openxmlformats.org/officeDocument/2006/relationships/hyperlink" Target="https://www.cpduk.co.uk/explained?utm_source=chatgpt.com" TargetMode="External"/><Relationship Id="rId11" Type="http://schemas.openxmlformats.org/officeDocument/2006/relationships/comments" Target="comments.xml"/><Relationship Id="rId24" Type="http://schemas.openxmlformats.org/officeDocument/2006/relationships/hyperlink" Target="https://units.kln.ac.lk/sdc/images/27/SDC_UoK_Handbook_Cycle_27.pdf?utm_source=chatgpt.com" TargetMode="External"/><Relationship Id="rId32" Type="http://schemas.openxmlformats.org/officeDocument/2006/relationships/hyperlink" Target="https://pmejournal.org/articles/10.5334/pme.838?utm_source=chatgpt.com" TargetMode="External"/><Relationship Id="rId37" Type="http://schemas.openxmlformats.org/officeDocument/2006/relationships/hyperlink" Target="https://www.abacademies.org/articles/effect-of-continuous-professional-development-on-the-job-performance-of-public-university-administrators-evidence-from-an-emerging-15102.html?utm_source=chatgpt.com" TargetMode="External"/><Relationship Id="rId40" Type="http://schemas.openxmlformats.org/officeDocument/2006/relationships/hyperlink" Target="https://www.cipd.org/uk/learning/cpd/about/?utm_source=chatgpt.com" TargetMode="External"/><Relationship Id="rId45" Type="http://schemas.openxmlformats.org/officeDocument/2006/relationships/hyperlink" Target="https://www.fom.ac.uk/wp-content/uploads/cpd_efficacy_2010.pdf?utm_source=chatgpt.com" TargetMode="External"/><Relationship Id="rId53" Type="http://schemas.openxmlformats.org/officeDocument/2006/relationships/hyperlink" Target="https://www.tandfonline.com/doi/full/10.1080/0968776042000259582?utm_source=chatgpt.com" TargetMode="External"/><Relationship Id="rId58" Type="http://schemas.openxmlformats.org/officeDocument/2006/relationships/hyperlink" Target="https://link.springer.com/article/10.1007/s44217-024-00253-0?utm_source=chatgpt.com" TargetMode="External"/><Relationship Id="rId66" Type="http://schemas.openxmlformats.org/officeDocument/2006/relationships/hyperlink" Target="https://research.stmarys.ac.uk/id/eprint/5621/3/inclusive.pdf?utm_source=chatgpt.com" TargetMode="External"/><Relationship Id="rId5" Type="http://schemas.openxmlformats.org/officeDocument/2006/relationships/numbering" Target="numbering.xml"/><Relationship Id="rId61" Type="http://schemas.openxmlformats.org/officeDocument/2006/relationships/hyperlink" Target="https://my.chartered.college/impact_article/creating-connections-the-role-of-virtual-communities-of-practice-in-teacher-continuing-professional-development/?utm_source=chatgpt.com" TargetMode="External"/><Relationship Id="rId19" Type="http://schemas.openxmlformats.org/officeDocument/2006/relationships/hyperlink" Target="https://www.kcl.ac.uk/assets/aboutkings/pdf/strategy/kcl-tef-2023.pdf?utm_source=chatgpt.com" TargetMode="External"/><Relationship Id="rId14" Type="http://schemas.microsoft.com/office/2018/08/relationships/commentsExtensible" Target="commentsExtensible.xml"/><Relationship Id="rId22" Type="http://schemas.openxmlformats.org/officeDocument/2006/relationships/hyperlink" Target="https://ou.ac.lk/staff-development-center/?utm_source=chatgpt.com" TargetMode="External"/><Relationship Id="rId27" Type="http://schemas.openxmlformats.org/officeDocument/2006/relationships/hyperlink" Target="https://www.step.org/knowledge-hub/knowledge" TargetMode="External"/><Relationship Id="rId30" Type="http://schemas.openxmlformats.org/officeDocument/2006/relationships/hyperlink" Target="https://doi.org/10.53555/kuey.v30i1.9004" TargetMode="External"/><Relationship Id="rId35" Type="http://schemas.openxmlformats.org/officeDocument/2006/relationships/hyperlink" Target="https://www.tandfonline.com/doi/full/10.1080/02601370.2023.2267770?utm_source=chatgpt.com" TargetMode="External"/><Relationship Id="rId43" Type="http://schemas.openxmlformats.org/officeDocument/2006/relationships/hyperlink" Target="https://blog.step.org/2022/02/22/research-shows-value-of-of-continuous-professional-development-cpd/?utm_source=chatgpt.com" TargetMode="External"/><Relationship Id="rId48" Type="http://schemas.openxmlformats.org/officeDocument/2006/relationships/hyperlink" Target="https://www.sciencedirect.com/science/article/abs/pii/S1096751610000886?utm_source=chatgpt.com" TargetMode="External"/><Relationship Id="rId56" Type="http://schemas.openxmlformats.org/officeDocument/2006/relationships/hyperlink" Target="https://files.eric.ed.gov/fulltext/EJ1449316.pdf?utm_source=chatgpt.com" TargetMode="External"/><Relationship Id="rId64" Type="http://schemas.openxmlformats.org/officeDocument/2006/relationships/hyperlink" Target="https://doi.org/10.3390/su17198859" TargetMode="External"/><Relationship Id="rId69" Type="http://schemas.openxmlformats.org/officeDocument/2006/relationships/hyperlink" Target="https://so19.tci-thaijo.org/index.php/JELS/article/download/752/475?utm_source=chatgpt.com" TargetMode="External"/><Relationship Id="rId8" Type="http://schemas.openxmlformats.org/officeDocument/2006/relationships/webSettings" Target="webSettings.xml"/><Relationship Id="rId51" Type="http://schemas.openxmlformats.org/officeDocument/2006/relationships/hyperlink" Target="https://doi.org/10.1787/589b283f-en"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microsoft.com/office/2011/relationships/commentsExtended" Target="commentsExtended.xml"/><Relationship Id="rId17" Type="http://schemas.openxmlformats.org/officeDocument/2006/relationships/hyperlink" Target="https://www.advance-he.ac.uk/fellowship/fellowship?utm_source=chatgpt.com" TargetMode="External"/><Relationship Id="rId25" Type="http://schemas.openxmlformats.org/officeDocument/2006/relationships/hyperlink" Target="https://www.seu.ac.lk/jict/publication/vl01is01/vl01is01_04.pdf?utm_source=chatgpt.com" TargetMode="External"/><Relationship Id="rId33" Type="http://schemas.openxmlformats.org/officeDocument/2006/relationships/hyperlink" Target="https://www.step.org/knowledge-hub/knowledge" TargetMode="External"/><Relationship Id="rId38" Type="http://schemas.openxmlformats.org/officeDocument/2006/relationships/hyperlink" Target="https://journals.lww.com/academicmedicine/fulltext/2021/06000/effect_of_continuing_professional_development_on.51.aspx?utm_source=chatgpt.com" TargetMode="External"/><Relationship Id="rId46" Type="http://schemas.openxmlformats.org/officeDocument/2006/relationships/hyperlink" Target="https://pmc.ncbi.nlm.nih.gov/articles/PMC10587540/?utm_source=chatgpt.com" TargetMode="External"/><Relationship Id="rId59" Type="http://schemas.openxmlformats.org/officeDocument/2006/relationships/hyperlink" Target="https://doi.org/10.3390/info16010056" TargetMode="External"/><Relationship Id="rId67" Type="http://schemas.openxmlformats.org/officeDocument/2006/relationships/hyperlink" Target="https://one.oecd.org/document/EDU/WKP%282023%2914/en/pdf?utm_source=chatgpt.com" TargetMode="External"/><Relationship Id="rId20" Type="http://schemas.openxmlformats.org/officeDocument/2006/relationships/hyperlink" Target="https://www.ucl.ac.uk/teaching-learning/professional-development?utm_source=chatgpt.com" TargetMode="External"/><Relationship Id="rId41" Type="http://schemas.openxmlformats.org/officeDocument/2006/relationships/hyperlink" Target="https://www.researchgate.net/publication/342638733_Continuing_professional_development_CPD_a_necessary_component_in_the_workplace_or_not?utm_source=chatgpt.com" TargetMode="External"/><Relationship Id="rId54" Type="http://schemas.openxmlformats.org/officeDocument/2006/relationships/hyperlink" Target="https://centaur.reading.ac.uk/70274/1/PDF_Proof.PDF?utm_source=chatgpt.com" TargetMode="External"/><Relationship Id="rId62" Type="http://schemas.openxmlformats.org/officeDocument/2006/relationships/hyperlink" Target="https://doi.org/10.1186/s41239-022-00379-x"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dvance-he.ac.uk/teaching-learning/professional-standards-framework?utm_source=chatgpt.com" TargetMode="External"/><Relationship Id="rId23" Type="http://schemas.openxmlformats.org/officeDocument/2006/relationships/hyperlink" Target="https://www.seu.ac.lk/jict/publication/vl01is01/vl01is01_04.pdf?utm_source=chatgpt.com" TargetMode="External"/><Relationship Id="rId28" Type="http://schemas.openxmlformats.org/officeDocument/2006/relationships/hyperlink" Target="https://bmcmededuc.biomedcentral.com/articles/10.1186/s12909-025-07883-4?utm_source=chatgpt.com" TargetMode="External"/><Relationship Id="rId36" Type="http://schemas.openxmlformats.org/officeDocument/2006/relationships/hyperlink" Target="https://www.frontiersin.org/journals/education/articles/10.3389/feduc.2024.1407542/full?utm_source=chatgpt.com" TargetMode="External"/><Relationship Id="rId49" Type="http://schemas.openxmlformats.org/officeDocument/2006/relationships/hyperlink" Target="https://core.ac.uk/download/pdf/35343979.pdf?utm_source=chatgpt.com" TargetMode="External"/><Relationship Id="rId57" Type="http://schemas.openxmlformats.org/officeDocument/2006/relationships/hyperlink" Target="https://doi.org/10.1007/s44217-024-00253-0" TargetMode="External"/><Relationship Id="rId10" Type="http://schemas.openxmlformats.org/officeDocument/2006/relationships/endnotes" Target="endnotes.xml"/><Relationship Id="rId31" Type="http://schemas.openxmlformats.org/officeDocument/2006/relationships/hyperlink" Target="https://www.fom.ac.uk/wp-content/uploads/cpd_efficacy_2010.pdf?utm_source=chatgpt.com" TargetMode="External"/><Relationship Id="rId44" Type="http://schemas.openxmlformats.org/officeDocument/2006/relationships/hyperlink" Target="https://doi.org/10.53555/kuey.v30i1.9004" TargetMode="External"/><Relationship Id="rId52" Type="http://schemas.openxmlformats.org/officeDocument/2006/relationships/hyperlink" Target="https://unesdoc.unesco.org" TargetMode="External"/><Relationship Id="rId60" Type="http://schemas.openxmlformats.org/officeDocument/2006/relationships/hyperlink" Target="https://www.mdpi.com/2078-2489/16/1/56?utm_source=chatgpt.com" TargetMode="External"/><Relationship Id="rId65" Type="http://schemas.openxmlformats.org/officeDocument/2006/relationships/hyperlink" Target="https://research.stmarys.ac.uk/id/eprint/5621/3/inclusive.pdf?utm_source=chatgpt.com" TargetMode="External"/><Relationship Id="rId73"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3" Type="http://schemas.microsoft.com/office/2016/09/relationships/commentsIds" Target="commentsIds.xml"/><Relationship Id="rId18" Type="http://schemas.openxmlformats.org/officeDocument/2006/relationships/hyperlink" Target="https://www.officeforstudents.org.uk/for-providers/quality-and-standards/about-the-tef/?utm_source=chatgpt.com" TargetMode="External"/><Relationship Id="rId39" Type="http://schemas.openxmlformats.org/officeDocument/2006/relationships/hyperlink" Target="https://www.cpduk.co.uk/explained?utm_source=chatgpt.com" TargetMode="External"/><Relationship Id="rId34" Type="http://schemas.openxmlformats.org/officeDocument/2006/relationships/hyperlink" Target="https://bmcmededuc.biomedcentral.com/articles/10.1186/s12909-025-07883-4?utm_source=chatgpt.com" TargetMode="External"/><Relationship Id="rId50" Type="http://schemas.openxmlformats.org/officeDocument/2006/relationships/hyperlink" Target="https://link.springer.com/article/10.1007/s10639-023-11900-8?utm_source=chatgpt.com" TargetMode="External"/><Relationship Id="rId55" Type="http://schemas.openxmlformats.org/officeDocument/2006/relationships/hyperlink" Target="https://www.sciencedirect.com/science/article/pii/S2666412722000137?utm_source=chatgpt.com" TargetMode="External"/><Relationship Id="rId7" Type="http://schemas.openxmlformats.org/officeDocument/2006/relationships/settings" Target="settings.xml"/><Relationship Id="rId71"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d48b60d-0763-4518-84e0-b8a7000eb583"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59E82AA46AFB244A398CF0A9536FF36" ma:contentTypeVersion="5" ma:contentTypeDescription="Create a new document." ma:contentTypeScope="" ma:versionID="8c2b74f2b7b96df678ee74855c6acafd">
  <xsd:schema xmlns:xsd="http://www.w3.org/2001/XMLSchema" xmlns:xs="http://www.w3.org/2001/XMLSchema" xmlns:p="http://schemas.microsoft.com/office/2006/metadata/properties" xmlns:ns3="0d48b60d-0763-4518-84e0-b8a7000eb583" targetNamespace="http://schemas.microsoft.com/office/2006/metadata/properties" ma:root="true" ma:fieldsID="8344118f6cca2a2e5e494ffeb21acd80" ns3:_="">
    <xsd:import namespace="0d48b60d-0763-4518-84e0-b8a7000eb58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8b60d-0763-4518-84e0-b8a7000eb58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CBFC53-7C2E-4EF4-8172-715B32A12AC0}">
  <ds:schemaRefs>
    <ds:schemaRef ds:uri="http://schemas.microsoft.com/sharepoint/v3/contenttype/forms"/>
  </ds:schemaRefs>
</ds:datastoreItem>
</file>

<file path=customXml/itemProps2.xml><?xml version="1.0" encoding="utf-8"?>
<ds:datastoreItem xmlns:ds="http://schemas.openxmlformats.org/officeDocument/2006/customXml" ds:itemID="{50EF582C-3F0A-45D9-A0CD-20D3A8251C33}">
  <ds:schemaRefs>
    <ds:schemaRef ds:uri="http://schemas.microsoft.com/office/2006/metadata/properties"/>
    <ds:schemaRef ds:uri="http://schemas.microsoft.com/office/infopath/2007/PartnerControls"/>
    <ds:schemaRef ds:uri="0d48b60d-0763-4518-84e0-b8a7000eb583"/>
  </ds:schemaRefs>
</ds:datastoreItem>
</file>

<file path=customXml/itemProps3.xml><?xml version="1.0" encoding="utf-8"?>
<ds:datastoreItem xmlns:ds="http://schemas.openxmlformats.org/officeDocument/2006/customXml" ds:itemID="{A542B39C-5919-40C7-9AAB-EB7436EDB18C}">
  <ds:schemaRefs>
    <ds:schemaRef ds:uri="http://schemas.openxmlformats.org/officeDocument/2006/bibliography"/>
  </ds:schemaRefs>
</ds:datastoreItem>
</file>

<file path=customXml/itemProps4.xml><?xml version="1.0" encoding="utf-8"?>
<ds:datastoreItem xmlns:ds="http://schemas.openxmlformats.org/officeDocument/2006/customXml" ds:itemID="{9F45E08A-32B2-47C5-BBB6-63CD6C76DE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8b60d-0763-4518-84e0-b8a7000eb58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29689</Words>
  <Characters>169231</Characters>
  <Application>Microsoft Office Word</Application>
  <DocSecurity>0</DocSecurity>
  <Lines>1410</Lines>
  <Paragraphs>397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Hettiarachchige, Mangala</dc:creator>
  <cp:keywords/>
  <dc:description/>
  <cp:lastModifiedBy>Sujeewa Herath</cp:lastModifiedBy>
  <cp:revision>4</cp:revision>
  <dcterms:created xsi:type="dcterms:W3CDTF">2026-01-05T12:39:00Z</dcterms:created>
  <dcterms:modified xsi:type="dcterms:W3CDTF">2026-01-05T12:39:00Z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0x010100B59E82AA46AFB244A398CF0A9536FF36</vt:lpwstr>
  </property>
</Properties>
</file>