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6CAB3" w14:textId="77777777" w:rsidR="00BA55BE" w:rsidRPr="00E119F4" w:rsidRDefault="00BA55BE" w:rsidP="00BA55BE">
      <w:pPr>
        <w:rPr>
          <w:rFonts w:ascii="Arial" w:hAnsi="Arial" w:cs="Arial"/>
        </w:rPr>
      </w:pPr>
      <w:r>
        <w:rPr>
          <w:noProof/>
        </w:rPr>
        <w:drawing>
          <wp:anchor distT="0" distB="0" distL="114300" distR="114300" simplePos="0" relativeHeight="251659264" behindDoc="0" locked="0" layoutInCell="1" allowOverlap="1" wp14:anchorId="512E38B0" wp14:editId="7541942C">
            <wp:simplePos x="0" y="0"/>
            <wp:positionH relativeFrom="margin">
              <wp:align>center</wp:align>
            </wp:positionH>
            <wp:positionV relativeFrom="paragraph">
              <wp:posOffset>76200</wp:posOffset>
            </wp:positionV>
            <wp:extent cx="4160520" cy="1955800"/>
            <wp:effectExtent l="0" t="0" r="0" b="635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E119F4">
        <w:rPr>
          <w:rFonts w:ascii="Arial" w:hAnsi="Arial" w:cs="Arial"/>
        </w:rPr>
        <w:br w:type="textWrapping" w:clear="all"/>
      </w:r>
    </w:p>
    <w:p w14:paraId="7AF2A8E2" w14:textId="77777777" w:rsidR="00BA55BE" w:rsidRPr="00BA55BE" w:rsidRDefault="00BA55BE" w:rsidP="00BA55BE">
      <w:pPr>
        <w:pStyle w:val="Header"/>
        <w:spacing w:line="480" w:lineRule="auto"/>
        <w:contextualSpacing/>
        <w:jc w:val="center"/>
        <w:rPr>
          <w:sz w:val="36"/>
          <w:szCs w:val="36"/>
          <w:lang w:val="en-US"/>
        </w:rPr>
      </w:pPr>
      <w:r w:rsidRPr="00BA55BE">
        <w:rPr>
          <w:sz w:val="36"/>
          <w:szCs w:val="36"/>
          <w:lang w:val="en-US"/>
        </w:rPr>
        <w:t>Assessment 1: Community Engagement</w:t>
      </w:r>
    </w:p>
    <w:p w14:paraId="129FDB66" w14:textId="77777777" w:rsidR="00BA55BE" w:rsidRPr="00E119F4" w:rsidRDefault="00BA55BE" w:rsidP="00BA55BE">
      <w:pPr>
        <w:pStyle w:val="Default"/>
        <w:spacing w:line="360" w:lineRule="auto"/>
        <w:jc w:val="center"/>
      </w:pPr>
    </w:p>
    <w:p w14:paraId="19B08EFB" w14:textId="77777777" w:rsidR="00BA55BE" w:rsidRPr="00E119F4" w:rsidRDefault="00BA55BE" w:rsidP="00BA55BE">
      <w:pPr>
        <w:pStyle w:val="Default"/>
        <w:spacing w:line="360" w:lineRule="auto"/>
        <w:jc w:val="center"/>
      </w:pPr>
      <w:r w:rsidRPr="00E119F4">
        <w:t>Course: BA Business Management</w:t>
      </w:r>
    </w:p>
    <w:p w14:paraId="2569EC22" w14:textId="77777777" w:rsidR="00BA55BE" w:rsidRPr="00E119F4" w:rsidRDefault="00BA55BE" w:rsidP="00BA55BE">
      <w:pPr>
        <w:pStyle w:val="Default"/>
        <w:spacing w:line="360" w:lineRule="auto"/>
        <w:jc w:val="center"/>
      </w:pPr>
    </w:p>
    <w:p w14:paraId="6B9489A0" w14:textId="23CA094B" w:rsidR="00BA55BE" w:rsidRPr="00E119F4" w:rsidRDefault="00BA55BE" w:rsidP="00BA55BE">
      <w:pPr>
        <w:pStyle w:val="Default"/>
        <w:spacing w:line="360" w:lineRule="auto"/>
        <w:jc w:val="center"/>
      </w:pPr>
      <w:r w:rsidRPr="00E119F4">
        <w:t xml:space="preserve">Module name: </w:t>
      </w:r>
      <w:r w:rsidR="0073619A">
        <w:t>Community Engagement</w:t>
      </w:r>
    </w:p>
    <w:p w14:paraId="3C709E96" w14:textId="77777777" w:rsidR="00BA55BE" w:rsidRPr="00E119F4" w:rsidRDefault="00BA55BE" w:rsidP="00BA55BE">
      <w:pPr>
        <w:pStyle w:val="Default"/>
        <w:spacing w:line="360" w:lineRule="auto"/>
        <w:jc w:val="center"/>
      </w:pPr>
    </w:p>
    <w:p w14:paraId="4780A3DA" w14:textId="1B3DC9CA" w:rsidR="00BA55BE" w:rsidRPr="00E119F4" w:rsidRDefault="00BA55BE" w:rsidP="00BA55BE">
      <w:pPr>
        <w:pStyle w:val="Default"/>
        <w:spacing w:line="360" w:lineRule="auto"/>
        <w:jc w:val="center"/>
      </w:pPr>
      <w:r w:rsidRPr="00E119F4">
        <w:t>Module Code: LCBB400</w:t>
      </w:r>
      <w:r w:rsidR="0073619A">
        <w:t>2</w:t>
      </w:r>
    </w:p>
    <w:p w14:paraId="2D1AC75A" w14:textId="77777777" w:rsidR="00BA55BE" w:rsidRPr="00E119F4" w:rsidRDefault="00BA55BE" w:rsidP="00BA55BE">
      <w:pPr>
        <w:pStyle w:val="Default"/>
        <w:spacing w:line="360" w:lineRule="auto"/>
        <w:jc w:val="center"/>
      </w:pPr>
    </w:p>
    <w:p w14:paraId="775E8369" w14:textId="0113694C" w:rsidR="00BA55BE" w:rsidRPr="00E119F4" w:rsidRDefault="00BA55BE" w:rsidP="00BA55BE">
      <w:pPr>
        <w:pStyle w:val="Default"/>
        <w:spacing w:line="360" w:lineRule="auto"/>
        <w:jc w:val="center"/>
      </w:pPr>
      <w:r w:rsidRPr="00E119F4">
        <w:t xml:space="preserve">Lecturer name: </w:t>
      </w:r>
      <w:r w:rsidR="0073619A">
        <w:t>Anita Nan</w:t>
      </w:r>
    </w:p>
    <w:p w14:paraId="7FE44A6D" w14:textId="77777777" w:rsidR="00BA55BE" w:rsidRPr="00E119F4" w:rsidRDefault="00BA55BE" w:rsidP="00BA55BE">
      <w:pPr>
        <w:pStyle w:val="Default"/>
        <w:spacing w:line="360" w:lineRule="auto"/>
      </w:pPr>
    </w:p>
    <w:p w14:paraId="74083E64" w14:textId="77777777" w:rsidR="00BA55BE" w:rsidRPr="00E119F4" w:rsidRDefault="00BA55BE" w:rsidP="00BA55BE">
      <w:pPr>
        <w:pStyle w:val="Default"/>
        <w:spacing w:line="360" w:lineRule="auto"/>
        <w:jc w:val="center"/>
      </w:pPr>
      <w:r w:rsidRPr="00E119F4">
        <w:t>Student name: Krasimir Iliev</w:t>
      </w:r>
    </w:p>
    <w:p w14:paraId="7B4E79D6" w14:textId="77777777" w:rsidR="00BA55BE" w:rsidRPr="00E119F4" w:rsidRDefault="00BA55BE" w:rsidP="00BA55BE">
      <w:pPr>
        <w:pStyle w:val="Default"/>
        <w:spacing w:line="360" w:lineRule="auto"/>
        <w:jc w:val="center"/>
      </w:pPr>
    </w:p>
    <w:p w14:paraId="0CA4FC29" w14:textId="77777777" w:rsidR="00BA55BE" w:rsidRPr="00E119F4" w:rsidRDefault="00BA55BE" w:rsidP="00BA55BE">
      <w:pPr>
        <w:pStyle w:val="Default"/>
        <w:spacing w:line="360" w:lineRule="auto"/>
        <w:jc w:val="center"/>
      </w:pPr>
      <w:r w:rsidRPr="00E119F4">
        <w:t>Student ID: 2123464</w:t>
      </w:r>
    </w:p>
    <w:p w14:paraId="306A5649" w14:textId="77777777" w:rsidR="00BA55BE" w:rsidRPr="00E119F4" w:rsidRDefault="00BA55BE" w:rsidP="00BA55BE">
      <w:pPr>
        <w:pStyle w:val="Default"/>
        <w:spacing w:line="360" w:lineRule="auto"/>
        <w:jc w:val="center"/>
      </w:pPr>
    </w:p>
    <w:p w14:paraId="7A7CFA7E" w14:textId="18DA94AA" w:rsidR="00BA55BE" w:rsidRPr="00E119F4" w:rsidRDefault="00BA55BE" w:rsidP="00BA55BE">
      <w:pPr>
        <w:pStyle w:val="Default"/>
        <w:spacing w:line="360" w:lineRule="auto"/>
        <w:jc w:val="center"/>
      </w:pPr>
      <w:r w:rsidRPr="00E119F4">
        <w:t xml:space="preserve">Submission Date: </w:t>
      </w:r>
      <w:r>
        <w:t>0</w:t>
      </w:r>
      <w:r w:rsidR="0073619A">
        <w:t>7</w:t>
      </w:r>
      <w:r w:rsidRPr="00E119F4">
        <w:t>/0</w:t>
      </w:r>
      <w:r>
        <w:t>9</w:t>
      </w:r>
      <w:r w:rsidRPr="00E119F4">
        <w:t>/2022</w:t>
      </w:r>
    </w:p>
    <w:p w14:paraId="27A2BB05" w14:textId="77777777" w:rsidR="00BA55BE" w:rsidRPr="00E119F4" w:rsidRDefault="00BA55BE" w:rsidP="00BA55BE">
      <w:pPr>
        <w:rPr>
          <w:rFonts w:ascii="Arial" w:hAnsi="Arial" w:cs="Arial"/>
          <w:b/>
          <w:bCs/>
        </w:rPr>
      </w:pPr>
    </w:p>
    <w:p w14:paraId="28ED836A" w14:textId="77777777" w:rsidR="00BA55BE" w:rsidRDefault="00BA55BE" w:rsidP="00BA55BE">
      <w:pPr>
        <w:rPr>
          <w:rFonts w:ascii="Arial" w:hAnsi="Arial" w:cs="Arial"/>
        </w:rPr>
      </w:pPr>
    </w:p>
    <w:p w14:paraId="3AD72FC2" w14:textId="77777777" w:rsidR="00BA55BE" w:rsidRDefault="00BA55BE" w:rsidP="00BA55BE">
      <w:pPr>
        <w:rPr>
          <w:rFonts w:ascii="Arial" w:hAnsi="Arial" w:cs="Arial"/>
        </w:rPr>
      </w:pPr>
    </w:p>
    <w:p w14:paraId="6C4FEC6E" w14:textId="21EC2274" w:rsidR="00BA55BE" w:rsidRDefault="00BA55BE" w:rsidP="00BA55BE">
      <w:pPr>
        <w:rPr>
          <w:rFonts w:ascii="Arial" w:hAnsi="Arial" w:cs="Arial"/>
        </w:rPr>
      </w:pPr>
    </w:p>
    <w:p w14:paraId="7AF28977" w14:textId="45908574" w:rsidR="00BA55BE" w:rsidRDefault="00BA55BE" w:rsidP="00BA55BE">
      <w:pPr>
        <w:rPr>
          <w:rFonts w:ascii="Arial" w:hAnsi="Arial" w:cs="Arial"/>
        </w:rPr>
      </w:pPr>
    </w:p>
    <w:p w14:paraId="545C8A48" w14:textId="77777777" w:rsidR="00BA55BE" w:rsidRPr="00E119F4" w:rsidRDefault="00BA55BE" w:rsidP="00BA55BE">
      <w:pPr>
        <w:rPr>
          <w:rFonts w:ascii="Arial" w:hAnsi="Arial" w:cs="Arial"/>
        </w:rPr>
      </w:pPr>
    </w:p>
    <w:p w14:paraId="7351981D" w14:textId="77777777" w:rsidR="00DC4C46" w:rsidRPr="00DC4C46" w:rsidRDefault="00DC4C46" w:rsidP="00DC4C46">
      <w:pPr>
        <w:pStyle w:val="Header"/>
        <w:spacing w:line="480" w:lineRule="auto"/>
        <w:contextualSpacing/>
        <w:jc w:val="both"/>
        <w:rPr>
          <w:b/>
          <w:lang w:val="en-US"/>
        </w:rPr>
      </w:pPr>
      <w:r w:rsidRPr="00DC4C46">
        <w:rPr>
          <w:b/>
          <w:lang w:val="en-US"/>
        </w:rPr>
        <w:lastRenderedPageBreak/>
        <w:t>Introduction</w:t>
      </w:r>
    </w:p>
    <w:p w14:paraId="1C45777D" w14:textId="77777777" w:rsidR="00DC4C46" w:rsidRPr="00DC4C46" w:rsidRDefault="00DC4C46" w:rsidP="00DC4C46">
      <w:pPr>
        <w:pStyle w:val="Header"/>
        <w:spacing w:line="480" w:lineRule="auto"/>
        <w:ind w:firstLine="720"/>
        <w:contextualSpacing/>
        <w:jc w:val="both"/>
        <w:rPr>
          <w:noProof/>
          <w:lang w:val="en-US"/>
        </w:rPr>
      </w:pPr>
      <w:r w:rsidRPr="00DC4C46">
        <w:rPr>
          <w:lang w:val="en-US"/>
        </w:rPr>
        <w:t>Given the increasing cases of health challenges in economically and socially marginalized communities, community engagement is an approach to benefit locals and address their needs and concerns. Community engagement ensures that local communities receive empowerment to strengthen their local health and improve social systems by leading decision-making (</w:t>
      </w:r>
      <w:r w:rsidRPr="00DC4C46">
        <w:rPr>
          <w:noProof/>
          <w:lang w:val="en-US"/>
        </w:rPr>
        <w:t xml:space="preserve">Schiavo, 2021). Community engagement also allows the development of equitable partnerships with community stakeholders who identify, develop, and implement sustainable solutions using available local resources to address issues specific to them and the wider global community (Mitchell </w:t>
      </w:r>
      <w:r w:rsidRPr="00DC4C46">
        <w:rPr>
          <w:i/>
          <w:noProof/>
          <w:lang w:val="en-US"/>
        </w:rPr>
        <w:t>et al.</w:t>
      </w:r>
      <w:r w:rsidRPr="00DC4C46">
        <w:rPr>
          <w:noProof/>
          <w:lang w:val="en-US"/>
        </w:rPr>
        <w:t xml:space="preserve">, 2020). However, despite the benefits of community engagement, there are numerous challenges to the process, including a lack of clarity with the engagement community, and planners can use social media platforms as an outreach to engage stakeholders. Such individuals and organizations must also identify other relevant avenues to promote community participation and collaboration. The current essay will critically analyze community engagement principles and standards, identify the benefits of stakeholder participation, and analyze how challenges can impact the possibility of engaging with stakeholders. </w:t>
      </w:r>
    </w:p>
    <w:p w14:paraId="3005C011" w14:textId="77777777" w:rsidR="00DC4C46" w:rsidRPr="00DC4C46" w:rsidRDefault="00DC4C46" w:rsidP="00DC4C46">
      <w:pPr>
        <w:pStyle w:val="Header"/>
        <w:spacing w:line="480" w:lineRule="auto"/>
        <w:contextualSpacing/>
        <w:jc w:val="both"/>
        <w:rPr>
          <w:b/>
          <w:noProof/>
          <w:lang w:val="en-US"/>
        </w:rPr>
      </w:pPr>
      <w:r w:rsidRPr="00DC4C46">
        <w:rPr>
          <w:b/>
          <w:noProof/>
          <w:lang w:val="en-US"/>
        </w:rPr>
        <w:t>Community Engagement Principles, Standards, and Perspectives</w:t>
      </w:r>
    </w:p>
    <w:p w14:paraId="67A614DB"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t xml:space="preserve">A successful community engagement project must follow specific values and principles. For instance, plenary sessions with the community must address clarity issues. The presenters must avoid over- or false-promising on solutions to specific challenges in the community and project outcomes. The project must clarify its needs and expectations without confusing the community and create a timeline for discussions and the project itself (Mitchell </w:t>
      </w:r>
      <w:r w:rsidRPr="00DC4C46">
        <w:rPr>
          <w:i/>
          <w:noProof/>
          <w:lang w:val="en-US"/>
        </w:rPr>
        <w:t>et al.</w:t>
      </w:r>
      <w:r w:rsidRPr="00DC4C46">
        <w:rPr>
          <w:noProof/>
          <w:lang w:val="en-US"/>
        </w:rPr>
        <w:t xml:space="preserve">, 2020). Co-producers in a project must also follow the principle of creativity and utilize methods that will ensure </w:t>
      </w:r>
      <w:r w:rsidRPr="00DC4C46">
        <w:rPr>
          <w:noProof/>
          <w:lang w:val="en-US"/>
        </w:rPr>
        <w:lastRenderedPageBreak/>
        <w:t xml:space="preserve">creative outputs to avoid overlapping benefits and respect the value of all participants. Another principle is that a community-engagement project must be evidence-led to ascertain that proposed methods best fit the context of the specific community and allow findings to benefit targeted audiences to increase the value of the intervention (Mitchell </w:t>
      </w:r>
      <w:r w:rsidRPr="00DC4C46">
        <w:rPr>
          <w:i/>
          <w:noProof/>
          <w:lang w:val="en-US"/>
        </w:rPr>
        <w:t>et al.</w:t>
      </w:r>
      <w:r w:rsidRPr="00DC4C46">
        <w:rPr>
          <w:noProof/>
          <w:lang w:val="en-US"/>
        </w:rPr>
        <w:t xml:space="preserve">, 2020). Finally, a community-engagement project must ensure equitable partnerships between community members and other stakeholders to address issues within a safe space (Mitchell </w:t>
      </w:r>
      <w:r w:rsidRPr="00DC4C46">
        <w:rPr>
          <w:i/>
          <w:noProof/>
          <w:lang w:val="en-US"/>
        </w:rPr>
        <w:t>et al.</w:t>
      </w:r>
      <w:r w:rsidRPr="00DC4C46">
        <w:rPr>
          <w:noProof/>
          <w:lang w:val="en-US"/>
        </w:rPr>
        <w:t xml:space="preserve">, 2020). A lack of principles in a community engagement project can lead to challenges, such as the unequal distribution of expectations and resources between different groups in the community. </w:t>
      </w:r>
    </w:p>
    <w:p w14:paraId="697AF6BD"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t xml:space="preserve">Community engagement standards differ from other processes, such as top-down government approaches or audience engagement. Community engagement creates new power dynamics between organizations and community members and acts as a catalyst to change existing policies and practices (Schiavo, 2021). For instance, community engagement within healthcare seeks to empower specific communities to achieve social results that support improved health-related outcomes through behavioral changes and increased access to resources. In such cases, communities have a holistic view of their needs and wellbeing, enabling organizations to look beyond their interests and invest in the community (De Weger </w:t>
      </w:r>
      <w:r w:rsidRPr="00DC4C46">
        <w:rPr>
          <w:i/>
          <w:noProof/>
          <w:lang w:val="en-US"/>
        </w:rPr>
        <w:t>et al.</w:t>
      </w:r>
      <w:r w:rsidRPr="00DC4C46">
        <w:rPr>
          <w:noProof/>
          <w:lang w:val="en-US"/>
        </w:rPr>
        <w:t xml:space="preserve">, 2018). Therefore, community engagement projects must follow the standard of including different stakeholders in a local region, including local businesses and schools, to address needs specific to such communities. Tailored services would improve community health and increase engagement to shape local services and policies (De Weger </w:t>
      </w:r>
      <w:r w:rsidRPr="00DC4C46">
        <w:rPr>
          <w:i/>
          <w:noProof/>
          <w:lang w:val="en-US"/>
        </w:rPr>
        <w:t>et al.</w:t>
      </w:r>
      <w:r w:rsidRPr="00DC4C46">
        <w:rPr>
          <w:noProof/>
          <w:lang w:val="en-US"/>
        </w:rPr>
        <w:t xml:space="preserve">, 2018). However, there are different perspectives on a community engagement project. </w:t>
      </w:r>
    </w:p>
    <w:p w14:paraId="2D58A10E"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lastRenderedPageBreak/>
        <w:t xml:space="preserve">The first perspective on community engagement is that it provides people with a tool to regain power and control over their lives, thus improving their health and wellbeing. However, community engagement projects must define the community it seeks to address, depending on geographical boundaries, social and economic characteristics, specific values, and interests (Brunton </w:t>
      </w:r>
      <w:r w:rsidRPr="00DC4C46">
        <w:rPr>
          <w:i/>
          <w:noProof/>
          <w:lang w:val="en-US"/>
        </w:rPr>
        <w:t>et al.</w:t>
      </w:r>
      <w:r w:rsidRPr="00DC4C46">
        <w:rPr>
          <w:noProof/>
          <w:lang w:val="en-US"/>
        </w:rPr>
        <w:t xml:space="preserve">, 2017). Another perspective on community engagement is that project managers must identify the factors motivating community members to participate in the project and how they would engage to benefit themselves and the wider community. Project managers must also consider the conditions that best lead to community participation, empowerment, and control (Brunton </w:t>
      </w:r>
      <w:r w:rsidRPr="00DC4C46">
        <w:rPr>
          <w:i/>
          <w:noProof/>
          <w:lang w:val="en-US"/>
        </w:rPr>
        <w:t>et al.</w:t>
      </w:r>
      <w:r w:rsidRPr="00DC4C46">
        <w:rPr>
          <w:noProof/>
          <w:lang w:val="en-US"/>
        </w:rPr>
        <w:t xml:space="preserve">, 2017). For instance, the project can follow a utilitarian health system perspective, where community members increase the project's credibility and awareness, or a social justice perspective, which considers community members' empowerment (Brunton </w:t>
      </w:r>
      <w:r w:rsidRPr="00DC4C46">
        <w:rPr>
          <w:i/>
          <w:noProof/>
          <w:lang w:val="en-US"/>
        </w:rPr>
        <w:t>et al.</w:t>
      </w:r>
      <w:r w:rsidRPr="00DC4C46">
        <w:rPr>
          <w:noProof/>
          <w:lang w:val="en-US"/>
        </w:rPr>
        <w:t xml:space="preserve">, 2017). Such perspectives focus on improving the community and enhancing mutual support to enhance members’ wellbeing. </w:t>
      </w:r>
    </w:p>
    <w:p w14:paraId="3C275B3F" w14:textId="77777777" w:rsidR="00DC4C46" w:rsidRPr="00DC4C46" w:rsidRDefault="00DC4C46" w:rsidP="00DC4C46">
      <w:pPr>
        <w:pStyle w:val="Header"/>
        <w:spacing w:line="480" w:lineRule="auto"/>
        <w:contextualSpacing/>
        <w:jc w:val="both"/>
        <w:rPr>
          <w:b/>
          <w:lang w:val="en-US"/>
        </w:rPr>
      </w:pPr>
      <w:r w:rsidRPr="00DC4C46">
        <w:rPr>
          <w:b/>
          <w:lang w:val="en-US"/>
        </w:rPr>
        <w:t>Benefits of Stakeholder Participation</w:t>
      </w:r>
    </w:p>
    <w:p w14:paraId="4CE44C77" w14:textId="77777777" w:rsidR="00DC4C46" w:rsidRPr="00DC4C46" w:rsidRDefault="00DC4C46" w:rsidP="00DC4C46">
      <w:pPr>
        <w:pStyle w:val="Header"/>
        <w:spacing w:line="480" w:lineRule="auto"/>
        <w:ind w:firstLine="720"/>
        <w:contextualSpacing/>
        <w:jc w:val="both"/>
        <w:rPr>
          <w:noProof/>
          <w:lang w:val="en-US"/>
        </w:rPr>
      </w:pPr>
      <w:r w:rsidRPr="00DC4C46">
        <w:rPr>
          <w:lang w:val="en-US"/>
        </w:rPr>
        <w:t>Stakeholder participation in community engagement projects is beneficial for numerous reasons. During the research, stakeholder participation allows researchers to understand the local community's needs appropriately, thus making the research ethical. Stakeholder participation also improves the recruitment of participants in research and the impact of the study results (</w:t>
      </w:r>
      <w:r w:rsidRPr="00DC4C46">
        <w:rPr>
          <w:noProof/>
          <w:lang w:val="en-US"/>
        </w:rPr>
        <w:t xml:space="preserve">Tembo </w:t>
      </w:r>
      <w:r w:rsidRPr="00DC4C46">
        <w:rPr>
          <w:i/>
          <w:noProof/>
          <w:lang w:val="en-US"/>
        </w:rPr>
        <w:t>et al.</w:t>
      </w:r>
      <w:r w:rsidRPr="00DC4C46">
        <w:rPr>
          <w:noProof/>
          <w:lang w:val="en-US"/>
        </w:rPr>
        <w:t>, 2021). In this case, a stakeholder is a person or group with a vested interest in the project and its outcomes. Types of stakeholders can include customers, community members, employees, investors, and local officials.</w:t>
      </w:r>
    </w:p>
    <w:p w14:paraId="6D563D21"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lastRenderedPageBreak/>
        <w:t xml:space="preserve">While an organization can have all the power and resources in the initial phases of community engagement, stakeholder participation allows individuals to share power and address issues such as inequalities and lack of trust within the community (Tembo </w:t>
      </w:r>
      <w:r w:rsidRPr="00DC4C46">
        <w:rPr>
          <w:i/>
          <w:noProof/>
          <w:lang w:val="en-US"/>
        </w:rPr>
        <w:t>et al.</w:t>
      </w:r>
      <w:r w:rsidRPr="00DC4C46">
        <w:rPr>
          <w:noProof/>
          <w:lang w:val="en-US"/>
        </w:rPr>
        <w:t xml:space="preserve">, 2021). Stakeholder participation prevents communities from working alone and creates a bridge to build and maintain relationships between community members and organizations. Stakeholder participation also ensures that organizations include all perspectives in their project and utilize the skills and resources available within the community (Tembo </w:t>
      </w:r>
      <w:r w:rsidRPr="00DC4C46">
        <w:rPr>
          <w:i/>
          <w:noProof/>
          <w:lang w:val="en-US"/>
        </w:rPr>
        <w:t>et al.</w:t>
      </w:r>
      <w:r w:rsidRPr="00DC4C46">
        <w:rPr>
          <w:noProof/>
          <w:lang w:val="en-US"/>
        </w:rPr>
        <w:t xml:space="preserve">, 2021). Stakeholders in the project decide the benefits they will receive and shape the project in ways that benefit and empower their communities. However, stakeholders can also determine what channels the resources availed will go through and how to disseminate information for maximum benefits. </w:t>
      </w:r>
    </w:p>
    <w:p w14:paraId="20741B45"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t xml:space="preserve">Organizations can identify and establish relationships between stakeholders through social media platforms. Social media provides a new opportunity for organizations to inform stakeholder groups, identify common interests, express opinions, share demands, and coordinate interventions for community engagement (Hoffmann and Lutz, 2013). However, communities must identify the most relevant stakeholders in community engagement programs, such as customers, local communities, and interest groups, during a social media outreach to avoid engaging the wrong groups. Social media platforms allow organizations to express their opinions to the relevant stakeholders, acknowledge their input, and consider the effectiveness of established relationships. In such cases, social media will make it easy for organizations to share content with non-professional users, thus shaping a public agenda (Hoffmann and Lutz, 2013). Social media also provides project </w:t>
      </w:r>
      <w:r w:rsidRPr="00DC4C46">
        <w:rPr>
          <w:noProof/>
          <w:lang w:val="en-US"/>
        </w:rPr>
        <w:lastRenderedPageBreak/>
        <w:t xml:space="preserve">managers a powerful tool to connect with like-minded individuals within a specific community and provide an infrastructure to support coordination and engagement. </w:t>
      </w:r>
    </w:p>
    <w:p w14:paraId="2146D858" w14:textId="77777777" w:rsidR="00DC4C46" w:rsidRPr="00DC4C46" w:rsidRDefault="00DC4C46" w:rsidP="00DC4C46">
      <w:pPr>
        <w:pStyle w:val="Header"/>
        <w:spacing w:line="480" w:lineRule="auto"/>
        <w:ind w:firstLine="720"/>
        <w:contextualSpacing/>
        <w:jc w:val="both"/>
        <w:rPr>
          <w:noProof/>
          <w:lang w:val="en-US"/>
        </w:rPr>
      </w:pPr>
      <w:r w:rsidRPr="00DC4C46">
        <w:rPr>
          <w:lang w:val="en-US"/>
        </w:rPr>
        <w:t>Project managers can use social media platforms, such as Facebook, Twitter, and Linkedin, to increase the online engagement of organizations and identify community-building projects. Through social media, identifiable individuals within the community can engage in dialogue with organizations about their needs and concerns (</w:t>
      </w:r>
      <w:r w:rsidRPr="00DC4C46">
        <w:rPr>
          <w:noProof/>
          <w:lang w:val="en-US"/>
        </w:rPr>
        <w:t xml:space="preserve">Hoffmann and Lutz, 2013). However, the project manager must first create social media posts and share content with members of a specific community by tagging them and encouraging them to share the content. Such individuals must also use specific interpersonal skills, including creative thinking to engage stakeholders and increase support for the project. In most cases, online interaction with content does not imply stakeholder participation and engagement (Hoffmann and Lutz, 2013). Therefore, managers must use flexibility to manage expectations and ascertain positive outcomes for stakeholders online and offline (Mitchell </w:t>
      </w:r>
      <w:r w:rsidRPr="00DC4C46">
        <w:rPr>
          <w:i/>
          <w:noProof/>
          <w:lang w:val="en-US"/>
        </w:rPr>
        <w:t>et al.</w:t>
      </w:r>
      <w:r w:rsidRPr="00DC4C46">
        <w:rPr>
          <w:noProof/>
          <w:lang w:val="en-US"/>
        </w:rPr>
        <w:t xml:space="preserve">, 2020). Other skills that can increase support for the project through social media platforms include creative thinking among managers and interpersonal skills. </w:t>
      </w:r>
    </w:p>
    <w:p w14:paraId="35E67D3D"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t xml:space="preserve">Social media platforms offer managers an essential tool to leverage online consumer communities and formulate engagement approaches. For instance, a manager can use social media as a listening tool to monitor online conversations regarding a project within a specific community and gather data about their concerns and needs. Social media can also be a broadcast tool to disseminate information about a project, available resources, and proposed outcomes for the community (Hoffmann and Lutz, 2013). Through social media, stakeholders can contribute to the creation of a specific intervention that would best benefit their specific community and facilitate communication between organizations and community members. </w:t>
      </w:r>
      <w:r w:rsidRPr="00DC4C46">
        <w:rPr>
          <w:noProof/>
          <w:lang w:val="en-US"/>
        </w:rPr>
        <w:lastRenderedPageBreak/>
        <w:t xml:space="preserve">Social media can also act as a tool to educate the community, raise awareness about available resources and interventions, and increase collaboration and community participation. Therefore, managers can use social media platforms as an outreach to support projects since they can reach a different audience and encourage diverse engagement among community members. Social media is also a source of data that managers can utilize to formulate conversations and steer discussions towards community participation, inclusion, and collaboration. </w:t>
      </w:r>
    </w:p>
    <w:p w14:paraId="665F5BC2" w14:textId="77777777" w:rsidR="00DC4C46" w:rsidRPr="00DC4C46" w:rsidRDefault="00DC4C46" w:rsidP="00DC4C46">
      <w:pPr>
        <w:pStyle w:val="Header"/>
        <w:spacing w:line="480" w:lineRule="auto"/>
        <w:contextualSpacing/>
        <w:jc w:val="both"/>
        <w:rPr>
          <w:b/>
          <w:noProof/>
          <w:lang w:val="en-US"/>
        </w:rPr>
      </w:pPr>
      <w:r w:rsidRPr="00DC4C46">
        <w:rPr>
          <w:b/>
          <w:noProof/>
          <w:lang w:val="en-US"/>
        </w:rPr>
        <w:t>Relevant Avenues to Promote Community Participation</w:t>
      </w:r>
    </w:p>
    <w:p w14:paraId="73501011"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t xml:space="preserve">One of the strategies to engage with community members effectively and promote community participation, collaboration, diversity, and inclusion is through a community-driven approach to communication. Community-driven communication considers the cultural preferences of a specific community, its needs, and preferences, thus enabling social-cultural integration and multi-cultural. Trusted, clear, and effective communication reduces fear, rumors, and panic within communities (Schiavo, 2021). Such an approach also provides two-way interaction between the community and an organization at every step of the project, thus allowing communities to talk about their issues and the best strategies to address them. A community-driven communication strategy also allows communities to participate in the project, thus enabling them to contribute to the long-term project sustainability and system change (Schiavo, 2021). For instance, community members can determine the best allocation of resources and funds, depending on their issues, and design local policies to prevent institutional bias. A community-driven approach gives community members ownership of the interventions and solutions, leading to equitable community engagement and bias-free projects. Therefore, project managers must build trust through community-driven </w:t>
      </w:r>
      <w:r w:rsidRPr="00DC4C46">
        <w:rPr>
          <w:noProof/>
          <w:lang w:val="en-US"/>
        </w:rPr>
        <w:lastRenderedPageBreak/>
        <w:t xml:space="preserve">communication to promote diversity and enable social-cultural integration and multiculturalism. </w:t>
      </w:r>
    </w:p>
    <w:p w14:paraId="61856046"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t xml:space="preserve">Supportive and facilitative leadership within a project is another avenue to promote community participation and collaboration. Support within organizations allows leaders to support citizens in their roles within the project without being too directive (De Weger </w:t>
      </w:r>
      <w:r w:rsidRPr="00DC4C46">
        <w:rPr>
          <w:i/>
          <w:noProof/>
          <w:lang w:val="en-US"/>
        </w:rPr>
        <w:t>et al.</w:t>
      </w:r>
      <w:r w:rsidRPr="00DC4C46">
        <w:rPr>
          <w:noProof/>
          <w:lang w:val="en-US"/>
        </w:rPr>
        <w:t xml:space="preserve">, 2018). Such an approach leads to transparency between organizations and community members, ascertaining that all stakeholders share information and enabling social-cultural integration. Supportive leadership also helps ensure that all community members have clear expectations of the project outcomes to foster close relationships and increase community collaboration, diversity, and inclusion (De Weger </w:t>
      </w:r>
      <w:r w:rsidRPr="00DC4C46">
        <w:rPr>
          <w:i/>
          <w:noProof/>
          <w:lang w:val="en-US"/>
        </w:rPr>
        <w:t>et al.</w:t>
      </w:r>
      <w:r w:rsidRPr="00DC4C46">
        <w:rPr>
          <w:noProof/>
          <w:lang w:val="en-US"/>
        </w:rPr>
        <w:t xml:space="preserve">, 2018). For instance, an organization can give presentations to the community about the project, possible limitations, and the expected outcome to ascertain clarity. Such an approach will foster a trusting relationship where all community members can provide input, thus enabling full participation (De Weger </w:t>
      </w:r>
      <w:r w:rsidRPr="00DC4C46">
        <w:rPr>
          <w:i/>
          <w:noProof/>
          <w:lang w:val="en-US"/>
        </w:rPr>
        <w:t>et al.</w:t>
      </w:r>
      <w:r w:rsidRPr="00DC4C46">
        <w:rPr>
          <w:noProof/>
          <w:lang w:val="en-US"/>
        </w:rPr>
        <w:t xml:space="preserve">, 2018). Supportive leadership also facilitates early involvement among community members, increasing inclusion and enabling social-cultural integration. </w:t>
      </w:r>
    </w:p>
    <w:p w14:paraId="54CB4042" w14:textId="77777777" w:rsidR="00DC4C46" w:rsidRPr="00DC4C46" w:rsidRDefault="00DC4C46" w:rsidP="00DC4C46">
      <w:pPr>
        <w:pStyle w:val="Header"/>
        <w:spacing w:line="480" w:lineRule="auto"/>
        <w:contextualSpacing/>
        <w:jc w:val="both"/>
        <w:rPr>
          <w:b/>
          <w:noProof/>
          <w:lang w:val="en-US"/>
        </w:rPr>
      </w:pPr>
      <w:r w:rsidRPr="00DC4C46">
        <w:rPr>
          <w:b/>
          <w:noProof/>
          <w:lang w:val="en-US"/>
        </w:rPr>
        <w:t>Challenges</w:t>
      </w:r>
    </w:p>
    <w:p w14:paraId="146D1439" w14:textId="77777777" w:rsidR="00DC4C46" w:rsidRPr="00DC4C46" w:rsidRDefault="00DC4C46" w:rsidP="00DC4C46">
      <w:pPr>
        <w:pStyle w:val="Header"/>
        <w:spacing w:line="480" w:lineRule="auto"/>
        <w:ind w:firstLine="720"/>
        <w:contextualSpacing/>
        <w:jc w:val="both"/>
        <w:rPr>
          <w:noProof/>
          <w:lang w:val="en-US"/>
        </w:rPr>
      </w:pPr>
      <w:r w:rsidRPr="00DC4C46">
        <w:rPr>
          <w:noProof/>
          <w:lang w:val="en-US"/>
        </w:rPr>
        <w:t xml:space="preserve">Various challenges exist to effective community engagement and might negatively impact the possibility of engaging with stakeholders. For instance, there might be issues with relationship building with community members and stakeholders, leading to disengagement (Tembo </w:t>
      </w:r>
      <w:r w:rsidRPr="00DC4C46">
        <w:rPr>
          <w:i/>
          <w:noProof/>
          <w:lang w:val="en-US"/>
        </w:rPr>
        <w:t>et al.</w:t>
      </w:r>
      <w:r w:rsidRPr="00DC4C46">
        <w:rPr>
          <w:noProof/>
          <w:lang w:val="en-US"/>
        </w:rPr>
        <w:t xml:space="preserve">, 2021). The challenge arises from all stakeholders failing to understand the process, leading to diminished outcomes for the project. For instance, if an organization fails to properly explain the project and its expected outcomes for the community, members might fail to engage </w:t>
      </w:r>
      <w:r w:rsidRPr="00DC4C46">
        <w:rPr>
          <w:noProof/>
          <w:lang w:val="en-US"/>
        </w:rPr>
        <w:lastRenderedPageBreak/>
        <w:t xml:space="preserve">due to a lack of clarity and perceived honesty from the project managers. Other organizations have challenges connecting engagement outcomes to actual policy outcomes, causing most stakeholders not to buy in the process, leading to a lack of participation and collaboration (Cormick, 2010). Disconnect during policy formulation leads to a negative public attitude toward the project or research since the project might appear inflexible and uninformed, leading to a challenge in stakeholder engagement. Another challenge can include misunderstanding the purpose of the project or research to the community (Cormick, 2010). Instances where the policy does not align with public interests and aspirations, present a challenge, leading to community and stakeholder disengagement in the project. However, project managers can address such issues by following the principles and standards of community engagement. </w:t>
      </w:r>
    </w:p>
    <w:p w14:paraId="37AD85EE" w14:textId="77777777" w:rsidR="00DC4C46" w:rsidRPr="00DC4C46" w:rsidRDefault="00DC4C46" w:rsidP="00DC4C46">
      <w:pPr>
        <w:pStyle w:val="NoSpacing"/>
        <w:spacing w:line="480" w:lineRule="auto"/>
        <w:jc w:val="both"/>
        <w:rPr>
          <w:rFonts w:ascii="Arial" w:hAnsi="Arial" w:cs="Arial"/>
          <w:b/>
        </w:rPr>
      </w:pPr>
      <w:r w:rsidRPr="00DC4C46">
        <w:rPr>
          <w:rFonts w:ascii="Arial" w:hAnsi="Arial" w:cs="Arial"/>
          <w:b/>
        </w:rPr>
        <w:t>Conclusion</w:t>
      </w:r>
    </w:p>
    <w:p w14:paraId="16F7D048" w14:textId="77777777" w:rsidR="00DC4C46" w:rsidRPr="00DC4C46" w:rsidRDefault="00DC4C46" w:rsidP="00DC4C46">
      <w:pPr>
        <w:pStyle w:val="Header"/>
        <w:spacing w:line="480" w:lineRule="auto"/>
        <w:ind w:firstLine="720"/>
        <w:contextualSpacing/>
        <w:jc w:val="both"/>
        <w:rPr>
          <w:lang w:val="en-US"/>
        </w:rPr>
      </w:pPr>
      <w:r w:rsidRPr="00DC4C46">
        <w:rPr>
          <w:lang w:val="en-US"/>
        </w:rPr>
        <w:t xml:space="preserve">Community engagement facilitates equitable partnerships between community stakeholders and organizations to identify, develop, and implement community-led interventions and solutions. Some of the principles of community engagement include creativity, honesty, and equity to facilitate the success of a project. However, project managers must engage stakeholders to promote relationship-building, power balance, and information sharing within the community. Such managers can use social media platforms, such as Facebook to disseminate information about a project to like-minded individuals within a specific community. However, community engagement has numerous challenges, such as a disconnect between policy and project outcomes, leading to community and stakeholder disengagement. Organizations can address such challenges by having supportive </w:t>
      </w:r>
      <w:r w:rsidRPr="00DC4C46">
        <w:rPr>
          <w:lang w:val="en-US"/>
        </w:rPr>
        <w:lastRenderedPageBreak/>
        <w:t xml:space="preserve">leadership to increase project transparency and public trust, participation, collaboration, and inclusion, thus promoting social-cultural integration. </w:t>
      </w:r>
    </w:p>
    <w:p w14:paraId="3BFE254F" w14:textId="77777777" w:rsidR="00DC4C46" w:rsidRPr="00DC4C46" w:rsidRDefault="00DC4C46" w:rsidP="00DC4C46">
      <w:pPr>
        <w:pStyle w:val="NoSpacing"/>
        <w:spacing w:line="480" w:lineRule="auto"/>
        <w:jc w:val="both"/>
        <w:rPr>
          <w:rFonts w:ascii="Arial" w:hAnsi="Arial" w:cs="Arial"/>
        </w:rPr>
      </w:pPr>
    </w:p>
    <w:p w14:paraId="1FEA28A9" w14:textId="77777777" w:rsidR="00DC4C46" w:rsidRPr="00DC4C46" w:rsidRDefault="00DC4C46" w:rsidP="00DC4C46">
      <w:pPr>
        <w:pStyle w:val="Header"/>
        <w:spacing w:line="480" w:lineRule="auto"/>
        <w:contextualSpacing/>
        <w:jc w:val="both"/>
        <w:rPr>
          <w:b/>
          <w:lang w:val="en-US"/>
        </w:rPr>
      </w:pPr>
    </w:p>
    <w:p w14:paraId="75269084" w14:textId="77777777" w:rsidR="00DC4C46" w:rsidRPr="00DC4C46" w:rsidRDefault="00DC4C46" w:rsidP="00DC4C46">
      <w:pPr>
        <w:ind w:firstLine="709"/>
        <w:contextualSpacing/>
        <w:jc w:val="both"/>
        <w:rPr>
          <w:rFonts w:ascii="Arial" w:hAnsi="Arial" w:cs="Arial"/>
          <w:szCs w:val="24"/>
        </w:rPr>
      </w:pPr>
    </w:p>
    <w:p w14:paraId="63830FD6" w14:textId="77777777" w:rsidR="00DC4C46" w:rsidRPr="00DC4C46" w:rsidRDefault="00DC4C46" w:rsidP="00DC4C46">
      <w:pPr>
        <w:contextualSpacing/>
        <w:jc w:val="both"/>
        <w:rPr>
          <w:rFonts w:ascii="Arial" w:hAnsi="Arial" w:cs="Arial"/>
          <w:szCs w:val="24"/>
        </w:rPr>
      </w:pPr>
    </w:p>
    <w:p w14:paraId="3603768F" w14:textId="77777777" w:rsidR="00DC4C46" w:rsidRPr="00DC4C46" w:rsidRDefault="00DC4C46" w:rsidP="00DC4C46">
      <w:pPr>
        <w:contextualSpacing/>
        <w:jc w:val="both"/>
        <w:rPr>
          <w:rFonts w:ascii="Arial" w:hAnsi="Arial" w:cs="Arial"/>
          <w:szCs w:val="24"/>
        </w:rPr>
      </w:pPr>
    </w:p>
    <w:p w14:paraId="3DE8226B" w14:textId="77777777" w:rsidR="00DC4C46" w:rsidRPr="00DC4C46" w:rsidRDefault="00DC4C46" w:rsidP="00DC4C46">
      <w:pPr>
        <w:contextualSpacing/>
        <w:jc w:val="both"/>
        <w:rPr>
          <w:rFonts w:ascii="Arial" w:hAnsi="Arial" w:cs="Arial"/>
          <w:szCs w:val="24"/>
        </w:rPr>
      </w:pPr>
    </w:p>
    <w:p w14:paraId="0D7D2DE1" w14:textId="77777777" w:rsidR="00DC4C46" w:rsidRPr="00DC4C46" w:rsidRDefault="00DC4C46" w:rsidP="00DC4C46">
      <w:pPr>
        <w:contextualSpacing/>
        <w:jc w:val="both"/>
        <w:rPr>
          <w:rFonts w:ascii="Arial" w:hAnsi="Arial" w:cs="Arial"/>
          <w:szCs w:val="24"/>
        </w:rPr>
      </w:pPr>
    </w:p>
    <w:p w14:paraId="1655BD66" w14:textId="77777777" w:rsidR="00DC4C46" w:rsidRPr="00DC4C46" w:rsidRDefault="00DC4C46" w:rsidP="00DC4C46">
      <w:pPr>
        <w:contextualSpacing/>
        <w:jc w:val="both"/>
        <w:rPr>
          <w:rFonts w:ascii="Arial" w:hAnsi="Arial" w:cs="Arial"/>
          <w:szCs w:val="24"/>
        </w:rPr>
      </w:pPr>
    </w:p>
    <w:p w14:paraId="724FAF6B" w14:textId="77777777" w:rsidR="00DC4C46" w:rsidRPr="00DC4C46" w:rsidRDefault="00DC4C46" w:rsidP="00DC4C46">
      <w:pPr>
        <w:contextualSpacing/>
        <w:jc w:val="both"/>
        <w:rPr>
          <w:rFonts w:ascii="Arial" w:hAnsi="Arial" w:cs="Arial"/>
          <w:szCs w:val="24"/>
        </w:rPr>
        <w:sectPr w:rsidR="00DC4C46" w:rsidRPr="00DC4C46" w:rsidSect="00B2785B">
          <w:pgSz w:w="11906" w:h="16838"/>
          <w:pgMar w:top="1440" w:right="1440" w:bottom="1440" w:left="1440" w:header="709" w:footer="709" w:gutter="0"/>
          <w:cols w:space="708"/>
          <w:titlePg/>
          <w:docGrid w:linePitch="360"/>
        </w:sectPr>
      </w:pPr>
    </w:p>
    <w:p w14:paraId="76099301" w14:textId="77777777" w:rsidR="00DC4C46" w:rsidRPr="00DC4C46" w:rsidRDefault="00DC4C46" w:rsidP="00DC4C46">
      <w:pPr>
        <w:contextualSpacing/>
        <w:jc w:val="both"/>
        <w:rPr>
          <w:rFonts w:ascii="Arial" w:hAnsi="Arial" w:cs="Arial"/>
          <w:b/>
          <w:bCs/>
          <w:szCs w:val="24"/>
        </w:rPr>
      </w:pPr>
      <w:r w:rsidRPr="00DC4C46">
        <w:rPr>
          <w:rFonts w:ascii="Arial" w:hAnsi="Arial" w:cs="Arial"/>
          <w:b/>
          <w:bCs/>
          <w:szCs w:val="24"/>
        </w:rPr>
        <w:lastRenderedPageBreak/>
        <w:t>References</w:t>
      </w:r>
    </w:p>
    <w:p w14:paraId="6859865F" w14:textId="53D751AC" w:rsidR="00DC4C46" w:rsidRPr="00DC4C46" w:rsidRDefault="00DC4C46" w:rsidP="00DC4C46">
      <w:pPr>
        <w:widowControl w:val="0"/>
        <w:autoSpaceDE w:val="0"/>
        <w:autoSpaceDN w:val="0"/>
        <w:adjustRightInd w:val="0"/>
        <w:ind w:left="720" w:hanging="720"/>
        <w:jc w:val="both"/>
        <w:rPr>
          <w:rFonts w:ascii="Arial" w:hAnsi="Arial" w:cs="Arial"/>
          <w:noProof/>
          <w:szCs w:val="24"/>
        </w:rPr>
      </w:pPr>
      <w:r w:rsidRPr="00DC4C46">
        <w:rPr>
          <w:rFonts w:ascii="Arial" w:hAnsi="Arial" w:cs="Arial"/>
          <w:noProof/>
          <w:szCs w:val="24"/>
        </w:rPr>
        <w:t xml:space="preserve">Brunton, G. </w:t>
      </w:r>
      <w:r w:rsidRPr="00DC4C46">
        <w:rPr>
          <w:rFonts w:ascii="Arial" w:hAnsi="Arial" w:cs="Arial"/>
          <w:i/>
          <w:iCs/>
          <w:noProof/>
          <w:szCs w:val="24"/>
        </w:rPr>
        <w:t>et al.</w:t>
      </w:r>
      <w:r w:rsidRPr="00DC4C46">
        <w:rPr>
          <w:rFonts w:ascii="Arial" w:hAnsi="Arial" w:cs="Arial"/>
          <w:noProof/>
          <w:szCs w:val="24"/>
        </w:rPr>
        <w:t xml:space="preserve"> (2017) ‘Narratives of community engagement: a systematic review-derived conceptual framework for public health interventions’, </w:t>
      </w:r>
      <w:r w:rsidRPr="00DC4C46">
        <w:rPr>
          <w:rFonts w:ascii="Arial" w:hAnsi="Arial" w:cs="Arial"/>
          <w:i/>
          <w:iCs/>
          <w:noProof/>
          <w:szCs w:val="24"/>
        </w:rPr>
        <w:t>BMC Public Health</w:t>
      </w:r>
      <w:r w:rsidRPr="00DC4C46">
        <w:rPr>
          <w:rFonts w:ascii="Arial" w:hAnsi="Arial" w:cs="Arial"/>
          <w:noProof/>
          <w:szCs w:val="24"/>
        </w:rPr>
        <w:t xml:space="preserve">, 17(1). Available at: </w:t>
      </w:r>
      <w:hyperlink r:id="rId7" w:history="1">
        <w:r w:rsidRPr="00DC4C46">
          <w:rPr>
            <w:rStyle w:val="Hyperlink"/>
            <w:rFonts w:ascii="Arial" w:hAnsi="Arial" w:cs="Arial"/>
            <w:noProof/>
            <w:szCs w:val="24"/>
          </w:rPr>
          <w:t>https://bmcpublichealth.biomedcentral.com/articles/10.1186/s12889-017-4958-4</w:t>
        </w:r>
      </w:hyperlink>
      <w:r w:rsidR="00787733">
        <w:rPr>
          <w:rStyle w:val="Hyperlink"/>
          <w:rFonts w:ascii="Arial" w:hAnsi="Arial" w:cs="Arial"/>
          <w:noProof/>
          <w:szCs w:val="24"/>
        </w:rPr>
        <w:t xml:space="preserve"> </w:t>
      </w:r>
      <w:r w:rsidR="00787733">
        <w:rPr>
          <w:rFonts w:ascii="Arial" w:hAnsi="Arial" w:cs="Arial"/>
          <w:shd w:val="clear" w:color="auto" w:fill="FFFFFF"/>
        </w:rPr>
        <w:t>(Accessed on: 05/08/2022)</w:t>
      </w:r>
      <w:r w:rsidR="00787733">
        <w:rPr>
          <w:rFonts w:ascii="Arial" w:hAnsi="Arial" w:cs="Arial"/>
        </w:rPr>
        <w:t>.</w:t>
      </w:r>
    </w:p>
    <w:p w14:paraId="4D84D1D6" w14:textId="56548F6A" w:rsidR="00DC4C46" w:rsidRPr="00DC4C46" w:rsidRDefault="00DC4C46" w:rsidP="00DC4C46">
      <w:pPr>
        <w:widowControl w:val="0"/>
        <w:autoSpaceDE w:val="0"/>
        <w:autoSpaceDN w:val="0"/>
        <w:adjustRightInd w:val="0"/>
        <w:ind w:left="720" w:hanging="720"/>
        <w:jc w:val="both"/>
        <w:rPr>
          <w:rFonts w:ascii="Arial" w:hAnsi="Arial" w:cs="Arial"/>
          <w:noProof/>
          <w:szCs w:val="24"/>
        </w:rPr>
      </w:pPr>
      <w:r w:rsidRPr="00DC4C46">
        <w:rPr>
          <w:rFonts w:ascii="Arial" w:hAnsi="Arial" w:cs="Arial"/>
          <w:noProof/>
          <w:szCs w:val="24"/>
        </w:rPr>
        <w:t xml:space="preserve">Cormick, C. (2010) ‘The Challenges of Community Engagement’, </w:t>
      </w:r>
      <w:r w:rsidRPr="00DC4C46">
        <w:rPr>
          <w:rFonts w:ascii="Arial" w:hAnsi="Arial" w:cs="Arial"/>
          <w:i/>
          <w:iCs/>
          <w:noProof/>
          <w:szCs w:val="24"/>
        </w:rPr>
        <w:t>NanoEthics</w:t>
      </w:r>
      <w:r w:rsidRPr="00DC4C46">
        <w:rPr>
          <w:rFonts w:ascii="Arial" w:hAnsi="Arial" w:cs="Arial"/>
          <w:noProof/>
          <w:szCs w:val="24"/>
        </w:rPr>
        <w:t xml:space="preserve">, 4(3), pp. 229–231. Available at: </w:t>
      </w:r>
      <w:hyperlink r:id="rId8" w:history="1">
        <w:r w:rsidRPr="00DC4C46">
          <w:rPr>
            <w:rStyle w:val="Hyperlink"/>
            <w:rFonts w:ascii="Arial" w:hAnsi="Arial" w:cs="Arial"/>
            <w:noProof/>
            <w:szCs w:val="24"/>
          </w:rPr>
          <w:t>https://link.springer.com/article/10.1007/s11569-010-0102-y</w:t>
        </w:r>
      </w:hyperlink>
      <w:r w:rsidRPr="00DC4C46">
        <w:rPr>
          <w:rFonts w:ascii="Arial" w:hAnsi="Arial" w:cs="Arial"/>
          <w:noProof/>
          <w:szCs w:val="24"/>
        </w:rPr>
        <w:t xml:space="preserve"> </w:t>
      </w:r>
      <w:r w:rsidR="00787733">
        <w:rPr>
          <w:rFonts w:ascii="Arial" w:hAnsi="Arial" w:cs="Arial"/>
          <w:shd w:val="clear" w:color="auto" w:fill="FFFFFF"/>
        </w:rPr>
        <w:t>(Accessed on: 05/08/2022)</w:t>
      </w:r>
      <w:r w:rsidR="00787733">
        <w:rPr>
          <w:rFonts w:ascii="Arial" w:hAnsi="Arial" w:cs="Arial"/>
        </w:rPr>
        <w:t>.</w:t>
      </w:r>
    </w:p>
    <w:p w14:paraId="7B72EB16" w14:textId="77777777" w:rsidR="00DC4C46" w:rsidRPr="00DC4C46" w:rsidRDefault="00DC4C46" w:rsidP="00DC4C46">
      <w:pPr>
        <w:widowControl w:val="0"/>
        <w:autoSpaceDE w:val="0"/>
        <w:autoSpaceDN w:val="0"/>
        <w:adjustRightInd w:val="0"/>
        <w:ind w:left="720" w:hanging="720"/>
        <w:jc w:val="both"/>
        <w:rPr>
          <w:rFonts w:ascii="Arial" w:hAnsi="Arial" w:cs="Arial"/>
          <w:noProof/>
          <w:szCs w:val="24"/>
        </w:rPr>
      </w:pPr>
      <w:r w:rsidRPr="00DC4C46">
        <w:rPr>
          <w:rFonts w:ascii="Arial" w:hAnsi="Arial" w:cs="Arial"/>
          <w:noProof/>
          <w:szCs w:val="24"/>
        </w:rPr>
        <w:t xml:space="preserve">Hoffmann, C. P. and Lutz, C. (2013) ‘The Impact of Social Media on Stakeholder Engagement’, </w:t>
      </w:r>
      <w:r w:rsidRPr="00DC4C46">
        <w:rPr>
          <w:rFonts w:ascii="Arial" w:hAnsi="Arial" w:cs="Arial"/>
          <w:i/>
          <w:iCs/>
          <w:noProof/>
          <w:szCs w:val="24"/>
        </w:rPr>
        <w:t>Governance Through Communication: Stakeholder Engagement, Dialogue, and Corporate Social Responsibility</w:t>
      </w:r>
      <w:r w:rsidRPr="00DC4C46">
        <w:rPr>
          <w:rFonts w:ascii="Arial" w:hAnsi="Arial" w:cs="Arial"/>
          <w:noProof/>
          <w:szCs w:val="24"/>
        </w:rPr>
        <w:t xml:space="preserve">, (June). Available at: </w:t>
      </w:r>
      <w:hyperlink r:id="rId9" w:history="1">
        <w:r w:rsidRPr="00DC4C46">
          <w:rPr>
            <w:rStyle w:val="Hyperlink"/>
            <w:rFonts w:ascii="Arial" w:hAnsi="Arial" w:cs="Arial"/>
            <w:noProof/>
            <w:szCs w:val="24"/>
          </w:rPr>
          <w:t>https://www.alexandria.unisg.ch/232430/1/pa_1535_Rev_EV.pdf</w:t>
        </w:r>
      </w:hyperlink>
      <w:r w:rsidRPr="00DC4C46">
        <w:rPr>
          <w:rFonts w:ascii="Arial" w:hAnsi="Arial" w:cs="Arial"/>
          <w:noProof/>
          <w:szCs w:val="24"/>
        </w:rPr>
        <w:t xml:space="preserve">. </w:t>
      </w:r>
    </w:p>
    <w:p w14:paraId="02B19DDD" w14:textId="2D0FE86E" w:rsidR="00DC4C46" w:rsidRPr="00DC4C46" w:rsidRDefault="00DC4C46" w:rsidP="00DC4C46">
      <w:pPr>
        <w:widowControl w:val="0"/>
        <w:autoSpaceDE w:val="0"/>
        <w:autoSpaceDN w:val="0"/>
        <w:adjustRightInd w:val="0"/>
        <w:ind w:left="720" w:hanging="720"/>
        <w:jc w:val="both"/>
        <w:rPr>
          <w:rFonts w:ascii="Arial" w:hAnsi="Arial" w:cs="Arial"/>
          <w:noProof/>
          <w:szCs w:val="24"/>
        </w:rPr>
      </w:pPr>
      <w:r w:rsidRPr="00DC4C46">
        <w:rPr>
          <w:rFonts w:ascii="Arial" w:hAnsi="Arial" w:cs="Arial"/>
          <w:noProof/>
          <w:szCs w:val="24"/>
        </w:rPr>
        <w:t xml:space="preserve">Mitchell, J. </w:t>
      </w:r>
      <w:r w:rsidRPr="00DC4C46">
        <w:rPr>
          <w:rFonts w:ascii="Arial" w:hAnsi="Arial" w:cs="Arial"/>
          <w:i/>
          <w:iCs/>
          <w:noProof/>
          <w:szCs w:val="24"/>
        </w:rPr>
        <w:t>et al.</w:t>
      </w:r>
      <w:r w:rsidRPr="00DC4C46">
        <w:rPr>
          <w:rFonts w:ascii="Arial" w:hAnsi="Arial" w:cs="Arial"/>
          <w:noProof/>
          <w:szCs w:val="24"/>
        </w:rPr>
        <w:t xml:space="preserve"> (2020) ‘The values and principles underpinning community engagement approaches to tackling antimicrobial resistance (AMR)’, </w:t>
      </w:r>
      <w:r w:rsidRPr="00DC4C46">
        <w:rPr>
          <w:rFonts w:ascii="Arial" w:hAnsi="Arial" w:cs="Arial"/>
          <w:i/>
          <w:iCs/>
          <w:noProof/>
          <w:szCs w:val="24"/>
        </w:rPr>
        <w:t>Global Health Action</w:t>
      </w:r>
      <w:r w:rsidRPr="00DC4C46">
        <w:rPr>
          <w:rFonts w:ascii="Arial" w:hAnsi="Arial" w:cs="Arial"/>
          <w:noProof/>
          <w:szCs w:val="24"/>
        </w:rPr>
        <w:t xml:space="preserve">, 12(S1). Available at: </w:t>
      </w:r>
      <w:hyperlink r:id="rId10" w:history="1">
        <w:r w:rsidRPr="00DC4C46">
          <w:rPr>
            <w:rStyle w:val="Hyperlink"/>
            <w:rFonts w:ascii="Arial" w:hAnsi="Arial" w:cs="Arial"/>
            <w:noProof/>
            <w:szCs w:val="24"/>
          </w:rPr>
          <w:t>https://www.tandfonline.com/doi/full/10.1080/16549716.2020.1837484</w:t>
        </w:r>
      </w:hyperlink>
      <w:r w:rsidRPr="00DC4C46">
        <w:rPr>
          <w:rFonts w:ascii="Arial" w:hAnsi="Arial" w:cs="Arial"/>
          <w:noProof/>
          <w:szCs w:val="24"/>
        </w:rPr>
        <w:t xml:space="preserve"> </w:t>
      </w:r>
      <w:r w:rsidR="00787733">
        <w:rPr>
          <w:rFonts w:ascii="Arial" w:hAnsi="Arial" w:cs="Arial"/>
          <w:shd w:val="clear" w:color="auto" w:fill="FFFFFF"/>
        </w:rPr>
        <w:t>(Accessed on: 05/08/2022)</w:t>
      </w:r>
      <w:r w:rsidR="00787733">
        <w:rPr>
          <w:rFonts w:ascii="Arial" w:hAnsi="Arial" w:cs="Arial"/>
        </w:rPr>
        <w:t>.</w:t>
      </w:r>
    </w:p>
    <w:p w14:paraId="7301C5EE" w14:textId="41A33408" w:rsidR="00DC4C46" w:rsidRPr="00DC4C46" w:rsidRDefault="00DC4C46" w:rsidP="00DC4C46">
      <w:pPr>
        <w:widowControl w:val="0"/>
        <w:autoSpaceDE w:val="0"/>
        <w:autoSpaceDN w:val="0"/>
        <w:adjustRightInd w:val="0"/>
        <w:ind w:left="720" w:hanging="720"/>
        <w:jc w:val="both"/>
        <w:rPr>
          <w:rFonts w:ascii="Arial" w:hAnsi="Arial" w:cs="Arial"/>
          <w:noProof/>
          <w:szCs w:val="24"/>
        </w:rPr>
      </w:pPr>
      <w:r w:rsidRPr="00DC4C46">
        <w:rPr>
          <w:rFonts w:ascii="Arial" w:hAnsi="Arial" w:cs="Arial"/>
          <w:noProof/>
          <w:szCs w:val="24"/>
        </w:rPr>
        <w:t xml:space="preserve">Schiavo, R. (2021) ‘What is true community engagement and why it matters (now more than ever)’, </w:t>
      </w:r>
      <w:r w:rsidRPr="00DC4C46">
        <w:rPr>
          <w:rFonts w:ascii="Arial" w:hAnsi="Arial" w:cs="Arial"/>
          <w:i/>
          <w:iCs/>
          <w:noProof/>
          <w:szCs w:val="24"/>
        </w:rPr>
        <w:t xml:space="preserve">Journal of Communication in Healthcare </w:t>
      </w:r>
      <w:r w:rsidRPr="00DC4C46">
        <w:rPr>
          <w:rFonts w:ascii="Arial" w:hAnsi="Arial" w:cs="Arial"/>
          <w:noProof/>
          <w:szCs w:val="24"/>
        </w:rPr>
        <w:t xml:space="preserve">, 14(2), pp. 91–92. Available at: </w:t>
      </w:r>
      <w:hyperlink r:id="rId11" w:history="1">
        <w:r w:rsidRPr="00DC4C46">
          <w:rPr>
            <w:rStyle w:val="Hyperlink"/>
            <w:rFonts w:ascii="Arial" w:hAnsi="Arial" w:cs="Arial"/>
            <w:noProof/>
            <w:szCs w:val="24"/>
          </w:rPr>
          <w:t>https://www.tandfonline.com/doi/full/10.1080/17538068.2021.1935569</w:t>
        </w:r>
      </w:hyperlink>
      <w:r w:rsidRPr="00DC4C46">
        <w:rPr>
          <w:rFonts w:ascii="Arial" w:hAnsi="Arial" w:cs="Arial"/>
          <w:noProof/>
          <w:szCs w:val="24"/>
        </w:rPr>
        <w:t xml:space="preserve"> </w:t>
      </w:r>
      <w:r w:rsidR="00787733">
        <w:rPr>
          <w:rFonts w:ascii="Arial" w:hAnsi="Arial" w:cs="Arial"/>
          <w:shd w:val="clear" w:color="auto" w:fill="FFFFFF"/>
        </w:rPr>
        <w:t>(Accessed on: 05/08/2022)</w:t>
      </w:r>
      <w:r w:rsidR="00787733">
        <w:rPr>
          <w:rFonts w:ascii="Arial" w:hAnsi="Arial" w:cs="Arial"/>
        </w:rPr>
        <w:t>.</w:t>
      </w:r>
    </w:p>
    <w:p w14:paraId="26132078" w14:textId="1B7DBC08" w:rsidR="00DC4C46" w:rsidRPr="00DC4C46" w:rsidRDefault="00DC4C46" w:rsidP="00DC4C46">
      <w:pPr>
        <w:widowControl w:val="0"/>
        <w:autoSpaceDE w:val="0"/>
        <w:autoSpaceDN w:val="0"/>
        <w:adjustRightInd w:val="0"/>
        <w:ind w:left="720" w:hanging="720"/>
        <w:jc w:val="both"/>
        <w:rPr>
          <w:rFonts w:ascii="Arial" w:hAnsi="Arial" w:cs="Arial"/>
          <w:noProof/>
          <w:szCs w:val="24"/>
        </w:rPr>
      </w:pPr>
      <w:r w:rsidRPr="00DC4C46">
        <w:rPr>
          <w:rFonts w:ascii="Arial" w:hAnsi="Arial" w:cs="Arial"/>
          <w:noProof/>
          <w:szCs w:val="24"/>
        </w:rPr>
        <w:t xml:space="preserve">Tembo, D. </w:t>
      </w:r>
      <w:r w:rsidRPr="00DC4C46">
        <w:rPr>
          <w:rFonts w:ascii="Arial" w:hAnsi="Arial" w:cs="Arial"/>
          <w:i/>
          <w:iCs/>
          <w:noProof/>
          <w:szCs w:val="24"/>
        </w:rPr>
        <w:t>et al.</w:t>
      </w:r>
      <w:r w:rsidRPr="00DC4C46">
        <w:rPr>
          <w:rFonts w:ascii="Arial" w:hAnsi="Arial" w:cs="Arial"/>
          <w:noProof/>
          <w:szCs w:val="24"/>
        </w:rPr>
        <w:t xml:space="preserve"> (2021) ‘Effective engagement and involvement with community stakeholders in the co-production of global health research’, </w:t>
      </w:r>
      <w:r w:rsidRPr="00DC4C46">
        <w:rPr>
          <w:rFonts w:ascii="Arial" w:hAnsi="Arial" w:cs="Arial"/>
          <w:i/>
          <w:iCs/>
          <w:noProof/>
          <w:szCs w:val="24"/>
        </w:rPr>
        <w:t>BMJ</w:t>
      </w:r>
      <w:r w:rsidRPr="00DC4C46">
        <w:rPr>
          <w:rFonts w:ascii="Arial" w:hAnsi="Arial" w:cs="Arial"/>
          <w:noProof/>
          <w:szCs w:val="24"/>
        </w:rPr>
        <w:t xml:space="preserve">, 372. </w:t>
      </w:r>
      <w:r w:rsidRPr="00DC4C46">
        <w:rPr>
          <w:rFonts w:ascii="Arial" w:hAnsi="Arial" w:cs="Arial"/>
          <w:noProof/>
          <w:szCs w:val="24"/>
        </w:rPr>
        <w:lastRenderedPageBreak/>
        <w:t xml:space="preserve">Available at: </w:t>
      </w:r>
      <w:hyperlink r:id="rId12" w:history="1">
        <w:r w:rsidRPr="00DC4C46">
          <w:rPr>
            <w:rStyle w:val="Hyperlink"/>
            <w:rFonts w:ascii="Arial" w:hAnsi="Arial" w:cs="Arial"/>
            <w:noProof/>
            <w:szCs w:val="24"/>
          </w:rPr>
          <w:t>https://www.bmj.com/content/372/bmj.n178</w:t>
        </w:r>
      </w:hyperlink>
      <w:r w:rsidRPr="00DC4C46">
        <w:rPr>
          <w:rFonts w:ascii="Arial" w:hAnsi="Arial" w:cs="Arial"/>
          <w:noProof/>
          <w:szCs w:val="24"/>
        </w:rPr>
        <w:t xml:space="preserve"> </w:t>
      </w:r>
      <w:r w:rsidR="00787733">
        <w:rPr>
          <w:rFonts w:ascii="Arial" w:hAnsi="Arial" w:cs="Arial"/>
          <w:shd w:val="clear" w:color="auto" w:fill="FFFFFF"/>
        </w:rPr>
        <w:t>(Accessed on: 05/08/2022)</w:t>
      </w:r>
      <w:r w:rsidR="00787733">
        <w:rPr>
          <w:rFonts w:ascii="Arial" w:hAnsi="Arial" w:cs="Arial"/>
        </w:rPr>
        <w:t>.</w:t>
      </w:r>
    </w:p>
    <w:p w14:paraId="3299E94C" w14:textId="5C3A0C2E" w:rsidR="00955239" w:rsidRPr="00787733" w:rsidRDefault="00DC4C46" w:rsidP="00787733">
      <w:pPr>
        <w:ind w:left="720" w:hanging="720"/>
        <w:jc w:val="both"/>
        <w:rPr>
          <w:rFonts w:ascii="Arial" w:eastAsiaTheme="minorHAnsi" w:hAnsi="Arial" w:cs="Arial"/>
        </w:rPr>
      </w:pPr>
      <w:r w:rsidRPr="00DC4C46">
        <w:rPr>
          <w:noProof/>
        </w:rPr>
        <w:t xml:space="preserve">De Weger, E. </w:t>
      </w:r>
      <w:r w:rsidRPr="00DC4C46">
        <w:rPr>
          <w:i/>
          <w:iCs/>
          <w:noProof/>
        </w:rPr>
        <w:t>et al.</w:t>
      </w:r>
      <w:r w:rsidRPr="00DC4C46">
        <w:rPr>
          <w:noProof/>
        </w:rPr>
        <w:t xml:space="preserve"> (2018) ‘Achieving successful community engagement: A rapid realist review’, </w:t>
      </w:r>
      <w:r w:rsidRPr="00DC4C46">
        <w:rPr>
          <w:i/>
          <w:iCs/>
          <w:noProof/>
        </w:rPr>
        <w:t>BMC Health Services Research</w:t>
      </w:r>
      <w:r w:rsidRPr="00DC4C46">
        <w:rPr>
          <w:noProof/>
        </w:rPr>
        <w:t xml:space="preserve">, 18(1), pp. 1–18. Available at: </w:t>
      </w:r>
      <w:hyperlink r:id="rId13" w:history="1">
        <w:r w:rsidRPr="00DC4C46">
          <w:rPr>
            <w:rStyle w:val="Hyperlink"/>
            <w:noProof/>
          </w:rPr>
          <w:t>https://bmchealthservres.biomedcentral.com/articles/10.1186/s12913-018-3090-1</w:t>
        </w:r>
      </w:hyperlink>
      <w:r w:rsidR="00787733">
        <w:rPr>
          <w:rStyle w:val="Hyperlink"/>
          <w:noProof/>
        </w:rPr>
        <w:t xml:space="preserve"> </w:t>
      </w:r>
      <w:r w:rsidR="00787733">
        <w:rPr>
          <w:rFonts w:ascii="Arial" w:hAnsi="Arial" w:cs="Arial"/>
          <w:shd w:val="clear" w:color="auto" w:fill="FFFFFF"/>
        </w:rPr>
        <w:t xml:space="preserve">(Accessed on: </w:t>
      </w:r>
      <w:r w:rsidR="00787733">
        <w:rPr>
          <w:rFonts w:ascii="Arial" w:hAnsi="Arial" w:cs="Arial"/>
          <w:shd w:val="clear" w:color="auto" w:fill="FFFFFF"/>
        </w:rPr>
        <w:t>05</w:t>
      </w:r>
      <w:r w:rsidR="00787733">
        <w:rPr>
          <w:rFonts w:ascii="Arial" w:hAnsi="Arial" w:cs="Arial"/>
          <w:shd w:val="clear" w:color="auto" w:fill="FFFFFF"/>
        </w:rPr>
        <w:t>/08/2022)</w:t>
      </w:r>
      <w:r w:rsidR="00787733">
        <w:rPr>
          <w:rFonts w:ascii="Arial" w:hAnsi="Arial" w:cs="Arial"/>
        </w:rPr>
        <w:t>.</w:t>
      </w:r>
    </w:p>
    <w:sectPr w:rsidR="00955239" w:rsidRPr="00787733" w:rsidSect="00B2785B">
      <w:headerReference w:type="even" r:id="rId14"/>
      <w:headerReference w:type="default" r:id="rId15"/>
      <w:headerReference w:type="first" r:id="rId16"/>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38682" w14:textId="77777777" w:rsidR="0002631C" w:rsidRDefault="0002631C" w:rsidP="00D86567">
      <w:pPr>
        <w:spacing w:line="240" w:lineRule="auto"/>
      </w:pPr>
      <w:r>
        <w:separator/>
      </w:r>
    </w:p>
  </w:endnote>
  <w:endnote w:type="continuationSeparator" w:id="0">
    <w:p w14:paraId="03C2D629" w14:textId="77777777" w:rsidR="0002631C" w:rsidRDefault="0002631C" w:rsidP="00D865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329F1" w14:textId="77777777" w:rsidR="0002631C" w:rsidRDefault="0002631C" w:rsidP="00D86567">
      <w:pPr>
        <w:spacing w:line="240" w:lineRule="auto"/>
      </w:pPr>
      <w:r>
        <w:separator/>
      </w:r>
    </w:p>
  </w:footnote>
  <w:footnote w:type="continuationSeparator" w:id="0">
    <w:p w14:paraId="3DFDEDEB" w14:textId="77777777" w:rsidR="0002631C" w:rsidRDefault="0002631C" w:rsidP="00D865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2AF64" w14:textId="77777777" w:rsidR="00B2785B" w:rsidRDefault="00000000" w:rsidP="00B2785B">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27F3FBC" w14:textId="77777777" w:rsidR="00B2785B" w:rsidRDefault="00000000" w:rsidP="00B2785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D2119" w14:textId="77777777" w:rsidR="00B2785B" w:rsidRDefault="00000000" w:rsidP="00B2785B">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11</w:t>
    </w:r>
    <w:r>
      <w:rPr>
        <w:rStyle w:val="PageNumber"/>
      </w:rPr>
      <w:fldChar w:fldCharType="end"/>
    </w:r>
  </w:p>
  <w:p w14:paraId="7F6BB84F" w14:textId="77777777" w:rsidR="00B2785B" w:rsidRDefault="00000000" w:rsidP="00B2785B">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61ACC" w14:textId="67DCDA16" w:rsidR="00C54EA3" w:rsidRPr="00C54EA3" w:rsidRDefault="00000000" w:rsidP="00ED7334">
    <w:pPr>
      <w:pStyle w:val="Header"/>
      <w:contextualSpacing/>
      <w:jc w:val="right"/>
      <w:rPr>
        <w:rFonts w:ascii="Times New Roman" w:hAnsi="Times New Roman" w:cs="Times New Roman"/>
        <w:lang w:val="en-US"/>
      </w:rPr>
    </w:pPr>
    <w:r w:rsidRPr="00C54EA3">
      <w:rPr>
        <w:rFonts w:ascii="Times New Roman" w:hAnsi="Times New Roman" w:cs="Times New Roman"/>
      </w:rPr>
      <w:fldChar w:fldCharType="begin"/>
    </w:r>
    <w:r w:rsidRPr="00C54EA3">
      <w:rPr>
        <w:rFonts w:ascii="Times New Roman" w:hAnsi="Times New Roman" w:cs="Times New Roman"/>
        <w:lang w:val="en-US"/>
      </w:rPr>
      <w:instrText xml:space="preserve"> PAGE   \* MERGEFORMAT </w:instrText>
    </w:r>
    <w:r w:rsidRPr="00C54EA3">
      <w:rPr>
        <w:rFonts w:ascii="Times New Roman" w:hAnsi="Times New Roman" w:cs="Times New Roman"/>
      </w:rPr>
      <w:fldChar w:fldCharType="separate"/>
    </w:r>
    <w:r>
      <w:rPr>
        <w:rFonts w:ascii="Times New Roman" w:hAnsi="Times New Roman" w:cs="Times New Roman"/>
        <w:noProof/>
        <w:lang w:val="en-US"/>
      </w:rPr>
      <w:t>1</w:t>
    </w:r>
    <w:r w:rsidRPr="00C54EA3">
      <w:rPr>
        <w:rFonts w:ascii="Times New Roman" w:hAnsi="Times New Roman" w:cs="Times New Roman"/>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53173"/>
    <w:rsid w:val="0002631C"/>
    <w:rsid w:val="000264C3"/>
    <w:rsid w:val="0005133D"/>
    <w:rsid w:val="000557E8"/>
    <w:rsid w:val="000C5CBC"/>
    <w:rsid w:val="000D738E"/>
    <w:rsid w:val="000E3307"/>
    <w:rsid w:val="00136339"/>
    <w:rsid w:val="001A237E"/>
    <w:rsid w:val="001D385F"/>
    <w:rsid w:val="00344785"/>
    <w:rsid w:val="003F2E52"/>
    <w:rsid w:val="00405A20"/>
    <w:rsid w:val="00533563"/>
    <w:rsid w:val="00624017"/>
    <w:rsid w:val="006716D3"/>
    <w:rsid w:val="006F335E"/>
    <w:rsid w:val="0073619A"/>
    <w:rsid w:val="007518C8"/>
    <w:rsid w:val="007645DF"/>
    <w:rsid w:val="00787733"/>
    <w:rsid w:val="007A5BD6"/>
    <w:rsid w:val="007E0EDC"/>
    <w:rsid w:val="00853173"/>
    <w:rsid w:val="008C5D09"/>
    <w:rsid w:val="009025F2"/>
    <w:rsid w:val="00955239"/>
    <w:rsid w:val="00986330"/>
    <w:rsid w:val="009F094C"/>
    <w:rsid w:val="00AB2362"/>
    <w:rsid w:val="00AC6CB5"/>
    <w:rsid w:val="00B04664"/>
    <w:rsid w:val="00B34D9E"/>
    <w:rsid w:val="00B4418B"/>
    <w:rsid w:val="00B93864"/>
    <w:rsid w:val="00B946BF"/>
    <w:rsid w:val="00BA2B10"/>
    <w:rsid w:val="00BA55BE"/>
    <w:rsid w:val="00D07B89"/>
    <w:rsid w:val="00D760D4"/>
    <w:rsid w:val="00D86567"/>
    <w:rsid w:val="00DA3836"/>
    <w:rsid w:val="00DC4C46"/>
    <w:rsid w:val="00DE5254"/>
    <w:rsid w:val="00DF0D77"/>
    <w:rsid w:val="00E57236"/>
    <w:rsid w:val="00EE5567"/>
    <w:rsid w:val="00F96363"/>
    <w:rsid w:val="00FD7424"/>
    <w:rsid w:val="00FE78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3946C"/>
  <w15:docId w15:val="{B44A8E59-D150-4E84-ACC0-AF32EC69A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567"/>
    <w:pPr>
      <w:spacing w:after="0" w:line="480" w:lineRule="auto"/>
    </w:pPr>
    <w:rPr>
      <w:rFonts w:ascii="Times New Roman" w:eastAsia="Calibri" w:hAnsi="Times New Roman" w:cs="Times New Roman"/>
      <w:kern w:val="0"/>
      <w:sz w:val="24"/>
      <w14:ligatures w14:val="none"/>
    </w:rPr>
  </w:style>
  <w:style w:type="paragraph" w:styleId="Heading1">
    <w:name w:val="heading 1"/>
    <w:basedOn w:val="Normal"/>
    <w:link w:val="Heading1Char"/>
    <w:qFormat/>
    <w:rsid w:val="00D86567"/>
    <w:pPr>
      <w:spacing w:before="100" w:beforeAutospacing="1" w:after="100" w:afterAutospacing="1" w:line="240" w:lineRule="auto"/>
      <w:outlineLvl w:val="0"/>
    </w:pPr>
    <w:rPr>
      <w:rFonts w:eastAsia="Times New Roman"/>
      <w:b/>
      <w:bCs/>
      <w:kern w:val="36"/>
      <w:sz w:val="48"/>
      <w:szCs w:val="48"/>
      <w:lang w:val="ru-RU" w:eastAsia="ru-R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6567"/>
    <w:rPr>
      <w:rFonts w:ascii="Times New Roman" w:eastAsia="Times New Roman" w:hAnsi="Times New Roman" w:cs="Times New Roman"/>
      <w:b/>
      <w:bCs/>
      <w:kern w:val="36"/>
      <w:sz w:val="48"/>
      <w:szCs w:val="48"/>
      <w:lang w:val="ru-RU" w:eastAsia="ru-RU"/>
      <w14:ligatures w14:val="none"/>
    </w:rPr>
  </w:style>
  <w:style w:type="paragraph" w:styleId="Header">
    <w:name w:val="header"/>
    <w:basedOn w:val="Normal"/>
    <w:link w:val="HeaderChar"/>
    <w:uiPriority w:val="99"/>
    <w:rsid w:val="00D86567"/>
    <w:pPr>
      <w:tabs>
        <w:tab w:val="center" w:pos="4677"/>
        <w:tab w:val="right" w:pos="9355"/>
      </w:tabs>
      <w:spacing w:line="240" w:lineRule="auto"/>
    </w:pPr>
    <w:rPr>
      <w:rFonts w:ascii="Arial" w:eastAsia="Times New Roman" w:hAnsi="Arial" w:cs="Arial"/>
      <w:bCs/>
      <w:kern w:val="36"/>
      <w:szCs w:val="24"/>
      <w:lang w:val="ru-RU" w:eastAsia="ru-RU"/>
    </w:rPr>
  </w:style>
  <w:style w:type="character" w:customStyle="1" w:styleId="HeaderChar">
    <w:name w:val="Header Char"/>
    <w:basedOn w:val="DefaultParagraphFont"/>
    <w:link w:val="Header"/>
    <w:uiPriority w:val="99"/>
    <w:rsid w:val="00D86567"/>
    <w:rPr>
      <w:rFonts w:ascii="Arial" w:eastAsia="Times New Roman" w:hAnsi="Arial" w:cs="Arial"/>
      <w:bCs/>
      <w:kern w:val="36"/>
      <w:sz w:val="24"/>
      <w:szCs w:val="24"/>
      <w:lang w:val="ru-RU" w:eastAsia="ru-RU"/>
      <w14:ligatures w14:val="none"/>
    </w:rPr>
  </w:style>
  <w:style w:type="character" w:styleId="PageNumber">
    <w:name w:val="page number"/>
    <w:basedOn w:val="DefaultParagraphFont"/>
    <w:rsid w:val="00D86567"/>
  </w:style>
  <w:style w:type="paragraph" w:styleId="NoSpacing">
    <w:name w:val="No Spacing"/>
    <w:uiPriority w:val="1"/>
    <w:qFormat/>
    <w:rsid w:val="00D86567"/>
    <w:pPr>
      <w:spacing w:after="0" w:line="240" w:lineRule="auto"/>
    </w:pPr>
    <w:rPr>
      <w:rFonts w:ascii="Times New Roman" w:eastAsia="Calibri" w:hAnsi="Times New Roman" w:cs="Times New Roman"/>
      <w:kern w:val="0"/>
      <w:sz w:val="24"/>
      <w14:ligatures w14:val="none"/>
    </w:rPr>
  </w:style>
  <w:style w:type="paragraph" w:styleId="Footer">
    <w:name w:val="footer"/>
    <w:basedOn w:val="Normal"/>
    <w:link w:val="FooterChar"/>
    <w:uiPriority w:val="99"/>
    <w:unhideWhenUsed/>
    <w:rsid w:val="00D86567"/>
    <w:pPr>
      <w:tabs>
        <w:tab w:val="center" w:pos="4680"/>
        <w:tab w:val="right" w:pos="9360"/>
      </w:tabs>
      <w:spacing w:line="240" w:lineRule="auto"/>
    </w:pPr>
  </w:style>
  <w:style w:type="character" w:customStyle="1" w:styleId="FooterChar">
    <w:name w:val="Footer Char"/>
    <w:basedOn w:val="DefaultParagraphFont"/>
    <w:link w:val="Footer"/>
    <w:uiPriority w:val="99"/>
    <w:rsid w:val="00D86567"/>
    <w:rPr>
      <w:rFonts w:ascii="Times New Roman" w:eastAsia="Calibri" w:hAnsi="Times New Roman" w:cs="Times New Roman"/>
      <w:kern w:val="0"/>
      <w:sz w:val="24"/>
      <w14:ligatures w14:val="none"/>
    </w:rPr>
  </w:style>
  <w:style w:type="character" w:styleId="Hyperlink">
    <w:name w:val="Hyperlink"/>
    <w:uiPriority w:val="99"/>
    <w:unhideWhenUsed/>
    <w:rsid w:val="00BA55BE"/>
    <w:rPr>
      <w:color w:val="0563C1"/>
      <w:u w:val="single"/>
    </w:rPr>
  </w:style>
  <w:style w:type="paragraph" w:customStyle="1" w:styleId="Default">
    <w:name w:val="Default"/>
    <w:rsid w:val="00BA55BE"/>
    <w:pPr>
      <w:autoSpaceDE w:val="0"/>
      <w:autoSpaceDN w:val="0"/>
      <w:adjustRightInd w:val="0"/>
      <w:spacing w:after="0" w:line="240" w:lineRule="auto"/>
    </w:pPr>
    <w:rPr>
      <w:rFonts w:ascii="Arial" w:hAnsi="Arial" w:cs="Arial"/>
      <w:color w:val="000000"/>
      <w:kern w:val="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3741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569-010-0102-y" TargetMode="External"/><Relationship Id="rId13" Type="http://schemas.openxmlformats.org/officeDocument/2006/relationships/hyperlink" Target="https://bmchealthservres.biomedcentral.com/articles/10.1186/s12913-018-3090-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bmcpublichealth.biomedcentral.com/articles/10.1186/s12889-017-4958-4" TargetMode="External"/><Relationship Id="rId12" Type="http://schemas.openxmlformats.org/officeDocument/2006/relationships/hyperlink" Target="https://www.bmj.com/content/372/bmj.n178"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tandfonline.com/doi/full/10.1080/17538068.2021.1935569"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www.tandfonline.com/doi/full/10.1080/16549716.2020.1837484" TargetMode="External"/><Relationship Id="rId4" Type="http://schemas.openxmlformats.org/officeDocument/2006/relationships/footnotes" Target="footnotes.xml"/><Relationship Id="rId9" Type="http://schemas.openxmlformats.org/officeDocument/2006/relationships/hyperlink" Target="https://www.alexandria.unisg.ch/232430/1/pa_1535_Rev_EV.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573</TotalTime>
  <Pages>12</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dc:creator>
  <cp:keywords/>
  <dc:description/>
  <cp:lastModifiedBy>Krasimir Iliev</cp:lastModifiedBy>
  <cp:revision>13</cp:revision>
  <dcterms:created xsi:type="dcterms:W3CDTF">2022-07-03T11:57:00Z</dcterms:created>
  <dcterms:modified xsi:type="dcterms:W3CDTF">2022-08-28T16:15:00Z</dcterms:modified>
</cp:coreProperties>
</file>