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G(" w:author="Gemma Lorey (1706646)" w:date="2020-02-28T10:41:20" w:id="1589664603">
    <w:p w:rsidR="6227E70C" w:rsidRDefault="6227E70C" w14:paraId="3AB3FADF" w14:textId="693AEE00">
      <w:pPr>
        <w:pStyle w:val="CommentText"/>
      </w:pPr>
      <w:r w:rsidR="6227E70C">
        <w:rPr/>
        <w:t xml:space="preserve">Extroversion is a personality trait characterized by gregariousness, excitement-seeking, and positive affect. Sociability is also considered as an important part of extraversion, as persons that enjoy social activities prefer being with others than being alone (Lucas &amp; Diener, 2001; Lucas &amp; Fujita, 2000; Lucas et al., 2000. </w:t>
      </w:r>
      <w:r>
        <w:rPr>
          <w:rStyle w:val="CommentReference"/>
        </w:rPr>
        <w:annotationRef/>
      </w:r>
    </w:p>
  </w:comment>
  <w:comment w:initials="G(" w:author="Gemma Lorey (1706646)" w:date="2020-02-28T11:11:05" w:id="209219473">
    <w:p w:rsidR="6227E70C" w:rsidRDefault="6227E70C" w14:paraId="19949B58" w14:textId="106D01A7">
      <w:pPr>
        <w:pStyle w:val="CommentText"/>
      </w:pPr>
      <w:r w:rsidR="6227E70C">
        <w:rPr/>
        <w:t>I feel that I am competent in most of the examples given. However, self-confidence is something that I need to develop. Self-confidence is considered one of the most influential motivators and regulators of behavior in people's everyday lives (Bandura, 1986). Bandura (1977) uses the term "self-efficacy" to describe the belief one has in being able to execute a specific task successfully.</w:t>
      </w:r>
      <w:r>
        <w:rPr>
          <w:rStyle w:val="CommentReference"/>
        </w:rPr>
        <w:annotationRef/>
      </w:r>
    </w:p>
  </w:comment>
  <w:comment w:initials="G(" w:author="Gemma Lorey (1706646)" w:date="2020-02-28T12:45:55" w:id="255135324">
    <w:p w:rsidR="6227E70C" w:rsidRDefault="6227E70C" w14:paraId="6EB22CE5" w14:textId="68892719">
      <w:pPr>
        <w:pStyle w:val="CommentText"/>
      </w:pPr>
      <w:r w:rsidR="6227E70C">
        <w:rPr/>
        <w:t>Extraversion, agreeableness, conscientiousness, neuroticism and openness to experiences are the 5 traits within the big-five inventory. For extraversion I scored an 8, for agreeableness, a 6, for conscientiousness, an 8, for neuroticism, a 7, and lastly, a 6 for openness to experiences. In relation to the personality test, it is clear that extraversion presents itself in my personality.</w:t>
      </w:r>
      <w:r>
        <w:rPr>
          <w:rStyle w:val="CommentReference"/>
        </w:rPr>
        <w:annotationRef/>
      </w:r>
    </w:p>
  </w:comment>
  <w:comment w:initials="G(" w:author="Gemma Lorey (1706646)" w:date="2020-02-28T14:03:23" w:id="689482164">
    <w:p w:rsidR="6227E70C" w:rsidRDefault="6227E70C" w14:paraId="1ED12D50" w14:textId="27A17F73">
      <w:pPr>
        <w:pStyle w:val="CommentText"/>
      </w:pPr>
      <w:r w:rsidR="6227E70C">
        <w:rPr/>
        <w:t xml:space="preserve">Neuroticism is one of the Big Five higher-order personality traits in the study of psychology. Individuals who score high on neuroticism are more likely than average to be moody and to experience such feelings as anxiety, worry, fear, anger, frustration, envy, jealousy, guilt, depressed mood, and loneliness. </w:t>
      </w:r>
      <w:r>
        <w:rPr>
          <w:rStyle w:val="CommentReference"/>
        </w:rPr>
        <w:annotationRef/>
      </w:r>
    </w:p>
  </w:comment>
  <w:comment w:initials="G(" w:author="Gemma Lorey (1706646)" w:date="2020-02-28T14:49:46" w:id="1367797875">
    <w:p w:rsidR="6227E70C" w:rsidRDefault="6227E70C" w14:paraId="61E64D33" w14:textId="264F65E3">
      <w:pPr>
        <w:pStyle w:val="CommentText"/>
      </w:pPr>
      <w:r w:rsidR="6227E70C">
        <w:rPr/>
        <w:t>Neuroticism is related to both stress and depression. Several longitudinal studies have shown neuroticism to be a predictor of both subsequent diagnoses and chronicity of major depression (e.g., Clark, Watson, &amp; Mineka, 1994; Hayward, Killen, Kraemer, &amp; Taylor, 2000; Klein, Durbin, &amp; Shankman, 2009).</w:t>
      </w:r>
      <w:r>
        <w:rPr>
          <w:rStyle w:val="CommentReference"/>
        </w:rPr>
        <w:annotationRef/>
      </w:r>
    </w:p>
  </w:comment>
  <w:comment w:initials="G(" w:author="Gemma Lorey (1706646)" w:date="2020-02-28T15:56:28" w:id="1578788744">
    <w:p w:rsidR="6227E70C" w:rsidRDefault="6227E70C" w14:paraId="6DA77AC8" w14:textId="080CDA98">
      <w:pPr>
        <w:pStyle w:val="CommentText"/>
      </w:pPr>
      <w:r w:rsidR="6227E70C">
        <w:rPr/>
        <w:t>ENTP is an acronym used to describe one of the sixteen personality types created by Katharine Briggs and Isabel Myers. It stands for Extraverted, Intuitive, Thinking, Perceiving.</w:t>
      </w:r>
      <w:r>
        <w:rPr>
          <w:rStyle w:val="CommentReference"/>
        </w:rPr>
        <w:annotationRef/>
      </w:r>
    </w:p>
  </w:comment>
  <w:comment w:initials="G(" w:author="Gemma Lorey (1706646)" w:date="2020-02-28T21:25:26" w:id="2006039220">
    <w:p w:rsidR="6227E70C" w:rsidRDefault="6227E70C" w14:paraId="46CB9199" w14:textId="32FFFFCF">
      <w:pPr>
        <w:pStyle w:val="CommentText"/>
      </w:pPr>
      <w:r w:rsidR="6227E70C">
        <w:rPr/>
        <w:t>Empathy is the ability to experience and relate to the thoughts, emotions, or experience of others. Empathy is more than simple sympathy, which is being able to understand and support others with compassion or sensitivity. Leaders need empathy in order to show their followers that they care for their needs and achievement (Bass, 1985).</w:t>
      </w:r>
      <w:r>
        <w:rPr>
          <w:rStyle w:val="CommentReference"/>
        </w:rPr>
        <w:annotationRef/>
      </w:r>
    </w:p>
  </w:comment>
  <w:comment w:initials="G(" w:author="Gemma Lorey (1706646)" w:date="2020-02-28T21:30:17" w:id="1199271155">
    <w:p w:rsidR="6227E70C" w:rsidRDefault="6227E70C" w14:paraId="116AFBE0" w14:textId="5C6CA326">
      <w:pPr>
        <w:pStyle w:val="CommentText"/>
      </w:pPr>
      <w:r w:rsidR="6227E70C">
        <w:rPr/>
        <w:t>According to Tudor (Tudor, 1996), self-concept, identity and self-esteem are among the key elements of mental health. This trait is essential for development.</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AB3FADF"/>
  <w15:commentEx w15:done="0" w15:paraId="19949B58"/>
  <w15:commentEx w15:done="0" w15:paraId="6EB22CE5"/>
  <w15:commentEx w15:done="0" w15:paraId="1ED12D50"/>
  <w15:commentEx w15:done="0" w15:paraId="61E64D33"/>
  <w15:commentEx w15:done="0" w15:paraId="6DA77AC8"/>
  <w15:commentEx w15:done="0" w15:paraId="46CB9199"/>
  <w15:commentEx w15:done="0" w15:paraId="116AFBE0"/>
</w15:commentsEx>
</file>

<file path=word/commentsIds.xml><?xml version="1.0" encoding="utf-8"?>
<w16cid:commentsIds xmlns:mc="http://schemas.openxmlformats.org/markup-compatibility/2006" xmlns:w16cid="http://schemas.microsoft.com/office/word/2016/wordml/cid" mc:Ignorable="w16cid">
  <w16cid:commentId w16cid:paraId="3AB3FADF" w16cid:durableId="509AB605"/>
  <w16cid:commentId w16cid:paraId="19949B58" w16cid:durableId="4E243172"/>
  <w16cid:commentId w16cid:paraId="6EB22CE5" w16cid:durableId="6F4B8ACD"/>
  <w16cid:commentId w16cid:paraId="1ED12D50" w16cid:durableId="11D69DF8"/>
  <w16cid:commentId w16cid:paraId="61E64D33" w16cid:durableId="789E2B0E"/>
  <w16cid:commentId w16cid:paraId="6DA77AC8" w16cid:durableId="48B191BC"/>
  <w16cid:commentId w16cid:paraId="46CB9199" w16cid:durableId="7EDCE6E6"/>
  <w16cid:commentId w16cid:paraId="116AFBE0" w16cid:durableId="2295751C"/>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44E4B05F">
      <w:bookmarkStart w:name="_GoBack" w:id="0"/>
      <w:bookmarkEnd w:id="0"/>
      <w:r w:rsidR="2D8630C9">
        <w:rPr/>
        <w:t>Portfolio Assignment</w:t>
      </w:r>
    </w:p>
    <w:p w:rsidR="2D8630C9" w:rsidP="2D8630C9" w:rsidRDefault="2D8630C9" w14:paraId="24848024" w14:textId="762B939C">
      <w:pPr>
        <w:pStyle w:val="Normal"/>
      </w:pPr>
      <w:r w:rsidR="6227E70C">
        <w:rPr/>
        <w:t>For the following assignment, our task is to critically analyse and annotate 3 components of our choice, in relation to relevant career pathways. We are tasked to critically reflect on our personal development in relation to the 3 components. The 3 components that will be reflected upon are as follows. A Type finder personal assessment, this will reveal what personality traits an individual has, there are a total of 16 personality types, once the questions are answered in full, the individual's personality type will be explained. Within this assessment, some of the personality traits it will breakdown are extroversion or introversion, reserved or expressive, realistic or imaginative, as well as many others. The second component is the professional behaviour evaluation, this evaluation reveals skills that you are competent in, also skills that you may need to continue developing. The third component is the big-five inventory (BFI-10), this states your levels of extraversion, agreeableness, conscientiousness, neuroticism and openness to experiences.</w:t>
      </w:r>
    </w:p>
    <w:p w:rsidR="2D8630C9" w:rsidP="2D8630C9" w:rsidRDefault="2D8630C9" w14:paraId="7813B779" w14:textId="6C46F769">
      <w:pPr>
        <w:pStyle w:val="Normal"/>
      </w:pPr>
    </w:p>
    <w:p w:rsidR="2D8630C9" w:rsidP="2D8630C9" w:rsidRDefault="2D8630C9" w14:paraId="3BD53FF2" w14:textId="3019A466">
      <w:pPr>
        <w:pStyle w:val="Normal"/>
      </w:pPr>
    </w:p>
    <w:p w:rsidR="2D8630C9" w:rsidP="2D8630C9" w:rsidRDefault="2D8630C9" w14:paraId="4271864C" w14:textId="49FEADF3">
      <w:pPr>
        <w:pStyle w:val="Normal"/>
      </w:pPr>
      <w:commentRangeStart w:id="255135324"/>
      <w:commentRangeEnd w:id="255135324"/>
      <w:r>
        <w:rPr>
          <w:rStyle w:val="CommentReference"/>
        </w:rPr>
        <w:commentReference w:id="255135324"/>
      </w:r>
    </w:p>
    <w:p w:rsidR="2D8630C9" w:rsidP="2D8630C9" w:rsidRDefault="2D8630C9" w14:paraId="289B73EF" w14:textId="39B4451F">
      <w:pPr>
        <w:pStyle w:val="Normal"/>
      </w:pPr>
    </w:p>
    <w:p w:rsidR="2D8630C9" w:rsidP="2D8630C9" w:rsidRDefault="2D8630C9" w14:paraId="1DCBEAA0" w14:textId="22005DD3">
      <w:pPr>
        <w:pStyle w:val="Normal"/>
      </w:pPr>
    </w:p>
    <w:p w:rsidR="2D8630C9" w:rsidP="2D8630C9" w:rsidRDefault="2D8630C9" w14:paraId="60FC1C65" w14:textId="0E38A4DC">
      <w:pPr>
        <w:pStyle w:val="Normal"/>
      </w:pPr>
    </w:p>
    <w:p w:rsidR="2D8630C9" w:rsidP="2D8630C9" w:rsidRDefault="2D8630C9" w14:paraId="7D330D06" w14:textId="6D9C6521">
      <w:pPr>
        <w:pStyle w:val="Normal"/>
      </w:pPr>
    </w:p>
    <w:p w:rsidR="2D8630C9" w:rsidP="2D8630C9" w:rsidRDefault="2D8630C9" w14:paraId="12299431" w14:textId="451C3CC7">
      <w:pPr>
        <w:pStyle w:val="Normal"/>
      </w:pPr>
    </w:p>
    <w:p w:rsidR="2D8630C9" w:rsidP="2D8630C9" w:rsidRDefault="2D8630C9" w14:paraId="63848873" w14:textId="7A8C7485">
      <w:pPr>
        <w:pStyle w:val="Normal"/>
      </w:pPr>
    </w:p>
    <w:p w:rsidR="6227E70C" w:rsidP="6227E70C" w:rsidRDefault="6227E70C" w14:paraId="0D752041" w14:textId="64908ED9">
      <w:pPr>
        <w:pStyle w:val="Normal"/>
      </w:pPr>
      <w:r>
        <w:drawing>
          <wp:inline wp14:editId="6C8D7884" wp14:anchorId="72CF9F59">
            <wp:extent cx="5218858" cy="6955584"/>
            <wp:effectExtent l="0" t="0" r="0" b="0"/>
            <wp:docPr id="1391220702" name="" title=""/>
            <wp:cNvGraphicFramePr>
              <a:graphicFrameLocks noChangeAspect="1"/>
            </wp:cNvGraphicFramePr>
            <a:graphic>
              <a:graphicData uri="http://schemas.openxmlformats.org/drawingml/2006/picture">
                <pic:pic>
                  <pic:nvPicPr>
                    <pic:cNvPr id="0" name=""/>
                    <pic:cNvPicPr/>
                  </pic:nvPicPr>
                  <pic:blipFill>
                    <a:blip r:embed="R5c6a8e40c03a4ab4">
                      <a:extLst>
                        <a:ext xmlns:a="http://schemas.openxmlformats.org/drawingml/2006/main" uri="{28A0092B-C50C-407E-A947-70E740481C1C}">
                          <a14:useLocalDpi val="0"/>
                        </a:ext>
                      </a:extLst>
                    </a:blip>
                    <a:stretch>
                      <a:fillRect/>
                    </a:stretch>
                  </pic:blipFill>
                  <pic:spPr>
                    <a:xfrm>
                      <a:off x="0" y="0"/>
                      <a:ext cx="5218858" cy="6955584"/>
                    </a:xfrm>
                    <a:prstGeom prst="rect">
                      <a:avLst/>
                    </a:prstGeom>
                  </pic:spPr>
                </pic:pic>
              </a:graphicData>
            </a:graphic>
          </wp:inline>
        </w:drawing>
      </w:r>
    </w:p>
    <w:p w:rsidR="6227E70C" w:rsidP="6227E70C" w:rsidRDefault="6227E70C" w14:paraId="2D777DDE" w14:textId="7FF9060C">
      <w:pPr>
        <w:pStyle w:val="Normal"/>
      </w:pPr>
    </w:p>
    <w:p w:rsidR="6227E70C" w:rsidP="6227E70C" w:rsidRDefault="6227E70C" w14:paraId="726A3EBB" w14:textId="16081055">
      <w:pPr>
        <w:pStyle w:val="Normal"/>
      </w:pPr>
    </w:p>
    <w:p w:rsidR="6227E70C" w:rsidP="6227E70C" w:rsidRDefault="6227E70C" w14:paraId="0A44EF95" w14:textId="250B033E">
      <w:pPr>
        <w:pStyle w:val="Normal"/>
      </w:pPr>
    </w:p>
    <w:p w:rsidR="6227E70C" w:rsidP="6227E70C" w:rsidRDefault="6227E70C" w14:paraId="118CDE2D" w14:textId="20C43910">
      <w:pPr>
        <w:pStyle w:val="Normal"/>
      </w:pPr>
    </w:p>
    <w:p w:rsidR="6227E70C" w:rsidP="6227E70C" w:rsidRDefault="6227E70C" w14:paraId="4B5C5495" w14:textId="10131313">
      <w:pPr>
        <w:pStyle w:val="Normal"/>
      </w:pPr>
      <w:commentRangeStart w:id="1578788744"/>
      <w:commentRangeEnd w:id="1578788744"/>
      <w:r>
        <w:rPr>
          <w:rStyle w:val="CommentReference"/>
        </w:rPr>
        <w:commentReference w:id="1578788744"/>
      </w:r>
    </w:p>
    <w:p w:rsidR="2D8630C9" w:rsidP="2D8630C9" w:rsidRDefault="2D8630C9" w14:paraId="5465D1D1" w14:textId="57CDC5B1">
      <w:pPr>
        <w:pStyle w:val="Normal"/>
      </w:pPr>
      <w:r>
        <w:drawing>
          <wp:inline wp14:editId="6B65C6A0" wp14:anchorId="32C43871">
            <wp:extent cx="5219702" cy="6959599"/>
            <wp:effectExtent l="0" t="0" r="0" b="0"/>
            <wp:docPr id="969120455" name="" title=""/>
            <wp:cNvGraphicFramePr>
              <a:graphicFrameLocks noChangeAspect="1"/>
            </wp:cNvGraphicFramePr>
            <a:graphic>
              <a:graphicData uri="http://schemas.openxmlformats.org/drawingml/2006/picture">
                <pic:pic>
                  <pic:nvPicPr>
                    <pic:cNvPr id="0" name=""/>
                    <pic:cNvPicPr/>
                  </pic:nvPicPr>
                  <pic:blipFill>
                    <a:blip r:embed="Rdf73a50eebe941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19702" cy="6959599"/>
                    </a:xfrm>
                    <a:prstGeom prst="rect">
                      <a:avLst/>
                    </a:prstGeom>
                  </pic:spPr>
                </pic:pic>
              </a:graphicData>
            </a:graphic>
          </wp:inline>
        </w:drawing>
      </w:r>
      <w:commentRangeStart w:id="1589664603"/>
      <w:commentRangeEnd w:id="1589664603"/>
      <w:r>
        <w:rPr>
          <w:rStyle w:val="CommentReference"/>
        </w:rPr>
        <w:commentReference w:id="1589664603"/>
      </w:r>
    </w:p>
    <w:p w:rsidR="6227E70C" w:rsidP="6227E70C" w:rsidRDefault="6227E70C" w14:paraId="0BF848D2" w14:textId="5A0717E8">
      <w:pPr>
        <w:pStyle w:val="Normal"/>
      </w:pPr>
    </w:p>
    <w:p w:rsidR="6227E70C" w:rsidP="6227E70C" w:rsidRDefault="6227E70C" w14:paraId="17C6AC3E" w14:textId="7E72A8B1">
      <w:pPr>
        <w:pStyle w:val="Normal"/>
      </w:pPr>
    </w:p>
    <w:p w:rsidR="6227E70C" w:rsidP="6227E70C" w:rsidRDefault="6227E70C" w14:paraId="6C491532" w14:textId="4C519E17">
      <w:pPr>
        <w:pStyle w:val="Normal"/>
      </w:pPr>
      <w:r>
        <w:drawing>
          <wp:inline wp14:editId="7C78C478" wp14:anchorId="655F40D0">
            <wp:extent cx="5182609" cy="6910145"/>
            <wp:effectExtent l="0" t="0" r="0" b="0"/>
            <wp:docPr id="476199801" name="" title=""/>
            <wp:cNvGraphicFramePr>
              <a:graphicFrameLocks noChangeAspect="1"/>
            </wp:cNvGraphicFramePr>
            <a:graphic>
              <a:graphicData uri="http://schemas.openxmlformats.org/drawingml/2006/picture">
                <pic:pic>
                  <pic:nvPicPr>
                    <pic:cNvPr id="0" name=""/>
                    <pic:cNvPicPr/>
                  </pic:nvPicPr>
                  <pic:blipFill>
                    <a:blip r:embed="Ra0a2a31ec6704967">
                      <a:extLst>
                        <a:ext xmlns:a="http://schemas.openxmlformats.org/drawingml/2006/main" uri="{28A0092B-C50C-407E-A947-70E740481C1C}">
                          <a14:useLocalDpi val="0"/>
                        </a:ext>
                      </a:extLst>
                    </a:blip>
                    <a:stretch>
                      <a:fillRect/>
                    </a:stretch>
                  </pic:blipFill>
                  <pic:spPr>
                    <a:xfrm>
                      <a:off x="0" y="0"/>
                      <a:ext cx="5182609" cy="6910145"/>
                    </a:xfrm>
                    <a:prstGeom prst="rect">
                      <a:avLst/>
                    </a:prstGeom>
                  </pic:spPr>
                </pic:pic>
              </a:graphicData>
            </a:graphic>
          </wp:inline>
        </w:drawing>
      </w:r>
      <w:commentRangeStart w:id="209219473"/>
      <w:commentRangeEnd w:id="209219473"/>
      <w:r>
        <w:rPr>
          <w:rStyle w:val="CommentReference"/>
        </w:rPr>
        <w:commentReference w:id="209219473"/>
      </w:r>
      <w:commentRangeStart w:id="1199271155"/>
      <w:commentRangeEnd w:id="1199271155"/>
      <w:r>
        <w:rPr>
          <w:rStyle w:val="CommentReference"/>
        </w:rPr>
        <w:commentReference w:id="1199271155"/>
      </w:r>
    </w:p>
    <w:p w:rsidR="6227E70C" w:rsidP="6227E70C" w:rsidRDefault="6227E70C" w14:paraId="646093DB" w14:textId="213969B8">
      <w:pPr>
        <w:pStyle w:val="Normal"/>
      </w:pPr>
    </w:p>
    <w:p w:rsidR="6227E70C" w:rsidP="6227E70C" w:rsidRDefault="6227E70C" w14:paraId="6ECAD44E" w14:textId="18F8B285">
      <w:pPr>
        <w:pStyle w:val="Normal"/>
      </w:pPr>
    </w:p>
    <w:p w:rsidR="6227E70C" w:rsidP="6227E70C" w:rsidRDefault="6227E70C" w14:paraId="33FB9A3D" w14:textId="34F9214E">
      <w:pPr>
        <w:pStyle w:val="Normal"/>
      </w:pPr>
    </w:p>
    <w:p w:rsidR="6227E70C" w:rsidP="6227E70C" w:rsidRDefault="6227E70C" w14:paraId="4F88B6B4" w14:textId="1C715A6A">
      <w:pPr>
        <w:pStyle w:val="Normal"/>
      </w:pPr>
    </w:p>
    <w:p w:rsidR="6227E70C" w:rsidP="6227E70C" w:rsidRDefault="6227E70C" w14:paraId="29212975" w14:textId="04ABC6C0">
      <w:pPr>
        <w:pStyle w:val="Normal"/>
      </w:pPr>
    </w:p>
    <w:p w:rsidR="6227E70C" w:rsidP="6227E70C" w:rsidRDefault="6227E70C" w14:paraId="4691D78E" w14:textId="4F492CCB">
      <w:pPr>
        <w:pStyle w:val="Normal"/>
      </w:pPr>
      <w:r>
        <w:drawing>
          <wp:inline wp14:editId="3F05511A" wp14:anchorId="77C0449F">
            <wp:extent cx="5172075" cy="6896100"/>
            <wp:effectExtent l="0" t="0" r="0" b="0"/>
            <wp:docPr id="1324661005" name="" title=""/>
            <wp:cNvGraphicFramePr>
              <a:graphicFrameLocks noChangeAspect="1"/>
            </wp:cNvGraphicFramePr>
            <a:graphic>
              <a:graphicData uri="http://schemas.openxmlformats.org/drawingml/2006/picture">
                <pic:pic>
                  <pic:nvPicPr>
                    <pic:cNvPr id="0" name=""/>
                    <pic:cNvPicPr/>
                  </pic:nvPicPr>
                  <pic:blipFill>
                    <a:blip r:embed="R83fa2e50ec3843da">
                      <a:extLst>
                        <a:ext xmlns:a="http://schemas.openxmlformats.org/drawingml/2006/main" uri="{28A0092B-C50C-407E-A947-70E740481C1C}">
                          <a14:useLocalDpi val="0"/>
                        </a:ext>
                      </a:extLst>
                    </a:blip>
                    <a:stretch>
                      <a:fillRect/>
                    </a:stretch>
                  </pic:blipFill>
                  <pic:spPr>
                    <a:xfrm>
                      <a:off x="0" y="0"/>
                      <a:ext cx="5172075" cy="6896100"/>
                    </a:xfrm>
                    <a:prstGeom prst="rect">
                      <a:avLst/>
                    </a:prstGeom>
                  </pic:spPr>
                </pic:pic>
              </a:graphicData>
            </a:graphic>
          </wp:inline>
        </w:drawing>
      </w:r>
    </w:p>
    <w:p w:rsidR="40FEC5E2" w:rsidP="40FEC5E2" w:rsidRDefault="40FEC5E2" w14:paraId="6A37E6F7" w14:textId="36062A72">
      <w:pPr>
        <w:pStyle w:val="Normal"/>
      </w:pPr>
    </w:p>
    <w:p w:rsidR="6227E70C" w:rsidP="6227E70C" w:rsidRDefault="6227E70C" w14:paraId="45B7F28C" w14:textId="2BB9E696">
      <w:pPr>
        <w:pStyle w:val="Heading1"/>
      </w:pPr>
      <w:commentRangeStart w:id="2006039220"/>
      <w:commentRangeEnd w:id="2006039220"/>
      <w:r>
        <w:rPr>
          <w:rStyle w:val="CommentReference"/>
        </w:rPr>
        <w:commentReference w:id="2006039220"/>
      </w:r>
    </w:p>
    <w:p w:rsidR="40FEC5E2" w:rsidP="6227E70C" w:rsidRDefault="40FEC5E2" w14:paraId="14436B31" w14:textId="45F317E9">
      <w:pPr>
        <w:pStyle w:val="Heading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227E70C" w:rsidR="6227E70C">
        <w:rPr>
          <w:rFonts w:ascii="Calibri" w:hAnsi="Calibri" w:eastAsia="Calibri" w:cs="Calibri" w:asciiTheme="minorAscii" w:hAnsiTheme="minorAscii" w:eastAsiaTheme="minorAscii" w:cstheme="minorAscii"/>
          <w:b w:val="0"/>
          <w:bCs w:val="0"/>
          <w:noProof w:val="0"/>
          <w:color w:val="auto"/>
          <w:sz w:val="22"/>
          <w:szCs w:val="22"/>
          <w:lang w:val="en-GB"/>
        </w:rPr>
        <w:t xml:space="preserve">This module, titled ‘Skills for life: Employability and Future Pathways’, has given the student the chance to explore the skills needed for future employment when finishing University. We will work on developing skills and competencies we already have, as well as learning what other skills and competencies we may need for certain professional roles. The aim of the module is to develop our mindsets regarding employability. We will also reflect critically on our personal development. My initial thoughts on the module was slight hesitation, as well as being interested in what was to come. Hesitation because initially I wondered if this module would be useful in the long term, some of the module content I didn’t find useful, however, the personality exercise and developing employment skills, I found extremely useful. </w:t>
      </w:r>
    </w:p>
    <w:p w:rsidR="40FEC5E2" w:rsidP="6227E70C" w:rsidRDefault="40FEC5E2" w14:paraId="654393FA" w14:textId="281C3B2E">
      <w:pPr>
        <w:pStyle w:val="Heading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227E70C" w:rsidR="6227E70C">
        <w:rPr>
          <w:rFonts w:ascii="Calibri" w:hAnsi="Calibri" w:eastAsia="Calibri" w:cs="Calibri" w:asciiTheme="minorAscii" w:hAnsiTheme="minorAscii" w:eastAsiaTheme="minorAscii" w:cstheme="minorAscii"/>
          <w:b w:val="0"/>
          <w:bCs w:val="0"/>
          <w:noProof w:val="0"/>
          <w:color w:val="auto"/>
          <w:sz w:val="22"/>
          <w:szCs w:val="22"/>
          <w:lang w:val="en-GB"/>
        </w:rPr>
        <w:t xml:space="preserve">Developing the skills, I already have, has been an interesting experience, it made me really think about what I needed to develop in order to secure the job role I want after graduating. The skills I have and still want to develop are communication, listening, problem solving, critical thinking, confidence, networking, taking initiative and working well under pressure. The skills mentioned are the skills I have developed since taking on this University course, and still want to continue to develop as I go forward. </w:t>
      </w:r>
      <w:r w:rsidRPr="6227E70C" w:rsidR="6227E70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 felt that the sessions we attended in University were important to understand why this module is needed, it provided insight to why these skills and components are needed for future employment.</w:t>
      </w:r>
    </w:p>
    <w:p w:rsidR="6227E70C" w:rsidP="6227E70C" w:rsidRDefault="6227E70C" w14:paraId="627245AD" w14:textId="10B73778">
      <w:pPr>
        <w:pStyle w:val="Normal"/>
        <w:rPr>
          <w:rFonts w:ascii="Arial" w:hAnsi="Arial" w:eastAsia="Arial" w:cs="Arial"/>
          <w:noProof w:val="0"/>
          <w:color w:val="000000" w:themeColor="text1" w:themeTint="FF" w:themeShade="FF"/>
          <w:sz w:val="22"/>
          <w:szCs w:val="22"/>
          <w:lang w:val="en-GB"/>
        </w:rPr>
      </w:pPr>
    </w:p>
    <w:p w:rsidR="6227E70C" w:rsidP="6227E70C" w:rsidRDefault="6227E70C" w14:paraId="31F6FBC4" w14:textId="07D8927F">
      <w:pPr>
        <w:pStyle w:val="Normal"/>
        <w:rPr>
          <w:rFonts w:ascii="Calibri" w:hAnsi="Calibri" w:eastAsia="Calibri" w:cs="Calibri" w:asciiTheme="minorAscii" w:hAnsiTheme="minorAscii" w:eastAsiaTheme="minorAscii" w:cstheme="minorAscii"/>
          <w:noProof w:val="0"/>
          <w:sz w:val="22"/>
          <w:szCs w:val="22"/>
          <w:lang w:val="en-GB"/>
        </w:rPr>
      </w:pPr>
      <w:r w:rsidRPr="6227E70C" w:rsidR="6227E70C">
        <w:rPr>
          <w:rFonts w:ascii="Calibri" w:hAnsi="Calibri" w:eastAsia="Calibri" w:cs="Calibri" w:asciiTheme="minorAscii" w:hAnsiTheme="minorAscii" w:eastAsiaTheme="minorAscii" w:cstheme="minorAscii"/>
          <w:noProof w:val="0"/>
          <w:sz w:val="22"/>
          <w:szCs w:val="22"/>
          <w:lang w:val="en-GB"/>
        </w:rPr>
        <w:t xml:space="preserve">When completing the personality test, the results were surprising. Personally, I did not see myself as an extrovert due to my hobbies and interests, however, when thinking about the results, I can see the reasoning why the results revealed what they did. The test revealed that my personality is blended, with greater extraversion tendencies than introversion. For example, extraversion traits include interacting with people, expressing thoughts and feelings and stimulation and activity, which I can now see that I possess these traits, then the introversion side states that the prefer calm situations, reflecting on thoughts and feelings and maintaining distance and privacy, which are traits I have. </w:t>
      </w:r>
    </w:p>
    <w:p w:rsidR="6227E70C" w:rsidP="6227E70C" w:rsidRDefault="6227E70C" w14:paraId="166F9153" w14:textId="6B2733CE">
      <w:pPr>
        <w:pStyle w:val="Normal"/>
        <w:rPr>
          <w:rFonts w:ascii="Calibri" w:hAnsi="Calibri" w:eastAsia="Calibri" w:cs="Calibri" w:asciiTheme="minorAscii" w:hAnsiTheme="minorAscii" w:eastAsiaTheme="minorAscii" w:cstheme="minorAscii"/>
          <w:noProof w:val="0"/>
          <w:sz w:val="22"/>
          <w:szCs w:val="22"/>
          <w:lang w:val="en-GB"/>
        </w:rPr>
      </w:pPr>
      <w:r w:rsidRPr="6227E70C" w:rsidR="6227E70C">
        <w:rPr>
          <w:rFonts w:ascii="Calibri" w:hAnsi="Calibri" w:eastAsia="Calibri" w:cs="Calibri" w:asciiTheme="minorAscii" w:hAnsiTheme="minorAscii" w:eastAsiaTheme="minorAscii" w:cstheme="minorAscii"/>
          <w:noProof w:val="0"/>
          <w:sz w:val="22"/>
          <w:szCs w:val="22"/>
          <w:lang w:val="en-GB"/>
        </w:rPr>
        <w:t>After completing the professional behaviour evaluation, I feel that I am competent in most things, enough to be able to complete tasks to a standard that is expected by the workplace or even myself. The sections include integrity, empathy, self-motivation, appearance and personal hygiene, self-confidence, communications, time-management and teamwork and diplomacy. The main trait I thought I needed to develop significantly more is self-confidence, in all aspects of life, especially University and my current job. From experience, I have not been given opportunities to grow with previous jobs and education, however, I now feel that I have grown in confidence. I have ticked that I am competent in self-motivation, however, I sometimes lack the motivation to complete tasks for University and work, this is due to my own mental health issues, I feel that I can complete tasks to the best of my ability, however, I need to work on the motivational side of things.</w:t>
      </w:r>
    </w:p>
    <w:p w:rsidR="6227E70C" w:rsidP="6227E70C" w:rsidRDefault="6227E70C" w14:paraId="7A8E9583" w14:textId="09526CE3">
      <w:pPr>
        <w:pStyle w:val="Normal"/>
        <w:rPr>
          <w:rFonts w:ascii="Calibri" w:hAnsi="Calibri" w:eastAsia="Calibri" w:cs="Calibri" w:asciiTheme="minorAscii" w:hAnsiTheme="minorAscii" w:eastAsiaTheme="minorAscii" w:cstheme="minorAscii"/>
          <w:noProof w:val="0"/>
          <w:sz w:val="22"/>
          <w:szCs w:val="22"/>
          <w:lang w:val="en-GB"/>
        </w:rPr>
      </w:pPr>
      <w:r w:rsidRPr="6227E70C" w:rsidR="6227E70C">
        <w:rPr>
          <w:rFonts w:ascii="Calibri" w:hAnsi="Calibri" w:eastAsia="Calibri" w:cs="Calibri" w:asciiTheme="minorAscii" w:hAnsiTheme="minorAscii" w:eastAsiaTheme="minorAscii" w:cstheme="minorAscii"/>
          <w:noProof w:val="0"/>
          <w:sz w:val="22"/>
          <w:szCs w:val="22"/>
          <w:lang w:val="en-GB"/>
        </w:rPr>
        <w:t xml:space="preserve">Completing the big five inventory task opened my eyes to some personality traits I didn’t necessarily agree with at first, when I researched the meanings and thought about the traits, I quickly realised that I possess the traits that are mentioned. Initially, I did not agree with the extraversion trait, I also felt the same when completing the personality test, as I have never described myself as an extrovert, although I do have some of the traits of an extrovert, I wouldn’t necessarily describe myself as that, so I was surprised, however, I would now agree that I am more of an extrovert than an introvert. </w:t>
      </w:r>
    </w:p>
    <w:p w:rsidR="6227E70C" w:rsidP="6227E70C" w:rsidRDefault="6227E70C" w14:paraId="612DF40C" w14:textId="18420098">
      <w:pPr>
        <w:pStyle w:val="Normal"/>
        <w:rPr>
          <w:rFonts w:ascii="Calibri" w:hAnsi="Calibri" w:eastAsia="Calibri" w:cs="Calibri" w:asciiTheme="minorAscii" w:hAnsiTheme="minorAscii" w:eastAsiaTheme="minorAscii" w:cstheme="minorAscii"/>
          <w:noProof w:val="0"/>
          <w:sz w:val="22"/>
          <w:szCs w:val="22"/>
          <w:lang w:val="en-GB"/>
        </w:rPr>
      </w:pPr>
      <w:r w:rsidRPr="6227E70C" w:rsidR="6227E70C">
        <w:rPr>
          <w:rFonts w:ascii="Calibri" w:hAnsi="Calibri" w:eastAsia="Calibri" w:cs="Calibri" w:asciiTheme="minorAscii" w:hAnsiTheme="minorAscii" w:eastAsiaTheme="minorAscii" w:cstheme="minorAscii"/>
          <w:noProof w:val="0"/>
          <w:sz w:val="22"/>
          <w:szCs w:val="22"/>
          <w:lang w:val="en-GB"/>
        </w:rPr>
        <w:t xml:space="preserve">Neuroticism is one of the traits included in the big five inventories, initially, I again did not agree with the score that I was given, upon reflection and research, I realised I have the tendency to be neurotic on times, as many people do, I have realised I tend to be neurotic when I feel stress, anxious or have a depressive episode. </w:t>
      </w:r>
      <w:commentRangeStart w:id="689482164"/>
      <w:commentRangeEnd w:id="689482164"/>
      <w:r>
        <w:rPr>
          <w:rStyle w:val="CommentReference"/>
        </w:rPr>
        <w:commentReference w:id="689482164"/>
      </w:r>
    </w:p>
    <w:p w:rsidR="6227E70C" w:rsidP="6227E70C" w:rsidRDefault="6227E70C" w14:paraId="6FDD7751" w14:textId="68C88372">
      <w:pPr>
        <w:pStyle w:val="Normal"/>
        <w:rPr>
          <w:rFonts w:ascii="Calibri" w:hAnsi="Calibri" w:eastAsia="Calibri" w:cs="Calibri" w:asciiTheme="minorAscii" w:hAnsiTheme="minorAscii" w:eastAsiaTheme="minorAscii" w:cstheme="minorAscii"/>
          <w:noProof w:val="0"/>
          <w:color w:val="auto"/>
          <w:sz w:val="22"/>
          <w:szCs w:val="22"/>
          <w:u w:val="none"/>
          <w:lang w:val="en-GB"/>
        </w:rPr>
      </w:pPr>
      <w:r w:rsidRPr="6227E70C" w:rsidR="6227E70C">
        <w:rPr>
          <w:rFonts w:ascii="Calibri" w:hAnsi="Calibri" w:eastAsia="Calibri" w:cs="Calibri" w:asciiTheme="minorAscii" w:hAnsiTheme="minorAscii" w:eastAsiaTheme="minorAscii" w:cstheme="minorAscii"/>
          <w:noProof w:val="0"/>
          <w:color w:val="auto"/>
          <w:sz w:val="22"/>
          <w:szCs w:val="22"/>
          <w:u w:val="none"/>
          <w:lang w:val="en-GB"/>
        </w:rPr>
        <w:t xml:space="preserve">Some studies have examined the associations among neuroticism, depression, and life stress simultaneously. </w:t>
      </w:r>
      <w:hyperlink w:anchor="R33" r:id="R65ded977122e4ce8">
        <w:r w:rsidRPr="6227E70C" w:rsidR="6227E70C">
          <w:rPr>
            <w:rStyle w:val="Hyperlink"/>
            <w:rFonts w:ascii="Calibri" w:hAnsi="Calibri" w:eastAsia="Calibri" w:cs="Calibri" w:asciiTheme="minorAscii" w:hAnsiTheme="minorAscii" w:eastAsiaTheme="minorAscii" w:cstheme="minorAscii"/>
            <w:noProof w:val="0"/>
            <w:color w:val="auto"/>
            <w:sz w:val="22"/>
            <w:szCs w:val="22"/>
            <w:u w:val="none"/>
            <w:lang w:val="en-GB"/>
          </w:rPr>
          <w:t>Kendler and colleagues (2004)</w:t>
        </w:r>
      </w:hyperlink>
      <w:r w:rsidRPr="6227E70C" w:rsidR="6227E70C">
        <w:rPr>
          <w:rFonts w:ascii="Calibri" w:hAnsi="Calibri" w:eastAsia="Calibri" w:cs="Calibri" w:asciiTheme="minorAscii" w:hAnsiTheme="minorAscii" w:eastAsiaTheme="minorAscii" w:cstheme="minorAscii"/>
          <w:noProof w:val="0"/>
          <w:color w:val="auto"/>
          <w:sz w:val="22"/>
          <w:szCs w:val="22"/>
          <w:u w:val="none"/>
          <w:lang w:val="en-GB"/>
        </w:rPr>
        <w:t xml:space="preserve"> found those with high neuroticism were more likely to experience a depressive episode following stressful life events than those with low neuroticism. </w:t>
      </w:r>
      <w:hyperlink w:anchor="R50" r:id="R41b42873bf4e447a">
        <w:r w:rsidRPr="6227E70C" w:rsidR="6227E70C">
          <w:rPr>
            <w:rStyle w:val="Hyperlink"/>
            <w:rFonts w:ascii="Calibri" w:hAnsi="Calibri" w:eastAsia="Calibri" w:cs="Calibri" w:asciiTheme="minorAscii" w:hAnsiTheme="minorAscii" w:eastAsiaTheme="minorAscii" w:cstheme="minorAscii"/>
            <w:noProof w:val="0"/>
            <w:color w:val="auto"/>
            <w:sz w:val="22"/>
            <w:szCs w:val="22"/>
            <w:u w:val="none"/>
            <w:lang w:val="en-GB"/>
          </w:rPr>
          <w:t>Ormel and Wolhfarth (1991)</w:t>
        </w:r>
      </w:hyperlink>
      <w:r w:rsidRPr="6227E70C" w:rsidR="6227E70C">
        <w:rPr>
          <w:rFonts w:ascii="Calibri" w:hAnsi="Calibri" w:eastAsia="Calibri" w:cs="Calibri" w:asciiTheme="minorAscii" w:hAnsiTheme="minorAscii" w:eastAsiaTheme="minorAscii" w:cstheme="minorAscii"/>
          <w:noProof w:val="0"/>
          <w:color w:val="auto"/>
          <w:sz w:val="22"/>
          <w:szCs w:val="22"/>
          <w:u w:val="none"/>
          <w:lang w:val="en-GB"/>
        </w:rPr>
        <w:t xml:space="preserve"> found that neuroticism partially mediated the prospective relationship between long term difficulties (a form of CLS) and psychological distress (symptoms of dysphoria, depression, and anxiety).</w:t>
      </w:r>
    </w:p>
    <w:p w:rsidR="6227E70C" w:rsidP="6227E70C" w:rsidRDefault="6227E70C" w14:paraId="0C9F774A" w14:textId="1B749F8F">
      <w:pPr>
        <w:pStyle w:val="Normal"/>
        <w:rPr>
          <w:rFonts w:ascii="Calibri" w:hAnsi="Calibri" w:eastAsia="Calibri" w:cs="Calibri" w:asciiTheme="minorAscii" w:hAnsiTheme="minorAscii" w:eastAsiaTheme="minorAscii" w:cstheme="minorAscii"/>
          <w:noProof w:val="0"/>
          <w:sz w:val="22"/>
          <w:szCs w:val="22"/>
          <w:lang w:val="en-GB"/>
        </w:rPr>
      </w:pPr>
      <w:commentRangeStart w:id="1367797875"/>
      <w:commentRangeEnd w:id="1367797875"/>
      <w:r>
        <w:rPr>
          <w:rStyle w:val="CommentReference"/>
        </w:rPr>
        <w:commentReference w:id="1367797875"/>
      </w:r>
      <w:r w:rsidRPr="6227E70C" w:rsidR="6227E70C">
        <w:rPr>
          <w:rFonts w:ascii="Calibri" w:hAnsi="Calibri" w:eastAsia="Calibri" w:cs="Calibri" w:asciiTheme="minorAscii" w:hAnsiTheme="minorAscii" w:eastAsiaTheme="minorAscii" w:cstheme="minorAscii"/>
          <w:noProof w:val="0"/>
          <w:sz w:val="22"/>
          <w:szCs w:val="22"/>
          <w:lang w:val="en-GB"/>
        </w:rPr>
        <w:t>To summarise this assignment, I have learned that I have developed as a student and as a person over the last 2.5 years, when I started the course, I didn’t really know what I wanted to do in the future, I was lost in a way, now that I have almost completed my degree, I know where I want to be, developing my skills and competencies has happened without realising, I still need to develop certain skills, completing this degree will ensure that I do that to a high standard.</w:t>
      </w:r>
    </w:p>
    <w:p w:rsidR="6227E70C" w:rsidP="6227E70C" w:rsidRDefault="6227E70C" w14:paraId="51D9CC82" w14:textId="093C9555">
      <w:pPr>
        <w:pStyle w:val="Normal"/>
        <w:rPr>
          <w:rFonts w:ascii="Calibri" w:hAnsi="Calibri" w:eastAsia="Calibri" w:cs="Calibri"/>
          <w:noProof w:val="0"/>
          <w:color w:val="333333"/>
          <w:sz w:val="21"/>
          <w:szCs w:val="21"/>
          <w:lang w:val="en-GB"/>
        </w:rPr>
      </w:pPr>
    </w:p>
    <w:p w:rsidR="6227E70C" w:rsidP="6227E70C" w:rsidRDefault="6227E70C" w14:paraId="5A9272B1" w14:textId="26D4C7C5">
      <w:pPr>
        <w:pStyle w:val="Normal"/>
        <w:rPr>
          <w:rFonts w:ascii="Calibri" w:hAnsi="Calibri" w:eastAsia="Calibri" w:cs="Calibri"/>
          <w:noProof w:val="0"/>
          <w:color w:val="333333"/>
          <w:sz w:val="21"/>
          <w:szCs w:val="21"/>
          <w:lang w:val="en-GB"/>
        </w:rPr>
      </w:pPr>
    </w:p>
    <w:p w:rsidR="6227E70C" w:rsidP="6227E70C" w:rsidRDefault="6227E70C" w14:paraId="6A5BA0DB" w14:textId="35095128">
      <w:pPr>
        <w:pStyle w:val="Normal"/>
        <w:rPr>
          <w:rFonts w:ascii="Calibri" w:hAnsi="Calibri" w:eastAsia="Calibri" w:cs="Calibri"/>
          <w:noProof w:val="0"/>
          <w:color w:val="333333"/>
          <w:sz w:val="21"/>
          <w:szCs w:val="21"/>
          <w:lang w:val="en-GB"/>
        </w:rPr>
      </w:pPr>
    </w:p>
    <w:p w:rsidR="6227E70C" w:rsidP="6227E70C" w:rsidRDefault="6227E70C" w14:paraId="2754FC1C" w14:textId="02143862">
      <w:pPr>
        <w:pStyle w:val="Normal"/>
        <w:rPr>
          <w:rFonts w:ascii="Calibri" w:hAnsi="Calibri" w:eastAsia="Calibri" w:cs="Calibri"/>
          <w:noProof w:val="0"/>
          <w:color w:val="333333"/>
          <w:sz w:val="21"/>
          <w:szCs w:val="21"/>
          <w:lang w:val="en-GB"/>
        </w:rPr>
      </w:pPr>
    </w:p>
    <w:p w:rsidR="6227E70C" w:rsidP="6227E70C" w:rsidRDefault="6227E70C" w14:paraId="0D70E276" w14:textId="0AFFD85E">
      <w:pPr>
        <w:pStyle w:val="Normal"/>
        <w:rPr>
          <w:rFonts w:ascii="Calibri" w:hAnsi="Calibri" w:eastAsia="Calibri" w:cs="Calibri" w:asciiTheme="minorAscii" w:hAnsiTheme="minorAscii" w:eastAsiaTheme="minorAscii" w:cstheme="minorAscii"/>
          <w:noProof w:val="0"/>
          <w:color w:val="222222"/>
          <w:sz w:val="22"/>
          <w:szCs w:val="22"/>
          <w:lang w:val="en-GB"/>
        </w:rPr>
      </w:pPr>
      <w:r w:rsidRPr="6227E70C" w:rsidR="6227E70C">
        <w:rPr>
          <w:rFonts w:ascii="Calibri" w:hAnsi="Calibri" w:eastAsia="Calibri" w:cs="Calibri" w:asciiTheme="minorAscii" w:hAnsiTheme="minorAscii" w:eastAsiaTheme="minorAscii" w:cstheme="minorAscii"/>
          <w:noProof w:val="0"/>
          <w:color w:val="222222"/>
          <w:sz w:val="22"/>
          <w:szCs w:val="22"/>
          <w:lang w:val="en-GB"/>
        </w:rPr>
        <w:t xml:space="preserve">Druckman, D. E., &amp; Bjork, R. A. (1994). </w:t>
      </w:r>
      <w:r w:rsidRPr="6227E70C" w:rsidR="6227E70C">
        <w:rPr>
          <w:rFonts w:ascii="Calibri" w:hAnsi="Calibri" w:eastAsia="Calibri" w:cs="Calibri" w:asciiTheme="minorAscii" w:hAnsiTheme="minorAscii" w:eastAsiaTheme="minorAscii" w:cstheme="minorAscii"/>
          <w:i w:val="1"/>
          <w:iCs w:val="1"/>
          <w:noProof w:val="0"/>
          <w:color w:val="222222"/>
          <w:sz w:val="22"/>
          <w:szCs w:val="22"/>
          <w:lang w:val="en-GB"/>
        </w:rPr>
        <w:t>Learning, remembering, believing: Enhancing human performance</w:t>
      </w:r>
      <w:r w:rsidRPr="6227E70C" w:rsidR="6227E70C">
        <w:rPr>
          <w:rFonts w:ascii="Calibri" w:hAnsi="Calibri" w:eastAsia="Calibri" w:cs="Calibri" w:asciiTheme="minorAscii" w:hAnsiTheme="minorAscii" w:eastAsiaTheme="minorAscii" w:cstheme="minorAscii"/>
          <w:noProof w:val="0"/>
          <w:color w:val="222222"/>
          <w:sz w:val="22"/>
          <w:szCs w:val="22"/>
          <w:lang w:val="en-GB"/>
        </w:rPr>
        <w:t>. National Academy Press.</w:t>
      </w:r>
    </w:p>
    <w:p w:rsidR="6227E70C" w:rsidP="6227E70C" w:rsidRDefault="6227E70C" w14:paraId="0BDC782A" w14:textId="7D60372A">
      <w:pPr>
        <w:pStyle w:val="Normal"/>
        <w:rPr>
          <w:rFonts w:ascii="Arial" w:hAnsi="Arial" w:eastAsia="Arial" w:cs="Arial"/>
          <w:noProof w:val="0"/>
          <w:color w:val="222222"/>
          <w:sz w:val="19"/>
          <w:szCs w:val="19"/>
          <w:lang w:val="en-GB"/>
        </w:rPr>
      </w:pPr>
      <w:r w:rsidRPr="6227E70C" w:rsidR="6227E70C">
        <w:rPr>
          <w:rFonts w:ascii="Arial" w:hAnsi="Arial" w:eastAsia="Arial" w:cs="Arial"/>
          <w:noProof w:val="0"/>
          <w:color w:val="222222"/>
          <w:sz w:val="19"/>
          <w:szCs w:val="19"/>
          <w:lang w:val="en-GB"/>
        </w:rPr>
        <w:t xml:space="preserve">Gentry, W. A., Weber, T. J., &amp; Sadri, G. (2007). Empathy in the workplace: A tool for effective leadership. </w:t>
      </w:r>
      <w:r w:rsidRPr="6227E70C" w:rsidR="6227E70C">
        <w:rPr>
          <w:rFonts w:ascii="Arial" w:hAnsi="Arial" w:eastAsia="Arial" w:cs="Arial"/>
          <w:i w:val="1"/>
          <w:iCs w:val="1"/>
          <w:noProof w:val="0"/>
          <w:color w:val="222222"/>
          <w:sz w:val="19"/>
          <w:szCs w:val="19"/>
          <w:lang w:val="en-GB"/>
        </w:rPr>
        <w:t xml:space="preserve">A </w:t>
      </w:r>
      <w:proofErr w:type="spellStart"/>
      <w:r w:rsidRPr="6227E70C" w:rsidR="6227E70C">
        <w:rPr>
          <w:rFonts w:ascii="Arial" w:hAnsi="Arial" w:eastAsia="Arial" w:cs="Arial"/>
          <w:i w:val="1"/>
          <w:iCs w:val="1"/>
          <w:noProof w:val="0"/>
          <w:color w:val="222222"/>
          <w:sz w:val="19"/>
          <w:szCs w:val="19"/>
          <w:lang w:val="en-GB"/>
        </w:rPr>
        <w:t>Center</w:t>
      </w:r>
      <w:proofErr w:type="spellEnd"/>
      <w:r w:rsidRPr="6227E70C" w:rsidR="6227E70C">
        <w:rPr>
          <w:rFonts w:ascii="Arial" w:hAnsi="Arial" w:eastAsia="Arial" w:cs="Arial"/>
          <w:i w:val="1"/>
          <w:iCs w:val="1"/>
          <w:noProof w:val="0"/>
          <w:color w:val="222222"/>
          <w:sz w:val="19"/>
          <w:szCs w:val="19"/>
          <w:lang w:val="en-GB"/>
        </w:rPr>
        <w:t xml:space="preserve"> for Creative Leadership White Paper. Retrieved from http://www. ccl. org/leadership/pdf/research/</w:t>
      </w:r>
      <w:proofErr w:type="spellStart"/>
      <w:r w:rsidRPr="6227E70C" w:rsidR="6227E70C">
        <w:rPr>
          <w:rFonts w:ascii="Arial" w:hAnsi="Arial" w:eastAsia="Arial" w:cs="Arial"/>
          <w:i w:val="1"/>
          <w:iCs w:val="1"/>
          <w:noProof w:val="0"/>
          <w:color w:val="222222"/>
          <w:sz w:val="19"/>
          <w:szCs w:val="19"/>
          <w:lang w:val="en-GB"/>
        </w:rPr>
        <w:t>EmpathyInTheWorkplace</w:t>
      </w:r>
      <w:proofErr w:type="spellEnd"/>
      <w:r w:rsidRPr="6227E70C" w:rsidR="6227E70C">
        <w:rPr>
          <w:rFonts w:ascii="Arial" w:hAnsi="Arial" w:eastAsia="Arial" w:cs="Arial"/>
          <w:i w:val="1"/>
          <w:iCs w:val="1"/>
          <w:noProof w:val="0"/>
          <w:color w:val="222222"/>
          <w:sz w:val="19"/>
          <w:szCs w:val="19"/>
          <w:lang w:val="en-GB"/>
        </w:rPr>
        <w:t>. Pdf</w:t>
      </w:r>
      <w:r w:rsidRPr="6227E70C" w:rsidR="6227E70C">
        <w:rPr>
          <w:rFonts w:ascii="Arial" w:hAnsi="Arial" w:eastAsia="Arial" w:cs="Arial"/>
          <w:noProof w:val="0"/>
          <w:color w:val="222222"/>
          <w:sz w:val="19"/>
          <w:szCs w:val="19"/>
          <w:lang w:val="en-GB"/>
        </w:rPr>
        <w:t>.</w:t>
      </w:r>
    </w:p>
    <w:p w:rsidR="6227E70C" w:rsidP="6227E70C" w:rsidRDefault="6227E70C" w14:paraId="52860375" w14:textId="3B9FF8A8">
      <w:pPr>
        <w:pStyle w:val="Normal"/>
      </w:pPr>
      <w:r w:rsidRPr="6227E70C" w:rsidR="6227E70C">
        <w:rPr>
          <w:rFonts w:ascii="Arial" w:hAnsi="Arial" w:eastAsia="Arial" w:cs="Arial"/>
          <w:noProof w:val="0"/>
          <w:color w:val="222222"/>
          <w:sz w:val="19"/>
          <w:szCs w:val="19"/>
          <w:lang w:val="en-GB"/>
        </w:rPr>
        <w:t xml:space="preserve">Klein, D. N., Durbin, C. E., &amp; Shankman, S. A. (2009). Personality and mood disorders. </w:t>
      </w:r>
      <w:r w:rsidRPr="6227E70C" w:rsidR="6227E70C">
        <w:rPr>
          <w:rFonts w:ascii="Arial" w:hAnsi="Arial" w:eastAsia="Arial" w:cs="Arial"/>
          <w:i w:val="1"/>
          <w:iCs w:val="1"/>
          <w:noProof w:val="0"/>
          <w:color w:val="222222"/>
          <w:sz w:val="19"/>
          <w:szCs w:val="19"/>
          <w:lang w:val="en-GB"/>
        </w:rPr>
        <w:t>Handbook of depression</w:t>
      </w:r>
      <w:r w:rsidRPr="6227E70C" w:rsidR="6227E70C">
        <w:rPr>
          <w:rFonts w:ascii="Arial" w:hAnsi="Arial" w:eastAsia="Arial" w:cs="Arial"/>
          <w:noProof w:val="0"/>
          <w:color w:val="222222"/>
          <w:sz w:val="19"/>
          <w:szCs w:val="19"/>
          <w:lang w:val="en-GB"/>
        </w:rPr>
        <w:t xml:space="preserve">, </w:t>
      </w:r>
      <w:r w:rsidRPr="6227E70C" w:rsidR="6227E70C">
        <w:rPr>
          <w:rFonts w:ascii="Arial" w:hAnsi="Arial" w:eastAsia="Arial" w:cs="Arial"/>
          <w:i w:val="1"/>
          <w:iCs w:val="1"/>
          <w:noProof w:val="0"/>
          <w:color w:val="222222"/>
          <w:sz w:val="19"/>
          <w:szCs w:val="19"/>
          <w:lang w:val="en-GB"/>
        </w:rPr>
        <w:t>2</w:t>
      </w:r>
      <w:r w:rsidRPr="6227E70C" w:rsidR="6227E70C">
        <w:rPr>
          <w:rFonts w:ascii="Arial" w:hAnsi="Arial" w:eastAsia="Arial" w:cs="Arial"/>
          <w:noProof w:val="0"/>
          <w:color w:val="222222"/>
          <w:sz w:val="19"/>
          <w:szCs w:val="19"/>
          <w:lang w:val="en-GB"/>
        </w:rPr>
        <w:t>, 93-112.</w:t>
      </w:r>
    </w:p>
    <w:p w:rsidR="6227E70C" w:rsidP="6227E70C" w:rsidRDefault="6227E70C" w14:paraId="66388ED0" w14:textId="4A597315">
      <w:pPr>
        <w:pStyle w:val="Normal"/>
        <w:rPr>
          <w:rFonts w:ascii="Calibri" w:hAnsi="Calibri" w:eastAsia="Calibri" w:cs="Calibri" w:asciiTheme="minorAscii" w:hAnsiTheme="minorAscii" w:eastAsiaTheme="minorAscii" w:cstheme="minorAscii"/>
          <w:noProof w:val="0"/>
          <w:color w:val="222222"/>
          <w:sz w:val="22"/>
          <w:szCs w:val="22"/>
          <w:lang w:val="en-GB"/>
        </w:rPr>
      </w:pPr>
      <w:r w:rsidRPr="6227E70C" w:rsidR="6227E70C">
        <w:rPr>
          <w:rFonts w:ascii="Calibri" w:hAnsi="Calibri" w:eastAsia="Calibri" w:cs="Calibri" w:asciiTheme="minorAscii" w:hAnsiTheme="minorAscii" w:eastAsiaTheme="minorAscii" w:cstheme="minorAscii"/>
          <w:noProof w:val="0"/>
          <w:color w:val="333333"/>
          <w:sz w:val="22"/>
          <w:szCs w:val="22"/>
          <w:lang w:val="en-GB"/>
        </w:rPr>
        <w:t xml:space="preserve">Lucas, R. E., &amp; Diener, E. (2001). Understanding extraverts' enjoyment of social situations: The importance of pleasantness. </w:t>
      </w:r>
      <w:r w:rsidRPr="6227E70C" w:rsidR="6227E70C">
        <w:rPr>
          <w:rFonts w:ascii="Calibri" w:hAnsi="Calibri" w:eastAsia="Calibri" w:cs="Calibri" w:asciiTheme="minorAscii" w:hAnsiTheme="minorAscii" w:eastAsiaTheme="minorAscii" w:cstheme="minorAscii"/>
          <w:i w:val="1"/>
          <w:iCs w:val="1"/>
          <w:noProof w:val="0"/>
          <w:color w:val="333333"/>
          <w:sz w:val="22"/>
          <w:szCs w:val="22"/>
          <w:lang w:val="en-GB"/>
        </w:rPr>
        <w:t>Journal of Personality and Social Psychology, 81</w:t>
      </w:r>
      <w:r w:rsidRPr="6227E70C" w:rsidR="6227E70C">
        <w:rPr>
          <w:rFonts w:ascii="Calibri" w:hAnsi="Calibri" w:eastAsia="Calibri" w:cs="Calibri" w:asciiTheme="minorAscii" w:hAnsiTheme="minorAscii" w:eastAsiaTheme="minorAscii" w:cstheme="minorAscii"/>
          <w:noProof w:val="0"/>
          <w:color w:val="333333"/>
          <w:sz w:val="22"/>
          <w:szCs w:val="22"/>
          <w:lang w:val="en-GB"/>
        </w:rPr>
        <w:t xml:space="preserve">(2), 343–356. </w:t>
      </w:r>
      <w:r w:rsidRPr="6227E70C" w:rsidR="6227E70C">
        <w:rPr>
          <w:rFonts w:ascii="Calibri" w:hAnsi="Calibri" w:eastAsia="Calibri" w:cs="Calibri" w:asciiTheme="minorAscii" w:hAnsiTheme="minorAscii" w:eastAsiaTheme="minorAscii" w:cstheme="minorAscii"/>
          <w:noProof w:val="0"/>
          <w:color w:val="auto"/>
          <w:sz w:val="22"/>
          <w:szCs w:val="22"/>
          <w:lang w:val="en-GB"/>
        </w:rPr>
        <w:t>https://doi.org/10.1037/0022-3514.81.2.343</w:t>
      </w:r>
    </w:p>
    <w:p w:rsidR="6227E70C" w:rsidP="6227E70C" w:rsidRDefault="6227E70C" w14:paraId="4FEA4BB7" w14:textId="39AE24F9">
      <w:pPr>
        <w:pStyle w:val="Normal"/>
      </w:pPr>
      <w:r w:rsidRPr="6227E70C" w:rsidR="6227E70C">
        <w:rPr>
          <w:rFonts w:ascii="Arial" w:hAnsi="Arial" w:eastAsia="Arial" w:cs="Arial"/>
          <w:noProof w:val="0"/>
          <w:color w:val="222222"/>
          <w:sz w:val="19"/>
          <w:szCs w:val="19"/>
          <w:lang w:val="en-GB"/>
        </w:rPr>
        <w:t xml:space="preserve">Mann, M. M., Hosman, C. M., Schaalma, H. P., &amp; De Vries, N. K. (2004). Self-esteem in a broad-spectrum approach for mental health promotion. </w:t>
      </w:r>
      <w:r w:rsidRPr="6227E70C" w:rsidR="6227E70C">
        <w:rPr>
          <w:rFonts w:ascii="Arial" w:hAnsi="Arial" w:eastAsia="Arial" w:cs="Arial"/>
          <w:i w:val="1"/>
          <w:iCs w:val="1"/>
          <w:noProof w:val="0"/>
          <w:color w:val="222222"/>
          <w:sz w:val="19"/>
          <w:szCs w:val="19"/>
          <w:lang w:val="en-GB"/>
        </w:rPr>
        <w:t>Health education research</w:t>
      </w:r>
      <w:r w:rsidRPr="6227E70C" w:rsidR="6227E70C">
        <w:rPr>
          <w:rFonts w:ascii="Arial" w:hAnsi="Arial" w:eastAsia="Arial" w:cs="Arial"/>
          <w:noProof w:val="0"/>
          <w:color w:val="222222"/>
          <w:sz w:val="19"/>
          <w:szCs w:val="19"/>
          <w:lang w:val="en-GB"/>
        </w:rPr>
        <w:t xml:space="preserve">, </w:t>
      </w:r>
      <w:r w:rsidRPr="6227E70C" w:rsidR="6227E70C">
        <w:rPr>
          <w:rFonts w:ascii="Arial" w:hAnsi="Arial" w:eastAsia="Arial" w:cs="Arial"/>
          <w:i w:val="1"/>
          <w:iCs w:val="1"/>
          <w:noProof w:val="0"/>
          <w:color w:val="222222"/>
          <w:sz w:val="19"/>
          <w:szCs w:val="19"/>
          <w:lang w:val="en-GB"/>
        </w:rPr>
        <w:t>19</w:t>
      </w:r>
      <w:r w:rsidRPr="6227E70C" w:rsidR="6227E70C">
        <w:rPr>
          <w:rFonts w:ascii="Arial" w:hAnsi="Arial" w:eastAsia="Arial" w:cs="Arial"/>
          <w:noProof w:val="0"/>
          <w:color w:val="222222"/>
          <w:sz w:val="19"/>
          <w:szCs w:val="19"/>
          <w:lang w:val="en-GB"/>
        </w:rPr>
        <w:t>(4), 357-372.</w:t>
      </w:r>
    </w:p>
    <w:p w:rsidR="6227E70C" w:rsidP="6227E70C" w:rsidRDefault="6227E70C" w14:paraId="30CAA063" w14:textId="2F1C4398">
      <w:pPr>
        <w:pStyle w:val="Normal"/>
      </w:pPr>
      <w:r w:rsidRPr="6227E70C" w:rsidR="6227E70C">
        <w:rPr>
          <w:rFonts w:ascii="Arial" w:hAnsi="Arial" w:eastAsia="Arial" w:cs="Arial"/>
          <w:noProof w:val="0"/>
          <w:color w:val="222222"/>
          <w:sz w:val="19"/>
          <w:szCs w:val="19"/>
          <w:lang w:val="en-GB"/>
        </w:rPr>
        <w:t>Myers, I. B. (1962). The Myers-Briggs Type Indicator: Manual (1962).</w:t>
      </w:r>
    </w:p>
    <w:sectPr>
      <w:pgSz w:w="11906" w:h="16838" w:orient="portrait"/>
      <w:pgMar w:top="1440" w:right="1440" w:bottom="1440" w:left="1440" w:header="720" w:footer="720" w:gutter="0"/>
      <w:cols w:space="720"/>
      <w:docGrid w:linePitch="360"/>
      <w:headerReference w:type="default" r:id="Rc0d70b7be708421a"/>
      <w:footerReference w:type="default" r:id="Re7e028743ea744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tblGrid>
    <w:tr w:rsidR="0A7697CA" w:rsidTr="0A7697CA" w14:paraId="357544E5">
      <w:tc>
        <w:tcPr>
          <w:tcW w:w="3009" w:type="dxa"/>
          <w:tcMar/>
        </w:tcPr>
        <w:p w:rsidR="0A7697CA" w:rsidP="0A7697CA" w:rsidRDefault="0A7697CA" w14:paraId="4939DFC5" w14:textId="7F8B56AB">
          <w:pPr>
            <w:pStyle w:val="Header"/>
            <w:bidi w:val="0"/>
            <w:jc w:val="center"/>
          </w:pPr>
        </w:p>
      </w:tc>
      <w:tc>
        <w:tcPr>
          <w:tcW w:w="3009" w:type="dxa"/>
          <w:tcMar/>
        </w:tcPr>
        <w:p w:rsidR="0A7697CA" w:rsidP="0A7697CA" w:rsidRDefault="0A7697CA" w14:paraId="4893230C" w14:textId="3B5545BC">
          <w:pPr>
            <w:pStyle w:val="Header"/>
            <w:bidi w:val="0"/>
            <w:ind w:right="-115"/>
            <w:jc w:val="right"/>
          </w:pPr>
        </w:p>
      </w:tc>
    </w:tr>
  </w:tbl>
  <w:p w:rsidR="0A7697CA" w:rsidP="0A7697CA" w:rsidRDefault="0A7697CA" w14:paraId="72C1C70C" w14:textId="235ABDDE">
    <w:pPr>
      <w:pStyle w:val="Footer"/>
      <w:bidi w:val="0"/>
    </w:pPr>
  </w:p>
</w:ftr>
</file>

<file path=word/header.xml><?xml version="1.0" encoding="utf-8"?>
<w:hdr xmlns:w14="http://schemas.microsoft.com/office/word/2010/wordml" xmlns:w="http://schemas.openxmlformats.org/wordprocessingml/2006/main">
  <w:p w:rsidR="0A7697CA" w:rsidRDefault="0A7697CA" w14:paraId="4CE6AA03" w14:textId="7F4E8784"/>
  <w:p w:rsidR="0A7697CA" w:rsidP="0A7697CA" w:rsidRDefault="0A7697CA" w14:paraId="43EA5A77" w14:textId="41F8C946">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Gemma Lorey (1706646)">
    <w15:presenceInfo w15:providerId="AD" w15:userId="S::1706646@student.uwtsd.ac.uk::dbeb2afd-76e8-41e7-9ea2-81c126ae5cf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BED495"/>
  <w15:docId w15:val="{5171ae60-017a-421a-972a-476c606b10b7}"/>
  <w:rsids>
    <w:rsidRoot w:val="26BED495"/>
    <w:rsid w:val="0A7697CA"/>
    <w:rsid w:val="26BED495"/>
    <w:rsid w:val="2D8630C9"/>
    <w:rsid w:val="3F64A58F"/>
    <w:rsid w:val="40FEC5E2"/>
    <w:rsid w:val="6227E70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0d70b7be708421a" /><Relationship Type="http://schemas.openxmlformats.org/officeDocument/2006/relationships/footer" Target="/word/footer.xml" Id="Re7e028743ea74493" /><Relationship Type="http://schemas.openxmlformats.org/officeDocument/2006/relationships/numbering" Target="/word/numbering.xml" Id="R2998270e41d04ac0" /><Relationship Type="http://schemas.openxmlformats.org/officeDocument/2006/relationships/comments" Target="/word/comments.xml" Id="R4d634bc9e378450a" /><Relationship Type="http://schemas.microsoft.com/office/2011/relationships/people" Target="/word/people.xml" Id="R9af81c6b3cca4e05" /><Relationship Type="http://schemas.microsoft.com/office/2011/relationships/commentsExtended" Target="/word/commentsExtended.xml" Id="R2441ece83f854d49" /><Relationship Type="http://schemas.microsoft.com/office/2016/09/relationships/commentsIds" Target="/word/commentsIds.xml" Id="R4b19e1489950428a" /><Relationship Type="http://schemas.openxmlformats.org/officeDocument/2006/relationships/image" Target="/media/image3.png" Id="R5c6a8e40c03a4ab4" /><Relationship Type="http://schemas.openxmlformats.org/officeDocument/2006/relationships/image" Target="/media/image4.png" Id="Rdf73a50eebe941f1" /><Relationship Type="http://schemas.openxmlformats.org/officeDocument/2006/relationships/image" Target="/media/image5.png" Id="Ra0a2a31ec6704967" /><Relationship Type="http://schemas.openxmlformats.org/officeDocument/2006/relationships/image" Target="/media/image6.png" Id="R83fa2e50ec3843da" /><Relationship Type="http://schemas.openxmlformats.org/officeDocument/2006/relationships/hyperlink" Target="https://www.ncbi.nlm.nih.gov/pmc/articles/PMC3690955/" TargetMode="External" Id="R65ded977122e4ce8" /><Relationship Type="http://schemas.openxmlformats.org/officeDocument/2006/relationships/hyperlink" Target="https://www.ncbi.nlm.nih.gov/pmc/articles/PMC3690955/" TargetMode="External" Id="R41b42873bf4e44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Gemma Lorey (1706646)</dc:creator>
  <keywords/>
  <dc:description/>
  <lastModifiedBy>Gemma Lorey (1706646)</lastModifiedBy>
  <revision>6</revision>
  <dcterms:created xsi:type="dcterms:W3CDTF">2020-02-25T10:01:28.3107201Z</dcterms:created>
  <dcterms:modified xsi:type="dcterms:W3CDTF">2020-02-28T21:45:28.3040155Z</dcterms:modified>
</coreProperties>
</file>