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6700327"/>
        <w:docPartObj>
          <w:docPartGallery w:val="Cover Pages"/>
          <w:docPartUnique/>
        </w:docPartObj>
      </w:sdtPr>
      <w:sdtEndPr>
        <w:rPr>
          <w:sz w:val="22"/>
          <w:szCs w:val="22"/>
        </w:rPr>
      </w:sdtEndPr>
      <w:sdtContent>
        <w:p w14:paraId="313CBF75" w14:textId="155D8332" w:rsidR="003824D9" w:rsidRPr="003D7B76" w:rsidRDefault="003E7E35" w:rsidP="003824D9">
          <w:pPr>
            <w:rPr>
              <w:sz w:val="22"/>
              <w:szCs w:val="22"/>
            </w:rPr>
          </w:pPr>
          <w:r w:rsidRPr="003D7B76">
            <w:rPr>
              <w:sz w:val="22"/>
              <w:szCs w:val="22"/>
            </w:rPr>
            <w:t>Name: Gazala Haroon</w:t>
          </w:r>
        </w:p>
        <w:p w14:paraId="09829828" w14:textId="254001B1" w:rsidR="003824D9" w:rsidRPr="003D7B76" w:rsidRDefault="003824D9" w:rsidP="003824D9">
          <w:pPr>
            <w:rPr>
              <w:rFonts w:ascii="Arial" w:hAnsi="Arial" w:cs="Arial"/>
              <w:sz w:val="22"/>
              <w:szCs w:val="22"/>
            </w:rPr>
          </w:pPr>
          <w:r w:rsidRPr="003D7B76">
            <w:rPr>
              <w:rFonts w:ascii="Arial" w:hAnsi="Arial" w:cs="Arial"/>
              <w:sz w:val="22"/>
              <w:szCs w:val="22"/>
            </w:rPr>
            <w:t>Student number: 24</w:t>
          </w:r>
          <w:r w:rsidR="00084E0F" w:rsidRPr="003D7B76">
            <w:rPr>
              <w:rFonts w:ascii="Arial" w:hAnsi="Arial" w:cs="Arial"/>
              <w:sz w:val="22"/>
              <w:szCs w:val="22"/>
            </w:rPr>
            <w:t>11422</w:t>
          </w:r>
        </w:p>
        <w:p w14:paraId="7D870CE5" w14:textId="1F75394D" w:rsidR="00235CED" w:rsidRPr="003D7B76" w:rsidRDefault="00235CED" w:rsidP="003824D9">
          <w:pPr>
            <w:rPr>
              <w:rFonts w:ascii="Arial" w:hAnsi="Arial" w:cs="Arial"/>
              <w:sz w:val="22"/>
              <w:szCs w:val="22"/>
            </w:rPr>
          </w:pPr>
          <w:r w:rsidRPr="003D7B76">
            <w:rPr>
              <w:rFonts w:ascii="Arial" w:hAnsi="Arial" w:cs="Arial"/>
              <w:sz w:val="22"/>
              <w:szCs w:val="22"/>
            </w:rPr>
            <w:t>Module code: BMHP5016</w:t>
          </w:r>
        </w:p>
        <w:p w14:paraId="533B1EE0" w14:textId="4F0B0949" w:rsidR="00235CED" w:rsidRPr="003D7B76" w:rsidRDefault="00F16375" w:rsidP="003824D9">
          <w:pPr>
            <w:rPr>
              <w:rFonts w:ascii="Arial" w:hAnsi="Arial" w:cs="Arial"/>
              <w:sz w:val="22"/>
              <w:szCs w:val="22"/>
            </w:rPr>
          </w:pPr>
          <w:r w:rsidRPr="003D7B76">
            <w:rPr>
              <w:rFonts w:ascii="Arial" w:hAnsi="Arial" w:cs="Arial"/>
              <w:sz w:val="22"/>
              <w:szCs w:val="22"/>
            </w:rPr>
            <w:t xml:space="preserve">Principles of Health and </w:t>
          </w:r>
          <w:r w:rsidR="004B7600" w:rsidRPr="003D7B76">
            <w:rPr>
              <w:rFonts w:ascii="Arial" w:hAnsi="Arial" w:cs="Arial"/>
              <w:sz w:val="22"/>
              <w:szCs w:val="22"/>
            </w:rPr>
            <w:t>Social Care</w:t>
          </w:r>
          <w:r w:rsidRPr="003D7B76">
            <w:rPr>
              <w:rFonts w:ascii="Arial" w:hAnsi="Arial" w:cs="Arial"/>
              <w:sz w:val="22"/>
              <w:szCs w:val="22"/>
            </w:rPr>
            <w:t xml:space="preserve"> </w:t>
          </w:r>
          <w:r w:rsidR="004B7600" w:rsidRPr="003D7B76">
            <w:rPr>
              <w:rFonts w:ascii="Arial" w:hAnsi="Arial" w:cs="Arial"/>
              <w:sz w:val="22"/>
              <w:szCs w:val="22"/>
            </w:rPr>
            <w:t>Practice</w:t>
          </w:r>
        </w:p>
        <w:p w14:paraId="3FF3A55F" w14:textId="179EB5A9" w:rsidR="004B7600" w:rsidRPr="003D7B76" w:rsidRDefault="004B7600" w:rsidP="003824D9">
          <w:pPr>
            <w:rPr>
              <w:rFonts w:ascii="Arial" w:hAnsi="Arial" w:cs="Arial"/>
              <w:sz w:val="22"/>
              <w:szCs w:val="22"/>
            </w:rPr>
          </w:pPr>
          <w:r w:rsidRPr="003D7B76">
            <w:rPr>
              <w:rFonts w:ascii="Arial" w:hAnsi="Arial" w:cs="Arial"/>
              <w:sz w:val="22"/>
              <w:szCs w:val="22"/>
            </w:rPr>
            <w:t>Lecturer name: Farrah Islam</w:t>
          </w:r>
        </w:p>
        <w:p w14:paraId="638654FC" w14:textId="1631A10E" w:rsidR="004B7600" w:rsidRPr="003D7B76" w:rsidRDefault="008B3B4B" w:rsidP="003824D9">
          <w:pPr>
            <w:rPr>
              <w:rFonts w:ascii="Arial" w:hAnsi="Arial" w:cs="Arial"/>
              <w:sz w:val="22"/>
              <w:szCs w:val="22"/>
            </w:rPr>
          </w:pPr>
          <w:r w:rsidRPr="003D7B76">
            <w:rPr>
              <w:rFonts w:ascii="Arial" w:hAnsi="Arial" w:cs="Arial"/>
              <w:sz w:val="22"/>
              <w:szCs w:val="22"/>
            </w:rPr>
            <w:t>Assignment title:</w:t>
          </w:r>
        </w:p>
        <w:p w14:paraId="51EC877E" w14:textId="30BE34FA" w:rsidR="008B3B4B" w:rsidRPr="003D7B76" w:rsidRDefault="00BB7905" w:rsidP="003824D9">
          <w:pPr>
            <w:rPr>
              <w:rFonts w:ascii="Arial" w:hAnsi="Arial" w:cs="Arial"/>
              <w:sz w:val="22"/>
              <w:szCs w:val="22"/>
            </w:rPr>
          </w:pPr>
          <w:r w:rsidRPr="003D7B76">
            <w:rPr>
              <w:rFonts w:ascii="Arial" w:hAnsi="Arial" w:cs="Arial"/>
              <w:sz w:val="22"/>
              <w:szCs w:val="22"/>
            </w:rPr>
            <w:t>Component 2: written report</w:t>
          </w:r>
        </w:p>
        <w:p w14:paraId="670F0EF4" w14:textId="77777777" w:rsidR="00F16375" w:rsidRPr="003D7B76" w:rsidRDefault="00F16375" w:rsidP="003824D9">
          <w:pPr>
            <w:rPr>
              <w:rFonts w:ascii="Arial" w:hAnsi="Arial" w:cs="Arial"/>
              <w:sz w:val="22"/>
              <w:szCs w:val="22"/>
            </w:rPr>
          </w:pPr>
        </w:p>
        <w:p w14:paraId="35335545" w14:textId="1F04F295" w:rsidR="00E830E2" w:rsidRPr="003D7B76" w:rsidRDefault="00E830E2">
          <w:pPr>
            <w:pStyle w:val="NoSpacing"/>
            <w:spacing w:before="480"/>
            <w:jc w:val="center"/>
            <w:rPr>
              <w:color w:val="156082" w:themeColor="accent1"/>
            </w:rPr>
          </w:pPr>
        </w:p>
        <w:p w14:paraId="3160B636" w14:textId="27DD21A7" w:rsidR="00E830E2" w:rsidRPr="003D7B76" w:rsidRDefault="00E830E2">
          <w:pPr>
            <w:rPr>
              <w:rFonts w:asciiTheme="majorHAnsi" w:eastAsiaTheme="majorEastAsia" w:hAnsiTheme="majorHAnsi" w:cstheme="majorBidi"/>
              <w:color w:val="0F4761" w:themeColor="accent1" w:themeShade="BF"/>
              <w:kern w:val="0"/>
              <w:sz w:val="22"/>
              <w:szCs w:val="22"/>
              <w:lang w:val="en-US"/>
              <w14:ligatures w14:val="none"/>
            </w:rPr>
          </w:pPr>
          <w:r w:rsidRPr="003D7B76">
            <w:rPr>
              <w:noProof/>
              <w:color w:val="156082" w:themeColor="accent1"/>
              <w:sz w:val="22"/>
              <w:szCs w:val="22"/>
            </w:rPr>
            <mc:AlternateContent>
              <mc:Choice Requires="wps">
                <w:drawing>
                  <wp:anchor distT="0" distB="0" distL="114300" distR="114300" simplePos="0" relativeHeight="251659264" behindDoc="0" locked="0" layoutInCell="1" allowOverlap="1" wp14:anchorId="0E7D7FFF" wp14:editId="56EEF8F7">
                    <wp:simplePos x="0" y="0"/>
                    <wp:positionH relativeFrom="margin">
                      <wp:posOffset>-7620</wp:posOffset>
                    </wp:positionH>
                    <wp:positionV relativeFrom="page">
                      <wp:posOffset>6908800</wp:posOffset>
                    </wp:positionV>
                    <wp:extent cx="6553200" cy="557784"/>
                    <wp:effectExtent l="0" t="0" r="2540" b="317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A636E" w14:textId="3EDE95CE" w:rsidR="00E830E2" w:rsidRDefault="00E830E2">
                                <w:pPr>
                                  <w:pStyle w:val="NoSpacing"/>
                                  <w:jc w:val="center"/>
                                  <w:rPr>
                                    <w:color w:val="156082" w:themeColor="accent1"/>
                                  </w:rPr>
                                </w:pPr>
                              </w:p>
                              <w:p w14:paraId="58B54468" w14:textId="07650D42" w:rsidR="00E830E2" w:rsidRDefault="00E830E2">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D7FFF" id="_x0000_t202" coordsize="21600,21600" o:spt="202" path="m,l,21600r21600,l21600,xe">
                    <v:stroke joinstyle="miter"/>
                    <v:path gradientshapeok="t" o:connecttype="rect"/>
                  </v:shapetype>
                  <v:shape id="Text Box 146" o:spid="_x0000_s1026" type="#_x0000_t202" style="position:absolute;margin-left:-.6pt;margin-top:544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" filled="f" stroked="f" strokeweight=".5pt">
                    <v:textbox style="mso-fit-shape-to-text:t" inset="0,0,0,0">
                      <w:txbxContent>
                        <w:p w14:paraId="39AA636E" w14:textId="3EDE95CE" w:rsidR="00E830E2" w:rsidRDefault="00E830E2">
                          <w:pPr>
                            <w:pStyle w:val="NoSpacing"/>
                            <w:jc w:val="center"/>
                            <w:rPr>
                              <w:color w:val="156082" w:themeColor="accent1"/>
                            </w:rPr>
                          </w:pPr>
                        </w:p>
                        <w:p w14:paraId="58B54468" w14:textId="07650D42" w:rsidR="00E830E2" w:rsidRDefault="00E830E2">
                          <w:pPr>
                            <w:pStyle w:val="NoSpacing"/>
                            <w:jc w:val="center"/>
                            <w:rPr>
                              <w:color w:val="156082" w:themeColor="accent1"/>
                            </w:rPr>
                          </w:pPr>
                        </w:p>
                      </w:txbxContent>
                    </v:textbox>
                    <w10:wrap anchorx="margin" anchory="page"/>
                  </v:shape>
                </w:pict>
              </mc:Fallback>
            </mc:AlternateContent>
          </w:r>
          <w:r w:rsidRPr="003D7B76">
            <w:rPr>
              <w:sz w:val="22"/>
              <w:szCs w:val="22"/>
            </w:rPr>
            <w:br w:type="page"/>
          </w:r>
        </w:p>
      </w:sdtContent>
    </w:sdt>
    <w:sdt>
      <w:sdtPr>
        <w:rPr>
          <w:rFonts w:asciiTheme="minorHAnsi" w:eastAsiaTheme="minorHAnsi" w:hAnsiTheme="minorHAnsi" w:cstheme="minorBidi"/>
          <w:color w:val="auto"/>
          <w:kern w:val="2"/>
          <w:sz w:val="22"/>
          <w:szCs w:val="22"/>
          <w:lang w:val="en-GB"/>
          <w14:ligatures w14:val="standardContextual"/>
        </w:rPr>
        <w:id w:val="-1537110628"/>
        <w:docPartObj>
          <w:docPartGallery w:val="Table of Contents"/>
          <w:docPartUnique/>
        </w:docPartObj>
      </w:sdtPr>
      <w:sdtEndPr>
        <w:rPr>
          <w:b/>
          <w:bCs/>
          <w:noProof/>
        </w:rPr>
      </w:sdtEndPr>
      <w:sdtContent>
        <w:p w14:paraId="68A52810" w14:textId="26DE188E" w:rsidR="00E830E2" w:rsidRPr="003D7B76" w:rsidRDefault="00E830E2" w:rsidP="00E830E2">
          <w:pPr>
            <w:pStyle w:val="TOCHeading"/>
            <w:spacing w:line="360" w:lineRule="auto"/>
            <w:rPr>
              <w:rFonts w:ascii="Arial" w:hAnsi="Arial" w:cs="Arial"/>
              <w:sz w:val="22"/>
              <w:szCs w:val="22"/>
            </w:rPr>
          </w:pPr>
          <w:r w:rsidRPr="003D7B76">
            <w:rPr>
              <w:rFonts w:ascii="Arial" w:hAnsi="Arial" w:cs="Arial"/>
              <w:sz w:val="22"/>
              <w:szCs w:val="22"/>
            </w:rPr>
            <w:t>Contents</w:t>
          </w:r>
        </w:p>
        <w:p w14:paraId="5601AC1D" w14:textId="0212CFAA" w:rsidR="00E830E2" w:rsidRPr="003D7B76" w:rsidRDefault="00E830E2" w:rsidP="00E830E2">
          <w:pPr>
            <w:pStyle w:val="TOC1"/>
            <w:tabs>
              <w:tab w:val="right" w:leader="dot" w:pos="9016"/>
            </w:tabs>
            <w:spacing w:line="360" w:lineRule="auto"/>
            <w:rPr>
              <w:rFonts w:ascii="Arial" w:hAnsi="Arial" w:cs="Arial"/>
              <w:noProof/>
              <w:sz w:val="22"/>
              <w:szCs w:val="22"/>
            </w:rPr>
          </w:pPr>
          <w:r w:rsidRPr="003D7B76">
            <w:rPr>
              <w:rFonts w:ascii="Arial" w:hAnsi="Arial" w:cs="Arial"/>
              <w:sz w:val="22"/>
              <w:szCs w:val="22"/>
            </w:rPr>
            <w:fldChar w:fldCharType="begin"/>
          </w:r>
          <w:r w:rsidRPr="003D7B76">
            <w:rPr>
              <w:rFonts w:ascii="Arial" w:hAnsi="Arial" w:cs="Arial"/>
              <w:sz w:val="22"/>
              <w:szCs w:val="22"/>
            </w:rPr>
            <w:instrText xml:space="preserve"> TOC \o "1-3" \h \z \u </w:instrText>
          </w:r>
          <w:r w:rsidRPr="003D7B76">
            <w:rPr>
              <w:rFonts w:ascii="Arial" w:hAnsi="Arial" w:cs="Arial"/>
              <w:sz w:val="22"/>
              <w:szCs w:val="22"/>
            </w:rPr>
            <w:fldChar w:fldCharType="separate"/>
          </w:r>
          <w:hyperlink w:anchor="_Toc212591877" w:history="1">
            <w:r w:rsidRPr="003D7B76">
              <w:rPr>
                <w:rStyle w:val="Hyperlink"/>
                <w:rFonts w:ascii="Arial" w:hAnsi="Arial" w:cs="Arial"/>
                <w:noProof/>
                <w:sz w:val="22"/>
                <w:szCs w:val="22"/>
              </w:rPr>
              <w:t>Abstract</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_Toc212591877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2</w:t>
            </w:r>
            <w:r w:rsidRPr="003D7B76">
              <w:rPr>
                <w:rFonts w:ascii="Arial" w:hAnsi="Arial" w:cs="Arial"/>
                <w:noProof/>
                <w:webHidden/>
                <w:sz w:val="22"/>
                <w:szCs w:val="22"/>
              </w:rPr>
              <w:fldChar w:fldCharType="end"/>
            </w:r>
          </w:hyperlink>
        </w:p>
        <w:p w14:paraId="1934BD10" w14:textId="72C2F8C3"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78" w:history="1">
            <w:r w:rsidRPr="003D7B76">
              <w:rPr>
                <w:rStyle w:val="Hyperlink"/>
                <w:rFonts w:ascii="Arial" w:hAnsi="Arial" w:cs="Arial"/>
                <w:noProof/>
                <w:sz w:val="22"/>
                <w:szCs w:val="22"/>
              </w:rPr>
              <w:t>Introduction</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_Toc212591878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2</w:t>
            </w:r>
            <w:r w:rsidRPr="003D7B76">
              <w:rPr>
                <w:rFonts w:ascii="Arial" w:hAnsi="Arial" w:cs="Arial"/>
                <w:noProof/>
                <w:webHidden/>
                <w:sz w:val="22"/>
                <w:szCs w:val="22"/>
              </w:rPr>
              <w:fldChar w:fldCharType="end"/>
            </w:r>
          </w:hyperlink>
        </w:p>
        <w:p w14:paraId="1745D134" w14:textId="5010DB4D"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79" w:history="1">
            <w:r w:rsidRPr="003D7B76">
              <w:rPr>
                <w:rStyle w:val="Hyperlink"/>
                <w:rFonts w:ascii="Arial" w:hAnsi="Arial" w:cs="Arial"/>
                <w:noProof/>
                <w:sz w:val="22"/>
                <w:szCs w:val="22"/>
              </w:rPr>
              <w:t>Definition of Person-Centred Care (PCC)</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_Toc212591879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3</w:t>
            </w:r>
            <w:r w:rsidRPr="003D7B76">
              <w:rPr>
                <w:rFonts w:ascii="Arial" w:hAnsi="Arial" w:cs="Arial"/>
                <w:noProof/>
                <w:webHidden/>
                <w:sz w:val="22"/>
                <w:szCs w:val="22"/>
              </w:rPr>
              <w:fldChar w:fldCharType="end"/>
            </w:r>
          </w:hyperlink>
        </w:p>
        <w:p w14:paraId="6C7768D1" w14:textId="446B9555"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0" w:history="1">
            <w:r w:rsidRPr="003D7B76">
              <w:rPr>
                <w:rStyle w:val="Hyperlink"/>
                <w:rFonts w:ascii="Arial" w:hAnsi="Arial" w:cs="Arial"/>
                <w:noProof/>
                <w:sz w:val="22"/>
                <w:szCs w:val="22"/>
              </w:rPr>
              <w:t>Relevant Theory/Model: Kitwood’s Personhood Theory</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_Toc212591880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3</w:t>
            </w:r>
            <w:r w:rsidRPr="003D7B76">
              <w:rPr>
                <w:rFonts w:ascii="Arial" w:hAnsi="Arial" w:cs="Arial"/>
                <w:noProof/>
                <w:webHidden/>
                <w:sz w:val="22"/>
                <w:szCs w:val="22"/>
              </w:rPr>
              <w:fldChar w:fldCharType="end"/>
            </w:r>
          </w:hyperlink>
        </w:p>
        <w:p w14:paraId="3BFD0B38" w14:textId="0E735391"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1" w:history="1">
            <w:r w:rsidRPr="003D7B76">
              <w:rPr>
                <w:rStyle w:val="Hyperlink"/>
                <w:rFonts w:ascii="Arial" w:hAnsi="Arial" w:cs="Arial"/>
                <w:noProof/>
                <w:sz w:val="22"/>
                <w:szCs w:val="22"/>
              </w:rPr>
              <w:t>Ethical Fundamentals</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_Toc212591881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5</w:t>
            </w:r>
            <w:r w:rsidRPr="003D7B76">
              <w:rPr>
                <w:rFonts w:ascii="Arial" w:hAnsi="Arial" w:cs="Arial"/>
                <w:noProof/>
                <w:webHidden/>
                <w:sz w:val="22"/>
                <w:szCs w:val="22"/>
              </w:rPr>
              <w:fldChar w:fldCharType="end"/>
            </w:r>
          </w:hyperlink>
        </w:p>
        <w:p w14:paraId="75A42F65" w14:textId="7AAAE2A2"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2" w:history="1">
            <w:r w:rsidRPr="003D7B76">
              <w:rPr>
                <w:rStyle w:val="Hyperlink"/>
                <w:rFonts w:ascii="Arial" w:hAnsi="Arial" w:cs="Arial"/>
                <w:noProof/>
                <w:sz w:val="22"/>
                <w:szCs w:val="22"/>
              </w:rPr>
              <w:t>Evaluation of Partnership Working</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_Toc212591882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6</w:t>
            </w:r>
            <w:r w:rsidRPr="003D7B76">
              <w:rPr>
                <w:rFonts w:ascii="Arial" w:hAnsi="Arial" w:cs="Arial"/>
                <w:noProof/>
                <w:webHidden/>
                <w:sz w:val="22"/>
                <w:szCs w:val="22"/>
              </w:rPr>
              <w:fldChar w:fldCharType="end"/>
            </w:r>
          </w:hyperlink>
        </w:p>
        <w:p w14:paraId="36BB1D8B" w14:textId="15C4B7DF"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3" w:history="1">
            <w:r w:rsidRPr="003D7B76">
              <w:rPr>
                <w:rStyle w:val="Hyperlink"/>
                <w:rFonts w:ascii="Arial" w:hAnsi="Arial" w:cs="Arial"/>
                <w:noProof/>
                <w:sz w:val="22"/>
                <w:szCs w:val="22"/>
              </w:rPr>
              <w:t>Policy and Legislation</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_Toc212591883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7</w:t>
            </w:r>
            <w:r w:rsidRPr="003D7B76">
              <w:rPr>
                <w:rFonts w:ascii="Arial" w:hAnsi="Arial" w:cs="Arial"/>
                <w:noProof/>
                <w:webHidden/>
                <w:sz w:val="22"/>
                <w:szCs w:val="22"/>
              </w:rPr>
              <w:fldChar w:fldCharType="end"/>
            </w:r>
          </w:hyperlink>
        </w:p>
        <w:p w14:paraId="43692E0B" w14:textId="31B4A19F"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4" w:history="1">
            <w:r w:rsidRPr="003D7B76">
              <w:rPr>
                <w:rStyle w:val="Hyperlink"/>
                <w:rFonts w:ascii="Arial" w:hAnsi="Arial" w:cs="Arial"/>
                <w:noProof/>
                <w:sz w:val="22"/>
                <w:szCs w:val="22"/>
              </w:rPr>
              <w:t>Recommendations</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_Toc212591884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8</w:t>
            </w:r>
            <w:r w:rsidRPr="003D7B76">
              <w:rPr>
                <w:rFonts w:ascii="Arial" w:hAnsi="Arial" w:cs="Arial"/>
                <w:noProof/>
                <w:webHidden/>
                <w:sz w:val="22"/>
                <w:szCs w:val="22"/>
              </w:rPr>
              <w:fldChar w:fldCharType="end"/>
            </w:r>
          </w:hyperlink>
        </w:p>
        <w:p w14:paraId="35183FF4" w14:textId="69F985EF"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5" w:history="1">
            <w:r w:rsidRPr="003D7B76">
              <w:rPr>
                <w:rStyle w:val="Hyperlink"/>
                <w:rFonts w:ascii="Arial" w:hAnsi="Arial" w:cs="Arial"/>
                <w:noProof/>
                <w:sz w:val="22"/>
                <w:szCs w:val="22"/>
              </w:rPr>
              <w:t>Conclusion</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_Toc212591885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9</w:t>
            </w:r>
            <w:r w:rsidRPr="003D7B76">
              <w:rPr>
                <w:rFonts w:ascii="Arial" w:hAnsi="Arial" w:cs="Arial"/>
                <w:noProof/>
                <w:webHidden/>
                <w:sz w:val="22"/>
                <w:szCs w:val="22"/>
              </w:rPr>
              <w:fldChar w:fldCharType="end"/>
            </w:r>
          </w:hyperlink>
        </w:p>
        <w:p w14:paraId="7E5A32F4" w14:textId="5F94531D" w:rsidR="00E830E2" w:rsidRPr="003D7B76" w:rsidRDefault="00E830E2" w:rsidP="00E830E2">
          <w:pPr>
            <w:pStyle w:val="TOC1"/>
            <w:tabs>
              <w:tab w:val="right" w:leader="dot" w:pos="9016"/>
            </w:tabs>
            <w:spacing w:line="360" w:lineRule="auto"/>
            <w:rPr>
              <w:rFonts w:ascii="Arial" w:hAnsi="Arial" w:cs="Arial"/>
              <w:noProof/>
              <w:sz w:val="22"/>
              <w:szCs w:val="22"/>
            </w:rPr>
          </w:pPr>
          <w:hyperlink w:anchor="_Toc212591886" w:history="1">
            <w:r w:rsidRPr="003D7B76">
              <w:rPr>
                <w:rStyle w:val="Hyperlink"/>
                <w:rFonts w:ascii="Arial" w:hAnsi="Arial" w:cs="Arial"/>
                <w:noProof/>
                <w:sz w:val="22"/>
                <w:szCs w:val="22"/>
              </w:rPr>
              <w:t>Refrences</w:t>
            </w:r>
            <w:r w:rsidRPr="003D7B76">
              <w:rPr>
                <w:rFonts w:ascii="Arial" w:hAnsi="Arial" w:cs="Arial"/>
                <w:noProof/>
                <w:webHidden/>
                <w:sz w:val="22"/>
                <w:szCs w:val="22"/>
              </w:rPr>
              <w:tab/>
            </w:r>
            <w:r w:rsidRPr="003D7B76">
              <w:rPr>
                <w:rFonts w:ascii="Arial" w:hAnsi="Arial" w:cs="Arial"/>
                <w:noProof/>
                <w:webHidden/>
                <w:sz w:val="22"/>
                <w:szCs w:val="22"/>
              </w:rPr>
              <w:fldChar w:fldCharType="begin"/>
            </w:r>
            <w:r w:rsidRPr="003D7B76">
              <w:rPr>
                <w:rFonts w:ascii="Arial" w:hAnsi="Arial" w:cs="Arial"/>
                <w:noProof/>
                <w:webHidden/>
                <w:sz w:val="22"/>
                <w:szCs w:val="22"/>
              </w:rPr>
              <w:instrText xml:space="preserve"> PAGEREF _Toc212591886 \h </w:instrText>
            </w:r>
            <w:r w:rsidRPr="003D7B76">
              <w:rPr>
                <w:rFonts w:ascii="Arial" w:hAnsi="Arial" w:cs="Arial"/>
                <w:noProof/>
                <w:webHidden/>
                <w:sz w:val="22"/>
                <w:szCs w:val="22"/>
              </w:rPr>
            </w:r>
            <w:r w:rsidRPr="003D7B76">
              <w:rPr>
                <w:rFonts w:ascii="Arial" w:hAnsi="Arial" w:cs="Arial"/>
                <w:noProof/>
                <w:webHidden/>
                <w:sz w:val="22"/>
                <w:szCs w:val="22"/>
              </w:rPr>
              <w:fldChar w:fldCharType="separate"/>
            </w:r>
            <w:r w:rsidR="00D6056F" w:rsidRPr="003D7B76">
              <w:rPr>
                <w:rFonts w:ascii="Arial" w:hAnsi="Arial" w:cs="Arial"/>
                <w:noProof/>
                <w:webHidden/>
                <w:sz w:val="22"/>
                <w:szCs w:val="22"/>
              </w:rPr>
              <w:t>10</w:t>
            </w:r>
            <w:r w:rsidRPr="003D7B76">
              <w:rPr>
                <w:rFonts w:ascii="Arial" w:hAnsi="Arial" w:cs="Arial"/>
                <w:noProof/>
                <w:webHidden/>
                <w:sz w:val="22"/>
                <w:szCs w:val="22"/>
              </w:rPr>
              <w:fldChar w:fldCharType="end"/>
            </w:r>
          </w:hyperlink>
        </w:p>
        <w:p w14:paraId="22FECC26" w14:textId="4C45F5CF" w:rsidR="00E830E2" w:rsidRPr="003D7B76" w:rsidRDefault="00E830E2" w:rsidP="00E830E2">
          <w:pPr>
            <w:spacing w:line="360" w:lineRule="auto"/>
            <w:rPr>
              <w:sz w:val="22"/>
              <w:szCs w:val="22"/>
            </w:rPr>
          </w:pPr>
          <w:r w:rsidRPr="003D7B76">
            <w:rPr>
              <w:rFonts w:ascii="Arial" w:hAnsi="Arial" w:cs="Arial"/>
              <w:b/>
              <w:bCs/>
              <w:noProof/>
              <w:sz w:val="22"/>
              <w:szCs w:val="22"/>
            </w:rPr>
            <w:fldChar w:fldCharType="end"/>
          </w:r>
        </w:p>
      </w:sdtContent>
    </w:sdt>
    <w:p w14:paraId="5325B4D9" w14:textId="77777777" w:rsidR="00E830E2" w:rsidRPr="003D7B76" w:rsidRDefault="00E830E2">
      <w:pPr>
        <w:rPr>
          <w:rFonts w:asciiTheme="majorHAnsi" w:eastAsiaTheme="majorEastAsia" w:hAnsiTheme="majorHAnsi" w:cstheme="majorBidi"/>
          <w:color w:val="0F4761" w:themeColor="accent1" w:themeShade="BF"/>
          <w:sz w:val="22"/>
          <w:szCs w:val="22"/>
        </w:rPr>
      </w:pPr>
      <w:r w:rsidRPr="003D7B76">
        <w:rPr>
          <w:sz w:val="22"/>
          <w:szCs w:val="22"/>
        </w:rPr>
        <w:br w:type="page"/>
      </w:r>
    </w:p>
    <w:p w14:paraId="111E29A3" w14:textId="0B22DA84" w:rsidR="000C3E68" w:rsidRPr="003D7B76" w:rsidRDefault="000C3E68" w:rsidP="000C3E68">
      <w:pPr>
        <w:pStyle w:val="Heading1"/>
        <w:rPr>
          <w:color w:val="000000" w:themeColor="text1"/>
          <w:sz w:val="22"/>
          <w:szCs w:val="22"/>
        </w:rPr>
      </w:pPr>
      <w:bookmarkStart w:id="0" w:name="_Toc212591877"/>
      <w:r w:rsidRPr="003D7B76">
        <w:rPr>
          <w:color w:val="000000" w:themeColor="text1"/>
          <w:sz w:val="22"/>
          <w:szCs w:val="22"/>
        </w:rPr>
        <w:lastRenderedPageBreak/>
        <w:t>Abstract</w:t>
      </w:r>
      <w:bookmarkEnd w:id="0"/>
    </w:p>
    <w:p w14:paraId="4D301B1F" w14:textId="4D6C0395" w:rsidR="000C3E68" w:rsidRPr="003D7B76" w:rsidRDefault="000C3E68" w:rsidP="000C3E68">
      <w:pPr>
        <w:spacing w:line="360" w:lineRule="auto"/>
        <w:jc w:val="both"/>
        <w:rPr>
          <w:rFonts w:ascii="Arial" w:hAnsi="Arial"/>
          <w:sz w:val="22"/>
          <w:szCs w:val="22"/>
        </w:rPr>
      </w:pPr>
      <w:r w:rsidRPr="003D7B76">
        <w:rPr>
          <w:rFonts w:ascii="Arial" w:hAnsi="Arial"/>
          <w:sz w:val="22"/>
          <w:szCs w:val="22"/>
        </w:rPr>
        <w:t>This report looks at the importance of Person-Centred Care (PCC) and Partnership Working (PW) in health and social care, with a focus on the care home setting. PCC means treating people as individuals, respecting their dignity, and supporting their choices. PW is about health and social care professionals, families, and community services working together to improve care. The report uses</w:t>
      </w:r>
      <w:r w:rsidR="005F1B0A" w:rsidRPr="003D7B76">
        <w:rPr>
          <w:rFonts w:ascii="Arial" w:hAnsi="Arial"/>
          <w:sz w:val="22"/>
          <w:szCs w:val="22"/>
        </w:rPr>
        <w:t xml:space="preserve"> Tom</w:t>
      </w:r>
      <w:r w:rsidRPr="003D7B76">
        <w:rPr>
          <w:rFonts w:ascii="Arial" w:hAnsi="Arial"/>
          <w:sz w:val="22"/>
          <w:szCs w:val="22"/>
        </w:rPr>
        <w:t xml:space="preserve"> Kitwood’s </w:t>
      </w:r>
      <w:r w:rsidR="00C46A08" w:rsidRPr="003D7B76">
        <w:rPr>
          <w:rFonts w:ascii="Arial" w:hAnsi="Arial"/>
          <w:sz w:val="22"/>
          <w:szCs w:val="22"/>
        </w:rPr>
        <w:t>theory of personhood</w:t>
      </w:r>
      <w:r w:rsidRPr="003D7B76">
        <w:rPr>
          <w:rFonts w:ascii="Arial" w:hAnsi="Arial"/>
          <w:sz w:val="22"/>
          <w:szCs w:val="22"/>
        </w:rPr>
        <w:t>, which is widely applied in dementia care, to show how recognising the value and identity of each person can lead to better wellbeing and quality of life.</w:t>
      </w:r>
    </w:p>
    <w:p w14:paraId="498D43FC" w14:textId="698A1743" w:rsidR="000C3E68" w:rsidRPr="003D7B76" w:rsidRDefault="000C3E68" w:rsidP="000C3E68">
      <w:pPr>
        <w:spacing w:line="360" w:lineRule="auto"/>
        <w:jc w:val="both"/>
        <w:rPr>
          <w:rFonts w:ascii="Arial" w:hAnsi="Arial"/>
          <w:sz w:val="22"/>
          <w:szCs w:val="22"/>
        </w:rPr>
      </w:pPr>
      <w:r w:rsidRPr="003D7B76">
        <w:rPr>
          <w:rFonts w:ascii="Arial" w:hAnsi="Arial"/>
          <w:sz w:val="22"/>
          <w:szCs w:val="22"/>
        </w:rPr>
        <w:t>Findings show that PCC has many benefits, such as improved satisfaction, independence, and dignity for residents, but it also faces challenges</w:t>
      </w:r>
      <w:r w:rsidR="001629CE" w:rsidRPr="003D7B76">
        <w:rPr>
          <w:rFonts w:ascii="Arial" w:hAnsi="Arial"/>
          <w:sz w:val="22"/>
          <w:szCs w:val="22"/>
        </w:rPr>
        <w:t>,</w:t>
      </w:r>
      <w:r w:rsidRPr="003D7B76">
        <w:rPr>
          <w:rFonts w:ascii="Arial" w:hAnsi="Arial"/>
          <w:sz w:val="22"/>
          <w:szCs w:val="22"/>
        </w:rPr>
        <w:t xml:space="preserve"> including staff shortages, time pressures, and limited resources. Ethical principles such as autonomy, justice, and beneficence are central to good practice but can create dilemmas when safety and independence clash. Policies like the Care Act 2014 and the Health and Care Act 2022 support PCC and PW but are difficult to achieve fully in practice. Recommendations include better staff training, use of technology, stronger family involvement, and sustainable funding.</w:t>
      </w:r>
    </w:p>
    <w:p w14:paraId="2B6461E3" w14:textId="77777777" w:rsidR="000C3E68" w:rsidRPr="003D7B76" w:rsidRDefault="000C3E68" w:rsidP="000C3E68">
      <w:pPr>
        <w:pStyle w:val="Heading1"/>
        <w:rPr>
          <w:color w:val="000000" w:themeColor="text1"/>
          <w:sz w:val="22"/>
          <w:szCs w:val="22"/>
        </w:rPr>
      </w:pPr>
      <w:bookmarkStart w:id="1" w:name="_Toc212591878"/>
      <w:r w:rsidRPr="003D7B76">
        <w:rPr>
          <w:color w:val="000000" w:themeColor="text1"/>
          <w:sz w:val="22"/>
          <w:szCs w:val="22"/>
        </w:rPr>
        <w:t>Introduction</w:t>
      </w:r>
      <w:bookmarkEnd w:id="1"/>
    </w:p>
    <w:p w14:paraId="450BFE75" w14:textId="7303908A"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Person-Centred Care (PCC) is an approach that puts the individual at the heart of decision-making, ensuring their needs, values, and preferences shape the support they receive. It aims to provide dignity, respect, and independence in care </w:t>
      </w:r>
      <w:r w:rsidR="00136F7D" w:rsidRPr="003D7B76">
        <w:rPr>
          <w:rFonts w:ascii="Arial" w:hAnsi="Arial"/>
          <w:sz w:val="22"/>
          <w:szCs w:val="22"/>
        </w:rPr>
        <w:t>(Santana et al., 2018)</w:t>
      </w:r>
      <w:r w:rsidRPr="003D7B76">
        <w:rPr>
          <w:rFonts w:ascii="Arial" w:hAnsi="Arial"/>
          <w:sz w:val="22"/>
          <w:szCs w:val="22"/>
        </w:rPr>
        <w:t>. Partnership Working (PW) refers to health and social care professionals, families, and organisations working together to deliver coordinated and effective services. This teamwork is essential in the UK, where services are increasingly joined through Integrated Care Systems (ICS) to meet complex needs (NHS England, 2022).</w:t>
      </w:r>
    </w:p>
    <w:p w14:paraId="782DA2CC" w14:textId="428E52C6"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In </w:t>
      </w:r>
      <w:r w:rsidR="00E71F64" w:rsidRPr="003D7B76">
        <w:rPr>
          <w:rFonts w:ascii="Arial" w:hAnsi="Arial"/>
          <w:sz w:val="22"/>
          <w:szCs w:val="22"/>
        </w:rPr>
        <w:t xml:space="preserve">the </w:t>
      </w:r>
      <w:r w:rsidRPr="003D7B76">
        <w:rPr>
          <w:rFonts w:ascii="Arial" w:hAnsi="Arial"/>
          <w:sz w:val="22"/>
          <w:szCs w:val="22"/>
        </w:rPr>
        <w:t>UK</w:t>
      </w:r>
      <w:r w:rsidR="00E71F64" w:rsidRPr="003D7B76">
        <w:rPr>
          <w:rFonts w:ascii="Arial" w:hAnsi="Arial"/>
          <w:sz w:val="22"/>
          <w:szCs w:val="22"/>
        </w:rPr>
        <w:t>, health and social care, PCCs, and PWs are vital due to</w:t>
      </w:r>
      <w:r w:rsidRPr="003D7B76">
        <w:rPr>
          <w:rFonts w:ascii="Arial" w:hAnsi="Arial"/>
          <w:sz w:val="22"/>
          <w:szCs w:val="22"/>
        </w:rPr>
        <w:t xml:space="preserve"> growing demand, limited resources, and the need to improve </w:t>
      </w:r>
      <w:r w:rsidR="00E71F64" w:rsidRPr="003D7B76">
        <w:rPr>
          <w:rFonts w:ascii="Arial" w:hAnsi="Arial"/>
          <w:sz w:val="22"/>
          <w:szCs w:val="22"/>
        </w:rPr>
        <w:t xml:space="preserve">the </w:t>
      </w:r>
      <w:r w:rsidRPr="003D7B76">
        <w:rPr>
          <w:rFonts w:ascii="Arial" w:hAnsi="Arial"/>
          <w:sz w:val="22"/>
          <w:szCs w:val="22"/>
        </w:rPr>
        <w:t xml:space="preserve">quality of life for service users. For older adults in care homes, these approaches are especially important, as many residents live with long-term conditions such as dementia, requiring personalised and collaborative care </w:t>
      </w:r>
      <w:r w:rsidR="00A73E87" w:rsidRPr="003D7B76">
        <w:rPr>
          <w:rFonts w:ascii="Arial" w:hAnsi="Arial"/>
          <w:sz w:val="22"/>
          <w:szCs w:val="22"/>
        </w:rPr>
        <w:t>(Lee et al., 2022)</w:t>
      </w:r>
      <w:r w:rsidRPr="003D7B76">
        <w:rPr>
          <w:rFonts w:ascii="Arial" w:hAnsi="Arial"/>
          <w:sz w:val="22"/>
          <w:szCs w:val="22"/>
        </w:rPr>
        <w:t>.</w:t>
      </w:r>
    </w:p>
    <w:p w14:paraId="09CB5337" w14:textId="3BC109D6"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The purpose of this report is to evaluate PCC and PW in the care home setting, using </w:t>
      </w:r>
      <w:proofErr w:type="spellStart"/>
      <w:r w:rsidRPr="003D7B76">
        <w:rPr>
          <w:rFonts w:ascii="Arial" w:hAnsi="Arial"/>
          <w:sz w:val="22"/>
          <w:szCs w:val="22"/>
        </w:rPr>
        <w:t>Kitwood’s</w:t>
      </w:r>
      <w:proofErr w:type="spellEnd"/>
      <w:r w:rsidRPr="003D7B76">
        <w:rPr>
          <w:rFonts w:ascii="Arial" w:hAnsi="Arial"/>
          <w:sz w:val="22"/>
          <w:szCs w:val="22"/>
        </w:rPr>
        <w:t xml:space="preserve"> Personhood theory as a framework. The report will discuss the definition of PCC, relevant theory, ethical principles, evaluation of partnership working, and the influence of policies and legislation. Finally, recommendations for improving practice will be presented.</w:t>
      </w:r>
    </w:p>
    <w:p w14:paraId="59044424" w14:textId="77777777" w:rsidR="000C3E68" w:rsidRPr="003D7B76" w:rsidRDefault="000C3E68" w:rsidP="000C3E68">
      <w:pPr>
        <w:pStyle w:val="Heading1"/>
        <w:rPr>
          <w:color w:val="000000" w:themeColor="text1"/>
          <w:sz w:val="22"/>
          <w:szCs w:val="22"/>
        </w:rPr>
      </w:pPr>
      <w:bookmarkStart w:id="2" w:name="_Toc212591879"/>
      <w:r w:rsidRPr="003D7B76">
        <w:rPr>
          <w:color w:val="000000" w:themeColor="text1"/>
          <w:sz w:val="22"/>
          <w:szCs w:val="22"/>
        </w:rPr>
        <w:lastRenderedPageBreak/>
        <w:t>Definition of Person-Centred Care (PCC)</w:t>
      </w:r>
      <w:bookmarkEnd w:id="2"/>
    </w:p>
    <w:p w14:paraId="13B6FCA9" w14:textId="77777777" w:rsidR="000C3E68" w:rsidRPr="003D7B76" w:rsidRDefault="000C3E68" w:rsidP="000C3E68">
      <w:pPr>
        <w:spacing w:line="360" w:lineRule="auto"/>
        <w:jc w:val="both"/>
        <w:rPr>
          <w:rFonts w:ascii="Arial" w:hAnsi="Arial"/>
          <w:sz w:val="22"/>
          <w:szCs w:val="22"/>
        </w:rPr>
      </w:pPr>
      <w:r w:rsidRPr="003D7B76">
        <w:rPr>
          <w:rFonts w:ascii="Arial" w:hAnsi="Arial"/>
          <w:sz w:val="22"/>
          <w:szCs w:val="22"/>
        </w:rPr>
        <w:t>Person-Centred Care (PCC) is about treating each person as an individual and making sure care is based on their needs, values, and preferences. According to the Health Foundation framework, PCC has four key principles: treating people with dignity and respect, offering coordinated care, giving personalised support, and helping people build on their strengths to live fulfilling lives (The Health Foundation, 2016).</w:t>
      </w:r>
    </w:p>
    <w:p w14:paraId="6E07A23A" w14:textId="1E1AE61F"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The benefits of PCC are well recognised in research. It can improve dignity and self-esteem, increase satisfaction with services, and lead to better health and </w:t>
      </w:r>
      <w:r w:rsidR="00F84E88" w:rsidRPr="003D7B76">
        <w:rPr>
          <w:rFonts w:ascii="Arial" w:hAnsi="Arial"/>
          <w:sz w:val="22"/>
          <w:szCs w:val="22"/>
        </w:rPr>
        <w:t>well-being</w:t>
      </w:r>
      <w:r w:rsidRPr="003D7B76">
        <w:rPr>
          <w:rFonts w:ascii="Arial" w:hAnsi="Arial"/>
          <w:sz w:val="22"/>
          <w:szCs w:val="22"/>
        </w:rPr>
        <w:t xml:space="preserve"> outcomes </w:t>
      </w:r>
      <w:r w:rsidR="00136F7D" w:rsidRPr="003D7B76">
        <w:rPr>
          <w:rFonts w:ascii="Arial" w:hAnsi="Arial"/>
          <w:sz w:val="22"/>
          <w:szCs w:val="22"/>
        </w:rPr>
        <w:t>(Santana et al., 2018)</w:t>
      </w:r>
      <w:r w:rsidRPr="003D7B76">
        <w:rPr>
          <w:rFonts w:ascii="Arial" w:hAnsi="Arial"/>
          <w:sz w:val="22"/>
          <w:szCs w:val="22"/>
        </w:rPr>
        <w:t xml:space="preserve">. In care homes, this may mean respecting residents’ routines, </w:t>
      </w:r>
      <w:proofErr w:type="gramStart"/>
      <w:r w:rsidRPr="003D7B76">
        <w:rPr>
          <w:rFonts w:ascii="Arial" w:hAnsi="Arial"/>
          <w:sz w:val="22"/>
          <w:szCs w:val="22"/>
        </w:rPr>
        <w:t>supporting</w:t>
      </w:r>
      <w:proofErr w:type="gramEnd"/>
      <w:r w:rsidRPr="003D7B76">
        <w:rPr>
          <w:rFonts w:ascii="Arial" w:hAnsi="Arial"/>
          <w:sz w:val="22"/>
          <w:szCs w:val="22"/>
        </w:rPr>
        <w:t xml:space="preserve"> independence, and involving families in decisions. For people with dementia, PCC has been shown to reduce distress and improve quality of life </w:t>
      </w:r>
      <w:r w:rsidR="00A73E87" w:rsidRPr="003D7B76">
        <w:rPr>
          <w:rFonts w:ascii="Arial" w:hAnsi="Arial"/>
          <w:sz w:val="22"/>
          <w:szCs w:val="22"/>
        </w:rPr>
        <w:t>(Lee et al., 2022)</w:t>
      </w:r>
      <w:r w:rsidRPr="003D7B76">
        <w:rPr>
          <w:rFonts w:ascii="Arial" w:hAnsi="Arial"/>
          <w:sz w:val="22"/>
          <w:szCs w:val="22"/>
        </w:rPr>
        <w:t>.</w:t>
      </w:r>
    </w:p>
    <w:p w14:paraId="35E78C2C" w14:textId="35A0E178"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However, PCC also faces challenges in practice. Staff shortages, limited time, and high workloads can make it difficult to deliver truly personalised care </w:t>
      </w:r>
      <w:r w:rsidR="00043876" w:rsidRPr="003D7B76">
        <w:rPr>
          <w:rFonts w:ascii="Arial" w:hAnsi="Arial"/>
          <w:sz w:val="22"/>
          <w:szCs w:val="22"/>
        </w:rPr>
        <w:t>(Mitchell et al., 2022)</w:t>
      </w:r>
      <w:r w:rsidRPr="003D7B76">
        <w:rPr>
          <w:rFonts w:ascii="Arial" w:hAnsi="Arial"/>
          <w:sz w:val="22"/>
          <w:szCs w:val="22"/>
        </w:rPr>
        <w:t xml:space="preserve">. Some organisations may also resist change due to traditional task-focused approaches or </w:t>
      </w:r>
      <w:r w:rsidR="00F84E88" w:rsidRPr="003D7B76">
        <w:rPr>
          <w:rFonts w:ascii="Arial" w:hAnsi="Arial"/>
          <w:sz w:val="22"/>
          <w:szCs w:val="22"/>
        </w:rPr>
        <w:t xml:space="preserve">a </w:t>
      </w:r>
      <w:r w:rsidRPr="003D7B76">
        <w:rPr>
          <w:rFonts w:ascii="Arial" w:hAnsi="Arial"/>
          <w:sz w:val="22"/>
          <w:szCs w:val="22"/>
        </w:rPr>
        <w:t xml:space="preserve">lack of training </w:t>
      </w:r>
      <w:r w:rsidR="003836B1" w:rsidRPr="003D7B76">
        <w:rPr>
          <w:rFonts w:ascii="Arial" w:hAnsi="Arial"/>
          <w:sz w:val="22"/>
          <w:szCs w:val="22"/>
        </w:rPr>
        <w:t>(Kloos et al., 2020)</w:t>
      </w:r>
      <w:r w:rsidRPr="003D7B76">
        <w:rPr>
          <w:rFonts w:ascii="Arial" w:hAnsi="Arial"/>
          <w:sz w:val="22"/>
          <w:szCs w:val="22"/>
        </w:rPr>
        <w:t>. These barriers are especially visible in care homes, where staff may struggle to balance safety, efficiency, and individual choice.</w:t>
      </w:r>
    </w:p>
    <w:p w14:paraId="0EF94CA1" w14:textId="249B19FA"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In the care home context, PCC is vital for supporting older adults, particularly those with dementia or nearing </w:t>
      </w:r>
      <w:r w:rsidR="00F84E88" w:rsidRPr="003D7B76">
        <w:rPr>
          <w:rFonts w:ascii="Arial" w:hAnsi="Arial"/>
          <w:sz w:val="22"/>
          <w:szCs w:val="22"/>
        </w:rPr>
        <w:t>the end of life</w:t>
      </w:r>
      <w:r w:rsidRPr="003D7B76">
        <w:rPr>
          <w:rFonts w:ascii="Arial" w:hAnsi="Arial"/>
          <w:sz w:val="22"/>
          <w:szCs w:val="22"/>
        </w:rPr>
        <w:t>. By focusing on dignity, respect, and meaningful choices, PCC helps ensure that residents are not only kept safe but also supported to live with comfort, identity, and value.</w:t>
      </w:r>
    </w:p>
    <w:p w14:paraId="0B3F6499" w14:textId="77777777" w:rsidR="000C3E68" w:rsidRPr="003D7B76" w:rsidRDefault="000C3E68" w:rsidP="000C3E68">
      <w:pPr>
        <w:pStyle w:val="Heading1"/>
        <w:rPr>
          <w:color w:val="000000" w:themeColor="text1"/>
          <w:sz w:val="22"/>
          <w:szCs w:val="22"/>
        </w:rPr>
      </w:pPr>
      <w:bookmarkStart w:id="3" w:name="_Toc212591880"/>
      <w:r w:rsidRPr="003D7B76">
        <w:rPr>
          <w:color w:val="000000" w:themeColor="text1"/>
          <w:sz w:val="22"/>
          <w:szCs w:val="22"/>
        </w:rPr>
        <w:t xml:space="preserve">Relevant Theory/Model: </w:t>
      </w:r>
      <w:proofErr w:type="spellStart"/>
      <w:r w:rsidRPr="003D7B76">
        <w:rPr>
          <w:color w:val="000000" w:themeColor="text1"/>
          <w:sz w:val="22"/>
          <w:szCs w:val="22"/>
        </w:rPr>
        <w:t>Kitwood’s</w:t>
      </w:r>
      <w:proofErr w:type="spellEnd"/>
      <w:r w:rsidRPr="003D7B76">
        <w:rPr>
          <w:color w:val="000000" w:themeColor="text1"/>
          <w:sz w:val="22"/>
          <w:szCs w:val="22"/>
        </w:rPr>
        <w:t xml:space="preserve"> Personhood Theory</w:t>
      </w:r>
      <w:bookmarkEnd w:id="3"/>
    </w:p>
    <w:p w14:paraId="1A02FB6E" w14:textId="0BC088FE"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Tom Kitwood’s Personhood Theory is one of the most important models in dementia care and is closely linked to Person-Centred Care. </w:t>
      </w:r>
      <w:proofErr w:type="spellStart"/>
      <w:r w:rsidRPr="003D7B76">
        <w:rPr>
          <w:rFonts w:ascii="Arial" w:hAnsi="Arial"/>
          <w:sz w:val="22"/>
          <w:szCs w:val="22"/>
        </w:rPr>
        <w:t>Kitwood</w:t>
      </w:r>
      <w:proofErr w:type="spellEnd"/>
      <w:r w:rsidRPr="003D7B76">
        <w:rPr>
          <w:rFonts w:ascii="Arial" w:hAnsi="Arial"/>
          <w:sz w:val="22"/>
          <w:szCs w:val="22"/>
        </w:rPr>
        <w:t xml:space="preserve"> argued that people with dementia should not be defined only by their illness but recognised as individuals with value, dignity, and identity (Fazio et al., 20</w:t>
      </w:r>
      <w:r w:rsidR="00910E58" w:rsidRPr="003D7B76">
        <w:rPr>
          <w:rFonts w:ascii="Arial" w:hAnsi="Arial"/>
          <w:sz w:val="22"/>
          <w:szCs w:val="22"/>
        </w:rPr>
        <w:t>18</w:t>
      </w:r>
      <w:r w:rsidRPr="003D7B76">
        <w:rPr>
          <w:rFonts w:ascii="Arial" w:hAnsi="Arial"/>
          <w:sz w:val="22"/>
          <w:szCs w:val="22"/>
        </w:rPr>
        <w:t xml:space="preserve">). His model highlights the importance of respect, positive relationships, and meaningful activities in maintaining </w:t>
      </w:r>
      <w:r w:rsidR="005B0E79" w:rsidRPr="003D7B76">
        <w:rPr>
          <w:rFonts w:ascii="Arial" w:hAnsi="Arial"/>
          <w:sz w:val="22"/>
          <w:szCs w:val="22"/>
        </w:rPr>
        <w:t>well-being</w:t>
      </w:r>
      <w:r w:rsidRPr="003D7B76">
        <w:rPr>
          <w:rFonts w:ascii="Arial" w:hAnsi="Arial"/>
          <w:sz w:val="22"/>
          <w:szCs w:val="22"/>
        </w:rPr>
        <w:t>.</w:t>
      </w:r>
    </w:p>
    <w:p w14:paraId="52C690B2" w14:textId="3F27F4F6" w:rsidR="00493C11" w:rsidRPr="003D7B76" w:rsidRDefault="007100C1" w:rsidP="000C3E68">
      <w:pPr>
        <w:spacing w:line="360" w:lineRule="auto"/>
        <w:jc w:val="both"/>
        <w:rPr>
          <w:rFonts w:ascii="Arial" w:hAnsi="Arial"/>
          <w:sz w:val="22"/>
          <w:szCs w:val="22"/>
        </w:rPr>
      </w:pPr>
      <w:r w:rsidRPr="003D7B76">
        <w:rPr>
          <w:rFonts w:ascii="Arial" w:hAnsi="Arial"/>
          <w:noProof/>
          <w:sz w:val="22"/>
          <w:szCs w:val="22"/>
        </w:rPr>
        <w:lastRenderedPageBreak/>
        <mc:AlternateContent>
          <mc:Choice Requires="wps">
            <w:drawing>
              <wp:anchor distT="0" distB="0" distL="114300" distR="114300" simplePos="0" relativeHeight="251665408" behindDoc="0" locked="0" layoutInCell="1" allowOverlap="1" wp14:anchorId="1254FC2E" wp14:editId="46E0988A">
                <wp:simplePos x="0" y="0"/>
                <wp:positionH relativeFrom="column">
                  <wp:posOffset>2551112</wp:posOffset>
                </wp:positionH>
                <wp:positionV relativeFrom="paragraph">
                  <wp:posOffset>1939608</wp:posOffset>
                </wp:positionV>
                <wp:extent cx="241935" cy="162560"/>
                <wp:effectExtent l="20638" t="17462" r="45402" b="26353"/>
                <wp:wrapNone/>
                <wp:docPr id="2090552589" name="Arrow: Right 5"/>
                <wp:cNvGraphicFramePr/>
                <a:graphic xmlns:a="http://schemas.openxmlformats.org/drawingml/2006/main">
                  <a:graphicData uri="http://schemas.microsoft.com/office/word/2010/wordprocessingShape">
                    <wps:wsp>
                      <wps:cNvSpPr/>
                      <wps:spPr>
                        <a:xfrm rot="16200000">
                          <a:off x="0" y="0"/>
                          <a:ext cx="241935" cy="162560"/>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03A7D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200.85pt;margin-top:152.75pt;width:19.05pt;height:12.8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" adj="14343" fillcolor="white [3201]" strokecolor="black [3213]" strokeweight="1.5pt"/>
            </w:pict>
          </mc:Fallback>
        </mc:AlternateContent>
      </w:r>
      <w:r w:rsidRPr="003D7B76">
        <w:rPr>
          <w:rFonts w:ascii="Arial" w:hAnsi="Arial"/>
          <w:noProof/>
          <w:sz w:val="22"/>
          <w:szCs w:val="22"/>
        </w:rPr>
        <mc:AlternateContent>
          <mc:Choice Requires="wps">
            <w:drawing>
              <wp:anchor distT="0" distB="0" distL="114300" distR="114300" simplePos="0" relativeHeight="251663360" behindDoc="0" locked="0" layoutInCell="1" allowOverlap="1" wp14:anchorId="21D1AE76" wp14:editId="69FAE8D8">
                <wp:simplePos x="0" y="0"/>
                <wp:positionH relativeFrom="column">
                  <wp:posOffset>2461578</wp:posOffset>
                </wp:positionH>
                <wp:positionV relativeFrom="paragraph">
                  <wp:posOffset>1099502</wp:posOffset>
                </wp:positionV>
                <wp:extent cx="302577" cy="178754"/>
                <wp:effectExtent l="4762" t="0" r="45403" b="45402"/>
                <wp:wrapNone/>
                <wp:docPr id="1538471270" name="Arrow: Right 5"/>
                <wp:cNvGraphicFramePr/>
                <a:graphic xmlns:a="http://schemas.openxmlformats.org/drawingml/2006/main">
                  <a:graphicData uri="http://schemas.microsoft.com/office/word/2010/wordprocessingShape">
                    <wps:wsp>
                      <wps:cNvSpPr/>
                      <wps:spPr>
                        <a:xfrm rot="5400000">
                          <a:off x="0" y="0"/>
                          <a:ext cx="302577" cy="178754"/>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0445B" id="Arrow: Right 5" o:spid="_x0000_s1026" type="#_x0000_t13" style="position:absolute;margin-left:193.85pt;margin-top:86.55pt;width:23.8pt;height:14.1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" adj="15220" fillcolor="white [3201]" strokecolor="black [3213]" strokeweight="1.5pt"/>
            </w:pict>
          </mc:Fallback>
        </mc:AlternateContent>
      </w:r>
      <w:r w:rsidRPr="003D7B76">
        <w:rPr>
          <w:rFonts w:ascii="Arial" w:hAnsi="Arial"/>
          <w:noProof/>
          <w:sz w:val="22"/>
          <w:szCs w:val="22"/>
        </w:rPr>
        <mc:AlternateContent>
          <mc:Choice Requires="wps">
            <w:drawing>
              <wp:anchor distT="0" distB="0" distL="114300" distR="114300" simplePos="0" relativeHeight="251667456" behindDoc="0" locked="0" layoutInCell="1" allowOverlap="1" wp14:anchorId="19BB896D" wp14:editId="297A8ADF">
                <wp:simplePos x="0" y="0"/>
                <wp:positionH relativeFrom="column">
                  <wp:posOffset>3245485</wp:posOffset>
                </wp:positionH>
                <wp:positionV relativeFrom="paragraph">
                  <wp:posOffset>1551305</wp:posOffset>
                </wp:positionV>
                <wp:extent cx="274955" cy="206376"/>
                <wp:effectExtent l="19050" t="19050" r="10795" b="41275"/>
                <wp:wrapNone/>
                <wp:docPr id="1907338847" name="Arrow: Right 5"/>
                <wp:cNvGraphicFramePr/>
                <a:graphic xmlns:a="http://schemas.openxmlformats.org/drawingml/2006/main">
                  <a:graphicData uri="http://schemas.microsoft.com/office/word/2010/wordprocessingShape">
                    <wps:wsp>
                      <wps:cNvSpPr/>
                      <wps:spPr>
                        <a:xfrm rot="10800000">
                          <a:off x="0" y="0"/>
                          <a:ext cx="274955" cy="206376"/>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4ADF9" id="Arrow: Right 5" o:spid="_x0000_s1026" type="#_x0000_t13" style="position:absolute;margin-left:255.55pt;margin-top:122.15pt;width:21.65pt;height:16.25pt;rotation:18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" adj="13494" fillcolor="white [3201]" strokecolor="black [3213]" strokeweight="1.5pt"/>
            </w:pict>
          </mc:Fallback>
        </mc:AlternateContent>
      </w:r>
      <w:r w:rsidRPr="003D7B76">
        <w:rPr>
          <w:rFonts w:ascii="Arial" w:hAnsi="Arial"/>
          <w:noProof/>
          <w:sz w:val="22"/>
          <w:szCs w:val="22"/>
        </w:rPr>
        <mc:AlternateContent>
          <mc:Choice Requires="wps">
            <w:drawing>
              <wp:anchor distT="0" distB="0" distL="114300" distR="114300" simplePos="0" relativeHeight="251661312" behindDoc="0" locked="0" layoutInCell="1" allowOverlap="1" wp14:anchorId="267648E3" wp14:editId="44CD7DE9">
                <wp:simplePos x="0" y="0"/>
                <wp:positionH relativeFrom="column">
                  <wp:posOffset>1584960</wp:posOffset>
                </wp:positionH>
                <wp:positionV relativeFrom="paragraph">
                  <wp:posOffset>1612900</wp:posOffset>
                </wp:positionV>
                <wp:extent cx="495300" cy="247650"/>
                <wp:effectExtent l="0" t="19050" r="38100" b="38100"/>
                <wp:wrapNone/>
                <wp:docPr id="812090370" name="Arrow: Right 5"/>
                <wp:cNvGraphicFramePr/>
                <a:graphic xmlns:a="http://schemas.openxmlformats.org/drawingml/2006/main">
                  <a:graphicData uri="http://schemas.microsoft.com/office/word/2010/wordprocessingShape">
                    <wps:wsp>
                      <wps:cNvSpPr/>
                      <wps:spPr>
                        <a:xfrm>
                          <a:off x="0" y="0"/>
                          <a:ext cx="495300" cy="247650"/>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090B7B" id="Arrow: Right 5" o:spid="_x0000_s1026" type="#_x0000_t13" style="position:absolute;margin-left:124.8pt;margin-top:127pt;width:39pt;height:19.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" fillcolor="white [3201]" strokecolor="black [3213]" strokeweight="1.5pt"/>
            </w:pict>
          </mc:Fallback>
        </mc:AlternateContent>
      </w:r>
      <w:r w:rsidRPr="003D7B76">
        <w:rPr>
          <w:rFonts w:ascii="Arial" w:hAnsi="Arial"/>
          <w:noProof/>
          <w:sz w:val="22"/>
          <w:szCs w:val="22"/>
        </w:rPr>
        <mc:AlternateContent>
          <mc:Choice Requires="wps">
            <w:drawing>
              <wp:anchor distT="0" distB="0" distL="114300" distR="114300" simplePos="0" relativeHeight="251660288" behindDoc="0" locked="0" layoutInCell="1" allowOverlap="1" wp14:anchorId="27878433" wp14:editId="41CBBC7D">
                <wp:simplePos x="0" y="0"/>
                <wp:positionH relativeFrom="column">
                  <wp:posOffset>2133600</wp:posOffset>
                </wp:positionH>
                <wp:positionV relativeFrom="paragraph">
                  <wp:posOffset>1395730</wp:posOffset>
                </wp:positionV>
                <wp:extent cx="1089660" cy="464820"/>
                <wp:effectExtent l="0" t="0" r="15240" b="11430"/>
                <wp:wrapNone/>
                <wp:docPr id="1192390298" name="Rectangle: Rounded Corners 4"/>
                <wp:cNvGraphicFramePr/>
                <a:graphic xmlns:a="http://schemas.openxmlformats.org/drawingml/2006/main">
                  <a:graphicData uri="http://schemas.microsoft.com/office/word/2010/wordprocessingShape">
                    <wps:wsp>
                      <wps:cNvSpPr/>
                      <wps:spPr>
                        <a:xfrm>
                          <a:off x="0" y="0"/>
                          <a:ext cx="1089660" cy="46482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EA05EEA" w14:textId="77777777" w:rsidR="007100C1" w:rsidRDefault="007100C1" w:rsidP="007100C1">
                            <w:pPr>
                              <w:jc w:val="center"/>
                            </w:pPr>
                            <w:r>
                              <w:t>Personhood</w:t>
                            </w:r>
                          </w:p>
                          <w:p w14:paraId="4D6E75FB" w14:textId="77777777" w:rsidR="007100C1" w:rsidRDefault="007100C1" w:rsidP="007100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7878433" id="Rectangle: Rounded Corners 4" o:spid="_x0000_s1027" style="position:absolute;left:0;text-align:left;margin-left:168pt;margin-top:109.9pt;width:85.8pt;height:36.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" fillcolor="#d35dc6 [2168]" strokecolor="#a02b93 [3208]" strokeweight="1pt">
                <v:fill color2="#ca3bba [2616]" rotate="t" colors="0 #d09fc8;.5 #c692be;1 #c17eb6" focus="100%" type="gradient">
                  <o:fill v:ext="view" type="gradientUnscaled"/>
                </v:fill>
                <v:stroke joinstyle="miter"/>
                <v:textbox>
                  <w:txbxContent>
                    <w:p w14:paraId="1EA05EEA" w14:textId="77777777" w:rsidR="007100C1" w:rsidRDefault="007100C1" w:rsidP="007100C1">
                      <w:pPr>
                        <w:jc w:val="center"/>
                      </w:pPr>
                      <w:r>
                        <w:t>Personhood</w:t>
                      </w:r>
                    </w:p>
                    <w:p w14:paraId="4D6E75FB" w14:textId="77777777" w:rsidR="007100C1" w:rsidRDefault="007100C1" w:rsidP="007100C1">
                      <w:pPr>
                        <w:jc w:val="center"/>
                      </w:pPr>
                    </w:p>
                  </w:txbxContent>
                </v:textbox>
              </v:roundrect>
            </w:pict>
          </mc:Fallback>
        </mc:AlternateContent>
      </w:r>
      <w:r w:rsidR="00493C11" w:rsidRPr="003D7B76">
        <w:rPr>
          <w:rFonts w:ascii="Arial" w:hAnsi="Arial"/>
          <w:noProof/>
          <w:sz w:val="22"/>
          <w:szCs w:val="22"/>
        </w:rPr>
        <w:drawing>
          <wp:inline distT="0" distB="0" distL="0" distR="0" wp14:anchorId="2940A723" wp14:editId="0DFA9581">
            <wp:extent cx="5486400" cy="3200400"/>
            <wp:effectExtent l="0" t="0" r="0" b="19050"/>
            <wp:docPr id="1685244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31CF37B" w14:textId="39AD7894" w:rsidR="00493C11" w:rsidRPr="003D7B76" w:rsidRDefault="00493C11" w:rsidP="00493C11">
      <w:pPr>
        <w:pStyle w:val="Caption"/>
        <w:keepNext/>
        <w:rPr>
          <w:sz w:val="22"/>
          <w:szCs w:val="22"/>
        </w:rPr>
      </w:pPr>
      <w:r w:rsidRPr="003D7B76">
        <w:rPr>
          <w:sz w:val="22"/>
          <w:szCs w:val="22"/>
        </w:rPr>
        <w:t xml:space="preserve">Figure 1: </w:t>
      </w:r>
      <w:proofErr w:type="spellStart"/>
      <w:r w:rsidRPr="003D7B76">
        <w:rPr>
          <w:sz w:val="22"/>
          <w:szCs w:val="22"/>
        </w:rPr>
        <w:t>Kitwood’s</w:t>
      </w:r>
      <w:proofErr w:type="spellEnd"/>
      <w:r w:rsidRPr="003D7B76">
        <w:rPr>
          <w:sz w:val="22"/>
          <w:szCs w:val="22"/>
        </w:rPr>
        <w:t xml:space="preserve"> Personhood Model (adapted from Fazio et al., 2018)</w:t>
      </w:r>
    </w:p>
    <w:p w14:paraId="7A9B6F9E" w14:textId="77777777" w:rsidR="00493C11" w:rsidRPr="003D7B76" w:rsidRDefault="00493C11" w:rsidP="000C3E68">
      <w:pPr>
        <w:spacing w:line="360" w:lineRule="auto"/>
        <w:jc w:val="both"/>
        <w:rPr>
          <w:rFonts w:ascii="Arial" w:hAnsi="Arial"/>
          <w:sz w:val="22"/>
          <w:szCs w:val="22"/>
        </w:rPr>
      </w:pPr>
    </w:p>
    <w:p w14:paraId="7F746720" w14:textId="1F50D22B"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The key elements of </w:t>
      </w:r>
      <w:proofErr w:type="spellStart"/>
      <w:r w:rsidRPr="003D7B76">
        <w:rPr>
          <w:rFonts w:ascii="Arial" w:hAnsi="Arial"/>
          <w:sz w:val="22"/>
          <w:szCs w:val="22"/>
        </w:rPr>
        <w:t>Kitwood’s</w:t>
      </w:r>
      <w:proofErr w:type="spellEnd"/>
      <w:r w:rsidRPr="003D7B76">
        <w:rPr>
          <w:rFonts w:ascii="Arial" w:hAnsi="Arial"/>
          <w:sz w:val="22"/>
          <w:szCs w:val="22"/>
        </w:rPr>
        <w:t xml:space="preserve"> approach are:</w:t>
      </w:r>
    </w:p>
    <w:p w14:paraId="2FA5315C" w14:textId="77777777" w:rsidR="000C3E68" w:rsidRPr="003D7B76" w:rsidRDefault="000C3E68" w:rsidP="000C3E68">
      <w:pPr>
        <w:numPr>
          <w:ilvl w:val="0"/>
          <w:numId w:val="3"/>
        </w:numPr>
        <w:spacing w:line="360" w:lineRule="auto"/>
        <w:jc w:val="both"/>
        <w:rPr>
          <w:rFonts w:ascii="Arial" w:hAnsi="Arial"/>
          <w:sz w:val="22"/>
          <w:szCs w:val="22"/>
        </w:rPr>
      </w:pPr>
      <w:r w:rsidRPr="003D7B76">
        <w:rPr>
          <w:rFonts w:ascii="Arial" w:hAnsi="Arial"/>
          <w:sz w:val="22"/>
          <w:szCs w:val="22"/>
        </w:rPr>
        <w:t>Respect: treating each resident with dignity and valuing their individuality.</w:t>
      </w:r>
    </w:p>
    <w:p w14:paraId="6F635E47" w14:textId="77777777" w:rsidR="000C3E68" w:rsidRPr="003D7B76" w:rsidRDefault="000C3E68" w:rsidP="000C3E68">
      <w:pPr>
        <w:numPr>
          <w:ilvl w:val="0"/>
          <w:numId w:val="3"/>
        </w:numPr>
        <w:spacing w:line="360" w:lineRule="auto"/>
        <w:jc w:val="both"/>
        <w:rPr>
          <w:rFonts w:ascii="Arial" w:hAnsi="Arial"/>
          <w:sz w:val="22"/>
          <w:szCs w:val="22"/>
        </w:rPr>
      </w:pPr>
      <w:r w:rsidRPr="003D7B76">
        <w:rPr>
          <w:rFonts w:ascii="Arial" w:hAnsi="Arial"/>
          <w:sz w:val="22"/>
          <w:szCs w:val="22"/>
        </w:rPr>
        <w:t>Identity: supporting a sense of self through personal histories, preferences, and choices.</w:t>
      </w:r>
    </w:p>
    <w:p w14:paraId="5224AB0D" w14:textId="77777777" w:rsidR="000C3E68" w:rsidRPr="003D7B76" w:rsidRDefault="000C3E68" w:rsidP="000C3E68">
      <w:pPr>
        <w:numPr>
          <w:ilvl w:val="0"/>
          <w:numId w:val="3"/>
        </w:numPr>
        <w:spacing w:line="360" w:lineRule="auto"/>
        <w:jc w:val="both"/>
        <w:rPr>
          <w:rFonts w:ascii="Arial" w:hAnsi="Arial"/>
          <w:sz w:val="22"/>
          <w:szCs w:val="22"/>
        </w:rPr>
      </w:pPr>
      <w:r w:rsidRPr="003D7B76">
        <w:rPr>
          <w:rFonts w:ascii="Arial" w:hAnsi="Arial"/>
          <w:sz w:val="22"/>
          <w:szCs w:val="22"/>
        </w:rPr>
        <w:t>Relationships: encouraging social interaction with staff, family, and peers.</w:t>
      </w:r>
    </w:p>
    <w:p w14:paraId="63C2E2DE" w14:textId="77777777" w:rsidR="000C3E68" w:rsidRPr="003D7B76" w:rsidRDefault="000C3E68" w:rsidP="000C3E68">
      <w:pPr>
        <w:numPr>
          <w:ilvl w:val="0"/>
          <w:numId w:val="3"/>
        </w:numPr>
        <w:spacing w:line="360" w:lineRule="auto"/>
        <w:jc w:val="both"/>
        <w:rPr>
          <w:rFonts w:ascii="Arial" w:hAnsi="Arial"/>
          <w:sz w:val="22"/>
          <w:szCs w:val="22"/>
        </w:rPr>
      </w:pPr>
      <w:r w:rsidRPr="003D7B76">
        <w:rPr>
          <w:rFonts w:ascii="Arial" w:hAnsi="Arial"/>
          <w:sz w:val="22"/>
          <w:szCs w:val="22"/>
        </w:rPr>
        <w:t>Meaningful activity: giving opportunities to take part in daily tasks, hobbies, or social roles.</w:t>
      </w:r>
    </w:p>
    <w:p w14:paraId="468653FC" w14:textId="700B3F1E"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In care homes, these elements underpin PCC by ensuring that residents, especially those with dementia, are supported in ways that go beyond physical needs. For example, enabling a resident to continue a familiar morning routine or involving them in family-style meals can protect their identity and improve quality of life </w:t>
      </w:r>
      <w:r w:rsidR="00A73E87" w:rsidRPr="003D7B76">
        <w:rPr>
          <w:rFonts w:ascii="Arial" w:hAnsi="Arial"/>
          <w:sz w:val="22"/>
          <w:szCs w:val="22"/>
        </w:rPr>
        <w:t>(Kim &amp; Park, 2017)</w:t>
      </w:r>
      <w:r w:rsidRPr="003D7B76">
        <w:rPr>
          <w:rFonts w:ascii="Arial" w:hAnsi="Arial"/>
          <w:sz w:val="22"/>
          <w:szCs w:val="22"/>
        </w:rPr>
        <w:t>.</w:t>
      </w:r>
    </w:p>
    <w:p w14:paraId="2A50D59F" w14:textId="19D39E40" w:rsidR="000C3E68" w:rsidRPr="003D7B76" w:rsidRDefault="000C3E68" w:rsidP="000C3E68">
      <w:pPr>
        <w:spacing w:line="360" w:lineRule="auto"/>
        <w:jc w:val="both"/>
        <w:rPr>
          <w:rFonts w:ascii="Arial" w:hAnsi="Arial"/>
          <w:sz w:val="22"/>
          <w:szCs w:val="22"/>
        </w:rPr>
      </w:pPr>
      <w:r w:rsidRPr="003D7B76">
        <w:rPr>
          <w:rFonts w:ascii="Arial" w:hAnsi="Arial"/>
          <w:sz w:val="22"/>
          <w:szCs w:val="22"/>
        </w:rPr>
        <w:t xml:space="preserve">One of the main strengths of </w:t>
      </w:r>
      <w:proofErr w:type="spellStart"/>
      <w:r w:rsidRPr="003D7B76">
        <w:rPr>
          <w:rFonts w:ascii="Arial" w:hAnsi="Arial"/>
          <w:sz w:val="22"/>
          <w:szCs w:val="22"/>
        </w:rPr>
        <w:t>Kitwood’s</w:t>
      </w:r>
      <w:proofErr w:type="spellEnd"/>
      <w:r w:rsidRPr="003D7B76">
        <w:rPr>
          <w:rFonts w:ascii="Arial" w:hAnsi="Arial"/>
          <w:sz w:val="22"/>
          <w:szCs w:val="22"/>
        </w:rPr>
        <w:t xml:space="preserve"> model is </w:t>
      </w:r>
      <w:r w:rsidR="005B0E79" w:rsidRPr="003D7B76">
        <w:rPr>
          <w:rFonts w:ascii="Arial" w:hAnsi="Arial"/>
          <w:sz w:val="22"/>
          <w:szCs w:val="22"/>
        </w:rPr>
        <w:t xml:space="preserve">that the theory is based on a </w:t>
      </w:r>
      <w:r w:rsidRPr="003D7B76">
        <w:rPr>
          <w:rFonts w:ascii="Arial" w:hAnsi="Arial"/>
          <w:sz w:val="22"/>
          <w:szCs w:val="22"/>
        </w:rPr>
        <w:t>holistic and dignity-based</w:t>
      </w:r>
      <w:r w:rsidR="005B0E79" w:rsidRPr="003D7B76">
        <w:rPr>
          <w:rFonts w:ascii="Arial" w:hAnsi="Arial"/>
          <w:sz w:val="22"/>
          <w:szCs w:val="22"/>
        </w:rPr>
        <w:t xml:space="preserve"> approach</w:t>
      </w:r>
      <w:r w:rsidRPr="003D7B76">
        <w:rPr>
          <w:rFonts w:ascii="Arial" w:hAnsi="Arial"/>
          <w:sz w:val="22"/>
          <w:szCs w:val="22"/>
        </w:rPr>
        <w:t xml:space="preserve">, directly promoting personhood and wellbeing. However, a limitation is that it can be </w:t>
      </w:r>
      <w:proofErr w:type="gramStart"/>
      <w:r w:rsidR="005F1DF0" w:rsidRPr="003D7B76">
        <w:rPr>
          <w:rFonts w:ascii="Arial" w:hAnsi="Arial"/>
          <w:sz w:val="22"/>
          <w:szCs w:val="22"/>
        </w:rPr>
        <w:t>resource-intensive</w:t>
      </w:r>
      <w:proofErr w:type="gramEnd"/>
      <w:r w:rsidRPr="003D7B76">
        <w:rPr>
          <w:rFonts w:ascii="Arial" w:hAnsi="Arial"/>
          <w:sz w:val="22"/>
          <w:szCs w:val="22"/>
        </w:rPr>
        <w:t>. Staff require specialist training and enough time to deliver truly person-centred support, which is difficult in underfunded or understaffed care homes (Chenoweth et al., 2020).</w:t>
      </w:r>
    </w:p>
    <w:p w14:paraId="7A1FFDE3" w14:textId="4A8BA1C2" w:rsidR="000C3E68" w:rsidRPr="003D7B76" w:rsidRDefault="000C3E68" w:rsidP="000C3E68">
      <w:pPr>
        <w:spacing w:line="360" w:lineRule="auto"/>
        <w:jc w:val="both"/>
        <w:rPr>
          <w:rFonts w:ascii="Arial" w:hAnsi="Arial"/>
          <w:sz w:val="22"/>
          <w:szCs w:val="22"/>
        </w:rPr>
      </w:pPr>
      <w:r w:rsidRPr="003D7B76">
        <w:rPr>
          <w:rFonts w:ascii="Arial" w:hAnsi="Arial"/>
          <w:sz w:val="22"/>
          <w:szCs w:val="22"/>
        </w:rPr>
        <w:lastRenderedPageBreak/>
        <w:t>Compared with the Social Model of Health, which focuses on removing barriers and tackling wider inequalities (Oliver, 20</w:t>
      </w:r>
      <w:r w:rsidR="006744A4" w:rsidRPr="003D7B76">
        <w:rPr>
          <w:rFonts w:ascii="Arial" w:hAnsi="Arial"/>
          <w:sz w:val="22"/>
          <w:szCs w:val="22"/>
        </w:rPr>
        <w:t>09</w:t>
      </w:r>
      <w:r w:rsidRPr="003D7B76">
        <w:rPr>
          <w:rFonts w:ascii="Arial" w:hAnsi="Arial"/>
          <w:sz w:val="22"/>
          <w:szCs w:val="22"/>
        </w:rPr>
        <w:t xml:space="preserve">), </w:t>
      </w:r>
      <w:proofErr w:type="spellStart"/>
      <w:r w:rsidRPr="003D7B76">
        <w:rPr>
          <w:rFonts w:ascii="Arial" w:hAnsi="Arial"/>
          <w:sz w:val="22"/>
          <w:szCs w:val="22"/>
        </w:rPr>
        <w:t>Kitwood’s</w:t>
      </w:r>
      <w:proofErr w:type="spellEnd"/>
      <w:r w:rsidRPr="003D7B76">
        <w:rPr>
          <w:rFonts w:ascii="Arial" w:hAnsi="Arial"/>
          <w:sz w:val="22"/>
          <w:szCs w:val="22"/>
        </w:rPr>
        <w:t xml:space="preserve"> model is more focused on the individual and their immediate care environment. Together, these approaches show that both personal dignity and social change are necessary for high-quality care.</w:t>
      </w:r>
    </w:p>
    <w:p w14:paraId="75571559" w14:textId="77777777" w:rsidR="00583417" w:rsidRPr="003D7B76" w:rsidRDefault="00583417" w:rsidP="00583417">
      <w:pPr>
        <w:pStyle w:val="Heading1"/>
        <w:rPr>
          <w:color w:val="000000" w:themeColor="text1"/>
          <w:sz w:val="22"/>
          <w:szCs w:val="22"/>
        </w:rPr>
      </w:pPr>
      <w:bookmarkStart w:id="4" w:name="_Toc212591881"/>
      <w:r w:rsidRPr="003D7B76">
        <w:rPr>
          <w:color w:val="000000" w:themeColor="text1"/>
          <w:sz w:val="22"/>
          <w:szCs w:val="22"/>
        </w:rPr>
        <w:t>Ethical Fundamentals</w:t>
      </w:r>
      <w:bookmarkEnd w:id="4"/>
    </w:p>
    <w:p w14:paraId="28DADAB0" w14:textId="042181A4" w:rsidR="00583417" w:rsidRPr="003D7B76" w:rsidRDefault="00583417" w:rsidP="00583417">
      <w:pPr>
        <w:spacing w:line="360" w:lineRule="auto"/>
        <w:jc w:val="both"/>
        <w:rPr>
          <w:rFonts w:ascii="Arial" w:hAnsi="Arial"/>
          <w:sz w:val="22"/>
          <w:szCs w:val="22"/>
        </w:rPr>
      </w:pPr>
      <w:r w:rsidRPr="003D7B76">
        <w:rPr>
          <w:rFonts w:ascii="Arial" w:hAnsi="Arial"/>
          <w:sz w:val="22"/>
          <w:szCs w:val="22"/>
        </w:rPr>
        <w:t xml:space="preserve">Ethics are an important part of Person-Centred Care in care homes. Four main principles are often used in health and social care: autonomy, beneficence, non-maleficence, and justice (Beauchamp &amp; Childress, 2019). These principles guide staff </w:t>
      </w:r>
      <w:r w:rsidR="00665207" w:rsidRPr="003D7B76">
        <w:rPr>
          <w:rFonts w:ascii="Arial" w:hAnsi="Arial"/>
          <w:sz w:val="22"/>
          <w:szCs w:val="22"/>
        </w:rPr>
        <w:t>in decision-making which are</w:t>
      </w:r>
      <w:r w:rsidRPr="003D7B76">
        <w:rPr>
          <w:rFonts w:ascii="Arial" w:hAnsi="Arial"/>
          <w:sz w:val="22"/>
          <w:szCs w:val="22"/>
        </w:rPr>
        <w:t xml:space="preserve"> fair, safe, and respectful.</w:t>
      </w:r>
    </w:p>
    <w:p w14:paraId="6F046661" w14:textId="5E93BBE7" w:rsidR="00583417" w:rsidRPr="003D7B76" w:rsidRDefault="00583417" w:rsidP="00583417">
      <w:pPr>
        <w:spacing w:line="360" w:lineRule="auto"/>
        <w:jc w:val="both"/>
        <w:rPr>
          <w:rFonts w:ascii="Arial" w:hAnsi="Arial"/>
          <w:sz w:val="22"/>
          <w:szCs w:val="22"/>
        </w:rPr>
      </w:pPr>
      <w:r w:rsidRPr="003D7B76">
        <w:rPr>
          <w:rFonts w:ascii="Arial" w:hAnsi="Arial"/>
          <w:sz w:val="22"/>
          <w:szCs w:val="22"/>
        </w:rPr>
        <w:t xml:space="preserve">Autonomy means supporting </w:t>
      </w:r>
      <w:r w:rsidR="009338DD" w:rsidRPr="003D7B76">
        <w:rPr>
          <w:rFonts w:ascii="Arial" w:hAnsi="Arial"/>
          <w:sz w:val="22"/>
          <w:szCs w:val="22"/>
        </w:rPr>
        <w:t>individuals</w:t>
      </w:r>
      <w:r w:rsidRPr="003D7B76">
        <w:rPr>
          <w:rFonts w:ascii="Arial" w:hAnsi="Arial"/>
          <w:sz w:val="22"/>
          <w:szCs w:val="22"/>
        </w:rPr>
        <w:t xml:space="preserve"> to make their own choices</w:t>
      </w:r>
      <w:r w:rsidR="004E096E" w:rsidRPr="003D7B76">
        <w:rPr>
          <w:rFonts w:ascii="Arial" w:hAnsi="Arial"/>
          <w:sz w:val="22"/>
          <w:szCs w:val="22"/>
        </w:rPr>
        <w:t xml:space="preserve"> in life. </w:t>
      </w:r>
      <w:r w:rsidRPr="003D7B76">
        <w:rPr>
          <w:rFonts w:ascii="Arial" w:hAnsi="Arial"/>
          <w:sz w:val="22"/>
          <w:szCs w:val="22"/>
        </w:rPr>
        <w:t xml:space="preserve">In a care home, this might involve offering menu options or letting residents decide their daily routine. Respecting autonomy helps protect dignity and independence </w:t>
      </w:r>
      <w:r w:rsidR="006248CB" w:rsidRPr="003D7B76">
        <w:rPr>
          <w:rFonts w:ascii="Arial" w:hAnsi="Arial"/>
          <w:sz w:val="22"/>
          <w:szCs w:val="22"/>
        </w:rPr>
        <w:t>(Goodwin et al., 2014)</w:t>
      </w:r>
      <w:r w:rsidRPr="003D7B76">
        <w:rPr>
          <w:rFonts w:ascii="Arial" w:hAnsi="Arial"/>
          <w:sz w:val="22"/>
          <w:szCs w:val="22"/>
        </w:rPr>
        <w:t>.</w:t>
      </w:r>
    </w:p>
    <w:p w14:paraId="16D88C47" w14:textId="490A902A" w:rsidR="00583417" w:rsidRPr="003D7B76" w:rsidRDefault="00583417" w:rsidP="00583417">
      <w:pPr>
        <w:spacing w:line="360" w:lineRule="auto"/>
        <w:jc w:val="both"/>
        <w:rPr>
          <w:rFonts w:ascii="Arial" w:hAnsi="Arial"/>
          <w:sz w:val="22"/>
          <w:szCs w:val="22"/>
        </w:rPr>
      </w:pPr>
      <w:r w:rsidRPr="003D7B76">
        <w:rPr>
          <w:rFonts w:ascii="Arial" w:hAnsi="Arial"/>
          <w:sz w:val="22"/>
          <w:szCs w:val="22"/>
        </w:rPr>
        <w:t xml:space="preserve">Beneficence is about acting in the resident’s best interests, while non-maleficence means avoiding harm. These principles can sometimes conflict. For example, allowing a resident with dementia to make tea independently may support their wellbeing, but it could also involve risks such as burns or falls. Staff must balance safety with the benefits of independence </w:t>
      </w:r>
      <w:r w:rsidR="004E7018" w:rsidRPr="003D7B76">
        <w:rPr>
          <w:rFonts w:ascii="Arial" w:hAnsi="Arial"/>
          <w:sz w:val="22"/>
          <w:szCs w:val="22"/>
        </w:rPr>
        <w:t>(Lawrence &amp; Murray, 2010)</w:t>
      </w:r>
      <w:r w:rsidRPr="003D7B76">
        <w:rPr>
          <w:rFonts w:ascii="Arial" w:hAnsi="Arial"/>
          <w:sz w:val="22"/>
          <w:szCs w:val="22"/>
        </w:rPr>
        <w:t>.</w:t>
      </w:r>
    </w:p>
    <w:p w14:paraId="0C8A4F25" w14:textId="77777777" w:rsidR="00583417" w:rsidRPr="003D7B76" w:rsidRDefault="00583417" w:rsidP="00583417">
      <w:pPr>
        <w:spacing w:line="360" w:lineRule="auto"/>
        <w:jc w:val="both"/>
        <w:rPr>
          <w:rFonts w:ascii="Arial" w:hAnsi="Arial"/>
          <w:sz w:val="22"/>
          <w:szCs w:val="22"/>
        </w:rPr>
      </w:pPr>
      <w:r w:rsidRPr="003D7B76">
        <w:rPr>
          <w:rFonts w:ascii="Arial" w:hAnsi="Arial"/>
          <w:sz w:val="22"/>
          <w:szCs w:val="22"/>
        </w:rPr>
        <w:t>Justice means treating people fairly and ensuring equal access to services. In care homes, this includes making sure older adults receive the same quality of care regardless of disability, background, or financial status (Hall et al., 2021).</w:t>
      </w:r>
    </w:p>
    <w:p w14:paraId="310AFFA1" w14:textId="77777777" w:rsidR="00583417" w:rsidRPr="003D7B76" w:rsidRDefault="00583417" w:rsidP="00583417">
      <w:pPr>
        <w:spacing w:line="360" w:lineRule="auto"/>
        <w:jc w:val="both"/>
        <w:rPr>
          <w:rFonts w:ascii="Arial" w:hAnsi="Arial"/>
          <w:sz w:val="22"/>
          <w:szCs w:val="22"/>
        </w:rPr>
      </w:pPr>
      <w:r w:rsidRPr="003D7B76">
        <w:rPr>
          <w:rFonts w:ascii="Arial" w:hAnsi="Arial"/>
          <w:sz w:val="22"/>
          <w:szCs w:val="22"/>
        </w:rPr>
        <w:t>Ethical dilemmas often arise, such as whether to use physical restraints to prevent falls or how to respect end-of-life wishes when family members disagree. These situations show why ethical principles must guide everyday care. Applying them carefully helps ensure that decisions remain person-centred and fair.</w:t>
      </w:r>
    </w:p>
    <w:p w14:paraId="6F1D7922" w14:textId="77777777" w:rsidR="00F03DA1" w:rsidRPr="003D7B76" w:rsidRDefault="00F03DA1" w:rsidP="00F03DA1">
      <w:pPr>
        <w:pStyle w:val="Heading1"/>
        <w:rPr>
          <w:color w:val="000000" w:themeColor="text1"/>
          <w:sz w:val="22"/>
          <w:szCs w:val="22"/>
        </w:rPr>
      </w:pPr>
      <w:bookmarkStart w:id="5" w:name="_Toc212591882"/>
      <w:r w:rsidRPr="003D7B76">
        <w:rPr>
          <w:color w:val="000000" w:themeColor="text1"/>
          <w:sz w:val="22"/>
          <w:szCs w:val="22"/>
        </w:rPr>
        <w:t>Evaluation of Partnership Working</w:t>
      </w:r>
      <w:bookmarkEnd w:id="5"/>
    </w:p>
    <w:p w14:paraId="58BD09E2" w14:textId="7CBD34C4" w:rsidR="00F03DA1" w:rsidRPr="003D7B76" w:rsidRDefault="00F03DA1" w:rsidP="00F03DA1">
      <w:pPr>
        <w:spacing w:line="360" w:lineRule="auto"/>
        <w:jc w:val="both"/>
        <w:rPr>
          <w:rFonts w:ascii="Arial" w:hAnsi="Arial"/>
          <w:sz w:val="22"/>
          <w:szCs w:val="22"/>
        </w:rPr>
      </w:pPr>
      <w:r w:rsidRPr="003D7B76">
        <w:rPr>
          <w:rFonts w:ascii="Arial" w:hAnsi="Arial"/>
          <w:sz w:val="22"/>
          <w:szCs w:val="22"/>
        </w:rPr>
        <w:t xml:space="preserve">Partnership Working (PW) in health and social care means different organisations and professionals working together to improve outcomes for service users (Glasby &amp; Dickinson, 2020). In care homes, PW is </w:t>
      </w:r>
      <w:r w:rsidR="002C3E56" w:rsidRPr="003D7B76">
        <w:rPr>
          <w:rFonts w:ascii="Arial" w:hAnsi="Arial"/>
          <w:sz w:val="22"/>
          <w:szCs w:val="22"/>
        </w:rPr>
        <w:t>vital</w:t>
      </w:r>
      <w:r w:rsidRPr="003D7B76">
        <w:rPr>
          <w:rFonts w:ascii="Arial" w:hAnsi="Arial"/>
          <w:sz w:val="22"/>
          <w:szCs w:val="22"/>
        </w:rPr>
        <w:t xml:space="preserve"> because residents often have complex needs that cannot be met by one service alone. Families, GPs, nurses, social workers, physiotherapists, and charities all play a role in providing joined-up support.</w:t>
      </w:r>
    </w:p>
    <w:p w14:paraId="6730F8BE" w14:textId="4190ED3B" w:rsidR="00F03DA1" w:rsidRPr="003D7B76" w:rsidRDefault="00F03DA1" w:rsidP="00F03DA1">
      <w:pPr>
        <w:spacing w:line="360" w:lineRule="auto"/>
        <w:jc w:val="both"/>
        <w:rPr>
          <w:rFonts w:ascii="Arial" w:hAnsi="Arial"/>
          <w:sz w:val="22"/>
          <w:szCs w:val="22"/>
        </w:rPr>
      </w:pPr>
      <w:r w:rsidRPr="003D7B76">
        <w:rPr>
          <w:rFonts w:ascii="Arial" w:hAnsi="Arial"/>
          <w:sz w:val="22"/>
          <w:szCs w:val="22"/>
        </w:rPr>
        <w:t xml:space="preserve">The main benefit of PW is that it leads to holistic support. Instead of focusing only on medical treatment, partnerships consider the resident’s physical, emotional, and social needs. PW also helps create continuity of care, so that information is shared and services are coordinated, </w:t>
      </w:r>
      <w:r w:rsidRPr="003D7B76">
        <w:rPr>
          <w:rFonts w:ascii="Arial" w:hAnsi="Arial"/>
          <w:sz w:val="22"/>
          <w:szCs w:val="22"/>
        </w:rPr>
        <w:lastRenderedPageBreak/>
        <w:t xml:space="preserve">reducing the risk of mistakes or repeated assessments (NHS England, 2022). Another key advantage is better safeguarding, as professionals from different sectors can share concerns and protect vulnerable residents </w:t>
      </w:r>
      <w:r w:rsidR="004E7018" w:rsidRPr="003D7B76">
        <w:rPr>
          <w:rFonts w:ascii="Arial" w:hAnsi="Arial"/>
          <w:sz w:val="22"/>
          <w:szCs w:val="22"/>
        </w:rPr>
        <w:t xml:space="preserve">(Ball </w:t>
      </w:r>
      <w:r w:rsidR="004E7018" w:rsidRPr="003D7B76">
        <w:rPr>
          <w:rFonts w:ascii="Arial" w:hAnsi="Arial"/>
          <w:i/>
          <w:iCs/>
          <w:sz w:val="22"/>
          <w:szCs w:val="22"/>
        </w:rPr>
        <w:t>et al.,</w:t>
      </w:r>
      <w:r w:rsidR="004E7018" w:rsidRPr="003D7B76">
        <w:rPr>
          <w:rFonts w:ascii="Arial" w:hAnsi="Arial"/>
          <w:sz w:val="22"/>
          <w:szCs w:val="22"/>
        </w:rPr>
        <w:t xml:space="preserve"> 2024)</w:t>
      </w:r>
      <w:r w:rsidRPr="003D7B76">
        <w:rPr>
          <w:rFonts w:ascii="Arial" w:hAnsi="Arial"/>
          <w:sz w:val="22"/>
          <w:szCs w:val="22"/>
        </w:rPr>
        <w:t>.</w:t>
      </w:r>
    </w:p>
    <w:p w14:paraId="5CC38277" w14:textId="1654E058" w:rsidR="00F03DA1" w:rsidRPr="003D7B76" w:rsidRDefault="00F03DA1" w:rsidP="00F03DA1">
      <w:pPr>
        <w:spacing w:line="360" w:lineRule="auto"/>
        <w:jc w:val="both"/>
        <w:rPr>
          <w:rFonts w:ascii="Arial" w:hAnsi="Arial"/>
          <w:sz w:val="22"/>
          <w:szCs w:val="22"/>
        </w:rPr>
      </w:pPr>
      <w:r w:rsidRPr="003D7B76">
        <w:rPr>
          <w:rFonts w:ascii="Arial" w:hAnsi="Arial"/>
          <w:sz w:val="22"/>
          <w:szCs w:val="22"/>
        </w:rPr>
        <w:t xml:space="preserve">However, PW is not without challenges. Poor communication between agencies can result in delays or confusion, especially if information systems are not well integrated. Funding cuts can limit the availability of services, making it difficult for care homes to work effectively with external partners. There can also be role confusion, where staff are unsure of their responsibilities within multi-agency teams </w:t>
      </w:r>
      <w:r w:rsidR="006248CB" w:rsidRPr="003D7B76">
        <w:rPr>
          <w:rFonts w:ascii="Arial" w:hAnsi="Arial"/>
          <w:sz w:val="22"/>
          <w:szCs w:val="22"/>
        </w:rPr>
        <w:t>(Van Eck et al., 2024)</w:t>
      </w:r>
      <w:r w:rsidRPr="003D7B76">
        <w:rPr>
          <w:rFonts w:ascii="Arial" w:hAnsi="Arial"/>
          <w:sz w:val="22"/>
          <w:szCs w:val="22"/>
        </w:rPr>
        <w:t>.</w:t>
      </w:r>
    </w:p>
    <w:p w14:paraId="5370E938" w14:textId="77777777" w:rsidR="00F03DA1" w:rsidRPr="003D7B76" w:rsidRDefault="00F03DA1" w:rsidP="00F03DA1">
      <w:pPr>
        <w:spacing w:line="360" w:lineRule="auto"/>
        <w:jc w:val="both"/>
        <w:rPr>
          <w:rFonts w:ascii="Arial" w:hAnsi="Arial"/>
          <w:sz w:val="22"/>
          <w:szCs w:val="22"/>
        </w:rPr>
      </w:pPr>
      <w:r w:rsidRPr="003D7B76">
        <w:rPr>
          <w:rFonts w:ascii="Arial" w:hAnsi="Arial"/>
          <w:sz w:val="22"/>
          <w:szCs w:val="22"/>
        </w:rPr>
        <w:t>A clear example of PW in practice is when a care home works with a GP and a hospice team to provide palliative care for a resident at the end of life. By combining medical treatment, emotional support, and family involvement, this type of partnership ensures dignity and comfort for the individual.</w:t>
      </w:r>
    </w:p>
    <w:p w14:paraId="2DAFE8F4" w14:textId="77777777" w:rsidR="00F03DA1" w:rsidRPr="003D7B76" w:rsidRDefault="00F03DA1" w:rsidP="00F03DA1">
      <w:pPr>
        <w:spacing w:line="360" w:lineRule="auto"/>
        <w:jc w:val="both"/>
        <w:rPr>
          <w:rFonts w:ascii="Arial" w:hAnsi="Arial"/>
          <w:sz w:val="22"/>
          <w:szCs w:val="22"/>
        </w:rPr>
      </w:pPr>
      <w:r w:rsidRPr="003D7B76">
        <w:rPr>
          <w:rFonts w:ascii="Arial" w:hAnsi="Arial"/>
          <w:sz w:val="22"/>
          <w:szCs w:val="22"/>
        </w:rPr>
        <w:t>Overall, while PW improves quality and safety in care homes, it requires good communication, resources, and shared understanding between partners to be effective.</w:t>
      </w:r>
    </w:p>
    <w:p w14:paraId="15DBCC8E" w14:textId="06ADDCA3" w:rsidR="00BD4D82" w:rsidRPr="003D7B76" w:rsidRDefault="00BD4D82" w:rsidP="00BD4D82">
      <w:pPr>
        <w:pStyle w:val="Caption"/>
        <w:keepNext/>
        <w:rPr>
          <w:sz w:val="22"/>
          <w:szCs w:val="22"/>
        </w:rPr>
      </w:pPr>
      <w:r w:rsidRPr="003D7B76">
        <w:rPr>
          <w:sz w:val="22"/>
          <w:szCs w:val="22"/>
        </w:rPr>
        <w:t>Table 1: Summary of Benefits and Barriers to Person-Centred Care (PCC) and Partnership Working (PW)</w:t>
      </w:r>
    </w:p>
    <w:tbl>
      <w:tblPr>
        <w:tblStyle w:val="GridTable5Dark-Accent6"/>
        <w:tblW w:w="0" w:type="auto"/>
        <w:tblLook w:val="04A0" w:firstRow="1" w:lastRow="0" w:firstColumn="1" w:lastColumn="0" w:noHBand="0" w:noVBand="1"/>
      </w:tblPr>
      <w:tblGrid>
        <w:gridCol w:w="2035"/>
        <w:gridCol w:w="3712"/>
        <w:gridCol w:w="3269"/>
      </w:tblGrid>
      <w:tr w:rsidR="00FE0523" w:rsidRPr="003D7B76" w14:paraId="0BF98375" w14:textId="77777777" w:rsidTr="004818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86436" w14:textId="77777777" w:rsidR="0048181A" w:rsidRPr="003D7B76" w:rsidRDefault="0048181A" w:rsidP="00BD4D82">
            <w:pPr>
              <w:spacing w:after="160" w:line="360" w:lineRule="exact"/>
              <w:jc w:val="center"/>
              <w:rPr>
                <w:rFonts w:ascii="Arial" w:hAnsi="Arial"/>
                <w:sz w:val="22"/>
                <w:szCs w:val="22"/>
              </w:rPr>
            </w:pPr>
            <w:r w:rsidRPr="003D7B76">
              <w:rPr>
                <w:rFonts w:ascii="Arial" w:hAnsi="Arial"/>
                <w:sz w:val="22"/>
                <w:szCs w:val="22"/>
              </w:rPr>
              <w:t>Aspect</w:t>
            </w:r>
          </w:p>
        </w:tc>
        <w:tc>
          <w:tcPr>
            <w:tcW w:w="0" w:type="auto"/>
            <w:hideMark/>
          </w:tcPr>
          <w:p w14:paraId="5B895F01" w14:textId="77777777" w:rsidR="0048181A" w:rsidRPr="003D7B76" w:rsidRDefault="0048181A" w:rsidP="00BD4D82">
            <w:pPr>
              <w:spacing w:after="160" w:line="360" w:lineRule="exact"/>
              <w:jc w:val="center"/>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Benefits</w:t>
            </w:r>
          </w:p>
        </w:tc>
        <w:tc>
          <w:tcPr>
            <w:tcW w:w="0" w:type="auto"/>
            <w:hideMark/>
          </w:tcPr>
          <w:p w14:paraId="400E9F13" w14:textId="77777777" w:rsidR="0048181A" w:rsidRPr="003D7B76" w:rsidRDefault="0048181A" w:rsidP="00BD4D82">
            <w:pPr>
              <w:spacing w:after="160" w:line="360" w:lineRule="exact"/>
              <w:jc w:val="center"/>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Barriers / Challenges</w:t>
            </w:r>
          </w:p>
        </w:tc>
      </w:tr>
      <w:tr w:rsidR="00FE0523" w:rsidRPr="003D7B76" w14:paraId="6916D557" w14:textId="77777777" w:rsidTr="00481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34D406" w14:textId="77777777" w:rsidR="0048181A" w:rsidRPr="003D7B76" w:rsidRDefault="0048181A" w:rsidP="00BD4D82">
            <w:pPr>
              <w:spacing w:after="160" w:line="360" w:lineRule="exact"/>
              <w:jc w:val="both"/>
              <w:rPr>
                <w:rFonts w:ascii="Arial" w:hAnsi="Arial"/>
                <w:sz w:val="22"/>
                <w:szCs w:val="22"/>
              </w:rPr>
            </w:pPr>
            <w:r w:rsidRPr="003D7B76">
              <w:rPr>
                <w:rFonts w:ascii="Arial" w:hAnsi="Arial"/>
                <w:sz w:val="22"/>
                <w:szCs w:val="22"/>
              </w:rPr>
              <w:t>Person-Centred Care (PCC)</w:t>
            </w:r>
          </w:p>
        </w:tc>
        <w:tc>
          <w:tcPr>
            <w:tcW w:w="0" w:type="auto"/>
            <w:hideMark/>
          </w:tcPr>
          <w:p w14:paraId="11FEC59F" w14:textId="5BB42183"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 xml:space="preserve">Promotes dignity, respect, and independence. </w:t>
            </w:r>
          </w:p>
          <w:p w14:paraId="15661EC7" w14:textId="68CDCDE4"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 xml:space="preserve">Improves satisfaction and quality of life. </w:t>
            </w:r>
          </w:p>
          <w:p w14:paraId="4BB6F70B" w14:textId="463CFCC1"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 xml:space="preserve">Supports emotional </w:t>
            </w:r>
            <w:r w:rsidR="008C4083" w:rsidRPr="003D7B76">
              <w:rPr>
                <w:rFonts w:ascii="Arial" w:hAnsi="Arial"/>
                <w:sz w:val="22"/>
                <w:szCs w:val="22"/>
              </w:rPr>
              <w:t>well-being</w:t>
            </w:r>
            <w:r w:rsidRPr="003D7B76">
              <w:rPr>
                <w:rFonts w:ascii="Arial" w:hAnsi="Arial"/>
                <w:sz w:val="22"/>
                <w:szCs w:val="22"/>
              </w:rPr>
              <w:t xml:space="preserve"> and identity.</w:t>
            </w:r>
          </w:p>
        </w:tc>
        <w:tc>
          <w:tcPr>
            <w:tcW w:w="0" w:type="auto"/>
            <w:hideMark/>
          </w:tcPr>
          <w:p w14:paraId="5D0A3219" w14:textId="0068DF85"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 xml:space="preserve">Staff shortages and time pressures. </w:t>
            </w:r>
          </w:p>
          <w:p w14:paraId="4BDD44F0" w14:textId="6F362249"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 xml:space="preserve">Lack of training or understanding of PCC. </w:t>
            </w:r>
          </w:p>
          <w:p w14:paraId="45304D6B" w14:textId="25E79A9C" w:rsidR="0048181A" w:rsidRPr="003D7B76" w:rsidRDefault="0048181A" w:rsidP="00BD4D82">
            <w:pPr>
              <w:pStyle w:val="ListParagraph"/>
              <w:numPr>
                <w:ilvl w:val="0"/>
                <w:numId w:val="10"/>
              </w:numPr>
              <w:spacing w:line="360" w:lineRule="exact"/>
              <w:ind w:left="334"/>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3D7B76">
              <w:rPr>
                <w:rFonts w:ascii="Arial" w:hAnsi="Arial"/>
                <w:sz w:val="22"/>
                <w:szCs w:val="22"/>
              </w:rPr>
              <w:t>Focus on tasks instead of individual needs.</w:t>
            </w:r>
          </w:p>
        </w:tc>
      </w:tr>
      <w:tr w:rsidR="00FE0523" w:rsidRPr="003D7B76" w14:paraId="4CBC65EB" w14:textId="77777777" w:rsidTr="0048181A">
        <w:tc>
          <w:tcPr>
            <w:cnfStyle w:val="001000000000" w:firstRow="0" w:lastRow="0" w:firstColumn="1" w:lastColumn="0" w:oddVBand="0" w:evenVBand="0" w:oddHBand="0" w:evenHBand="0" w:firstRowFirstColumn="0" w:firstRowLastColumn="0" w:lastRowFirstColumn="0" w:lastRowLastColumn="0"/>
            <w:tcW w:w="0" w:type="auto"/>
            <w:hideMark/>
          </w:tcPr>
          <w:p w14:paraId="2C0351C9" w14:textId="77777777" w:rsidR="0048181A" w:rsidRPr="003D7B76" w:rsidRDefault="0048181A" w:rsidP="00BD4D82">
            <w:pPr>
              <w:spacing w:after="160" w:line="360" w:lineRule="exact"/>
              <w:jc w:val="both"/>
              <w:rPr>
                <w:rFonts w:ascii="Arial" w:hAnsi="Arial"/>
                <w:sz w:val="22"/>
                <w:szCs w:val="22"/>
              </w:rPr>
            </w:pPr>
            <w:r w:rsidRPr="003D7B76">
              <w:rPr>
                <w:rFonts w:ascii="Arial" w:hAnsi="Arial"/>
                <w:sz w:val="22"/>
                <w:szCs w:val="22"/>
              </w:rPr>
              <w:t>Partnership Working (PW)</w:t>
            </w:r>
          </w:p>
        </w:tc>
        <w:tc>
          <w:tcPr>
            <w:tcW w:w="0" w:type="auto"/>
            <w:hideMark/>
          </w:tcPr>
          <w:p w14:paraId="60FDC363" w14:textId="3B096A78"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 xml:space="preserve">Improves communication and coordination between services. </w:t>
            </w:r>
          </w:p>
          <w:p w14:paraId="474022B1" w14:textId="69959186"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 xml:space="preserve">Helps meet physical, emotional, and social needs. </w:t>
            </w:r>
          </w:p>
          <w:p w14:paraId="16654412" w14:textId="5EC3E280"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Strengthens safeguarding and reduces errors.</w:t>
            </w:r>
          </w:p>
        </w:tc>
        <w:tc>
          <w:tcPr>
            <w:tcW w:w="0" w:type="auto"/>
            <w:hideMark/>
          </w:tcPr>
          <w:p w14:paraId="11B3841D" w14:textId="7B5027B3"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 xml:space="preserve">Poor communication between agencies. </w:t>
            </w:r>
          </w:p>
          <w:p w14:paraId="60CC8E84" w14:textId="7B453BD5"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 xml:space="preserve">Role confusion and lack of clear responsibilities. </w:t>
            </w:r>
          </w:p>
          <w:p w14:paraId="45F114EB" w14:textId="1026F91E" w:rsidR="0048181A" w:rsidRPr="003D7B76" w:rsidRDefault="0048181A" w:rsidP="00BD4D82">
            <w:pPr>
              <w:pStyle w:val="ListParagraph"/>
              <w:numPr>
                <w:ilvl w:val="0"/>
                <w:numId w:val="10"/>
              </w:numPr>
              <w:spacing w:line="360" w:lineRule="exact"/>
              <w:ind w:left="334"/>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3D7B76">
              <w:rPr>
                <w:rFonts w:ascii="Arial" w:hAnsi="Arial"/>
                <w:sz w:val="22"/>
                <w:szCs w:val="22"/>
              </w:rPr>
              <w:t>Limited funding and resources.</w:t>
            </w:r>
          </w:p>
        </w:tc>
      </w:tr>
    </w:tbl>
    <w:p w14:paraId="70CE33C5" w14:textId="77777777" w:rsidR="0048181A" w:rsidRPr="003D7B76" w:rsidRDefault="0048181A" w:rsidP="00F03DA1">
      <w:pPr>
        <w:spacing w:line="360" w:lineRule="auto"/>
        <w:jc w:val="both"/>
        <w:rPr>
          <w:rFonts w:ascii="Arial" w:hAnsi="Arial"/>
          <w:sz w:val="22"/>
          <w:szCs w:val="22"/>
        </w:rPr>
      </w:pPr>
    </w:p>
    <w:p w14:paraId="6366A579" w14:textId="77777777" w:rsidR="00D07F57" w:rsidRPr="003D7B76" w:rsidRDefault="00D07F57" w:rsidP="00D07F57">
      <w:pPr>
        <w:pStyle w:val="Heading1"/>
        <w:rPr>
          <w:color w:val="000000" w:themeColor="text1"/>
          <w:sz w:val="22"/>
          <w:szCs w:val="22"/>
        </w:rPr>
      </w:pPr>
      <w:bookmarkStart w:id="6" w:name="_Toc212591883"/>
      <w:r w:rsidRPr="003D7B76">
        <w:rPr>
          <w:color w:val="000000" w:themeColor="text1"/>
          <w:sz w:val="22"/>
          <w:szCs w:val="22"/>
        </w:rPr>
        <w:t>Policy and Legislation</w:t>
      </w:r>
      <w:bookmarkEnd w:id="6"/>
    </w:p>
    <w:p w14:paraId="73E704FF"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UK health and social care is shaped by key laws and policies that support both Person-Centred Care (PCC) and Partnership Working (PW). These frameworks set standards for practice and protect the rights of service users.</w:t>
      </w:r>
    </w:p>
    <w:p w14:paraId="00B79603"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lastRenderedPageBreak/>
        <w:t>The Health and Care Act 2022 introduced Integrated Care Systems (ICS), which aim to bring together the NHS, local authorities, and other partners to deliver joined-up services (NHS England, 2022). For care homes, this means closer links with GPs, hospitals, and community services, supporting more coordinated care for residents with complex needs.</w:t>
      </w:r>
    </w:p>
    <w:p w14:paraId="1E02AFCF" w14:textId="6B8FFA60" w:rsidR="00D07F57" w:rsidRPr="003D7B76" w:rsidRDefault="00D07F57" w:rsidP="00D07F57">
      <w:pPr>
        <w:spacing w:line="360" w:lineRule="auto"/>
        <w:jc w:val="both"/>
        <w:rPr>
          <w:rFonts w:ascii="Arial" w:hAnsi="Arial"/>
          <w:sz w:val="22"/>
          <w:szCs w:val="22"/>
        </w:rPr>
      </w:pPr>
      <w:r w:rsidRPr="003D7B76">
        <w:rPr>
          <w:rFonts w:ascii="Arial" w:hAnsi="Arial"/>
          <w:sz w:val="22"/>
          <w:szCs w:val="22"/>
        </w:rPr>
        <w:t>The Care Act 2014 is central to adult social care. It places a duty on local authorities to promote individual well-being and ensure that people receive personalised support (</w:t>
      </w:r>
      <w:proofErr w:type="spellStart"/>
      <w:r w:rsidRPr="003D7B76">
        <w:rPr>
          <w:rFonts w:ascii="Arial" w:hAnsi="Arial"/>
          <w:sz w:val="22"/>
          <w:szCs w:val="22"/>
        </w:rPr>
        <w:t>Brayne</w:t>
      </w:r>
      <w:proofErr w:type="spellEnd"/>
      <w:r w:rsidRPr="003D7B76">
        <w:rPr>
          <w:rFonts w:ascii="Arial" w:hAnsi="Arial"/>
          <w:sz w:val="22"/>
          <w:szCs w:val="22"/>
        </w:rPr>
        <w:t xml:space="preserve"> &amp; Carr, 20</w:t>
      </w:r>
      <w:r w:rsidR="002A3398" w:rsidRPr="003D7B76">
        <w:rPr>
          <w:rFonts w:ascii="Arial" w:hAnsi="Arial"/>
          <w:sz w:val="22"/>
          <w:szCs w:val="22"/>
        </w:rPr>
        <w:t>15</w:t>
      </w:r>
      <w:r w:rsidRPr="003D7B76">
        <w:rPr>
          <w:rFonts w:ascii="Arial" w:hAnsi="Arial"/>
          <w:sz w:val="22"/>
          <w:szCs w:val="22"/>
        </w:rPr>
        <w:t>). In care homes, this underpins the idea that residents should have choices about their care plans, daily routines, and levels of independence.</w:t>
      </w:r>
    </w:p>
    <w:p w14:paraId="681F4CF3"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The Equality Act 2010 protects people from discrimination based on age, disability, race, or other protected characteristics (Gov.uk, 2020). This is crucial in care homes, where older adults or people with dementia may face stigma. By enforcing equality, the Act ensures fair access to services and respect for diversity.</w:t>
      </w:r>
    </w:p>
    <w:p w14:paraId="13D7E6D3" w14:textId="03B1EDAF" w:rsidR="00D07F57" w:rsidRPr="003D7B76" w:rsidRDefault="00D07F57" w:rsidP="00D07F57">
      <w:pPr>
        <w:spacing w:line="360" w:lineRule="auto"/>
        <w:jc w:val="both"/>
        <w:rPr>
          <w:rFonts w:ascii="Arial" w:hAnsi="Arial"/>
          <w:sz w:val="22"/>
          <w:szCs w:val="22"/>
        </w:rPr>
      </w:pPr>
      <w:r w:rsidRPr="003D7B76">
        <w:rPr>
          <w:rFonts w:ascii="Arial" w:hAnsi="Arial"/>
          <w:sz w:val="22"/>
          <w:szCs w:val="22"/>
        </w:rPr>
        <w:t xml:space="preserve">The Human Rights Act 1998 also plays a vital role, guaranteeing rights such as dignity, liberty, and the right to life </w:t>
      </w:r>
      <w:r w:rsidR="006248CB" w:rsidRPr="003D7B76">
        <w:rPr>
          <w:rFonts w:ascii="Arial" w:hAnsi="Arial"/>
          <w:sz w:val="22"/>
          <w:szCs w:val="22"/>
        </w:rPr>
        <w:t>(Goodwin et al., 2014)</w:t>
      </w:r>
      <w:r w:rsidRPr="003D7B76">
        <w:rPr>
          <w:rFonts w:ascii="Arial" w:hAnsi="Arial"/>
          <w:sz w:val="22"/>
          <w:szCs w:val="22"/>
        </w:rPr>
        <w:t>. In practice, this means care homes must protect residents’ dignity in daily care, uphold privacy, and respect end-of-life wishes.</w:t>
      </w:r>
    </w:p>
    <w:p w14:paraId="5CBEF508" w14:textId="655EA73D" w:rsidR="00D07F57" w:rsidRPr="003D7B76" w:rsidRDefault="00D07F57" w:rsidP="00D07F57">
      <w:pPr>
        <w:spacing w:line="360" w:lineRule="auto"/>
        <w:jc w:val="both"/>
        <w:rPr>
          <w:rFonts w:ascii="Arial" w:hAnsi="Arial"/>
          <w:sz w:val="22"/>
          <w:szCs w:val="22"/>
        </w:rPr>
      </w:pPr>
      <w:r w:rsidRPr="003D7B76">
        <w:rPr>
          <w:rFonts w:ascii="Arial" w:hAnsi="Arial"/>
          <w:sz w:val="22"/>
          <w:szCs w:val="22"/>
        </w:rPr>
        <w:t xml:space="preserve">While these policies strongly support PCC and PW, challenges remain. Limited staffing, high workloads, and financial pressures can make it difficult to fully achieve the standards set out in law (Hall et al., 2021). For example, although the Care Act promotes personalisation, staff shortages may restrict time available for individualised planning. Similarly, while the Health and Care Act </w:t>
      </w:r>
      <w:proofErr w:type="gramStart"/>
      <w:r w:rsidR="00F2628A" w:rsidRPr="003D7B76">
        <w:rPr>
          <w:rFonts w:ascii="Arial" w:hAnsi="Arial"/>
          <w:sz w:val="22"/>
          <w:szCs w:val="22"/>
        </w:rPr>
        <w:t>supports</w:t>
      </w:r>
      <w:proofErr w:type="gramEnd"/>
      <w:r w:rsidRPr="003D7B76">
        <w:rPr>
          <w:rFonts w:ascii="Arial" w:hAnsi="Arial"/>
          <w:sz w:val="22"/>
          <w:szCs w:val="22"/>
        </w:rPr>
        <w:t xml:space="preserve"> integration, communication gaps between services still exist.</w:t>
      </w:r>
    </w:p>
    <w:p w14:paraId="24CB1F95"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Overall, legislation provides a strong framework for promoting rights, dignity, and collaboration in care homes. However, without adequate resources and staffing, putting these policies into practice remains a challenge.</w:t>
      </w:r>
    </w:p>
    <w:p w14:paraId="5AB08E9D" w14:textId="77777777" w:rsidR="00D07F57" w:rsidRPr="003D7B76" w:rsidRDefault="00D07F57" w:rsidP="00D07F57">
      <w:pPr>
        <w:pStyle w:val="Heading1"/>
        <w:rPr>
          <w:color w:val="000000" w:themeColor="text1"/>
          <w:sz w:val="22"/>
          <w:szCs w:val="22"/>
        </w:rPr>
      </w:pPr>
      <w:bookmarkStart w:id="7" w:name="_Toc212591884"/>
      <w:r w:rsidRPr="003D7B76">
        <w:rPr>
          <w:color w:val="000000" w:themeColor="text1"/>
          <w:sz w:val="22"/>
          <w:szCs w:val="22"/>
        </w:rPr>
        <w:t>Recommendations</w:t>
      </w:r>
      <w:bookmarkEnd w:id="7"/>
    </w:p>
    <w:p w14:paraId="425C166B"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To strengthen Person-Centred Care (PCC) and Partnership Working (PW) in care homes, several improvements are needed.</w:t>
      </w:r>
    </w:p>
    <w:p w14:paraId="61D4EA99"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First, there should be greater investment in staff training. Training in PCC, dementia care, and communication skills can help staff provide more personalised and compassionate support (Chenoweth et al., 2020). Ongoing professional development ensures that care workers feel confident and motivated to put PCC into practice.</w:t>
      </w:r>
    </w:p>
    <w:p w14:paraId="4038E6B8" w14:textId="209CDE4B" w:rsidR="00D07F57" w:rsidRPr="003D7B76" w:rsidRDefault="00D07F57" w:rsidP="00D07F57">
      <w:pPr>
        <w:spacing w:line="360" w:lineRule="auto"/>
        <w:jc w:val="both"/>
        <w:rPr>
          <w:rFonts w:ascii="Arial" w:hAnsi="Arial"/>
          <w:sz w:val="22"/>
          <w:szCs w:val="22"/>
        </w:rPr>
      </w:pPr>
      <w:r w:rsidRPr="003D7B76">
        <w:rPr>
          <w:rFonts w:ascii="Arial" w:hAnsi="Arial"/>
          <w:sz w:val="22"/>
          <w:szCs w:val="22"/>
        </w:rPr>
        <w:t xml:space="preserve">Second, the use of technology should be expanded. Electronic care plans and digital record systems can improve communication between care homes, GPs, hospitals, and families. This </w:t>
      </w:r>
      <w:r w:rsidRPr="003D7B76">
        <w:rPr>
          <w:rFonts w:ascii="Arial" w:hAnsi="Arial"/>
          <w:sz w:val="22"/>
          <w:szCs w:val="22"/>
        </w:rPr>
        <w:lastRenderedPageBreak/>
        <w:t xml:space="preserve">supports </w:t>
      </w:r>
      <w:proofErr w:type="gramStart"/>
      <w:r w:rsidRPr="003D7B76">
        <w:rPr>
          <w:rFonts w:ascii="Arial" w:hAnsi="Arial"/>
          <w:sz w:val="22"/>
          <w:szCs w:val="22"/>
        </w:rPr>
        <w:t>joined-up</w:t>
      </w:r>
      <w:proofErr w:type="gramEnd"/>
      <w:r w:rsidRPr="003D7B76">
        <w:rPr>
          <w:rFonts w:ascii="Arial" w:hAnsi="Arial"/>
          <w:sz w:val="22"/>
          <w:szCs w:val="22"/>
        </w:rPr>
        <w:t xml:space="preserve"> working and reduces mistakes caused by poor information sharing </w:t>
      </w:r>
      <w:r w:rsidR="00FD5152" w:rsidRPr="003D7B76">
        <w:rPr>
          <w:rFonts w:ascii="Arial" w:hAnsi="Arial"/>
          <w:sz w:val="22"/>
          <w:szCs w:val="22"/>
        </w:rPr>
        <w:t>(Sinha, 2024)</w:t>
      </w:r>
      <w:r w:rsidRPr="003D7B76">
        <w:rPr>
          <w:rFonts w:ascii="Arial" w:hAnsi="Arial"/>
          <w:sz w:val="22"/>
          <w:szCs w:val="22"/>
        </w:rPr>
        <w:t>.</w:t>
      </w:r>
    </w:p>
    <w:p w14:paraId="61F7F357" w14:textId="180DAC74" w:rsidR="00D07F57" w:rsidRPr="003D7B76" w:rsidRDefault="00D07F57" w:rsidP="00D07F57">
      <w:pPr>
        <w:spacing w:line="360" w:lineRule="auto"/>
        <w:jc w:val="both"/>
        <w:rPr>
          <w:rFonts w:ascii="Arial" w:hAnsi="Arial"/>
          <w:sz w:val="22"/>
          <w:szCs w:val="22"/>
        </w:rPr>
      </w:pPr>
      <w:r w:rsidRPr="003D7B76">
        <w:rPr>
          <w:rFonts w:ascii="Arial" w:hAnsi="Arial"/>
          <w:sz w:val="22"/>
          <w:szCs w:val="22"/>
        </w:rPr>
        <w:t xml:space="preserve">Third, family involvement must be strengthened. Families often know residents’ preferences and histories best, so including them in care planning helps to maintain identity and dignity </w:t>
      </w:r>
      <w:r w:rsidR="008E36ED" w:rsidRPr="003D7B76">
        <w:rPr>
          <w:rFonts w:ascii="Arial" w:hAnsi="Arial"/>
          <w:sz w:val="22"/>
          <w:szCs w:val="22"/>
        </w:rPr>
        <w:t>Lehto-Niskala et al., 2021)</w:t>
      </w:r>
      <w:r w:rsidRPr="003D7B76">
        <w:rPr>
          <w:rFonts w:ascii="Arial" w:hAnsi="Arial"/>
          <w:sz w:val="22"/>
          <w:szCs w:val="22"/>
        </w:rPr>
        <w:t>. Family participation also builds trust and partnership between staff and relatives.</w:t>
      </w:r>
    </w:p>
    <w:p w14:paraId="003F29ED" w14:textId="6EAA4E68" w:rsidR="00D07F57" w:rsidRPr="003D7B76" w:rsidRDefault="00D07F57" w:rsidP="00D07F57">
      <w:pPr>
        <w:spacing w:line="360" w:lineRule="auto"/>
        <w:jc w:val="both"/>
        <w:rPr>
          <w:rFonts w:ascii="Arial" w:hAnsi="Arial"/>
          <w:sz w:val="22"/>
          <w:szCs w:val="22"/>
        </w:rPr>
      </w:pPr>
      <w:r w:rsidRPr="003D7B76">
        <w:rPr>
          <w:rFonts w:ascii="Arial" w:hAnsi="Arial"/>
          <w:sz w:val="22"/>
          <w:szCs w:val="22"/>
        </w:rPr>
        <w:t xml:space="preserve">Finally, there needs to be improved funding and staffing ratios. Without enough staff and resources, PCC cannot be fully achieved. Adequate funding would reduce pressure on care workers and give them more time to deliver meaningful, individualised care </w:t>
      </w:r>
      <w:r w:rsidR="00ED6782" w:rsidRPr="003D7B76">
        <w:rPr>
          <w:rFonts w:ascii="Arial" w:hAnsi="Arial"/>
          <w:sz w:val="22"/>
          <w:szCs w:val="22"/>
        </w:rPr>
        <w:t>(Care Quality Commission, 2021)</w:t>
      </w:r>
      <w:r w:rsidRPr="003D7B76">
        <w:rPr>
          <w:rFonts w:ascii="Arial" w:hAnsi="Arial"/>
          <w:sz w:val="22"/>
          <w:szCs w:val="22"/>
        </w:rPr>
        <w:t>.</w:t>
      </w:r>
    </w:p>
    <w:p w14:paraId="123809FF" w14:textId="77777777" w:rsidR="00D07F57" w:rsidRPr="003D7B76" w:rsidRDefault="00D07F57" w:rsidP="00D07F57">
      <w:pPr>
        <w:spacing w:line="360" w:lineRule="auto"/>
        <w:jc w:val="both"/>
        <w:rPr>
          <w:rFonts w:ascii="Arial" w:hAnsi="Arial"/>
          <w:sz w:val="22"/>
          <w:szCs w:val="22"/>
        </w:rPr>
      </w:pPr>
      <w:r w:rsidRPr="003D7B76">
        <w:rPr>
          <w:rFonts w:ascii="Arial" w:hAnsi="Arial"/>
          <w:sz w:val="22"/>
          <w:szCs w:val="22"/>
        </w:rPr>
        <w:t>However, these recommendations face barriers such as budget constraints, workforce shortages, and resistance to change in overstretched systems. Policymakers and managers must recognise that investing in PCC and PW is not only ethically right but also improves long-term outcomes and reduces costs linked to poor care.</w:t>
      </w:r>
    </w:p>
    <w:p w14:paraId="057203BC" w14:textId="77777777" w:rsidR="00CF7751" w:rsidRPr="003D7B76" w:rsidRDefault="00CF7751" w:rsidP="00CF7751">
      <w:pPr>
        <w:pStyle w:val="Heading1"/>
        <w:rPr>
          <w:color w:val="000000" w:themeColor="text1"/>
          <w:sz w:val="22"/>
          <w:szCs w:val="22"/>
        </w:rPr>
      </w:pPr>
      <w:bookmarkStart w:id="8" w:name="_Toc212591885"/>
      <w:r w:rsidRPr="003D7B76">
        <w:rPr>
          <w:color w:val="000000" w:themeColor="text1"/>
          <w:sz w:val="22"/>
          <w:szCs w:val="22"/>
        </w:rPr>
        <w:t>Conclusion</w:t>
      </w:r>
      <w:bookmarkEnd w:id="8"/>
    </w:p>
    <w:p w14:paraId="0205FBDF" w14:textId="77777777" w:rsidR="00CF7751" w:rsidRPr="003D7B76" w:rsidRDefault="00CF7751" w:rsidP="00CF7751">
      <w:pPr>
        <w:spacing w:line="360" w:lineRule="auto"/>
        <w:jc w:val="both"/>
        <w:rPr>
          <w:rFonts w:ascii="Arial" w:hAnsi="Arial"/>
          <w:sz w:val="22"/>
          <w:szCs w:val="22"/>
        </w:rPr>
      </w:pPr>
      <w:r w:rsidRPr="003D7B76">
        <w:rPr>
          <w:rFonts w:ascii="Arial" w:hAnsi="Arial"/>
          <w:sz w:val="22"/>
          <w:szCs w:val="22"/>
        </w:rPr>
        <w:t>This report has shown that Person-Centred Care (PCC) and Partnership Working (PW) are essential for high-quality care in care homes. PCC ensures that residents are treated with dignity and respect, and that their individual needs, preferences, and identities are recognised. However, the delivery of PCC is often limited by practical barriers such as staff shortages, limited funding, and high workloads, which reduce the ability of staff to give truly personalised care.</w:t>
      </w:r>
    </w:p>
    <w:p w14:paraId="3A9C52CF" w14:textId="65635544" w:rsidR="00CF7751" w:rsidRPr="003D7B76" w:rsidRDefault="00CF7751" w:rsidP="00CF7751">
      <w:pPr>
        <w:spacing w:line="360" w:lineRule="auto"/>
        <w:jc w:val="both"/>
        <w:rPr>
          <w:rFonts w:ascii="Arial" w:hAnsi="Arial"/>
          <w:sz w:val="22"/>
          <w:szCs w:val="22"/>
        </w:rPr>
      </w:pPr>
      <w:proofErr w:type="spellStart"/>
      <w:r w:rsidRPr="003D7B76">
        <w:rPr>
          <w:rFonts w:ascii="Arial" w:hAnsi="Arial"/>
          <w:sz w:val="22"/>
          <w:szCs w:val="22"/>
        </w:rPr>
        <w:t>Kitwood’s</w:t>
      </w:r>
      <w:proofErr w:type="spellEnd"/>
      <w:r w:rsidRPr="003D7B76">
        <w:rPr>
          <w:rFonts w:ascii="Arial" w:hAnsi="Arial"/>
          <w:sz w:val="22"/>
          <w:szCs w:val="22"/>
        </w:rPr>
        <w:t xml:space="preserve"> Personhood Theory provides a strong framework for understanding how dignity and identity can be supported, especially for people with dementia. By focusing on respect, meaningful activity, and positive relationships, the model highlights what </w:t>
      </w:r>
      <w:r w:rsidR="00F2628A" w:rsidRPr="003D7B76">
        <w:rPr>
          <w:rFonts w:ascii="Arial" w:hAnsi="Arial"/>
          <w:sz w:val="22"/>
          <w:szCs w:val="22"/>
        </w:rPr>
        <w:t xml:space="preserve">a </w:t>
      </w:r>
      <w:r w:rsidRPr="003D7B76">
        <w:rPr>
          <w:rFonts w:ascii="Arial" w:hAnsi="Arial"/>
          <w:sz w:val="22"/>
          <w:szCs w:val="22"/>
        </w:rPr>
        <w:t>good PCC should look like in practice.</w:t>
      </w:r>
    </w:p>
    <w:p w14:paraId="1A219CE8" w14:textId="77777777" w:rsidR="00CF7751" w:rsidRPr="003D7B76" w:rsidRDefault="00CF7751" w:rsidP="00CF7751">
      <w:pPr>
        <w:spacing w:line="360" w:lineRule="auto"/>
        <w:jc w:val="both"/>
        <w:rPr>
          <w:rFonts w:ascii="Arial" w:hAnsi="Arial"/>
          <w:sz w:val="22"/>
          <w:szCs w:val="22"/>
        </w:rPr>
      </w:pPr>
      <w:r w:rsidRPr="003D7B76">
        <w:rPr>
          <w:rFonts w:ascii="Arial" w:hAnsi="Arial"/>
          <w:sz w:val="22"/>
          <w:szCs w:val="22"/>
        </w:rPr>
        <w:t>PW was also shown to improve outcomes for residents, as it brings together professionals, families, and community services to deliver more holistic care. At the same time, challenges such as communication problems, role confusion, and funding pressures make effective partnership difficult to achieve consistently.</w:t>
      </w:r>
    </w:p>
    <w:p w14:paraId="168D2243" w14:textId="77777777" w:rsidR="00CF7751" w:rsidRPr="003D7B76" w:rsidRDefault="00CF7751" w:rsidP="00CF7751">
      <w:pPr>
        <w:spacing w:line="360" w:lineRule="auto"/>
        <w:jc w:val="both"/>
        <w:rPr>
          <w:rFonts w:ascii="Arial" w:hAnsi="Arial"/>
          <w:sz w:val="22"/>
          <w:szCs w:val="22"/>
        </w:rPr>
      </w:pPr>
      <w:r w:rsidRPr="003D7B76">
        <w:rPr>
          <w:rFonts w:ascii="Arial" w:hAnsi="Arial"/>
          <w:sz w:val="22"/>
          <w:szCs w:val="22"/>
        </w:rPr>
        <w:t>Policies such as the Care Act 2014, Equality Act 2010, and Health and Care Act 2022 provide strong support for PCC and PW. However, for these to succeed, investment in training, staffing, technology, and family involvement is needed. Implementing these recommendations will help ensure that care in the future is both person-centred and collaborative.</w:t>
      </w:r>
    </w:p>
    <w:p w14:paraId="5CBB5420" w14:textId="77777777" w:rsidR="00CF7751" w:rsidRPr="00D07F57" w:rsidRDefault="00CF7751" w:rsidP="00D07F57">
      <w:pPr>
        <w:spacing w:line="360" w:lineRule="auto"/>
        <w:jc w:val="both"/>
        <w:rPr>
          <w:rFonts w:ascii="Arial" w:hAnsi="Arial"/>
        </w:rPr>
      </w:pPr>
    </w:p>
    <w:p w14:paraId="43EFA37E" w14:textId="77777777" w:rsidR="00D07F57" w:rsidRPr="00D07F57" w:rsidRDefault="00D07F57" w:rsidP="00D07F57">
      <w:pPr>
        <w:spacing w:line="360" w:lineRule="auto"/>
        <w:jc w:val="both"/>
        <w:rPr>
          <w:rFonts w:ascii="Arial" w:hAnsi="Arial"/>
        </w:rPr>
      </w:pPr>
    </w:p>
    <w:p w14:paraId="423E0879" w14:textId="77777777" w:rsidR="00F03DA1" w:rsidRPr="00583417" w:rsidRDefault="00F03DA1" w:rsidP="00583417">
      <w:pPr>
        <w:spacing w:line="360" w:lineRule="auto"/>
        <w:jc w:val="both"/>
        <w:rPr>
          <w:rFonts w:ascii="Arial" w:hAnsi="Arial"/>
        </w:rPr>
      </w:pPr>
    </w:p>
    <w:p w14:paraId="76C0C60F" w14:textId="77777777" w:rsidR="003D7B76" w:rsidRDefault="003D7B76" w:rsidP="00C8177A">
      <w:pPr>
        <w:pStyle w:val="Heading1"/>
        <w:rPr>
          <w:color w:val="000000" w:themeColor="text1"/>
        </w:rPr>
      </w:pPr>
    </w:p>
    <w:p w14:paraId="6B6C7B3F" w14:textId="7573CE5D" w:rsidR="000C3E68" w:rsidRPr="003D7B76" w:rsidRDefault="003D7B76" w:rsidP="00C8177A">
      <w:pPr>
        <w:pStyle w:val="Heading1"/>
        <w:rPr>
          <w:color w:val="000000" w:themeColor="text1"/>
        </w:rPr>
      </w:pPr>
      <w:r w:rsidRPr="003D7B76">
        <w:rPr>
          <w:color w:val="000000" w:themeColor="text1"/>
        </w:rPr>
        <w:t>References</w:t>
      </w:r>
    </w:p>
    <w:p w14:paraId="67AD2BE5" w14:textId="03F5001E" w:rsidR="00E830E2" w:rsidRPr="00E830E2" w:rsidRDefault="008E36ED" w:rsidP="00E17D14">
      <w:pPr>
        <w:spacing w:line="360" w:lineRule="auto"/>
        <w:rPr>
          <w:rFonts w:ascii="Arial" w:hAnsi="Arial"/>
        </w:rPr>
      </w:pPr>
      <w:bookmarkStart w:id="9" w:name="_Hlk212592503"/>
      <w:r w:rsidRPr="008E36ED">
        <w:rPr>
          <w:rFonts w:ascii="Arial" w:hAnsi="Arial"/>
        </w:rPr>
        <w:t xml:space="preserve">Lehto-Niskala, V., Jolanki, O. &amp; Jylhä, M. (2021) ‘Family’s role in long-term care—A qualitative study of Finnish family members’ experiences on supporting the functional ability of an older relative’, </w:t>
      </w:r>
      <w:r w:rsidRPr="008E36ED">
        <w:rPr>
          <w:rFonts w:ascii="Arial" w:hAnsi="Arial"/>
          <w:i/>
          <w:iCs/>
        </w:rPr>
        <w:t>Health &amp; Social Care in the Community</w:t>
      </w:r>
      <w:r w:rsidRPr="008E36ED">
        <w:rPr>
          <w:rFonts w:ascii="Arial" w:hAnsi="Arial"/>
        </w:rPr>
        <w:t xml:space="preserve">, 30(5), e2571-e2579. </w:t>
      </w:r>
      <w:proofErr w:type="spellStart"/>
      <w:r w:rsidRPr="008E36ED">
        <w:rPr>
          <w:rFonts w:ascii="Arial" w:hAnsi="Arial"/>
        </w:rPr>
        <w:t>doi</w:t>
      </w:r>
      <w:proofErr w:type="spellEnd"/>
      <w:r w:rsidRPr="008E36ED">
        <w:rPr>
          <w:rFonts w:ascii="Arial" w:hAnsi="Arial"/>
        </w:rPr>
        <w:t>: 10.1111/hsc.13700.</w:t>
      </w:r>
    </w:p>
    <w:bookmarkEnd w:id="9"/>
    <w:p w14:paraId="7979E946" w14:textId="77777777" w:rsidR="00E830E2" w:rsidRPr="00E830E2" w:rsidRDefault="00E830E2" w:rsidP="00E17D14">
      <w:pPr>
        <w:spacing w:line="360" w:lineRule="auto"/>
        <w:rPr>
          <w:rFonts w:ascii="Arial" w:hAnsi="Arial"/>
        </w:rPr>
      </w:pPr>
      <w:r w:rsidRPr="00E830E2">
        <w:rPr>
          <w:rFonts w:ascii="Arial" w:hAnsi="Arial"/>
        </w:rPr>
        <w:t xml:space="preserve">Beauchamp, T. &amp; Childress, J. (2019). </w:t>
      </w:r>
      <w:r w:rsidRPr="00E830E2">
        <w:rPr>
          <w:rFonts w:ascii="Arial" w:hAnsi="Arial"/>
          <w:i/>
          <w:iCs/>
        </w:rPr>
        <w:t>Principles of Biomedical Ethics</w:t>
      </w:r>
      <w:r w:rsidRPr="00E830E2">
        <w:rPr>
          <w:rFonts w:ascii="Arial" w:hAnsi="Arial"/>
        </w:rPr>
        <w:t>. 8th ed. Oxford: Oxford University Press.</w:t>
      </w:r>
    </w:p>
    <w:p w14:paraId="54F710A6" w14:textId="429B71B3" w:rsidR="00E830E2" w:rsidRPr="00E830E2" w:rsidRDefault="00043876" w:rsidP="00E17D14">
      <w:pPr>
        <w:spacing w:line="360" w:lineRule="auto"/>
        <w:rPr>
          <w:rFonts w:ascii="Arial" w:hAnsi="Arial"/>
        </w:rPr>
      </w:pPr>
      <w:r w:rsidRPr="00043876">
        <w:rPr>
          <w:rFonts w:ascii="Arial" w:hAnsi="Arial"/>
        </w:rPr>
        <w:t xml:space="preserve">Mitchell, P., Cribb, A. &amp; Entwistle, V.A. (2022) ‘Vagueness and variety in person-centred care’, </w:t>
      </w:r>
      <w:r w:rsidRPr="00043876">
        <w:rPr>
          <w:rFonts w:ascii="Arial" w:hAnsi="Arial"/>
          <w:i/>
          <w:iCs/>
        </w:rPr>
        <w:t>Journal of Evaluation in Clinical Practice</w:t>
      </w:r>
      <w:r w:rsidRPr="00043876">
        <w:rPr>
          <w:rFonts w:ascii="Arial" w:hAnsi="Arial"/>
        </w:rPr>
        <w:t xml:space="preserve">, 28(5), pp. 749-756. </w:t>
      </w:r>
      <w:proofErr w:type="spellStart"/>
      <w:r w:rsidRPr="00043876">
        <w:rPr>
          <w:rFonts w:ascii="Arial" w:hAnsi="Arial"/>
        </w:rPr>
        <w:t>doi</w:t>
      </w:r>
      <w:proofErr w:type="spellEnd"/>
      <w:r w:rsidRPr="00043876">
        <w:rPr>
          <w:rFonts w:ascii="Arial" w:hAnsi="Arial"/>
        </w:rPr>
        <w:t>: 10.1111/jep.13771.</w:t>
      </w:r>
    </w:p>
    <w:p w14:paraId="254691A3" w14:textId="3D720A1F" w:rsidR="00E830E2" w:rsidRPr="00E830E2" w:rsidRDefault="002A3398" w:rsidP="00E17D14">
      <w:pPr>
        <w:spacing w:line="360" w:lineRule="auto"/>
        <w:rPr>
          <w:rFonts w:ascii="Arial" w:hAnsi="Arial"/>
        </w:rPr>
      </w:pPr>
      <w:proofErr w:type="spellStart"/>
      <w:r w:rsidRPr="002A3398">
        <w:rPr>
          <w:rFonts w:ascii="Arial" w:hAnsi="Arial"/>
        </w:rPr>
        <w:t>Brayne</w:t>
      </w:r>
      <w:proofErr w:type="spellEnd"/>
      <w:r w:rsidRPr="002A3398">
        <w:rPr>
          <w:rFonts w:ascii="Arial" w:hAnsi="Arial"/>
        </w:rPr>
        <w:t xml:space="preserve">, H., Carr, H. &amp; </w:t>
      </w:r>
      <w:proofErr w:type="spellStart"/>
      <w:r w:rsidRPr="002A3398">
        <w:rPr>
          <w:rFonts w:ascii="Arial" w:hAnsi="Arial"/>
        </w:rPr>
        <w:t>Goosey</w:t>
      </w:r>
      <w:proofErr w:type="spellEnd"/>
      <w:r w:rsidRPr="002A3398">
        <w:rPr>
          <w:rFonts w:ascii="Arial" w:hAnsi="Arial"/>
        </w:rPr>
        <w:t xml:space="preserve">, D. (2015) </w:t>
      </w:r>
      <w:r w:rsidRPr="002A3398">
        <w:rPr>
          <w:rFonts w:ascii="Arial" w:hAnsi="Arial"/>
          <w:i/>
          <w:iCs/>
        </w:rPr>
        <w:t>Law for Social Workers</w:t>
      </w:r>
      <w:r w:rsidRPr="002A3398">
        <w:rPr>
          <w:rFonts w:ascii="Arial" w:hAnsi="Arial"/>
        </w:rPr>
        <w:t>, 13th ed. Oxford: Oxford University Press.</w:t>
      </w:r>
    </w:p>
    <w:p w14:paraId="1F4DF22F" w14:textId="79A39ECD" w:rsidR="00E830E2" w:rsidRPr="00E830E2" w:rsidRDefault="004E7018" w:rsidP="00E17D14">
      <w:pPr>
        <w:spacing w:line="360" w:lineRule="auto"/>
        <w:rPr>
          <w:rFonts w:ascii="Arial" w:hAnsi="Arial"/>
        </w:rPr>
      </w:pPr>
      <w:r w:rsidRPr="004E7018">
        <w:rPr>
          <w:rFonts w:ascii="Arial" w:hAnsi="Arial"/>
        </w:rPr>
        <w:t>Lynn Chenoweth, Stein-</w:t>
      </w:r>
      <w:proofErr w:type="spellStart"/>
      <w:r w:rsidRPr="004E7018">
        <w:rPr>
          <w:rFonts w:ascii="Arial" w:hAnsi="Arial"/>
        </w:rPr>
        <w:t>Parbury</w:t>
      </w:r>
      <w:proofErr w:type="spellEnd"/>
      <w:r w:rsidRPr="004E7018">
        <w:rPr>
          <w:rFonts w:ascii="Arial" w:hAnsi="Arial"/>
        </w:rPr>
        <w:t xml:space="preserve">, J., Lapkin, S., Wang, A., Liu, Z. &amp; Williams, A. (2019) ‘Effects of person-centred care at the organisational-level for people with dementia: A systematic review’, </w:t>
      </w:r>
      <w:proofErr w:type="spellStart"/>
      <w:r w:rsidRPr="004E7018">
        <w:rPr>
          <w:rFonts w:ascii="Arial" w:hAnsi="Arial"/>
          <w:i/>
          <w:iCs/>
        </w:rPr>
        <w:t>PLoS</w:t>
      </w:r>
      <w:proofErr w:type="spellEnd"/>
      <w:r w:rsidRPr="004E7018">
        <w:rPr>
          <w:rFonts w:ascii="Arial" w:hAnsi="Arial"/>
          <w:i/>
          <w:iCs/>
        </w:rPr>
        <w:t xml:space="preserve"> ONE</w:t>
      </w:r>
      <w:r w:rsidRPr="004E7018">
        <w:rPr>
          <w:rFonts w:ascii="Arial" w:hAnsi="Arial"/>
        </w:rPr>
        <w:t>, 14(2): e0212686.</w:t>
      </w:r>
    </w:p>
    <w:p w14:paraId="0C50B1FF" w14:textId="1F7012E2" w:rsidR="00E830E2" w:rsidRPr="00E830E2" w:rsidRDefault="004E7018" w:rsidP="00E17D14">
      <w:pPr>
        <w:spacing w:line="360" w:lineRule="auto"/>
        <w:rPr>
          <w:rFonts w:ascii="Arial" w:hAnsi="Arial"/>
        </w:rPr>
      </w:pPr>
      <w:r w:rsidRPr="004E7018">
        <w:rPr>
          <w:rFonts w:ascii="Arial" w:hAnsi="Arial"/>
        </w:rPr>
        <w:t xml:space="preserve">Gkioka, M., Papastavrou, E., Andreou, P., </w:t>
      </w:r>
      <w:proofErr w:type="spellStart"/>
      <w:proofErr w:type="gramStart"/>
      <w:r w:rsidRPr="004E7018">
        <w:rPr>
          <w:rFonts w:ascii="Arial" w:hAnsi="Arial"/>
        </w:rPr>
        <w:t>Kalokerinou</w:t>
      </w:r>
      <w:proofErr w:type="spellEnd"/>
      <w:r w:rsidRPr="004E7018">
        <w:rPr>
          <w:rFonts w:ascii="Arial" w:hAnsi="Arial"/>
        </w:rPr>
        <w:t>,-</w:t>
      </w:r>
      <w:proofErr w:type="gramEnd"/>
      <w:r w:rsidRPr="004E7018">
        <w:rPr>
          <w:rFonts w:ascii="Arial" w:hAnsi="Arial"/>
        </w:rPr>
        <w:t xml:space="preserve">Anagnostopoulou, I., &amp; Sourtzi, P. (2020) ‘Evaluation and effectiveness of dementia staff training in person-focused care: a systematic review’, </w:t>
      </w:r>
      <w:r w:rsidRPr="004E7018">
        <w:rPr>
          <w:rFonts w:ascii="Arial" w:hAnsi="Arial"/>
          <w:i/>
          <w:iCs/>
        </w:rPr>
        <w:t>International Journal of Older People Nursing</w:t>
      </w:r>
      <w:r w:rsidRPr="004E7018">
        <w:rPr>
          <w:rFonts w:ascii="Arial" w:hAnsi="Arial"/>
        </w:rPr>
        <w:t>, 15(3), e12286.</w:t>
      </w:r>
    </w:p>
    <w:p w14:paraId="0EC92A9A" w14:textId="10693F56" w:rsidR="00E830E2" w:rsidRPr="00E830E2" w:rsidRDefault="004E7018" w:rsidP="00E17D14">
      <w:pPr>
        <w:spacing w:line="360" w:lineRule="auto"/>
        <w:rPr>
          <w:rFonts w:ascii="Arial" w:hAnsi="Arial"/>
        </w:rPr>
      </w:pPr>
      <w:r w:rsidRPr="004E7018">
        <w:rPr>
          <w:rFonts w:ascii="Arial" w:hAnsi="Arial"/>
        </w:rPr>
        <w:t xml:space="preserve">Lawrence, V. &amp; Murray, J. (2010) ‘Balancing independence and safety: the challenge of supporting older people with dementia and sight loss’. </w:t>
      </w:r>
      <w:r w:rsidRPr="004E7018">
        <w:rPr>
          <w:rFonts w:ascii="Arial" w:hAnsi="Arial"/>
          <w:i/>
          <w:iCs/>
        </w:rPr>
        <w:t>Age and Ageing</w:t>
      </w:r>
      <w:r w:rsidRPr="004E7018">
        <w:rPr>
          <w:rFonts w:ascii="Arial" w:hAnsi="Arial"/>
        </w:rPr>
        <w:t xml:space="preserve">, 39(4), pp. 476–480. </w:t>
      </w:r>
      <w:proofErr w:type="spellStart"/>
      <w:r w:rsidRPr="004E7018">
        <w:rPr>
          <w:rFonts w:ascii="Arial" w:hAnsi="Arial"/>
        </w:rPr>
        <w:t>doi</w:t>
      </w:r>
      <w:proofErr w:type="spellEnd"/>
      <w:r w:rsidRPr="004E7018">
        <w:rPr>
          <w:rFonts w:ascii="Arial" w:hAnsi="Arial"/>
        </w:rPr>
        <w:t>: 10.1093/ageing/afq054.</w:t>
      </w:r>
    </w:p>
    <w:p w14:paraId="56741ACE" w14:textId="70349CE8" w:rsidR="00E830E2" w:rsidRPr="00E830E2" w:rsidRDefault="004E7018" w:rsidP="00E17D14">
      <w:pPr>
        <w:spacing w:line="360" w:lineRule="auto"/>
        <w:rPr>
          <w:rFonts w:ascii="Arial" w:hAnsi="Arial"/>
        </w:rPr>
      </w:pPr>
      <w:r w:rsidRPr="004E7018">
        <w:rPr>
          <w:rFonts w:ascii="Arial" w:hAnsi="Arial"/>
        </w:rPr>
        <w:lastRenderedPageBreak/>
        <w:t xml:space="preserve">Ball, E.J., McElwee, J.D. &amp; McManus, M.A., 2024. </w:t>
      </w:r>
      <w:r w:rsidRPr="004E7018">
        <w:rPr>
          <w:rFonts w:ascii="Arial" w:hAnsi="Arial"/>
          <w:i/>
          <w:iCs/>
        </w:rPr>
        <w:t>Multi-agency safeguarding: From everyone’s responsibility to a collective responsibility.</w:t>
      </w:r>
      <w:r w:rsidRPr="004E7018">
        <w:rPr>
          <w:rFonts w:ascii="Arial" w:hAnsi="Arial"/>
        </w:rPr>
        <w:t xml:space="preserve"> Journal of Community Safety &amp; Well-Being, 9(2), pp.104–108. DOI: 10.35502/jcswb.371.</w:t>
      </w:r>
    </w:p>
    <w:p w14:paraId="3F3527E7" w14:textId="3345CA9D" w:rsidR="00E830E2" w:rsidRPr="00E830E2" w:rsidRDefault="00A73E87" w:rsidP="00E17D14">
      <w:pPr>
        <w:spacing w:line="360" w:lineRule="auto"/>
        <w:rPr>
          <w:rFonts w:ascii="Arial" w:hAnsi="Arial"/>
        </w:rPr>
      </w:pPr>
      <w:r w:rsidRPr="00A73E87">
        <w:rPr>
          <w:rFonts w:ascii="Arial" w:hAnsi="Arial"/>
        </w:rPr>
        <w:t xml:space="preserve">Lee, M., Ryoo, J.H., Galvin, J.E. &amp; others (2022). </w:t>
      </w:r>
      <w:r w:rsidRPr="00A73E87">
        <w:rPr>
          <w:rFonts w:ascii="Arial" w:hAnsi="Arial"/>
          <w:i/>
          <w:iCs/>
        </w:rPr>
        <w:t>Person-centred dementia care: Current perspectives and future directions.</w:t>
      </w:r>
      <w:r w:rsidRPr="00A73E87">
        <w:rPr>
          <w:rFonts w:ascii="Arial" w:hAnsi="Arial"/>
        </w:rPr>
        <w:t xml:space="preserve"> The Gerontologist, 62(6), pp. 821–833.</w:t>
      </w:r>
    </w:p>
    <w:p w14:paraId="7548A54D" w14:textId="2FB4205B" w:rsidR="00E830E2" w:rsidRPr="00E830E2" w:rsidRDefault="00910E58" w:rsidP="00E17D14">
      <w:pPr>
        <w:spacing w:line="360" w:lineRule="auto"/>
        <w:rPr>
          <w:rFonts w:ascii="Arial" w:hAnsi="Arial"/>
        </w:rPr>
      </w:pPr>
      <w:r w:rsidRPr="00910E58">
        <w:rPr>
          <w:rFonts w:ascii="Arial" w:hAnsi="Arial"/>
        </w:rPr>
        <w:t xml:space="preserve">Kim, S.K. &amp; Park, M., 2017. Effectiveness of person-centred care on people with dementia: A systematic review and meta-analysis. </w:t>
      </w:r>
      <w:r w:rsidRPr="00910E58">
        <w:rPr>
          <w:rFonts w:ascii="Arial" w:hAnsi="Arial"/>
          <w:i/>
          <w:iCs/>
        </w:rPr>
        <w:t>Clinical Interventions in Aging</w:t>
      </w:r>
      <w:r w:rsidRPr="00910E58">
        <w:rPr>
          <w:rFonts w:ascii="Arial" w:hAnsi="Arial"/>
        </w:rPr>
        <w:t>, 12, pp.381–397. DOI: 10.2147/CIA.S117637.</w:t>
      </w:r>
    </w:p>
    <w:p w14:paraId="7EFA79BF" w14:textId="5800050D" w:rsidR="00E830E2" w:rsidRPr="00E830E2" w:rsidRDefault="00910E58" w:rsidP="00E17D14">
      <w:pPr>
        <w:spacing w:line="360" w:lineRule="auto"/>
        <w:rPr>
          <w:rFonts w:ascii="Arial" w:hAnsi="Arial"/>
        </w:rPr>
      </w:pPr>
      <w:r w:rsidRPr="00910E58">
        <w:rPr>
          <w:rFonts w:ascii="Arial" w:hAnsi="Arial"/>
        </w:rPr>
        <w:t xml:space="preserve">Fazio, S., Pace, D., Flinner, J. &amp; Kallmyer, B., 2018. </w:t>
      </w:r>
      <w:r w:rsidRPr="00910E58">
        <w:rPr>
          <w:rFonts w:ascii="Arial" w:hAnsi="Arial"/>
          <w:i/>
          <w:iCs/>
        </w:rPr>
        <w:t>The Fundamentals of Person-</w:t>
      </w:r>
      <w:proofErr w:type="spellStart"/>
      <w:r w:rsidRPr="00910E58">
        <w:rPr>
          <w:rFonts w:ascii="Arial" w:hAnsi="Arial"/>
          <w:i/>
          <w:iCs/>
        </w:rPr>
        <w:t>Centered</w:t>
      </w:r>
      <w:proofErr w:type="spellEnd"/>
      <w:r w:rsidRPr="00910E58">
        <w:rPr>
          <w:rFonts w:ascii="Arial" w:hAnsi="Arial"/>
          <w:i/>
          <w:iCs/>
        </w:rPr>
        <w:t xml:space="preserve"> Care for Individuals </w:t>
      </w:r>
      <w:proofErr w:type="gramStart"/>
      <w:r w:rsidRPr="00910E58">
        <w:rPr>
          <w:rFonts w:ascii="Arial" w:hAnsi="Arial"/>
          <w:i/>
          <w:iCs/>
        </w:rPr>
        <w:t>With</w:t>
      </w:r>
      <w:proofErr w:type="gramEnd"/>
      <w:r w:rsidRPr="00910E58">
        <w:rPr>
          <w:rFonts w:ascii="Arial" w:hAnsi="Arial"/>
          <w:i/>
          <w:iCs/>
        </w:rPr>
        <w:t xml:space="preserve"> Dementia.</w:t>
      </w:r>
      <w:r w:rsidRPr="00910E58">
        <w:rPr>
          <w:rFonts w:ascii="Arial" w:hAnsi="Arial"/>
        </w:rPr>
        <w:t xml:space="preserve"> </w:t>
      </w:r>
      <w:r w:rsidRPr="00910E58">
        <w:rPr>
          <w:rFonts w:ascii="Arial" w:hAnsi="Arial"/>
          <w:i/>
          <w:iCs/>
        </w:rPr>
        <w:t>The Gerontologist</w:t>
      </w:r>
      <w:r w:rsidRPr="00910E58">
        <w:rPr>
          <w:rFonts w:ascii="Arial" w:hAnsi="Arial"/>
        </w:rPr>
        <w:t>, 58(suppl_1), S10–S19.</w:t>
      </w:r>
    </w:p>
    <w:p w14:paraId="6A1DA179" w14:textId="77777777" w:rsidR="00E830E2" w:rsidRPr="00E830E2" w:rsidRDefault="00E830E2" w:rsidP="00E17D14">
      <w:pPr>
        <w:spacing w:line="360" w:lineRule="auto"/>
        <w:rPr>
          <w:rFonts w:ascii="Arial" w:hAnsi="Arial"/>
        </w:rPr>
      </w:pPr>
      <w:r w:rsidRPr="00E830E2">
        <w:rPr>
          <w:rFonts w:ascii="Arial" w:hAnsi="Arial"/>
        </w:rPr>
        <w:t xml:space="preserve">Glasby, J. &amp; Dickinson, H. (2020). </w:t>
      </w:r>
      <w:r w:rsidRPr="00E830E2">
        <w:rPr>
          <w:rFonts w:ascii="Arial" w:hAnsi="Arial"/>
          <w:i/>
          <w:iCs/>
        </w:rPr>
        <w:t>Partnership working in health and social care: What is integrated care and how can we deliver it?</w:t>
      </w:r>
      <w:r w:rsidRPr="00E830E2">
        <w:rPr>
          <w:rFonts w:ascii="Arial" w:hAnsi="Arial"/>
        </w:rPr>
        <w:t xml:space="preserve"> 3rd ed. Bristol: Policy Press.</w:t>
      </w:r>
    </w:p>
    <w:p w14:paraId="0DC8A05D" w14:textId="77777777" w:rsidR="00E830E2" w:rsidRPr="00E830E2" w:rsidRDefault="00E830E2" w:rsidP="00E17D14">
      <w:pPr>
        <w:spacing w:line="360" w:lineRule="auto"/>
        <w:rPr>
          <w:rFonts w:ascii="Arial" w:hAnsi="Arial"/>
        </w:rPr>
      </w:pPr>
      <w:r w:rsidRPr="00E830E2">
        <w:rPr>
          <w:rFonts w:ascii="Arial" w:hAnsi="Arial"/>
        </w:rPr>
        <w:t xml:space="preserve">Gov.uk (2020). </w:t>
      </w:r>
      <w:r w:rsidRPr="00E830E2">
        <w:rPr>
          <w:rFonts w:ascii="Arial" w:hAnsi="Arial"/>
          <w:i/>
          <w:iCs/>
        </w:rPr>
        <w:t>Equality Act 2010: Guidance</w:t>
      </w:r>
      <w:r w:rsidRPr="00E830E2">
        <w:rPr>
          <w:rFonts w:ascii="Arial" w:hAnsi="Arial"/>
        </w:rPr>
        <w:t xml:space="preserve">. Available at: </w:t>
      </w:r>
      <w:hyperlink r:id="rId13" w:tgtFrame="_new" w:history="1">
        <w:r w:rsidRPr="00E830E2">
          <w:rPr>
            <w:rStyle w:val="Hyperlink"/>
            <w:rFonts w:ascii="Arial" w:hAnsi="Arial"/>
          </w:rPr>
          <w:t>https://www.gov.uk</w:t>
        </w:r>
      </w:hyperlink>
      <w:r w:rsidRPr="00E830E2">
        <w:rPr>
          <w:rFonts w:ascii="Arial" w:hAnsi="Arial"/>
        </w:rPr>
        <w:t xml:space="preserve"> (Accessed: 20 October 2025).</w:t>
      </w:r>
    </w:p>
    <w:p w14:paraId="64BCB77F" w14:textId="439257FB" w:rsidR="00E830E2" w:rsidRPr="00E830E2" w:rsidRDefault="00FD5152" w:rsidP="00E17D14">
      <w:pPr>
        <w:spacing w:line="360" w:lineRule="auto"/>
        <w:rPr>
          <w:rFonts w:ascii="Arial" w:hAnsi="Arial"/>
        </w:rPr>
      </w:pPr>
      <w:r w:rsidRPr="00FD5152">
        <w:rPr>
          <w:rFonts w:ascii="Arial" w:hAnsi="Arial"/>
        </w:rPr>
        <w:t xml:space="preserve">Sinha, R. (2024) ‘The role and impact of new technologies on healthcare systems’, </w:t>
      </w:r>
      <w:r w:rsidRPr="00FD5152">
        <w:rPr>
          <w:rFonts w:ascii="Arial" w:hAnsi="Arial"/>
          <w:i/>
          <w:iCs/>
        </w:rPr>
        <w:t>Discover Health Systems</w:t>
      </w:r>
      <w:r w:rsidRPr="00FD5152">
        <w:rPr>
          <w:rFonts w:ascii="Arial" w:hAnsi="Arial"/>
        </w:rPr>
        <w:t>, 3, 96. doi:10.1007/s44250-024-00163-w.</w:t>
      </w:r>
    </w:p>
    <w:p w14:paraId="36D86751" w14:textId="02FAD68F" w:rsidR="00E830E2" w:rsidRPr="00E830E2" w:rsidRDefault="00FD5152" w:rsidP="00E17D14">
      <w:pPr>
        <w:spacing w:line="360" w:lineRule="auto"/>
        <w:rPr>
          <w:rFonts w:ascii="Arial" w:hAnsi="Arial"/>
        </w:rPr>
      </w:pPr>
      <w:r w:rsidRPr="00FD5152">
        <w:rPr>
          <w:rFonts w:ascii="Arial" w:hAnsi="Arial"/>
        </w:rPr>
        <w:t xml:space="preserve">Kemp, C.L. (2021) ‘The Ethics in Long-Term Care Model’, </w:t>
      </w:r>
      <w:r w:rsidRPr="00FD5152">
        <w:rPr>
          <w:rFonts w:ascii="Arial" w:hAnsi="Arial"/>
          <w:i/>
          <w:iCs/>
        </w:rPr>
        <w:t>PMC (2021)</w:t>
      </w:r>
      <w:r w:rsidRPr="00FD5152">
        <w:rPr>
          <w:rFonts w:ascii="Arial" w:hAnsi="Arial"/>
        </w:rPr>
        <w:t>. Available at: https://www.ncbi.nlm.nih.gov/pmc/articles/PMC8967785/ [Accessed 20 October 2025].</w:t>
      </w:r>
    </w:p>
    <w:p w14:paraId="270062A6" w14:textId="7C0576BC" w:rsidR="00E830E2" w:rsidRPr="00E830E2" w:rsidRDefault="00FD5152" w:rsidP="00E17D14">
      <w:pPr>
        <w:spacing w:line="360" w:lineRule="auto"/>
        <w:rPr>
          <w:rFonts w:ascii="Arial" w:hAnsi="Arial"/>
        </w:rPr>
      </w:pPr>
      <w:r w:rsidRPr="00FD5152">
        <w:rPr>
          <w:rFonts w:ascii="Arial" w:hAnsi="Arial"/>
        </w:rPr>
        <w:t>Watson, B.N., et al. (2024) ‘Person-</w:t>
      </w:r>
      <w:proofErr w:type="spellStart"/>
      <w:r w:rsidRPr="00FD5152">
        <w:rPr>
          <w:rFonts w:ascii="Arial" w:hAnsi="Arial"/>
        </w:rPr>
        <w:t>Centered</w:t>
      </w:r>
      <w:proofErr w:type="spellEnd"/>
      <w:r w:rsidRPr="00FD5152">
        <w:rPr>
          <w:rFonts w:ascii="Arial" w:hAnsi="Arial"/>
        </w:rPr>
        <w:t xml:space="preserve"> Care Planning for People Living </w:t>
      </w:r>
      <w:proofErr w:type="gramStart"/>
      <w:r w:rsidRPr="00FD5152">
        <w:rPr>
          <w:rFonts w:ascii="Arial" w:hAnsi="Arial"/>
        </w:rPr>
        <w:t>With</w:t>
      </w:r>
      <w:proofErr w:type="gramEnd"/>
      <w:r w:rsidRPr="00FD5152">
        <w:rPr>
          <w:rFonts w:ascii="Arial" w:hAnsi="Arial"/>
        </w:rPr>
        <w:t xml:space="preserve"> or at Risk for Multiple Chronic Conditions’, </w:t>
      </w:r>
      <w:r w:rsidRPr="00FD5152">
        <w:rPr>
          <w:rFonts w:ascii="Arial" w:hAnsi="Arial"/>
          <w:i/>
          <w:iCs/>
        </w:rPr>
        <w:t>JAMA Network Open</w:t>
      </w:r>
      <w:r w:rsidRPr="00FD5152">
        <w:rPr>
          <w:rFonts w:ascii="Arial" w:hAnsi="Arial"/>
        </w:rPr>
        <w:t>, 7(1), pp. e2350056. doi:10.1001/jamanetworkopen.2023.50056.</w:t>
      </w:r>
    </w:p>
    <w:p w14:paraId="54D53413" w14:textId="7E2478EF" w:rsidR="00E830E2" w:rsidRPr="00E830E2" w:rsidRDefault="006248CB" w:rsidP="00E17D14">
      <w:pPr>
        <w:spacing w:line="360" w:lineRule="auto"/>
        <w:rPr>
          <w:rFonts w:ascii="Arial" w:hAnsi="Arial"/>
        </w:rPr>
      </w:pPr>
      <w:r w:rsidRPr="006248CB">
        <w:rPr>
          <w:rFonts w:ascii="Arial" w:hAnsi="Arial"/>
        </w:rPr>
        <w:t xml:space="preserve">Van Eck, M. and others (2024) ‘Facilitators and barriers in integrated social care for families with complex needs’, </w:t>
      </w:r>
      <w:r w:rsidRPr="006248CB">
        <w:rPr>
          <w:rFonts w:ascii="Arial" w:hAnsi="Arial"/>
          <w:i/>
          <w:iCs/>
        </w:rPr>
        <w:t>International Journal of Integrated Care</w:t>
      </w:r>
      <w:r w:rsidRPr="006248CB">
        <w:rPr>
          <w:rFonts w:ascii="Arial" w:hAnsi="Arial"/>
        </w:rPr>
        <w:t xml:space="preserve">, 24 (1). Available at: https://www.ncbi.nlm.nih.gov/pmc/articles/PMC11312847/ </w:t>
      </w:r>
      <w:r w:rsidRPr="00CC1BF6">
        <w:rPr>
          <w:rFonts w:ascii="Arial" w:hAnsi="Arial"/>
        </w:rPr>
        <w:t>[Accessed 20 October 2025].</w:t>
      </w:r>
    </w:p>
    <w:p w14:paraId="123B9878" w14:textId="3A5780CA" w:rsidR="00E830E2" w:rsidRPr="00E830E2" w:rsidRDefault="006248CB" w:rsidP="00E17D14">
      <w:pPr>
        <w:spacing w:line="360" w:lineRule="auto"/>
        <w:rPr>
          <w:rFonts w:ascii="Arial" w:hAnsi="Arial"/>
        </w:rPr>
      </w:pPr>
      <w:r w:rsidRPr="006248CB">
        <w:rPr>
          <w:rFonts w:ascii="Arial" w:hAnsi="Arial"/>
        </w:rPr>
        <w:t xml:space="preserve">Goodwin, N., Dixon, A., Anderson, G. &amp; </w:t>
      </w:r>
      <w:proofErr w:type="spellStart"/>
      <w:r w:rsidRPr="006248CB">
        <w:rPr>
          <w:rFonts w:ascii="Arial" w:hAnsi="Arial"/>
        </w:rPr>
        <w:t>Wodchis</w:t>
      </w:r>
      <w:proofErr w:type="spellEnd"/>
      <w:r w:rsidRPr="006248CB">
        <w:rPr>
          <w:rFonts w:ascii="Arial" w:hAnsi="Arial"/>
        </w:rPr>
        <w:t xml:space="preserve">, W. (2014). </w:t>
      </w:r>
      <w:r w:rsidRPr="006248CB">
        <w:rPr>
          <w:rFonts w:ascii="Arial" w:hAnsi="Arial"/>
          <w:i/>
          <w:iCs/>
        </w:rPr>
        <w:t>Providing integrated care for older people with complex needs: Lessons from seven international case studies.</w:t>
      </w:r>
      <w:r w:rsidRPr="006248CB">
        <w:rPr>
          <w:rFonts w:ascii="Arial" w:hAnsi="Arial"/>
        </w:rPr>
        <w:t xml:space="preserve"> London: The King’s Fund.</w:t>
      </w:r>
    </w:p>
    <w:p w14:paraId="1354E5B9" w14:textId="28414ADA" w:rsidR="00E830E2" w:rsidRPr="00E830E2" w:rsidRDefault="003836B1" w:rsidP="00E17D14">
      <w:pPr>
        <w:spacing w:line="360" w:lineRule="auto"/>
        <w:rPr>
          <w:rFonts w:ascii="Arial" w:hAnsi="Arial"/>
        </w:rPr>
      </w:pPr>
      <w:r w:rsidRPr="003836B1">
        <w:rPr>
          <w:rFonts w:ascii="Arial" w:hAnsi="Arial"/>
        </w:rPr>
        <w:lastRenderedPageBreak/>
        <w:t xml:space="preserve">Kloos, N., Kars, M., van Delden, J. &amp; </w:t>
      </w:r>
      <w:proofErr w:type="spellStart"/>
      <w:r w:rsidRPr="003836B1">
        <w:rPr>
          <w:rFonts w:ascii="Arial" w:hAnsi="Arial"/>
        </w:rPr>
        <w:t>Molewijk</w:t>
      </w:r>
      <w:proofErr w:type="spellEnd"/>
      <w:r w:rsidRPr="003836B1">
        <w:rPr>
          <w:rFonts w:ascii="Arial" w:hAnsi="Arial"/>
        </w:rPr>
        <w:t xml:space="preserve">, B., 2020. Exploring facilitators and barriers to using a person-centred care intervention in long-term care. </w:t>
      </w:r>
      <w:r w:rsidRPr="003836B1">
        <w:rPr>
          <w:rFonts w:ascii="Arial" w:hAnsi="Arial"/>
          <w:i/>
          <w:iCs/>
        </w:rPr>
        <w:t>Archives of Gerontology and Geriatrics</w:t>
      </w:r>
      <w:r w:rsidRPr="003836B1">
        <w:rPr>
          <w:rFonts w:ascii="Arial" w:hAnsi="Arial"/>
        </w:rPr>
        <w:t>, 89, 104064.</w:t>
      </w:r>
    </w:p>
    <w:p w14:paraId="3190D1FA" w14:textId="05461475" w:rsidR="00E830E2" w:rsidRPr="00E830E2" w:rsidRDefault="00CC1BF6" w:rsidP="00E17D14">
      <w:pPr>
        <w:spacing w:line="360" w:lineRule="auto"/>
        <w:rPr>
          <w:rFonts w:ascii="Arial" w:hAnsi="Arial"/>
        </w:rPr>
      </w:pPr>
      <w:r w:rsidRPr="00CC1BF6">
        <w:rPr>
          <w:rFonts w:ascii="Arial" w:hAnsi="Arial"/>
        </w:rPr>
        <w:t xml:space="preserve">NHS England (2022). </w:t>
      </w:r>
      <w:r w:rsidRPr="00CC1BF6">
        <w:rPr>
          <w:rFonts w:ascii="Arial" w:hAnsi="Arial"/>
          <w:i/>
          <w:iCs/>
        </w:rPr>
        <w:t>Integrated care systems: guidance</w:t>
      </w:r>
      <w:r w:rsidRPr="00CC1BF6">
        <w:rPr>
          <w:rFonts w:ascii="Arial" w:hAnsi="Arial"/>
        </w:rPr>
        <w:t xml:space="preserve">. Available at: </w:t>
      </w:r>
      <w:hyperlink r:id="rId14" w:tgtFrame="_new" w:history="1">
        <w:r w:rsidRPr="00CC1BF6">
          <w:rPr>
            <w:rStyle w:val="Hyperlink"/>
            <w:rFonts w:ascii="Arial" w:hAnsi="Arial"/>
          </w:rPr>
          <w:t>https://www.england.nhs.uk/publication/integrated-care-systems-guidance/</w:t>
        </w:r>
      </w:hyperlink>
      <w:r w:rsidRPr="00CC1BF6">
        <w:rPr>
          <w:rFonts w:ascii="Arial" w:hAnsi="Arial"/>
        </w:rPr>
        <w:t xml:space="preserve"> [Accessed 20 October 2025].</w:t>
      </w:r>
    </w:p>
    <w:p w14:paraId="1BD42B4E" w14:textId="043EF896" w:rsidR="00E830E2" w:rsidRPr="00E830E2" w:rsidRDefault="006744A4" w:rsidP="00E17D14">
      <w:pPr>
        <w:spacing w:line="360" w:lineRule="auto"/>
        <w:rPr>
          <w:rFonts w:ascii="Arial" w:hAnsi="Arial"/>
        </w:rPr>
      </w:pPr>
      <w:r w:rsidRPr="006744A4">
        <w:rPr>
          <w:rFonts w:ascii="Arial" w:hAnsi="Arial"/>
        </w:rPr>
        <w:t xml:space="preserve">Oliver, M., 2009. </w:t>
      </w:r>
      <w:r w:rsidRPr="006744A4">
        <w:rPr>
          <w:rFonts w:ascii="Arial" w:hAnsi="Arial"/>
          <w:i/>
          <w:iCs/>
        </w:rPr>
        <w:t>Understanding disability: From theory to practice.</w:t>
      </w:r>
      <w:r w:rsidRPr="006744A4">
        <w:rPr>
          <w:rFonts w:ascii="Arial" w:hAnsi="Arial"/>
        </w:rPr>
        <w:t xml:space="preserve"> 2nd ed. Basingstoke: Palgrave Macmillan.</w:t>
      </w:r>
    </w:p>
    <w:p w14:paraId="358E0DC1" w14:textId="0EC4E384" w:rsidR="00E830E2" w:rsidRPr="00E830E2" w:rsidRDefault="00136F7D" w:rsidP="00E17D14">
      <w:pPr>
        <w:spacing w:line="360" w:lineRule="auto"/>
        <w:rPr>
          <w:rFonts w:ascii="Arial" w:hAnsi="Arial"/>
        </w:rPr>
      </w:pPr>
      <w:r w:rsidRPr="00136F7D">
        <w:rPr>
          <w:rFonts w:ascii="Arial" w:hAnsi="Arial"/>
        </w:rPr>
        <w:t xml:space="preserve">Santana, M.J., Manalili, K., Jolley, R.J., Zelinsky, S., Quan, H. &amp; Lu, M., 2018. How to practice person-centred care: A conceptual framework. </w:t>
      </w:r>
      <w:r w:rsidRPr="00136F7D">
        <w:rPr>
          <w:rFonts w:ascii="Arial" w:hAnsi="Arial"/>
          <w:i/>
          <w:iCs/>
        </w:rPr>
        <w:t>Health Expectations</w:t>
      </w:r>
      <w:r w:rsidRPr="00136F7D">
        <w:rPr>
          <w:rFonts w:ascii="Arial" w:hAnsi="Arial"/>
        </w:rPr>
        <w:t>, 21(2), pp.429–440. doi:10.1111/hex.12640.</w:t>
      </w:r>
    </w:p>
    <w:p w14:paraId="25B2645B" w14:textId="65A21772" w:rsidR="00E830E2" w:rsidRPr="00E830E2" w:rsidRDefault="00ED6782" w:rsidP="00E17D14">
      <w:pPr>
        <w:spacing w:line="360" w:lineRule="auto"/>
        <w:rPr>
          <w:rFonts w:ascii="Arial" w:hAnsi="Arial"/>
        </w:rPr>
      </w:pPr>
      <w:r w:rsidRPr="00ED6782">
        <w:rPr>
          <w:rFonts w:ascii="Arial" w:hAnsi="Arial"/>
        </w:rPr>
        <w:t xml:space="preserve">Care Quality Commission, 2021. </w:t>
      </w:r>
      <w:r w:rsidRPr="00ED6782">
        <w:rPr>
          <w:rFonts w:ascii="Arial" w:hAnsi="Arial"/>
          <w:i/>
          <w:iCs/>
        </w:rPr>
        <w:t>The state of adult social care services 2020/21</w:t>
      </w:r>
      <w:r w:rsidRPr="00ED6782">
        <w:rPr>
          <w:rFonts w:ascii="Arial" w:hAnsi="Arial"/>
        </w:rPr>
        <w:t>. Newcastle-upon-Tyne: CQC.</w:t>
      </w:r>
    </w:p>
    <w:p w14:paraId="47C0B639" w14:textId="6C12A8A5" w:rsidR="00E830E2" w:rsidRPr="00E830E2" w:rsidRDefault="00ED6782" w:rsidP="00E17D14">
      <w:pPr>
        <w:spacing w:line="360" w:lineRule="auto"/>
        <w:rPr>
          <w:rFonts w:ascii="Arial" w:hAnsi="Arial"/>
        </w:rPr>
      </w:pPr>
      <w:r w:rsidRPr="00ED6782">
        <w:rPr>
          <w:rFonts w:ascii="Arial" w:hAnsi="Arial"/>
        </w:rPr>
        <w:t xml:space="preserve">The Health Foundation, 2016. </w:t>
      </w:r>
      <w:r w:rsidRPr="00ED6782">
        <w:rPr>
          <w:rFonts w:ascii="Arial" w:hAnsi="Arial"/>
          <w:i/>
          <w:iCs/>
        </w:rPr>
        <w:t>Person-centred care made simple: What everyone should know about person-centred care.</w:t>
      </w:r>
      <w:r w:rsidRPr="00ED6782">
        <w:rPr>
          <w:rFonts w:ascii="Arial" w:hAnsi="Arial"/>
        </w:rPr>
        <w:t xml:space="preserve"> London: The Health Foundation. Available at: </w:t>
      </w:r>
      <w:hyperlink r:id="rId15" w:tgtFrame="_new" w:history="1">
        <w:r w:rsidRPr="00ED6782">
          <w:rPr>
            <w:rStyle w:val="Hyperlink"/>
            <w:rFonts w:ascii="Arial" w:hAnsi="Arial"/>
          </w:rPr>
          <w:t>https://www.health.org.uk/sites/default/files/PersonCentredCareMadeSimple.pdf</w:t>
        </w:r>
      </w:hyperlink>
      <w:r w:rsidRPr="00ED6782">
        <w:rPr>
          <w:rFonts w:ascii="Arial" w:hAnsi="Arial"/>
        </w:rPr>
        <w:t xml:space="preserve"> [Accessed 29 October 2025].</w:t>
      </w:r>
    </w:p>
    <w:p w14:paraId="17FDBF83" w14:textId="277E5D55" w:rsidR="00E830E2" w:rsidRPr="00E830E2" w:rsidRDefault="00E830E2" w:rsidP="00E17D14">
      <w:pPr>
        <w:spacing w:line="360" w:lineRule="auto"/>
        <w:rPr>
          <w:rFonts w:ascii="Arial" w:hAnsi="Arial"/>
        </w:rPr>
      </w:pPr>
    </w:p>
    <w:sectPr w:rsidR="00E830E2" w:rsidRPr="00E830E2" w:rsidSect="00E830E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7B810" w14:textId="77777777" w:rsidR="00A72D8E" w:rsidRDefault="00A72D8E" w:rsidP="0065015F">
      <w:pPr>
        <w:spacing w:after="0" w:line="240" w:lineRule="auto"/>
      </w:pPr>
      <w:r>
        <w:separator/>
      </w:r>
    </w:p>
  </w:endnote>
  <w:endnote w:type="continuationSeparator" w:id="0">
    <w:p w14:paraId="59CC8BB6" w14:textId="77777777" w:rsidR="00A72D8E" w:rsidRDefault="00A72D8E" w:rsidP="00650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941343"/>
      <w:docPartObj>
        <w:docPartGallery w:val="Page Numbers (Bottom of Page)"/>
        <w:docPartUnique/>
      </w:docPartObj>
    </w:sdtPr>
    <w:sdtEndPr>
      <w:rPr>
        <w:noProof/>
      </w:rPr>
    </w:sdtEndPr>
    <w:sdtContent>
      <w:p w14:paraId="36C9C22B" w14:textId="5985F1DF" w:rsidR="0065015F" w:rsidRDefault="006501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4A02E7" w14:textId="77777777" w:rsidR="0065015F" w:rsidRDefault="00650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B6325" w14:textId="77777777" w:rsidR="00A72D8E" w:rsidRDefault="00A72D8E" w:rsidP="0065015F">
      <w:pPr>
        <w:spacing w:after="0" w:line="240" w:lineRule="auto"/>
      </w:pPr>
      <w:r>
        <w:separator/>
      </w:r>
    </w:p>
  </w:footnote>
  <w:footnote w:type="continuationSeparator" w:id="0">
    <w:p w14:paraId="2299FF9C" w14:textId="77777777" w:rsidR="00A72D8E" w:rsidRDefault="00A72D8E" w:rsidP="00650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54896"/>
    <w:multiLevelType w:val="multilevel"/>
    <w:tmpl w:val="BA1A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D6C52"/>
    <w:multiLevelType w:val="multilevel"/>
    <w:tmpl w:val="AA52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650EF"/>
    <w:multiLevelType w:val="multilevel"/>
    <w:tmpl w:val="527CB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892B0D"/>
    <w:multiLevelType w:val="multilevel"/>
    <w:tmpl w:val="9FF2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AA08BE"/>
    <w:multiLevelType w:val="hybridMultilevel"/>
    <w:tmpl w:val="447004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2A32A7A"/>
    <w:multiLevelType w:val="multilevel"/>
    <w:tmpl w:val="80EA2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A48F8"/>
    <w:multiLevelType w:val="multilevel"/>
    <w:tmpl w:val="1C6A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4E4811"/>
    <w:multiLevelType w:val="hybridMultilevel"/>
    <w:tmpl w:val="08E82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9208FA"/>
    <w:multiLevelType w:val="multilevel"/>
    <w:tmpl w:val="0EE25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651789"/>
    <w:multiLevelType w:val="multilevel"/>
    <w:tmpl w:val="1A5C8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3605704">
    <w:abstractNumId w:val="1"/>
  </w:num>
  <w:num w:numId="2" w16cid:durableId="693464916">
    <w:abstractNumId w:val="0"/>
  </w:num>
  <w:num w:numId="3" w16cid:durableId="404034169">
    <w:abstractNumId w:val="2"/>
  </w:num>
  <w:num w:numId="4" w16cid:durableId="1233345057">
    <w:abstractNumId w:val="6"/>
  </w:num>
  <w:num w:numId="5" w16cid:durableId="608858257">
    <w:abstractNumId w:val="9"/>
  </w:num>
  <w:num w:numId="6" w16cid:durableId="664431788">
    <w:abstractNumId w:val="3"/>
  </w:num>
  <w:num w:numId="7" w16cid:durableId="1476607785">
    <w:abstractNumId w:val="8"/>
  </w:num>
  <w:num w:numId="8" w16cid:durableId="2078892237">
    <w:abstractNumId w:val="5"/>
  </w:num>
  <w:num w:numId="9" w16cid:durableId="1349529741">
    <w:abstractNumId w:val="7"/>
  </w:num>
  <w:num w:numId="10" w16cid:durableId="4950745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358"/>
    <w:rsid w:val="00036A26"/>
    <w:rsid w:val="00043876"/>
    <w:rsid w:val="00084E0F"/>
    <w:rsid w:val="000C3969"/>
    <w:rsid w:val="000C3E68"/>
    <w:rsid w:val="000E15DA"/>
    <w:rsid w:val="001327A9"/>
    <w:rsid w:val="00136F7D"/>
    <w:rsid w:val="001629CE"/>
    <w:rsid w:val="00235CED"/>
    <w:rsid w:val="002475C0"/>
    <w:rsid w:val="002A3398"/>
    <w:rsid w:val="002C3E56"/>
    <w:rsid w:val="003824D9"/>
    <w:rsid w:val="003836B1"/>
    <w:rsid w:val="003D7B76"/>
    <w:rsid w:val="003E7E35"/>
    <w:rsid w:val="0048181A"/>
    <w:rsid w:val="00493C11"/>
    <w:rsid w:val="004A05A0"/>
    <w:rsid w:val="004B7600"/>
    <w:rsid w:val="004E096E"/>
    <w:rsid w:val="004E7018"/>
    <w:rsid w:val="00520F55"/>
    <w:rsid w:val="00583417"/>
    <w:rsid w:val="005B0E79"/>
    <w:rsid w:val="005F1B0A"/>
    <w:rsid w:val="005F1DF0"/>
    <w:rsid w:val="006248CB"/>
    <w:rsid w:val="0065015F"/>
    <w:rsid w:val="00665207"/>
    <w:rsid w:val="006744A4"/>
    <w:rsid w:val="006D2BE1"/>
    <w:rsid w:val="007100C1"/>
    <w:rsid w:val="00786CE1"/>
    <w:rsid w:val="007A576B"/>
    <w:rsid w:val="008B3B4B"/>
    <w:rsid w:val="008C4083"/>
    <w:rsid w:val="008E36ED"/>
    <w:rsid w:val="00910E58"/>
    <w:rsid w:val="009338DD"/>
    <w:rsid w:val="009D165C"/>
    <w:rsid w:val="00A72D8E"/>
    <w:rsid w:val="00A73E87"/>
    <w:rsid w:val="00BB7905"/>
    <w:rsid w:val="00BD4D82"/>
    <w:rsid w:val="00C43358"/>
    <w:rsid w:val="00C46A08"/>
    <w:rsid w:val="00C8177A"/>
    <w:rsid w:val="00CC1BF6"/>
    <w:rsid w:val="00CF7751"/>
    <w:rsid w:val="00D07F57"/>
    <w:rsid w:val="00D6056F"/>
    <w:rsid w:val="00DA26AA"/>
    <w:rsid w:val="00DF1297"/>
    <w:rsid w:val="00DF4206"/>
    <w:rsid w:val="00E17D14"/>
    <w:rsid w:val="00E71F64"/>
    <w:rsid w:val="00E82C41"/>
    <w:rsid w:val="00E830E2"/>
    <w:rsid w:val="00ED6782"/>
    <w:rsid w:val="00F03DA1"/>
    <w:rsid w:val="00F16375"/>
    <w:rsid w:val="00F2628A"/>
    <w:rsid w:val="00F40D90"/>
    <w:rsid w:val="00F84E88"/>
    <w:rsid w:val="00FD5152"/>
    <w:rsid w:val="00FE0523"/>
    <w:rsid w:val="00FE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74751B"/>
  <w15:chartTrackingRefBased/>
  <w15:docId w15:val="{4895EB56-C64F-4DA5-A0DE-0019FB1F8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0C1"/>
  </w:style>
  <w:style w:type="paragraph" w:styleId="Heading1">
    <w:name w:val="heading 1"/>
    <w:basedOn w:val="Normal"/>
    <w:next w:val="Normal"/>
    <w:link w:val="Heading1Char"/>
    <w:uiPriority w:val="9"/>
    <w:qFormat/>
    <w:rsid w:val="00C433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3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3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3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3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3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3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3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3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3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3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3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3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3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3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3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3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358"/>
    <w:rPr>
      <w:rFonts w:eastAsiaTheme="majorEastAsia" w:cstheme="majorBidi"/>
      <w:color w:val="272727" w:themeColor="text1" w:themeTint="D8"/>
    </w:rPr>
  </w:style>
  <w:style w:type="paragraph" w:styleId="Title">
    <w:name w:val="Title"/>
    <w:basedOn w:val="Normal"/>
    <w:next w:val="Normal"/>
    <w:link w:val="TitleChar"/>
    <w:uiPriority w:val="10"/>
    <w:qFormat/>
    <w:rsid w:val="00C433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3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3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3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358"/>
    <w:pPr>
      <w:spacing w:before="160"/>
      <w:jc w:val="center"/>
    </w:pPr>
    <w:rPr>
      <w:i/>
      <w:iCs/>
      <w:color w:val="404040" w:themeColor="text1" w:themeTint="BF"/>
    </w:rPr>
  </w:style>
  <w:style w:type="character" w:customStyle="1" w:styleId="QuoteChar">
    <w:name w:val="Quote Char"/>
    <w:basedOn w:val="DefaultParagraphFont"/>
    <w:link w:val="Quote"/>
    <w:uiPriority w:val="29"/>
    <w:rsid w:val="00C43358"/>
    <w:rPr>
      <w:i/>
      <w:iCs/>
      <w:color w:val="404040" w:themeColor="text1" w:themeTint="BF"/>
    </w:rPr>
  </w:style>
  <w:style w:type="paragraph" w:styleId="ListParagraph">
    <w:name w:val="List Paragraph"/>
    <w:basedOn w:val="Normal"/>
    <w:uiPriority w:val="34"/>
    <w:qFormat/>
    <w:rsid w:val="00C43358"/>
    <w:pPr>
      <w:ind w:left="720"/>
      <w:contextualSpacing/>
    </w:pPr>
  </w:style>
  <w:style w:type="character" w:styleId="IntenseEmphasis">
    <w:name w:val="Intense Emphasis"/>
    <w:basedOn w:val="DefaultParagraphFont"/>
    <w:uiPriority w:val="21"/>
    <w:qFormat/>
    <w:rsid w:val="00C43358"/>
    <w:rPr>
      <w:i/>
      <w:iCs/>
      <w:color w:val="0F4761" w:themeColor="accent1" w:themeShade="BF"/>
    </w:rPr>
  </w:style>
  <w:style w:type="paragraph" w:styleId="IntenseQuote">
    <w:name w:val="Intense Quote"/>
    <w:basedOn w:val="Normal"/>
    <w:next w:val="Normal"/>
    <w:link w:val="IntenseQuoteChar"/>
    <w:uiPriority w:val="30"/>
    <w:qFormat/>
    <w:rsid w:val="00C433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358"/>
    <w:rPr>
      <w:i/>
      <w:iCs/>
      <w:color w:val="0F4761" w:themeColor="accent1" w:themeShade="BF"/>
    </w:rPr>
  </w:style>
  <w:style w:type="character" w:styleId="IntenseReference">
    <w:name w:val="Intense Reference"/>
    <w:basedOn w:val="DefaultParagraphFont"/>
    <w:uiPriority w:val="32"/>
    <w:qFormat/>
    <w:rsid w:val="00C43358"/>
    <w:rPr>
      <w:b/>
      <w:bCs/>
      <w:smallCaps/>
      <w:color w:val="0F4761" w:themeColor="accent1" w:themeShade="BF"/>
      <w:spacing w:val="5"/>
    </w:rPr>
  </w:style>
  <w:style w:type="paragraph" w:styleId="Header">
    <w:name w:val="header"/>
    <w:basedOn w:val="Normal"/>
    <w:link w:val="HeaderChar"/>
    <w:uiPriority w:val="99"/>
    <w:unhideWhenUsed/>
    <w:rsid w:val="00650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15F"/>
  </w:style>
  <w:style w:type="paragraph" w:styleId="Footer">
    <w:name w:val="footer"/>
    <w:basedOn w:val="Normal"/>
    <w:link w:val="FooterChar"/>
    <w:uiPriority w:val="99"/>
    <w:unhideWhenUsed/>
    <w:rsid w:val="00650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15F"/>
  </w:style>
  <w:style w:type="character" w:styleId="Hyperlink">
    <w:name w:val="Hyperlink"/>
    <w:basedOn w:val="DefaultParagraphFont"/>
    <w:uiPriority w:val="99"/>
    <w:unhideWhenUsed/>
    <w:rsid w:val="00D07F57"/>
    <w:rPr>
      <w:color w:val="467886" w:themeColor="hyperlink"/>
      <w:u w:val="single"/>
    </w:rPr>
  </w:style>
  <w:style w:type="character" w:styleId="UnresolvedMention">
    <w:name w:val="Unresolved Mention"/>
    <w:basedOn w:val="DefaultParagraphFont"/>
    <w:uiPriority w:val="99"/>
    <w:semiHidden/>
    <w:unhideWhenUsed/>
    <w:rsid w:val="00D07F57"/>
    <w:rPr>
      <w:color w:val="605E5C"/>
      <w:shd w:val="clear" w:color="auto" w:fill="E1DFDD"/>
    </w:rPr>
  </w:style>
  <w:style w:type="paragraph" w:styleId="TOCHeading">
    <w:name w:val="TOC Heading"/>
    <w:basedOn w:val="Heading1"/>
    <w:next w:val="Normal"/>
    <w:uiPriority w:val="39"/>
    <w:unhideWhenUsed/>
    <w:qFormat/>
    <w:rsid w:val="00E830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830E2"/>
    <w:pPr>
      <w:spacing w:after="100"/>
    </w:pPr>
  </w:style>
  <w:style w:type="paragraph" w:styleId="NoSpacing">
    <w:name w:val="No Spacing"/>
    <w:link w:val="NoSpacingChar"/>
    <w:uiPriority w:val="1"/>
    <w:qFormat/>
    <w:rsid w:val="00E830E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30E2"/>
    <w:rPr>
      <w:rFonts w:eastAsiaTheme="minorEastAsia"/>
      <w:kern w:val="0"/>
      <w:sz w:val="22"/>
      <w:szCs w:val="22"/>
      <w:lang w:val="en-US"/>
      <w14:ligatures w14:val="none"/>
    </w:rPr>
  </w:style>
  <w:style w:type="table" w:styleId="TableGrid">
    <w:name w:val="Table Grid"/>
    <w:basedOn w:val="TableNormal"/>
    <w:uiPriority w:val="39"/>
    <w:rsid w:val="00481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818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Caption">
    <w:name w:val="caption"/>
    <w:basedOn w:val="Normal"/>
    <w:next w:val="Normal"/>
    <w:uiPriority w:val="35"/>
    <w:unhideWhenUsed/>
    <w:qFormat/>
    <w:rsid w:val="00BD4D8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health.org.uk/sites/default/files/PersonCentredCareMadeSimple.pdf?utm_source=chatgpt.com"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ngland.nhs.uk/publication/integrated-care-systems-guidance/?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50A30B-7321-4EF1-989A-D8541CDE77E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1E73577-935E-48E9-BEF5-67DD0766A148}">
      <dgm:prSet phldrT="[Text]"/>
      <dgm:spPr>
        <a:solidFill>
          <a:schemeClr val="accent1">
            <a:lumMod val="60000"/>
            <a:lumOff val="40000"/>
          </a:schemeClr>
        </a:solidFill>
      </dgm:spPr>
      <dgm:t>
        <a:bodyPr/>
        <a:lstStyle/>
        <a:p>
          <a:r>
            <a:rPr lang="en-GB" b="1"/>
            <a:t>Meaningful Activity</a:t>
          </a:r>
        </a:p>
      </dgm:t>
    </dgm:pt>
    <dgm:pt modelId="{9F373F3F-DD4F-4E25-97B9-846FF0A92429}" type="parTrans" cxnId="{6FAA63BC-81C7-428A-8E7E-02F4CDAB6848}">
      <dgm:prSet/>
      <dgm:spPr/>
      <dgm:t>
        <a:bodyPr/>
        <a:lstStyle/>
        <a:p>
          <a:endParaRPr lang="en-GB"/>
        </a:p>
      </dgm:t>
    </dgm:pt>
    <dgm:pt modelId="{8A345056-1CF1-4FFC-BC5A-50902C237C26}" type="sibTrans" cxnId="{6FAA63BC-81C7-428A-8E7E-02F4CDAB6848}">
      <dgm:prSet/>
      <dgm:spPr/>
      <dgm:t>
        <a:bodyPr/>
        <a:lstStyle/>
        <a:p>
          <a:endParaRPr lang="en-GB"/>
        </a:p>
      </dgm:t>
    </dgm:pt>
    <dgm:pt modelId="{30062FCF-CFDE-4D7C-871A-F160CD3482BE}">
      <dgm:prSet phldrT="[Text]" custT="1"/>
      <dgm:spPr>
        <a:solidFill>
          <a:schemeClr val="accent6">
            <a:lumMod val="60000"/>
            <a:lumOff val="40000"/>
          </a:schemeClr>
        </a:solidFill>
      </dgm:spPr>
      <dgm:t>
        <a:bodyPr/>
        <a:lstStyle/>
        <a:p>
          <a:r>
            <a:rPr lang="en-GB" sz="800" b="1">
              <a:latin typeface="ADLaM Display" panose="02010000000000000000" pitchFamily="2" charset="0"/>
              <a:ea typeface="ADLaM Display" panose="02010000000000000000" pitchFamily="2" charset="0"/>
              <a:cs typeface="ADLaM Display" panose="02010000000000000000" pitchFamily="2" charset="0"/>
            </a:rPr>
            <a:t>Relationships</a:t>
          </a:r>
        </a:p>
      </dgm:t>
    </dgm:pt>
    <dgm:pt modelId="{8CF2522C-5F05-40D4-8AD9-FEB46D56A1E9}" type="parTrans" cxnId="{14902601-DE2B-475C-9FE1-E5CF381C8E33}">
      <dgm:prSet/>
      <dgm:spPr/>
      <dgm:t>
        <a:bodyPr/>
        <a:lstStyle/>
        <a:p>
          <a:endParaRPr lang="en-GB"/>
        </a:p>
      </dgm:t>
    </dgm:pt>
    <dgm:pt modelId="{0676BF2F-A2BB-4EBE-AE35-9BF3C2208709}" type="sibTrans" cxnId="{14902601-DE2B-475C-9FE1-E5CF381C8E33}">
      <dgm:prSet/>
      <dgm:spPr/>
      <dgm:t>
        <a:bodyPr/>
        <a:lstStyle/>
        <a:p>
          <a:endParaRPr lang="en-GB"/>
        </a:p>
      </dgm:t>
    </dgm:pt>
    <dgm:pt modelId="{0C0AB064-2FFB-4060-A99B-A99F5AC836FE}">
      <dgm:prSet phldrT="[Text]"/>
      <dgm:spPr>
        <a:solidFill>
          <a:schemeClr val="accent2">
            <a:lumMod val="75000"/>
          </a:schemeClr>
        </a:solidFill>
      </dgm:spPr>
      <dgm:t>
        <a:bodyPr/>
        <a:lstStyle/>
        <a:p>
          <a:r>
            <a:rPr lang="en-GB" b="1"/>
            <a:t>Identity</a:t>
          </a:r>
        </a:p>
      </dgm:t>
    </dgm:pt>
    <dgm:pt modelId="{5E9F73A5-72FC-4FFE-BBFD-E7C62FE81490}" type="parTrans" cxnId="{C8308950-002F-4156-8B75-402CF2C365FB}">
      <dgm:prSet/>
      <dgm:spPr/>
      <dgm:t>
        <a:bodyPr/>
        <a:lstStyle/>
        <a:p>
          <a:endParaRPr lang="en-GB"/>
        </a:p>
      </dgm:t>
    </dgm:pt>
    <dgm:pt modelId="{20CFCDF5-0BE8-468A-9D53-348E86EF2D05}" type="sibTrans" cxnId="{C8308950-002F-4156-8B75-402CF2C365FB}">
      <dgm:prSet/>
      <dgm:spPr/>
      <dgm:t>
        <a:bodyPr/>
        <a:lstStyle/>
        <a:p>
          <a:endParaRPr lang="en-GB"/>
        </a:p>
      </dgm:t>
    </dgm:pt>
    <dgm:pt modelId="{FE37FC90-8235-457E-B323-7DF704BE4B0F}">
      <dgm:prSet phldrT="[Text]" custT="1">
        <dgm:style>
          <a:lnRef idx="1">
            <a:schemeClr val="accent1"/>
          </a:lnRef>
          <a:fillRef idx="2">
            <a:schemeClr val="accent1"/>
          </a:fillRef>
          <a:effectRef idx="1">
            <a:schemeClr val="accent1"/>
          </a:effectRef>
          <a:fontRef idx="minor">
            <a:schemeClr val="dk1"/>
          </a:fontRef>
        </dgm:style>
      </dgm:prSet>
      <dgm:spPr/>
      <dgm:t>
        <a:bodyPr/>
        <a:lstStyle/>
        <a:p>
          <a:r>
            <a:rPr lang="en-GB" sz="1100" b="1"/>
            <a:t>Respect</a:t>
          </a:r>
        </a:p>
      </dgm:t>
    </dgm:pt>
    <dgm:pt modelId="{7ED79970-1A7A-4143-9CA6-6CCBAF060CAC}" type="parTrans" cxnId="{68C6B458-51B3-4052-9AD6-DBAB4F433644}">
      <dgm:prSet/>
      <dgm:spPr/>
      <dgm:t>
        <a:bodyPr/>
        <a:lstStyle/>
        <a:p>
          <a:endParaRPr lang="en-GB"/>
        </a:p>
      </dgm:t>
    </dgm:pt>
    <dgm:pt modelId="{C793BC1C-0133-44E8-A0F9-013EDD428E89}" type="sibTrans" cxnId="{68C6B458-51B3-4052-9AD6-DBAB4F433644}">
      <dgm:prSet/>
      <dgm:spPr/>
      <dgm:t>
        <a:bodyPr/>
        <a:lstStyle/>
        <a:p>
          <a:endParaRPr lang="en-GB"/>
        </a:p>
      </dgm:t>
    </dgm:pt>
    <dgm:pt modelId="{8B556D91-473E-45E8-84BB-7697B2B81A0D}" type="pres">
      <dgm:prSet presAssocID="{1750A30B-7321-4EF1-989A-D8541CDE77E4}" presName="cycle" presStyleCnt="0">
        <dgm:presLayoutVars>
          <dgm:dir/>
          <dgm:resizeHandles val="exact"/>
        </dgm:presLayoutVars>
      </dgm:prSet>
      <dgm:spPr/>
    </dgm:pt>
    <dgm:pt modelId="{ADE45CDA-EABB-4B08-AB94-E2D714E8748D}" type="pres">
      <dgm:prSet presAssocID="{E1E73577-935E-48E9-BEF5-67DD0766A148}" presName="node" presStyleLbl="node1" presStyleIdx="0" presStyleCnt="4" custRadScaleRad="120469" custRadScaleInc="-15030">
        <dgm:presLayoutVars>
          <dgm:bulletEnabled val="1"/>
        </dgm:presLayoutVars>
      </dgm:prSet>
      <dgm:spPr/>
    </dgm:pt>
    <dgm:pt modelId="{56E2B581-F2BE-4722-957A-7770DB17D88A}" type="pres">
      <dgm:prSet presAssocID="{8A345056-1CF1-4FFC-BC5A-50902C237C26}" presName="sibTrans" presStyleLbl="sibTrans2D1" presStyleIdx="0" presStyleCnt="4"/>
      <dgm:spPr/>
    </dgm:pt>
    <dgm:pt modelId="{1D675F61-81F2-408F-ADF3-C648A5CC5A88}" type="pres">
      <dgm:prSet presAssocID="{8A345056-1CF1-4FFC-BC5A-50902C237C26}" presName="connectorText" presStyleLbl="sibTrans2D1" presStyleIdx="0" presStyleCnt="4"/>
      <dgm:spPr/>
    </dgm:pt>
    <dgm:pt modelId="{FD508B2B-1082-4CCC-BD4F-406F4B75D7FD}" type="pres">
      <dgm:prSet presAssocID="{30062FCF-CFDE-4D7C-871A-F160CD3482BE}" presName="node" presStyleLbl="node1" presStyleIdx="1" presStyleCnt="4" custRadScaleRad="121338" custRadScaleInc="16405">
        <dgm:presLayoutVars>
          <dgm:bulletEnabled val="1"/>
        </dgm:presLayoutVars>
      </dgm:prSet>
      <dgm:spPr/>
    </dgm:pt>
    <dgm:pt modelId="{68E6B5ED-751F-4667-ACAE-A944F70EAE15}" type="pres">
      <dgm:prSet presAssocID="{0676BF2F-A2BB-4EBE-AE35-9BF3C2208709}" presName="sibTrans" presStyleLbl="sibTrans2D1" presStyleIdx="1" presStyleCnt="4"/>
      <dgm:spPr/>
    </dgm:pt>
    <dgm:pt modelId="{EB1C77A5-F867-40FD-A55F-491BA3417B8F}" type="pres">
      <dgm:prSet presAssocID="{0676BF2F-A2BB-4EBE-AE35-9BF3C2208709}" presName="connectorText" presStyleLbl="sibTrans2D1" presStyleIdx="1" presStyleCnt="4"/>
      <dgm:spPr/>
    </dgm:pt>
    <dgm:pt modelId="{EC041344-27A5-4A91-A255-352ACE599CC6}" type="pres">
      <dgm:prSet presAssocID="{0C0AB064-2FFB-4060-A99B-A99F5AC836FE}" presName="node" presStyleLbl="node1" presStyleIdx="2" presStyleCnt="4">
        <dgm:presLayoutVars>
          <dgm:bulletEnabled val="1"/>
        </dgm:presLayoutVars>
      </dgm:prSet>
      <dgm:spPr/>
    </dgm:pt>
    <dgm:pt modelId="{BDAB7CE5-A474-41EB-AE34-016930E2AA67}" type="pres">
      <dgm:prSet presAssocID="{20CFCDF5-0BE8-468A-9D53-348E86EF2D05}" presName="sibTrans" presStyleLbl="sibTrans2D1" presStyleIdx="2" presStyleCnt="4"/>
      <dgm:spPr/>
    </dgm:pt>
    <dgm:pt modelId="{BA036AF7-C7D1-4582-AD6F-E49070481F37}" type="pres">
      <dgm:prSet presAssocID="{20CFCDF5-0BE8-468A-9D53-348E86EF2D05}" presName="connectorText" presStyleLbl="sibTrans2D1" presStyleIdx="2" presStyleCnt="4"/>
      <dgm:spPr/>
    </dgm:pt>
    <dgm:pt modelId="{C8977104-40B6-4D4C-B0B4-3C0686130335}" type="pres">
      <dgm:prSet presAssocID="{FE37FC90-8235-457E-B323-7DF704BE4B0F}" presName="node" presStyleLbl="node1" presStyleIdx="3" presStyleCnt="4" custRadScaleRad="158260" custRadScaleInc="-12563">
        <dgm:presLayoutVars>
          <dgm:bulletEnabled val="1"/>
        </dgm:presLayoutVars>
      </dgm:prSet>
      <dgm:spPr/>
    </dgm:pt>
    <dgm:pt modelId="{7E11F63E-D9DA-494B-B2CF-935F82A2AF41}" type="pres">
      <dgm:prSet presAssocID="{C793BC1C-0133-44E8-A0F9-013EDD428E89}" presName="sibTrans" presStyleLbl="sibTrans2D1" presStyleIdx="3" presStyleCnt="4"/>
      <dgm:spPr/>
    </dgm:pt>
    <dgm:pt modelId="{72913635-574B-4E9D-BDC2-393BDBF361EE}" type="pres">
      <dgm:prSet presAssocID="{C793BC1C-0133-44E8-A0F9-013EDD428E89}" presName="connectorText" presStyleLbl="sibTrans2D1" presStyleIdx="3" presStyleCnt="4"/>
      <dgm:spPr/>
    </dgm:pt>
  </dgm:ptLst>
  <dgm:cxnLst>
    <dgm:cxn modelId="{14902601-DE2B-475C-9FE1-E5CF381C8E33}" srcId="{1750A30B-7321-4EF1-989A-D8541CDE77E4}" destId="{30062FCF-CFDE-4D7C-871A-F160CD3482BE}" srcOrd="1" destOrd="0" parTransId="{8CF2522C-5F05-40D4-8AD9-FEB46D56A1E9}" sibTransId="{0676BF2F-A2BB-4EBE-AE35-9BF3C2208709}"/>
    <dgm:cxn modelId="{F9F5040F-8953-4641-82B5-05003851340A}" type="presOf" srcId="{0676BF2F-A2BB-4EBE-AE35-9BF3C2208709}" destId="{68E6B5ED-751F-4667-ACAE-A944F70EAE15}" srcOrd="0" destOrd="0" presId="urn:microsoft.com/office/officeart/2005/8/layout/cycle2"/>
    <dgm:cxn modelId="{C6D03611-C51C-4903-A6CE-1042FAAFC12C}" type="presOf" srcId="{30062FCF-CFDE-4D7C-871A-F160CD3482BE}" destId="{FD508B2B-1082-4CCC-BD4F-406F4B75D7FD}" srcOrd="0" destOrd="0" presId="urn:microsoft.com/office/officeart/2005/8/layout/cycle2"/>
    <dgm:cxn modelId="{6B8ACA3B-181C-481F-B818-2B0243584642}" type="presOf" srcId="{E1E73577-935E-48E9-BEF5-67DD0766A148}" destId="{ADE45CDA-EABB-4B08-AB94-E2D714E8748D}" srcOrd="0" destOrd="0" presId="urn:microsoft.com/office/officeart/2005/8/layout/cycle2"/>
    <dgm:cxn modelId="{32B5835E-158D-4B70-9CEE-A45D759746F4}" type="presOf" srcId="{20CFCDF5-0BE8-468A-9D53-348E86EF2D05}" destId="{BDAB7CE5-A474-41EB-AE34-016930E2AA67}" srcOrd="0" destOrd="0" presId="urn:microsoft.com/office/officeart/2005/8/layout/cycle2"/>
    <dgm:cxn modelId="{BF63D945-F99B-45CA-928E-11FA3AF04FE6}" type="presOf" srcId="{C793BC1C-0133-44E8-A0F9-013EDD428E89}" destId="{7E11F63E-D9DA-494B-B2CF-935F82A2AF41}" srcOrd="0" destOrd="0" presId="urn:microsoft.com/office/officeart/2005/8/layout/cycle2"/>
    <dgm:cxn modelId="{0218466E-0607-4AC1-9CF7-FC1CDA592918}" type="presOf" srcId="{FE37FC90-8235-457E-B323-7DF704BE4B0F}" destId="{C8977104-40B6-4D4C-B0B4-3C0686130335}" srcOrd="0" destOrd="0" presId="urn:microsoft.com/office/officeart/2005/8/layout/cycle2"/>
    <dgm:cxn modelId="{C8308950-002F-4156-8B75-402CF2C365FB}" srcId="{1750A30B-7321-4EF1-989A-D8541CDE77E4}" destId="{0C0AB064-2FFB-4060-A99B-A99F5AC836FE}" srcOrd="2" destOrd="0" parTransId="{5E9F73A5-72FC-4FFE-BBFD-E7C62FE81490}" sibTransId="{20CFCDF5-0BE8-468A-9D53-348E86EF2D05}"/>
    <dgm:cxn modelId="{68C6B458-51B3-4052-9AD6-DBAB4F433644}" srcId="{1750A30B-7321-4EF1-989A-D8541CDE77E4}" destId="{FE37FC90-8235-457E-B323-7DF704BE4B0F}" srcOrd="3" destOrd="0" parTransId="{7ED79970-1A7A-4143-9CA6-6CCBAF060CAC}" sibTransId="{C793BC1C-0133-44E8-A0F9-013EDD428E89}"/>
    <dgm:cxn modelId="{ECCF959E-6EBD-42C9-BDA0-69F2CAD090DD}" type="presOf" srcId="{1750A30B-7321-4EF1-989A-D8541CDE77E4}" destId="{8B556D91-473E-45E8-84BB-7697B2B81A0D}" srcOrd="0" destOrd="0" presId="urn:microsoft.com/office/officeart/2005/8/layout/cycle2"/>
    <dgm:cxn modelId="{087BDBA0-D372-4DC7-AED9-A9DCC6DFE447}" type="presOf" srcId="{0676BF2F-A2BB-4EBE-AE35-9BF3C2208709}" destId="{EB1C77A5-F867-40FD-A55F-491BA3417B8F}" srcOrd="1" destOrd="0" presId="urn:microsoft.com/office/officeart/2005/8/layout/cycle2"/>
    <dgm:cxn modelId="{AEF0EFAE-6928-4B44-A6BB-BBDE9FFD1D26}" type="presOf" srcId="{0C0AB064-2FFB-4060-A99B-A99F5AC836FE}" destId="{EC041344-27A5-4A91-A255-352ACE599CC6}" srcOrd="0" destOrd="0" presId="urn:microsoft.com/office/officeart/2005/8/layout/cycle2"/>
    <dgm:cxn modelId="{F0FC5FB0-5D17-4190-94AE-730296F65E39}" type="presOf" srcId="{20CFCDF5-0BE8-468A-9D53-348E86EF2D05}" destId="{BA036AF7-C7D1-4582-AD6F-E49070481F37}" srcOrd="1" destOrd="0" presId="urn:microsoft.com/office/officeart/2005/8/layout/cycle2"/>
    <dgm:cxn modelId="{A4E99FB8-0F80-426A-BF89-EF34B005C348}" type="presOf" srcId="{8A345056-1CF1-4FFC-BC5A-50902C237C26}" destId="{1D675F61-81F2-408F-ADF3-C648A5CC5A88}" srcOrd="1" destOrd="0" presId="urn:microsoft.com/office/officeart/2005/8/layout/cycle2"/>
    <dgm:cxn modelId="{9C32A0BB-6E0F-46EF-BAA1-C8817DFC7473}" type="presOf" srcId="{C793BC1C-0133-44E8-A0F9-013EDD428E89}" destId="{72913635-574B-4E9D-BDC2-393BDBF361EE}" srcOrd="1" destOrd="0" presId="urn:microsoft.com/office/officeart/2005/8/layout/cycle2"/>
    <dgm:cxn modelId="{6FAA63BC-81C7-428A-8E7E-02F4CDAB6848}" srcId="{1750A30B-7321-4EF1-989A-D8541CDE77E4}" destId="{E1E73577-935E-48E9-BEF5-67DD0766A148}" srcOrd="0" destOrd="0" parTransId="{9F373F3F-DD4F-4E25-97B9-846FF0A92429}" sibTransId="{8A345056-1CF1-4FFC-BC5A-50902C237C26}"/>
    <dgm:cxn modelId="{C81129DF-C539-43AF-9A92-CD7CD269F341}" type="presOf" srcId="{8A345056-1CF1-4FFC-BC5A-50902C237C26}" destId="{56E2B581-F2BE-4722-957A-7770DB17D88A}" srcOrd="0" destOrd="0" presId="urn:microsoft.com/office/officeart/2005/8/layout/cycle2"/>
    <dgm:cxn modelId="{BD142E43-98B4-4C58-BBD8-E384C5A927F2}" type="presParOf" srcId="{8B556D91-473E-45E8-84BB-7697B2B81A0D}" destId="{ADE45CDA-EABB-4B08-AB94-E2D714E8748D}" srcOrd="0" destOrd="0" presId="urn:microsoft.com/office/officeart/2005/8/layout/cycle2"/>
    <dgm:cxn modelId="{1572426B-1003-4456-8210-11F8A36C95AC}" type="presParOf" srcId="{8B556D91-473E-45E8-84BB-7697B2B81A0D}" destId="{56E2B581-F2BE-4722-957A-7770DB17D88A}" srcOrd="1" destOrd="0" presId="urn:microsoft.com/office/officeart/2005/8/layout/cycle2"/>
    <dgm:cxn modelId="{32B8F7EE-5E67-48B1-B105-74DBE8A81C55}" type="presParOf" srcId="{56E2B581-F2BE-4722-957A-7770DB17D88A}" destId="{1D675F61-81F2-408F-ADF3-C648A5CC5A88}" srcOrd="0" destOrd="0" presId="urn:microsoft.com/office/officeart/2005/8/layout/cycle2"/>
    <dgm:cxn modelId="{86E6E631-B973-486A-A922-22586F0BA64B}" type="presParOf" srcId="{8B556D91-473E-45E8-84BB-7697B2B81A0D}" destId="{FD508B2B-1082-4CCC-BD4F-406F4B75D7FD}" srcOrd="2" destOrd="0" presId="urn:microsoft.com/office/officeart/2005/8/layout/cycle2"/>
    <dgm:cxn modelId="{B4F276A6-5C14-4E17-8D53-B96D8240DC2A}" type="presParOf" srcId="{8B556D91-473E-45E8-84BB-7697B2B81A0D}" destId="{68E6B5ED-751F-4667-ACAE-A944F70EAE15}" srcOrd="3" destOrd="0" presId="urn:microsoft.com/office/officeart/2005/8/layout/cycle2"/>
    <dgm:cxn modelId="{6AFC9748-61EA-4E4B-8361-C88C1D852AE6}" type="presParOf" srcId="{68E6B5ED-751F-4667-ACAE-A944F70EAE15}" destId="{EB1C77A5-F867-40FD-A55F-491BA3417B8F}" srcOrd="0" destOrd="0" presId="urn:microsoft.com/office/officeart/2005/8/layout/cycle2"/>
    <dgm:cxn modelId="{B927F264-0C77-45ED-89BC-42A67E9A9779}" type="presParOf" srcId="{8B556D91-473E-45E8-84BB-7697B2B81A0D}" destId="{EC041344-27A5-4A91-A255-352ACE599CC6}" srcOrd="4" destOrd="0" presId="urn:microsoft.com/office/officeart/2005/8/layout/cycle2"/>
    <dgm:cxn modelId="{F880E8F0-63E7-4674-90DD-CEFD65AD3095}" type="presParOf" srcId="{8B556D91-473E-45E8-84BB-7697B2B81A0D}" destId="{BDAB7CE5-A474-41EB-AE34-016930E2AA67}" srcOrd="5" destOrd="0" presId="urn:microsoft.com/office/officeart/2005/8/layout/cycle2"/>
    <dgm:cxn modelId="{ABB1520D-2A75-4551-BCD2-916B7C6BE308}" type="presParOf" srcId="{BDAB7CE5-A474-41EB-AE34-016930E2AA67}" destId="{BA036AF7-C7D1-4582-AD6F-E49070481F37}" srcOrd="0" destOrd="0" presId="urn:microsoft.com/office/officeart/2005/8/layout/cycle2"/>
    <dgm:cxn modelId="{EE508137-7DB7-4431-BA1F-FDB379862FAA}" type="presParOf" srcId="{8B556D91-473E-45E8-84BB-7697B2B81A0D}" destId="{C8977104-40B6-4D4C-B0B4-3C0686130335}" srcOrd="6" destOrd="0" presId="urn:microsoft.com/office/officeart/2005/8/layout/cycle2"/>
    <dgm:cxn modelId="{5E47B011-3346-4952-BBE5-F8FBA2493E24}" type="presParOf" srcId="{8B556D91-473E-45E8-84BB-7697B2B81A0D}" destId="{7E11F63E-D9DA-494B-B2CF-935F82A2AF41}" srcOrd="7" destOrd="0" presId="urn:microsoft.com/office/officeart/2005/8/layout/cycle2"/>
    <dgm:cxn modelId="{7CA43858-B598-4BFB-8F65-5DA3BB29E9DC}" type="presParOf" srcId="{7E11F63E-D9DA-494B-B2CF-935F82A2AF41}" destId="{72913635-574B-4E9D-BDC2-393BDBF361EE}"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E45CDA-EABB-4B08-AB94-E2D714E8748D}">
      <dsp:nvSpPr>
        <dsp:cNvPr id="0" name=""/>
        <dsp:cNvSpPr/>
      </dsp:nvSpPr>
      <dsp:spPr>
        <a:xfrm>
          <a:off x="2076658" y="0"/>
          <a:ext cx="1024681" cy="1024681"/>
        </a:xfrm>
        <a:prstGeom prst="ellipse">
          <a:avLst/>
        </a:prstGeom>
        <a:solidFill>
          <a:schemeClr val="accent1">
            <a:lumMod val="60000"/>
            <a:lum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Meaningful Activity</a:t>
          </a:r>
        </a:p>
      </dsp:txBody>
      <dsp:txXfrm>
        <a:off x="2226719" y="150061"/>
        <a:ext cx="724559" cy="724559"/>
      </dsp:txXfrm>
    </dsp:sp>
    <dsp:sp modelId="{56E2B581-F2BE-4722-957A-7770DB17D88A}">
      <dsp:nvSpPr>
        <dsp:cNvPr id="0" name=""/>
        <dsp:cNvSpPr/>
      </dsp:nvSpPr>
      <dsp:spPr>
        <a:xfrm rot="2441669">
          <a:off x="3070280" y="959240"/>
          <a:ext cx="478921"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082823" y="994583"/>
        <a:ext cx="375172" cy="207498"/>
      </dsp:txXfrm>
    </dsp:sp>
    <dsp:sp modelId="{FD508B2B-1082-4CCC-BD4F-406F4B75D7FD}">
      <dsp:nvSpPr>
        <dsp:cNvPr id="0" name=""/>
        <dsp:cNvSpPr/>
      </dsp:nvSpPr>
      <dsp:spPr>
        <a:xfrm>
          <a:off x="3538695" y="1257305"/>
          <a:ext cx="1024681" cy="1024681"/>
        </a:xfrm>
        <a:prstGeom prst="ellipse">
          <a:avLst/>
        </a:prstGeom>
        <a:solidFill>
          <a:schemeClr val="accent6">
            <a:lumMod val="60000"/>
            <a:lum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DLaM Display" panose="02010000000000000000" pitchFamily="2" charset="0"/>
              <a:ea typeface="ADLaM Display" panose="02010000000000000000" pitchFamily="2" charset="0"/>
              <a:cs typeface="ADLaM Display" panose="02010000000000000000" pitchFamily="2" charset="0"/>
            </a:rPr>
            <a:t>Relationships</a:t>
          </a:r>
        </a:p>
      </dsp:txBody>
      <dsp:txXfrm>
        <a:off x="3688756" y="1407366"/>
        <a:ext cx="724559" cy="724559"/>
      </dsp:txXfrm>
    </dsp:sp>
    <dsp:sp modelId="{68E6B5ED-751F-4667-ACAE-A944F70EAE15}">
      <dsp:nvSpPr>
        <dsp:cNvPr id="0" name=""/>
        <dsp:cNvSpPr/>
      </dsp:nvSpPr>
      <dsp:spPr>
        <a:xfrm rot="8697089">
          <a:off x="3252350" y="2050501"/>
          <a:ext cx="303605"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335173" y="2093514"/>
        <a:ext cx="212524" cy="207498"/>
      </dsp:txXfrm>
    </dsp:sp>
    <dsp:sp modelId="{EC041344-27A5-4A91-A255-352ACE599CC6}">
      <dsp:nvSpPr>
        <dsp:cNvPr id="0" name=""/>
        <dsp:cNvSpPr/>
      </dsp:nvSpPr>
      <dsp:spPr>
        <a:xfrm>
          <a:off x="2230859" y="2174713"/>
          <a:ext cx="1024681" cy="1024681"/>
        </a:xfrm>
        <a:prstGeom prst="ellipse">
          <a:avLst/>
        </a:prstGeom>
        <a:solidFill>
          <a:schemeClr val="accent2">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Identity</a:t>
          </a:r>
        </a:p>
      </dsp:txBody>
      <dsp:txXfrm>
        <a:off x="2380920" y="2324774"/>
        <a:ext cx="724559" cy="724559"/>
      </dsp:txXfrm>
    </dsp:sp>
    <dsp:sp modelId="{BDAB7CE5-A474-41EB-AE34-016930E2AA67}">
      <dsp:nvSpPr>
        <dsp:cNvPr id="0" name=""/>
        <dsp:cNvSpPr/>
      </dsp:nvSpPr>
      <dsp:spPr>
        <a:xfrm rot="12491396">
          <a:off x="1656382" y="2061933"/>
          <a:ext cx="486201"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753978" y="2155604"/>
        <a:ext cx="382452" cy="207498"/>
      </dsp:txXfrm>
    </dsp:sp>
    <dsp:sp modelId="{C8977104-40B6-4D4C-B0B4-3C0686130335}">
      <dsp:nvSpPr>
        <dsp:cNvPr id="0" name=""/>
        <dsp:cNvSpPr/>
      </dsp:nvSpPr>
      <dsp:spPr>
        <a:xfrm>
          <a:off x="519169" y="1257301"/>
          <a:ext cx="1024681" cy="1024681"/>
        </a:xfrm>
        <a:prstGeom prst="ellipse">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1270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Respect</a:t>
          </a:r>
        </a:p>
      </dsp:txBody>
      <dsp:txXfrm>
        <a:off x="669230" y="1407362"/>
        <a:ext cx="724559" cy="724559"/>
      </dsp:txXfrm>
    </dsp:sp>
    <dsp:sp modelId="{7E11F63E-D9DA-494B-B2CF-935F82A2AF41}">
      <dsp:nvSpPr>
        <dsp:cNvPr id="0" name=""/>
        <dsp:cNvSpPr/>
      </dsp:nvSpPr>
      <dsp:spPr>
        <a:xfrm rot="19265244">
          <a:off x="1539956" y="977281"/>
          <a:ext cx="517790"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551467" y="1079031"/>
        <a:ext cx="414041"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13528-46D5-4615-8F81-B9ED63B29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2950</Words>
  <Characters>17552</Characters>
  <Application>Microsoft Office Word</Application>
  <DocSecurity>0</DocSecurity>
  <Lines>322</Lines>
  <Paragraphs>116</Paragraphs>
  <ScaleCrop>false</ScaleCrop>
  <HeadingPairs>
    <vt:vector size="2" baseType="variant">
      <vt:variant>
        <vt:lpstr>Title</vt:lpstr>
      </vt:variant>
      <vt:variant>
        <vt:i4>1</vt:i4>
      </vt:variant>
    </vt:vector>
  </HeadingPairs>
  <TitlesOfParts>
    <vt:vector size="1" baseType="lpstr">
      <vt:lpstr>Component 2: Written Assignment (Report)</vt:lpstr>
    </vt:vector>
  </TitlesOfParts>
  <Company/>
  <LinksUpToDate>false</LinksUpToDate>
  <CharactersWithSpaces>20403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(Report)</dc:title>
  <dc:subject>Principles of Health and Social Care Practice</dc:subject>
  <dc:creator>Iftekhar Rashid</dc:creator>
  <cp:keywords/>
  <dc:description/>
  <cp:lastModifiedBy>Gazala Haroon (2411422)</cp:lastModifiedBy>
  <cp:revision>30</cp:revision>
  <cp:lastPrinted>2025-11-01T17:31:00Z</cp:lastPrinted>
  <dcterms:created xsi:type="dcterms:W3CDTF">2025-11-05T12:45:00Z</dcterms:created>
  <dcterms:modified xsi:type="dcterms:W3CDTF">2025-11-05T13:06:00Z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be7fe9d7-a1cb-4717-8d22-79a9107f66a3</vt:lpwstr>
  </property>
</Properties>
</file>