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C3EA1" w14:textId="77777777" w:rsidR="000D3EBF" w:rsidRDefault="000D3EBF" w:rsidP="000D3EBF">
      <w:pPr>
        <w:spacing w:after="800" w:line="360" w:lineRule="auto"/>
        <w:jc w:val="center"/>
        <w:rPr>
          <w:rFonts w:ascii="Arial Nova" w:hAnsi="Arial Nova"/>
          <w:sz w:val="72"/>
          <w:szCs w:val="72"/>
        </w:rPr>
      </w:pPr>
      <w:r w:rsidRPr="000D3EBF">
        <w:rPr>
          <w:rFonts w:ascii="Arial Nova" w:hAnsi="Arial Nova"/>
          <w:sz w:val="72"/>
          <w:szCs w:val="72"/>
        </w:rPr>
        <w:t>Assignment#2</w:t>
      </w:r>
    </w:p>
    <w:p w14:paraId="2E0A325D" w14:textId="2670C542" w:rsidR="000D3EBF" w:rsidRPr="000D3EBF" w:rsidRDefault="000D3EBF" w:rsidP="000D3EBF">
      <w:pPr>
        <w:spacing w:after="800" w:line="360" w:lineRule="auto"/>
        <w:jc w:val="center"/>
        <w:rPr>
          <w:rFonts w:ascii="Arial Nova" w:hAnsi="Arial Nova"/>
          <w:sz w:val="72"/>
          <w:szCs w:val="72"/>
        </w:rPr>
      </w:pPr>
      <w:r w:rsidRPr="000D3EBF">
        <w:rPr>
          <w:rFonts w:ascii="Arial Nova" w:hAnsi="Arial Nova"/>
          <w:b/>
          <w:bCs/>
          <w:sz w:val="40"/>
          <w:szCs w:val="40"/>
          <w:lang w:val="en-US"/>
        </w:rPr>
        <w:t>Health, Wellbeing and Sustainable Development BMHP6030</w:t>
      </w:r>
    </w:p>
    <w:p w14:paraId="7417D59D" w14:textId="0B6516FE" w:rsidR="000D3EBF" w:rsidRPr="000D3EBF" w:rsidRDefault="000D3EBF" w:rsidP="000D3EBF">
      <w:pPr>
        <w:spacing w:after="800" w:line="360" w:lineRule="auto"/>
        <w:jc w:val="center"/>
        <w:rPr>
          <w:rFonts w:ascii="Arial Nova" w:hAnsi="Arial Nova"/>
          <w:b/>
          <w:bCs/>
          <w:sz w:val="48"/>
          <w:szCs w:val="48"/>
          <w:lang w:val="en-US"/>
        </w:rPr>
      </w:pPr>
      <w:r w:rsidRPr="000D3EBF">
        <w:rPr>
          <w:rFonts w:ascii="Arial Nova" w:hAnsi="Arial Nova"/>
          <w:b/>
          <w:bCs/>
          <w:sz w:val="48"/>
          <w:szCs w:val="48"/>
          <w:lang w:val="en-US"/>
        </w:rPr>
        <w:t>Report</w:t>
      </w:r>
    </w:p>
    <w:p w14:paraId="6E0F8CD6" w14:textId="0F033114" w:rsidR="00426D71" w:rsidRPr="000D3EBF" w:rsidRDefault="00426D71" w:rsidP="000D3EBF">
      <w:pPr>
        <w:spacing w:after="800" w:line="360" w:lineRule="auto"/>
        <w:jc w:val="center"/>
        <w:rPr>
          <w:rFonts w:ascii="Arial Nova" w:hAnsi="Arial Nova"/>
          <w:b/>
          <w:bCs/>
          <w:sz w:val="36"/>
          <w:szCs w:val="36"/>
        </w:rPr>
      </w:pPr>
      <w:r w:rsidRPr="000D3EBF">
        <w:rPr>
          <w:rFonts w:ascii="Arial Nova" w:hAnsi="Arial Nova"/>
          <w:b/>
          <w:bCs/>
          <w:sz w:val="36"/>
          <w:szCs w:val="36"/>
        </w:rPr>
        <w:t>Critically Examining Health, Wellbeing and Sustainability Policy:</w:t>
      </w:r>
      <w:r w:rsidR="000D3EBF" w:rsidRPr="000D3EBF">
        <w:rPr>
          <w:rFonts w:ascii="Arial Nova" w:hAnsi="Arial Nova"/>
          <w:sz w:val="36"/>
          <w:szCs w:val="36"/>
        </w:rPr>
        <w:t xml:space="preserve"> </w:t>
      </w:r>
      <w:r w:rsidRPr="000D3EBF">
        <w:rPr>
          <w:rFonts w:ascii="Arial Nova" w:hAnsi="Arial Nova"/>
          <w:b/>
          <w:bCs/>
          <w:sz w:val="36"/>
          <w:szCs w:val="36"/>
        </w:rPr>
        <w:t xml:space="preserve">SDG 3 Good Health and </w:t>
      </w:r>
      <w:r w:rsidR="000D3EBF">
        <w:rPr>
          <w:rFonts w:ascii="Arial Nova" w:hAnsi="Arial Nova"/>
          <w:b/>
          <w:bCs/>
          <w:sz w:val="36"/>
          <w:szCs w:val="36"/>
        </w:rPr>
        <w:t xml:space="preserve">          </w:t>
      </w:r>
      <w:r w:rsidRPr="000D3EBF">
        <w:rPr>
          <w:rFonts w:ascii="Arial Nova" w:hAnsi="Arial Nova"/>
          <w:b/>
          <w:bCs/>
          <w:sz w:val="36"/>
          <w:szCs w:val="36"/>
        </w:rPr>
        <w:t>Well-being and SDG 13 Climate Action</w:t>
      </w:r>
    </w:p>
    <w:p w14:paraId="4B0BA7EF" w14:textId="77777777" w:rsidR="000D3EBF" w:rsidRDefault="000D3EBF" w:rsidP="000D3EBF">
      <w:pPr>
        <w:spacing w:after="200" w:line="360" w:lineRule="auto"/>
        <w:jc w:val="both"/>
        <w:rPr>
          <w:rFonts w:ascii="Arial Nova" w:hAnsi="Arial Nova"/>
          <w:sz w:val="22"/>
          <w:szCs w:val="22"/>
        </w:rPr>
      </w:pPr>
    </w:p>
    <w:p w14:paraId="55BA7E55" w14:textId="77777777" w:rsidR="000D3EBF" w:rsidRDefault="000D3EBF" w:rsidP="000D3EBF">
      <w:pPr>
        <w:spacing w:after="200" w:line="360" w:lineRule="auto"/>
        <w:jc w:val="both"/>
        <w:rPr>
          <w:rFonts w:ascii="Arial Nova" w:hAnsi="Arial Nova"/>
          <w:sz w:val="22"/>
          <w:szCs w:val="22"/>
        </w:rPr>
      </w:pPr>
    </w:p>
    <w:p w14:paraId="41C5DE06" w14:textId="77777777" w:rsidR="000D3EBF" w:rsidRDefault="000D3EBF" w:rsidP="000D3EBF">
      <w:pPr>
        <w:spacing w:after="200" w:line="360" w:lineRule="auto"/>
        <w:jc w:val="both"/>
        <w:rPr>
          <w:rFonts w:ascii="Arial Nova" w:hAnsi="Arial Nova"/>
          <w:sz w:val="22"/>
          <w:szCs w:val="22"/>
        </w:rPr>
      </w:pPr>
    </w:p>
    <w:p w14:paraId="77CCAA1D" w14:textId="5D248D5A" w:rsidR="000D3EBF" w:rsidRPr="000D3EBF" w:rsidRDefault="000D3EBF" w:rsidP="000D3EBF">
      <w:pPr>
        <w:spacing w:after="200" w:line="360" w:lineRule="auto"/>
        <w:jc w:val="both"/>
        <w:rPr>
          <w:rFonts w:ascii="Arial Nova" w:hAnsi="Arial Nova"/>
          <w:b/>
          <w:bCs/>
        </w:rPr>
      </w:pPr>
      <w:r w:rsidRPr="000D3EBF">
        <w:rPr>
          <w:rFonts w:ascii="Arial Nova" w:hAnsi="Arial Nova"/>
          <w:b/>
          <w:bCs/>
        </w:rPr>
        <w:t xml:space="preserve">Student Name: </w:t>
      </w:r>
      <w:r w:rsidR="00BA1D6C">
        <w:rPr>
          <w:rFonts w:ascii="Arial Nova" w:hAnsi="Arial Nova"/>
          <w:b/>
          <w:bCs/>
        </w:rPr>
        <w:t>Kinga Starczewska</w:t>
      </w:r>
    </w:p>
    <w:p w14:paraId="01A70E01" w14:textId="7757FB7C" w:rsidR="000D3EBF" w:rsidRPr="000D3EBF" w:rsidRDefault="000D3EBF" w:rsidP="000D3EBF">
      <w:pPr>
        <w:spacing w:after="200" w:line="360" w:lineRule="auto"/>
        <w:jc w:val="both"/>
        <w:rPr>
          <w:rFonts w:ascii="Arial Nova" w:hAnsi="Arial Nova"/>
          <w:b/>
          <w:bCs/>
        </w:rPr>
      </w:pPr>
      <w:r w:rsidRPr="000D3EBF">
        <w:rPr>
          <w:rFonts w:ascii="Arial Nova" w:hAnsi="Arial Nova"/>
          <w:b/>
          <w:bCs/>
        </w:rPr>
        <w:t xml:space="preserve">Student Number: </w:t>
      </w:r>
      <w:r w:rsidR="00B769B1" w:rsidRPr="00B769B1">
        <w:rPr>
          <w:rFonts w:ascii="Arial Nova" w:hAnsi="Arial Nova"/>
          <w:b/>
          <w:bCs/>
        </w:rPr>
        <w:t>2312239</w:t>
      </w:r>
    </w:p>
    <w:p w14:paraId="0EB49C37" w14:textId="700782E8" w:rsidR="000D3EBF" w:rsidRDefault="000D3EBF" w:rsidP="000D3EBF">
      <w:pPr>
        <w:spacing w:after="200" w:line="360" w:lineRule="auto"/>
        <w:jc w:val="both"/>
        <w:rPr>
          <w:rFonts w:ascii="Arial Nova" w:hAnsi="Arial Nova"/>
          <w:b/>
          <w:bCs/>
        </w:rPr>
      </w:pPr>
      <w:r w:rsidRPr="000D3EBF">
        <w:rPr>
          <w:rFonts w:ascii="Arial Nova" w:hAnsi="Arial Nova"/>
          <w:b/>
          <w:bCs/>
        </w:rPr>
        <w:t xml:space="preserve">Lecturer: </w:t>
      </w:r>
      <w:r w:rsidR="00C160B8" w:rsidRPr="00C160B8">
        <w:rPr>
          <w:rFonts w:ascii="Arial Nova" w:hAnsi="Arial Nova"/>
          <w:b/>
          <w:bCs/>
        </w:rPr>
        <w:t>Philip Jones</w:t>
      </w:r>
      <w:r w:rsidR="00C160B8">
        <w:rPr>
          <w:rFonts w:ascii="Arial Nova" w:hAnsi="Arial Nova"/>
          <w:b/>
          <w:bCs/>
        </w:rPr>
        <w:t xml:space="preserve"> </w:t>
      </w:r>
    </w:p>
    <w:p w14:paraId="157B68FC" w14:textId="77777777" w:rsidR="00A57B50" w:rsidRDefault="00A57B50" w:rsidP="00F4416E">
      <w:pPr>
        <w:spacing w:line="360" w:lineRule="auto"/>
        <w:jc w:val="both"/>
        <w:rPr>
          <w:rFonts w:ascii="Arial Nova" w:hAnsi="Arial Nova"/>
          <w:sz w:val="22"/>
          <w:szCs w:val="22"/>
        </w:rPr>
      </w:pPr>
    </w:p>
    <w:p w14:paraId="619CB34B" w14:textId="088FF374" w:rsidR="00A57B50" w:rsidRPr="00D82141" w:rsidRDefault="00A57B50" w:rsidP="00F4416E">
      <w:pPr>
        <w:spacing w:line="360" w:lineRule="auto"/>
        <w:jc w:val="both"/>
        <w:rPr>
          <w:rFonts w:ascii="Arial Nova" w:hAnsi="Arial Nova"/>
          <w:b/>
          <w:bCs/>
          <w:sz w:val="22"/>
          <w:szCs w:val="22"/>
          <w:u w:val="single"/>
        </w:rPr>
      </w:pPr>
      <w:r w:rsidRPr="00D82141">
        <w:rPr>
          <w:rFonts w:ascii="Arial Nova" w:hAnsi="Arial Nova"/>
          <w:b/>
          <w:bCs/>
          <w:sz w:val="22"/>
          <w:szCs w:val="22"/>
          <w:u w:val="single"/>
        </w:rPr>
        <w:lastRenderedPageBreak/>
        <w:t>Introduction:</w:t>
      </w:r>
    </w:p>
    <w:p w14:paraId="0A552AE4" w14:textId="77777777" w:rsidR="00A57B50" w:rsidRDefault="00A57B50" w:rsidP="00F4416E">
      <w:pPr>
        <w:spacing w:line="360" w:lineRule="auto"/>
        <w:jc w:val="both"/>
        <w:rPr>
          <w:rFonts w:ascii="Arial Nova" w:hAnsi="Arial Nova"/>
          <w:sz w:val="22"/>
          <w:szCs w:val="22"/>
        </w:rPr>
      </w:pPr>
    </w:p>
    <w:p w14:paraId="44387F81" w14:textId="2AD5A80D" w:rsidR="00F4416E" w:rsidRDefault="008534EF" w:rsidP="00F4416E">
      <w:pPr>
        <w:spacing w:line="360" w:lineRule="auto"/>
        <w:jc w:val="both"/>
        <w:rPr>
          <w:rFonts w:ascii="Arial Nova" w:hAnsi="Arial Nova"/>
          <w:sz w:val="22"/>
          <w:szCs w:val="22"/>
        </w:rPr>
      </w:pPr>
      <w:r w:rsidRPr="008534EF">
        <w:rPr>
          <w:rFonts w:ascii="Arial Nova" w:hAnsi="Arial Nova"/>
          <w:sz w:val="22"/>
          <w:szCs w:val="22"/>
        </w:rPr>
        <w:t xml:space="preserve">Health and sustainability are increasingly understood as interdependent goals rather than separate policy domains. This report critically examines policies and initiatives addressing Sustainable Development Goal 3, Good Health and Well-being, and SDG 13, Climate Action, at global, national and local levels. The two goals were selected because climate change is now recognised by the World Health Organization as one of the greatest threats to global health, while health systems themselves are significant contributors to greenhouse gas emissions (WHO, 2023). Examining the two goals </w:t>
      </w:r>
      <w:r w:rsidR="00C77AFE" w:rsidRPr="008534EF">
        <w:rPr>
          <w:rFonts w:ascii="Arial Nova" w:hAnsi="Arial Nova"/>
          <w:sz w:val="22"/>
          <w:szCs w:val="22"/>
        </w:rPr>
        <w:t>together the</w:t>
      </w:r>
      <w:r w:rsidRPr="008534EF">
        <w:rPr>
          <w:rFonts w:ascii="Arial Nova" w:hAnsi="Arial Nova"/>
          <w:sz w:val="22"/>
          <w:szCs w:val="22"/>
        </w:rPr>
        <w:t xml:space="preserve"> </w:t>
      </w:r>
      <w:r w:rsidR="002F281C" w:rsidRPr="008534EF">
        <w:rPr>
          <w:rFonts w:ascii="Arial Nova" w:hAnsi="Arial Nova"/>
          <w:sz w:val="22"/>
          <w:szCs w:val="22"/>
        </w:rPr>
        <w:t>cop</w:t>
      </w:r>
      <w:r w:rsidR="00C77AFE">
        <w:rPr>
          <w:rFonts w:ascii="Arial Nova" w:hAnsi="Arial Nova"/>
          <w:sz w:val="22"/>
          <w:szCs w:val="22"/>
        </w:rPr>
        <w:t xml:space="preserve"> </w:t>
      </w:r>
      <w:r w:rsidRPr="008534EF">
        <w:rPr>
          <w:rFonts w:ascii="Arial Nova" w:hAnsi="Arial Nova"/>
          <w:sz w:val="22"/>
          <w:szCs w:val="22"/>
        </w:rPr>
        <w:t>shows benefits principle that increasingly underpins contemporary public health and environmental policy.</w:t>
      </w:r>
    </w:p>
    <w:p w14:paraId="2C75CBF0" w14:textId="19C43B41" w:rsidR="00853BBF" w:rsidRDefault="00853BBF" w:rsidP="00F4416E">
      <w:pPr>
        <w:spacing w:line="360" w:lineRule="auto"/>
        <w:jc w:val="both"/>
        <w:rPr>
          <w:rFonts w:ascii="Arial Nova" w:hAnsi="Arial Nova"/>
          <w:sz w:val="22"/>
          <w:szCs w:val="22"/>
        </w:rPr>
      </w:pPr>
      <w:r w:rsidRPr="00853BBF">
        <w:rPr>
          <w:rFonts w:ascii="Arial Nova" w:hAnsi="Arial Nova"/>
          <w:sz w:val="22"/>
          <w:szCs w:val="22"/>
        </w:rPr>
        <w:t>The report's central aim is to move beyond description toward critical evaluation, drawing on established behavioural and policy theory principally the Health Belief Model and Social Cognitive Theory</w:t>
      </w:r>
      <w:r w:rsidR="000437E9">
        <w:rPr>
          <w:rFonts w:ascii="Arial Nova" w:hAnsi="Arial Nova"/>
          <w:sz w:val="22"/>
          <w:szCs w:val="22"/>
        </w:rPr>
        <w:t xml:space="preserve"> </w:t>
      </w:r>
      <w:r w:rsidRPr="00853BBF">
        <w:rPr>
          <w:rFonts w:ascii="Arial Nova" w:hAnsi="Arial Nova"/>
          <w:sz w:val="22"/>
          <w:szCs w:val="22"/>
        </w:rPr>
        <w:t>to interrogate how effectively policies translate ambition into behaviour change and measurable population-level outcomes. Quantitative indicators, such as mortality and emissions data, are considered alongside qualitative evaluations from bodies such as the King's Fund and the UK Health Alliance on Climate Change.</w:t>
      </w:r>
    </w:p>
    <w:p w14:paraId="0E4F1774" w14:textId="239D0A19" w:rsidR="00E55EF6" w:rsidRDefault="008D18B5" w:rsidP="003A6063">
      <w:pPr>
        <w:spacing w:line="360" w:lineRule="auto"/>
        <w:jc w:val="both"/>
        <w:rPr>
          <w:rFonts w:ascii="Arial Nova" w:hAnsi="Arial Nova"/>
          <w:sz w:val="22"/>
          <w:szCs w:val="22"/>
        </w:rPr>
      </w:pPr>
      <w:r w:rsidRPr="008D18B5">
        <w:rPr>
          <w:rFonts w:ascii="Arial Nova" w:hAnsi="Arial Nova"/>
          <w:sz w:val="22"/>
          <w:szCs w:val="22"/>
        </w:rPr>
        <w:t>The report is structured in two main sections. Section One evaluates SDG 3, covering global monitoring frameworks, English national policy the NHS Long Term Plan and Core20PLUS5 programme, and the Welsh Well-being of Future Generations Act 2015 as example, before offering evidence-informed recommendations. Section Two applies the same structure to SDG 13, examining the Paris Agreement and the COP28 Declaration on Climate and Health, the NHS Net Zero strategy, and Welsh climate-health integration. A conclusion draws the two goals together</w:t>
      </w:r>
      <w:r w:rsidR="00595A09">
        <w:rPr>
          <w:rFonts w:ascii="Arial Nova" w:hAnsi="Arial Nova"/>
          <w:sz w:val="22"/>
          <w:szCs w:val="22"/>
        </w:rPr>
        <w:t xml:space="preserve"> </w:t>
      </w:r>
      <w:r w:rsidRPr="008D18B5">
        <w:rPr>
          <w:rFonts w:ascii="Arial Nova" w:hAnsi="Arial Nova"/>
          <w:sz w:val="22"/>
          <w:szCs w:val="22"/>
        </w:rPr>
        <w:t>for policymaking.</w:t>
      </w:r>
    </w:p>
    <w:p w14:paraId="42624DD2" w14:textId="77777777" w:rsidR="003A6063" w:rsidRDefault="003A6063" w:rsidP="003A6063">
      <w:pPr>
        <w:spacing w:line="360" w:lineRule="auto"/>
        <w:jc w:val="both"/>
        <w:rPr>
          <w:rFonts w:ascii="Arial Nova" w:hAnsi="Arial Nova"/>
          <w:sz w:val="22"/>
          <w:szCs w:val="22"/>
        </w:rPr>
      </w:pPr>
    </w:p>
    <w:p w14:paraId="3519AEBF" w14:textId="4C5DF951" w:rsidR="003A6063" w:rsidRPr="00D82141" w:rsidRDefault="003A6063" w:rsidP="003A6063">
      <w:pPr>
        <w:spacing w:line="360" w:lineRule="auto"/>
        <w:jc w:val="both"/>
        <w:rPr>
          <w:rFonts w:ascii="Arial Nova" w:hAnsi="Arial Nova"/>
          <w:b/>
          <w:bCs/>
          <w:sz w:val="22"/>
          <w:szCs w:val="22"/>
          <w:u w:val="single"/>
        </w:rPr>
      </w:pPr>
      <w:r w:rsidRPr="00D82141">
        <w:rPr>
          <w:rFonts w:ascii="Arial Nova" w:hAnsi="Arial Nova"/>
          <w:b/>
          <w:bCs/>
          <w:sz w:val="22"/>
          <w:szCs w:val="22"/>
          <w:u w:val="single"/>
        </w:rPr>
        <w:t>Section 1: SDG 3 – Good Health and Well-being.</w:t>
      </w:r>
    </w:p>
    <w:p w14:paraId="78CA8280" w14:textId="77777777" w:rsidR="00784E0A" w:rsidRPr="00784E0A" w:rsidRDefault="00784E0A" w:rsidP="00784E0A">
      <w:pPr>
        <w:rPr>
          <w:rFonts w:ascii="Arial Nova" w:hAnsi="Arial Nova"/>
          <w:sz w:val="22"/>
          <w:szCs w:val="22"/>
        </w:rPr>
      </w:pPr>
    </w:p>
    <w:p w14:paraId="495ED522" w14:textId="64E531C4" w:rsidR="001A2C8E" w:rsidRPr="00351F5E" w:rsidRDefault="00351F5E" w:rsidP="00351F5E">
      <w:pPr>
        <w:spacing w:line="360" w:lineRule="auto"/>
        <w:jc w:val="both"/>
        <w:rPr>
          <w:rFonts w:ascii="Arial Nova" w:hAnsi="Arial Nova"/>
          <w:sz w:val="22"/>
          <w:szCs w:val="22"/>
        </w:rPr>
      </w:pPr>
      <w:r w:rsidRPr="00351F5E">
        <w:rPr>
          <w:rFonts w:ascii="Arial Nova" w:hAnsi="Arial Nova"/>
          <w:sz w:val="22"/>
          <w:szCs w:val="22"/>
        </w:rPr>
        <w:t xml:space="preserve">SDG 3 commits UN member states to ‘ensure healthy lives and promote well-being for all at all ages’ through 13 targets and 28 indicators spanning maternal and child mortality, communicable and non-communicable disease, mental health, substance abuse, road safety, </w:t>
      </w:r>
      <w:r w:rsidR="00FD45A2">
        <w:rPr>
          <w:rFonts w:ascii="Arial Nova" w:hAnsi="Arial Nova"/>
          <w:sz w:val="22"/>
          <w:szCs w:val="22"/>
        </w:rPr>
        <w:t>U</w:t>
      </w:r>
      <w:r w:rsidRPr="00351F5E">
        <w:rPr>
          <w:rFonts w:ascii="Arial Nova" w:hAnsi="Arial Nova"/>
          <w:sz w:val="22"/>
          <w:szCs w:val="22"/>
        </w:rPr>
        <w:t xml:space="preserve">niversal </w:t>
      </w:r>
      <w:r w:rsidR="00FD45A2">
        <w:rPr>
          <w:rFonts w:ascii="Arial Nova" w:hAnsi="Arial Nova"/>
          <w:sz w:val="22"/>
          <w:szCs w:val="22"/>
        </w:rPr>
        <w:t>H</w:t>
      </w:r>
      <w:r w:rsidRPr="00351F5E">
        <w:rPr>
          <w:rFonts w:ascii="Arial Nova" w:hAnsi="Arial Nova"/>
          <w:sz w:val="22"/>
          <w:szCs w:val="22"/>
        </w:rPr>
        <w:t xml:space="preserve">ealth </w:t>
      </w:r>
      <w:r w:rsidR="00FD45A2">
        <w:rPr>
          <w:rFonts w:ascii="Arial Nova" w:hAnsi="Arial Nova"/>
          <w:sz w:val="22"/>
          <w:szCs w:val="22"/>
        </w:rPr>
        <w:t>C</w:t>
      </w:r>
      <w:r w:rsidRPr="00351F5E">
        <w:rPr>
          <w:rFonts w:ascii="Arial Nova" w:hAnsi="Arial Nova"/>
          <w:sz w:val="22"/>
          <w:szCs w:val="22"/>
        </w:rPr>
        <w:t>overage</w:t>
      </w:r>
      <w:r w:rsidR="00FD45A2">
        <w:rPr>
          <w:rFonts w:ascii="Arial Nova" w:hAnsi="Arial Nova"/>
          <w:sz w:val="22"/>
          <w:szCs w:val="22"/>
        </w:rPr>
        <w:t xml:space="preserve"> </w:t>
      </w:r>
      <w:r w:rsidRPr="00351F5E">
        <w:rPr>
          <w:rFonts w:ascii="Arial Nova" w:hAnsi="Arial Nova"/>
          <w:sz w:val="22"/>
          <w:szCs w:val="22"/>
        </w:rPr>
        <w:t>and health financing (UN DESA, 2025). It occupies a central position within the 2030 Agenda because almost all the other 16 SDGs affect, or are affected by, health (WHO, 2023).</w:t>
      </w:r>
    </w:p>
    <w:p w14:paraId="62328233" w14:textId="77777777" w:rsidR="00F00520" w:rsidRDefault="00F00520" w:rsidP="00351F5E">
      <w:pPr>
        <w:spacing w:line="360" w:lineRule="auto"/>
        <w:jc w:val="both"/>
        <w:rPr>
          <w:rFonts w:ascii="Arial Nova" w:hAnsi="Arial Nova"/>
          <w:b/>
          <w:bCs/>
          <w:sz w:val="22"/>
          <w:szCs w:val="22"/>
        </w:rPr>
      </w:pPr>
    </w:p>
    <w:p w14:paraId="5FD9C930" w14:textId="77777777" w:rsidR="00F00520" w:rsidRDefault="00F00520" w:rsidP="00351F5E">
      <w:pPr>
        <w:spacing w:line="360" w:lineRule="auto"/>
        <w:jc w:val="both"/>
        <w:rPr>
          <w:rFonts w:ascii="Arial Nova" w:hAnsi="Arial Nova"/>
          <w:b/>
          <w:bCs/>
          <w:sz w:val="22"/>
          <w:szCs w:val="22"/>
        </w:rPr>
      </w:pPr>
    </w:p>
    <w:p w14:paraId="45DFAA11" w14:textId="2D19CDEF" w:rsidR="00E55EF6" w:rsidRDefault="00CC6A75" w:rsidP="00351F5E">
      <w:pPr>
        <w:spacing w:line="360" w:lineRule="auto"/>
        <w:jc w:val="both"/>
        <w:rPr>
          <w:rFonts w:ascii="Arial Nova" w:hAnsi="Arial Nova"/>
          <w:b/>
          <w:bCs/>
          <w:sz w:val="22"/>
          <w:szCs w:val="22"/>
        </w:rPr>
      </w:pPr>
      <w:r w:rsidRPr="00084937">
        <w:rPr>
          <w:rFonts w:ascii="Arial Nova" w:hAnsi="Arial Nova"/>
          <w:b/>
          <w:bCs/>
          <w:sz w:val="22"/>
          <w:szCs w:val="22"/>
        </w:rPr>
        <w:lastRenderedPageBreak/>
        <w:t>Critical evaluation of global policy and initiatives</w:t>
      </w:r>
      <w:r w:rsidR="00245B71">
        <w:rPr>
          <w:rFonts w:ascii="Arial Nova" w:hAnsi="Arial Nova"/>
          <w:b/>
          <w:bCs/>
          <w:sz w:val="22"/>
          <w:szCs w:val="22"/>
        </w:rPr>
        <w:t>.</w:t>
      </w:r>
    </w:p>
    <w:p w14:paraId="696D8943" w14:textId="77777777" w:rsidR="00C752E6" w:rsidRPr="00084937" w:rsidRDefault="00C752E6" w:rsidP="00351F5E">
      <w:pPr>
        <w:spacing w:line="360" w:lineRule="auto"/>
        <w:jc w:val="both"/>
        <w:rPr>
          <w:rFonts w:ascii="Arial Nova" w:hAnsi="Arial Nova"/>
          <w:b/>
          <w:bCs/>
          <w:sz w:val="22"/>
          <w:szCs w:val="22"/>
        </w:rPr>
      </w:pPr>
    </w:p>
    <w:p w14:paraId="66320A13" w14:textId="6879F286" w:rsidR="00C752E6" w:rsidRDefault="00C162DC" w:rsidP="00F00520">
      <w:pPr>
        <w:spacing w:line="360" w:lineRule="auto"/>
        <w:jc w:val="both"/>
        <w:rPr>
          <w:rFonts w:ascii="Arial Nova" w:hAnsi="Arial Nova"/>
          <w:sz w:val="22"/>
          <w:szCs w:val="22"/>
        </w:rPr>
      </w:pPr>
      <w:r w:rsidRPr="00C162DC">
        <w:rPr>
          <w:rFonts w:ascii="Arial Nova" w:hAnsi="Arial Nova"/>
          <w:sz w:val="22"/>
          <w:szCs w:val="22"/>
        </w:rPr>
        <w:t>Quantitative progress against SDG 3 has been mixed. Global under-five mortality fell from 6.1 million deaths in 2015 to 4.9 million in 2024, and 134 countries have already met the SDG target for under-five mortality (UN DESA, 2025). Maternal mortality, however, remains stubbornly high, overwhelmingly in Sub-Saharan Africa and Southern Asia (UN, 2025). Progress on Universal Health Coverage has stalled since 2019, and the proportion of the global population facing catastrophic out-of-pocket health expenditure rose from 9.6% in 2000 to 13.5% in 2019. Ten years into implementation, none of SDG 3's 13 targets have yet been met in full (SDG Knowledge Hub, 2025), a significant critique of the SDG framework's reliance on voluntary national action rather than binding enforcement. Its weakness is that it cannot compel the domestic financing, workforce investment or redistribution needed to close gaps, particularly in low-income countries.</w:t>
      </w:r>
    </w:p>
    <w:p w14:paraId="569546DF" w14:textId="77777777" w:rsidR="006068BA" w:rsidRDefault="006068BA" w:rsidP="00F00520">
      <w:pPr>
        <w:spacing w:line="360" w:lineRule="auto"/>
        <w:jc w:val="both"/>
        <w:rPr>
          <w:rFonts w:ascii="Arial Nova" w:hAnsi="Arial Nova"/>
          <w:sz w:val="22"/>
          <w:szCs w:val="22"/>
        </w:rPr>
      </w:pPr>
    </w:p>
    <w:p w14:paraId="79E1DDFB" w14:textId="35377F42" w:rsidR="00877C76" w:rsidRDefault="00627AD2" w:rsidP="00F00520">
      <w:pPr>
        <w:spacing w:line="360" w:lineRule="auto"/>
        <w:jc w:val="both"/>
        <w:rPr>
          <w:rFonts w:ascii="Arial Nova" w:hAnsi="Arial Nova"/>
          <w:b/>
          <w:bCs/>
          <w:sz w:val="22"/>
          <w:szCs w:val="22"/>
        </w:rPr>
      </w:pPr>
      <w:r w:rsidRPr="00627AD2">
        <w:rPr>
          <w:rFonts w:ascii="Arial Nova" w:hAnsi="Arial Nova"/>
          <w:b/>
          <w:bCs/>
          <w:sz w:val="22"/>
          <w:szCs w:val="22"/>
        </w:rPr>
        <w:t>Critical evaluation of national and local examples</w:t>
      </w:r>
      <w:r w:rsidR="00245B71">
        <w:rPr>
          <w:rFonts w:ascii="Arial Nova" w:hAnsi="Arial Nova"/>
          <w:b/>
          <w:bCs/>
          <w:sz w:val="22"/>
          <w:szCs w:val="22"/>
        </w:rPr>
        <w:t>.</w:t>
      </w:r>
    </w:p>
    <w:p w14:paraId="0C650D18" w14:textId="77777777" w:rsidR="00C752E6" w:rsidRPr="00627AD2" w:rsidRDefault="00C752E6" w:rsidP="00F00520">
      <w:pPr>
        <w:spacing w:line="360" w:lineRule="auto"/>
        <w:jc w:val="both"/>
        <w:rPr>
          <w:rFonts w:ascii="Arial Nova" w:hAnsi="Arial Nova"/>
          <w:b/>
          <w:bCs/>
          <w:sz w:val="22"/>
          <w:szCs w:val="22"/>
        </w:rPr>
      </w:pPr>
    </w:p>
    <w:p w14:paraId="4477C260" w14:textId="0E1DCA47" w:rsidR="000D3EBF" w:rsidRDefault="00DA6B2C" w:rsidP="000D3EBF">
      <w:pPr>
        <w:spacing w:after="200" w:line="360" w:lineRule="auto"/>
        <w:jc w:val="both"/>
        <w:rPr>
          <w:rFonts w:ascii="Arial Nova" w:hAnsi="Arial Nova"/>
          <w:sz w:val="22"/>
          <w:szCs w:val="22"/>
        </w:rPr>
      </w:pPr>
      <w:r w:rsidRPr="00DA6B2C">
        <w:rPr>
          <w:rFonts w:ascii="Arial Nova" w:hAnsi="Arial Nova"/>
          <w:sz w:val="22"/>
          <w:szCs w:val="22"/>
        </w:rPr>
        <w:t>In England, the NHS Long Term Plan (NHS England, 2019) implemented SDG 3 nationally, committing to "do more on prevention and health inequalities," focusing on smoking, obesity, alcohol, and air pollution, and setting measurable targets for reducing inequalities. Building on this, the Core20PLUS5 framework targets the most disadvantaged 20% of the population and specific groups targeted across five clinical priorities for adults, including the prevention of cardiovascular disease and serious mental illness (NHS England, 2023). Evaluation evidence is mixed. A national analysis of Integrated Care System strategy documents showed good overall alignment with Core20PLUS5, but significant local differences</w:t>
      </w:r>
      <w:r w:rsidR="00FB27BB">
        <w:rPr>
          <w:rFonts w:ascii="Arial Nova" w:hAnsi="Arial Nova"/>
          <w:sz w:val="22"/>
          <w:szCs w:val="22"/>
        </w:rPr>
        <w:t xml:space="preserve"> </w:t>
      </w:r>
      <w:r w:rsidR="00967D3F" w:rsidRPr="00967D3F">
        <w:rPr>
          <w:rFonts w:ascii="Arial Nova" w:hAnsi="Arial Nova"/>
          <w:sz w:val="22"/>
          <w:szCs w:val="22"/>
        </w:rPr>
        <w:t>variation, with only a small number of systems clearly setting out how additional funding has been used to tackle health inequalities, and children's services are consistently less developed than adult services (Elliott et al., 2025). The King's Fund (2024) similarly states that despite strong legal and policy frameworks, there has been "no significant or sustained systemic progress" in reducing inequalities, partly because the NHS remains structurally focused on acute, reactive care rather than prevention, and also because the social determinants of health, such as housing, education and employment, remain largely outside the control of the NHS.</w:t>
      </w:r>
      <w:r w:rsidR="00E0462E">
        <w:rPr>
          <w:rFonts w:ascii="Arial Nova" w:hAnsi="Arial Nova"/>
          <w:sz w:val="22"/>
          <w:szCs w:val="22"/>
        </w:rPr>
        <w:t xml:space="preserve"> </w:t>
      </w:r>
    </w:p>
    <w:p w14:paraId="61C14E0C" w14:textId="2F57DFED" w:rsidR="00C64AAF" w:rsidRDefault="00C64AAF" w:rsidP="000D3EBF">
      <w:pPr>
        <w:spacing w:after="200" w:line="360" w:lineRule="auto"/>
        <w:jc w:val="both"/>
        <w:rPr>
          <w:rFonts w:ascii="Arial Nova" w:hAnsi="Arial Nova"/>
          <w:sz w:val="22"/>
          <w:szCs w:val="22"/>
        </w:rPr>
      </w:pPr>
      <w:r w:rsidRPr="00C64AAF">
        <w:rPr>
          <w:rFonts w:ascii="Arial Nova" w:hAnsi="Arial Nova"/>
          <w:sz w:val="22"/>
          <w:szCs w:val="22"/>
        </w:rPr>
        <w:t xml:space="preserve">At the local and devolved level, the Welsh Wellbeing for Future Generations Act 2015 establishes a "healthier Wales" as one of seven statutory wellbeing objectives binding on all Welsh public </w:t>
      </w:r>
      <w:r w:rsidRPr="00C64AAF">
        <w:rPr>
          <w:rFonts w:ascii="Arial Nova" w:hAnsi="Arial Nova"/>
          <w:sz w:val="22"/>
          <w:szCs w:val="22"/>
        </w:rPr>
        <w:lastRenderedPageBreak/>
        <w:t xml:space="preserve">bodies, including health boards and local authorities (Welsh Government, 2024). Unlike the NHS Long Term Plan, this Act is legally binding and requires public bodies to demonstrate sustainability and long-term thinking in their decision-making, overseen by the independent Commissioner for Future Generations (OECD, 2023). </w:t>
      </w:r>
      <w:proofErr w:type="spellStart"/>
      <w:r w:rsidRPr="00C64AAF">
        <w:rPr>
          <w:rFonts w:ascii="Arial Nova" w:hAnsi="Arial Nova"/>
          <w:sz w:val="22"/>
          <w:szCs w:val="22"/>
        </w:rPr>
        <w:t>Messham</w:t>
      </w:r>
      <w:proofErr w:type="spellEnd"/>
      <w:r w:rsidRPr="00C64AAF">
        <w:rPr>
          <w:rFonts w:ascii="Arial Nova" w:hAnsi="Arial Nova"/>
          <w:sz w:val="22"/>
          <w:szCs w:val="22"/>
        </w:rPr>
        <w:t xml:space="preserve"> and Sheard (2020) note that it was developed in part to align with the UK government's limited sustainability commitments, representing a truly innovative governance model. However, because outcomes are measured using broad national wellbeing indicators rather than binding service-level targets, critics argue that enforcement remains relatively lax, relying on reputation rather than funding.</w:t>
      </w:r>
    </w:p>
    <w:p w14:paraId="0D7DD98D" w14:textId="4B3B18E9" w:rsidR="00C752E6" w:rsidRDefault="00C752E6" w:rsidP="000D3EBF">
      <w:pPr>
        <w:spacing w:after="200" w:line="360" w:lineRule="auto"/>
        <w:jc w:val="both"/>
        <w:rPr>
          <w:rFonts w:ascii="Arial Nova" w:hAnsi="Arial Nova"/>
          <w:b/>
          <w:bCs/>
          <w:sz w:val="22"/>
          <w:szCs w:val="22"/>
        </w:rPr>
      </w:pPr>
      <w:r w:rsidRPr="005658FD">
        <w:rPr>
          <w:rFonts w:ascii="Arial Nova" w:hAnsi="Arial Nova"/>
          <w:b/>
          <w:bCs/>
          <w:sz w:val="22"/>
          <w:szCs w:val="22"/>
        </w:rPr>
        <w:t>Application of theory</w:t>
      </w:r>
      <w:r w:rsidR="00245B71">
        <w:rPr>
          <w:rFonts w:ascii="Arial Nova" w:hAnsi="Arial Nova"/>
          <w:b/>
          <w:bCs/>
          <w:sz w:val="22"/>
          <w:szCs w:val="22"/>
        </w:rPr>
        <w:t>.</w:t>
      </w:r>
    </w:p>
    <w:p w14:paraId="0E2850C1" w14:textId="7E4E537F" w:rsidR="005658FD" w:rsidRDefault="00020FEF" w:rsidP="000D3EBF">
      <w:pPr>
        <w:spacing w:after="200" w:line="360" w:lineRule="auto"/>
        <w:jc w:val="both"/>
        <w:rPr>
          <w:rFonts w:ascii="Arial Nova" w:hAnsi="Arial Nova"/>
          <w:sz w:val="22"/>
          <w:szCs w:val="22"/>
        </w:rPr>
      </w:pPr>
      <w:r>
        <w:rPr>
          <w:rFonts w:ascii="Arial Nova" w:hAnsi="Arial Nova"/>
          <w:sz w:val="22"/>
          <w:szCs w:val="22"/>
        </w:rPr>
        <w:t>T</w:t>
      </w:r>
      <w:r w:rsidR="00334674" w:rsidRPr="00334674">
        <w:rPr>
          <w:rFonts w:ascii="Arial Nova" w:hAnsi="Arial Nova"/>
          <w:sz w:val="22"/>
          <w:szCs w:val="22"/>
        </w:rPr>
        <w:t xml:space="preserve">he Health Belief Model (Becker, 1974; Rosenstock, </w:t>
      </w:r>
      <w:proofErr w:type="spellStart"/>
      <w:r w:rsidR="00334674" w:rsidRPr="00334674">
        <w:rPr>
          <w:rFonts w:ascii="Arial Nova" w:hAnsi="Arial Nova"/>
          <w:sz w:val="22"/>
          <w:szCs w:val="22"/>
        </w:rPr>
        <w:t>Strecher</w:t>
      </w:r>
      <w:proofErr w:type="spellEnd"/>
      <w:r w:rsidR="00334674" w:rsidRPr="00334674">
        <w:rPr>
          <w:rFonts w:ascii="Arial Nova" w:hAnsi="Arial Nova"/>
          <w:sz w:val="22"/>
          <w:szCs w:val="22"/>
        </w:rPr>
        <w:t xml:space="preserve">, &amp; Becker, 1988) is evident, but not explicit, in these policies. The Core20PLUS5 model's focus on specific high-risk conditions, such as cardiovascular disease and severe mental illness, demonstrates the assumption that increasing susceptibility and severity through screening and outreach will stimulate service use. However, other elements of the model, namely perceived benefits, perceived barriers, cues to action, and self-efficacy, are less consistently considered in policy design. Investments in removing structural barriers, such as transportation, digital divide, or trust in institutions, are limited and explicitly identified, and the HBM identifies them as critical factors influencing health </w:t>
      </w:r>
      <w:r w:rsidRPr="00334674">
        <w:rPr>
          <w:rFonts w:ascii="Arial Nova" w:hAnsi="Arial Nova"/>
          <w:sz w:val="22"/>
          <w:szCs w:val="22"/>
        </w:rPr>
        <w:t>behaviours</w:t>
      </w:r>
      <w:r w:rsidR="00334674" w:rsidRPr="00334674">
        <w:rPr>
          <w:rFonts w:ascii="Arial Nova" w:hAnsi="Arial Nova"/>
          <w:sz w:val="22"/>
          <w:szCs w:val="22"/>
        </w:rPr>
        <w:t xml:space="preserve">. Social Cognitive Theory (Bandura, 1986) is more prominent in the </w:t>
      </w:r>
      <w:r w:rsidRPr="00334674">
        <w:rPr>
          <w:rFonts w:ascii="Arial Nova" w:hAnsi="Arial Nova"/>
          <w:sz w:val="22"/>
          <w:szCs w:val="22"/>
        </w:rPr>
        <w:t>Long-Term</w:t>
      </w:r>
      <w:r w:rsidR="00334674" w:rsidRPr="00334674">
        <w:rPr>
          <w:rFonts w:ascii="Arial Nova" w:hAnsi="Arial Nova"/>
          <w:sz w:val="22"/>
          <w:szCs w:val="22"/>
        </w:rPr>
        <w:t xml:space="preserve"> Plan's supported self-management program, which explicitly aims to build patients' self-efficacy in managing diseases like diabetes through education and peer support. However, SCT emphasizes the idea that the environment shapes </w:t>
      </w:r>
      <w:r w:rsidRPr="00334674">
        <w:rPr>
          <w:rFonts w:ascii="Arial Nova" w:hAnsi="Arial Nova"/>
          <w:sz w:val="22"/>
          <w:szCs w:val="22"/>
        </w:rPr>
        <w:t>behaviour</w:t>
      </w:r>
      <w:r w:rsidR="00334674" w:rsidRPr="00334674">
        <w:rPr>
          <w:rFonts w:ascii="Arial Nova" w:hAnsi="Arial Nova"/>
          <w:sz w:val="22"/>
          <w:szCs w:val="22"/>
        </w:rPr>
        <w:t xml:space="preserve"> as much as </w:t>
      </w:r>
      <w:r w:rsidRPr="00334674">
        <w:rPr>
          <w:rFonts w:ascii="Arial Nova" w:hAnsi="Arial Nova"/>
          <w:sz w:val="22"/>
          <w:szCs w:val="22"/>
        </w:rPr>
        <w:t>behaviour</w:t>
      </w:r>
      <w:r w:rsidR="00334674" w:rsidRPr="00334674">
        <w:rPr>
          <w:rFonts w:ascii="Arial Nova" w:hAnsi="Arial Nova"/>
          <w:sz w:val="22"/>
          <w:szCs w:val="22"/>
        </w:rPr>
        <w:t xml:space="preserve"> shapes the environment. This is where policy is weakest: individually targeted </w:t>
      </w:r>
      <w:r w:rsidRPr="00334674">
        <w:rPr>
          <w:rFonts w:ascii="Arial Nova" w:hAnsi="Arial Nova"/>
          <w:sz w:val="22"/>
          <w:szCs w:val="22"/>
        </w:rPr>
        <w:t>behaviour</w:t>
      </w:r>
      <w:r w:rsidR="00334674" w:rsidRPr="00334674">
        <w:rPr>
          <w:rFonts w:ascii="Arial Nova" w:hAnsi="Arial Nova"/>
          <w:sz w:val="22"/>
          <w:szCs w:val="22"/>
        </w:rPr>
        <w:t xml:space="preserve"> change programs are not matched by environmental changes, such as affordable access to healthy food or safe green spaces, limiting their effectiveness at the population level.</w:t>
      </w:r>
    </w:p>
    <w:p w14:paraId="1CC99052" w14:textId="557F49B4" w:rsidR="00D07464" w:rsidRDefault="00A00A34" w:rsidP="000D3EBF">
      <w:pPr>
        <w:spacing w:after="200" w:line="360" w:lineRule="auto"/>
        <w:jc w:val="both"/>
        <w:rPr>
          <w:rFonts w:ascii="Arial Nova" w:hAnsi="Arial Nova"/>
          <w:b/>
          <w:bCs/>
          <w:sz w:val="22"/>
          <w:szCs w:val="22"/>
        </w:rPr>
      </w:pPr>
      <w:r w:rsidRPr="00A00A34">
        <w:rPr>
          <w:rFonts w:ascii="Arial Nova" w:hAnsi="Arial Nova"/>
          <w:b/>
          <w:bCs/>
          <w:sz w:val="22"/>
          <w:szCs w:val="22"/>
        </w:rPr>
        <w:t>Recommendations</w:t>
      </w:r>
      <w:r w:rsidR="005B0ECC">
        <w:rPr>
          <w:rFonts w:ascii="Arial Nova" w:hAnsi="Arial Nova"/>
          <w:b/>
          <w:bCs/>
          <w:sz w:val="22"/>
          <w:szCs w:val="22"/>
        </w:rPr>
        <w:t>.</w:t>
      </w:r>
    </w:p>
    <w:p w14:paraId="758EC041" w14:textId="43546A68" w:rsidR="005B0ECC" w:rsidRDefault="007079BE" w:rsidP="006A3510">
      <w:pPr>
        <w:spacing w:after="200" w:line="360" w:lineRule="auto"/>
        <w:jc w:val="both"/>
        <w:rPr>
          <w:rFonts w:ascii="Arial Nova" w:hAnsi="Arial Nova"/>
          <w:sz w:val="22"/>
          <w:szCs w:val="22"/>
        </w:rPr>
      </w:pPr>
      <w:r w:rsidRPr="007079BE">
        <w:rPr>
          <w:rFonts w:ascii="Arial Nova" w:hAnsi="Arial Nova"/>
          <w:sz w:val="22"/>
          <w:szCs w:val="22"/>
        </w:rPr>
        <w:t xml:space="preserve">This review makes three evidence-based recommendations. First, national inequality frameworks, such as Core20PLUS5, should be linked to mandatory, ring-fenced funding reporting, which would directly address the lack of transparency identified in the ICS document analysis (Elliott et al., 2025). Second, policy design should explicitly consider all HBM concepts, not just perceived risk, and specifically invest in reducing structural barriers to access rather than relying on </w:t>
      </w:r>
      <w:r w:rsidRPr="007079BE">
        <w:rPr>
          <w:rFonts w:ascii="Arial Nova" w:hAnsi="Arial Nova"/>
          <w:sz w:val="22"/>
          <w:szCs w:val="22"/>
        </w:rPr>
        <w:lastRenderedPageBreak/>
        <w:t>individual motivation. Third, a Welsh model, with an independent commissioner and a legally binding duty of care for wellbeing, could make a significant contribution to reforming English health policy, strengthening long-term accountability beyond electoral and organisational cycles.</w:t>
      </w:r>
    </w:p>
    <w:p w14:paraId="35A86493" w14:textId="07715970" w:rsidR="00ED304D" w:rsidRDefault="00D82141" w:rsidP="004450E2">
      <w:pPr>
        <w:spacing w:after="240"/>
        <w:jc w:val="both"/>
        <w:rPr>
          <w:rFonts w:ascii="Arial Nova" w:hAnsi="Arial Nova"/>
          <w:b/>
          <w:bCs/>
          <w:sz w:val="22"/>
          <w:szCs w:val="22"/>
          <w:u w:val="single"/>
        </w:rPr>
      </w:pPr>
      <w:r w:rsidRPr="00D82141">
        <w:rPr>
          <w:rFonts w:ascii="Arial Nova" w:hAnsi="Arial Nova"/>
          <w:b/>
          <w:bCs/>
          <w:sz w:val="22"/>
          <w:szCs w:val="22"/>
          <w:u w:val="single"/>
        </w:rPr>
        <w:t>Section 2: SDG 13 – Climate Action</w:t>
      </w:r>
      <w:r>
        <w:rPr>
          <w:rFonts w:ascii="Arial Nova" w:hAnsi="Arial Nova"/>
          <w:b/>
          <w:bCs/>
          <w:sz w:val="22"/>
          <w:szCs w:val="22"/>
          <w:u w:val="single"/>
        </w:rPr>
        <w:t>.</w:t>
      </w:r>
    </w:p>
    <w:p w14:paraId="274557EA" w14:textId="77777777" w:rsidR="004450E2" w:rsidRDefault="004450E2" w:rsidP="004450E2">
      <w:pPr>
        <w:spacing w:after="240"/>
        <w:jc w:val="both"/>
        <w:rPr>
          <w:rFonts w:ascii="Arial Nova" w:hAnsi="Arial Nova"/>
          <w:b/>
          <w:bCs/>
          <w:sz w:val="22"/>
          <w:szCs w:val="22"/>
          <w:u w:val="single"/>
        </w:rPr>
      </w:pPr>
    </w:p>
    <w:p w14:paraId="720023FF" w14:textId="77777777" w:rsidR="00C31EDF" w:rsidRDefault="00286390" w:rsidP="00C31EDF">
      <w:pPr>
        <w:spacing w:line="360" w:lineRule="auto"/>
        <w:jc w:val="both"/>
        <w:rPr>
          <w:rFonts w:ascii="Arial Nova" w:hAnsi="Arial Nova"/>
          <w:sz w:val="22"/>
          <w:szCs w:val="22"/>
        </w:rPr>
      </w:pPr>
      <w:r w:rsidRPr="00286390">
        <w:rPr>
          <w:rFonts w:ascii="Arial Nova" w:hAnsi="Arial Nova"/>
          <w:sz w:val="22"/>
          <w:szCs w:val="22"/>
        </w:rPr>
        <w:t>SDG 13 calls for urgent action to combat climate change and its impacts, including strengthening resilience to climate-related hazards, integrating climate measures into national policy, and improving education, awareness and early-warning capacity (United Nations, 2015). Its inclusion alongside SDG 3 reflects growing recognition that climate change constitutes a health emergency (WHO, 2023): rising temperatures increase heat-related mortality, extreme weather disrupts health infrastructure, and air pollution, closely linked to fossil fuel combustion, contributes substantially to cardiovascular and respiratory disease.</w:t>
      </w:r>
    </w:p>
    <w:p w14:paraId="29066A2B" w14:textId="77777777" w:rsidR="00C31EDF" w:rsidRDefault="00C31EDF" w:rsidP="00C31EDF">
      <w:pPr>
        <w:spacing w:line="360" w:lineRule="auto"/>
        <w:jc w:val="both"/>
        <w:rPr>
          <w:rFonts w:ascii="Arial Nova" w:hAnsi="Arial Nova"/>
          <w:sz w:val="22"/>
          <w:szCs w:val="22"/>
        </w:rPr>
      </w:pPr>
    </w:p>
    <w:p w14:paraId="1F9A1C6B" w14:textId="77777777" w:rsidR="008F0945" w:rsidRDefault="000A7524" w:rsidP="008F0945">
      <w:pPr>
        <w:spacing w:line="360" w:lineRule="auto"/>
        <w:jc w:val="both"/>
        <w:rPr>
          <w:rFonts w:ascii="Arial Nova" w:hAnsi="Arial Nova"/>
          <w:b/>
          <w:bCs/>
          <w:sz w:val="22"/>
          <w:szCs w:val="22"/>
        </w:rPr>
      </w:pPr>
      <w:r w:rsidRPr="000A7524">
        <w:rPr>
          <w:rFonts w:ascii="Arial Nova" w:hAnsi="Arial Nova"/>
          <w:b/>
          <w:bCs/>
          <w:sz w:val="22"/>
          <w:szCs w:val="22"/>
        </w:rPr>
        <w:t>Critical evaluation of global policy and initiatives</w:t>
      </w:r>
      <w:r>
        <w:rPr>
          <w:rFonts w:ascii="Arial Nova" w:hAnsi="Arial Nova"/>
          <w:b/>
          <w:bCs/>
          <w:sz w:val="22"/>
          <w:szCs w:val="22"/>
        </w:rPr>
        <w:t>.</w:t>
      </w:r>
    </w:p>
    <w:p w14:paraId="02A5E771" w14:textId="77777777" w:rsidR="008F0945" w:rsidRDefault="008F0945" w:rsidP="008F0945">
      <w:pPr>
        <w:spacing w:line="360" w:lineRule="auto"/>
        <w:jc w:val="both"/>
        <w:rPr>
          <w:rFonts w:ascii="Arial Nova" w:hAnsi="Arial Nova"/>
          <w:b/>
          <w:bCs/>
          <w:sz w:val="22"/>
          <w:szCs w:val="22"/>
        </w:rPr>
      </w:pPr>
    </w:p>
    <w:p w14:paraId="5676FA93" w14:textId="5B791997" w:rsidR="00C31EDF" w:rsidRDefault="00624A0B" w:rsidP="0040353D">
      <w:pPr>
        <w:spacing w:line="360" w:lineRule="auto"/>
        <w:jc w:val="both"/>
        <w:rPr>
          <w:rFonts w:ascii="Arial Nova" w:hAnsi="Arial Nova"/>
          <w:sz w:val="22"/>
          <w:szCs w:val="22"/>
        </w:rPr>
      </w:pPr>
      <w:r w:rsidRPr="00624A0B">
        <w:rPr>
          <w:rFonts w:ascii="Arial Nova" w:hAnsi="Arial Nova"/>
          <w:sz w:val="22"/>
          <w:szCs w:val="22"/>
        </w:rPr>
        <w:t xml:space="preserve">The Paris Agreement (2015) remains the primary international climate framework, but the health dimension of climate policy was formalized only recently through the UAE Declaration on Climate and Health (2023) from COP28, endorsed by some 124 countries. The Declaration recognizes the health benefits of climate change mitigation, including reduced air pollution, active mobility, and healthier diets, and commits signatories to building climate-resilient, low-carbon health systems (WHO, 2023). The Declaration is voluntary, remaining outside the formally negotiated UNFCCC text, and significantly omits any explicit reference to phasing out fossil fuels, despite it being a major driver of both emissions and mortality related to air pollution (Health Policy Watch, 2023). Two of the world's three largest emitters, the United States and India, were not included in the initial list of signatories, illustrating the persistent gap between ambition and global commitments. This reflects a broader criticism of Sustainable Development Goal 13 itself: it lacks binding, national targets comparable to the nationally agreed contributions under the Paris </w:t>
      </w:r>
      <w:r w:rsidR="0040353D" w:rsidRPr="00624A0B">
        <w:rPr>
          <w:rFonts w:ascii="Arial Nova" w:hAnsi="Arial Nova"/>
          <w:sz w:val="22"/>
          <w:szCs w:val="22"/>
        </w:rPr>
        <w:t>Agreement and</w:t>
      </w:r>
      <w:r w:rsidRPr="00624A0B">
        <w:rPr>
          <w:rFonts w:ascii="Arial Nova" w:hAnsi="Arial Nova"/>
          <w:sz w:val="22"/>
          <w:szCs w:val="22"/>
        </w:rPr>
        <w:t xml:space="preserve"> instead relies on voluntary alignment.</w:t>
      </w:r>
    </w:p>
    <w:p w14:paraId="7C84AA03" w14:textId="77777777" w:rsidR="0040353D" w:rsidRDefault="0040353D" w:rsidP="0040353D">
      <w:pPr>
        <w:spacing w:line="360" w:lineRule="auto"/>
        <w:jc w:val="both"/>
        <w:rPr>
          <w:rFonts w:ascii="Arial Nova" w:hAnsi="Arial Nova"/>
          <w:sz w:val="22"/>
          <w:szCs w:val="22"/>
        </w:rPr>
      </w:pPr>
    </w:p>
    <w:p w14:paraId="665A96E2" w14:textId="77777777" w:rsidR="004F5655" w:rsidRDefault="004F5655" w:rsidP="0040353D">
      <w:pPr>
        <w:spacing w:line="360" w:lineRule="auto"/>
        <w:jc w:val="both"/>
        <w:rPr>
          <w:rFonts w:ascii="Arial Nova" w:hAnsi="Arial Nova"/>
          <w:b/>
          <w:bCs/>
          <w:sz w:val="22"/>
          <w:szCs w:val="22"/>
        </w:rPr>
      </w:pPr>
    </w:p>
    <w:p w14:paraId="1353832A" w14:textId="77777777" w:rsidR="004F5655" w:rsidRDefault="004F5655" w:rsidP="0040353D">
      <w:pPr>
        <w:spacing w:line="360" w:lineRule="auto"/>
        <w:jc w:val="both"/>
        <w:rPr>
          <w:rFonts w:ascii="Arial Nova" w:hAnsi="Arial Nova"/>
          <w:b/>
          <w:bCs/>
          <w:sz w:val="22"/>
          <w:szCs w:val="22"/>
        </w:rPr>
      </w:pPr>
    </w:p>
    <w:p w14:paraId="7856BFD2" w14:textId="3C5B3D82" w:rsidR="0040353D" w:rsidRDefault="000330A0" w:rsidP="0040353D">
      <w:pPr>
        <w:spacing w:line="360" w:lineRule="auto"/>
        <w:jc w:val="both"/>
        <w:rPr>
          <w:rFonts w:ascii="Arial Nova" w:hAnsi="Arial Nova"/>
          <w:b/>
          <w:bCs/>
          <w:sz w:val="22"/>
          <w:szCs w:val="22"/>
        </w:rPr>
      </w:pPr>
      <w:r w:rsidRPr="000330A0">
        <w:rPr>
          <w:rFonts w:ascii="Arial Nova" w:hAnsi="Arial Nova"/>
          <w:b/>
          <w:bCs/>
          <w:sz w:val="22"/>
          <w:szCs w:val="22"/>
        </w:rPr>
        <w:lastRenderedPageBreak/>
        <w:t>Critical evaluation of national and local examples</w:t>
      </w:r>
      <w:r>
        <w:rPr>
          <w:rFonts w:ascii="Arial Nova" w:hAnsi="Arial Nova"/>
          <w:b/>
          <w:bCs/>
          <w:sz w:val="22"/>
          <w:szCs w:val="22"/>
        </w:rPr>
        <w:t>.</w:t>
      </w:r>
    </w:p>
    <w:p w14:paraId="27E84167" w14:textId="77777777" w:rsidR="00CE4C61" w:rsidRDefault="00CE4C61" w:rsidP="0040353D">
      <w:pPr>
        <w:spacing w:line="360" w:lineRule="auto"/>
        <w:jc w:val="both"/>
        <w:rPr>
          <w:rFonts w:ascii="Arial Nova" w:hAnsi="Arial Nova"/>
          <w:b/>
          <w:bCs/>
          <w:sz w:val="22"/>
          <w:szCs w:val="22"/>
        </w:rPr>
      </w:pPr>
    </w:p>
    <w:p w14:paraId="54D835C9" w14:textId="3D56CBF8" w:rsidR="004F5655" w:rsidRDefault="00812FF5" w:rsidP="004F5655">
      <w:pPr>
        <w:spacing w:line="360" w:lineRule="auto"/>
        <w:jc w:val="both"/>
        <w:rPr>
          <w:rFonts w:ascii="Arial Nova" w:hAnsi="Arial Nova"/>
          <w:sz w:val="22"/>
          <w:szCs w:val="22"/>
        </w:rPr>
      </w:pPr>
      <w:r w:rsidRPr="00812FF5">
        <w:rPr>
          <w:rFonts w:ascii="Arial Nova" w:hAnsi="Arial Nova"/>
          <w:sz w:val="22"/>
          <w:szCs w:val="22"/>
        </w:rPr>
        <w:t xml:space="preserve">In 2020, NHS England became the first national healthcare system in the world to commit to achieving net zero emissions by 2040 for directly controlled emissions and by 2045 for the wider supply chain (NHS England, 2020). In 2025, the report showed a 68% reduction in direct NHS emissions since 1990, including a 14% reduction in the last five years, broadly meeting the interim 80% target (NHS England, 2025). Notable achievements include the near-complete phase-out of the </w:t>
      </w:r>
      <w:r w:rsidR="00CE4C61" w:rsidRPr="00812FF5">
        <w:rPr>
          <w:rFonts w:ascii="Arial Nova" w:hAnsi="Arial Nova"/>
          <w:sz w:val="22"/>
          <w:szCs w:val="22"/>
        </w:rPr>
        <w:t>anaesthetic</w:t>
      </w:r>
      <w:r w:rsidRPr="00812FF5">
        <w:rPr>
          <w:rFonts w:ascii="Arial Nova" w:hAnsi="Arial Nova"/>
          <w:sz w:val="22"/>
          <w:szCs w:val="22"/>
        </w:rPr>
        <w:t xml:space="preserve"> gas desflurane and an 80% reduction in nitrous oxide emissions, saving around £2.3 million per year (King's Fund, 2025). This demonstrates that health and climate goals can reinforce, rather than compete, as the independent NHS review concluded (NHS England, 2025). However, the UK Health Alliance on Climate Change (2025) warns that emissions from gas heating, which make up around 40% of the NHS's carbon footprint, have fallen by just 1% since 2019 and fleet emissions remain largely unchanged, demonstrating that readily achieved clinical successes have not yet translated into more rigorous infrastructure transformations in estates and transport. The King's Fund (2025) reports that national policy has not yet created sufficiently strong accountability mechanisms, highlighting the ongoing debate about whether stronger incentives or penalties are needed to maintain momentum, given the competing operational pressures on individual NHS trusts.</w:t>
      </w:r>
    </w:p>
    <w:p w14:paraId="7223F3D0" w14:textId="06FE9E68" w:rsidR="00CE4C61" w:rsidRDefault="000551F0" w:rsidP="004F5655">
      <w:pPr>
        <w:spacing w:line="360" w:lineRule="auto"/>
        <w:jc w:val="both"/>
        <w:rPr>
          <w:rFonts w:ascii="Arial Nova" w:hAnsi="Arial Nova"/>
          <w:sz w:val="22"/>
          <w:szCs w:val="22"/>
        </w:rPr>
      </w:pPr>
      <w:r w:rsidRPr="000551F0">
        <w:rPr>
          <w:rFonts w:ascii="Arial Nova" w:hAnsi="Arial Nova"/>
          <w:sz w:val="22"/>
          <w:szCs w:val="22"/>
        </w:rPr>
        <w:t xml:space="preserve">At local level, the Well-being of Future Generations Act integrates climate action directly into health governance through its ‘globally responsible </w:t>
      </w:r>
      <w:proofErr w:type="spellStart"/>
      <w:r w:rsidRPr="000551F0">
        <w:rPr>
          <w:rFonts w:ascii="Arial Nova" w:hAnsi="Arial Nova"/>
          <w:sz w:val="22"/>
          <w:szCs w:val="22"/>
        </w:rPr>
        <w:t>Wales’</w:t>
      </w:r>
      <w:proofErr w:type="spellEnd"/>
      <w:r w:rsidRPr="000551F0">
        <w:rPr>
          <w:rFonts w:ascii="Arial Nova" w:hAnsi="Arial Nova"/>
          <w:sz w:val="22"/>
          <w:szCs w:val="22"/>
        </w:rPr>
        <w:t xml:space="preserve"> and ‘resilient </w:t>
      </w:r>
      <w:proofErr w:type="spellStart"/>
      <w:r w:rsidRPr="000551F0">
        <w:rPr>
          <w:rFonts w:ascii="Arial Nova" w:hAnsi="Arial Nova"/>
          <w:sz w:val="22"/>
          <w:szCs w:val="22"/>
        </w:rPr>
        <w:t>Wales’</w:t>
      </w:r>
      <w:proofErr w:type="spellEnd"/>
      <w:r w:rsidRPr="000551F0">
        <w:rPr>
          <w:rFonts w:ascii="Arial Nova" w:hAnsi="Arial Nova"/>
          <w:sz w:val="22"/>
          <w:szCs w:val="22"/>
        </w:rPr>
        <w:t xml:space="preserve"> goals, legally requiring health boards to consider the sustainable development principle in routine decision-making rather than treating climate action as a discrete environmental portfolio (Welsh Government, 2024). This integrated statutory approach arguably represents a more systemic model than the largely voluntary, sector-specific NHS England Net Zero strategy, although evidence on its measurable climate-health outcomes remains limited given its relatively short lifespan and reliance on broad national well-being indicators rather than granular service-level data.</w:t>
      </w:r>
    </w:p>
    <w:p w14:paraId="3EA329ED" w14:textId="77777777" w:rsidR="00E10B22" w:rsidRDefault="00E10B22" w:rsidP="004F5655">
      <w:pPr>
        <w:spacing w:line="360" w:lineRule="auto"/>
        <w:jc w:val="both"/>
        <w:rPr>
          <w:rFonts w:ascii="Arial Nova" w:hAnsi="Arial Nova"/>
          <w:sz w:val="22"/>
          <w:szCs w:val="22"/>
        </w:rPr>
      </w:pPr>
    </w:p>
    <w:p w14:paraId="64D34009" w14:textId="0B88FFF4" w:rsidR="000551F0" w:rsidRDefault="00E10B22" w:rsidP="004F5655">
      <w:pPr>
        <w:spacing w:line="360" w:lineRule="auto"/>
        <w:jc w:val="both"/>
        <w:rPr>
          <w:rFonts w:ascii="Arial Nova" w:hAnsi="Arial Nova"/>
          <w:b/>
          <w:bCs/>
          <w:sz w:val="22"/>
          <w:szCs w:val="22"/>
        </w:rPr>
      </w:pPr>
      <w:r w:rsidRPr="00E10B22">
        <w:rPr>
          <w:rFonts w:ascii="Arial Nova" w:hAnsi="Arial Nova"/>
          <w:b/>
          <w:bCs/>
          <w:sz w:val="22"/>
          <w:szCs w:val="22"/>
        </w:rPr>
        <w:t>Application of theory.</w:t>
      </w:r>
    </w:p>
    <w:p w14:paraId="7D080111" w14:textId="77777777" w:rsidR="006F6DE8" w:rsidRDefault="006F6DE8" w:rsidP="004F5655">
      <w:pPr>
        <w:spacing w:line="360" w:lineRule="auto"/>
        <w:jc w:val="both"/>
        <w:rPr>
          <w:rFonts w:ascii="Arial Nova" w:hAnsi="Arial Nova"/>
          <w:b/>
          <w:bCs/>
          <w:sz w:val="22"/>
          <w:szCs w:val="22"/>
        </w:rPr>
      </w:pPr>
    </w:p>
    <w:p w14:paraId="636F68AD" w14:textId="73EF6BF7" w:rsidR="00E10B22" w:rsidRPr="006F6DE8" w:rsidRDefault="006F6DE8" w:rsidP="004F5655">
      <w:pPr>
        <w:spacing w:line="360" w:lineRule="auto"/>
        <w:jc w:val="both"/>
        <w:rPr>
          <w:rFonts w:ascii="Arial Nova" w:hAnsi="Arial Nova"/>
          <w:sz w:val="22"/>
          <w:szCs w:val="22"/>
        </w:rPr>
      </w:pPr>
      <w:r w:rsidRPr="006F6DE8">
        <w:rPr>
          <w:rFonts w:ascii="Arial Nova" w:hAnsi="Arial Nova"/>
          <w:sz w:val="22"/>
          <w:szCs w:val="22"/>
        </w:rPr>
        <w:t xml:space="preserve">The Health Belief Model is again relevant to individual health and climate-related behaviours promoted within these strategies, such as reducing car use. Perceived threat is increasingly </w:t>
      </w:r>
      <w:r w:rsidRPr="006F6DE8">
        <w:rPr>
          <w:rFonts w:ascii="Arial Nova" w:hAnsi="Arial Nova"/>
          <w:sz w:val="22"/>
          <w:szCs w:val="22"/>
        </w:rPr>
        <w:lastRenderedPageBreak/>
        <w:t>highlighted in NHS messaging, linking heat-related mortality, which is estimated to cost England around £6.8 billion annually by the 2020s and to £14.7 billion by the 2050s, directly to healthcare system efficiency (NHS England, 2025), which theoretically should enhance motivation for behaviour change among both staff and patients. Social Cognitive Theory is evident in NHS staff travel programmes that integrate environmental restructuring, such as cycling infrastructure and electric vehicle charging for commuting, reflecting Bandura's (1986) emphasis on observational learning and environmental support as common drivers of behaviour change. Despite this, initiatives to build self-efficacy continue to focus on NHS staff rather than patients or the wider public, limiting the reach of population-level behaviour change theories within current climate and health policy.</w:t>
      </w:r>
    </w:p>
    <w:p w14:paraId="181D5BAB" w14:textId="77777777" w:rsidR="00CE4C61" w:rsidRPr="00812FF5" w:rsidRDefault="00CE4C61" w:rsidP="004F5655">
      <w:pPr>
        <w:spacing w:line="360" w:lineRule="auto"/>
        <w:jc w:val="both"/>
        <w:rPr>
          <w:rFonts w:ascii="Arial Nova" w:hAnsi="Arial Nova"/>
          <w:sz w:val="22"/>
          <w:szCs w:val="22"/>
        </w:rPr>
      </w:pPr>
    </w:p>
    <w:p w14:paraId="17AAEAA1" w14:textId="50235C65" w:rsidR="000330A0" w:rsidRDefault="00A967D0" w:rsidP="0040353D">
      <w:pPr>
        <w:spacing w:line="360" w:lineRule="auto"/>
        <w:jc w:val="both"/>
        <w:rPr>
          <w:rFonts w:ascii="Arial Nova" w:hAnsi="Arial Nova"/>
          <w:b/>
          <w:bCs/>
          <w:sz w:val="22"/>
          <w:szCs w:val="22"/>
        </w:rPr>
      </w:pPr>
      <w:r w:rsidRPr="00A967D0">
        <w:rPr>
          <w:rFonts w:ascii="Arial Nova" w:hAnsi="Arial Nova"/>
          <w:b/>
          <w:bCs/>
          <w:sz w:val="22"/>
          <w:szCs w:val="22"/>
        </w:rPr>
        <w:t>Recommendations</w:t>
      </w:r>
      <w:r>
        <w:rPr>
          <w:rFonts w:ascii="Arial Nova" w:hAnsi="Arial Nova"/>
          <w:b/>
          <w:bCs/>
          <w:sz w:val="22"/>
          <w:szCs w:val="22"/>
        </w:rPr>
        <w:t>.</w:t>
      </w:r>
    </w:p>
    <w:p w14:paraId="44B98E38" w14:textId="77777777" w:rsidR="00A967D0" w:rsidRDefault="00A967D0" w:rsidP="0040353D">
      <w:pPr>
        <w:spacing w:line="360" w:lineRule="auto"/>
        <w:jc w:val="both"/>
        <w:rPr>
          <w:rFonts w:ascii="Arial Nova" w:hAnsi="Arial Nova"/>
          <w:b/>
          <w:bCs/>
          <w:sz w:val="22"/>
          <w:szCs w:val="22"/>
        </w:rPr>
      </w:pPr>
    </w:p>
    <w:p w14:paraId="7A3B1989" w14:textId="6040ADAF" w:rsidR="00A54E04" w:rsidRDefault="0030738E" w:rsidP="0040353D">
      <w:pPr>
        <w:spacing w:line="360" w:lineRule="auto"/>
        <w:jc w:val="both"/>
        <w:rPr>
          <w:rFonts w:ascii="Arial Nova" w:hAnsi="Arial Nova"/>
          <w:sz w:val="22"/>
          <w:szCs w:val="22"/>
        </w:rPr>
      </w:pPr>
      <w:r w:rsidRPr="0030738E">
        <w:rPr>
          <w:rFonts w:ascii="Arial Nova" w:hAnsi="Arial Nova"/>
          <w:sz w:val="22"/>
          <w:szCs w:val="22"/>
        </w:rPr>
        <w:t>First, policymakers should extend NHS Net Zero's demonstrable clinical successes into harder-to-reach areas, particularly estates heating and fleet transition, through ring-fenced capital investment rather than relying solely on Trust-level green plans. Future COP declarations should move from voluntary pledges toward binding, monitorable commitments that explicitly name fossil fuel reduction, closing the gap identified in the COP28 Declaration. Embedding SCT-informed, environmentally supported behaviour-change programmes for patients and the wider public, not only NHS staff, would strengthen the co-benefits agenda at population scale.</w:t>
      </w:r>
    </w:p>
    <w:p w14:paraId="3FCA7BCC" w14:textId="77777777" w:rsidR="00095B9B" w:rsidRDefault="00095B9B" w:rsidP="0040353D">
      <w:pPr>
        <w:spacing w:line="360" w:lineRule="auto"/>
        <w:jc w:val="both"/>
        <w:rPr>
          <w:rFonts w:ascii="Arial Nova" w:hAnsi="Arial Nova"/>
          <w:sz w:val="22"/>
          <w:szCs w:val="22"/>
        </w:rPr>
      </w:pPr>
    </w:p>
    <w:p w14:paraId="42E2169D" w14:textId="39C88475" w:rsidR="00095B9B" w:rsidRDefault="00095B9B" w:rsidP="0040353D">
      <w:pPr>
        <w:spacing w:line="360" w:lineRule="auto"/>
        <w:jc w:val="both"/>
        <w:rPr>
          <w:rFonts w:ascii="Arial Nova" w:hAnsi="Arial Nova"/>
          <w:b/>
          <w:bCs/>
          <w:sz w:val="22"/>
          <w:szCs w:val="22"/>
          <w:u w:val="single"/>
        </w:rPr>
      </w:pPr>
      <w:r w:rsidRPr="00095B9B">
        <w:rPr>
          <w:rFonts w:ascii="Arial Nova" w:hAnsi="Arial Nova"/>
          <w:b/>
          <w:bCs/>
          <w:sz w:val="22"/>
          <w:szCs w:val="22"/>
          <w:u w:val="single"/>
        </w:rPr>
        <w:t>Conclusion.</w:t>
      </w:r>
    </w:p>
    <w:p w14:paraId="5B8AA007" w14:textId="77777777" w:rsidR="00095B9B" w:rsidRPr="0060013D" w:rsidRDefault="00095B9B" w:rsidP="0040353D">
      <w:pPr>
        <w:spacing w:line="360" w:lineRule="auto"/>
        <w:jc w:val="both"/>
        <w:rPr>
          <w:rFonts w:ascii="Arial Nova" w:hAnsi="Arial Nova"/>
          <w:sz w:val="22"/>
          <w:szCs w:val="22"/>
        </w:rPr>
      </w:pPr>
    </w:p>
    <w:p w14:paraId="190CBAB7" w14:textId="5AAAB1EF" w:rsidR="00095B9B" w:rsidRDefault="0060013D" w:rsidP="0040353D">
      <w:pPr>
        <w:spacing w:line="360" w:lineRule="auto"/>
        <w:jc w:val="both"/>
        <w:rPr>
          <w:rFonts w:ascii="Arial Nova" w:hAnsi="Arial Nova"/>
          <w:sz w:val="22"/>
          <w:szCs w:val="22"/>
        </w:rPr>
      </w:pPr>
      <w:r w:rsidRPr="0060013D">
        <w:rPr>
          <w:rFonts w:ascii="Arial Nova" w:hAnsi="Arial Nova"/>
          <w:sz w:val="22"/>
          <w:szCs w:val="22"/>
        </w:rPr>
        <w:t xml:space="preserve">This report has critically examined SDG 3 and SDG 13 across global, national and local policy levels, finding a consistent pattern: ambitious, well-evidenced global frameworks, including the SDGs, the Paris Agreement and the COP28 Declaration on Climate and Health, generate normative pressure and comparable indicators, but lack binding enforcement, meaning implementation depends heavily on national political will and financing. In England, the NHS Long Term Plan and Core20PLUS5 demonstrate real but inconsistent progress on health inequalities, while the NHS Net Zero strategy shows that health and climate goals can be genuinely mutually reinforcing, evidenced by simultaneous carbon and cost savings from anaesthetic gas reform. The Welsh Well-being of Future Generations Act stands out as a structurally more integrated, legally </w:t>
      </w:r>
      <w:r w:rsidRPr="0060013D">
        <w:rPr>
          <w:rFonts w:ascii="Arial Nova" w:hAnsi="Arial Nova"/>
          <w:sz w:val="22"/>
          <w:szCs w:val="22"/>
        </w:rPr>
        <w:lastRenderedPageBreak/>
        <w:t>binding alternative, embedding both health and climate goals within a single statutory duty, although its long-term outcome evidence base remains comparatively immature.</w:t>
      </w:r>
    </w:p>
    <w:p w14:paraId="685791BA" w14:textId="530814C2" w:rsidR="0060013D" w:rsidRDefault="00601ADE" w:rsidP="0040353D">
      <w:pPr>
        <w:spacing w:line="360" w:lineRule="auto"/>
        <w:jc w:val="both"/>
        <w:rPr>
          <w:rFonts w:ascii="Arial Nova" w:hAnsi="Arial Nova"/>
          <w:sz w:val="22"/>
          <w:szCs w:val="22"/>
        </w:rPr>
      </w:pPr>
      <w:r w:rsidRPr="00601ADE">
        <w:rPr>
          <w:rFonts w:ascii="Arial Nova" w:hAnsi="Arial Nova"/>
          <w:sz w:val="22"/>
          <w:szCs w:val="22"/>
        </w:rPr>
        <w:t>Applying the Health Belief Model and Social Cognitive Theory throughout has revealed that current policies engage some behavioural constructs, such as perceived threat and self-efficacy, more consistently than others, including perceived barriers and environmental restructuring for the public rather than staff alone, suggesting scope for more theoretically comprehensive intervention design.</w:t>
      </w:r>
    </w:p>
    <w:p w14:paraId="1D0EA25E" w14:textId="21076B7F" w:rsidR="00183BAD" w:rsidRDefault="003F3CBF" w:rsidP="0040353D">
      <w:pPr>
        <w:spacing w:line="360" w:lineRule="auto"/>
        <w:jc w:val="both"/>
        <w:rPr>
          <w:rFonts w:ascii="Arial Nova" w:hAnsi="Arial Nova"/>
          <w:sz w:val="22"/>
          <w:szCs w:val="22"/>
        </w:rPr>
      </w:pPr>
      <w:r w:rsidRPr="003F3CBF">
        <w:rPr>
          <w:rFonts w:ascii="Arial Nova" w:hAnsi="Arial Nova"/>
          <w:sz w:val="22"/>
          <w:szCs w:val="22"/>
        </w:rPr>
        <w:t>Health and sustainability cannot be treated as politically distinct: Sustainable Development Goal 3 and Sustainable Development Goal 13 are interdependent, and policies that recognise their co-benefits, as COP28 and NHS Net Zero are increasingly doing, offer the most promising, evidence-based route to the 2030 Agenda.</w:t>
      </w:r>
    </w:p>
    <w:p w14:paraId="1ECB55DE" w14:textId="77777777" w:rsidR="003A480F" w:rsidRDefault="003A480F" w:rsidP="0040353D">
      <w:pPr>
        <w:spacing w:line="360" w:lineRule="auto"/>
        <w:jc w:val="both"/>
        <w:rPr>
          <w:rFonts w:ascii="Arial Nova" w:hAnsi="Arial Nova"/>
          <w:sz w:val="22"/>
          <w:szCs w:val="22"/>
        </w:rPr>
      </w:pPr>
    </w:p>
    <w:p w14:paraId="08DDDA0B" w14:textId="12235090" w:rsidR="003A480F" w:rsidRPr="00024382" w:rsidRDefault="00024382" w:rsidP="0040353D">
      <w:pPr>
        <w:spacing w:line="360" w:lineRule="auto"/>
        <w:jc w:val="both"/>
        <w:rPr>
          <w:rFonts w:ascii="Arial Nova" w:hAnsi="Arial Nova"/>
          <w:b/>
          <w:bCs/>
          <w:sz w:val="22"/>
          <w:szCs w:val="22"/>
          <w:u w:val="single"/>
        </w:rPr>
      </w:pPr>
      <w:r w:rsidRPr="00024382">
        <w:rPr>
          <w:rFonts w:ascii="Arial Nova" w:hAnsi="Arial Nova"/>
          <w:b/>
          <w:bCs/>
          <w:sz w:val="22"/>
          <w:szCs w:val="22"/>
          <w:u w:val="single"/>
        </w:rPr>
        <w:t>Reference:</w:t>
      </w:r>
    </w:p>
    <w:p w14:paraId="7372DA46" w14:textId="77777777" w:rsidR="00061E6A" w:rsidRDefault="00061E6A" w:rsidP="00061E6A">
      <w:pPr>
        <w:spacing w:after="240"/>
        <w:jc w:val="both"/>
        <w:rPr>
          <w:rFonts w:ascii="Arial Nova" w:hAnsi="Arial Nova"/>
          <w:sz w:val="22"/>
          <w:szCs w:val="22"/>
        </w:rPr>
      </w:pPr>
    </w:p>
    <w:p w14:paraId="2F308EC7"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Bandura, A., 1986. Social foundations of thought and action. Englewood Cliffs, NJ, 1986(23-28), p.2.</w:t>
      </w:r>
    </w:p>
    <w:p w14:paraId="14C88433" w14:textId="77777777" w:rsidR="003208CC" w:rsidRPr="00860EE9" w:rsidRDefault="003208CC" w:rsidP="008A02BC">
      <w:pPr>
        <w:spacing w:line="360" w:lineRule="auto"/>
        <w:rPr>
          <w:rFonts w:ascii="Arial Nova" w:hAnsi="Arial Nova"/>
          <w:sz w:val="22"/>
          <w:szCs w:val="22"/>
        </w:rPr>
      </w:pPr>
    </w:p>
    <w:p w14:paraId="74E23850" w14:textId="77777777" w:rsidR="00B6489E" w:rsidRPr="00860EE9" w:rsidRDefault="00B6489E" w:rsidP="008A02BC">
      <w:pPr>
        <w:spacing w:line="360" w:lineRule="auto"/>
        <w:ind w:left="720" w:hanging="720"/>
        <w:rPr>
          <w:rFonts w:ascii="Arial Nova" w:hAnsi="Arial Nova"/>
          <w:sz w:val="22"/>
          <w:szCs w:val="22"/>
        </w:rPr>
      </w:pPr>
      <w:r w:rsidRPr="00860EE9">
        <w:rPr>
          <w:rFonts w:ascii="Arial Nova" w:hAnsi="Arial Nova"/>
          <w:sz w:val="22"/>
          <w:szCs w:val="22"/>
        </w:rPr>
        <w:t xml:space="preserve">Becker, M.H. (1974) 'The Health Belief Model and personal health </w:t>
      </w:r>
      <w:proofErr w:type="spellStart"/>
      <w:r w:rsidRPr="00860EE9">
        <w:rPr>
          <w:rFonts w:ascii="Arial Nova" w:hAnsi="Arial Nova"/>
          <w:sz w:val="22"/>
          <w:szCs w:val="22"/>
        </w:rPr>
        <w:t>behavior</w:t>
      </w:r>
      <w:proofErr w:type="spellEnd"/>
      <w:r w:rsidRPr="00860EE9">
        <w:rPr>
          <w:rFonts w:ascii="Arial Nova" w:hAnsi="Arial Nova"/>
          <w:sz w:val="22"/>
          <w:szCs w:val="22"/>
        </w:rPr>
        <w:t>', Health Education</w:t>
      </w:r>
    </w:p>
    <w:p w14:paraId="259754F8" w14:textId="77777777" w:rsidR="00B6489E" w:rsidRDefault="00B6489E" w:rsidP="008A02BC">
      <w:pPr>
        <w:spacing w:line="360" w:lineRule="auto"/>
        <w:ind w:left="720" w:hanging="720"/>
        <w:rPr>
          <w:rFonts w:ascii="Arial Nova" w:hAnsi="Arial Nova"/>
          <w:sz w:val="22"/>
          <w:szCs w:val="22"/>
        </w:rPr>
      </w:pPr>
      <w:r w:rsidRPr="00860EE9">
        <w:rPr>
          <w:rFonts w:ascii="Arial Nova" w:hAnsi="Arial Nova"/>
          <w:sz w:val="22"/>
          <w:szCs w:val="22"/>
        </w:rPr>
        <w:t>Monographs, 2(4), pp. 324–473.</w:t>
      </w:r>
    </w:p>
    <w:p w14:paraId="5021F47B" w14:textId="77777777" w:rsidR="003208CC" w:rsidRPr="00860EE9" w:rsidRDefault="003208CC" w:rsidP="008A02BC">
      <w:pPr>
        <w:spacing w:line="360" w:lineRule="auto"/>
        <w:ind w:left="720" w:hanging="720"/>
        <w:rPr>
          <w:rFonts w:ascii="Arial Nova" w:hAnsi="Arial Nova"/>
          <w:sz w:val="22"/>
          <w:szCs w:val="22"/>
        </w:rPr>
      </w:pPr>
    </w:p>
    <w:p w14:paraId="39A363F8" w14:textId="77777777" w:rsidR="00B6489E" w:rsidRDefault="00B6489E" w:rsidP="008A02BC">
      <w:pPr>
        <w:spacing w:line="360" w:lineRule="auto"/>
        <w:rPr>
          <w:rFonts w:ascii="Arial Nova" w:hAnsi="Arial Nova"/>
          <w:sz w:val="22"/>
          <w:szCs w:val="22"/>
        </w:rPr>
      </w:pPr>
      <w:proofErr w:type="spellStart"/>
      <w:r w:rsidRPr="00860EE9">
        <w:rPr>
          <w:rFonts w:ascii="Arial Nova" w:hAnsi="Arial Nova"/>
          <w:sz w:val="22"/>
          <w:szCs w:val="22"/>
        </w:rPr>
        <w:t>ClimaHealth</w:t>
      </w:r>
      <w:proofErr w:type="spellEnd"/>
      <w:r w:rsidRPr="00860EE9">
        <w:rPr>
          <w:rFonts w:ascii="Arial Nova" w:hAnsi="Arial Nova"/>
          <w:sz w:val="22"/>
          <w:szCs w:val="22"/>
        </w:rPr>
        <w:t xml:space="preserve"> (2025) Health at COP28. Available at: </w:t>
      </w:r>
      <w:hyperlink r:id="rId4" w:history="1">
        <w:r w:rsidRPr="00860EE9">
          <w:rPr>
            <w:rStyle w:val="Hyperlink"/>
            <w:rFonts w:ascii="Arial Nova" w:hAnsi="Arial Nova"/>
            <w:sz w:val="22"/>
            <w:szCs w:val="22"/>
          </w:rPr>
          <w:t>https://climahealth.info/cop28-hub/</w:t>
        </w:r>
      </w:hyperlink>
      <w:r w:rsidRPr="00860EE9">
        <w:rPr>
          <w:rFonts w:ascii="Arial Nova" w:hAnsi="Arial Nova"/>
          <w:sz w:val="22"/>
          <w:szCs w:val="22"/>
        </w:rPr>
        <w:t xml:space="preserve"> (Accessed: 15 June 2026).</w:t>
      </w:r>
    </w:p>
    <w:p w14:paraId="20B8B0D7" w14:textId="77777777" w:rsidR="003208CC" w:rsidRPr="00860EE9" w:rsidRDefault="003208CC" w:rsidP="008A02BC">
      <w:pPr>
        <w:spacing w:line="360" w:lineRule="auto"/>
        <w:rPr>
          <w:rFonts w:ascii="Arial Nova" w:hAnsi="Arial Nova"/>
          <w:sz w:val="22"/>
          <w:szCs w:val="22"/>
        </w:rPr>
      </w:pPr>
    </w:p>
    <w:p w14:paraId="4C3EEB92"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Climate-ADAPT / European Climate and Health Observatory (2023) More than 120 countries endorse COP28 health and climate declaration. Available at: </w:t>
      </w:r>
      <w:hyperlink r:id="rId5" w:history="1">
        <w:r w:rsidRPr="00860EE9">
          <w:rPr>
            <w:rStyle w:val="Hyperlink"/>
            <w:rFonts w:ascii="Arial Nova" w:hAnsi="Arial Nova"/>
            <w:sz w:val="22"/>
            <w:szCs w:val="22"/>
          </w:rPr>
          <w:t>https://climate-adapt.eea.europa.eu/en/observatory/news-archive-observatory/more-than-120-countries-endorse-cop28-health-and-climate-declaration</w:t>
        </w:r>
      </w:hyperlink>
      <w:r w:rsidRPr="00860EE9">
        <w:rPr>
          <w:rFonts w:ascii="Arial Nova" w:hAnsi="Arial Nova"/>
          <w:sz w:val="22"/>
          <w:szCs w:val="22"/>
        </w:rPr>
        <w:t xml:space="preserve"> (Accessed: 15 June 2026).</w:t>
      </w:r>
    </w:p>
    <w:p w14:paraId="00657383" w14:textId="77777777" w:rsidR="003208CC" w:rsidRDefault="003208CC" w:rsidP="008A02BC">
      <w:pPr>
        <w:spacing w:line="360" w:lineRule="auto"/>
        <w:rPr>
          <w:rFonts w:ascii="Arial Nova" w:hAnsi="Arial Nova"/>
          <w:sz w:val="22"/>
          <w:szCs w:val="22"/>
        </w:rPr>
      </w:pPr>
    </w:p>
    <w:p w14:paraId="38F1F060" w14:textId="77777777" w:rsidR="00C54347" w:rsidRDefault="00C54347" w:rsidP="008A02BC">
      <w:pPr>
        <w:spacing w:line="360" w:lineRule="auto"/>
        <w:rPr>
          <w:rFonts w:ascii="Arial Nova" w:hAnsi="Arial Nova"/>
          <w:sz w:val="22"/>
          <w:szCs w:val="22"/>
        </w:rPr>
      </w:pPr>
    </w:p>
    <w:p w14:paraId="62822101" w14:textId="77777777" w:rsidR="00C54347" w:rsidRDefault="00C54347" w:rsidP="008A02BC">
      <w:pPr>
        <w:spacing w:line="360" w:lineRule="auto"/>
        <w:rPr>
          <w:rFonts w:ascii="Arial Nova" w:hAnsi="Arial Nova"/>
          <w:sz w:val="22"/>
          <w:szCs w:val="22"/>
        </w:rPr>
      </w:pPr>
    </w:p>
    <w:p w14:paraId="6A41B86D" w14:textId="77777777" w:rsidR="00C54347" w:rsidRPr="00860EE9" w:rsidRDefault="00C54347" w:rsidP="008A02BC">
      <w:pPr>
        <w:spacing w:line="360" w:lineRule="auto"/>
        <w:rPr>
          <w:rFonts w:ascii="Arial Nova" w:hAnsi="Arial Nova"/>
          <w:sz w:val="22"/>
          <w:szCs w:val="22"/>
        </w:rPr>
      </w:pPr>
    </w:p>
    <w:p w14:paraId="24E02F03" w14:textId="77777777" w:rsidR="00B6489E" w:rsidRPr="00860EE9" w:rsidRDefault="00B6489E" w:rsidP="008A02BC">
      <w:pPr>
        <w:spacing w:line="360" w:lineRule="auto"/>
        <w:rPr>
          <w:rFonts w:ascii="Arial Nova" w:hAnsi="Arial Nova"/>
          <w:sz w:val="22"/>
          <w:szCs w:val="22"/>
        </w:rPr>
      </w:pPr>
      <w:r w:rsidRPr="00860EE9">
        <w:rPr>
          <w:rFonts w:ascii="Arial Nova" w:hAnsi="Arial Nova"/>
          <w:sz w:val="22"/>
          <w:szCs w:val="22"/>
        </w:rPr>
        <w:lastRenderedPageBreak/>
        <w:t xml:space="preserve">Elliott, H., Tozer, C., Fenton, A., Powers, C., Lines, C., Hill, M., Owolabi, B. and Ford, J.A. (2025) 'From policy to action: a document content analysis reviewing the adoption of the healthcare inequalities programme in local health system plans in England', BMJ Open, 15(10), e102163. </w:t>
      </w:r>
      <w:proofErr w:type="spellStart"/>
      <w:r w:rsidRPr="00860EE9">
        <w:rPr>
          <w:rFonts w:ascii="Arial Nova" w:hAnsi="Arial Nova"/>
          <w:sz w:val="22"/>
          <w:szCs w:val="22"/>
        </w:rPr>
        <w:t>doi</w:t>
      </w:r>
      <w:proofErr w:type="spellEnd"/>
      <w:r w:rsidRPr="00860EE9">
        <w:rPr>
          <w:rFonts w:ascii="Arial Nova" w:hAnsi="Arial Nova"/>
          <w:sz w:val="22"/>
          <w:szCs w:val="22"/>
        </w:rPr>
        <w:t xml:space="preserve">: 10.1136/bmjopen-2025-102163. Available at: </w:t>
      </w:r>
      <w:hyperlink r:id="rId6" w:history="1">
        <w:r w:rsidRPr="00860EE9">
          <w:rPr>
            <w:rStyle w:val="Hyperlink"/>
            <w:rFonts w:ascii="Arial Nova" w:hAnsi="Arial Nova"/>
            <w:sz w:val="22"/>
            <w:szCs w:val="22"/>
          </w:rPr>
          <w:t>https://pmc.ncbi.nlm.nih.gov/articles/PMC12506202/</w:t>
        </w:r>
      </w:hyperlink>
      <w:r w:rsidRPr="00860EE9">
        <w:rPr>
          <w:rFonts w:ascii="Arial Nova" w:hAnsi="Arial Nova"/>
          <w:sz w:val="22"/>
          <w:szCs w:val="22"/>
        </w:rPr>
        <w:t xml:space="preserve"> (Accessed: 16 June 2026).</w:t>
      </w:r>
    </w:p>
    <w:p w14:paraId="4014BBAD" w14:textId="77777777" w:rsidR="008F09D1" w:rsidRDefault="008F09D1" w:rsidP="008A02BC">
      <w:pPr>
        <w:spacing w:line="360" w:lineRule="auto"/>
        <w:rPr>
          <w:rFonts w:ascii="Arial Nova" w:hAnsi="Arial Nova"/>
          <w:sz w:val="22"/>
          <w:szCs w:val="22"/>
        </w:rPr>
      </w:pPr>
    </w:p>
    <w:p w14:paraId="5C7B582B" w14:textId="77777777" w:rsidR="008F09D1" w:rsidRDefault="008F09D1" w:rsidP="008A02BC">
      <w:pPr>
        <w:spacing w:line="360" w:lineRule="auto"/>
        <w:rPr>
          <w:rFonts w:ascii="Arial Nova" w:hAnsi="Arial Nova"/>
          <w:sz w:val="22"/>
          <w:szCs w:val="22"/>
        </w:rPr>
      </w:pPr>
    </w:p>
    <w:p w14:paraId="477839F1" w14:textId="7670B276"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Global Climate and Health Alliance (2023) Health NGO reacts to signing of COP28 Declaration on Climate and Health by over 120 countries. Available at: </w:t>
      </w:r>
      <w:hyperlink r:id="rId7" w:history="1">
        <w:r w:rsidRPr="00860EE9">
          <w:rPr>
            <w:rStyle w:val="Hyperlink"/>
            <w:rFonts w:ascii="Arial Nova" w:hAnsi="Arial Nova"/>
            <w:sz w:val="22"/>
            <w:szCs w:val="22"/>
          </w:rPr>
          <w:t>https://climateandhealthalliance.org/press-releases/health-ngo-reacts-to-signing-of-cop28-declaration-on-climate-and-health-by-over-120-countries/</w:t>
        </w:r>
      </w:hyperlink>
      <w:r w:rsidRPr="00860EE9">
        <w:rPr>
          <w:rFonts w:ascii="Arial Nova" w:hAnsi="Arial Nova"/>
          <w:sz w:val="22"/>
          <w:szCs w:val="22"/>
        </w:rPr>
        <w:t xml:space="preserve"> (Accessed: 16 June 2026).</w:t>
      </w:r>
    </w:p>
    <w:p w14:paraId="07002463" w14:textId="77777777" w:rsidR="00C54347" w:rsidRPr="00860EE9" w:rsidRDefault="00C54347" w:rsidP="008A02BC">
      <w:pPr>
        <w:spacing w:line="360" w:lineRule="auto"/>
        <w:rPr>
          <w:rFonts w:ascii="Arial Nova" w:hAnsi="Arial Nova"/>
          <w:sz w:val="22"/>
          <w:szCs w:val="22"/>
        </w:rPr>
      </w:pPr>
    </w:p>
    <w:p w14:paraId="6A53A0B3"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Health Policy Watch (2023) COP28: 124 countries commit to milestone 'Declaration on Climate and Health'. Available at: </w:t>
      </w:r>
      <w:hyperlink r:id="rId8" w:history="1">
        <w:r w:rsidRPr="00860EE9">
          <w:rPr>
            <w:rStyle w:val="Hyperlink"/>
            <w:rFonts w:ascii="Arial Nova" w:hAnsi="Arial Nova"/>
            <w:sz w:val="22"/>
            <w:szCs w:val="22"/>
          </w:rPr>
          <w:t>https://healthpolicy-watch.news/cop28-health-and-climate-declaration/</w:t>
        </w:r>
      </w:hyperlink>
      <w:r w:rsidRPr="00860EE9">
        <w:rPr>
          <w:rFonts w:ascii="Arial Nova" w:hAnsi="Arial Nova"/>
          <w:sz w:val="22"/>
          <w:szCs w:val="22"/>
        </w:rPr>
        <w:t xml:space="preserve"> (Accessed: 16 June 2026).</w:t>
      </w:r>
    </w:p>
    <w:p w14:paraId="7DD4A45C" w14:textId="77777777" w:rsidR="00C54347" w:rsidRPr="00860EE9" w:rsidRDefault="00C54347" w:rsidP="008A02BC">
      <w:pPr>
        <w:spacing w:line="360" w:lineRule="auto"/>
        <w:rPr>
          <w:rFonts w:ascii="Arial Nova" w:hAnsi="Arial Nova"/>
          <w:sz w:val="22"/>
          <w:szCs w:val="22"/>
        </w:rPr>
      </w:pPr>
    </w:p>
    <w:p w14:paraId="2548DE2D" w14:textId="77777777" w:rsidR="00B6489E" w:rsidRPr="00860EE9" w:rsidRDefault="00B6489E" w:rsidP="008A02BC">
      <w:pPr>
        <w:spacing w:line="360" w:lineRule="auto"/>
        <w:rPr>
          <w:rFonts w:ascii="Arial Nova" w:hAnsi="Arial Nova"/>
          <w:sz w:val="22"/>
          <w:szCs w:val="22"/>
        </w:rPr>
      </w:pPr>
      <w:r w:rsidRPr="00860EE9">
        <w:rPr>
          <w:rFonts w:ascii="Arial Nova" w:hAnsi="Arial Nova"/>
          <w:sz w:val="22"/>
          <w:szCs w:val="22"/>
        </w:rPr>
        <w:t xml:space="preserve">HM Government (2008) </w:t>
      </w:r>
      <w:r w:rsidRPr="00860EE9">
        <w:rPr>
          <w:rFonts w:ascii="Arial Nova" w:hAnsi="Arial Nova"/>
          <w:i/>
          <w:iCs/>
          <w:sz w:val="22"/>
          <w:szCs w:val="22"/>
        </w:rPr>
        <w:t>Climate Change Act 2008</w:t>
      </w:r>
      <w:r w:rsidRPr="00860EE9">
        <w:rPr>
          <w:rFonts w:ascii="Arial Nova" w:hAnsi="Arial Nova"/>
          <w:sz w:val="22"/>
          <w:szCs w:val="22"/>
        </w:rPr>
        <w:t>. c. 27. London: The Stationery Office.</w:t>
      </w:r>
    </w:p>
    <w:p w14:paraId="77803471" w14:textId="77777777" w:rsidR="00B6489E" w:rsidRPr="00860EE9" w:rsidRDefault="00B6489E" w:rsidP="008A02BC">
      <w:pPr>
        <w:spacing w:line="360" w:lineRule="auto"/>
        <w:rPr>
          <w:rFonts w:ascii="Arial Nova" w:hAnsi="Arial Nova"/>
          <w:sz w:val="22"/>
          <w:szCs w:val="22"/>
        </w:rPr>
      </w:pPr>
      <w:r w:rsidRPr="00860EE9">
        <w:rPr>
          <w:rFonts w:ascii="Arial Nova" w:hAnsi="Arial Nova"/>
          <w:sz w:val="22"/>
          <w:szCs w:val="22"/>
        </w:rPr>
        <w:t>Institute of Health Equity (2020) Health Equity in England: The Marmot Review 10 Years On. London: Institute of Health Equity.</w:t>
      </w:r>
    </w:p>
    <w:p w14:paraId="0C68D9ED"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The King's Fund (2024) Tackling health inequalities: seven priorities for the NHS. Available at: </w:t>
      </w:r>
      <w:hyperlink r:id="rId9" w:history="1">
        <w:r w:rsidRPr="00860EE9">
          <w:rPr>
            <w:rStyle w:val="Hyperlink"/>
            <w:rFonts w:ascii="Arial Nova" w:hAnsi="Arial Nova"/>
            <w:sz w:val="22"/>
            <w:szCs w:val="22"/>
          </w:rPr>
          <w:t>https://www.kingsfund.org.uk/insight-and-analysis/long-reads/tackling-health-inequalities-seven-priorities-nhs</w:t>
        </w:r>
      </w:hyperlink>
      <w:r w:rsidRPr="00860EE9">
        <w:rPr>
          <w:rFonts w:ascii="Arial Nova" w:hAnsi="Arial Nova"/>
          <w:sz w:val="22"/>
          <w:szCs w:val="22"/>
        </w:rPr>
        <w:t xml:space="preserve"> (Accessed: 17 June 2026).</w:t>
      </w:r>
    </w:p>
    <w:p w14:paraId="136B0D1E" w14:textId="77777777" w:rsidR="00C54347" w:rsidRPr="00860EE9" w:rsidRDefault="00C54347" w:rsidP="008A02BC">
      <w:pPr>
        <w:spacing w:line="360" w:lineRule="auto"/>
        <w:rPr>
          <w:rFonts w:ascii="Arial Nova" w:hAnsi="Arial Nova"/>
          <w:sz w:val="22"/>
          <w:szCs w:val="22"/>
        </w:rPr>
      </w:pPr>
    </w:p>
    <w:p w14:paraId="2D7D0AC7"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The King's Fund (2025) Carbon net zero by 2040: is the NHS on track? Available at: </w:t>
      </w:r>
      <w:hyperlink r:id="rId10" w:history="1">
        <w:r w:rsidRPr="00860EE9">
          <w:rPr>
            <w:rStyle w:val="Hyperlink"/>
            <w:rFonts w:ascii="Arial Nova" w:hAnsi="Arial Nova"/>
            <w:sz w:val="22"/>
            <w:szCs w:val="22"/>
          </w:rPr>
          <w:t>https://www.kingsfund.org.uk/insight-and-analysis/blogs/carbon-net-zero-2040-is-nhs-on-track</w:t>
        </w:r>
      </w:hyperlink>
      <w:r w:rsidRPr="00860EE9">
        <w:rPr>
          <w:rFonts w:ascii="Arial Nova" w:hAnsi="Arial Nova"/>
          <w:sz w:val="22"/>
          <w:szCs w:val="22"/>
        </w:rPr>
        <w:t xml:space="preserve"> (Accessed: 17 June 2026).</w:t>
      </w:r>
    </w:p>
    <w:p w14:paraId="76D745C7" w14:textId="77777777" w:rsidR="00C54347" w:rsidRPr="00860EE9" w:rsidRDefault="00C54347" w:rsidP="008A02BC">
      <w:pPr>
        <w:spacing w:line="360" w:lineRule="auto"/>
        <w:rPr>
          <w:rFonts w:ascii="Arial Nova" w:hAnsi="Arial Nova"/>
          <w:sz w:val="22"/>
          <w:szCs w:val="22"/>
        </w:rPr>
      </w:pPr>
    </w:p>
    <w:p w14:paraId="3113382E" w14:textId="77777777" w:rsidR="00B6489E" w:rsidRPr="00860EE9" w:rsidRDefault="00B6489E" w:rsidP="008A02BC">
      <w:pPr>
        <w:spacing w:line="360" w:lineRule="auto"/>
        <w:rPr>
          <w:rFonts w:ascii="Arial Nova" w:hAnsi="Arial Nova"/>
          <w:sz w:val="22"/>
          <w:szCs w:val="22"/>
        </w:rPr>
      </w:pPr>
      <w:proofErr w:type="spellStart"/>
      <w:r w:rsidRPr="00860EE9">
        <w:rPr>
          <w:rFonts w:ascii="Arial Nova" w:hAnsi="Arial Nova"/>
          <w:sz w:val="22"/>
          <w:szCs w:val="22"/>
        </w:rPr>
        <w:t>Messham</w:t>
      </w:r>
      <w:proofErr w:type="spellEnd"/>
      <w:r w:rsidRPr="00860EE9">
        <w:rPr>
          <w:rFonts w:ascii="Arial Nova" w:hAnsi="Arial Nova"/>
          <w:sz w:val="22"/>
          <w:szCs w:val="22"/>
        </w:rPr>
        <w:t xml:space="preserve">, E. and Sheard, S. (2020) 'Taking the long view: the development of the Well-being of Future Generations (Wales) Act', </w:t>
      </w:r>
      <w:r w:rsidRPr="00860EE9">
        <w:rPr>
          <w:rFonts w:ascii="Arial Nova" w:hAnsi="Arial Nova"/>
          <w:i/>
          <w:iCs/>
          <w:sz w:val="22"/>
          <w:szCs w:val="22"/>
        </w:rPr>
        <w:t>Health Research Policy and Systems</w:t>
      </w:r>
      <w:r w:rsidRPr="00860EE9">
        <w:rPr>
          <w:rFonts w:ascii="Arial Nova" w:hAnsi="Arial Nova"/>
          <w:sz w:val="22"/>
          <w:szCs w:val="22"/>
        </w:rPr>
        <w:t xml:space="preserve">, 18(1), article 33. </w:t>
      </w:r>
      <w:proofErr w:type="spellStart"/>
      <w:r w:rsidRPr="00860EE9">
        <w:rPr>
          <w:rFonts w:ascii="Arial Nova" w:hAnsi="Arial Nova"/>
          <w:sz w:val="22"/>
          <w:szCs w:val="22"/>
        </w:rPr>
        <w:t>doi</w:t>
      </w:r>
      <w:proofErr w:type="spellEnd"/>
      <w:r w:rsidRPr="00860EE9">
        <w:rPr>
          <w:rFonts w:ascii="Arial Nova" w:hAnsi="Arial Nova"/>
          <w:sz w:val="22"/>
          <w:szCs w:val="22"/>
        </w:rPr>
        <w:t>: 10.1186/s12961-020-0534-y.</w:t>
      </w:r>
    </w:p>
    <w:p w14:paraId="495F05EA" w14:textId="77777777" w:rsidR="00B6489E" w:rsidRPr="00860EE9" w:rsidRDefault="00B6489E" w:rsidP="008A02BC">
      <w:pPr>
        <w:spacing w:line="360" w:lineRule="auto"/>
        <w:rPr>
          <w:rFonts w:ascii="Arial Nova" w:hAnsi="Arial Nova"/>
          <w:sz w:val="22"/>
          <w:szCs w:val="22"/>
        </w:rPr>
      </w:pPr>
      <w:r w:rsidRPr="00860EE9">
        <w:rPr>
          <w:rFonts w:ascii="Arial Nova" w:hAnsi="Arial Nova"/>
          <w:sz w:val="22"/>
          <w:szCs w:val="22"/>
        </w:rPr>
        <w:t xml:space="preserve">NHS England (2019) The NHS Long Term Plan. Available at: </w:t>
      </w:r>
      <w:hyperlink r:id="rId11" w:history="1">
        <w:r w:rsidRPr="00860EE9">
          <w:rPr>
            <w:rStyle w:val="Hyperlink"/>
            <w:rFonts w:ascii="Arial Nova" w:hAnsi="Arial Nova"/>
            <w:sz w:val="22"/>
            <w:szCs w:val="22"/>
          </w:rPr>
          <w:t>https://www.longtermplan.nhs.uk/</w:t>
        </w:r>
      </w:hyperlink>
      <w:r w:rsidRPr="00860EE9">
        <w:rPr>
          <w:rFonts w:ascii="Arial Nova" w:hAnsi="Arial Nova"/>
          <w:sz w:val="22"/>
          <w:szCs w:val="22"/>
        </w:rPr>
        <w:t xml:space="preserve"> (Accessed: 18 June 2026).</w:t>
      </w:r>
    </w:p>
    <w:p w14:paraId="5D72CD9A"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lastRenderedPageBreak/>
        <w:t xml:space="preserve">NHS England (2019) The NHS Long Term Plan. Available at: </w:t>
      </w:r>
      <w:hyperlink r:id="rId12" w:history="1">
        <w:r w:rsidRPr="00860EE9">
          <w:rPr>
            <w:rStyle w:val="Hyperlink"/>
            <w:rFonts w:ascii="Arial Nova" w:hAnsi="Arial Nova"/>
            <w:sz w:val="22"/>
            <w:szCs w:val="22"/>
          </w:rPr>
          <w:t>https://webarchive.nationalarchives.gov.uk/ukgwa/20250506042016/https://www.longtermplan.nhs.uk/publication/nhs-long-term-plan/</w:t>
        </w:r>
      </w:hyperlink>
      <w:r w:rsidRPr="00860EE9">
        <w:rPr>
          <w:rFonts w:ascii="Arial Nova" w:hAnsi="Arial Nova"/>
          <w:sz w:val="22"/>
          <w:szCs w:val="22"/>
        </w:rPr>
        <w:t xml:space="preserve"> (Accessed: 17 June 2026).</w:t>
      </w:r>
    </w:p>
    <w:p w14:paraId="43D85C99" w14:textId="77777777" w:rsidR="00D947BF" w:rsidRPr="00860EE9" w:rsidRDefault="00D947BF" w:rsidP="008A02BC">
      <w:pPr>
        <w:spacing w:line="360" w:lineRule="auto"/>
        <w:rPr>
          <w:rFonts w:ascii="Arial Nova" w:hAnsi="Arial Nova"/>
          <w:sz w:val="22"/>
          <w:szCs w:val="22"/>
        </w:rPr>
      </w:pPr>
    </w:p>
    <w:p w14:paraId="184686DB"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NHS England (2020) Delivering a 'Net Zero' National Health Service. Available at: </w:t>
      </w:r>
      <w:hyperlink r:id="rId13" w:history="1">
        <w:r w:rsidRPr="00860EE9">
          <w:rPr>
            <w:rStyle w:val="Hyperlink"/>
            <w:rFonts w:ascii="Arial Nova" w:hAnsi="Arial Nova"/>
            <w:sz w:val="22"/>
            <w:szCs w:val="22"/>
          </w:rPr>
          <w:t>https://www.england.nhs.uk/greenernhs/publication/delivering-a-net-zero-national-health-service/</w:t>
        </w:r>
      </w:hyperlink>
      <w:r w:rsidRPr="00860EE9">
        <w:rPr>
          <w:rFonts w:ascii="Arial Nova" w:hAnsi="Arial Nova"/>
          <w:sz w:val="22"/>
          <w:szCs w:val="22"/>
        </w:rPr>
        <w:t xml:space="preserve"> (Accessed: 16 June 2026).</w:t>
      </w:r>
    </w:p>
    <w:p w14:paraId="6B7567C6" w14:textId="77777777" w:rsidR="00D947BF" w:rsidRPr="00860EE9" w:rsidRDefault="00D947BF" w:rsidP="008A02BC">
      <w:pPr>
        <w:spacing w:line="360" w:lineRule="auto"/>
        <w:rPr>
          <w:rFonts w:ascii="Arial Nova" w:hAnsi="Arial Nova"/>
          <w:sz w:val="22"/>
          <w:szCs w:val="22"/>
        </w:rPr>
      </w:pPr>
    </w:p>
    <w:p w14:paraId="64B04757"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NHS England (2023) Our approach to reducing healthcare inequalities. Available at: </w:t>
      </w:r>
      <w:hyperlink r:id="rId14" w:history="1">
        <w:r w:rsidRPr="00860EE9">
          <w:rPr>
            <w:rStyle w:val="Hyperlink"/>
            <w:rFonts w:ascii="Arial Nova" w:hAnsi="Arial Nova"/>
            <w:sz w:val="22"/>
            <w:szCs w:val="22"/>
          </w:rPr>
          <w:t>https://www.england.nhs.uk/about/equality/equality-hub/national-healthcare-inequalities-improvement-programme/our-approach-to-reducing-healthcare-inequalities/</w:t>
        </w:r>
      </w:hyperlink>
      <w:r w:rsidRPr="00860EE9">
        <w:rPr>
          <w:rFonts w:ascii="Arial Nova" w:hAnsi="Arial Nova"/>
          <w:sz w:val="22"/>
          <w:szCs w:val="22"/>
        </w:rPr>
        <w:t xml:space="preserve"> (Accessed: 15 June 2026).</w:t>
      </w:r>
    </w:p>
    <w:p w14:paraId="33A3ED10" w14:textId="77777777" w:rsidR="00D947BF" w:rsidRPr="00860EE9" w:rsidRDefault="00D947BF" w:rsidP="008A02BC">
      <w:pPr>
        <w:spacing w:line="360" w:lineRule="auto"/>
        <w:rPr>
          <w:rFonts w:ascii="Arial Nova" w:hAnsi="Arial Nova"/>
          <w:sz w:val="22"/>
          <w:szCs w:val="22"/>
        </w:rPr>
      </w:pPr>
    </w:p>
    <w:p w14:paraId="59ADAEE5"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NHS England (2025) Progress report – delivering a greener NHS: five years on. Available at: </w:t>
      </w:r>
      <w:hyperlink r:id="rId15" w:history="1">
        <w:r w:rsidRPr="00860EE9">
          <w:rPr>
            <w:rStyle w:val="Hyperlink"/>
            <w:rFonts w:ascii="Arial Nova" w:hAnsi="Arial Nova"/>
            <w:sz w:val="22"/>
            <w:szCs w:val="22"/>
          </w:rPr>
          <w:t>https://www.england.nhs.uk/long-read/progress-report-delivering-a-greener-nhs-five-years-on/</w:t>
        </w:r>
      </w:hyperlink>
      <w:r w:rsidRPr="00860EE9">
        <w:rPr>
          <w:rFonts w:ascii="Arial Nova" w:hAnsi="Arial Nova"/>
          <w:sz w:val="22"/>
          <w:szCs w:val="22"/>
        </w:rPr>
        <w:t xml:space="preserve"> (Accessed: 18 June 2026).</w:t>
      </w:r>
    </w:p>
    <w:p w14:paraId="172AF6AE" w14:textId="77777777" w:rsidR="00D947BF" w:rsidRPr="00860EE9" w:rsidRDefault="00D947BF" w:rsidP="008A02BC">
      <w:pPr>
        <w:spacing w:line="360" w:lineRule="auto"/>
        <w:rPr>
          <w:rFonts w:ascii="Arial Nova" w:hAnsi="Arial Nova"/>
          <w:sz w:val="22"/>
          <w:szCs w:val="22"/>
        </w:rPr>
      </w:pPr>
    </w:p>
    <w:p w14:paraId="771B5C4F"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Organisation for Economic Co-operation and Development (OECD) (2023) The Future Generations Act and Future Generations Commissioner for Wales. Available at: </w:t>
      </w:r>
      <w:hyperlink r:id="rId16" w:history="1">
        <w:r w:rsidRPr="00860EE9">
          <w:rPr>
            <w:rStyle w:val="Hyperlink"/>
            <w:rFonts w:ascii="Arial Nova" w:hAnsi="Arial Nova"/>
            <w:sz w:val="22"/>
            <w:szCs w:val="22"/>
          </w:rPr>
          <w:t>https://www.oecd.org/en/publications/well-being-knowledge-exchange-platform-kep_93d45d63-en/the-future-generations-act-and-future-generations-commissioner-for-wales_7b2a0e8c-en.html</w:t>
        </w:r>
      </w:hyperlink>
      <w:r w:rsidRPr="00860EE9">
        <w:rPr>
          <w:rFonts w:ascii="Arial Nova" w:hAnsi="Arial Nova"/>
          <w:sz w:val="22"/>
          <w:szCs w:val="22"/>
        </w:rPr>
        <w:t xml:space="preserve"> (Accessed: 19 June 2026).</w:t>
      </w:r>
    </w:p>
    <w:p w14:paraId="2D6D14EE" w14:textId="77777777" w:rsidR="00D947BF" w:rsidRPr="00860EE9" w:rsidRDefault="00D947BF" w:rsidP="008A02BC">
      <w:pPr>
        <w:spacing w:line="360" w:lineRule="auto"/>
        <w:rPr>
          <w:rFonts w:ascii="Arial Nova" w:hAnsi="Arial Nova"/>
          <w:sz w:val="22"/>
          <w:szCs w:val="22"/>
        </w:rPr>
      </w:pPr>
    </w:p>
    <w:p w14:paraId="6FB129B9"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Rosenstock, I.M., </w:t>
      </w:r>
      <w:proofErr w:type="spellStart"/>
      <w:r w:rsidRPr="00860EE9">
        <w:rPr>
          <w:rFonts w:ascii="Arial Nova" w:hAnsi="Arial Nova"/>
          <w:sz w:val="22"/>
          <w:szCs w:val="22"/>
        </w:rPr>
        <w:t>Strecher</w:t>
      </w:r>
      <w:proofErr w:type="spellEnd"/>
      <w:r w:rsidRPr="00860EE9">
        <w:rPr>
          <w:rFonts w:ascii="Arial Nova" w:hAnsi="Arial Nova"/>
          <w:sz w:val="22"/>
          <w:szCs w:val="22"/>
        </w:rPr>
        <w:t xml:space="preserve">, V.J. and Becker, M.H. (1988) 'Social learning theory and the Health Belief Model', </w:t>
      </w:r>
      <w:r w:rsidRPr="00860EE9">
        <w:rPr>
          <w:rFonts w:ascii="Arial Nova" w:hAnsi="Arial Nova"/>
          <w:i/>
          <w:iCs/>
          <w:sz w:val="22"/>
          <w:szCs w:val="22"/>
        </w:rPr>
        <w:t>Health Education Quarterly</w:t>
      </w:r>
      <w:r w:rsidRPr="00860EE9">
        <w:rPr>
          <w:rFonts w:ascii="Arial Nova" w:hAnsi="Arial Nova"/>
          <w:sz w:val="22"/>
          <w:szCs w:val="22"/>
        </w:rPr>
        <w:t>, 15(2), pp. 175–183.</w:t>
      </w:r>
    </w:p>
    <w:p w14:paraId="48B9DD32" w14:textId="77777777" w:rsidR="00D947BF" w:rsidRPr="00860EE9" w:rsidRDefault="00D947BF" w:rsidP="008A02BC">
      <w:pPr>
        <w:spacing w:line="360" w:lineRule="auto"/>
        <w:rPr>
          <w:rFonts w:ascii="Arial Nova" w:hAnsi="Arial Nova"/>
          <w:sz w:val="22"/>
          <w:szCs w:val="22"/>
        </w:rPr>
      </w:pPr>
    </w:p>
    <w:p w14:paraId="7A9A951D"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SDG Knowledge Hub (2025) SDG 3: ensure healthy lives and promote well-being for all at all ages. Available at: </w:t>
      </w:r>
      <w:hyperlink r:id="rId17" w:history="1">
        <w:r w:rsidRPr="00860EE9">
          <w:rPr>
            <w:rStyle w:val="Hyperlink"/>
            <w:rFonts w:ascii="Arial Nova" w:hAnsi="Arial Nova"/>
            <w:sz w:val="22"/>
            <w:szCs w:val="22"/>
          </w:rPr>
          <w:t>https://sdg.iisd.org/news/sdg-3-ensure-healthy-lives-and-promote-well-being-for-all-at-all-ages/</w:t>
        </w:r>
      </w:hyperlink>
      <w:r w:rsidRPr="00860EE9">
        <w:rPr>
          <w:rFonts w:ascii="Arial Nova" w:hAnsi="Arial Nova"/>
          <w:sz w:val="22"/>
          <w:szCs w:val="22"/>
        </w:rPr>
        <w:t xml:space="preserve"> (Accessed: 19 June 2026).</w:t>
      </w:r>
    </w:p>
    <w:p w14:paraId="2A64E2E0" w14:textId="77777777" w:rsidR="00D947BF" w:rsidRPr="00860EE9" w:rsidRDefault="00D947BF" w:rsidP="008A02BC">
      <w:pPr>
        <w:spacing w:line="360" w:lineRule="auto"/>
        <w:rPr>
          <w:rFonts w:ascii="Arial Nova" w:hAnsi="Arial Nova"/>
          <w:sz w:val="22"/>
          <w:szCs w:val="22"/>
        </w:rPr>
      </w:pPr>
    </w:p>
    <w:p w14:paraId="3DE9A2ED" w14:textId="77777777" w:rsidR="00D947BF" w:rsidRDefault="00D947BF" w:rsidP="008A02BC">
      <w:pPr>
        <w:spacing w:line="360" w:lineRule="auto"/>
        <w:rPr>
          <w:rFonts w:ascii="Arial Nova" w:hAnsi="Arial Nova"/>
          <w:sz w:val="22"/>
          <w:szCs w:val="22"/>
        </w:rPr>
      </w:pPr>
    </w:p>
    <w:p w14:paraId="175783EE" w14:textId="7B60715B" w:rsidR="00B6489E" w:rsidRDefault="00B6489E" w:rsidP="008A02BC">
      <w:pPr>
        <w:spacing w:line="360" w:lineRule="auto"/>
        <w:rPr>
          <w:rFonts w:ascii="Arial Nova" w:hAnsi="Arial Nova"/>
          <w:sz w:val="22"/>
          <w:szCs w:val="22"/>
        </w:rPr>
      </w:pPr>
      <w:r w:rsidRPr="00860EE9">
        <w:rPr>
          <w:rFonts w:ascii="Arial Nova" w:hAnsi="Arial Nova"/>
          <w:sz w:val="22"/>
          <w:szCs w:val="22"/>
        </w:rPr>
        <w:lastRenderedPageBreak/>
        <w:t xml:space="preserve">UK Health Alliance on Climate Change (2025) NHS England's </w:t>
      </w:r>
      <w:proofErr w:type="gramStart"/>
      <w:r w:rsidRPr="00860EE9">
        <w:rPr>
          <w:rFonts w:ascii="Arial Nova" w:hAnsi="Arial Nova"/>
          <w:sz w:val="22"/>
          <w:szCs w:val="22"/>
        </w:rPr>
        <w:t>five year</w:t>
      </w:r>
      <w:proofErr w:type="gramEnd"/>
      <w:r w:rsidRPr="00860EE9">
        <w:rPr>
          <w:rFonts w:ascii="Arial Nova" w:hAnsi="Arial Nova"/>
          <w:sz w:val="22"/>
          <w:szCs w:val="22"/>
        </w:rPr>
        <w:t xml:space="preserve"> report on net zero brings welcome progress, but much more needs to be done. Available at: </w:t>
      </w:r>
      <w:hyperlink r:id="rId18" w:history="1">
        <w:r w:rsidRPr="00860EE9">
          <w:rPr>
            <w:rStyle w:val="Hyperlink"/>
            <w:rFonts w:ascii="Arial Nova" w:hAnsi="Arial Nova"/>
            <w:sz w:val="22"/>
            <w:szCs w:val="22"/>
          </w:rPr>
          <w:t>https://ukhealthalliance.org/news-item/nhs-englands-five-year-report-on-net-zero-brings-welcome-progress-but-much-more-needs-to-be-done/</w:t>
        </w:r>
      </w:hyperlink>
      <w:r w:rsidRPr="00860EE9">
        <w:rPr>
          <w:rFonts w:ascii="Arial Nova" w:hAnsi="Arial Nova"/>
          <w:sz w:val="22"/>
          <w:szCs w:val="22"/>
        </w:rPr>
        <w:t xml:space="preserve"> (Accessed: 18 June 2026).</w:t>
      </w:r>
    </w:p>
    <w:p w14:paraId="477AEAD7" w14:textId="77777777" w:rsidR="008A02BC" w:rsidRPr="00860EE9" w:rsidRDefault="008A02BC" w:rsidP="008A02BC">
      <w:pPr>
        <w:spacing w:line="360" w:lineRule="auto"/>
        <w:rPr>
          <w:rFonts w:ascii="Arial Nova" w:hAnsi="Arial Nova"/>
          <w:sz w:val="22"/>
          <w:szCs w:val="22"/>
        </w:rPr>
      </w:pPr>
    </w:p>
    <w:p w14:paraId="136D07D2"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United Nations (2015) </w:t>
      </w:r>
      <w:r w:rsidRPr="00860EE9">
        <w:rPr>
          <w:rFonts w:ascii="Arial Nova" w:hAnsi="Arial Nova"/>
          <w:i/>
          <w:iCs/>
          <w:sz w:val="22"/>
          <w:szCs w:val="22"/>
        </w:rPr>
        <w:t>Transforming our world: the 2030 Agenda for Sustainable Development</w:t>
      </w:r>
      <w:r w:rsidRPr="00860EE9">
        <w:rPr>
          <w:rFonts w:ascii="Arial Nova" w:hAnsi="Arial Nova"/>
          <w:sz w:val="22"/>
          <w:szCs w:val="22"/>
        </w:rPr>
        <w:t xml:space="preserve">. A/RES/70/1. Available at: </w:t>
      </w:r>
      <w:hyperlink r:id="rId19" w:history="1">
        <w:r w:rsidRPr="00860EE9">
          <w:rPr>
            <w:rStyle w:val="Hyperlink"/>
            <w:rFonts w:ascii="Arial Nova" w:hAnsi="Arial Nova"/>
            <w:sz w:val="22"/>
            <w:szCs w:val="22"/>
          </w:rPr>
          <w:t>https://www.un.org/en/development/desa/population/migration/generalassembly/docs/globalcompact/A_RES_70_1_E.pdf</w:t>
        </w:r>
      </w:hyperlink>
      <w:r w:rsidRPr="00860EE9">
        <w:rPr>
          <w:rFonts w:ascii="Arial Nova" w:hAnsi="Arial Nova"/>
          <w:sz w:val="22"/>
          <w:szCs w:val="22"/>
        </w:rPr>
        <w:t xml:space="preserve"> (Accessed: 16 June 2026).</w:t>
      </w:r>
    </w:p>
    <w:p w14:paraId="1F737F6A" w14:textId="77777777" w:rsidR="008A02BC" w:rsidRPr="00860EE9" w:rsidRDefault="008A02BC" w:rsidP="008A02BC">
      <w:pPr>
        <w:spacing w:line="360" w:lineRule="auto"/>
        <w:rPr>
          <w:rFonts w:ascii="Arial Nova" w:hAnsi="Arial Nova"/>
          <w:sz w:val="22"/>
          <w:szCs w:val="22"/>
        </w:rPr>
      </w:pPr>
    </w:p>
    <w:p w14:paraId="58D1CC45"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United Nations (2025) The Sustainable Development Goals Report 2025. Available at: </w:t>
      </w:r>
      <w:hyperlink r:id="rId20" w:history="1">
        <w:r w:rsidRPr="00860EE9">
          <w:rPr>
            <w:rStyle w:val="Hyperlink"/>
            <w:rFonts w:ascii="Arial Nova" w:hAnsi="Arial Nova"/>
            <w:sz w:val="22"/>
            <w:szCs w:val="22"/>
          </w:rPr>
          <w:t>https://unstats.un.org/sdgs/report/2025/</w:t>
        </w:r>
      </w:hyperlink>
      <w:r w:rsidRPr="00860EE9">
        <w:rPr>
          <w:rFonts w:ascii="Arial Nova" w:hAnsi="Arial Nova"/>
          <w:sz w:val="22"/>
          <w:szCs w:val="22"/>
        </w:rPr>
        <w:t xml:space="preserve"> (Accessed: 19 June 2026).</w:t>
      </w:r>
    </w:p>
    <w:p w14:paraId="69F38F6A" w14:textId="77777777" w:rsidR="008A02BC" w:rsidRPr="00860EE9" w:rsidRDefault="008A02BC" w:rsidP="008A02BC">
      <w:pPr>
        <w:spacing w:line="360" w:lineRule="auto"/>
        <w:rPr>
          <w:rFonts w:ascii="Arial Nova" w:hAnsi="Arial Nova"/>
          <w:sz w:val="22"/>
          <w:szCs w:val="22"/>
        </w:rPr>
      </w:pPr>
    </w:p>
    <w:p w14:paraId="039649C3"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United Nations Department of Economic and Social Affairs (UN DESA) (2025) Goal 3: ensure healthy lives and promote well-being for all at all ages. Available at: </w:t>
      </w:r>
      <w:hyperlink r:id="rId21" w:history="1">
        <w:r w:rsidRPr="00860EE9">
          <w:rPr>
            <w:rStyle w:val="Hyperlink"/>
            <w:rFonts w:ascii="Arial Nova" w:hAnsi="Arial Nova"/>
            <w:sz w:val="22"/>
            <w:szCs w:val="22"/>
          </w:rPr>
          <w:t>https://sdgs.un.org/goals/goal3</w:t>
        </w:r>
      </w:hyperlink>
      <w:r w:rsidRPr="00860EE9">
        <w:rPr>
          <w:rFonts w:ascii="Arial Nova" w:hAnsi="Arial Nova"/>
          <w:sz w:val="22"/>
          <w:szCs w:val="22"/>
        </w:rPr>
        <w:t xml:space="preserve"> (Accessed: 17 June 2026).</w:t>
      </w:r>
    </w:p>
    <w:p w14:paraId="6EEF6513" w14:textId="77777777" w:rsidR="008A02BC" w:rsidRPr="00860EE9" w:rsidRDefault="008A02BC" w:rsidP="008A02BC">
      <w:pPr>
        <w:spacing w:line="360" w:lineRule="auto"/>
        <w:rPr>
          <w:rFonts w:ascii="Arial Nova" w:hAnsi="Arial Nova"/>
          <w:sz w:val="22"/>
          <w:szCs w:val="22"/>
        </w:rPr>
      </w:pPr>
    </w:p>
    <w:p w14:paraId="37987763"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National Assembly for Wales (2015) Well-being of Future Generations (Wales) Act 2015. </w:t>
      </w:r>
      <w:proofErr w:type="spellStart"/>
      <w:r w:rsidRPr="00860EE9">
        <w:rPr>
          <w:rFonts w:ascii="Arial Nova" w:hAnsi="Arial Nova"/>
          <w:sz w:val="22"/>
          <w:szCs w:val="22"/>
        </w:rPr>
        <w:t>anaw</w:t>
      </w:r>
      <w:proofErr w:type="spellEnd"/>
      <w:r w:rsidRPr="00860EE9">
        <w:rPr>
          <w:rFonts w:ascii="Arial Nova" w:hAnsi="Arial Nova"/>
          <w:sz w:val="22"/>
          <w:szCs w:val="22"/>
        </w:rPr>
        <w:t xml:space="preserve"> 2. Available at: </w:t>
      </w:r>
      <w:hyperlink r:id="rId22" w:history="1">
        <w:r w:rsidRPr="00860EE9">
          <w:rPr>
            <w:rStyle w:val="Hyperlink"/>
            <w:rFonts w:ascii="Arial Nova" w:hAnsi="Arial Nova"/>
            <w:sz w:val="22"/>
            <w:szCs w:val="22"/>
          </w:rPr>
          <w:t>https://www.legislation.gov.uk/anaw/2015/2/contents</w:t>
        </w:r>
      </w:hyperlink>
      <w:r w:rsidRPr="00860EE9">
        <w:rPr>
          <w:rFonts w:ascii="Arial Nova" w:hAnsi="Arial Nova"/>
          <w:sz w:val="22"/>
          <w:szCs w:val="22"/>
        </w:rPr>
        <w:t xml:space="preserve"> (Accessed: 20 June 2026).</w:t>
      </w:r>
    </w:p>
    <w:p w14:paraId="5079F8ED" w14:textId="77777777" w:rsidR="00F20E47" w:rsidRPr="00860EE9" w:rsidRDefault="00F20E47" w:rsidP="008A02BC">
      <w:pPr>
        <w:spacing w:line="360" w:lineRule="auto"/>
        <w:rPr>
          <w:rFonts w:ascii="Arial Nova" w:hAnsi="Arial Nova"/>
          <w:sz w:val="22"/>
          <w:szCs w:val="22"/>
        </w:rPr>
      </w:pPr>
    </w:p>
    <w:p w14:paraId="6F28D79F"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Welsh Government (2024) Well-being of Future Generations (Wales) Act 2015: the essentials. Available at: </w:t>
      </w:r>
      <w:hyperlink r:id="rId23" w:history="1">
        <w:r w:rsidRPr="00860EE9">
          <w:rPr>
            <w:rStyle w:val="Hyperlink"/>
            <w:rFonts w:ascii="Arial Nova" w:hAnsi="Arial Nova"/>
            <w:sz w:val="22"/>
            <w:szCs w:val="22"/>
          </w:rPr>
          <w:t>https://www.gov.wales/well-being-future-generations-act-essentials-html</w:t>
        </w:r>
      </w:hyperlink>
      <w:r w:rsidRPr="00860EE9">
        <w:rPr>
          <w:rFonts w:ascii="Arial Nova" w:hAnsi="Arial Nova"/>
          <w:sz w:val="22"/>
          <w:szCs w:val="22"/>
        </w:rPr>
        <w:t xml:space="preserve"> (Accessed: 20 June 2026).</w:t>
      </w:r>
    </w:p>
    <w:p w14:paraId="77ECD50A" w14:textId="77777777" w:rsidR="008A02BC" w:rsidRPr="00860EE9" w:rsidRDefault="008A02BC" w:rsidP="008A02BC">
      <w:pPr>
        <w:spacing w:line="360" w:lineRule="auto"/>
        <w:rPr>
          <w:rFonts w:ascii="Arial Nova" w:hAnsi="Arial Nova"/>
          <w:sz w:val="22"/>
          <w:szCs w:val="22"/>
        </w:rPr>
      </w:pPr>
    </w:p>
    <w:p w14:paraId="0CE4D39E" w14:textId="77777777" w:rsidR="00B6489E" w:rsidRDefault="00B6489E" w:rsidP="008A02BC">
      <w:pPr>
        <w:spacing w:line="360" w:lineRule="auto"/>
        <w:rPr>
          <w:rFonts w:ascii="Arial Nova" w:hAnsi="Arial Nova"/>
          <w:sz w:val="22"/>
          <w:szCs w:val="22"/>
        </w:rPr>
      </w:pPr>
      <w:r w:rsidRPr="00860EE9">
        <w:rPr>
          <w:rFonts w:ascii="Arial Nova" w:hAnsi="Arial Nova"/>
          <w:sz w:val="22"/>
          <w:szCs w:val="22"/>
        </w:rPr>
        <w:t xml:space="preserve">World Health Organization (2023) World Health Statistics 2023: monitoring health for the SDGs. Available at: </w:t>
      </w:r>
      <w:hyperlink r:id="rId24" w:history="1">
        <w:r w:rsidRPr="00860EE9">
          <w:rPr>
            <w:rStyle w:val="Hyperlink"/>
            <w:rFonts w:ascii="Arial Nova" w:hAnsi="Arial Nova"/>
            <w:sz w:val="22"/>
            <w:szCs w:val="22"/>
          </w:rPr>
          <w:t>https://www.who.int/data/gho/data/themes/world-health-statistics</w:t>
        </w:r>
      </w:hyperlink>
      <w:r w:rsidRPr="00860EE9">
        <w:rPr>
          <w:rFonts w:ascii="Arial Nova" w:hAnsi="Arial Nova"/>
          <w:sz w:val="22"/>
          <w:szCs w:val="22"/>
        </w:rPr>
        <w:t xml:space="preserve"> (Accessed: 16 June 2026).</w:t>
      </w:r>
    </w:p>
    <w:p w14:paraId="01E1561E" w14:textId="77777777" w:rsidR="008A02BC" w:rsidRPr="00860EE9" w:rsidRDefault="008A02BC" w:rsidP="008A02BC">
      <w:pPr>
        <w:spacing w:line="360" w:lineRule="auto"/>
        <w:rPr>
          <w:rFonts w:ascii="Arial Nova" w:hAnsi="Arial Nova"/>
          <w:sz w:val="22"/>
          <w:szCs w:val="22"/>
        </w:rPr>
      </w:pPr>
    </w:p>
    <w:p w14:paraId="41971AC2" w14:textId="114E72A1" w:rsidR="00B6489E" w:rsidRPr="00860EE9" w:rsidRDefault="00B6489E" w:rsidP="008A02BC">
      <w:pPr>
        <w:spacing w:line="360" w:lineRule="auto"/>
        <w:rPr>
          <w:rFonts w:ascii="Arial Nova" w:hAnsi="Arial Nova"/>
          <w:sz w:val="22"/>
          <w:szCs w:val="22"/>
        </w:rPr>
      </w:pPr>
      <w:r w:rsidRPr="00860EE9">
        <w:rPr>
          <w:rFonts w:ascii="Arial Nova" w:hAnsi="Arial Nova"/>
          <w:sz w:val="22"/>
          <w:szCs w:val="22"/>
        </w:rPr>
        <w:t xml:space="preserve">World Health Organization (2023) Climate change and health. Available at: </w:t>
      </w:r>
      <w:hyperlink r:id="rId25" w:history="1">
        <w:r w:rsidRPr="00860EE9">
          <w:rPr>
            <w:rStyle w:val="Hyperlink"/>
            <w:rFonts w:ascii="Arial Nova" w:hAnsi="Arial Nova"/>
            <w:sz w:val="22"/>
            <w:szCs w:val="22"/>
          </w:rPr>
          <w:t>https://www.who.int/news-room/fact-sheets/detail/climate-change-and-health</w:t>
        </w:r>
      </w:hyperlink>
      <w:r w:rsidRPr="00860EE9">
        <w:rPr>
          <w:rFonts w:ascii="Arial Nova" w:hAnsi="Arial Nova"/>
          <w:sz w:val="22"/>
          <w:szCs w:val="22"/>
        </w:rPr>
        <w:t xml:space="preserve"> (Accessed: 21 June 2026)</w:t>
      </w:r>
      <w:r w:rsidRPr="00860EE9">
        <w:rPr>
          <w:rFonts w:ascii="Arial Nova" w:hAnsi="Arial Nova"/>
          <w:sz w:val="22"/>
          <w:szCs w:val="22"/>
        </w:rPr>
        <w:t>.</w:t>
      </w:r>
    </w:p>
    <w:p w14:paraId="5CEA4D75" w14:textId="77777777" w:rsidR="00B6489E" w:rsidRPr="00860EE9" w:rsidRDefault="00B6489E" w:rsidP="008A02BC">
      <w:pPr>
        <w:spacing w:line="360" w:lineRule="auto"/>
        <w:rPr>
          <w:rFonts w:ascii="Arial Nova" w:hAnsi="Arial Nova"/>
          <w:sz w:val="22"/>
          <w:szCs w:val="22"/>
        </w:rPr>
      </w:pPr>
    </w:p>
    <w:p w14:paraId="23AA5833" w14:textId="77777777" w:rsidR="00B6489E" w:rsidRPr="00860EE9" w:rsidRDefault="00B6489E" w:rsidP="008A02BC">
      <w:pPr>
        <w:spacing w:line="360" w:lineRule="auto"/>
        <w:rPr>
          <w:rFonts w:ascii="Arial Nova" w:hAnsi="Arial Nova"/>
          <w:sz w:val="22"/>
          <w:szCs w:val="22"/>
        </w:rPr>
      </w:pPr>
    </w:p>
    <w:p w14:paraId="59065612" w14:textId="77777777" w:rsidR="00B6489E" w:rsidRPr="00860EE9" w:rsidRDefault="00B6489E" w:rsidP="008A02BC">
      <w:pPr>
        <w:spacing w:line="360" w:lineRule="auto"/>
        <w:rPr>
          <w:rFonts w:ascii="Arial Nova" w:hAnsi="Arial Nova"/>
          <w:sz w:val="22"/>
          <w:szCs w:val="22"/>
        </w:rPr>
      </w:pPr>
    </w:p>
    <w:p w14:paraId="6320DD8F" w14:textId="77777777" w:rsidR="00B6489E" w:rsidRPr="00860EE9" w:rsidRDefault="00B6489E" w:rsidP="008A02BC">
      <w:pPr>
        <w:spacing w:line="360" w:lineRule="auto"/>
        <w:rPr>
          <w:rFonts w:ascii="Arial Nova" w:hAnsi="Arial Nova"/>
          <w:sz w:val="22"/>
          <w:szCs w:val="22"/>
        </w:rPr>
      </w:pPr>
    </w:p>
    <w:p w14:paraId="7EE09BCD" w14:textId="77777777" w:rsidR="00B6489E" w:rsidRPr="00860EE9" w:rsidRDefault="00B6489E" w:rsidP="008A02BC">
      <w:pPr>
        <w:spacing w:line="360" w:lineRule="auto"/>
        <w:rPr>
          <w:rFonts w:ascii="Arial Nova" w:hAnsi="Arial Nova"/>
          <w:sz w:val="22"/>
          <w:szCs w:val="22"/>
        </w:rPr>
      </w:pPr>
    </w:p>
    <w:p w14:paraId="09C5F40C" w14:textId="77777777" w:rsidR="00B6489E" w:rsidRPr="00860EE9" w:rsidRDefault="00B6489E" w:rsidP="008A02BC">
      <w:pPr>
        <w:spacing w:line="360" w:lineRule="auto"/>
        <w:rPr>
          <w:rFonts w:ascii="Arial Nova" w:hAnsi="Arial Nova"/>
          <w:sz w:val="22"/>
          <w:szCs w:val="22"/>
        </w:rPr>
      </w:pPr>
    </w:p>
    <w:p w14:paraId="0A302B7B" w14:textId="77777777" w:rsidR="00B6489E" w:rsidRPr="00860EE9" w:rsidRDefault="00B6489E" w:rsidP="008A02BC">
      <w:pPr>
        <w:spacing w:line="360" w:lineRule="auto"/>
        <w:rPr>
          <w:rFonts w:ascii="Arial Nova" w:hAnsi="Arial Nova"/>
          <w:sz w:val="22"/>
          <w:szCs w:val="22"/>
        </w:rPr>
      </w:pPr>
    </w:p>
    <w:p w14:paraId="7500CD38" w14:textId="77777777" w:rsidR="00B6489E" w:rsidRPr="00860EE9" w:rsidRDefault="00B6489E" w:rsidP="008A02BC">
      <w:pPr>
        <w:spacing w:line="360" w:lineRule="auto"/>
        <w:rPr>
          <w:rFonts w:ascii="Arial Nova" w:hAnsi="Arial Nova"/>
          <w:sz w:val="22"/>
          <w:szCs w:val="22"/>
        </w:rPr>
      </w:pPr>
    </w:p>
    <w:p w14:paraId="3ACDDEBF" w14:textId="77777777" w:rsidR="00B6489E" w:rsidRPr="00860EE9" w:rsidRDefault="00B6489E" w:rsidP="00561B31">
      <w:pPr>
        <w:spacing w:line="360" w:lineRule="auto"/>
        <w:rPr>
          <w:rFonts w:ascii="Arial Nova" w:hAnsi="Arial Nova"/>
          <w:sz w:val="22"/>
          <w:szCs w:val="22"/>
        </w:rPr>
      </w:pPr>
    </w:p>
    <w:p w14:paraId="06E7138A" w14:textId="77777777" w:rsidR="00B6489E" w:rsidRPr="00860EE9" w:rsidRDefault="00B6489E" w:rsidP="00561B31">
      <w:pPr>
        <w:spacing w:line="360" w:lineRule="auto"/>
        <w:rPr>
          <w:rFonts w:ascii="Arial Nova" w:hAnsi="Arial Nova"/>
          <w:sz w:val="22"/>
          <w:szCs w:val="22"/>
        </w:rPr>
      </w:pPr>
    </w:p>
    <w:p w14:paraId="48C2515B" w14:textId="77777777" w:rsidR="00641710" w:rsidRPr="00860EE9" w:rsidRDefault="00641710" w:rsidP="00561B31">
      <w:pPr>
        <w:spacing w:after="240" w:line="360" w:lineRule="auto"/>
        <w:rPr>
          <w:rFonts w:ascii="Arial Nova" w:hAnsi="Arial Nova"/>
          <w:sz w:val="22"/>
          <w:szCs w:val="22"/>
        </w:rPr>
      </w:pPr>
    </w:p>
    <w:p w14:paraId="02D8F2BD" w14:textId="77777777" w:rsidR="003C2DEE" w:rsidRPr="00860EE9" w:rsidRDefault="003C2DEE" w:rsidP="00561B31">
      <w:pPr>
        <w:spacing w:after="1200" w:line="360" w:lineRule="auto"/>
        <w:rPr>
          <w:rFonts w:ascii="Arial Nova" w:hAnsi="Arial Nova"/>
          <w:sz w:val="22"/>
          <w:szCs w:val="22"/>
        </w:rPr>
      </w:pPr>
    </w:p>
    <w:p w14:paraId="23E6CC07" w14:textId="77777777" w:rsidR="00286390" w:rsidRPr="00860EE9" w:rsidRDefault="00286390" w:rsidP="00561B31">
      <w:pPr>
        <w:spacing w:after="1200" w:line="360" w:lineRule="auto"/>
        <w:rPr>
          <w:rFonts w:ascii="Arial Nova" w:hAnsi="Arial Nova"/>
          <w:sz w:val="22"/>
          <w:szCs w:val="22"/>
        </w:rPr>
      </w:pPr>
    </w:p>
    <w:p w14:paraId="78485820" w14:textId="77777777" w:rsidR="006A3510" w:rsidRPr="00860EE9" w:rsidRDefault="006A3510" w:rsidP="00561B31">
      <w:pPr>
        <w:spacing w:after="1200" w:line="360" w:lineRule="auto"/>
        <w:rPr>
          <w:rFonts w:ascii="Arial Nova" w:hAnsi="Arial Nova"/>
          <w:sz w:val="22"/>
          <w:szCs w:val="22"/>
        </w:rPr>
      </w:pPr>
    </w:p>
    <w:p w14:paraId="6A0A853D" w14:textId="77777777" w:rsidR="006A3510" w:rsidRPr="00860EE9" w:rsidRDefault="006A3510" w:rsidP="00561B31">
      <w:pPr>
        <w:spacing w:after="1200" w:line="360" w:lineRule="auto"/>
        <w:rPr>
          <w:rFonts w:ascii="Arial Nova" w:hAnsi="Arial Nova"/>
          <w:b/>
          <w:bCs/>
          <w:sz w:val="22"/>
          <w:szCs w:val="22"/>
          <w:u w:val="single"/>
        </w:rPr>
      </w:pPr>
    </w:p>
    <w:p w14:paraId="4EC7E583" w14:textId="77777777" w:rsidR="00D82141" w:rsidRPr="00860EE9" w:rsidRDefault="00D82141" w:rsidP="00561B31">
      <w:pPr>
        <w:spacing w:after="1200" w:line="360" w:lineRule="auto"/>
        <w:rPr>
          <w:rFonts w:ascii="Arial Nova" w:hAnsi="Arial Nova"/>
          <w:sz w:val="22"/>
          <w:szCs w:val="22"/>
        </w:rPr>
      </w:pPr>
    </w:p>
    <w:p w14:paraId="44E4B2E9" w14:textId="77777777" w:rsidR="00D82141" w:rsidRPr="00860EE9" w:rsidRDefault="00D82141" w:rsidP="00561B31">
      <w:pPr>
        <w:spacing w:after="1200" w:line="360" w:lineRule="auto"/>
        <w:rPr>
          <w:rFonts w:ascii="Arial Nova" w:hAnsi="Arial Nova"/>
          <w:b/>
          <w:bCs/>
          <w:sz w:val="22"/>
          <w:szCs w:val="22"/>
          <w:u w:val="single"/>
        </w:rPr>
      </w:pPr>
    </w:p>
    <w:p w14:paraId="5AF27E52" w14:textId="77777777" w:rsidR="00B2152E" w:rsidRPr="00426D71" w:rsidRDefault="00B2152E" w:rsidP="00426D71">
      <w:pPr>
        <w:jc w:val="both"/>
        <w:rPr>
          <w:rFonts w:ascii="Arial Nova" w:hAnsi="Arial Nova"/>
        </w:rPr>
      </w:pPr>
    </w:p>
    <w:sectPr w:rsidR="00B2152E" w:rsidRPr="00426D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71"/>
    <w:rsid w:val="00020FEF"/>
    <w:rsid w:val="00024204"/>
    <w:rsid w:val="00024382"/>
    <w:rsid w:val="000330A0"/>
    <w:rsid w:val="000437E9"/>
    <w:rsid w:val="000551F0"/>
    <w:rsid w:val="00061E6A"/>
    <w:rsid w:val="00084937"/>
    <w:rsid w:val="00095B9B"/>
    <w:rsid w:val="000A7524"/>
    <w:rsid w:val="000D3EBF"/>
    <w:rsid w:val="000E28C6"/>
    <w:rsid w:val="00131C54"/>
    <w:rsid w:val="00183BAD"/>
    <w:rsid w:val="001A2C8E"/>
    <w:rsid w:val="00245B71"/>
    <w:rsid w:val="00286390"/>
    <w:rsid w:val="002C1FCD"/>
    <w:rsid w:val="002F281C"/>
    <w:rsid w:val="0030738E"/>
    <w:rsid w:val="003208CC"/>
    <w:rsid w:val="00334674"/>
    <w:rsid w:val="003438E1"/>
    <w:rsid w:val="00351F5E"/>
    <w:rsid w:val="003A480F"/>
    <w:rsid w:val="003A6063"/>
    <w:rsid w:val="003C2DEE"/>
    <w:rsid w:val="003F3CBF"/>
    <w:rsid w:val="0040353D"/>
    <w:rsid w:val="00415F0C"/>
    <w:rsid w:val="00421BDD"/>
    <w:rsid w:val="00426D71"/>
    <w:rsid w:val="004450E2"/>
    <w:rsid w:val="004F5655"/>
    <w:rsid w:val="00561B31"/>
    <w:rsid w:val="005658FD"/>
    <w:rsid w:val="00595A09"/>
    <w:rsid w:val="005B0ECC"/>
    <w:rsid w:val="0060013D"/>
    <w:rsid w:val="00601ADE"/>
    <w:rsid w:val="006068BA"/>
    <w:rsid w:val="00624A0B"/>
    <w:rsid w:val="00627AD2"/>
    <w:rsid w:val="00641710"/>
    <w:rsid w:val="006A3510"/>
    <w:rsid w:val="006A491E"/>
    <w:rsid w:val="006F6DE8"/>
    <w:rsid w:val="007079BE"/>
    <w:rsid w:val="00731BCE"/>
    <w:rsid w:val="00784E0A"/>
    <w:rsid w:val="00812FF5"/>
    <w:rsid w:val="008534EF"/>
    <w:rsid w:val="00853BBF"/>
    <w:rsid w:val="00860EE9"/>
    <w:rsid w:val="00864C44"/>
    <w:rsid w:val="00871F88"/>
    <w:rsid w:val="00877C76"/>
    <w:rsid w:val="008A02BC"/>
    <w:rsid w:val="008C24A8"/>
    <w:rsid w:val="008C696B"/>
    <w:rsid w:val="008C72EE"/>
    <w:rsid w:val="008D18B5"/>
    <w:rsid w:val="008F0945"/>
    <w:rsid w:val="008F09D1"/>
    <w:rsid w:val="009201E7"/>
    <w:rsid w:val="00967D3F"/>
    <w:rsid w:val="00980173"/>
    <w:rsid w:val="009F1151"/>
    <w:rsid w:val="00A00A34"/>
    <w:rsid w:val="00A54E04"/>
    <w:rsid w:val="00A57B50"/>
    <w:rsid w:val="00A875B2"/>
    <w:rsid w:val="00A967D0"/>
    <w:rsid w:val="00B2152E"/>
    <w:rsid w:val="00B6489E"/>
    <w:rsid w:val="00B769B1"/>
    <w:rsid w:val="00BA1D6C"/>
    <w:rsid w:val="00BD7837"/>
    <w:rsid w:val="00C160B8"/>
    <w:rsid w:val="00C162DC"/>
    <w:rsid w:val="00C31EDF"/>
    <w:rsid w:val="00C54347"/>
    <w:rsid w:val="00C64AAF"/>
    <w:rsid w:val="00C752E6"/>
    <w:rsid w:val="00C77AFE"/>
    <w:rsid w:val="00CC6A75"/>
    <w:rsid w:val="00CE0410"/>
    <w:rsid w:val="00CE4C61"/>
    <w:rsid w:val="00D07464"/>
    <w:rsid w:val="00D82141"/>
    <w:rsid w:val="00D947BF"/>
    <w:rsid w:val="00DA6B2C"/>
    <w:rsid w:val="00E0462E"/>
    <w:rsid w:val="00E10B22"/>
    <w:rsid w:val="00E55EF6"/>
    <w:rsid w:val="00ED304D"/>
    <w:rsid w:val="00F00520"/>
    <w:rsid w:val="00F20E47"/>
    <w:rsid w:val="00F4416E"/>
    <w:rsid w:val="00FB27BB"/>
    <w:rsid w:val="00FD4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E731"/>
  <w15:chartTrackingRefBased/>
  <w15:docId w15:val="{60EDCC86-C14B-471E-B496-197BDB8A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D71"/>
    <w:pPr>
      <w:spacing w:after="0" w:line="240" w:lineRule="auto"/>
    </w:pPr>
    <w:rPr>
      <w:rFonts w:ascii="Calibri" w:eastAsia="Calibri" w:hAnsi="Calibri" w:cs="Calibri"/>
      <w:kern w:val="0"/>
      <w:sz w:val="24"/>
      <w:szCs w:val="24"/>
      <w:lang w:val="en-GB"/>
      <w14:ligatures w14:val="none"/>
    </w:rPr>
  </w:style>
  <w:style w:type="paragraph" w:styleId="Heading1">
    <w:name w:val="heading 1"/>
    <w:basedOn w:val="Normal"/>
    <w:next w:val="Normal"/>
    <w:link w:val="Heading1Char"/>
    <w:uiPriority w:val="9"/>
    <w:qFormat/>
    <w:rsid w:val="00426D7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D7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D7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D7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426D7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426D7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426D7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426D71"/>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426D71"/>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D7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26D7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26D7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26D7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26D7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26D7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26D7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26D7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26D7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26D7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D7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26D7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D7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26D71"/>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426D71"/>
    <w:rPr>
      <w:i/>
      <w:iCs/>
      <w:color w:val="404040" w:themeColor="text1" w:themeTint="BF"/>
      <w:lang w:val="en-GB"/>
    </w:rPr>
  </w:style>
  <w:style w:type="paragraph" w:styleId="ListParagraph">
    <w:name w:val="List Paragraph"/>
    <w:basedOn w:val="Normal"/>
    <w:uiPriority w:val="34"/>
    <w:qFormat/>
    <w:rsid w:val="00426D71"/>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426D71"/>
    <w:rPr>
      <w:i/>
      <w:iCs/>
      <w:color w:val="0F4761" w:themeColor="accent1" w:themeShade="BF"/>
    </w:rPr>
  </w:style>
  <w:style w:type="paragraph" w:styleId="IntenseQuote">
    <w:name w:val="Intense Quote"/>
    <w:basedOn w:val="Normal"/>
    <w:next w:val="Normal"/>
    <w:link w:val="IntenseQuoteChar"/>
    <w:uiPriority w:val="30"/>
    <w:qFormat/>
    <w:rsid w:val="00426D7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426D71"/>
    <w:rPr>
      <w:i/>
      <w:iCs/>
      <w:color w:val="0F4761" w:themeColor="accent1" w:themeShade="BF"/>
      <w:lang w:val="en-GB"/>
    </w:rPr>
  </w:style>
  <w:style w:type="character" w:styleId="IntenseReference">
    <w:name w:val="Intense Reference"/>
    <w:basedOn w:val="DefaultParagraphFont"/>
    <w:uiPriority w:val="32"/>
    <w:qFormat/>
    <w:rsid w:val="00426D71"/>
    <w:rPr>
      <w:b/>
      <w:bCs/>
      <w:smallCaps/>
      <w:color w:val="0F4761" w:themeColor="accent1" w:themeShade="BF"/>
      <w:spacing w:val="5"/>
    </w:rPr>
  </w:style>
  <w:style w:type="character" w:styleId="Hyperlink">
    <w:name w:val="Hyperlink"/>
    <w:basedOn w:val="DefaultParagraphFont"/>
    <w:uiPriority w:val="99"/>
    <w:unhideWhenUsed/>
    <w:rsid w:val="00B648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policy-watch.news/cop28-health-and-climate-declaration/" TargetMode="External"/><Relationship Id="rId13" Type="http://schemas.openxmlformats.org/officeDocument/2006/relationships/hyperlink" Target="https://www.england.nhs.uk/greenernhs/publication/delivering-a-net-zero-national-health-service/" TargetMode="External"/><Relationship Id="rId18" Type="http://schemas.openxmlformats.org/officeDocument/2006/relationships/hyperlink" Target="https://ukhealthalliance.org/news-item/nhs-englands-five-year-report-on-net-zero-brings-welcome-progress-but-much-more-needs-to-be-don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sdgs.un.org/goals/goal3" TargetMode="External"/><Relationship Id="rId7" Type="http://schemas.openxmlformats.org/officeDocument/2006/relationships/hyperlink" Target="https://climateandhealthalliance.org/press-releases/health-ngo-reacts-to-signing-of-cop28-declaration-on-climate-and-health-by-over-120-countries/" TargetMode="External"/><Relationship Id="rId12" Type="http://schemas.openxmlformats.org/officeDocument/2006/relationships/hyperlink" Target="https://webarchive.nationalarchives.gov.uk/ukgwa/20250506042016/https:/www.longtermplan.nhs.uk/publication/nhs-long-term-plan/" TargetMode="External"/><Relationship Id="rId17" Type="http://schemas.openxmlformats.org/officeDocument/2006/relationships/hyperlink" Target="https://sdg.iisd.org/news/sdg-3-ensure-healthy-lives-and-promote-well-being-for-all-at-all-ages/" TargetMode="External"/><Relationship Id="rId25" Type="http://schemas.openxmlformats.org/officeDocument/2006/relationships/hyperlink" Target="https://www.who.int/news-room/fact-sheets/detail/climate-change-and-health" TargetMode="External"/><Relationship Id="rId2" Type="http://schemas.openxmlformats.org/officeDocument/2006/relationships/settings" Target="settings.xml"/><Relationship Id="rId16" Type="http://schemas.openxmlformats.org/officeDocument/2006/relationships/hyperlink" Target="https://www.oecd.org/en/publications/well-being-knowledge-exchange-platform-kep_93d45d63-en/the-future-generations-act-and-future-generations-commissioner-for-wales_7b2a0e8c-en.html" TargetMode="External"/><Relationship Id="rId20" Type="http://schemas.openxmlformats.org/officeDocument/2006/relationships/hyperlink" Target="https://unstats.un.org/sdgs/report/2025/" TargetMode="External"/><Relationship Id="rId1" Type="http://schemas.openxmlformats.org/officeDocument/2006/relationships/styles" Target="styles.xml"/><Relationship Id="rId6" Type="http://schemas.openxmlformats.org/officeDocument/2006/relationships/hyperlink" Target="https://pmc.ncbi.nlm.nih.gov/articles/PMC12506202/" TargetMode="External"/><Relationship Id="rId11" Type="http://schemas.openxmlformats.org/officeDocument/2006/relationships/hyperlink" Target="https://www.longtermplan.nhs.uk/" TargetMode="External"/><Relationship Id="rId24" Type="http://schemas.openxmlformats.org/officeDocument/2006/relationships/hyperlink" Target="https://www.who.int/data/gho/data/themes/world-health-statistics" TargetMode="External"/><Relationship Id="rId5" Type="http://schemas.openxmlformats.org/officeDocument/2006/relationships/hyperlink" Target="https://climate-adapt.eea.europa.eu/en/observatory/news-archive-observatory/more-than-120-countries-endorse-cop28-health-and-climate-declaration" TargetMode="External"/><Relationship Id="rId15" Type="http://schemas.openxmlformats.org/officeDocument/2006/relationships/hyperlink" Target="https://www.england.nhs.uk/long-read/progress-report-delivering-a-greener-nhs-five-years-on/" TargetMode="External"/><Relationship Id="rId23" Type="http://schemas.openxmlformats.org/officeDocument/2006/relationships/hyperlink" Target="https://www.gov.wales/well-being-future-generations-act-essentials-html" TargetMode="External"/><Relationship Id="rId10" Type="http://schemas.openxmlformats.org/officeDocument/2006/relationships/hyperlink" Target="https://www.kingsfund.org.uk/insight-and-analysis/blogs/carbon-net-zero-2040-is-nhs-on-track" TargetMode="External"/><Relationship Id="rId19" Type="http://schemas.openxmlformats.org/officeDocument/2006/relationships/hyperlink" Target="https://www.un.org/en/development/desa/population/migration/generalassembly/docs/globalcompact/A_RES_70_1_E.pdf" TargetMode="External"/><Relationship Id="rId4" Type="http://schemas.openxmlformats.org/officeDocument/2006/relationships/hyperlink" Target="https://climahealth.info/cop28-hub/" TargetMode="External"/><Relationship Id="rId9" Type="http://schemas.openxmlformats.org/officeDocument/2006/relationships/hyperlink" Target="https://www.kingsfund.org.uk/insight-and-analysis/long-reads/tackling-health-inequalities-seven-priorities-nhs" TargetMode="External"/><Relationship Id="rId14" Type="http://schemas.openxmlformats.org/officeDocument/2006/relationships/hyperlink" Target="https://www.england.nhs.uk/about/equality/equality-hub/national-healthcare-inequalities-improvement-programme/our-approach-to-reducing-healthcare-inequalities/" TargetMode="External"/><Relationship Id="rId22" Type="http://schemas.openxmlformats.org/officeDocument/2006/relationships/hyperlink" Target="https://www.legislation.gov.uk/anaw/2015/2/cont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13</Pages>
  <Words>3605</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Starczewska (2312239)</dc:creator>
  <cp:keywords/>
  <dc:description/>
  <cp:lastModifiedBy>Kinga Starczewska (2312239)</cp:lastModifiedBy>
  <cp:revision>90</cp:revision>
  <dcterms:created xsi:type="dcterms:W3CDTF">2026-07-02T16:43:00Z</dcterms:created>
  <dcterms:modified xsi:type="dcterms:W3CDTF">2026-07-11T08:26:00Z</dcterms:modified>
</cp:coreProperties>
</file>