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0723D" w14:textId="3350EDB0" w:rsidR="00934D4A" w:rsidRPr="00465FA8" w:rsidRDefault="00632412">
      <w:pPr>
        <w:rPr>
          <w:rFonts w:cstheme="minorHAnsi"/>
          <w:b/>
          <w:bCs/>
        </w:rPr>
      </w:pPr>
      <w:r w:rsidRPr="00465FA8">
        <w:rPr>
          <w:rFonts w:cstheme="minorHAnsi"/>
          <w:b/>
          <w:bCs/>
        </w:rPr>
        <w:t>Do museums respond effectively to the challenge of their diverse audiences?</w:t>
      </w:r>
    </w:p>
    <w:p w14:paraId="42BB4F68" w14:textId="49109BCC" w:rsidR="00632412" w:rsidRPr="00465FA8" w:rsidRDefault="00632412" w:rsidP="00E91D2A">
      <w:pPr>
        <w:spacing w:line="480" w:lineRule="auto"/>
        <w:rPr>
          <w:rFonts w:cstheme="minorHAnsi"/>
        </w:rPr>
      </w:pPr>
      <w:r w:rsidRPr="00465FA8">
        <w:rPr>
          <w:rFonts w:cstheme="minorHAnsi"/>
        </w:rPr>
        <w:t>Audience development plays a big role in museum sector discussion, and the question of the rapidly diversifying population is a large part of this. As described by the Museums Association (MA), ‘without people museums are just storage warehouses’ (2020a, p. 4) – it is the audience that makes the museum, more so than its collection</w:t>
      </w:r>
      <w:r w:rsidR="001236F6" w:rsidRPr="00465FA8">
        <w:rPr>
          <w:rFonts w:cstheme="minorHAnsi"/>
        </w:rPr>
        <w:t xml:space="preserve">, so </w:t>
      </w:r>
      <w:r w:rsidR="00E823EA" w:rsidRPr="00465FA8">
        <w:rPr>
          <w:rFonts w:cstheme="minorHAnsi"/>
        </w:rPr>
        <w:t>reacting</w:t>
      </w:r>
      <w:r w:rsidR="001236F6" w:rsidRPr="00465FA8">
        <w:rPr>
          <w:rFonts w:cstheme="minorHAnsi"/>
        </w:rPr>
        <w:t xml:space="preserve"> to changes in population or audience is vital</w:t>
      </w:r>
      <w:r w:rsidRPr="00465FA8">
        <w:rPr>
          <w:rFonts w:cstheme="minorHAnsi"/>
        </w:rPr>
        <w:t xml:space="preserve">. </w:t>
      </w:r>
      <w:r w:rsidR="001236F6" w:rsidRPr="00465FA8">
        <w:rPr>
          <w:rFonts w:cstheme="minorHAnsi"/>
        </w:rPr>
        <w:t>How museums respond to these challenges varies, although the essay will cover both the internal and external work done by museums in response to their audience.</w:t>
      </w:r>
    </w:p>
    <w:p w14:paraId="1D1FF447" w14:textId="7F815014" w:rsidR="00632412" w:rsidRPr="00465FA8" w:rsidRDefault="00632412" w:rsidP="00E91D2A">
      <w:pPr>
        <w:spacing w:line="480" w:lineRule="auto"/>
        <w:rPr>
          <w:rFonts w:cstheme="minorHAnsi"/>
        </w:rPr>
      </w:pPr>
      <w:r w:rsidRPr="00465FA8">
        <w:rPr>
          <w:rFonts w:cstheme="minorHAnsi"/>
        </w:rPr>
        <w:t xml:space="preserve">First, necessary definitions will be discussed, </w:t>
      </w:r>
      <w:r w:rsidR="001236F6" w:rsidRPr="00465FA8">
        <w:rPr>
          <w:rFonts w:cstheme="minorHAnsi"/>
        </w:rPr>
        <w:t>as many of the terms within audience and inclusion work are used interchang</w:t>
      </w:r>
      <w:r w:rsidR="00E823EA" w:rsidRPr="00465FA8">
        <w:rPr>
          <w:rFonts w:cstheme="minorHAnsi"/>
        </w:rPr>
        <w:t>e</w:t>
      </w:r>
      <w:r w:rsidR="001236F6" w:rsidRPr="00465FA8">
        <w:rPr>
          <w:rFonts w:cstheme="minorHAnsi"/>
        </w:rPr>
        <w:t>ably</w:t>
      </w:r>
      <w:r w:rsidRPr="00465FA8">
        <w:rPr>
          <w:rFonts w:cstheme="minorHAnsi"/>
        </w:rPr>
        <w:t>. The focus will then be on the guidelines and manifestos produced by the sector, as organisations attempt to support museums in this development. First, external development will be considered –</w:t>
      </w:r>
      <w:r w:rsidR="001236F6" w:rsidRPr="00465FA8">
        <w:rPr>
          <w:rFonts w:cstheme="minorHAnsi"/>
        </w:rPr>
        <w:t xml:space="preserve"> </w:t>
      </w:r>
      <w:r w:rsidRPr="00465FA8">
        <w:rPr>
          <w:rFonts w:cstheme="minorHAnsi"/>
        </w:rPr>
        <w:t xml:space="preserve">through outreach and activism, and then through the democratisation of collections. Second, internal change will be discussed, with </w:t>
      </w:r>
      <w:r w:rsidR="00E823EA" w:rsidRPr="00465FA8">
        <w:rPr>
          <w:rFonts w:cstheme="minorHAnsi"/>
        </w:rPr>
        <w:t xml:space="preserve">a </w:t>
      </w:r>
      <w:r w:rsidRPr="00465FA8">
        <w:rPr>
          <w:rFonts w:cstheme="minorHAnsi"/>
        </w:rPr>
        <w:t>focus on the importance of radical re-evaluation of practices within an institution, particularly hiring practice</w:t>
      </w:r>
      <w:r w:rsidR="00E823EA" w:rsidRPr="00465FA8">
        <w:rPr>
          <w:rFonts w:cstheme="minorHAnsi"/>
        </w:rPr>
        <w:t>s</w:t>
      </w:r>
      <w:r w:rsidRPr="00465FA8">
        <w:rPr>
          <w:rFonts w:cstheme="minorHAnsi"/>
        </w:rPr>
        <w:t>.</w:t>
      </w:r>
    </w:p>
    <w:p w14:paraId="387120E0" w14:textId="3E7955C1" w:rsidR="00632412" w:rsidRPr="00465FA8" w:rsidRDefault="00EB5BB3" w:rsidP="00E91D2A">
      <w:pPr>
        <w:spacing w:line="480" w:lineRule="auto"/>
        <w:rPr>
          <w:rFonts w:cstheme="minorHAnsi"/>
        </w:rPr>
      </w:pPr>
      <w:r>
        <w:rPr>
          <w:rFonts w:cstheme="minorHAnsi"/>
        </w:rPr>
        <w:t>Most</w:t>
      </w:r>
      <w:r w:rsidR="00632412" w:rsidRPr="00465FA8">
        <w:rPr>
          <w:rFonts w:cstheme="minorHAnsi"/>
        </w:rPr>
        <w:t xml:space="preserve"> guidelines</w:t>
      </w:r>
      <w:r>
        <w:rPr>
          <w:rFonts w:cstheme="minorHAnsi"/>
        </w:rPr>
        <w:t xml:space="preserve"> have been taken</w:t>
      </w:r>
      <w:r w:rsidR="00632412" w:rsidRPr="00465FA8">
        <w:rPr>
          <w:rFonts w:cstheme="minorHAnsi"/>
        </w:rPr>
        <w:t xml:space="preserve"> from the Museums Association, with examples of work coming from UK museums. These examples will be used to further explain suggested developments, rather than being case studies. This is because the concept of a </w:t>
      </w:r>
      <w:r w:rsidR="00632412" w:rsidRPr="00465FA8">
        <w:rPr>
          <w:rFonts w:cstheme="minorHAnsi"/>
          <w:i/>
          <w:iCs/>
        </w:rPr>
        <w:t>museum</w:t>
      </w:r>
      <w:r w:rsidR="00632412" w:rsidRPr="00465FA8">
        <w:rPr>
          <w:rFonts w:cstheme="minorHAnsi"/>
        </w:rPr>
        <w:t xml:space="preserve"> is incredible board, defined as follows:</w:t>
      </w:r>
    </w:p>
    <w:p w14:paraId="48579FA8" w14:textId="6852F0D2" w:rsidR="00632412" w:rsidRPr="00465FA8" w:rsidRDefault="00632412" w:rsidP="00EB5BB3">
      <w:pPr>
        <w:ind w:left="720"/>
        <w:rPr>
          <w:rFonts w:cstheme="minorHAnsi"/>
        </w:rPr>
      </w:pPr>
      <w:r w:rsidRPr="00465FA8">
        <w:rPr>
          <w:rFonts w:cstheme="minorHAnsi"/>
        </w:rPr>
        <w:t xml:space="preserve">A museum is a not-for-profit, permanent institution in the service of society that researches, collects, conserves, interprets and exhibits tangible and intangible heritage. Open to the public, accessible and inclusive, museums foster diversity and sustainability. They operate and communicate ethically, professionally and with the participation of communities, offering varied experiences for education, enjoyment, </w:t>
      </w:r>
      <w:proofErr w:type="gramStart"/>
      <w:r w:rsidRPr="00465FA8">
        <w:rPr>
          <w:rFonts w:cstheme="minorHAnsi"/>
        </w:rPr>
        <w:t>reflection</w:t>
      </w:r>
      <w:proofErr w:type="gramEnd"/>
      <w:r w:rsidRPr="00465FA8">
        <w:rPr>
          <w:rFonts w:cstheme="minorHAnsi"/>
        </w:rPr>
        <w:t xml:space="preserve"> and knowledge sharing.</w:t>
      </w:r>
      <w:r w:rsidR="00EB5BB3">
        <w:rPr>
          <w:rFonts w:cstheme="minorHAnsi"/>
        </w:rPr>
        <w:t xml:space="preserve"> </w:t>
      </w:r>
      <w:proofErr w:type="gramStart"/>
      <w:r w:rsidR="00EB5BB3">
        <w:rPr>
          <w:rFonts w:cstheme="minorHAnsi"/>
        </w:rPr>
        <w:t xml:space="preserve">( </w:t>
      </w:r>
      <w:r w:rsidRPr="00465FA8">
        <w:rPr>
          <w:rFonts w:cstheme="minorHAnsi"/>
        </w:rPr>
        <w:t>International</w:t>
      </w:r>
      <w:proofErr w:type="gramEnd"/>
      <w:r w:rsidRPr="00465FA8">
        <w:rPr>
          <w:rFonts w:cstheme="minorHAnsi"/>
        </w:rPr>
        <w:t xml:space="preserve"> Council of Museums (ICOM), 2022</w:t>
      </w:r>
      <w:r w:rsidR="00EB5BB3">
        <w:rPr>
          <w:rFonts w:cstheme="minorHAnsi"/>
        </w:rPr>
        <w:t>.)</w:t>
      </w:r>
    </w:p>
    <w:p w14:paraId="5D9C2AD1" w14:textId="3AFFA091" w:rsidR="00632412" w:rsidRPr="00465FA8" w:rsidRDefault="00632412" w:rsidP="00E91D2A">
      <w:pPr>
        <w:spacing w:line="480" w:lineRule="auto"/>
        <w:rPr>
          <w:rFonts w:cstheme="minorHAnsi"/>
        </w:rPr>
      </w:pPr>
      <w:r w:rsidRPr="00465FA8">
        <w:rPr>
          <w:rFonts w:cstheme="minorHAnsi"/>
        </w:rPr>
        <w:t>With such a broad definition, it</w:t>
      </w:r>
      <w:r w:rsidR="00C76630" w:rsidRPr="00465FA8">
        <w:rPr>
          <w:rFonts w:cstheme="minorHAnsi"/>
        </w:rPr>
        <w:t xml:space="preserve"> i</w:t>
      </w:r>
      <w:r w:rsidRPr="00465FA8">
        <w:rPr>
          <w:rFonts w:cstheme="minorHAnsi"/>
        </w:rPr>
        <w:t xml:space="preserve">s almost impossible to encompass all museums through a handful of case studies, particularly as they are all so unique in their </w:t>
      </w:r>
      <w:r w:rsidR="00E823EA" w:rsidRPr="00465FA8">
        <w:rPr>
          <w:rFonts w:cstheme="minorHAnsi"/>
        </w:rPr>
        <w:t>work</w:t>
      </w:r>
      <w:r w:rsidRPr="00465FA8">
        <w:rPr>
          <w:rFonts w:cstheme="minorHAnsi"/>
        </w:rPr>
        <w:t>.</w:t>
      </w:r>
    </w:p>
    <w:p w14:paraId="53CA43F4" w14:textId="119DB75E" w:rsidR="00B81F7B" w:rsidRPr="00465FA8" w:rsidRDefault="00B81F7B" w:rsidP="00E91D2A">
      <w:pPr>
        <w:spacing w:line="480" w:lineRule="auto"/>
        <w:rPr>
          <w:rFonts w:cstheme="minorHAnsi"/>
        </w:rPr>
      </w:pPr>
    </w:p>
    <w:p w14:paraId="6A904ED0" w14:textId="4FB5352E" w:rsidR="00B81F7B" w:rsidRPr="00465FA8" w:rsidRDefault="00B81F7B" w:rsidP="00E91D2A">
      <w:pPr>
        <w:spacing w:line="480" w:lineRule="auto"/>
        <w:rPr>
          <w:rFonts w:cstheme="minorHAnsi"/>
          <w:u w:val="single"/>
        </w:rPr>
      </w:pPr>
      <w:r w:rsidRPr="00465FA8">
        <w:rPr>
          <w:rFonts w:cstheme="minorHAnsi"/>
          <w:u w:val="single"/>
        </w:rPr>
        <w:t>What is a diverse audience?</w:t>
      </w:r>
    </w:p>
    <w:p w14:paraId="30EB3D84" w14:textId="7978AE3D" w:rsidR="00E200ED" w:rsidRPr="00465FA8" w:rsidRDefault="00632412" w:rsidP="00E91D2A">
      <w:pPr>
        <w:spacing w:line="480" w:lineRule="auto"/>
        <w:rPr>
          <w:rFonts w:cstheme="minorHAnsi"/>
        </w:rPr>
      </w:pPr>
      <w:r w:rsidRPr="00465FA8">
        <w:rPr>
          <w:rFonts w:cstheme="minorHAnsi"/>
        </w:rPr>
        <w:lastRenderedPageBreak/>
        <w:t xml:space="preserve">First, the concept of a ‘diverse audience’ needs to be considered. In this context, it implies a consistency between museum audience </w:t>
      </w:r>
      <w:r w:rsidR="00B81F7B" w:rsidRPr="00465FA8">
        <w:rPr>
          <w:rFonts w:cstheme="minorHAnsi"/>
        </w:rPr>
        <w:t xml:space="preserve">demographics </w:t>
      </w:r>
      <w:r w:rsidRPr="00465FA8">
        <w:rPr>
          <w:rFonts w:cstheme="minorHAnsi"/>
        </w:rPr>
        <w:t>and the museums’ wider community (Jennings and Jones</w:t>
      </w:r>
      <w:r w:rsidR="001236F6" w:rsidRPr="00465FA8">
        <w:rPr>
          <w:rFonts w:cstheme="minorHAnsi"/>
        </w:rPr>
        <w:t>-</w:t>
      </w:r>
      <w:r w:rsidRPr="00465FA8">
        <w:rPr>
          <w:rFonts w:cstheme="minorHAnsi"/>
        </w:rPr>
        <w:t>Rizzi, 2017</w:t>
      </w:r>
      <w:r w:rsidR="00B81F7B" w:rsidRPr="00465FA8">
        <w:rPr>
          <w:rFonts w:cstheme="minorHAnsi"/>
        </w:rPr>
        <w:t>, p. 64</w:t>
      </w:r>
      <w:r w:rsidRPr="00465FA8">
        <w:rPr>
          <w:rFonts w:cstheme="minorHAnsi"/>
        </w:rPr>
        <w:t>).</w:t>
      </w:r>
      <w:r w:rsidR="00E200ED" w:rsidRPr="00465FA8">
        <w:rPr>
          <w:rFonts w:cstheme="minorHAnsi"/>
        </w:rPr>
        <w:t xml:space="preserve"> In many cases, the audience of a museum is also their community, and the terms have been used interchangeably in this essay.</w:t>
      </w:r>
    </w:p>
    <w:p w14:paraId="7648E8F3" w14:textId="60AA4D51" w:rsidR="00E200ED" w:rsidRPr="00465FA8" w:rsidRDefault="00E200ED" w:rsidP="00E91D2A">
      <w:pPr>
        <w:spacing w:line="480" w:lineRule="auto"/>
        <w:rPr>
          <w:rFonts w:cstheme="minorHAnsi"/>
        </w:rPr>
      </w:pPr>
      <w:r w:rsidRPr="00465FA8">
        <w:rPr>
          <w:rFonts w:cstheme="minorHAnsi"/>
        </w:rPr>
        <w:t>Again, there are many definitions of a community, but in this case</w:t>
      </w:r>
      <w:r w:rsidR="00E823EA" w:rsidRPr="00465FA8">
        <w:rPr>
          <w:rFonts w:cstheme="minorHAnsi"/>
        </w:rPr>
        <w:t>,</w:t>
      </w:r>
      <w:r w:rsidRPr="00465FA8">
        <w:rPr>
          <w:rFonts w:cstheme="minorHAnsi"/>
        </w:rPr>
        <w:t xml:space="preserve"> it will be considered as people with a shared geographic location (Kadoyama, 2018). It can also include a shared interest (Kadoyama, 2018), which could include an identity-based connection like the LGBTQ+ community, but for the sake of this essay</w:t>
      </w:r>
      <w:r w:rsidR="00E823EA" w:rsidRPr="00465FA8">
        <w:rPr>
          <w:rFonts w:cstheme="minorHAnsi"/>
        </w:rPr>
        <w:t>,</w:t>
      </w:r>
      <w:r w:rsidRPr="00465FA8">
        <w:rPr>
          <w:rFonts w:cstheme="minorHAnsi"/>
        </w:rPr>
        <w:t xml:space="preserve"> the focus will be on geographic location. </w:t>
      </w:r>
      <w:r w:rsidR="00EB5BB3" w:rsidRPr="00465FA8">
        <w:rPr>
          <w:rFonts w:cstheme="minorHAnsi"/>
        </w:rPr>
        <w:t>This</w:t>
      </w:r>
      <w:r w:rsidRPr="00465FA8">
        <w:rPr>
          <w:rFonts w:cstheme="minorHAnsi"/>
        </w:rPr>
        <w:t xml:space="preserve"> would be the community that the museum is based within – the people living and working around the museum. As such, community work is strongly connected to audience work within museums. </w:t>
      </w:r>
    </w:p>
    <w:p w14:paraId="6029E91B" w14:textId="607F830C" w:rsidR="00B81F7B" w:rsidRPr="00465FA8" w:rsidRDefault="00B81F7B" w:rsidP="00E91D2A">
      <w:pPr>
        <w:spacing w:line="480" w:lineRule="auto"/>
        <w:rPr>
          <w:rFonts w:cstheme="minorHAnsi"/>
        </w:rPr>
      </w:pPr>
      <w:r w:rsidRPr="00465FA8">
        <w:rPr>
          <w:rFonts w:cstheme="minorHAnsi"/>
        </w:rPr>
        <w:t xml:space="preserve">The demographics this can include are incredibly broad, with little consistency in focus across the sector. Cerquetti (2016) suggests that age should be the major focus, </w:t>
      </w:r>
      <w:r w:rsidR="001236F6" w:rsidRPr="00465FA8">
        <w:rPr>
          <w:rFonts w:cstheme="minorHAnsi"/>
        </w:rPr>
        <w:t>including both</w:t>
      </w:r>
      <w:r w:rsidRPr="00465FA8">
        <w:rPr>
          <w:rFonts w:cstheme="minorHAnsi"/>
        </w:rPr>
        <w:t xml:space="preserve"> the ag</w:t>
      </w:r>
      <w:r w:rsidR="00E823EA" w:rsidRPr="00465FA8">
        <w:rPr>
          <w:rFonts w:cstheme="minorHAnsi"/>
        </w:rPr>
        <w:t>e</w:t>
      </w:r>
      <w:r w:rsidRPr="00465FA8">
        <w:rPr>
          <w:rFonts w:cstheme="minorHAnsi"/>
        </w:rPr>
        <w:t xml:space="preserve">ing population </w:t>
      </w:r>
      <w:r w:rsidR="001236F6" w:rsidRPr="00465FA8">
        <w:rPr>
          <w:rFonts w:cstheme="minorHAnsi"/>
        </w:rPr>
        <w:t>and</w:t>
      </w:r>
      <w:r w:rsidRPr="00465FA8">
        <w:rPr>
          <w:rFonts w:cstheme="minorHAnsi"/>
        </w:rPr>
        <w:t xml:space="preserve"> children (for more on this, see Kids in Museums, 2022; Nelson, 2017; Culture Health &amp; Wellbeing Alliance (CH</w:t>
      </w:r>
      <w:r w:rsidR="00E823EA" w:rsidRPr="00465FA8">
        <w:rPr>
          <w:rFonts w:cstheme="minorHAnsi"/>
        </w:rPr>
        <w:t>W</w:t>
      </w:r>
      <w:r w:rsidRPr="00465FA8">
        <w:rPr>
          <w:rFonts w:cstheme="minorHAnsi"/>
        </w:rPr>
        <w:t xml:space="preserve">A), 2014). </w:t>
      </w:r>
      <w:r w:rsidR="001236F6" w:rsidRPr="00465FA8">
        <w:rPr>
          <w:rFonts w:cstheme="minorHAnsi"/>
        </w:rPr>
        <w:t xml:space="preserve">Alternatively, </w:t>
      </w:r>
      <w:r w:rsidRPr="00465FA8">
        <w:rPr>
          <w:rFonts w:cstheme="minorHAnsi"/>
        </w:rPr>
        <w:t xml:space="preserve">Nelson (2017) argues that the biggest gaps in UK museum audiences are disabled people (for more on this, see MA, 2017; Cultural Inclusion, 2019; Clark, 2005) and </w:t>
      </w:r>
      <w:r w:rsidR="00465FA8">
        <w:rPr>
          <w:rFonts w:cstheme="minorHAnsi"/>
        </w:rPr>
        <w:t>BME (Black and minority ethnicity, the preferred term in the UK) people</w:t>
      </w:r>
      <w:r w:rsidR="00EB5BB3" w:rsidRPr="00465FA8">
        <w:rPr>
          <w:rFonts w:cstheme="minorHAnsi"/>
        </w:rPr>
        <w:t xml:space="preserve">. </w:t>
      </w:r>
      <w:r w:rsidR="001236F6" w:rsidRPr="00465FA8">
        <w:rPr>
          <w:rFonts w:cstheme="minorHAnsi"/>
        </w:rPr>
        <w:t>This is sometimes focused even further, with some academics considering migrants</w:t>
      </w:r>
      <w:r w:rsidRPr="00465FA8">
        <w:rPr>
          <w:rFonts w:cstheme="minorHAnsi"/>
        </w:rPr>
        <w:t xml:space="preserve">, particularly non-European migrant families, </w:t>
      </w:r>
      <w:r w:rsidR="001236F6" w:rsidRPr="00465FA8">
        <w:rPr>
          <w:rFonts w:cstheme="minorHAnsi"/>
        </w:rPr>
        <w:t>as the ideal focus for inclusion work</w:t>
      </w:r>
      <w:r w:rsidRPr="00465FA8">
        <w:rPr>
          <w:rFonts w:cstheme="minorHAnsi"/>
        </w:rPr>
        <w:t xml:space="preserve"> (Nelson, 2017; Kids in Museums, 2022; MA, 2020a). </w:t>
      </w:r>
      <w:r w:rsidR="001236F6" w:rsidRPr="00465FA8">
        <w:rPr>
          <w:rFonts w:cstheme="minorHAnsi"/>
        </w:rPr>
        <w:t xml:space="preserve">More specialised museums often target </w:t>
      </w:r>
      <w:r w:rsidRPr="00465FA8">
        <w:rPr>
          <w:rFonts w:cstheme="minorHAnsi"/>
        </w:rPr>
        <w:t xml:space="preserve">demographics </w:t>
      </w:r>
      <w:r w:rsidR="001236F6" w:rsidRPr="00465FA8">
        <w:rPr>
          <w:rFonts w:cstheme="minorHAnsi"/>
        </w:rPr>
        <w:t>that are</w:t>
      </w:r>
      <w:r w:rsidRPr="00465FA8">
        <w:rPr>
          <w:rFonts w:cstheme="minorHAnsi"/>
        </w:rPr>
        <w:t xml:space="preserve"> harder to conceptualise, including the precariously housed (Turtle and Turtle, 2019) and the isolated (MA, 2020a).</w:t>
      </w:r>
    </w:p>
    <w:p w14:paraId="4374B364" w14:textId="557136D4" w:rsidR="00E200ED" w:rsidRPr="00465FA8" w:rsidRDefault="00B81F7B" w:rsidP="00E91D2A">
      <w:pPr>
        <w:spacing w:line="480" w:lineRule="auto"/>
        <w:rPr>
          <w:rFonts w:cstheme="minorHAnsi"/>
        </w:rPr>
      </w:pPr>
      <w:r w:rsidRPr="00465FA8">
        <w:rPr>
          <w:rFonts w:cstheme="minorHAnsi"/>
        </w:rPr>
        <w:t xml:space="preserve">Despite the length of this list, </w:t>
      </w:r>
      <w:r w:rsidR="001236F6" w:rsidRPr="00465FA8">
        <w:rPr>
          <w:rFonts w:cstheme="minorHAnsi"/>
        </w:rPr>
        <w:t>these are</w:t>
      </w:r>
      <w:r w:rsidRPr="00465FA8">
        <w:rPr>
          <w:rFonts w:cstheme="minorHAnsi"/>
        </w:rPr>
        <w:t xml:space="preserve"> not the only characteristics that make up a diverse community – rather, it is a</w:t>
      </w:r>
      <w:r w:rsidR="001236F6" w:rsidRPr="00465FA8">
        <w:rPr>
          <w:rFonts w:cstheme="minorHAnsi"/>
        </w:rPr>
        <w:t xml:space="preserve">n example </w:t>
      </w:r>
      <w:r w:rsidRPr="00465FA8">
        <w:rPr>
          <w:rFonts w:cstheme="minorHAnsi"/>
        </w:rPr>
        <w:t>of how varied an audience can be. Each museum will have people in their audience who fit into these demographics, in varying numbers and engagement. Each will have their own access needs and feeling towards museums, made more complicated as</w:t>
      </w:r>
      <w:r w:rsidR="00E200ED" w:rsidRPr="00465FA8">
        <w:rPr>
          <w:rFonts w:cstheme="minorHAnsi"/>
        </w:rPr>
        <w:t xml:space="preserve"> </w:t>
      </w:r>
      <w:proofErr w:type="gramStart"/>
      <w:r w:rsidR="00E200ED" w:rsidRPr="00465FA8">
        <w:rPr>
          <w:rFonts w:cstheme="minorHAnsi"/>
        </w:rPr>
        <w:t xml:space="preserve">the </w:t>
      </w:r>
      <w:r w:rsidR="00E200ED" w:rsidRPr="00465FA8">
        <w:rPr>
          <w:rFonts w:cstheme="minorHAnsi"/>
        </w:rPr>
        <w:lastRenderedPageBreak/>
        <w:t>majority of</w:t>
      </w:r>
      <w:proofErr w:type="gramEnd"/>
      <w:r w:rsidR="00E200ED" w:rsidRPr="00465FA8">
        <w:rPr>
          <w:rFonts w:cstheme="minorHAnsi"/>
        </w:rPr>
        <w:t xml:space="preserve"> people will belong </w:t>
      </w:r>
      <w:r w:rsidR="00E823EA" w:rsidRPr="00465FA8">
        <w:rPr>
          <w:rFonts w:cstheme="minorHAnsi"/>
        </w:rPr>
        <w:t>to</w:t>
      </w:r>
      <w:r w:rsidR="00E200ED" w:rsidRPr="00465FA8">
        <w:rPr>
          <w:rFonts w:cstheme="minorHAnsi"/>
        </w:rPr>
        <w:t xml:space="preserve"> multiple groups (Pham, 2019). Again, this makes it difficult for case studies to apply across the board, but it also causes issues when museums try to work broadly, rather than leading more targeted projects.</w:t>
      </w:r>
    </w:p>
    <w:p w14:paraId="5BDF727D" w14:textId="599CBDCB" w:rsidR="00632412" w:rsidRPr="00465FA8" w:rsidRDefault="00E200ED" w:rsidP="00E91D2A">
      <w:pPr>
        <w:spacing w:line="480" w:lineRule="auto"/>
        <w:rPr>
          <w:rFonts w:cstheme="minorHAnsi"/>
        </w:rPr>
      </w:pPr>
      <w:r w:rsidRPr="00465FA8">
        <w:rPr>
          <w:rFonts w:cstheme="minorHAnsi"/>
        </w:rPr>
        <w:t>Many of the guidelines and suggestions discussed do not focus on individual groups, but instead provide suggestions for how museums can learn more about their diverse audience, interacting with them in equitable and productive ways.</w:t>
      </w:r>
    </w:p>
    <w:p w14:paraId="6D29EAB0" w14:textId="7C1D48E3" w:rsidR="00E200ED" w:rsidRPr="00465FA8" w:rsidRDefault="00E200ED" w:rsidP="00E91D2A">
      <w:pPr>
        <w:spacing w:line="480" w:lineRule="auto"/>
        <w:rPr>
          <w:rFonts w:cstheme="minorHAnsi"/>
        </w:rPr>
      </w:pPr>
    </w:p>
    <w:p w14:paraId="0A821C7C" w14:textId="0D8D8B98" w:rsidR="00E200ED" w:rsidRPr="00465FA8" w:rsidRDefault="00E200ED" w:rsidP="00E91D2A">
      <w:pPr>
        <w:spacing w:line="480" w:lineRule="auto"/>
        <w:rPr>
          <w:rFonts w:cstheme="minorHAnsi"/>
          <w:u w:val="single"/>
        </w:rPr>
      </w:pPr>
      <w:r w:rsidRPr="00465FA8">
        <w:rPr>
          <w:rFonts w:cstheme="minorHAnsi"/>
          <w:u w:val="single"/>
        </w:rPr>
        <w:t>External Work</w:t>
      </w:r>
    </w:p>
    <w:p w14:paraId="2EF1FBAB" w14:textId="7E8CFC48" w:rsidR="00E200ED" w:rsidRPr="00465FA8" w:rsidRDefault="00E200ED" w:rsidP="00E91D2A">
      <w:pPr>
        <w:spacing w:line="480" w:lineRule="auto"/>
        <w:rPr>
          <w:rFonts w:cstheme="minorHAnsi"/>
        </w:rPr>
      </w:pPr>
      <w:r w:rsidRPr="00465FA8">
        <w:rPr>
          <w:rFonts w:cstheme="minorHAnsi"/>
        </w:rPr>
        <w:t xml:space="preserve">Often the first place an organisation will look when considering their community is </w:t>
      </w:r>
      <w:r w:rsidR="00E823EA" w:rsidRPr="00465FA8">
        <w:rPr>
          <w:rFonts w:cstheme="minorHAnsi"/>
        </w:rPr>
        <w:t>outward</w:t>
      </w:r>
      <w:r w:rsidRPr="00465FA8">
        <w:rPr>
          <w:rFonts w:cstheme="minorHAnsi"/>
        </w:rPr>
        <w:t xml:space="preserve"> – what can be done in the local area (or even nationally) that would change the audience coming to the museum? This often comes from the idea of building trust, where the museum proves </w:t>
      </w:r>
      <w:r w:rsidR="00E823EA" w:rsidRPr="00465FA8">
        <w:rPr>
          <w:rFonts w:cstheme="minorHAnsi"/>
        </w:rPr>
        <w:t>itself</w:t>
      </w:r>
      <w:r w:rsidRPr="00465FA8">
        <w:rPr>
          <w:rFonts w:cstheme="minorHAnsi"/>
        </w:rPr>
        <w:t xml:space="preserve"> to be active in the community while </w:t>
      </w:r>
      <w:r w:rsidR="00E823EA" w:rsidRPr="00465FA8">
        <w:rPr>
          <w:rFonts w:cstheme="minorHAnsi"/>
        </w:rPr>
        <w:t xml:space="preserve">also </w:t>
      </w:r>
      <w:r w:rsidRPr="00465FA8">
        <w:rPr>
          <w:rFonts w:cstheme="minorHAnsi"/>
        </w:rPr>
        <w:t xml:space="preserve">being </w:t>
      </w:r>
      <w:r w:rsidR="00E823EA" w:rsidRPr="00465FA8">
        <w:rPr>
          <w:rFonts w:cstheme="minorHAnsi"/>
        </w:rPr>
        <w:t>a holder</w:t>
      </w:r>
      <w:r w:rsidRPr="00465FA8">
        <w:rPr>
          <w:rFonts w:cstheme="minorHAnsi"/>
        </w:rPr>
        <w:t xml:space="preserve"> of cultural knowledge (MA, 2020b), making the museum feel safe for those that could feel alienated.</w:t>
      </w:r>
    </w:p>
    <w:p w14:paraId="145096AE" w14:textId="25369ACA" w:rsidR="00E200ED" w:rsidRPr="00465FA8" w:rsidRDefault="001236F6" w:rsidP="00E91D2A">
      <w:pPr>
        <w:spacing w:line="480" w:lineRule="auto"/>
        <w:rPr>
          <w:rFonts w:cstheme="minorHAnsi"/>
        </w:rPr>
      </w:pPr>
      <w:r w:rsidRPr="00465FA8">
        <w:rPr>
          <w:rFonts w:cstheme="minorHAnsi"/>
        </w:rPr>
        <w:t>However</w:t>
      </w:r>
      <w:r w:rsidR="00E200ED" w:rsidRPr="00465FA8">
        <w:rPr>
          <w:rFonts w:cstheme="minorHAnsi"/>
        </w:rPr>
        <w:t>, outward consideration moves the focus away from necessary internal evaluation and change, making it the primary focus in many places. Considering the external is much easier than evaluating the internal, even if the decision is an unconscious one. This will be discussed in more detail when internal evaluation is considered later in the essay.</w:t>
      </w:r>
    </w:p>
    <w:p w14:paraId="72DDF19C" w14:textId="77777777" w:rsidR="00E200ED" w:rsidRPr="00465FA8" w:rsidRDefault="00E200ED" w:rsidP="00E91D2A">
      <w:pPr>
        <w:spacing w:line="480" w:lineRule="auto"/>
        <w:rPr>
          <w:rFonts w:cstheme="minorHAnsi"/>
        </w:rPr>
      </w:pPr>
      <w:r w:rsidRPr="00465FA8">
        <w:rPr>
          <w:rFonts w:cstheme="minorHAnsi"/>
        </w:rPr>
        <w:t xml:space="preserve">This does not mean that museums should avoid external work, as the community benefits of an engaged museum are regularly being proven. In the ICOM Statutes, it states that ‘a museum is a non-profit, permanent institution </w:t>
      </w:r>
      <w:r w:rsidRPr="00465FA8">
        <w:rPr>
          <w:rFonts w:cstheme="minorHAnsi"/>
          <w:b/>
          <w:bCs/>
        </w:rPr>
        <w:t>in the service of society</w:t>
      </w:r>
      <w:r w:rsidRPr="00465FA8">
        <w:rPr>
          <w:rFonts w:cstheme="minorHAnsi"/>
        </w:rPr>
        <w:t>’ (emphasis added, ICOM, 2022), which implies a level of external work and even activism to complete. This is then reiterated in the Museums Association’s guidelines for Museums Change Lives (2017, p. 5), and their Learning and Engagement manifesto (MA, 2020a).</w:t>
      </w:r>
    </w:p>
    <w:p w14:paraId="15E544BA" w14:textId="61D2263C" w:rsidR="00E200ED" w:rsidRPr="00465FA8" w:rsidRDefault="00E200ED" w:rsidP="00E91D2A">
      <w:pPr>
        <w:spacing w:line="480" w:lineRule="auto"/>
        <w:rPr>
          <w:rFonts w:cstheme="minorHAnsi"/>
        </w:rPr>
      </w:pPr>
      <w:r w:rsidRPr="00465FA8">
        <w:rPr>
          <w:rFonts w:cstheme="minorHAnsi"/>
        </w:rPr>
        <w:lastRenderedPageBreak/>
        <w:t>There are two sides to this – one which brings the community into the museum, and one which focuses entirely on empowering the community externally (Jennings and Jones-Rizzi, 2017). Bringing the community in could be about making a museum known</w:t>
      </w:r>
      <w:r w:rsidR="002E0E89" w:rsidRPr="00465FA8">
        <w:rPr>
          <w:rFonts w:cstheme="minorHAnsi"/>
        </w:rPr>
        <w:t xml:space="preserve"> in the community</w:t>
      </w:r>
      <w:r w:rsidRPr="00465FA8">
        <w:rPr>
          <w:rFonts w:cstheme="minorHAnsi"/>
        </w:rPr>
        <w:t xml:space="preserve"> (both in the traditional advertising sense and through outreach sessions with schools and community groups) but can also involve direct invitations to exhibits that might be of interest.</w:t>
      </w:r>
      <w:r w:rsidR="002E0E89" w:rsidRPr="00465FA8">
        <w:rPr>
          <w:rFonts w:cstheme="minorHAnsi"/>
        </w:rPr>
        <w:t xml:space="preserve"> It is about building trust between a museum and its community, where the museum acknowledges </w:t>
      </w:r>
      <w:r w:rsidR="00E823EA" w:rsidRPr="00465FA8">
        <w:rPr>
          <w:rFonts w:cstheme="minorHAnsi"/>
        </w:rPr>
        <w:t>its</w:t>
      </w:r>
      <w:r w:rsidR="002E0E89" w:rsidRPr="00465FA8">
        <w:rPr>
          <w:rFonts w:cstheme="minorHAnsi"/>
        </w:rPr>
        <w:t xml:space="preserve"> collection and knowledge belongs to the community, so </w:t>
      </w:r>
      <w:r w:rsidR="00E823EA" w:rsidRPr="00465FA8">
        <w:rPr>
          <w:rFonts w:cstheme="minorHAnsi"/>
        </w:rPr>
        <w:t>its</w:t>
      </w:r>
      <w:r w:rsidR="002E0E89" w:rsidRPr="00465FA8">
        <w:rPr>
          <w:rFonts w:cstheme="minorHAnsi"/>
        </w:rPr>
        <w:t xml:space="preserve"> audience can trust the museum with their lived experience and their time.</w:t>
      </w:r>
    </w:p>
    <w:p w14:paraId="6BDFA88D" w14:textId="75C6C492" w:rsidR="00E200ED" w:rsidRPr="00465FA8" w:rsidRDefault="00E200ED" w:rsidP="00E91D2A">
      <w:pPr>
        <w:spacing w:line="480" w:lineRule="auto"/>
        <w:rPr>
          <w:rFonts w:cstheme="minorHAnsi"/>
        </w:rPr>
      </w:pPr>
      <w:r w:rsidRPr="00465FA8">
        <w:rPr>
          <w:rFonts w:cstheme="minorHAnsi"/>
        </w:rPr>
        <w:t xml:space="preserve">For example, the work done by the Birmingham Museums Trust </w:t>
      </w:r>
      <w:r w:rsidR="00A2695F" w:rsidRPr="00465FA8">
        <w:rPr>
          <w:rFonts w:cstheme="minorHAnsi"/>
        </w:rPr>
        <w:t>in connecting</w:t>
      </w:r>
      <w:r w:rsidRPr="00465FA8">
        <w:rPr>
          <w:rFonts w:cstheme="minorHAnsi"/>
        </w:rPr>
        <w:t xml:space="preserve"> with community groups like The Precious Trust (MA, 2020a). They worked with The Precious Trust to bring young women and girls with lived experience of gang-related violence and exploitation into the museum, allowing them to reinterpret and </w:t>
      </w:r>
      <w:r w:rsidR="00A2695F" w:rsidRPr="00465FA8">
        <w:rPr>
          <w:rFonts w:cstheme="minorHAnsi"/>
        </w:rPr>
        <w:t>engage</w:t>
      </w:r>
      <w:r w:rsidRPr="00465FA8">
        <w:rPr>
          <w:rFonts w:cstheme="minorHAnsi"/>
        </w:rPr>
        <w:t xml:space="preserve"> with the exhibition Women Power Protest</w:t>
      </w:r>
      <w:r w:rsidR="00A2695F" w:rsidRPr="00465FA8">
        <w:rPr>
          <w:rFonts w:cstheme="minorHAnsi"/>
        </w:rPr>
        <w:t xml:space="preserve"> through the lens of their experience</w:t>
      </w:r>
      <w:r w:rsidRPr="00465FA8">
        <w:rPr>
          <w:rFonts w:cstheme="minorHAnsi"/>
        </w:rPr>
        <w:t>. The exhibition celebrated women’s power and identity and became a place to empower exploited young women to share their stories, locally and nationally (MA, 2020a; Arts Council Collection, 2018). It proved to people who may have been</w:t>
      </w:r>
      <w:r w:rsidRPr="00465FA8">
        <w:rPr>
          <w:rFonts w:cstheme="minorHAnsi"/>
          <w:sz w:val="28"/>
          <w:szCs w:val="28"/>
        </w:rPr>
        <w:t xml:space="preserve"> </w:t>
      </w:r>
      <w:r w:rsidRPr="00465FA8">
        <w:rPr>
          <w:rFonts w:cstheme="minorHAnsi"/>
        </w:rPr>
        <w:t xml:space="preserve">uncomfortable attending the museum </w:t>
      </w:r>
      <w:r w:rsidR="00A2695F" w:rsidRPr="00465FA8">
        <w:rPr>
          <w:rFonts w:cstheme="minorHAnsi"/>
        </w:rPr>
        <w:t>that their insight was valuable, rather than alien and silenced</w:t>
      </w:r>
      <w:r w:rsidRPr="00465FA8">
        <w:rPr>
          <w:rFonts w:cstheme="minorHAnsi"/>
        </w:rPr>
        <w:t>, hopefully removing the threshold fear for some of those involved (Cerquetti, 206 p. 37).</w:t>
      </w:r>
      <w:r w:rsidRPr="00465FA8">
        <w:rPr>
          <w:rFonts w:cstheme="minorHAnsi"/>
          <w:sz w:val="28"/>
          <w:szCs w:val="28"/>
        </w:rPr>
        <w:t xml:space="preserve"> </w:t>
      </w:r>
    </w:p>
    <w:p w14:paraId="1296C018" w14:textId="7F031C8F" w:rsidR="002E0E89" w:rsidRPr="00465FA8" w:rsidRDefault="00E200ED" w:rsidP="00E91D2A">
      <w:pPr>
        <w:spacing w:line="480" w:lineRule="auto"/>
        <w:rPr>
          <w:rFonts w:cstheme="minorHAnsi"/>
        </w:rPr>
      </w:pPr>
      <w:r w:rsidRPr="00465FA8">
        <w:rPr>
          <w:rFonts w:cstheme="minorHAnsi"/>
        </w:rPr>
        <w:t>This work then had a national impact, introducing the second category of outreach – entirely external work based on creating change for the community, also known as museum activism. Through this project, survivors were able to connect with Jess Phillips, MP for Birmingham Yardley, helping to build her work advocating for women’s safety nationally (MA</w:t>
      </w:r>
      <w:r w:rsidR="00A2695F" w:rsidRPr="00465FA8">
        <w:rPr>
          <w:rFonts w:cstheme="minorHAnsi"/>
        </w:rPr>
        <w:t>,</w:t>
      </w:r>
      <w:r w:rsidRPr="00465FA8">
        <w:rPr>
          <w:rFonts w:cstheme="minorHAnsi"/>
        </w:rPr>
        <w:t xml:space="preserve"> 2020a).</w:t>
      </w:r>
    </w:p>
    <w:p w14:paraId="51AEB0BB" w14:textId="21F3CDB4" w:rsidR="002E0E89" w:rsidRPr="00465FA8" w:rsidRDefault="002E0E89" w:rsidP="00E91D2A">
      <w:pPr>
        <w:spacing w:line="480" w:lineRule="auto"/>
        <w:rPr>
          <w:rFonts w:cstheme="minorHAnsi"/>
        </w:rPr>
      </w:pPr>
      <w:r w:rsidRPr="00465FA8">
        <w:rPr>
          <w:rFonts w:cstheme="minorHAnsi"/>
        </w:rPr>
        <w:t xml:space="preserve">Although this was not the goal of the original project, Birmingham Museums Trust found their activism created national noise – proving </w:t>
      </w:r>
      <w:r w:rsidR="00E823EA" w:rsidRPr="00465FA8">
        <w:rPr>
          <w:rFonts w:cstheme="minorHAnsi"/>
        </w:rPr>
        <w:t>museums’</w:t>
      </w:r>
      <w:r w:rsidRPr="00465FA8">
        <w:rPr>
          <w:rFonts w:cstheme="minorHAnsi"/>
        </w:rPr>
        <w:t xml:space="preserve"> power as centres for radical change. This can also be seen in the Museum of Homelessness (MoH), </w:t>
      </w:r>
      <w:r w:rsidR="00E823EA" w:rsidRPr="00465FA8">
        <w:rPr>
          <w:rFonts w:cstheme="minorHAnsi"/>
        </w:rPr>
        <w:t>which</w:t>
      </w:r>
      <w:r w:rsidRPr="00465FA8">
        <w:rPr>
          <w:rFonts w:cstheme="minorHAnsi"/>
        </w:rPr>
        <w:t xml:space="preserve"> regularly protest</w:t>
      </w:r>
      <w:r w:rsidR="00E823EA" w:rsidRPr="00465FA8">
        <w:rPr>
          <w:rFonts w:cstheme="minorHAnsi"/>
        </w:rPr>
        <w:t>s</w:t>
      </w:r>
      <w:r w:rsidRPr="00465FA8">
        <w:rPr>
          <w:rFonts w:cstheme="minorHAnsi"/>
        </w:rPr>
        <w:t xml:space="preserve"> and </w:t>
      </w:r>
      <w:r w:rsidR="00E823EA" w:rsidRPr="00465FA8">
        <w:rPr>
          <w:rFonts w:cstheme="minorHAnsi"/>
        </w:rPr>
        <w:t>lobbies</w:t>
      </w:r>
      <w:r w:rsidRPr="00465FA8">
        <w:rPr>
          <w:rFonts w:cstheme="minorHAnsi"/>
        </w:rPr>
        <w:t xml:space="preserve"> the government for changes in social care, with a specific focus on the lived experience of homeless and precariously housed people (Turtle and Turtle, 2020).</w:t>
      </w:r>
    </w:p>
    <w:p w14:paraId="30FDAD11" w14:textId="467B35C2" w:rsidR="00E200ED" w:rsidRPr="00465FA8" w:rsidRDefault="002E0E89" w:rsidP="00E91D2A">
      <w:pPr>
        <w:spacing w:line="480" w:lineRule="auto"/>
        <w:rPr>
          <w:rFonts w:cstheme="minorHAnsi"/>
        </w:rPr>
      </w:pPr>
      <w:r w:rsidRPr="00465FA8">
        <w:rPr>
          <w:rFonts w:cstheme="minorHAnsi"/>
        </w:rPr>
        <w:lastRenderedPageBreak/>
        <w:t>Alongside this, they also run direct action projects</w:t>
      </w:r>
      <w:r w:rsidR="00A2695F" w:rsidRPr="00465FA8">
        <w:rPr>
          <w:rFonts w:cstheme="minorHAnsi"/>
        </w:rPr>
        <w:t>,</w:t>
      </w:r>
      <w:r w:rsidRPr="00465FA8">
        <w:rPr>
          <w:rFonts w:cstheme="minorHAnsi"/>
        </w:rPr>
        <w:t xml:space="preserve"> </w:t>
      </w:r>
      <w:r w:rsidR="00A2695F" w:rsidRPr="00465FA8">
        <w:rPr>
          <w:rFonts w:cstheme="minorHAnsi"/>
        </w:rPr>
        <w:t>with</w:t>
      </w:r>
      <w:r w:rsidRPr="00465FA8">
        <w:rPr>
          <w:rFonts w:cstheme="minorHAnsi"/>
        </w:rPr>
        <w:t xml:space="preserve"> other London-based homeless organisations. They pride themselves in these outreach programmes, from running Covid-19 vaccination programmes, providing water during heatwaves, or helping to initiate radical cold weather protocol for the street homeless (Mo</w:t>
      </w:r>
      <w:r w:rsidR="00F83B12" w:rsidRPr="00465FA8">
        <w:rPr>
          <w:rFonts w:cstheme="minorHAnsi"/>
        </w:rPr>
        <w:t>H, no date)</w:t>
      </w:r>
      <w:r w:rsidRPr="00465FA8">
        <w:rPr>
          <w:rFonts w:cstheme="minorHAnsi"/>
        </w:rPr>
        <w:t xml:space="preserve">. </w:t>
      </w:r>
      <w:r w:rsidR="00E200ED" w:rsidRPr="00465FA8">
        <w:rPr>
          <w:rFonts w:cstheme="minorHAnsi"/>
        </w:rPr>
        <w:t xml:space="preserve">Their Dying Homeless project lobbies for better death records for the homeless and </w:t>
      </w:r>
      <w:r w:rsidR="00A2695F" w:rsidRPr="00465FA8">
        <w:rPr>
          <w:rFonts w:cstheme="minorHAnsi"/>
        </w:rPr>
        <w:t>a reduction in</w:t>
      </w:r>
      <w:r w:rsidR="00E200ED" w:rsidRPr="00465FA8">
        <w:rPr>
          <w:rFonts w:cstheme="minorHAnsi"/>
        </w:rPr>
        <w:t xml:space="preserve"> preventable death</w:t>
      </w:r>
      <w:r w:rsidR="00A2695F" w:rsidRPr="00465FA8">
        <w:rPr>
          <w:rFonts w:cstheme="minorHAnsi"/>
        </w:rPr>
        <w:t>s</w:t>
      </w:r>
      <w:r w:rsidR="00E200ED" w:rsidRPr="00465FA8">
        <w:rPr>
          <w:rFonts w:cstheme="minorHAnsi"/>
        </w:rPr>
        <w:t>, while also providing Death Cafes, where those with lived experience can come together in a safe space (</w:t>
      </w:r>
      <w:r w:rsidR="00F83B12" w:rsidRPr="00465FA8">
        <w:rPr>
          <w:rFonts w:cstheme="minorHAnsi"/>
        </w:rPr>
        <w:t>MoH, 2019</w:t>
      </w:r>
      <w:r w:rsidR="00E200ED" w:rsidRPr="00465FA8">
        <w:rPr>
          <w:rFonts w:cstheme="minorHAnsi"/>
        </w:rPr>
        <w:t xml:space="preserve">; </w:t>
      </w:r>
      <w:r w:rsidR="00F83B12" w:rsidRPr="00465FA8">
        <w:rPr>
          <w:rFonts w:cstheme="minorHAnsi"/>
        </w:rPr>
        <w:t>MoH, 2022</w:t>
      </w:r>
      <w:r w:rsidR="00E200ED" w:rsidRPr="00465FA8">
        <w:rPr>
          <w:rFonts w:cstheme="minorHAnsi"/>
        </w:rPr>
        <w:t>).</w:t>
      </w:r>
    </w:p>
    <w:p w14:paraId="15A3BCEE" w14:textId="04B6B749" w:rsidR="002E0E89" w:rsidRPr="00465FA8" w:rsidRDefault="002E0E89" w:rsidP="00E91D2A">
      <w:pPr>
        <w:spacing w:line="480" w:lineRule="auto"/>
        <w:rPr>
          <w:rFonts w:cstheme="minorHAnsi"/>
        </w:rPr>
      </w:pPr>
      <w:r w:rsidRPr="00465FA8">
        <w:rPr>
          <w:rFonts w:cstheme="minorHAnsi"/>
        </w:rPr>
        <w:t>The MoH are also</w:t>
      </w:r>
      <w:r w:rsidR="00E823EA" w:rsidRPr="00465FA8">
        <w:rPr>
          <w:rFonts w:cstheme="minorHAnsi"/>
        </w:rPr>
        <w:t xml:space="preserve"> a</w:t>
      </w:r>
      <w:r w:rsidRPr="00465FA8">
        <w:rPr>
          <w:rFonts w:cstheme="minorHAnsi"/>
        </w:rPr>
        <w:t xml:space="preserve"> strong champion</w:t>
      </w:r>
      <w:r w:rsidR="00E823EA" w:rsidRPr="00465FA8">
        <w:rPr>
          <w:rFonts w:cstheme="minorHAnsi"/>
        </w:rPr>
        <w:t xml:space="preserve"> </w:t>
      </w:r>
      <w:r w:rsidRPr="00465FA8">
        <w:rPr>
          <w:rFonts w:cstheme="minorHAnsi"/>
        </w:rPr>
        <w:t>of the belief that heritage and culture is a human right. This is a belief originally buil</w:t>
      </w:r>
      <w:r w:rsidR="00E823EA" w:rsidRPr="00465FA8">
        <w:rPr>
          <w:rFonts w:cstheme="minorHAnsi"/>
        </w:rPr>
        <w:t>t</w:t>
      </w:r>
      <w:r w:rsidRPr="00465FA8">
        <w:rPr>
          <w:rFonts w:cstheme="minorHAnsi"/>
        </w:rPr>
        <w:t xml:space="preserve"> into the United Nations (UN) Universal Declaration of Human Rights (1948), which states:</w:t>
      </w:r>
    </w:p>
    <w:p w14:paraId="55617E9B" w14:textId="481AFECF" w:rsidR="002E0E89" w:rsidRPr="00465FA8" w:rsidRDefault="002E0E89" w:rsidP="002E0E89">
      <w:pPr>
        <w:ind w:left="720"/>
        <w:rPr>
          <w:rFonts w:cstheme="minorHAnsi"/>
        </w:rPr>
      </w:pPr>
      <w:r w:rsidRPr="00465FA8">
        <w:rPr>
          <w:rFonts w:cstheme="minorHAnsi"/>
        </w:rPr>
        <w:t>Everyone has the right freely to participate in the cultural life of the community, to enjoy the arts and to share in scientific advancement and its benefits. (UN 1948, Article 27, Section 1)</w:t>
      </w:r>
    </w:p>
    <w:p w14:paraId="0252ECA6" w14:textId="30505DE6" w:rsidR="002E0E89" w:rsidRPr="00465FA8" w:rsidRDefault="002E0E89" w:rsidP="00E91D2A">
      <w:pPr>
        <w:spacing w:line="480" w:lineRule="auto"/>
        <w:rPr>
          <w:rFonts w:cstheme="minorHAnsi"/>
        </w:rPr>
      </w:pPr>
      <w:proofErr w:type="gramStart"/>
      <w:r w:rsidRPr="00465FA8">
        <w:rPr>
          <w:rFonts w:cstheme="minorHAnsi"/>
        </w:rPr>
        <w:t>With this in mind, museums</w:t>
      </w:r>
      <w:proofErr w:type="gramEnd"/>
      <w:r w:rsidRPr="00465FA8">
        <w:rPr>
          <w:rFonts w:cstheme="minorHAnsi"/>
        </w:rPr>
        <w:t xml:space="preserve"> have a moral duty to outreach </w:t>
      </w:r>
      <w:r w:rsidR="00A2695F" w:rsidRPr="00465FA8">
        <w:rPr>
          <w:rFonts w:cstheme="minorHAnsi"/>
        </w:rPr>
        <w:t xml:space="preserve">to </w:t>
      </w:r>
      <w:r w:rsidRPr="00465FA8">
        <w:rPr>
          <w:rFonts w:cstheme="minorHAnsi"/>
        </w:rPr>
        <w:t>underrepresented communities, attempting to diversify their audiences as the population demographics change. Museums should be encouraging access and participation where possible.</w:t>
      </w:r>
    </w:p>
    <w:p w14:paraId="63F366FC" w14:textId="65B6F52F" w:rsidR="00E200ED" w:rsidRPr="00465FA8" w:rsidRDefault="002E0E89" w:rsidP="00E91D2A">
      <w:pPr>
        <w:spacing w:line="480" w:lineRule="auto"/>
        <w:rPr>
          <w:rFonts w:cstheme="minorHAnsi"/>
        </w:rPr>
      </w:pPr>
      <w:r w:rsidRPr="00465FA8">
        <w:rPr>
          <w:rFonts w:cstheme="minorHAnsi"/>
        </w:rPr>
        <w:t xml:space="preserve">The Museums Association (2020a) suggests expanding this, by saying that audiences have a right to work with the museum at all levels. </w:t>
      </w:r>
      <w:r w:rsidR="00E200ED" w:rsidRPr="00465FA8">
        <w:rPr>
          <w:rFonts w:cstheme="minorHAnsi"/>
        </w:rPr>
        <w:t>Pham (201</w:t>
      </w:r>
      <w:r w:rsidR="00166F84" w:rsidRPr="00465FA8">
        <w:rPr>
          <w:rFonts w:cstheme="minorHAnsi"/>
        </w:rPr>
        <w:t>9, p. 107</w:t>
      </w:r>
      <w:r w:rsidR="00E200ED" w:rsidRPr="00465FA8">
        <w:rPr>
          <w:rFonts w:cstheme="minorHAnsi"/>
        </w:rPr>
        <w:t xml:space="preserve">) refers to this </w:t>
      </w:r>
      <w:r w:rsidR="00064B46" w:rsidRPr="00465FA8">
        <w:rPr>
          <w:rFonts w:cstheme="minorHAnsi"/>
        </w:rPr>
        <w:t xml:space="preserve">development </w:t>
      </w:r>
      <w:r w:rsidR="00E200ED" w:rsidRPr="00465FA8">
        <w:rPr>
          <w:rFonts w:cstheme="minorHAnsi"/>
        </w:rPr>
        <w:t>as ‘people-centred work’, highlighting how this increase</w:t>
      </w:r>
      <w:r w:rsidR="00A2695F" w:rsidRPr="00465FA8">
        <w:rPr>
          <w:rFonts w:cstheme="minorHAnsi"/>
        </w:rPr>
        <w:t>s</w:t>
      </w:r>
      <w:r w:rsidR="00E200ED" w:rsidRPr="00465FA8">
        <w:rPr>
          <w:rFonts w:cstheme="minorHAnsi"/>
        </w:rPr>
        <w:t xml:space="preserve"> inclusion for those who previously would</w:t>
      </w:r>
      <w:r w:rsidR="00C76630" w:rsidRPr="00465FA8">
        <w:rPr>
          <w:rFonts w:cstheme="minorHAnsi"/>
        </w:rPr>
        <w:t xml:space="preserve"> not</w:t>
      </w:r>
      <w:r w:rsidR="00E200ED" w:rsidRPr="00465FA8">
        <w:rPr>
          <w:rFonts w:cstheme="minorHAnsi"/>
        </w:rPr>
        <w:t xml:space="preserve"> have had a space in museums. Ash and Lombana (201</w:t>
      </w:r>
      <w:r w:rsidR="00166F84" w:rsidRPr="00465FA8">
        <w:rPr>
          <w:rFonts w:cstheme="minorHAnsi"/>
        </w:rPr>
        <w:t>3, p. 71</w:t>
      </w:r>
      <w:r w:rsidR="00E200ED" w:rsidRPr="00465FA8">
        <w:rPr>
          <w:rFonts w:cstheme="minorHAnsi"/>
        </w:rPr>
        <w:t xml:space="preserve">) call it ‘reculturing’, focusing on how museums include people in their day-to-day work, including how museum educators work with the public. The most common term, however, is </w:t>
      </w:r>
      <w:r w:rsidR="00AD1B0E" w:rsidRPr="00465FA8">
        <w:rPr>
          <w:rFonts w:cstheme="minorHAnsi"/>
        </w:rPr>
        <w:t>d</w:t>
      </w:r>
      <w:r w:rsidR="00E200ED" w:rsidRPr="00465FA8">
        <w:rPr>
          <w:rFonts w:cstheme="minorHAnsi"/>
        </w:rPr>
        <w:t>emocratisation</w:t>
      </w:r>
      <w:r w:rsidR="00AD1B0E" w:rsidRPr="00465FA8">
        <w:rPr>
          <w:rFonts w:cstheme="minorHAnsi"/>
        </w:rPr>
        <w:t>.</w:t>
      </w:r>
    </w:p>
    <w:p w14:paraId="64C30DC9" w14:textId="3A1B0285" w:rsidR="00064B46" w:rsidRPr="00465FA8" w:rsidRDefault="00064B46" w:rsidP="00E91D2A">
      <w:pPr>
        <w:spacing w:line="480" w:lineRule="auto"/>
        <w:rPr>
          <w:rFonts w:cstheme="minorHAnsi"/>
        </w:rPr>
      </w:pPr>
      <w:r w:rsidRPr="00465FA8">
        <w:rPr>
          <w:rFonts w:cstheme="minorHAnsi"/>
        </w:rPr>
        <w:t xml:space="preserve">Democratising a </w:t>
      </w:r>
      <w:r w:rsidR="00A2695F" w:rsidRPr="00465FA8">
        <w:rPr>
          <w:rFonts w:cstheme="minorHAnsi"/>
        </w:rPr>
        <w:t>collection</w:t>
      </w:r>
      <w:r w:rsidRPr="00465FA8">
        <w:rPr>
          <w:rFonts w:cstheme="minorHAnsi"/>
        </w:rPr>
        <w:t xml:space="preserve"> involves centring the audience in the planning and execution of exhibitions, displays and events. Where possible, they should have input on the topic, the objects, and the labelling (for specific examples, see MA 2020a, pp. 07-08; pp. 13-20). It is an empowering form of engagement, with outreach to individuals and community groups irrelevant of their formal </w:t>
      </w:r>
      <w:r w:rsidRPr="00465FA8">
        <w:rPr>
          <w:rFonts w:cstheme="minorHAnsi"/>
        </w:rPr>
        <w:lastRenderedPageBreak/>
        <w:t xml:space="preserve">qualifications. It focuses on lived experience, requiring a museum to acknowledge the inherent cultural knowledge of </w:t>
      </w:r>
      <w:r w:rsidR="00E823EA" w:rsidRPr="00465FA8">
        <w:rPr>
          <w:rFonts w:cstheme="minorHAnsi"/>
        </w:rPr>
        <w:t>its</w:t>
      </w:r>
      <w:r w:rsidRPr="00465FA8">
        <w:rPr>
          <w:rFonts w:cstheme="minorHAnsi"/>
        </w:rPr>
        <w:t xml:space="preserve"> community. This builds a level of community investment and trust </w:t>
      </w:r>
      <w:r w:rsidR="00E823EA" w:rsidRPr="00465FA8">
        <w:rPr>
          <w:rFonts w:cstheme="minorHAnsi"/>
        </w:rPr>
        <w:t>towards</w:t>
      </w:r>
      <w:r w:rsidRPr="00465FA8">
        <w:rPr>
          <w:rFonts w:cstheme="minorHAnsi"/>
        </w:rPr>
        <w:t xml:space="preserve"> the museum, as it becomes clearer that </w:t>
      </w:r>
      <w:r w:rsidR="00E823EA" w:rsidRPr="00465FA8">
        <w:rPr>
          <w:rFonts w:cstheme="minorHAnsi"/>
        </w:rPr>
        <w:t>it is</w:t>
      </w:r>
      <w:r w:rsidRPr="00465FA8">
        <w:rPr>
          <w:rFonts w:cstheme="minorHAnsi"/>
        </w:rPr>
        <w:t xml:space="preserve"> working </w:t>
      </w:r>
      <w:r w:rsidRPr="00465FA8">
        <w:rPr>
          <w:rFonts w:cstheme="minorHAnsi"/>
          <w:i/>
          <w:iCs/>
        </w:rPr>
        <w:t>with</w:t>
      </w:r>
      <w:r w:rsidRPr="00465FA8">
        <w:rPr>
          <w:rFonts w:cstheme="minorHAnsi"/>
        </w:rPr>
        <w:t xml:space="preserve"> </w:t>
      </w:r>
      <w:r w:rsidR="00E823EA" w:rsidRPr="00465FA8">
        <w:rPr>
          <w:rFonts w:cstheme="minorHAnsi"/>
        </w:rPr>
        <w:t>the community</w:t>
      </w:r>
      <w:r w:rsidRPr="00465FA8">
        <w:rPr>
          <w:rFonts w:cstheme="minorHAnsi"/>
        </w:rPr>
        <w:t xml:space="preserve">, rather than </w:t>
      </w:r>
      <w:r w:rsidRPr="00465FA8">
        <w:rPr>
          <w:rFonts w:cstheme="minorHAnsi"/>
          <w:i/>
          <w:iCs/>
        </w:rPr>
        <w:t>for</w:t>
      </w:r>
      <w:r w:rsidRPr="00465FA8">
        <w:rPr>
          <w:rFonts w:cstheme="minorHAnsi"/>
        </w:rPr>
        <w:t xml:space="preserve"> them (MA</w:t>
      </w:r>
      <w:r w:rsidR="0006288A" w:rsidRPr="00465FA8">
        <w:rPr>
          <w:rFonts w:cstheme="minorHAnsi"/>
        </w:rPr>
        <w:t>,</w:t>
      </w:r>
      <w:r w:rsidRPr="00465FA8">
        <w:rPr>
          <w:rFonts w:cstheme="minorHAnsi"/>
        </w:rPr>
        <w:t xml:space="preserve"> 2018).  </w:t>
      </w:r>
    </w:p>
    <w:p w14:paraId="49748143" w14:textId="4F08664F" w:rsidR="00E200ED" w:rsidRPr="00465FA8" w:rsidRDefault="00E200ED" w:rsidP="00E91D2A">
      <w:pPr>
        <w:spacing w:line="480" w:lineRule="auto"/>
        <w:rPr>
          <w:rFonts w:cstheme="minorHAnsi"/>
        </w:rPr>
      </w:pPr>
      <w:r w:rsidRPr="00465FA8">
        <w:rPr>
          <w:rFonts w:cstheme="minorHAnsi"/>
        </w:rPr>
        <w:t xml:space="preserve">These networks </w:t>
      </w:r>
      <w:r w:rsidR="00064B46" w:rsidRPr="00465FA8">
        <w:rPr>
          <w:rFonts w:cstheme="minorHAnsi"/>
        </w:rPr>
        <w:t>must have</w:t>
      </w:r>
      <w:r w:rsidRPr="00465FA8">
        <w:rPr>
          <w:rFonts w:cstheme="minorHAnsi"/>
        </w:rPr>
        <w:t xml:space="preserve"> equity, where the community is as much of an asset to the museum, as the museum is </w:t>
      </w:r>
      <w:r w:rsidR="00E823EA" w:rsidRPr="00465FA8">
        <w:rPr>
          <w:rFonts w:cstheme="minorHAnsi"/>
        </w:rPr>
        <w:t>to</w:t>
      </w:r>
      <w:r w:rsidRPr="00465FA8">
        <w:rPr>
          <w:rFonts w:cstheme="minorHAnsi"/>
        </w:rPr>
        <w:t xml:space="preserve"> the community (Kadoyama</w:t>
      </w:r>
      <w:r w:rsidR="0006288A" w:rsidRPr="00465FA8">
        <w:rPr>
          <w:rFonts w:cstheme="minorHAnsi"/>
        </w:rPr>
        <w:t>,</w:t>
      </w:r>
      <w:r w:rsidRPr="00465FA8">
        <w:rPr>
          <w:rFonts w:cstheme="minorHAnsi"/>
        </w:rPr>
        <w:t xml:space="preserve"> 2018). While the museum provides a central hub for building connections within the community</w:t>
      </w:r>
      <w:r w:rsidR="00465FA8" w:rsidRPr="00465FA8">
        <w:rPr>
          <w:rFonts w:cstheme="minorHAnsi"/>
        </w:rPr>
        <w:t xml:space="preserve"> </w:t>
      </w:r>
      <w:r w:rsidRPr="00465FA8">
        <w:rPr>
          <w:rFonts w:cstheme="minorHAnsi"/>
        </w:rPr>
        <w:t xml:space="preserve">and enhances the health and wellbeing of </w:t>
      </w:r>
      <w:r w:rsidR="00465FA8" w:rsidRPr="00465FA8">
        <w:rPr>
          <w:rFonts w:cstheme="minorHAnsi"/>
        </w:rPr>
        <w:t>its</w:t>
      </w:r>
      <w:r w:rsidRPr="00465FA8">
        <w:rPr>
          <w:rFonts w:cstheme="minorHAnsi"/>
        </w:rPr>
        <w:t xml:space="preserve"> audience (Kadoyama</w:t>
      </w:r>
      <w:r w:rsidR="0006288A" w:rsidRPr="00465FA8">
        <w:rPr>
          <w:rFonts w:cstheme="minorHAnsi"/>
        </w:rPr>
        <w:t>,</w:t>
      </w:r>
      <w:r w:rsidRPr="00465FA8">
        <w:rPr>
          <w:rFonts w:cstheme="minorHAnsi"/>
        </w:rPr>
        <w:t xml:space="preserve"> 2018; MA</w:t>
      </w:r>
      <w:r w:rsidR="0006288A" w:rsidRPr="00465FA8">
        <w:rPr>
          <w:rFonts w:cstheme="minorHAnsi"/>
        </w:rPr>
        <w:t>,</w:t>
      </w:r>
      <w:r w:rsidRPr="00465FA8">
        <w:rPr>
          <w:rFonts w:cstheme="minorHAnsi"/>
        </w:rPr>
        <w:t xml:space="preserve"> 2017), the museum gains </w:t>
      </w:r>
      <w:r w:rsidR="00A2695F" w:rsidRPr="00465FA8">
        <w:rPr>
          <w:rFonts w:cstheme="minorHAnsi"/>
        </w:rPr>
        <w:t>vital</w:t>
      </w:r>
      <w:r w:rsidRPr="00465FA8">
        <w:rPr>
          <w:rFonts w:cstheme="minorHAnsi"/>
        </w:rPr>
        <w:t xml:space="preserve"> knowledge and </w:t>
      </w:r>
      <w:r w:rsidR="00A2695F" w:rsidRPr="00465FA8">
        <w:rPr>
          <w:rFonts w:cstheme="minorHAnsi"/>
        </w:rPr>
        <w:t xml:space="preserve">skills from </w:t>
      </w:r>
      <w:r w:rsidR="00465FA8" w:rsidRPr="00465FA8">
        <w:rPr>
          <w:rFonts w:cstheme="minorHAnsi"/>
        </w:rPr>
        <w:t>its</w:t>
      </w:r>
      <w:r w:rsidRPr="00465FA8">
        <w:rPr>
          <w:rFonts w:cstheme="minorHAnsi"/>
        </w:rPr>
        <w:t xml:space="preserve"> audience</w:t>
      </w:r>
      <w:r w:rsidR="00A2695F" w:rsidRPr="00465FA8">
        <w:rPr>
          <w:rFonts w:cstheme="minorHAnsi"/>
        </w:rPr>
        <w:t xml:space="preserve">, in a way that improves both </w:t>
      </w:r>
      <w:r w:rsidR="00465FA8" w:rsidRPr="00465FA8">
        <w:rPr>
          <w:rFonts w:cstheme="minorHAnsi"/>
        </w:rPr>
        <w:t>its</w:t>
      </w:r>
      <w:r w:rsidR="00A2695F" w:rsidRPr="00465FA8">
        <w:rPr>
          <w:rFonts w:cstheme="minorHAnsi"/>
        </w:rPr>
        <w:t xml:space="preserve"> work and reputation</w:t>
      </w:r>
      <w:r w:rsidRPr="00465FA8">
        <w:rPr>
          <w:rFonts w:cstheme="minorHAnsi"/>
        </w:rPr>
        <w:t>.</w:t>
      </w:r>
    </w:p>
    <w:p w14:paraId="158FBF02" w14:textId="7687582A" w:rsidR="00E200ED" w:rsidRPr="00465FA8" w:rsidRDefault="00E200ED" w:rsidP="00E91D2A">
      <w:pPr>
        <w:spacing w:line="480" w:lineRule="auto"/>
        <w:rPr>
          <w:rFonts w:cstheme="minorHAnsi"/>
        </w:rPr>
      </w:pPr>
      <w:r w:rsidRPr="00465FA8">
        <w:rPr>
          <w:rFonts w:cstheme="minorHAnsi"/>
        </w:rPr>
        <w:t>There are also reputational benefits of strong community work, both locally and nationally. With the local community, the museum gains a strong position of trust, emphasising their position as holders of community knowledge (MA</w:t>
      </w:r>
      <w:r w:rsidR="0006288A" w:rsidRPr="00465FA8">
        <w:rPr>
          <w:rFonts w:cstheme="minorHAnsi"/>
        </w:rPr>
        <w:t>,</w:t>
      </w:r>
      <w:r w:rsidRPr="00465FA8">
        <w:rPr>
          <w:rFonts w:cstheme="minorHAnsi"/>
        </w:rPr>
        <w:t xml:space="preserve"> 2020b). There is evidence that this increased trust leads to audience members feeling looked after, improving their overall engagement (Kids in Museums</w:t>
      </w:r>
      <w:r w:rsidR="0006288A" w:rsidRPr="00465FA8">
        <w:rPr>
          <w:rFonts w:cstheme="minorHAnsi"/>
        </w:rPr>
        <w:t>,</w:t>
      </w:r>
      <w:r w:rsidRPr="00465FA8">
        <w:rPr>
          <w:rFonts w:cstheme="minorHAnsi"/>
        </w:rPr>
        <w:t xml:space="preserve"> 2022). Nationally, museums will be able to use their audience work as evidence when applying for gran</w:t>
      </w:r>
      <w:r w:rsidR="00465FA8" w:rsidRPr="00465FA8">
        <w:rPr>
          <w:rFonts w:cstheme="minorHAnsi"/>
        </w:rPr>
        <w:t>t</w:t>
      </w:r>
      <w:r w:rsidRPr="00465FA8">
        <w:rPr>
          <w:rFonts w:cstheme="minorHAnsi"/>
        </w:rPr>
        <w:t xml:space="preserve"> funding, particularly if it increases audience engagement or enables the museum to hit specific targets (</w:t>
      </w:r>
      <w:r w:rsidR="00A2695F" w:rsidRPr="00465FA8">
        <w:rPr>
          <w:rFonts w:cstheme="minorHAnsi"/>
        </w:rPr>
        <w:t xml:space="preserve">for examples of grant requests using community work </w:t>
      </w:r>
      <w:r w:rsidRPr="00465FA8">
        <w:rPr>
          <w:rFonts w:cstheme="minorHAnsi"/>
        </w:rPr>
        <w:t>see MA</w:t>
      </w:r>
      <w:r w:rsidR="0006288A" w:rsidRPr="00465FA8">
        <w:rPr>
          <w:rFonts w:cstheme="minorHAnsi"/>
        </w:rPr>
        <w:t>,</w:t>
      </w:r>
      <w:r w:rsidRPr="00465FA8">
        <w:rPr>
          <w:rFonts w:cstheme="minorHAnsi"/>
        </w:rPr>
        <w:t xml:space="preserve"> 2018), and may gain recognition in national publications – for example through the Museums Association’s Museums Change Live Awards.</w:t>
      </w:r>
    </w:p>
    <w:p w14:paraId="122CDB9F" w14:textId="0A01048C" w:rsidR="00E200ED" w:rsidRPr="00465FA8" w:rsidRDefault="00E200ED" w:rsidP="00E91D2A">
      <w:pPr>
        <w:spacing w:line="480" w:lineRule="auto"/>
        <w:rPr>
          <w:rFonts w:cstheme="minorHAnsi"/>
        </w:rPr>
      </w:pPr>
      <w:r w:rsidRPr="00465FA8">
        <w:rPr>
          <w:rFonts w:cstheme="minorHAnsi"/>
        </w:rPr>
        <w:t xml:space="preserve">Democratisation is vital when responding to a diversifying audience, as it allows a museum to see who is in their </w:t>
      </w:r>
      <w:r w:rsidR="00A2695F" w:rsidRPr="00465FA8">
        <w:rPr>
          <w:rFonts w:cstheme="minorHAnsi"/>
        </w:rPr>
        <w:t>community</w:t>
      </w:r>
      <w:r w:rsidRPr="00465FA8">
        <w:rPr>
          <w:rFonts w:cstheme="minorHAnsi"/>
        </w:rPr>
        <w:t xml:space="preserve">, and what they would like to see. The process automatically engages with and encourages diversity within the group, highlighting voices that would otherwise have been missing in museum work. This was </w:t>
      </w:r>
      <w:r w:rsidR="002E11D4">
        <w:rPr>
          <w:rFonts w:cstheme="minorHAnsi"/>
        </w:rPr>
        <w:t>identified</w:t>
      </w:r>
      <w:r w:rsidRPr="00465FA8">
        <w:rPr>
          <w:rFonts w:cstheme="minorHAnsi"/>
        </w:rPr>
        <w:t xml:space="preserve"> by the Museums Association</w:t>
      </w:r>
      <w:r w:rsidR="002E11D4">
        <w:rPr>
          <w:rFonts w:cstheme="minorHAnsi"/>
        </w:rPr>
        <w:t xml:space="preserve"> in 2019 (p. 4) when they wrote that ‘t</w:t>
      </w:r>
      <w:r w:rsidRPr="00465FA8">
        <w:rPr>
          <w:rFonts w:cstheme="minorHAnsi"/>
        </w:rPr>
        <w:t>he next decade will require all museums to consider how they can use their collections to appeal to a growing and diverse audience</w:t>
      </w:r>
      <w:r w:rsidR="002E11D4">
        <w:rPr>
          <w:rFonts w:cstheme="minorHAnsi"/>
        </w:rPr>
        <w:t>’.</w:t>
      </w:r>
    </w:p>
    <w:p w14:paraId="2314B139" w14:textId="7DBB02EA" w:rsidR="00E200ED" w:rsidRPr="00465FA8" w:rsidRDefault="00E200ED" w:rsidP="00E91D2A">
      <w:pPr>
        <w:spacing w:line="480" w:lineRule="auto"/>
        <w:rPr>
          <w:rFonts w:cstheme="minorHAnsi"/>
        </w:rPr>
      </w:pPr>
      <w:r w:rsidRPr="00465FA8">
        <w:rPr>
          <w:rFonts w:cstheme="minorHAnsi"/>
        </w:rPr>
        <w:lastRenderedPageBreak/>
        <w:t xml:space="preserve">However, there are difficulties with this that need to be acknowledged. While democratising, on paper, would help a museum engage with </w:t>
      </w:r>
      <w:r w:rsidR="00465FA8" w:rsidRPr="00465FA8">
        <w:rPr>
          <w:rFonts w:cstheme="minorHAnsi"/>
        </w:rPr>
        <w:t>its</w:t>
      </w:r>
      <w:r w:rsidRPr="00465FA8">
        <w:rPr>
          <w:rFonts w:cstheme="minorHAnsi"/>
        </w:rPr>
        <w:t xml:space="preserve"> audience, the demographic of those who engage may not provide the diverse viewpoint necessary.</w:t>
      </w:r>
      <w:r w:rsidR="00064B46" w:rsidRPr="00465FA8">
        <w:rPr>
          <w:rFonts w:cstheme="minorHAnsi"/>
        </w:rPr>
        <w:t xml:space="preserve"> This could be for </w:t>
      </w:r>
      <w:r w:rsidR="00465FA8" w:rsidRPr="00465FA8">
        <w:rPr>
          <w:rFonts w:cstheme="minorHAnsi"/>
        </w:rPr>
        <w:t>several</w:t>
      </w:r>
      <w:r w:rsidR="00064B46" w:rsidRPr="00465FA8">
        <w:rPr>
          <w:rFonts w:cstheme="minorHAnsi"/>
        </w:rPr>
        <w:t xml:space="preserve"> reasons, but a common concern is related to the threshold fear discussed earlier. This is related to the colonial history of the museum sector, where many marginalised individuals feel uncomfortable giving their information to an institution built on cultural </w:t>
      </w:r>
      <w:r w:rsidR="005F04D0" w:rsidRPr="00465FA8">
        <w:rPr>
          <w:rFonts w:cstheme="minorHAnsi"/>
        </w:rPr>
        <w:t>loss</w:t>
      </w:r>
      <w:r w:rsidR="00064B46" w:rsidRPr="00465FA8">
        <w:rPr>
          <w:rFonts w:cstheme="minorHAnsi"/>
        </w:rPr>
        <w:t>. It is the job of a museum to take this feedback on board</w:t>
      </w:r>
      <w:r w:rsidR="00465FA8" w:rsidRPr="00465FA8">
        <w:rPr>
          <w:rFonts w:cstheme="minorHAnsi"/>
        </w:rPr>
        <w:t xml:space="preserve"> </w:t>
      </w:r>
      <w:r w:rsidR="00064B46" w:rsidRPr="00465FA8">
        <w:rPr>
          <w:rFonts w:cstheme="minorHAnsi"/>
        </w:rPr>
        <w:t xml:space="preserve">and to work towards creating trust </w:t>
      </w:r>
      <w:r w:rsidR="00465FA8" w:rsidRPr="00465FA8">
        <w:rPr>
          <w:rFonts w:cstheme="minorHAnsi"/>
        </w:rPr>
        <w:t>with the community</w:t>
      </w:r>
      <w:r w:rsidR="00064B46" w:rsidRPr="00465FA8">
        <w:rPr>
          <w:rFonts w:cstheme="minorHAnsi"/>
        </w:rPr>
        <w:t>. This can only be done through internal work and radical restructur</w:t>
      </w:r>
      <w:r w:rsidR="00465FA8" w:rsidRPr="00465FA8">
        <w:rPr>
          <w:rFonts w:cstheme="minorHAnsi"/>
        </w:rPr>
        <w:t>ing</w:t>
      </w:r>
      <w:r w:rsidR="00064B46" w:rsidRPr="00465FA8">
        <w:rPr>
          <w:rFonts w:cstheme="minorHAnsi"/>
        </w:rPr>
        <w:t>.</w:t>
      </w:r>
    </w:p>
    <w:p w14:paraId="7F4064FF" w14:textId="646F8C8F" w:rsidR="003D3291" w:rsidRPr="00465FA8" w:rsidRDefault="003D3291" w:rsidP="00E91D2A">
      <w:pPr>
        <w:spacing w:line="480" w:lineRule="auto"/>
        <w:rPr>
          <w:rFonts w:cstheme="minorHAnsi"/>
        </w:rPr>
      </w:pPr>
    </w:p>
    <w:p w14:paraId="267048F4" w14:textId="1C17B428" w:rsidR="003D3291" w:rsidRPr="00465FA8" w:rsidRDefault="003D3291" w:rsidP="00E91D2A">
      <w:pPr>
        <w:spacing w:line="480" w:lineRule="auto"/>
        <w:rPr>
          <w:rFonts w:cstheme="minorHAnsi"/>
          <w:u w:val="single"/>
        </w:rPr>
      </w:pPr>
      <w:r w:rsidRPr="00465FA8">
        <w:rPr>
          <w:rFonts w:cstheme="minorHAnsi"/>
          <w:u w:val="single"/>
        </w:rPr>
        <w:t>Internal Change</w:t>
      </w:r>
    </w:p>
    <w:p w14:paraId="1C6FF23F" w14:textId="5456A0D5" w:rsidR="003D3291" w:rsidRPr="00465FA8" w:rsidRDefault="003D3291" w:rsidP="00E91D2A">
      <w:pPr>
        <w:spacing w:line="480" w:lineRule="auto"/>
        <w:rPr>
          <w:rFonts w:cstheme="minorHAnsi"/>
        </w:rPr>
      </w:pPr>
      <w:r w:rsidRPr="00465FA8">
        <w:rPr>
          <w:rFonts w:cstheme="minorHAnsi"/>
        </w:rPr>
        <w:t>Many museums choose to focus on external work rather than analysing their internal policies. These projects are often short-lived, creating short-term change – but they provide an easy start and end point, which can give quick but ephemeral success. Instead, museums need to consider their internal structures that could be upholding institutional inequality and audience</w:t>
      </w:r>
      <w:r w:rsidR="005F04D0" w:rsidRPr="00465FA8">
        <w:rPr>
          <w:rFonts w:cstheme="minorHAnsi"/>
        </w:rPr>
        <w:t xml:space="preserve"> </w:t>
      </w:r>
      <w:r w:rsidRPr="00465FA8">
        <w:rPr>
          <w:rFonts w:cstheme="minorHAnsi"/>
        </w:rPr>
        <w:t xml:space="preserve">hegemony. This can be an uncomfortable process, requiring radical re-analysis, and a space for the </w:t>
      </w:r>
      <w:r w:rsidR="005F04D0" w:rsidRPr="00465FA8">
        <w:rPr>
          <w:rFonts w:cstheme="minorHAnsi"/>
        </w:rPr>
        <w:t>community</w:t>
      </w:r>
      <w:r w:rsidRPr="00465FA8">
        <w:rPr>
          <w:rFonts w:cstheme="minorHAnsi"/>
        </w:rPr>
        <w:t xml:space="preserve"> to give honest feedback on their experiences or misgivings about the museum. Community involvement is key to these developments, introducing direct viewpoints from the diverse audience museums are trying to reach (Jennings and Jones-Rizzi, 2017).</w:t>
      </w:r>
    </w:p>
    <w:p w14:paraId="5BE149CC" w14:textId="6885BB39" w:rsidR="003D3291" w:rsidRPr="00465FA8" w:rsidRDefault="003D3291" w:rsidP="00E91D2A">
      <w:pPr>
        <w:spacing w:line="480" w:lineRule="auto"/>
        <w:rPr>
          <w:rFonts w:cstheme="minorHAnsi"/>
        </w:rPr>
      </w:pPr>
      <w:r w:rsidRPr="00465FA8">
        <w:rPr>
          <w:rFonts w:cstheme="minorHAnsi"/>
        </w:rPr>
        <w:t>This ability to engage with museum review inherently builds trust, although many marginalised people are disillusioned by copious consultation without change. Instead, museums can use this as a chance to review all policies relating to audiences and staff, considering how these could impact others.</w:t>
      </w:r>
    </w:p>
    <w:p w14:paraId="678833D9" w14:textId="4ABDBE8C" w:rsidR="008A4F2F" w:rsidRPr="00465FA8" w:rsidRDefault="003D3291" w:rsidP="00E91D2A">
      <w:pPr>
        <w:spacing w:line="480" w:lineRule="auto"/>
        <w:rPr>
          <w:rFonts w:cstheme="minorHAnsi"/>
        </w:rPr>
      </w:pPr>
      <w:r w:rsidRPr="00465FA8">
        <w:rPr>
          <w:rFonts w:cstheme="minorHAnsi"/>
        </w:rPr>
        <w:t xml:space="preserve">One of the key outcomes </w:t>
      </w:r>
      <w:r w:rsidR="00465FA8" w:rsidRPr="00465FA8">
        <w:rPr>
          <w:rFonts w:cstheme="minorHAnsi"/>
        </w:rPr>
        <w:t>of</w:t>
      </w:r>
      <w:r w:rsidRPr="00465FA8">
        <w:rPr>
          <w:rFonts w:cstheme="minorHAnsi"/>
        </w:rPr>
        <w:t xml:space="preserve"> this is a more representative group of staff and volunteers within the museum (MA 2020a). Museums are ‘microcosms’ of their community (Jennings and Jones-Rizzi </w:t>
      </w:r>
      <w:r w:rsidRPr="00465FA8">
        <w:rPr>
          <w:rFonts w:cstheme="minorHAnsi"/>
        </w:rPr>
        <w:lastRenderedPageBreak/>
        <w:t xml:space="preserve">2017, p. 64), they need to be reflective of their audience rather than of the </w:t>
      </w:r>
      <w:r w:rsidR="00AD1B0E" w:rsidRPr="00465FA8">
        <w:rPr>
          <w:rFonts w:cstheme="minorHAnsi"/>
        </w:rPr>
        <w:t>industry. As</w:t>
      </w:r>
      <w:r w:rsidRPr="00465FA8">
        <w:rPr>
          <w:rFonts w:cstheme="minorHAnsi"/>
        </w:rPr>
        <w:t xml:space="preserve"> repeatedly mentioned, this will not work for all museums (and, indeed, some museums already have strongly representative staff and volunteer groups; Jennings and Jones-Rizzi 2017), but many will need to complete this work to make change</w:t>
      </w:r>
      <w:r w:rsidR="008A4F2F" w:rsidRPr="00465FA8">
        <w:rPr>
          <w:rFonts w:cstheme="minorHAnsi"/>
        </w:rPr>
        <w:t>.</w:t>
      </w:r>
    </w:p>
    <w:p w14:paraId="26902A13" w14:textId="7C9DF9B8" w:rsidR="008A4F2F" w:rsidRPr="00465FA8" w:rsidRDefault="008A4F2F" w:rsidP="00E91D2A">
      <w:pPr>
        <w:spacing w:line="480" w:lineRule="auto"/>
        <w:rPr>
          <w:rFonts w:cstheme="minorHAnsi"/>
        </w:rPr>
      </w:pPr>
      <w:r w:rsidRPr="00465FA8">
        <w:rPr>
          <w:rFonts w:cstheme="minorHAnsi"/>
        </w:rPr>
        <w:t xml:space="preserve">Developments can be made in collaboration with external consultancy agencies, and groups </w:t>
      </w:r>
      <w:r w:rsidR="00465FA8">
        <w:rPr>
          <w:rFonts w:cstheme="minorHAnsi"/>
        </w:rPr>
        <w:t>that</w:t>
      </w:r>
      <w:r w:rsidRPr="00465FA8">
        <w:rPr>
          <w:rFonts w:cstheme="minorHAnsi"/>
        </w:rPr>
        <w:t xml:space="preserve"> offer specific internships. For example, Museums and Galleries Edinburgh </w:t>
      </w:r>
      <w:r w:rsidR="00465FA8">
        <w:rPr>
          <w:rFonts w:cstheme="minorHAnsi"/>
        </w:rPr>
        <w:t>partnered</w:t>
      </w:r>
      <w:r w:rsidRPr="00465FA8">
        <w:rPr>
          <w:rFonts w:cstheme="minorHAnsi"/>
        </w:rPr>
        <w:t xml:space="preserve"> with the Next Steps Initiative, which created specific spaces in Edinburgh heritage sites for </w:t>
      </w:r>
      <w:r w:rsidR="00465FA8">
        <w:rPr>
          <w:rFonts w:cstheme="minorHAnsi"/>
        </w:rPr>
        <w:t>BME trainees</w:t>
      </w:r>
      <w:r w:rsidRPr="00465FA8">
        <w:rPr>
          <w:rFonts w:cstheme="minorHAnsi"/>
        </w:rPr>
        <w:t xml:space="preserve"> (MA 2020a, pp. 21-22).</w:t>
      </w:r>
    </w:p>
    <w:p w14:paraId="2C0729BC" w14:textId="52C8E94F" w:rsidR="003D3291" w:rsidRPr="00465FA8" w:rsidRDefault="003D3291" w:rsidP="00E91D2A">
      <w:pPr>
        <w:spacing w:line="480" w:lineRule="auto"/>
        <w:rPr>
          <w:rFonts w:cstheme="minorHAnsi"/>
        </w:rPr>
      </w:pPr>
      <w:r w:rsidRPr="00465FA8">
        <w:rPr>
          <w:rFonts w:cstheme="minorHAnsi"/>
        </w:rPr>
        <w:t>The Museums Association (201</w:t>
      </w:r>
      <w:r w:rsidR="00415482" w:rsidRPr="00465FA8">
        <w:rPr>
          <w:rFonts w:cstheme="minorHAnsi"/>
        </w:rPr>
        <w:t>7</w:t>
      </w:r>
      <w:r w:rsidRPr="00465FA8">
        <w:rPr>
          <w:rFonts w:cstheme="minorHAnsi"/>
        </w:rPr>
        <w:t xml:space="preserve">) suggests that </w:t>
      </w:r>
      <w:r w:rsidR="00465FA8">
        <w:rPr>
          <w:rFonts w:cstheme="minorHAnsi"/>
        </w:rPr>
        <w:t>an increase in</w:t>
      </w:r>
      <w:r w:rsidRPr="00465FA8">
        <w:rPr>
          <w:rFonts w:cstheme="minorHAnsi"/>
        </w:rPr>
        <w:t xml:space="preserve"> volunteering roles</w:t>
      </w:r>
      <w:r w:rsidR="00465FA8">
        <w:rPr>
          <w:rFonts w:cstheme="minorHAnsi"/>
        </w:rPr>
        <w:t xml:space="preserve"> </w:t>
      </w:r>
      <w:r w:rsidRPr="00465FA8">
        <w:rPr>
          <w:rFonts w:cstheme="minorHAnsi"/>
        </w:rPr>
        <w:t>provide</w:t>
      </w:r>
      <w:r w:rsidR="00465FA8">
        <w:rPr>
          <w:rFonts w:cstheme="minorHAnsi"/>
        </w:rPr>
        <w:t>s</w:t>
      </w:r>
      <w:r w:rsidRPr="00465FA8">
        <w:rPr>
          <w:rFonts w:cstheme="minorHAnsi"/>
        </w:rPr>
        <w:t xml:space="preserve"> a space for marginalised people to develop skills they would otherwise be able to. While volunteering does support professional development and allows people access to the sector, it could inadvertently continue to maintain the unpaid labour of marginalised people in the name of diversity initiatives, rather than providing a clear and fair wage for the level of knowledge and work involved in these roles </w:t>
      </w:r>
      <w:r w:rsidR="00415482" w:rsidRPr="00465FA8">
        <w:rPr>
          <w:rFonts w:cstheme="minorHAnsi"/>
        </w:rPr>
        <w:t>(Ng, Ware and Greenberg, 2017)</w:t>
      </w:r>
      <w:r w:rsidRPr="00465FA8">
        <w:rPr>
          <w:rFonts w:cstheme="minorHAnsi"/>
        </w:rPr>
        <w:t>.</w:t>
      </w:r>
    </w:p>
    <w:p w14:paraId="6977DA86" w14:textId="521364A7" w:rsidR="008A4F2F" w:rsidRPr="00465FA8" w:rsidRDefault="008A4F2F" w:rsidP="00E91D2A">
      <w:pPr>
        <w:spacing w:line="480" w:lineRule="auto"/>
        <w:rPr>
          <w:rFonts w:cstheme="minorHAnsi"/>
        </w:rPr>
      </w:pPr>
      <w:r w:rsidRPr="00465FA8">
        <w:rPr>
          <w:rFonts w:cstheme="minorHAnsi"/>
        </w:rPr>
        <w:t xml:space="preserve">Kadoyama (2018, p. 8) suggests viewing communities as an asset, both though their knowledge and capacity, which could help museums to balance their power within the relationship. Although the museum (theoretically) has more money, a bigger workforce, and generally takes the lead while working with </w:t>
      </w:r>
      <w:r w:rsidR="00465FA8">
        <w:rPr>
          <w:rFonts w:cstheme="minorHAnsi"/>
        </w:rPr>
        <w:t>objects</w:t>
      </w:r>
      <w:r w:rsidRPr="00465FA8">
        <w:rPr>
          <w:rFonts w:cstheme="minorHAnsi"/>
        </w:rPr>
        <w:t>, a community group bring</w:t>
      </w:r>
      <w:r w:rsidR="00465FA8">
        <w:rPr>
          <w:rFonts w:cstheme="minorHAnsi"/>
        </w:rPr>
        <w:t>s</w:t>
      </w:r>
      <w:r w:rsidRPr="00465FA8">
        <w:rPr>
          <w:rFonts w:cstheme="minorHAnsi"/>
        </w:rPr>
        <w:t xml:space="preserve"> a specific set of cultural knowledge and skills that would be otherwise unavailable. Where payment is made available, that disparity is further reduced.</w:t>
      </w:r>
    </w:p>
    <w:p w14:paraId="4D31E090" w14:textId="4D093508" w:rsidR="008A4F2F" w:rsidRPr="00465FA8" w:rsidRDefault="008A4F2F" w:rsidP="00E91D2A">
      <w:pPr>
        <w:spacing w:line="480" w:lineRule="auto"/>
        <w:rPr>
          <w:rFonts w:cstheme="minorHAnsi"/>
        </w:rPr>
      </w:pPr>
      <w:r w:rsidRPr="00465FA8">
        <w:rPr>
          <w:rFonts w:cstheme="minorHAnsi"/>
        </w:rPr>
        <w:t>For example, the Pitt Rivers Museum in Oxford, which places community partnership at the centre of the museum (</w:t>
      </w:r>
      <w:r w:rsidR="00415482" w:rsidRPr="00465FA8">
        <w:rPr>
          <w:rFonts w:cstheme="minorHAnsi"/>
        </w:rPr>
        <w:t>Pitt Rivers Museum, 2018</w:t>
      </w:r>
      <w:r w:rsidR="0006288A" w:rsidRPr="00465FA8">
        <w:rPr>
          <w:rFonts w:cstheme="minorHAnsi"/>
        </w:rPr>
        <w:t>a</w:t>
      </w:r>
      <w:r w:rsidRPr="00465FA8">
        <w:rPr>
          <w:rFonts w:cstheme="minorHAnsi"/>
        </w:rPr>
        <w:t xml:space="preserve">), works with the University of Oxford Equality and Diversity Unit to recruit paid Community Ambassadors – students with lived experience in areas connected to the museum collection and projects. This has included a Community Ambassador for Syrian Refugees, working on the Multaka Oxford project, and multiple Ambassadors focused on Black inclusion in the museum, now focused on the Windrush Group projects </w:t>
      </w:r>
      <w:r w:rsidR="0006288A" w:rsidRPr="00465FA8">
        <w:rPr>
          <w:rFonts w:cstheme="minorHAnsi"/>
        </w:rPr>
        <w:t>(Pitt Rivers Museum, 2018b</w:t>
      </w:r>
      <w:r w:rsidRPr="00465FA8">
        <w:rPr>
          <w:rFonts w:cstheme="minorHAnsi"/>
        </w:rPr>
        <w:t xml:space="preserve">). </w:t>
      </w:r>
      <w:r w:rsidRPr="00465FA8">
        <w:rPr>
          <w:rFonts w:cstheme="minorHAnsi"/>
        </w:rPr>
        <w:lastRenderedPageBreak/>
        <w:t xml:space="preserve">By </w:t>
      </w:r>
      <w:r w:rsidR="00465FA8">
        <w:rPr>
          <w:rFonts w:cstheme="minorHAnsi"/>
        </w:rPr>
        <w:t>providing</w:t>
      </w:r>
      <w:r w:rsidRPr="00465FA8">
        <w:rPr>
          <w:rFonts w:cstheme="minorHAnsi"/>
        </w:rPr>
        <w:t xml:space="preserve"> payment for their role, the museum acknowledges the wealth of their expertise and networks and </w:t>
      </w:r>
      <w:r w:rsidR="00C76630" w:rsidRPr="00465FA8">
        <w:rPr>
          <w:rFonts w:cstheme="minorHAnsi"/>
        </w:rPr>
        <w:t>starts to re-evaluate its organisational culture</w:t>
      </w:r>
      <w:r w:rsidRPr="00465FA8">
        <w:rPr>
          <w:rFonts w:cstheme="minorHAnsi"/>
        </w:rPr>
        <w:t>.</w:t>
      </w:r>
    </w:p>
    <w:p w14:paraId="29D8EAEA" w14:textId="44A573BF" w:rsidR="003D3291" w:rsidRPr="00465FA8" w:rsidRDefault="008A4F2F" w:rsidP="00E91D2A">
      <w:pPr>
        <w:spacing w:line="480" w:lineRule="auto"/>
        <w:rPr>
          <w:rFonts w:cstheme="minorHAnsi"/>
        </w:rPr>
      </w:pPr>
      <w:r w:rsidRPr="00465FA8">
        <w:rPr>
          <w:rFonts w:cstheme="minorHAnsi"/>
        </w:rPr>
        <w:t xml:space="preserve">Hiring diversity projects, however, should not just include entry-level or so-called ‘unskilled’ staff (hospitality and estates staff, for example), but also leadership positions within the organisation. Jennings and Jones-Rizzi (2017) note in their work the percentage of board roles in museums and related industries, and the dramatic difference in white staff versus </w:t>
      </w:r>
      <w:r w:rsidR="00465FA8">
        <w:rPr>
          <w:rFonts w:cstheme="minorHAnsi"/>
        </w:rPr>
        <w:t>BME staff</w:t>
      </w:r>
      <w:r w:rsidRPr="00465FA8">
        <w:rPr>
          <w:rFonts w:cstheme="minorHAnsi"/>
        </w:rPr>
        <w:t xml:space="preserve">. </w:t>
      </w:r>
      <w:r w:rsidR="003D3291" w:rsidRPr="00465FA8">
        <w:rPr>
          <w:rFonts w:cstheme="minorHAnsi"/>
        </w:rPr>
        <w:t>Without changes to the structures that maintain the status quo, museums will not be able to adapt to their increasingly diverse communities. Community involvement can only cover internal stagnation for so long, and change cannot be made without considering staffing (Jennings and Jones-Rizzi</w:t>
      </w:r>
      <w:r w:rsidR="005F04D0" w:rsidRPr="00465FA8">
        <w:rPr>
          <w:rFonts w:cstheme="minorHAnsi"/>
        </w:rPr>
        <w:t>,</w:t>
      </w:r>
      <w:r w:rsidR="003D3291" w:rsidRPr="00465FA8">
        <w:rPr>
          <w:rFonts w:cstheme="minorHAnsi"/>
        </w:rPr>
        <w:t xml:space="preserve"> 2017). To quote the Museums Association Code of Ethics (2020</w:t>
      </w:r>
      <w:r w:rsidR="0006288A" w:rsidRPr="00465FA8">
        <w:rPr>
          <w:rFonts w:cstheme="minorHAnsi"/>
        </w:rPr>
        <w:t>b</w:t>
      </w:r>
      <w:r w:rsidR="003D3291" w:rsidRPr="00465FA8">
        <w:rPr>
          <w:rFonts w:cstheme="minorHAnsi"/>
        </w:rPr>
        <w:t xml:space="preserve">, p. 3), ‘Ethical reflection is an essential part of everyday museum practice’. While this is </w:t>
      </w:r>
      <w:r w:rsidR="00EB5BB3" w:rsidRPr="00465FA8">
        <w:rPr>
          <w:rFonts w:cstheme="minorHAnsi"/>
        </w:rPr>
        <w:t>referring</w:t>
      </w:r>
      <w:r w:rsidR="003D3291" w:rsidRPr="00465FA8">
        <w:rPr>
          <w:rFonts w:cstheme="minorHAnsi"/>
        </w:rPr>
        <w:t xml:space="preserve"> to a review of collections and information, it should also apply to broader principles within the museum, including the principles of those in charge of the organisation.</w:t>
      </w:r>
    </w:p>
    <w:p w14:paraId="51B7D60B" w14:textId="116FF688" w:rsidR="008A4F2F" w:rsidRPr="00465FA8" w:rsidRDefault="008A4F2F" w:rsidP="00E91D2A">
      <w:pPr>
        <w:spacing w:line="480" w:lineRule="auto"/>
        <w:rPr>
          <w:rFonts w:cstheme="minorHAnsi"/>
        </w:rPr>
      </w:pPr>
      <w:proofErr w:type="gramStart"/>
      <w:r w:rsidRPr="00465FA8">
        <w:rPr>
          <w:rFonts w:cstheme="minorHAnsi"/>
        </w:rPr>
        <w:t>All of</w:t>
      </w:r>
      <w:proofErr w:type="gramEnd"/>
      <w:r w:rsidRPr="00465FA8">
        <w:rPr>
          <w:rFonts w:cstheme="minorHAnsi"/>
        </w:rPr>
        <w:t xml:space="preserve"> these processes are likely to take time but could have a profound impact on the sector as a whole, never mind the individual museums. Successful schemes have shown that unrepresented people want to be involved in museums, but perhaps feel they are unable to. Further support for existing staff will help maintain those new staff members in heritage roles. Changes at board-level will take even longer, but museums should consider the work they can do to increase applicants from the breadth of their diverse community, including offers for mentorship and application support.</w:t>
      </w:r>
    </w:p>
    <w:p w14:paraId="0F518A7D" w14:textId="463A9109" w:rsidR="008A4F2F" w:rsidRPr="00465FA8" w:rsidRDefault="008A4F2F" w:rsidP="00E91D2A">
      <w:pPr>
        <w:spacing w:line="480" w:lineRule="auto"/>
        <w:rPr>
          <w:rFonts w:cstheme="minorHAnsi"/>
        </w:rPr>
      </w:pPr>
    </w:p>
    <w:p w14:paraId="4FDAE5E1" w14:textId="0F04ACE3" w:rsidR="008A4F2F" w:rsidRPr="00465FA8" w:rsidRDefault="008A4F2F" w:rsidP="00E91D2A">
      <w:pPr>
        <w:spacing w:line="480" w:lineRule="auto"/>
        <w:rPr>
          <w:rFonts w:cstheme="minorHAnsi"/>
          <w:u w:val="single"/>
        </w:rPr>
      </w:pPr>
      <w:r w:rsidRPr="00465FA8">
        <w:rPr>
          <w:rFonts w:cstheme="minorHAnsi"/>
          <w:u w:val="single"/>
        </w:rPr>
        <w:t>Conclusion</w:t>
      </w:r>
    </w:p>
    <w:p w14:paraId="75BF733B" w14:textId="7B637650" w:rsidR="008A4F2F" w:rsidRPr="00465FA8" w:rsidRDefault="008A4F2F" w:rsidP="00E91D2A">
      <w:pPr>
        <w:spacing w:line="480" w:lineRule="auto"/>
        <w:rPr>
          <w:rFonts w:cstheme="minorHAnsi"/>
        </w:rPr>
      </w:pPr>
      <w:r w:rsidRPr="00465FA8">
        <w:rPr>
          <w:rFonts w:cstheme="minorHAnsi"/>
        </w:rPr>
        <w:t xml:space="preserve">Overall, </w:t>
      </w:r>
      <w:r w:rsidR="00EB5BB3" w:rsidRPr="00465FA8">
        <w:rPr>
          <w:rFonts w:cstheme="minorHAnsi"/>
        </w:rPr>
        <w:t>museums</w:t>
      </w:r>
      <w:r w:rsidRPr="00465FA8">
        <w:rPr>
          <w:rFonts w:cstheme="minorHAnsi"/>
        </w:rPr>
        <w:t xml:space="preserve"> are doing work to adapt to their diverse audiences – and, indeed, they do</w:t>
      </w:r>
      <w:r w:rsidR="00C76630" w:rsidRPr="00465FA8">
        <w:rPr>
          <w:rFonts w:cstheme="minorHAnsi"/>
        </w:rPr>
        <w:t xml:space="preserve"> no</w:t>
      </w:r>
      <w:r w:rsidRPr="00465FA8">
        <w:rPr>
          <w:rFonts w:cstheme="minorHAnsi"/>
        </w:rPr>
        <w:t xml:space="preserve">t have a choice but to engage with these processes. However, what is being done depends on each </w:t>
      </w:r>
      <w:r w:rsidRPr="00465FA8">
        <w:rPr>
          <w:rFonts w:cstheme="minorHAnsi"/>
        </w:rPr>
        <w:lastRenderedPageBreak/>
        <w:t>museum and the scope that they have chosen to involve their community</w:t>
      </w:r>
      <w:r w:rsidR="00F70DB9" w:rsidRPr="00465FA8">
        <w:rPr>
          <w:rFonts w:cstheme="minorHAnsi"/>
        </w:rPr>
        <w:t>, as there is little policy to support their decisions</w:t>
      </w:r>
      <w:r w:rsidRPr="00465FA8">
        <w:rPr>
          <w:rFonts w:cstheme="minorHAnsi"/>
        </w:rPr>
        <w:t>. This is a good thing – no two museums are the same and forcing all to complete the same work would not be productive.</w:t>
      </w:r>
      <w:r w:rsidR="00F70DB9" w:rsidRPr="00465FA8">
        <w:rPr>
          <w:rFonts w:cstheme="minorHAnsi"/>
        </w:rPr>
        <w:t xml:space="preserve"> </w:t>
      </w:r>
      <w:r w:rsidRPr="00465FA8">
        <w:rPr>
          <w:rFonts w:cstheme="minorHAnsi"/>
        </w:rPr>
        <w:t>However, this also allows some museums to do the minimum (or nothing) when it comes to making change, furthering the stereotype that museums do not care about their community, outside of the middle- and upper-class white family.</w:t>
      </w:r>
    </w:p>
    <w:p w14:paraId="3071094B" w14:textId="2B51ECBB" w:rsidR="00C57A81" w:rsidRPr="00465FA8" w:rsidRDefault="00F70DB9" w:rsidP="00E91D2A">
      <w:pPr>
        <w:spacing w:line="480" w:lineRule="auto"/>
        <w:rPr>
          <w:rFonts w:cstheme="minorHAnsi"/>
        </w:rPr>
      </w:pPr>
      <w:r w:rsidRPr="00465FA8">
        <w:rPr>
          <w:rFonts w:cstheme="minorHAnsi"/>
        </w:rPr>
        <w:t>Even where museums are doing work towards diverse audiences, there is</w:t>
      </w:r>
      <w:r w:rsidR="00465FA8">
        <w:rPr>
          <w:rFonts w:cstheme="minorHAnsi"/>
        </w:rPr>
        <w:t xml:space="preserve"> a</w:t>
      </w:r>
      <w:r w:rsidRPr="00465FA8">
        <w:rPr>
          <w:rFonts w:cstheme="minorHAnsi"/>
        </w:rPr>
        <w:t xml:space="preserve"> struggle to find a universal focus. There is no agreement about which communities </w:t>
      </w:r>
      <w:r w:rsidR="00C57A81" w:rsidRPr="00465FA8">
        <w:rPr>
          <w:rFonts w:cstheme="minorHAnsi"/>
        </w:rPr>
        <w:t>are the focus of national effort, leading to some communities (in terms of their location) being under</w:t>
      </w:r>
      <w:r w:rsidR="00465FA8">
        <w:rPr>
          <w:rFonts w:cstheme="minorHAnsi"/>
        </w:rPr>
        <w:t>-</w:t>
      </w:r>
      <w:r w:rsidR="00C57A81" w:rsidRPr="00465FA8">
        <w:rPr>
          <w:rFonts w:cstheme="minorHAnsi"/>
        </w:rPr>
        <w:t xml:space="preserve">supported by their museum. Some groups suggest focusing on immigrant families; </w:t>
      </w:r>
      <w:r w:rsidR="005F04D0" w:rsidRPr="00465FA8">
        <w:rPr>
          <w:rFonts w:cstheme="minorHAnsi"/>
        </w:rPr>
        <w:t>some</w:t>
      </w:r>
      <w:r w:rsidR="00C57A81" w:rsidRPr="00465FA8">
        <w:rPr>
          <w:rFonts w:cstheme="minorHAnsi"/>
        </w:rPr>
        <w:t xml:space="preserve"> say the ag</w:t>
      </w:r>
      <w:r w:rsidR="00465FA8">
        <w:rPr>
          <w:rFonts w:cstheme="minorHAnsi"/>
        </w:rPr>
        <w:t>e</w:t>
      </w:r>
      <w:r w:rsidR="00C57A81" w:rsidRPr="00465FA8">
        <w:rPr>
          <w:rFonts w:cstheme="minorHAnsi"/>
        </w:rPr>
        <w:t>ing populatio</w:t>
      </w:r>
      <w:r w:rsidR="005F04D0" w:rsidRPr="00465FA8">
        <w:rPr>
          <w:rFonts w:cstheme="minorHAnsi"/>
        </w:rPr>
        <w:t>n</w:t>
      </w:r>
      <w:r w:rsidR="00C57A81" w:rsidRPr="00465FA8">
        <w:rPr>
          <w:rFonts w:cstheme="minorHAnsi"/>
        </w:rPr>
        <w:t>; others say</w:t>
      </w:r>
      <w:r w:rsidR="00465FA8">
        <w:rPr>
          <w:rFonts w:cstheme="minorHAnsi"/>
        </w:rPr>
        <w:t xml:space="preserve"> </w:t>
      </w:r>
      <w:r w:rsidR="00C57A81" w:rsidRPr="00465FA8">
        <w:rPr>
          <w:rFonts w:cstheme="minorHAnsi"/>
        </w:rPr>
        <w:t>disabled people</w:t>
      </w:r>
      <w:r w:rsidR="005F04D0" w:rsidRPr="00465FA8">
        <w:rPr>
          <w:rFonts w:cstheme="minorHAnsi"/>
        </w:rPr>
        <w:t xml:space="preserve">; </w:t>
      </w:r>
      <w:r w:rsidR="00C57A81" w:rsidRPr="00465FA8">
        <w:rPr>
          <w:rFonts w:cstheme="minorHAnsi"/>
        </w:rPr>
        <w:t>or that the focus should be on the growing BME population. Some museums prefer to focus on an area specific to them, for example</w:t>
      </w:r>
      <w:r w:rsidR="00EB5BB3">
        <w:rPr>
          <w:rFonts w:cstheme="minorHAnsi"/>
        </w:rPr>
        <w:t>,</w:t>
      </w:r>
      <w:r w:rsidR="00C57A81" w:rsidRPr="00465FA8">
        <w:rPr>
          <w:rFonts w:cstheme="minorHAnsi"/>
        </w:rPr>
        <w:t xml:space="preserve"> the Cornwall Museums Partnership working </w:t>
      </w:r>
      <w:r w:rsidR="005F04D0" w:rsidRPr="00465FA8">
        <w:rPr>
          <w:rFonts w:cstheme="minorHAnsi"/>
        </w:rPr>
        <w:t>with</w:t>
      </w:r>
      <w:r w:rsidR="00C57A81" w:rsidRPr="00465FA8">
        <w:rPr>
          <w:rFonts w:cstheme="minorHAnsi"/>
        </w:rPr>
        <w:t xml:space="preserve"> the ‘Cornish National Minority’ (MA</w:t>
      </w:r>
      <w:r w:rsidR="0006288A" w:rsidRPr="00465FA8">
        <w:rPr>
          <w:rFonts w:cstheme="minorHAnsi"/>
        </w:rPr>
        <w:t>,</w:t>
      </w:r>
      <w:r w:rsidR="00C57A81" w:rsidRPr="00465FA8">
        <w:rPr>
          <w:rFonts w:cstheme="minorHAnsi"/>
        </w:rPr>
        <w:t xml:space="preserve"> 2020a, p. 20), while others choose t</w:t>
      </w:r>
      <w:r w:rsidR="005F04D0" w:rsidRPr="00465FA8">
        <w:rPr>
          <w:rFonts w:cstheme="minorHAnsi"/>
        </w:rPr>
        <w:t>heir</w:t>
      </w:r>
      <w:r w:rsidR="00C57A81" w:rsidRPr="00465FA8">
        <w:rPr>
          <w:rFonts w:cstheme="minorHAnsi"/>
        </w:rPr>
        <w:t xml:space="preserve"> work based on the exhibitions taking place. Some museums have seen a great impact, while others have not.</w:t>
      </w:r>
    </w:p>
    <w:p w14:paraId="4CB49DA9" w14:textId="6948CC14" w:rsidR="008A4F2F" w:rsidRPr="00465FA8" w:rsidRDefault="008A4F2F" w:rsidP="00E91D2A">
      <w:pPr>
        <w:spacing w:line="480" w:lineRule="auto"/>
        <w:rPr>
          <w:rFonts w:cstheme="minorHAnsi"/>
        </w:rPr>
      </w:pPr>
      <w:r w:rsidRPr="00465FA8">
        <w:rPr>
          <w:rFonts w:cstheme="minorHAnsi"/>
        </w:rPr>
        <w:t>There is also a strong belief present in museum literature about how audience engagement, particularly focused on diversifying audiences, can benefit the museum financially. This could be related to the groups involved, where funding is available for specific work with those groups – for example, with refugees and non-European immigrant families (MA</w:t>
      </w:r>
      <w:r w:rsidR="0006288A" w:rsidRPr="00465FA8">
        <w:rPr>
          <w:rFonts w:cstheme="minorHAnsi"/>
        </w:rPr>
        <w:t>,</w:t>
      </w:r>
      <w:r w:rsidRPr="00465FA8">
        <w:rPr>
          <w:rFonts w:cstheme="minorHAnsi"/>
        </w:rPr>
        <w:t xml:space="preserve"> 2018). However, there</w:t>
      </w:r>
      <w:r w:rsidR="00C76630" w:rsidRPr="00465FA8">
        <w:rPr>
          <w:rFonts w:cstheme="minorHAnsi"/>
        </w:rPr>
        <w:t xml:space="preserve"> i</w:t>
      </w:r>
      <w:r w:rsidRPr="00465FA8">
        <w:rPr>
          <w:rFonts w:cstheme="minorHAnsi"/>
        </w:rPr>
        <w:t>s also a large weight put on institutional value and reputation, suggesting that work on diversifying an audience will place bring attention to the museum, supporting grant requests and highlighting their work to private funding organisations (Cerquetti 2016; Mihelj, Leguina and Downey 2019).</w:t>
      </w:r>
    </w:p>
    <w:p w14:paraId="481146B8" w14:textId="173E85A0" w:rsidR="008A4F2F" w:rsidRPr="00465FA8" w:rsidRDefault="008A4F2F" w:rsidP="00E91D2A">
      <w:pPr>
        <w:spacing w:line="480" w:lineRule="auto"/>
        <w:rPr>
          <w:rFonts w:cstheme="minorHAnsi"/>
        </w:rPr>
      </w:pPr>
      <w:r w:rsidRPr="00465FA8">
        <w:rPr>
          <w:rFonts w:cstheme="minorHAnsi"/>
        </w:rPr>
        <w:t>While this is</w:t>
      </w:r>
      <w:r w:rsidR="00C76630" w:rsidRPr="00465FA8">
        <w:rPr>
          <w:rFonts w:cstheme="minorHAnsi"/>
        </w:rPr>
        <w:t xml:space="preserve"> no</w:t>
      </w:r>
      <w:r w:rsidRPr="00465FA8">
        <w:rPr>
          <w:rFonts w:cstheme="minorHAnsi"/>
        </w:rPr>
        <w:t>t inherently bad</w:t>
      </w:r>
      <w:r w:rsidR="00EB5BB3">
        <w:rPr>
          <w:rFonts w:cstheme="minorHAnsi"/>
        </w:rPr>
        <w:t xml:space="preserve">, </w:t>
      </w:r>
      <w:r w:rsidRPr="00465FA8">
        <w:rPr>
          <w:rFonts w:cstheme="minorHAnsi"/>
        </w:rPr>
        <w:t xml:space="preserve">it does reflect the strong need for a why when making change, </w:t>
      </w:r>
      <w:r w:rsidR="00EB5BB3">
        <w:rPr>
          <w:rFonts w:cstheme="minorHAnsi"/>
        </w:rPr>
        <w:t>which</w:t>
      </w:r>
      <w:r w:rsidRPr="00465FA8">
        <w:rPr>
          <w:rFonts w:cstheme="minorHAnsi"/>
        </w:rPr>
        <w:t xml:space="preserve"> can be seen in the must Museums Association writing. Museums need to tangibly benefit from the partnership to feel it is worth pursuing, rather than working for the sole benefit of their community.</w:t>
      </w:r>
    </w:p>
    <w:p w14:paraId="21D31203" w14:textId="0BF930CB" w:rsidR="00F70DB9" w:rsidRPr="00465FA8" w:rsidRDefault="00EB5BB3" w:rsidP="00E91D2A">
      <w:pPr>
        <w:spacing w:line="480" w:lineRule="auto"/>
        <w:rPr>
          <w:rFonts w:cstheme="minorHAnsi"/>
        </w:rPr>
      </w:pPr>
      <w:r w:rsidRPr="00465FA8">
        <w:rPr>
          <w:rFonts w:cstheme="minorHAnsi"/>
        </w:rPr>
        <w:lastRenderedPageBreak/>
        <w:t>Many</w:t>
      </w:r>
      <w:r w:rsidR="008A4F2F" w:rsidRPr="00465FA8">
        <w:rPr>
          <w:rFonts w:cstheme="minorHAnsi"/>
        </w:rPr>
        <w:t xml:space="preserve"> museums are completing work to engage themselves with the community</w:t>
      </w:r>
      <w:r w:rsidR="00F70DB9" w:rsidRPr="00465FA8">
        <w:rPr>
          <w:rFonts w:cstheme="minorHAnsi"/>
        </w:rPr>
        <w:t xml:space="preserve"> </w:t>
      </w:r>
      <w:r w:rsidR="008A4F2F" w:rsidRPr="00465FA8">
        <w:rPr>
          <w:rFonts w:cstheme="minorHAnsi"/>
        </w:rPr>
        <w:t xml:space="preserve">and developing strategies to work with a rapidly diversifying audience. </w:t>
      </w:r>
      <w:r w:rsidR="00F70DB9" w:rsidRPr="00465FA8">
        <w:rPr>
          <w:rFonts w:cstheme="minorHAnsi"/>
        </w:rPr>
        <w:t xml:space="preserve">They have little choice – audiences are diversifying, and museums will need to keep up or lose their position within their community. To return to </w:t>
      </w:r>
      <w:r w:rsidR="005F04D0" w:rsidRPr="00465FA8">
        <w:rPr>
          <w:rFonts w:cstheme="minorHAnsi"/>
        </w:rPr>
        <w:t xml:space="preserve">this </w:t>
      </w:r>
      <w:r w:rsidR="00F70DB9" w:rsidRPr="00465FA8">
        <w:rPr>
          <w:rFonts w:cstheme="minorHAnsi"/>
        </w:rPr>
        <w:t>Museums Association guidance:</w:t>
      </w:r>
    </w:p>
    <w:p w14:paraId="718B8298" w14:textId="6F7729FE" w:rsidR="00F70DB9" w:rsidRPr="00465FA8" w:rsidRDefault="00F70DB9" w:rsidP="00F70DB9">
      <w:pPr>
        <w:ind w:left="720"/>
        <w:rPr>
          <w:rFonts w:cstheme="minorHAnsi"/>
        </w:rPr>
      </w:pPr>
      <w:r w:rsidRPr="00465FA8">
        <w:rPr>
          <w:rFonts w:cstheme="minorHAnsi"/>
        </w:rPr>
        <w:t>The next decade will require all museums to consider how they can use their collections to appeal to a growing and diverse audience. (MA 2019</w:t>
      </w:r>
      <w:r w:rsidR="002E11D4">
        <w:rPr>
          <w:rFonts w:cstheme="minorHAnsi"/>
        </w:rPr>
        <w:t>, p. 4</w:t>
      </w:r>
      <w:r w:rsidRPr="00465FA8">
        <w:rPr>
          <w:rFonts w:cstheme="minorHAnsi"/>
        </w:rPr>
        <w:t>)</w:t>
      </w:r>
    </w:p>
    <w:p w14:paraId="59D2D104" w14:textId="3A2493BF" w:rsidR="008A4F2F" w:rsidRPr="00465FA8" w:rsidRDefault="00F70DB9" w:rsidP="00E91D2A">
      <w:pPr>
        <w:spacing w:line="480" w:lineRule="auto"/>
        <w:rPr>
          <w:rFonts w:cstheme="minorHAnsi"/>
        </w:rPr>
      </w:pPr>
      <w:r w:rsidRPr="00465FA8">
        <w:rPr>
          <w:rFonts w:cstheme="minorHAnsi"/>
        </w:rPr>
        <w:t xml:space="preserve">Even if the statement of ‘the next decade’ is just a suggestion, museums do have a time limit to get this work right. The majority are moving towards this point, but there </w:t>
      </w:r>
      <w:r w:rsidR="00EB5BB3">
        <w:rPr>
          <w:rFonts w:cstheme="minorHAnsi"/>
        </w:rPr>
        <w:t>will always be</w:t>
      </w:r>
      <w:r w:rsidRPr="00465FA8">
        <w:rPr>
          <w:rFonts w:cstheme="minorHAnsi"/>
        </w:rPr>
        <w:t xml:space="preserve"> </w:t>
      </w:r>
      <w:r w:rsidR="00EB5BB3">
        <w:rPr>
          <w:rFonts w:cstheme="minorHAnsi"/>
        </w:rPr>
        <w:t>scope for more</w:t>
      </w:r>
      <w:r w:rsidRPr="00465FA8">
        <w:rPr>
          <w:rFonts w:cstheme="minorHAnsi"/>
        </w:rPr>
        <w:t xml:space="preserve">, simply due to the breadth of work that needs to be done. </w:t>
      </w:r>
    </w:p>
    <w:p w14:paraId="462913A2" w14:textId="709B95A1" w:rsidR="002E11D4" w:rsidRDefault="008A4F2F" w:rsidP="00E91D2A">
      <w:pPr>
        <w:spacing w:line="480" w:lineRule="auto"/>
        <w:rPr>
          <w:rFonts w:cstheme="minorHAnsi"/>
        </w:rPr>
      </w:pPr>
      <w:r w:rsidRPr="00465FA8">
        <w:rPr>
          <w:rFonts w:cstheme="minorHAnsi"/>
        </w:rPr>
        <w:t xml:space="preserve">Overall, there is most certainly more that can be done, as some museums move rapidly ahead with their engagement, while others lag. However, </w:t>
      </w:r>
      <w:r w:rsidR="00EB5BB3" w:rsidRPr="00465FA8">
        <w:rPr>
          <w:rFonts w:cstheme="minorHAnsi"/>
        </w:rPr>
        <w:t>most</w:t>
      </w:r>
      <w:r w:rsidRPr="00465FA8">
        <w:rPr>
          <w:rFonts w:cstheme="minorHAnsi"/>
        </w:rPr>
        <w:t xml:space="preserve"> museums must be completing audience work, otherwise</w:t>
      </w:r>
      <w:r w:rsidR="00EB5BB3">
        <w:rPr>
          <w:rFonts w:cstheme="minorHAnsi"/>
        </w:rPr>
        <w:t>,</w:t>
      </w:r>
      <w:r w:rsidRPr="00465FA8">
        <w:rPr>
          <w:rFonts w:cstheme="minorHAnsi"/>
        </w:rPr>
        <w:t xml:space="preserve"> they would not survive the rapidly changing demographics of the UK. Through democratisation, they develop strong exhibitions and principles, which can impact recruitment and revolutionise a museum’s structure. Through outreach and activism, museums take their place as cultural and community powerhouses, able to support great change when needed for the betterment of society.</w:t>
      </w:r>
    </w:p>
    <w:p w14:paraId="1BC83541" w14:textId="77777777" w:rsidR="002E11D4" w:rsidRDefault="002E11D4">
      <w:pPr>
        <w:rPr>
          <w:rFonts w:cstheme="minorHAnsi"/>
        </w:rPr>
      </w:pPr>
      <w:r>
        <w:rPr>
          <w:rFonts w:cstheme="minorHAnsi"/>
        </w:rPr>
        <w:br w:type="page"/>
      </w:r>
    </w:p>
    <w:p w14:paraId="0883BF48" w14:textId="7FC11E1B" w:rsidR="002E11D4" w:rsidRPr="002E11D4" w:rsidRDefault="002E11D4" w:rsidP="002E11D4">
      <w:pPr>
        <w:rPr>
          <w:rFonts w:cstheme="minorHAnsi"/>
          <w:u w:val="single"/>
        </w:rPr>
      </w:pPr>
      <w:r>
        <w:rPr>
          <w:rFonts w:cstheme="minorHAnsi"/>
          <w:u w:val="single"/>
        </w:rPr>
        <w:lastRenderedPageBreak/>
        <w:t>Bibliography</w:t>
      </w:r>
    </w:p>
    <w:p w14:paraId="414DD52B" w14:textId="0745A26E" w:rsidR="002E11D4" w:rsidRPr="002E11D4" w:rsidRDefault="002E11D4" w:rsidP="002E11D4">
      <w:pPr>
        <w:rPr>
          <w:rFonts w:cstheme="minorHAnsi"/>
        </w:rPr>
      </w:pPr>
      <w:r w:rsidRPr="002E11D4">
        <w:rPr>
          <w:rFonts w:cstheme="minorHAnsi"/>
        </w:rPr>
        <w:t xml:space="preserve">Arts Council Collection (2018) </w:t>
      </w:r>
      <w:r w:rsidRPr="002E11D4">
        <w:rPr>
          <w:rFonts w:cstheme="minorHAnsi"/>
          <w:i/>
          <w:iCs/>
        </w:rPr>
        <w:t>Women Power Protest.</w:t>
      </w:r>
      <w:r w:rsidRPr="002E11D4">
        <w:rPr>
          <w:rFonts w:cstheme="minorHAnsi"/>
        </w:rPr>
        <w:t xml:space="preserve"> Available at: https://artscouncilcollection.org.uk/exhibition/women-power-protest (Accessed: 3 January 2023).</w:t>
      </w:r>
    </w:p>
    <w:p w14:paraId="61F7AC4F" w14:textId="77777777" w:rsidR="002E11D4" w:rsidRPr="002E11D4" w:rsidRDefault="002E11D4" w:rsidP="002E11D4">
      <w:pPr>
        <w:rPr>
          <w:rFonts w:cstheme="minorHAnsi"/>
        </w:rPr>
      </w:pPr>
      <w:r w:rsidRPr="002E11D4">
        <w:rPr>
          <w:rFonts w:cstheme="minorHAnsi"/>
        </w:rPr>
        <w:t>Cerquetti, M. (2016) ‘</w:t>
      </w:r>
      <w:r w:rsidRPr="002E11D4">
        <w:rPr>
          <w:rFonts w:cstheme="minorHAnsi"/>
          <w:i/>
          <w:iCs/>
        </w:rPr>
        <w:t xml:space="preserve">More is better! </w:t>
      </w:r>
      <w:r w:rsidRPr="002E11D4">
        <w:rPr>
          <w:rFonts w:cstheme="minorHAnsi"/>
        </w:rPr>
        <w:t xml:space="preserve">Current issues and challenges for museum audience development: a literature review’, </w:t>
      </w:r>
      <w:r w:rsidRPr="002E11D4">
        <w:rPr>
          <w:rFonts w:cstheme="minorHAnsi"/>
          <w:i/>
          <w:iCs/>
        </w:rPr>
        <w:t>ENCATC Journal of Cultural Management and Policy</w:t>
      </w:r>
      <w:r w:rsidRPr="002E11D4">
        <w:rPr>
          <w:rFonts w:cstheme="minorHAnsi"/>
        </w:rPr>
        <w:t>, 6: 1, pp. 30-43.</w:t>
      </w:r>
    </w:p>
    <w:p w14:paraId="759A3CCB" w14:textId="44377389" w:rsidR="002E11D4" w:rsidRPr="002E11D4" w:rsidRDefault="002E11D4" w:rsidP="002E11D4">
      <w:pPr>
        <w:rPr>
          <w:rFonts w:cstheme="minorHAnsi"/>
        </w:rPr>
      </w:pPr>
      <w:r w:rsidRPr="002E11D4">
        <w:rPr>
          <w:rFonts w:cstheme="minorHAnsi"/>
        </w:rPr>
        <w:t xml:space="preserve">Clark, R. (2005) </w:t>
      </w:r>
      <w:r w:rsidRPr="002E11D4">
        <w:rPr>
          <w:rFonts w:cstheme="minorHAnsi"/>
          <w:i/>
          <w:iCs/>
        </w:rPr>
        <w:t xml:space="preserve">Providing Young Disabled People with Access to Cultural Venues. </w:t>
      </w:r>
      <w:r w:rsidRPr="002E11D4">
        <w:rPr>
          <w:rFonts w:cstheme="minorHAnsi"/>
        </w:rPr>
        <w:t>Available at: https://engage.org/resources/providing-young-disabled-people-with-access-to-cultural-venues/ (Accessed: 29 December 2022).</w:t>
      </w:r>
    </w:p>
    <w:p w14:paraId="391B3FBE" w14:textId="35A50B28" w:rsidR="002E11D4" w:rsidRPr="002E11D4" w:rsidRDefault="002E11D4" w:rsidP="002E11D4">
      <w:pPr>
        <w:rPr>
          <w:rFonts w:cstheme="minorHAnsi"/>
        </w:rPr>
      </w:pPr>
      <w:r w:rsidRPr="002E11D4">
        <w:rPr>
          <w:rFonts w:cstheme="minorHAnsi"/>
        </w:rPr>
        <w:t xml:space="preserve">Cultural Inclusion (2019) </w:t>
      </w:r>
      <w:r w:rsidRPr="002E11D4">
        <w:rPr>
          <w:rFonts w:cstheme="minorHAnsi"/>
          <w:i/>
          <w:iCs/>
        </w:rPr>
        <w:t>The Cultural Inclusion Manifesto.</w:t>
      </w:r>
      <w:r w:rsidRPr="002E11D4">
        <w:rPr>
          <w:rFonts w:cstheme="minorHAnsi"/>
        </w:rPr>
        <w:t xml:space="preserve"> Available at: https://culturalinclusion.uk/manifesto/ (Accessed: 30 December 2022).</w:t>
      </w:r>
    </w:p>
    <w:p w14:paraId="65692992" w14:textId="69732C49" w:rsidR="002E11D4" w:rsidRPr="002E11D4" w:rsidRDefault="002E11D4" w:rsidP="002E11D4">
      <w:pPr>
        <w:rPr>
          <w:rFonts w:cstheme="minorHAnsi"/>
        </w:rPr>
      </w:pPr>
      <w:r w:rsidRPr="002E11D4">
        <w:rPr>
          <w:rFonts w:cstheme="minorHAnsi"/>
        </w:rPr>
        <w:t xml:space="preserve">Culture Health &amp; Wellbeing Alliance (2014) </w:t>
      </w:r>
      <w:r w:rsidRPr="002E11D4">
        <w:rPr>
          <w:rFonts w:cstheme="minorHAnsi"/>
          <w:i/>
          <w:iCs/>
        </w:rPr>
        <w:t>Age Friendly Museums Network Manifesto</w:t>
      </w:r>
      <w:r w:rsidRPr="002E11D4">
        <w:rPr>
          <w:rFonts w:cstheme="minorHAnsi"/>
        </w:rPr>
        <w:t>. Available at: https://www.culturehealthandwellbeing.org.uk/node/182 (Accessed: 29 December 2022).</w:t>
      </w:r>
    </w:p>
    <w:p w14:paraId="0E6CC62B" w14:textId="24E62397" w:rsidR="002E11D4" w:rsidRPr="002E11D4" w:rsidRDefault="002E11D4" w:rsidP="002E11D4">
      <w:pPr>
        <w:rPr>
          <w:rFonts w:cstheme="minorHAnsi"/>
        </w:rPr>
      </w:pPr>
      <w:r w:rsidRPr="002E11D4">
        <w:rPr>
          <w:rFonts w:cstheme="minorHAnsi"/>
        </w:rPr>
        <w:t xml:space="preserve">International Council of Museums (2022) </w:t>
      </w:r>
      <w:r w:rsidRPr="002E11D4">
        <w:rPr>
          <w:rFonts w:cstheme="minorHAnsi"/>
          <w:i/>
          <w:iCs/>
        </w:rPr>
        <w:t>ICOM Statues</w:t>
      </w:r>
      <w:r w:rsidRPr="002E11D4">
        <w:rPr>
          <w:rFonts w:cstheme="minorHAnsi"/>
        </w:rPr>
        <w:t>. Available at: https://icom.museum/en/ressource/icoms-statutes/ (Accessed 2 January 2023).</w:t>
      </w:r>
    </w:p>
    <w:p w14:paraId="7DFB2A52" w14:textId="37BDED34" w:rsidR="002E11D4" w:rsidRPr="002E11D4" w:rsidRDefault="002E11D4" w:rsidP="002E11D4">
      <w:pPr>
        <w:rPr>
          <w:rFonts w:cstheme="minorHAnsi"/>
        </w:rPr>
      </w:pPr>
      <w:r w:rsidRPr="002E11D4">
        <w:rPr>
          <w:rFonts w:cstheme="minorHAnsi"/>
        </w:rPr>
        <w:t xml:space="preserve">Jennings, G. and Jones-Rizzi, J. (2017) ‘Museums, White Privilege, and Diversity: A Systemic Perspective’, </w:t>
      </w:r>
      <w:r w:rsidRPr="002E11D4">
        <w:rPr>
          <w:rFonts w:cstheme="minorHAnsi"/>
          <w:i/>
          <w:iCs/>
        </w:rPr>
        <w:t>Dimensions</w:t>
      </w:r>
      <w:r w:rsidRPr="002E11D4">
        <w:rPr>
          <w:rFonts w:cstheme="minorHAnsi"/>
        </w:rPr>
        <w:t>, Special Edition (2017), pp. 63-74. Available at: https://www.astc.org/astc-dimensions/dimensions-special-edition-growing-toward-future-feel-welcome-heard/ (Accessed: 28 December 2022).</w:t>
      </w:r>
    </w:p>
    <w:p w14:paraId="27938FAA" w14:textId="77777777" w:rsidR="002E11D4" w:rsidRPr="002E11D4" w:rsidRDefault="002E11D4" w:rsidP="002E11D4">
      <w:pPr>
        <w:rPr>
          <w:rFonts w:cstheme="minorHAnsi"/>
        </w:rPr>
      </w:pPr>
      <w:r w:rsidRPr="002E11D4">
        <w:rPr>
          <w:rFonts w:cstheme="minorHAnsi"/>
        </w:rPr>
        <w:t xml:space="preserve">Kadoyama, M. (2018) </w:t>
      </w:r>
      <w:r w:rsidRPr="002E11D4">
        <w:rPr>
          <w:rFonts w:cstheme="minorHAnsi"/>
          <w:i/>
          <w:iCs/>
        </w:rPr>
        <w:t>Museums Involving Communities: Authentic Connections</w:t>
      </w:r>
      <w:r w:rsidRPr="002E11D4">
        <w:rPr>
          <w:rFonts w:cstheme="minorHAnsi"/>
        </w:rPr>
        <w:t xml:space="preserve">. New York, </w:t>
      </w:r>
      <w:proofErr w:type="gramStart"/>
      <w:r w:rsidRPr="002E11D4">
        <w:rPr>
          <w:rFonts w:cstheme="minorHAnsi"/>
        </w:rPr>
        <w:t>NY</w:t>
      </w:r>
      <w:proofErr w:type="gramEnd"/>
      <w:r w:rsidRPr="002E11D4">
        <w:rPr>
          <w:rFonts w:cstheme="minorHAnsi"/>
        </w:rPr>
        <w:t xml:space="preserve"> and Oxon: Routledge.</w:t>
      </w:r>
    </w:p>
    <w:p w14:paraId="62FB3A9B" w14:textId="4FCDEF7A" w:rsidR="002E11D4" w:rsidRPr="002E11D4" w:rsidRDefault="002E11D4" w:rsidP="002E11D4">
      <w:pPr>
        <w:rPr>
          <w:rFonts w:cstheme="minorHAnsi"/>
        </w:rPr>
      </w:pPr>
      <w:r w:rsidRPr="002E11D4">
        <w:rPr>
          <w:rFonts w:cstheme="minorHAnsi"/>
        </w:rPr>
        <w:t xml:space="preserve">Kids in Museums (2022) </w:t>
      </w:r>
      <w:r w:rsidRPr="002E11D4">
        <w:rPr>
          <w:rFonts w:cstheme="minorHAnsi"/>
          <w:i/>
          <w:iCs/>
        </w:rPr>
        <w:t>Manifesto</w:t>
      </w:r>
      <w:r w:rsidRPr="002E11D4">
        <w:rPr>
          <w:rFonts w:cstheme="minorHAnsi"/>
        </w:rPr>
        <w:t>. Available at: https://kidsinmuseums.org.uk/what-we-do/manifesto/ (Accessed: 28 December 2022).</w:t>
      </w:r>
    </w:p>
    <w:p w14:paraId="5B0441F2" w14:textId="77777777" w:rsidR="002E11D4" w:rsidRPr="002E11D4" w:rsidRDefault="002E11D4" w:rsidP="002E11D4">
      <w:pPr>
        <w:rPr>
          <w:rFonts w:cstheme="minorHAnsi"/>
        </w:rPr>
      </w:pPr>
      <w:r w:rsidRPr="002E11D4">
        <w:rPr>
          <w:rFonts w:cstheme="minorHAnsi"/>
        </w:rPr>
        <w:t xml:space="preserve">Mihelj, S., Leguina, A. and Downey, J. (2019) ‘Culture is digital: Cultural participation, diversity and the digital divide’, </w:t>
      </w:r>
      <w:r w:rsidRPr="002E11D4">
        <w:rPr>
          <w:rFonts w:cstheme="minorHAnsi"/>
          <w:i/>
          <w:iCs/>
        </w:rPr>
        <w:t>New Media &amp; Society</w:t>
      </w:r>
      <w:r w:rsidRPr="002E11D4">
        <w:rPr>
          <w:rFonts w:cstheme="minorHAnsi"/>
        </w:rPr>
        <w:t>, 21: 7, pp. 1465-1485.</w:t>
      </w:r>
    </w:p>
    <w:p w14:paraId="4D62C17F" w14:textId="4898EC35" w:rsidR="002E11D4" w:rsidRPr="002E11D4" w:rsidRDefault="002E11D4" w:rsidP="002E11D4">
      <w:pPr>
        <w:rPr>
          <w:rFonts w:cstheme="minorHAnsi"/>
        </w:rPr>
      </w:pPr>
      <w:r w:rsidRPr="002E11D4">
        <w:rPr>
          <w:rFonts w:cstheme="minorHAnsi"/>
        </w:rPr>
        <w:t>M</w:t>
      </w:r>
      <w:r>
        <w:rPr>
          <w:rFonts w:cstheme="minorHAnsi"/>
        </w:rPr>
        <w:t xml:space="preserve">useum of </w:t>
      </w:r>
      <w:r w:rsidRPr="002E11D4">
        <w:rPr>
          <w:rFonts w:cstheme="minorHAnsi"/>
        </w:rPr>
        <w:t>H</w:t>
      </w:r>
      <w:r>
        <w:rPr>
          <w:rFonts w:cstheme="minorHAnsi"/>
        </w:rPr>
        <w:t>omelessness</w:t>
      </w:r>
      <w:r w:rsidRPr="002E11D4">
        <w:rPr>
          <w:rFonts w:cstheme="minorHAnsi"/>
        </w:rPr>
        <w:t xml:space="preserve"> (2019) </w:t>
      </w:r>
      <w:r w:rsidRPr="002E11D4">
        <w:rPr>
          <w:rFonts w:cstheme="minorHAnsi"/>
          <w:i/>
          <w:iCs/>
        </w:rPr>
        <w:t>About the Dying Homeless Project</w:t>
      </w:r>
      <w:r w:rsidRPr="002E11D4">
        <w:rPr>
          <w:rFonts w:cstheme="minorHAnsi"/>
        </w:rPr>
        <w:t>. Available at: https://museumofhomelessness.org/dhp (Accessed 3 January 2023).</w:t>
      </w:r>
    </w:p>
    <w:p w14:paraId="60A60425" w14:textId="23BE6BA3" w:rsidR="002E11D4" w:rsidRPr="002E11D4" w:rsidRDefault="002E11D4" w:rsidP="002E11D4">
      <w:pPr>
        <w:rPr>
          <w:rFonts w:cstheme="minorHAnsi"/>
        </w:rPr>
      </w:pPr>
      <w:r w:rsidRPr="002E11D4">
        <w:rPr>
          <w:rFonts w:cstheme="minorHAnsi"/>
        </w:rPr>
        <w:t>M</w:t>
      </w:r>
      <w:r>
        <w:rPr>
          <w:rFonts w:cstheme="minorHAnsi"/>
        </w:rPr>
        <w:t xml:space="preserve">useum </w:t>
      </w:r>
      <w:r w:rsidRPr="002E11D4">
        <w:rPr>
          <w:rFonts w:cstheme="minorHAnsi"/>
        </w:rPr>
        <w:t>o</w:t>
      </w:r>
      <w:r>
        <w:rPr>
          <w:rFonts w:cstheme="minorHAnsi"/>
        </w:rPr>
        <w:t xml:space="preserve">f </w:t>
      </w:r>
      <w:r w:rsidRPr="002E11D4">
        <w:rPr>
          <w:rFonts w:cstheme="minorHAnsi"/>
        </w:rPr>
        <w:t>H</w:t>
      </w:r>
      <w:r>
        <w:rPr>
          <w:rFonts w:cstheme="minorHAnsi"/>
        </w:rPr>
        <w:t>omelessness</w:t>
      </w:r>
      <w:r w:rsidRPr="002E11D4">
        <w:rPr>
          <w:rFonts w:cstheme="minorHAnsi"/>
        </w:rPr>
        <w:t xml:space="preserve"> (2022) </w:t>
      </w:r>
      <w:r w:rsidRPr="002E11D4">
        <w:rPr>
          <w:rFonts w:cstheme="minorHAnsi"/>
          <w:i/>
          <w:iCs/>
        </w:rPr>
        <w:t>Our Next Death Café Event</w:t>
      </w:r>
      <w:r w:rsidRPr="002E11D4">
        <w:rPr>
          <w:rFonts w:cstheme="minorHAnsi"/>
        </w:rPr>
        <w:t>. Available at: https://museumofhomelessness.org/news/our-next-death-cafe-event (Accessed 3 January 2023).</w:t>
      </w:r>
    </w:p>
    <w:p w14:paraId="5BF9E591" w14:textId="375874AB" w:rsidR="002E11D4" w:rsidRPr="002E11D4" w:rsidRDefault="002E11D4" w:rsidP="002E11D4">
      <w:pPr>
        <w:rPr>
          <w:rFonts w:cstheme="minorHAnsi"/>
        </w:rPr>
      </w:pPr>
      <w:r w:rsidRPr="002E11D4">
        <w:rPr>
          <w:rFonts w:cstheme="minorHAnsi"/>
        </w:rPr>
        <w:t>M</w:t>
      </w:r>
      <w:r>
        <w:rPr>
          <w:rFonts w:cstheme="minorHAnsi"/>
        </w:rPr>
        <w:t xml:space="preserve">useum </w:t>
      </w:r>
      <w:r w:rsidRPr="002E11D4">
        <w:rPr>
          <w:rFonts w:cstheme="minorHAnsi"/>
        </w:rPr>
        <w:t>o</w:t>
      </w:r>
      <w:r>
        <w:rPr>
          <w:rFonts w:cstheme="minorHAnsi"/>
        </w:rPr>
        <w:t xml:space="preserve">f </w:t>
      </w:r>
      <w:r w:rsidRPr="002E11D4">
        <w:rPr>
          <w:rFonts w:cstheme="minorHAnsi"/>
        </w:rPr>
        <w:t>H</w:t>
      </w:r>
      <w:r>
        <w:rPr>
          <w:rFonts w:cstheme="minorHAnsi"/>
        </w:rPr>
        <w:t>omelessness</w:t>
      </w:r>
      <w:r w:rsidRPr="002E11D4">
        <w:rPr>
          <w:rFonts w:cstheme="minorHAnsi"/>
        </w:rPr>
        <w:t xml:space="preserve"> (no date) </w:t>
      </w:r>
      <w:r w:rsidRPr="002E11D4">
        <w:rPr>
          <w:rFonts w:cstheme="minorHAnsi"/>
          <w:i/>
          <w:iCs/>
        </w:rPr>
        <w:t xml:space="preserve">We </w:t>
      </w:r>
      <w:proofErr w:type="gramStart"/>
      <w:r w:rsidRPr="002E11D4">
        <w:rPr>
          <w:rFonts w:cstheme="minorHAnsi"/>
          <w:i/>
          <w:iCs/>
        </w:rPr>
        <w:t>Take Action</w:t>
      </w:r>
      <w:proofErr w:type="gramEnd"/>
      <w:r w:rsidRPr="002E11D4">
        <w:rPr>
          <w:rFonts w:cstheme="minorHAnsi"/>
        </w:rPr>
        <w:t>. Available at: https://museumofhomelessness.org/action (Accessed: 3 January 2023)</w:t>
      </w:r>
    </w:p>
    <w:p w14:paraId="1CE8DB9F" w14:textId="77777777" w:rsidR="002E11D4" w:rsidRPr="002E11D4" w:rsidRDefault="002E11D4" w:rsidP="002E11D4">
      <w:pPr>
        <w:rPr>
          <w:rFonts w:cstheme="minorHAnsi"/>
        </w:rPr>
      </w:pPr>
      <w:r w:rsidRPr="002E11D4">
        <w:rPr>
          <w:rFonts w:cstheme="minorHAnsi"/>
        </w:rPr>
        <w:t xml:space="preserve">Museums Association (2017) </w:t>
      </w:r>
      <w:r w:rsidRPr="002E11D4">
        <w:rPr>
          <w:rFonts w:cstheme="minorHAnsi"/>
          <w:i/>
          <w:iCs/>
        </w:rPr>
        <w:t>Museums Change Lives 2017</w:t>
      </w:r>
      <w:r w:rsidRPr="002E11D4">
        <w:rPr>
          <w:rFonts w:cstheme="minorHAnsi"/>
        </w:rPr>
        <w:t>. London: Museums Association.</w:t>
      </w:r>
    </w:p>
    <w:p w14:paraId="2C3E247A" w14:textId="77777777" w:rsidR="002E11D4" w:rsidRPr="002E11D4" w:rsidRDefault="002E11D4" w:rsidP="002E11D4">
      <w:pPr>
        <w:rPr>
          <w:rFonts w:cstheme="minorHAnsi"/>
        </w:rPr>
      </w:pPr>
      <w:r w:rsidRPr="002E11D4">
        <w:rPr>
          <w:rFonts w:cstheme="minorHAnsi"/>
        </w:rPr>
        <w:t xml:space="preserve">Museums Association (2020a) </w:t>
      </w:r>
      <w:r w:rsidRPr="002E11D4">
        <w:rPr>
          <w:rFonts w:cstheme="minorHAnsi"/>
          <w:i/>
          <w:iCs/>
        </w:rPr>
        <w:t>A Manifesto for Museum Learning and Engagement</w:t>
      </w:r>
      <w:r w:rsidRPr="002E11D4">
        <w:rPr>
          <w:rFonts w:cstheme="minorHAnsi"/>
        </w:rPr>
        <w:t>. London, Museums Association.</w:t>
      </w:r>
    </w:p>
    <w:p w14:paraId="670A1B42" w14:textId="2D6B2650" w:rsidR="002E11D4" w:rsidRPr="002E11D4" w:rsidRDefault="002E11D4" w:rsidP="002E11D4">
      <w:pPr>
        <w:rPr>
          <w:rFonts w:cstheme="minorHAnsi"/>
        </w:rPr>
      </w:pPr>
      <w:r w:rsidRPr="002E11D4">
        <w:rPr>
          <w:rFonts w:cstheme="minorHAnsi"/>
        </w:rPr>
        <w:t xml:space="preserve">Museums Association (2020b) </w:t>
      </w:r>
      <w:r w:rsidRPr="002E11D4">
        <w:rPr>
          <w:rFonts w:cstheme="minorHAnsi"/>
          <w:i/>
          <w:iCs/>
        </w:rPr>
        <w:t>Code of Ethics for Museums</w:t>
      </w:r>
      <w:r w:rsidRPr="002E11D4">
        <w:rPr>
          <w:rFonts w:cstheme="minorHAnsi"/>
        </w:rPr>
        <w:t>. Available at: https://www.museumsassociation.org/campaigns/ethics/code-of-ethics/ (Accessed 29 December 2022).</w:t>
      </w:r>
    </w:p>
    <w:p w14:paraId="09C4A2FF" w14:textId="7CB4527A" w:rsidR="002E11D4" w:rsidRPr="002E11D4" w:rsidRDefault="002E11D4" w:rsidP="002E11D4">
      <w:pPr>
        <w:rPr>
          <w:rFonts w:cstheme="minorHAnsi"/>
        </w:rPr>
      </w:pPr>
      <w:r w:rsidRPr="002E11D4">
        <w:rPr>
          <w:rFonts w:cstheme="minorHAnsi"/>
        </w:rPr>
        <w:lastRenderedPageBreak/>
        <w:t xml:space="preserve">Nelson, T. (2017) ‘Future of museum audiences’, </w:t>
      </w:r>
      <w:r w:rsidRPr="002E11D4">
        <w:rPr>
          <w:rFonts w:cstheme="minorHAnsi"/>
          <w:i/>
          <w:iCs/>
        </w:rPr>
        <w:t>Museums Journal</w:t>
      </w:r>
      <w:r w:rsidRPr="002E11D4">
        <w:rPr>
          <w:rFonts w:cstheme="minorHAnsi"/>
        </w:rPr>
        <w:t>, 13 April. Available at: https://www.museumsassociation.org/museums-journal/opinion/2017/04/13042017-future-of-museum-audiences/ (Accessed: 27 December 2022).</w:t>
      </w:r>
    </w:p>
    <w:p w14:paraId="57ADD951" w14:textId="77777777" w:rsidR="002E11D4" w:rsidRPr="002E11D4" w:rsidRDefault="002E11D4" w:rsidP="002E11D4">
      <w:pPr>
        <w:rPr>
          <w:rFonts w:cstheme="minorHAnsi"/>
        </w:rPr>
      </w:pPr>
      <w:r w:rsidRPr="002E11D4">
        <w:rPr>
          <w:rFonts w:cstheme="minorHAnsi"/>
        </w:rPr>
        <w:t xml:space="preserve">Turtle, J. and Turtle, M. (2020) ‘Rewriting the Script: power and change through the Museum of Homelessness’, in Chynoweth, A., Lynch, B., Petersen, K., and </w:t>
      </w:r>
      <w:proofErr w:type="spellStart"/>
      <w:r w:rsidRPr="002E11D4">
        <w:rPr>
          <w:rFonts w:cstheme="minorHAnsi"/>
        </w:rPr>
        <w:t>Smed</w:t>
      </w:r>
      <w:proofErr w:type="spellEnd"/>
      <w:r w:rsidRPr="002E11D4">
        <w:rPr>
          <w:rFonts w:cstheme="minorHAnsi"/>
        </w:rPr>
        <w:t xml:space="preserve">, S. (eds.) </w:t>
      </w:r>
      <w:r w:rsidRPr="002E11D4">
        <w:rPr>
          <w:rFonts w:cstheme="minorHAnsi"/>
          <w:i/>
          <w:iCs/>
        </w:rPr>
        <w:t xml:space="preserve">Museums and Social Change. </w:t>
      </w:r>
      <w:r w:rsidRPr="002E11D4">
        <w:rPr>
          <w:rFonts w:cstheme="minorHAnsi"/>
        </w:rPr>
        <w:t>London: Routledge.</w:t>
      </w:r>
    </w:p>
    <w:p w14:paraId="4376D99C" w14:textId="4EABFA20" w:rsidR="002E11D4" w:rsidRPr="002E11D4" w:rsidRDefault="002E11D4" w:rsidP="002E11D4">
      <w:pPr>
        <w:rPr>
          <w:rFonts w:cstheme="minorHAnsi"/>
        </w:rPr>
      </w:pPr>
      <w:r w:rsidRPr="002E11D4">
        <w:rPr>
          <w:rFonts w:cstheme="minorHAnsi"/>
        </w:rPr>
        <w:t xml:space="preserve">United Nations (1948) </w:t>
      </w:r>
      <w:r w:rsidRPr="002E11D4">
        <w:rPr>
          <w:rFonts w:cstheme="minorHAnsi"/>
          <w:i/>
          <w:iCs/>
        </w:rPr>
        <w:t>Universal Declaration of Human Rights (UDHR)</w:t>
      </w:r>
      <w:r w:rsidRPr="002E11D4">
        <w:rPr>
          <w:rFonts w:cstheme="minorHAnsi"/>
        </w:rPr>
        <w:t>. Available at: https://www.un.org/en/about-us/universal-declaration-of-human-rights (Accessed 2 January 2023).</w:t>
      </w:r>
    </w:p>
    <w:p w14:paraId="4186FFB4" w14:textId="4FD016B9" w:rsidR="002E11D4" w:rsidRPr="002E11D4" w:rsidRDefault="002E11D4" w:rsidP="002E11D4">
      <w:pPr>
        <w:rPr>
          <w:rFonts w:cstheme="minorHAnsi"/>
        </w:rPr>
      </w:pPr>
      <w:r w:rsidRPr="002E11D4">
        <w:rPr>
          <w:rFonts w:cstheme="minorHAnsi"/>
        </w:rPr>
        <w:t xml:space="preserve">Museums Association (2018) </w:t>
      </w:r>
      <w:r w:rsidRPr="002E11D4">
        <w:rPr>
          <w:rFonts w:cstheme="minorHAnsi"/>
          <w:i/>
          <w:iCs/>
        </w:rPr>
        <w:t>Power to the People (framework)</w:t>
      </w:r>
      <w:r w:rsidRPr="002E11D4">
        <w:rPr>
          <w:rFonts w:cstheme="minorHAnsi"/>
        </w:rPr>
        <w:t>. Available at: https://www.museumsassociation.org/campaigns/museums-change-lives/power-to-the-people/ (Accessed 28 December 2022).</w:t>
      </w:r>
    </w:p>
    <w:p w14:paraId="730C618C" w14:textId="77777777" w:rsidR="002E11D4" w:rsidRPr="002E11D4" w:rsidRDefault="002E11D4" w:rsidP="002E11D4">
      <w:pPr>
        <w:rPr>
          <w:rFonts w:cstheme="minorHAnsi"/>
        </w:rPr>
      </w:pPr>
      <w:r w:rsidRPr="002E11D4">
        <w:rPr>
          <w:rFonts w:cstheme="minorHAnsi"/>
        </w:rPr>
        <w:t xml:space="preserve">Pham, Chi </w:t>
      </w:r>
      <w:proofErr w:type="spellStart"/>
      <w:r w:rsidRPr="002E11D4">
        <w:rPr>
          <w:rFonts w:cstheme="minorHAnsi"/>
        </w:rPr>
        <w:t>Thien</w:t>
      </w:r>
      <w:proofErr w:type="spellEnd"/>
      <w:r w:rsidRPr="002E11D4">
        <w:rPr>
          <w:rFonts w:cstheme="minorHAnsi"/>
        </w:rPr>
        <w:t xml:space="preserve"> (2019) ‘How Museums Identify and Face Challenges with Diverse Communities’, in V. Golding and J. </w:t>
      </w:r>
      <w:proofErr w:type="spellStart"/>
      <w:r w:rsidRPr="002E11D4">
        <w:rPr>
          <w:rFonts w:cstheme="minorHAnsi"/>
        </w:rPr>
        <w:t>Walklate</w:t>
      </w:r>
      <w:proofErr w:type="spellEnd"/>
      <w:r w:rsidRPr="002E11D4">
        <w:rPr>
          <w:rFonts w:cstheme="minorHAnsi"/>
        </w:rPr>
        <w:t xml:space="preserve"> (eds) </w:t>
      </w:r>
      <w:r w:rsidRPr="002E11D4">
        <w:rPr>
          <w:rFonts w:cstheme="minorHAnsi"/>
          <w:i/>
          <w:iCs/>
        </w:rPr>
        <w:t xml:space="preserve">Museums and Communities: Diversity, Dialogue and Collaboration in an Age of Migrations. </w:t>
      </w:r>
      <w:r w:rsidRPr="002E11D4">
        <w:rPr>
          <w:rFonts w:cstheme="minorHAnsi"/>
        </w:rPr>
        <w:t>Newcastle upon Tyne: Cambridge Scholars Publishing, pp. 106-119.</w:t>
      </w:r>
    </w:p>
    <w:p w14:paraId="5701C686" w14:textId="4259FC26" w:rsidR="002E11D4" w:rsidRPr="002E11D4" w:rsidRDefault="002E11D4" w:rsidP="002E11D4">
      <w:pPr>
        <w:rPr>
          <w:rFonts w:cstheme="minorHAnsi"/>
        </w:rPr>
      </w:pPr>
      <w:r w:rsidRPr="002E11D4">
        <w:rPr>
          <w:rFonts w:cstheme="minorHAnsi"/>
        </w:rPr>
        <w:t>Ash, D. and Lombana, J. (2013) ‘Reculturing Museums: Working</w:t>
      </w:r>
      <w:r>
        <w:rPr>
          <w:rFonts w:cstheme="minorHAnsi"/>
        </w:rPr>
        <w:t xml:space="preserve"> </w:t>
      </w:r>
      <w:r w:rsidRPr="002E11D4">
        <w:rPr>
          <w:rFonts w:cstheme="minorHAnsi"/>
        </w:rPr>
        <w:t xml:space="preserve">Toward Diversity in Informal Settings’, </w:t>
      </w:r>
      <w:r w:rsidRPr="002E11D4">
        <w:rPr>
          <w:rFonts w:cstheme="minorHAnsi"/>
          <w:i/>
          <w:iCs/>
        </w:rPr>
        <w:t>Journal of Museum Education</w:t>
      </w:r>
      <w:r w:rsidRPr="002E11D4">
        <w:rPr>
          <w:rFonts w:cstheme="minorHAnsi"/>
        </w:rPr>
        <w:t>, 38: 1, pp. 69-80.</w:t>
      </w:r>
    </w:p>
    <w:p w14:paraId="7A29EA87" w14:textId="34DE1848" w:rsidR="002E11D4" w:rsidRPr="002E11D4" w:rsidRDefault="002E11D4" w:rsidP="002E11D4">
      <w:pPr>
        <w:rPr>
          <w:rFonts w:cstheme="minorHAnsi"/>
        </w:rPr>
      </w:pPr>
      <w:r w:rsidRPr="002E11D4">
        <w:rPr>
          <w:rFonts w:cstheme="minorHAnsi"/>
        </w:rPr>
        <w:t xml:space="preserve">Museums Association (2019) </w:t>
      </w:r>
      <w:r w:rsidRPr="002E11D4">
        <w:rPr>
          <w:rFonts w:cstheme="minorHAnsi"/>
          <w:i/>
          <w:iCs/>
        </w:rPr>
        <w:t xml:space="preserve">Empowering Collections. </w:t>
      </w:r>
      <w:r w:rsidRPr="002E11D4">
        <w:rPr>
          <w:rFonts w:cstheme="minorHAnsi"/>
        </w:rPr>
        <w:t>Available at: https://www.museumsassociation.org/campaigns/collections/empowering-collections/ (Accessed 28 December 2022).</w:t>
      </w:r>
    </w:p>
    <w:p w14:paraId="351733CE" w14:textId="77777777" w:rsidR="002E11D4" w:rsidRPr="002E11D4" w:rsidRDefault="002E11D4" w:rsidP="002E11D4">
      <w:pPr>
        <w:rPr>
          <w:rFonts w:cstheme="minorHAnsi"/>
        </w:rPr>
      </w:pPr>
      <w:r w:rsidRPr="002E11D4">
        <w:rPr>
          <w:rFonts w:cstheme="minorHAnsi"/>
        </w:rPr>
        <w:t xml:space="preserve">Ng, W., Ware, S.M. and Greenberg, A. (2017) ‘Activating Diversity and Inclusion: A Blueprint for Museum Educators as Allies and Change Makers’, </w:t>
      </w:r>
      <w:r w:rsidRPr="002E11D4">
        <w:rPr>
          <w:rFonts w:cstheme="minorHAnsi"/>
          <w:i/>
          <w:iCs/>
        </w:rPr>
        <w:t>Journal of Museum Education</w:t>
      </w:r>
      <w:r w:rsidRPr="002E11D4">
        <w:rPr>
          <w:rFonts w:cstheme="minorHAnsi"/>
        </w:rPr>
        <w:t>, 42: 2, pp. 142-152.</w:t>
      </w:r>
    </w:p>
    <w:p w14:paraId="562B3BED" w14:textId="53B5BE1B" w:rsidR="002E11D4" w:rsidRPr="002E11D4" w:rsidRDefault="002E11D4" w:rsidP="002E11D4">
      <w:pPr>
        <w:rPr>
          <w:rFonts w:cstheme="minorHAnsi"/>
        </w:rPr>
      </w:pPr>
      <w:r w:rsidRPr="002E11D4">
        <w:rPr>
          <w:rFonts w:cstheme="minorHAnsi"/>
        </w:rPr>
        <w:t xml:space="preserve">Pitt Rivers Museum (2018a) </w:t>
      </w:r>
      <w:r w:rsidRPr="002E11D4">
        <w:rPr>
          <w:rFonts w:cstheme="minorHAnsi"/>
          <w:i/>
          <w:iCs/>
        </w:rPr>
        <w:t>Community partnerships</w:t>
      </w:r>
      <w:r w:rsidRPr="002E11D4">
        <w:rPr>
          <w:rFonts w:cstheme="minorHAnsi"/>
        </w:rPr>
        <w:t>. Available at: https://www.prm.ox.ac.uk/community-partnerships (Accessed 4 January 2023).</w:t>
      </w:r>
    </w:p>
    <w:p w14:paraId="53A6E7FC" w14:textId="1C7B42C1" w:rsidR="002E11D4" w:rsidRPr="002E11D4" w:rsidRDefault="002E11D4" w:rsidP="002E11D4">
      <w:pPr>
        <w:rPr>
          <w:rFonts w:cstheme="minorHAnsi"/>
        </w:rPr>
      </w:pPr>
      <w:r w:rsidRPr="002E11D4">
        <w:rPr>
          <w:rFonts w:cstheme="minorHAnsi"/>
        </w:rPr>
        <w:t xml:space="preserve">Pitt Rivers Museum (2018b) </w:t>
      </w:r>
      <w:r w:rsidRPr="002E11D4">
        <w:rPr>
          <w:rFonts w:cstheme="minorHAnsi"/>
          <w:i/>
          <w:iCs/>
        </w:rPr>
        <w:t xml:space="preserve">Windrush group. </w:t>
      </w:r>
      <w:r w:rsidRPr="002E11D4">
        <w:rPr>
          <w:rFonts w:cstheme="minorHAnsi"/>
        </w:rPr>
        <w:t>Available at: https://www.prm.ox.ac.uk/windrush-group (Accessed 4 January 2023).</w:t>
      </w:r>
    </w:p>
    <w:p w14:paraId="55DC56F5" w14:textId="77777777" w:rsidR="002E11D4" w:rsidRPr="002E11D4" w:rsidRDefault="002E11D4" w:rsidP="00E200ED">
      <w:pPr>
        <w:rPr>
          <w:rFonts w:cstheme="minorHAnsi"/>
          <w:u w:val="single"/>
        </w:rPr>
      </w:pPr>
    </w:p>
    <w:sectPr w:rsidR="002E11D4" w:rsidRPr="002E11D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74E7D" w14:textId="77777777" w:rsidR="00C24E4A" w:rsidRDefault="00C24E4A" w:rsidP="00E91D2A">
      <w:pPr>
        <w:spacing w:after="0" w:line="240" w:lineRule="auto"/>
      </w:pPr>
      <w:r>
        <w:separator/>
      </w:r>
    </w:p>
  </w:endnote>
  <w:endnote w:type="continuationSeparator" w:id="0">
    <w:p w14:paraId="4A04F494" w14:textId="77777777" w:rsidR="00C24E4A" w:rsidRDefault="00C24E4A" w:rsidP="00E91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977557"/>
      <w:docPartObj>
        <w:docPartGallery w:val="Page Numbers (Bottom of Page)"/>
        <w:docPartUnique/>
      </w:docPartObj>
    </w:sdtPr>
    <w:sdtEndPr>
      <w:rPr>
        <w:noProof/>
      </w:rPr>
    </w:sdtEndPr>
    <w:sdtContent>
      <w:p w14:paraId="6FEE260A" w14:textId="24ADF88F" w:rsidR="00E91D2A" w:rsidRDefault="00E91D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176856" w14:textId="77777777" w:rsidR="00E91D2A" w:rsidRDefault="00E91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6A4F5" w14:textId="77777777" w:rsidR="00C24E4A" w:rsidRDefault="00C24E4A" w:rsidP="00E91D2A">
      <w:pPr>
        <w:spacing w:after="0" w:line="240" w:lineRule="auto"/>
      </w:pPr>
      <w:r>
        <w:separator/>
      </w:r>
    </w:p>
  </w:footnote>
  <w:footnote w:type="continuationSeparator" w:id="0">
    <w:p w14:paraId="46A54627" w14:textId="77777777" w:rsidR="00C24E4A" w:rsidRDefault="00C24E4A" w:rsidP="00E91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FBA62" w14:textId="6EEDE0A7" w:rsidR="00E91D2A" w:rsidRDefault="00E91D2A">
    <w:pPr>
      <w:pStyle w:val="Header"/>
    </w:pPr>
    <w:r>
      <w:t>HPHE7002</w:t>
    </w:r>
    <w:r>
      <w:tab/>
    </w:r>
    <w:r>
      <w:tab/>
      <w:t>2214415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412"/>
    <w:rsid w:val="0002699C"/>
    <w:rsid w:val="0006288A"/>
    <w:rsid w:val="00064B46"/>
    <w:rsid w:val="000F0F4F"/>
    <w:rsid w:val="001236F6"/>
    <w:rsid w:val="00166F84"/>
    <w:rsid w:val="002E0E89"/>
    <w:rsid w:val="002E11D4"/>
    <w:rsid w:val="003D3291"/>
    <w:rsid w:val="00415482"/>
    <w:rsid w:val="00465FA8"/>
    <w:rsid w:val="005F04D0"/>
    <w:rsid w:val="00632412"/>
    <w:rsid w:val="008A4F2F"/>
    <w:rsid w:val="008C4833"/>
    <w:rsid w:val="00934D4A"/>
    <w:rsid w:val="00A2695F"/>
    <w:rsid w:val="00AD1B0E"/>
    <w:rsid w:val="00B81F7B"/>
    <w:rsid w:val="00BA62D1"/>
    <w:rsid w:val="00C24E4A"/>
    <w:rsid w:val="00C57A81"/>
    <w:rsid w:val="00C76630"/>
    <w:rsid w:val="00E200ED"/>
    <w:rsid w:val="00E823EA"/>
    <w:rsid w:val="00E91D2A"/>
    <w:rsid w:val="00EB5BB3"/>
    <w:rsid w:val="00ED09BB"/>
    <w:rsid w:val="00F70DB9"/>
    <w:rsid w:val="00F83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A405"/>
  <w15:chartTrackingRefBased/>
  <w15:docId w15:val="{FBD3FD2C-98EC-48E0-AF97-5DE514E02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2412"/>
    <w:rPr>
      <w:color w:val="0563C1" w:themeColor="hyperlink"/>
      <w:u w:val="single"/>
    </w:rPr>
  </w:style>
  <w:style w:type="character" w:styleId="UnresolvedMention">
    <w:name w:val="Unresolved Mention"/>
    <w:basedOn w:val="DefaultParagraphFont"/>
    <w:uiPriority w:val="99"/>
    <w:semiHidden/>
    <w:unhideWhenUsed/>
    <w:rsid w:val="00632412"/>
    <w:rPr>
      <w:color w:val="605E5C"/>
      <w:shd w:val="clear" w:color="auto" w:fill="E1DFDD"/>
    </w:rPr>
  </w:style>
  <w:style w:type="paragraph" w:styleId="ListParagraph">
    <w:name w:val="List Paragraph"/>
    <w:basedOn w:val="Normal"/>
    <w:uiPriority w:val="34"/>
    <w:qFormat/>
    <w:rsid w:val="00E200ED"/>
    <w:pPr>
      <w:ind w:left="720"/>
      <w:contextualSpacing/>
    </w:pPr>
  </w:style>
  <w:style w:type="character" w:styleId="FollowedHyperlink">
    <w:name w:val="FollowedHyperlink"/>
    <w:basedOn w:val="DefaultParagraphFont"/>
    <w:uiPriority w:val="99"/>
    <w:semiHidden/>
    <w:unhideWhenUsed/>
    <w:rsid w:val="00F83B12"/>
    <w:rPr>
      <w:color w:val="954F72" w:themeColor="followedHyperlink"/>
      <w:u w:val="single"/>
    </w:rPr>
  </w:style>
  <w:style w:type="paragraph" w:styleId="Header">
    <w:name w:val="header"/>
    <w:basedOn w:val="Normal"/>
    <w:link w:val="HeaderChar"/>
    <w:uiPriority w:val="99"/>
    <w:unhideWhenUsed/>
    <w:rsid w:val="00E91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D2A"/>
  </w:style>
  <w:style w:type="paragraph" w:styleId="Footer">
    <w:name w:val="footer"/>
    <w:basedOn w:val="Normal"/>
    <w:link w:val="FooterChar"/>
    <w:uiPriority w:val="99"/>
    <w:unhideWhenUsed/>
    <w:rsid w:val="00E91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268019">
      <w:bodyDiv w:val="1"/>
      <w:marLeft w:val="0"/>
      <w:marRight w:val="0"/>
      <w:marTop w:val="0"/>
      <w:marBottom w:val="0"/>
      <w:divBdr>
        <w:top w:val="none" w:sz="0" w:space="0" w:color="auto"/>
        <w:left w:val="none" w:sz="0" w:space="0" w:color="auto"/>
        <w:bottom w:val="none" w:sz="0" w:space="0" w:color="auto"/>
        <w:right w:val="none" w:sz="0" w:space="0" w:color="auto"/>
      </w:divBdr>
      <w:divsChild>
        <w:div w:id="37867202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5BAAE2-6A8E-49F3-BA85-C1151EEB2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3994</Words>
  <Characters>22768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isaiah.poulet@gmail.com</dc:creator>
  <cp:keywords/>
  <dc:description/>
  <cp:lastModifiedBy>isaiah.poulet@gmail.com</cp:lastModifiedBy>
  <cp:revision>2</cp:revision>
  <dcterms:created xsi:type="dcterms:W3CDTF">2023-01-05T18:12:00Z</dcterms:created>
  <dcterms:modified xsi:type="dcterms:W3CDTF">2023-01-05T18:12:00Z</dcterms:modified>
</cp:coreProperties>
</file>