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GridTable4Accent3"/>
        <w:tblpPr w:leftFromText="180" w:rightFromText="180" w:vertAnchor="text" w:horzAnchor="margin" w:tblpY="114"/>
        <w:tblW w:w="0" w:type="auto"/>
        <w:tblLook w:val="04A0"/>
      </w:tblPr>
      <w:tblGrid>
        <w:gridCol w:w="2405"/>
        <w:gridCol w:w="6611"/>
      </w:tblGrid>
      <w:tr w:rsidR="001354CF" w:rsidTr="001354CF">
        <w:trPr>
          <w:cnfStyle w:val="100000000000"/>
        </w:trPr>
        <w:tc>
          <w:tcPr>
            <w:cnfStyle w:val="001000000000"/>
            <w:tcW w:w="2405" w:type="dxa"/>
            <w:hideMark/>
          </w:tcPr>
          <w:p w:rsidR="001354CF" w:rsidRDefault="001354CF" w:rsidP="00FA49C6">
            <w:pPr>
              <w:rPr>
                <w:rFonts w:cs="Arial"/>
                <w:sz w:val="28"/>
                <w:szCs w:val="28"/>
              </w:rPr>
            </w:pPr>
            <w:r>
              <w:t>Programme:</w:t>
            </w:r>
          </w:p>
        </w:tc>
        <w:tc>
          <w:tcPr>
            <w:tcW w:w="6611" w:type="dxa"/>
            <w:hideMark/>
          </w:tcPr>
          <w:p w:rsidR="001354CF" w:rsidRDefault="001354CF" w:rsidP="00FA49C6">
            <w:pPr>
              <w:cnfStyle w:val="100000000000"/>
              <w:rPr>
                <w:rFonts w:cs="Arial"/>
                <w:b w:val="0"/>
                <w:bCs w:val="0"/>
                <w:sz w:val="28"/>
                <w:szCs w:val="28"/>
              </w:rPr>
            </w:pPr>
            <w:r>
              <w:t xml:space="preserve">MSc Public Health and Social Care in Practice  </w:t>
            </w:r>
          </w:p>
        </w:tc>
      </w:tr>
      <w:tr w:rsidR="001354CF" w:rsidTr="001354CF">
        <w:trPr>
          <w:cnfStyle w:val="000000100000"/>
        </w:trPr>
        <w:tc>
          <w:tcPr>
            <w:cnfStyle w:val="001000000000"/>
            <w:tcW w:w="2405" w:type="dxa"/>
            <w:hideMark/>
          </w:tcPr>
          <w:p w:rsidR="001354CF" w:rsidRDefault="001354CF" w:rsidP="00FA49C6">
            <w:pPr>
              <w:rPr>
                <w:rFonts w:cs="Arial"/>
                <w:b w:val="0"/>
                <w:bCs w:val="0"/>
                <w:sz w:val="28"/>
                <w:szCs w:val="28"/>
              </w:rPr>
            </w:pPr>
            <w:r>
              <w:rPr>
                <w:b w:val="0"/>
                <w:bCs w:val="0"/>
              </w:rPr>
              <w:t>Module:</w:t>
            </w:r>
          </w:p>
        </w:tc>
        <w:tc>
          <w:tcPr>
            <w:tcW w:w="6611" w:type="dxa"/>
            <w:hideMark/>
          </w:tcPr>
          <w:p w:rsidR="001354CF" w:rsidRDefault="001354CF" w:rsidP="00FA49C6">
            <w:pPr>
              <w:cnfStyle w:val="000000100000"/>
            </w:pPr>
            <w:r>
              <w:t>Population Health and Digital Health Promotion</w:t>
            </w:r>
          </w:p>
        </w:tc>
      </w:tr>
      <w:tr w:rsidR="001354CF" w:rsidTr="001354CF">
        <w:tc>
          <w:tcPr>
            <w:cnfStyle w:val="001000000000"/>
            <w:tcW w:w="2405" w:type="dxa"/>
            <w:hideMark/>
          </w:tcPr>
          <w:p w:rsidR="001354CF" w:rsidRDefault="001354CF" w:rsidP="00FA49C6">
            <w:pPr>
              <w:rPr>
                <w:rFonts w:cs="Arial"/>
                <w:b w:val="0"/>
                <w:bCs w:val="0"/>
                <w:sz w:val="28"/>
                <w:szCs w:val="28"/>
              </w:rPr>
            </w:pPr>
            <w:r>
              <w:rPr>
                <w:b w:val="0"/>
                <w:bCs w:val="0"/>
              </w:rPr>
              <w:t>Module code:</w:t>
            </w:r>
          </w:p>
        </w:tc>
        <w:tc>
          <w:tcPr>
            <w:tcW w:w="6611" w:type="dxa"/>
            <w:hideMark/>
          </w:tcPr>
          <w:p w:rsidR="001354CF" w:rsidRDefault="001354CF" w:rsidP="00FA49C6">
            <w:pPr>
              <w:cnfStyle w:val="000000000000"/>
            </w:pPr>
            <w:r w:rsidRPr="007A32F5">
              <w:t>LCHS700</w:t>
            </w:r>
            <w:r>
              <w:t>9</w:t>
            </w:r>
          </w:p>
        </w:tc>
      </w:tr>
      <w:tr w:rsidR="001354CF" w:rsidTr="001354CF">
        <w:trPr>
          <w:cnfStyle w:val="000000100000"/>
        </w:trPr>
        <w:tc>
          <w:tcPr>
            <w:cnfStyle w:val="001000000000"/>
            <w:tcW w:w="2405" w:type="dxa"/>
            <w:hideMark/>
          </w:tcPr>
          <w:p w:rsidR="001354CF" w:rsidRDefault="001354CF" w:rsidP="00FA49C6">
            <w:pPr>
              <w:rPr>
                <w:rFonts w:cs="Arial"/>
                <w:b w:val="0"/>
                <w:bCs w:val="0"/>
                <w:sz w:val="28"/>
                <w:szCs w:val="28"/>
              </w:rPr>
            </w:pPr>
            <w:r>
              <w:rPr>
                <w:b w:val="0"/>
                <w:bCs w:val="0"/>
              </w:rPr>
              <w:t>Lecturer:</w:t>
            </w:r>
          </w:p>
        </w:tc>
        <w:tc>
          <w:tcPr>
            <w:tcW w:w="6611" w:type="dxa"/>
            <w:hideMark/>
          </w:tcPr>
          <w:p w:rsidR="001354CF" w:rsidRDefault="001354CF" w:rsidP="00FA49C6">
            <w:pPr>
              <w:cnfStyle w:val="000000100000"/>
            </w:pPr>
            <w:r w:rsidRPr="00937ECA">
              <w:t>Dr Ping Wu</w:t>
            </w:r>
          </w:p>
        </w:tc>
      </w:tr>
      <w:tr w:rsidR="001354CF" w:rsidTr="001354CF">
        <w:tc>
          <w:tcPr>
            <w:cnfStyle w:val="001000000000"/>
            <w:tcW w:w="2405" w:type="dxa"/>
            <w:hideMark/>
          </w:tcPr>
          <w:p w:rsidR="001354CF" w:rsidRDefault="001354CF" w:rsidP="00FA49C6">
            <w:pPr>
              <w:rPr>
                <w:rFonts w:cs="Arial"/>
                <w:b w:val="0"/>
                <w:bCs w:val="0"/>
                <w:sz w:val="28"/>
                <w:szCs w:val="28"/>
              </w:rPr>
            </w:pPr>
            <w:r>
              <w:rPr>
                <w:b w:val="0"/>
                <w:bCs w:val="0"/>
              </w:rPr>
              <w:t>Assignment Title:</w:t>
            </w:r>
          </w:p>
        </w:tc>
        <w:tc>
          <w:tcPr>
            <w:tcW w:w="6611" w:type="dxa"/>
            <w:hideMark/>
          </w:tcPr>
          <w:p w:rsidR="001354CF" w:rsidRDefault="001354CF" w:rsidP="00FA49C6">
            <w:pPr>
              <w:cnfStyle w:val="000000000000"/>
            </w:pPr>
            <w:r>
              <w:t>Component 1: 2 Blogs</w:t>
            </w:r>
          </w:p>
          <w:p w:rsidR="001354CF" w:rsidRDefault="001354CF" w:rsidP="00FA49C6">
            <w:pPr>
              <w:cnfStyle w:val="000000000000"/>
            </w:pPr>
          </w:p>
        </w:tc>
      </w:tr>
      <w:tr w:rsidR="001354CF" w:rsidTr="001354CF">
        <w:trPr>
          <w:cnfStyle w:val="000000100000"/>
        </w:trPr>
        <w:tc>
          <w:tcPr>
            <w:cnfStyle w:val="001000000000"/>
            <w:tcW w:w="2405" w:type="dxa"/>
            <w:hideMark/>
          </w:tcPr>
          <w:p w:rsidR="001354CF" w:rsidRDefault="001354CF" w:rsidP="00FA49C6">
            <w:pPr>
              <w:rPr>
                <w:b w:val="0"/>
                <w:bCs w:val="0"/>
              </w:rPr>
            </w:pPr>
            <w:r>
              <w:rPr>
                <w:b w:val="0"/>
                <w:bCs w:val="0"/>
              </w:rPr>
              <w:t>Student Name:</w:t>
            </w:r>
          </w:p>
        </w:tc>
        <w:tc>
          <w:tcPr>
            <w:tcW w:w="6611" w:type="dxa"/>
          </w:tcPr>
          <w:p w:rsidR="001354CF" w:rsidRPr="00B8632D" w:rsidRDefault="00B8632D" w:rsidP="00FA49C6">
            <w:pPr>
              <w:cnfStyle w:val="000000100000"/>
            </w:pPr>
            <w:r w:rsidRPr="00B8632D">
              <w:rPr>
                <w:b/>
                <w:bCs/>
              </w:rPr>
              <w:t>NAFISA RAHAT</w:t>
            </w:r>
          </w:p>
        </w:tc>
      </w:tr>
      <w:tr w:rsidR="001354CF" w:rsidTr="001354CF">
        <w:tc>
          <w:tcPr>
            <w:cnfStyle w:val="001000000000"/>
            <w:tcW w:w="2405" w:type="dxa"/>
            <w:hideMark/>
          </w:tcPr>
          <w:p w:rsidR="001354CF" w:rsidRDefault="001354CF" w:rsidP="00FA49C6">
            <w:pPr>
              <w:rPr>
                <w:b w:val="0"/>
                <w:bCs w:val="0"/>
              </w:rPr>
            </w:pPr>
            <w:r>
              <w:rPr>
                <w:b w:val="0"/>
                <w:bCs w:val="0"/>
              </w:rPr>
              <w:t>Student ID:</w:t>
            </w:r>
          </w:p>
        </w:tc>
        <w:tc>
          <w:tcPr>
            <w:tcW w:w="6611" w:type="dxa"/>
          </w:tcPr>
          <w:p w:rsidR="001354CF" w:rsidRPr="00B8632D" w:rsidRDefault="00B8632D" w:rsidP="00FA49C6">
            <w:pPr>
              <w:cnfStyle w:val="000000000000"/>
            </w:pPr>
            <w:r w:rsidRPr="00B8632D">
              <w:rPr>
                <w:b/>
                <w:bCs/>
              </w:rPr>
              <w:t>2430268</w:t>
            </w:r>
          </w:p>
        </w:tc>
      </w:tr>
    </w:tbl>
    <w:p w:rsidR="00A421D3" w:rsidRDefault="00A421D3">
      <w:pPr>
        <w:spacing w:line="259" w:lineRule="auto"/>
        <w:jc w:val="left"/>
        <w:rPr>
          <w:rFonts w:eastAsiaTheme="majorEastAsia" w:cstheme="majorBidi"/>
          <w:b/>
          <w:sz w:val="32"/>
          <w:szCs w:val="32"/>
        </w:rPr>
      </w:pPr>
      <w:r>
        <w:br w:type="page"/>
      </w:r>
    </w:p>
    <w:p w:rsidR="00F47426" w:rsidRDefault="00F47426" w:rsidP="00F47426">
      <w:pPr>
        <w:pStyle w:val="Heading1"/>
        <w:rPr>
          <w:lang w:val="en-US"/>
        </w:rPr>
      </w:pPr>
      <w:r>
        <w:lastRenderedPageBreak/>
        <w:t xml:space="preserve">Blog 1: </w:t>
      </w:r>
      <w:r w:rsidRPr="00F47426">
        <w:t>The impact of the Apple Watch on health promotion and wellbeing</w:t>
      </w:r>
    </w:p>
    <w:p w:rsidR="00F47426" w:rsidRPr="00F47426" w:rsidRDefault="00F47426" w:rsidP="00A421D3">
      <w:pPr>
        <w:pStyle w:val="Heading2"/>
        <w:rPr>
          <w:lang w:val="en-US"/>
        </w:rPr>
      </w:pPr>
      <w:r w:rsidRPr="00F47426">
        <w:rPr>
          <w:lang w:val="en-US"/>
        </w:rPr>
        <w:t>The Impact of the Apple Watch on Health Promotion</w:t>
      </w:r>
    </w:p>
    <w:p w:rsidR="00467B05" w:rsidRDefault="00467B05" w:rsidP="00F47426">
      <w:pPr>
        <w:rPr>
          <w:lang w:val="en-US"/>
        </w:rPr>
      </w:pPr>
      <w:r w:rsidRPr="00467B05">
        <w:rPr>
          <w:lang w:val="en-US"/>
        </w:rPr>
        <w:t>There is a correlation between today's fast-paced world and an increase in sedentary lifestyles, cardiovascular illness, and poor sleep.The Apple Watch and other wearables like it are beneficial to one's health. The Apple Watch's health promotion, public health impact, and restrictions are some of the topics that are discussed in this blog</w:t>
      </w:r>
      <w:r w:rsidR="00A421D3" w:rsidRPr="00A421D3">
        <w:rPr>
          <w:lang w:val="en-US"/>
        </w:rPr>
        <w:t>(Apple, 2024)</w:t>
      </w:r>
      <w:r w:rsidRPr="00467B05">
        <w:rPr>
          <w:lang w:val="en-US"/>
        </w:rPr>
        <w:t>.</w:t>
      </w:r>
      <w:r w:rsidR="00A421D3">
        <w:rPr>
          <w:noProof/>
          <w:lang w:eastAsia="en-GB"/>
        </w:rPr>
        <w:drawing>
          <wp:anchor distT="0" distB="0" distL="114300" distR="114300" simplePos="0" relativeHeight="251652608" behindDoc="1" locked="0" layoutInCell="1" allowOverlap="1">
            <wp:simplePos x="0" y="0"/>
            <wp:positionH relativeFrom="column">
              <wp:posOffset>0</wp:posOffset>
            </wp:positionH>
            <wp:positionV relativeFrom="paragraph">
              <wp:posOffset>1149985</wp:posOffset>
            </wp:positionV>
            <wp:extent cx="2581275" cy="1962150"/>
            <wp:effectExtent l="0" t="0" r="9525" b="0"/>
            <wp:wrapTight wrapText="bothSides">
              <wp:wrapPolygon edited="0">
                <wp:start x="0" y="0"/>
                <wp:lineTo x="0" y="21390"/>
                <wp:lineTo x="21520" y="21390"/>
                <wp:lineTo x="21520" y="0"/>
                <wp:lineTo x="0" y="0"/>
              </wp:wrapPolygon>
            </wp:wrapTight>
            <wp:docPr id="789944661" name="Picture 2" descr="Apple Watch: The Complete Guide to Features, Models, and Health Benefi –  watchband.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Watch: The Complete Guide to Features, Models, and Health Benefi –  watchband.direct"/>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81275" cy="1962150"/>
                    </a:xfrm>
                    <a:prstGeom prst="rect">
                      <a:avLst/>
                    </a:prstGeom>
                    <a:noFill/>
                    <a:ln>
                      <a:noFill/>
                    </a:ln>
                  </pic:spPr>
                </pic:pic>
              </a:graphicData>
            </a:graphic>
          </wp:anchor>
        </w:drawing>
      </w:r>
    </w:p>
    <w:p w:rsidR="00A421D3" w:rsidRDefault="00F47426" w:rsidP="00A421D3">
      <w:pPr>
        <w:pStyle w:val="Heading2"/>
        <w:rPr>
          <w:lang w:val="en-US"/>
        </w:rPr>
      </w:pPr>
      <w:r w:rsidRPr="00F47426">
        <w:rPr>
          <w:lang w:val="en-US"/>
        </w:rPr>
        <w:t>Apple Watch: A Game-Changer in Health Promotion</w:t>
      </w:r>
    </w:p>
    <w:p w:rsidR="00467B05" w:rsidRPr="00A421D3" w:rsidRDefault="00467B05" w:rsidP="00F47426">
      <w:pPr>
        <w:rPr>
          <w:lang w:val="en-US"/>
        </w:rPr>
      </w:pPr>
      <w:r w:rsidRPr="00467B05">
        <w:rPr>
          <w:lang w:val="en-US"/>
        </w:rPr>
        <w:t>Through its health-tracking capabilities and individualised feedback, the Apple Watch encourages users to engage in physical activity, monitor their health, and achieve their wellness objectives. Among the most important targets are the heart rate, electrocardiogram, sleep, and step count. By encouraging users to stand, move around, and exercise on a daily basis, the Apple Watch Fitness app encourages users to improve their overall health</w:t>
      </w:r>
      <w:r w:rsidR="00A421D3" w:rsidRPr="00A421D3">
        <w:rPr>
          <w:lang w:val="en-US"/>
        </w:rPr>
        <w:t>(Lui et al., 2022)</w:t>
      </w:r>
      <w:r w:rsidRPr="00467B05">
        <w:rPr>
          <w:lang w:val="en-US"/>
        </w:rPr>
        <w:t>.</w:t>
      </w:r>
    </w:p>
    <w:p w:rsidR="00A421D3" w:rsidRDefault="00F47426" w:rsidP="00A421D3">
      <w:pPr>
        <w:pStyle w:val="Heading2"/>
        <w:rPr>
          <w:lang w:val="en-US"/>
        </w:rPr>
      </w:pPr>
      <w:r w:rsidRPr="00F47426">
        <w:rPr>
          <w:lang w:val="en-US"/>
        </w:rPr>
        <w:t>Addressing Public Health Problems</w:t>
      </w:r>
    </w:p>
    <w:p w:rsidR="00A421D3" w:rsidRPr="00A421D3" w:rsidRDefault="00467B05" w:rsidP="00467B05">
      <w:pPr>
        <w:rPr>
          <w:lang w:val="en-US"/>
        </w:rPr>
      </w:pPr>
      <w:r w:rsidRPr="00467B05">
        <w:rPr>
          <w:lang w:val="en-US"/>
        </w:rPr>
        <w:t>Due to the fact that it is associated with cardiovascular disease, diabetes, and obesity, inactivity is a significant problem for public health. Inactivity is a major contributor to death around the world, according to the World Health Organisation. This issue is resolved for the Apple Watch by setting daily movement goals. Getting up, moving around, and working out in three different exercise circles is strongly encouraged. Metrics and reminders on an Apple Watch have the potential to influence user</w:t>
      </w:r>
      <w:r>
        <w:rPr>
          <w:lang w:val="en-US"/>
        </w:rPr>
        <w:t>’</w:t>
      </w:r>
      <w:r w:rsidRPr="00467B05">
        <w:rPr>
          <w:lang w:val="en-US"/>
        </w:rPr>
        <w:t>s routines</w:t>
      </w:r>
      <w:r w:rsidR="00A421D3" w:rsidRPr="00A421D3">
        <w:rPr>
          <w:lang w:val="en-US"/>
        </w:rPr>
        <w:t>(World Health Organization, 2024)</w:t>
      </w:r>
      <w:r w:rsidRPr="00467B05">
        <w:rPr>
          <w:lang w:val="en-US"/>
        </w:rPr>
        <w:t>.</w:t>
      </w:r>
    </w:p>
    <w:p w:rsidR="00A421D3" w:rsidRDefault="00F47426" w:rsidP="00A421D3">
      <w:pPr>
        <w:pStyle w:val="Heading2"/>
        <w:rPr>
          <w:lang w:val="en-US"/>
        </w:rPr>
      </w:pPr>
      <w:r w:rsidRPr="00F47426">
        <w:rPr>
          <w:lang w:val="en-US"/>
        </w:rPr>
        <w:t>Advantages of the Apple Watch in Health Promotion</w:t>
      </w:r>
    </w:p>
    <w:p w:rsidR="00467B05" w:rsidRPr="00467B05" w:rsidRDefault="00467B05" w:rsidP="00467B05">
      <w:pPr>
        <w:rPr>
          <w:lang w:val="en-US"/>
        </w:rPr>
      </w:pPr>
      <w:r w:rsidRPr="00467B05">
        <w:rPr>
          <w:lang w:val="en-US"/>
        </w:rPr>
        <w:t xml:space="preserve">There are bugs in the Apple Watch. Users may misread the findings of the electrocardiogram (ECG), despite the fact that it is useful since it does not provide a complete clinical diagnosis. Especially for those with low incomes or a lack of knowledge about technology, the iPhone's accessibility is limited by its high price and necessity. It is possible for users to develop an </w:t>
      </w:r>
      <w:r w:rsidRPr="00467B05">
        <w:rPr>
          <w:lang w:val="en-US"/>
        </w:rPr>
        <w:lastRenderedPageBreak/>
        <w:t>unhealthy dependence on the gadget because it is unable to treat underlying health issues such as inadequate nutrition or a lack of sleep</w:t>
      </w:r>
      <w:r w:rsidR="00A421D3" w:rsidRPr="00A421D3">
        <w:rPr>
          <w:lang w:val="en-US"/>
        </w:rPr>
        <w:t>(Löchner et al., 2025)</w:t>
      </w:r>
      <w:r w:rsidRPr="00467B05">
        <w:rPr>
          <w:lang w:val="en-US"/>
        </w:rPr>
        <w:t xml:space="preserve">. </w:t>
      </w:r>
    </w:p>
    <w:p w:rsidR="00F47426" w:rsidRPr="00F47426" w:rsidRDefault="00F47426" w:rsidP="00A421D3">
      <w:pPr>
        <w:pStyle w:val="Heading2"/>
        <w:rPr>
          <w:lang w:val="en-US"/>
        </w:rPr>
      </w:pPr>
      <w:r w:rsidRPr="00F47426">
        <w:rPr>
          <w:lang w:val="en-US"/>
        </w:rPr>
        <w:t>Limitations and Shortfalls</w:t>
      </w:r>
    </w:p>
    <w:p w:rsidR="00253439" w:rsidRPr="00253439" w:rsidRDefault="00253439" w:rsidP="00253439">
      <w:pPr>
        <w:rPr>
          <w:lang w:val="en-US"/>
        </w:rPr>
      </w:pPr>
      <w:r w:rsidRPr="00253439">
        <w:rPr>
          <w:lang w:val="en-US"/>
        </w:rPr>
        <w:t>The Apple Watch, though it is</w:t>
      </w:r>
      <w:r w:rsidRPr="00253439">
        <w:rPr>
          <w:lang w:val="en-US"/>
        </w:rPr>
        <w:t> </w:t>
      </w:r>
      <w:r w:rsidRPr="00253439">
        <w:rPr>
          <w:lang w:val="en-US"/>
        </w:rPr>
        <w:t>convenient, does come with some disadvantages. It is real-time, but does not do</w:t>
      </w:r>
      <w:r w:rsidRPr="00253439">
        <w:rPr>
          <w:lang w:val="en-US"/>
        </w:rPr>
        <w:t> </w:t>
      </w:r>
      <w:r w:rsidRPr="00253439">
        <w:rPr>
          <w:lang w:val="en-US"/>
        </w:rPr>
        <w:t>that of a physician's or medical professional's advice diagnosis. The diagnosis by the electrocardiogram (ECG) instrument</w:t>
      </w:r>
      <w:r w:rsidRPr="00253439">
        <w:rPr>
          <w:lang w:val="en-US"/>
        </w:rPr>
        <w:t> </w:t>
      </w:r>
      <w:r w:rsidRPr="00253439">
        <w:rPr>
          <w:lang w:val="en-US"/>
        </w:rPr>
        <w:t xml:space="preserve">is very useful, but it only </w:t>
      </w:r>
      <w:r w:rsidR="00A421D3" w:rsidRPr="00253439">
        <w:rPr>
          <w:lang w:val="en-US"/>
        </w:rPr>
        <w:t>cannot</w:t>
      </w:r>
      <w:r w:rsidRPr="00253439">
        <w:rPr>
          <w:lang w:val="en-US"/>
        </w:rPr>
        <w:t xml:space="preserve"> substitute a clinical one. Because of its high cost and the need for an iPhone, the Apple Watch is less accessible to purchase especially in low income</w:t>
      </w:r>
      <w:r w:rsidRPr="00253439">
        <w:rPr>
          <w:lang w:val="en-US"/>
        </w:rPr>
        <w:t> </w:t>
      </w:r>
      <w:r w:rsidRPr="00253439">
        <w:rPr>
          <w:lang w:val="en-US"/>
        </w:rPr>
        <w:t>or remote areas without technology</w:t>
      </w:r>
      <w:r w:rsidR="00A421D3" w:rsidRPr="00A421D3">
        <w:rPr>
          <w:lang w:val="en-US"/>
        </w:rPr>
        <w:t>(Diano, 2023)</w:t>
      </w:r>
      <w:r w:rsidRPr="00253439">
        <w:rPr>
          <w:lang w:val="en-US"/>
        </w:rPr>
        <w:t>.</w:t>
      </w:r>
    </w:p>
    <w:p w:rsidR="00F47426" w:rsidRPr="00F47426" w:rsidRDefault="00F47426" w:rsidP="00A421D3">
      <w:pPr>
        <w:pStyle w:val="Heading2"/>
        <w:rPr>
          <w:lang w:val="en-US"/>
        </w:rPr>
      </w:pPr>
      <w:r w:rsidRPr="00F47426">
        <w:rPr>
          <w:lang w:val="en-US"/>
        </w:rPr>
        <w:t>Addressing the Limitations</w:t>
      </w:r>
    </w:p>
    <w:p w:rsidR="00930875" w:rsidRDefault="00467B05" w:rsidP="008B0473">
      <w:pPr>
        <w:rPr>
          <w:lang w:val="en-US"/>
        </w:rPr>
      </w:pPr>
      <w:r w:rsidRPr="00467B05">
        <w:rPr>
          <w:lang w:val="en-US"/>
        </w:rPr>
        <w:t>If Apple wants to improve public health, it might make the Apple Watch more accessible. Subsidies or partnerships with health organisations could make the device accessible to persons who are economically disadvantaged. It is possible that the Apple Watch may become more useful for health and wellness if it were to include apps for mental health and improve health analytics.</w:t>
      </w:r>
    </w:p>
    <w:p w:rsidR="001354CF" w:rsidRDefault="001354CF">
      <w:pPr>
        <w:spacing w:line="259" w:lineRule="auto"/>
        <w:jc w:val="left"/>
        <w:rPr>
          <w:rFonts w:eastAsiaTheme="majorEastAsia" w:cstheme="majorBidi"/>
          <w:b/>
          <w:sz w:val="32"/>
          <w:szCs w:val="32"/>
          <w:lang w:val="en-US"/>
        </w:rPr>
      </w:pPr>
      <w:r>
        <w:rPr>
          <w:lang w:val="en-US"/>
        </w:rPr>
        <w:br w:type="page"/>
      </w:r>
    </w:p>
    <w:p w:rsidR="00930875" w:rsidRDefault="00930875" w:rsidP="00930875">
      <w:pPr>
        <w:pStyle w:val="Heading1"/>
        <w:rPr>
          <w:lang w:val="en-US"/>
        </w:rPr>
      </w:pPr>
      <w:r>
        <w:rPr>
          <w:lang w:val="en-US"/>
        </w:rPr>
        <w:lastRenderedPageBreak/>
        <w:t>References</w:t>
      </w:r>
    </w:p>
    <w:p w:rsidR="00930875" w:rsidRPr="00A421D3" w:rsidRDefault="00930875" w:rsidP="00930875">
      <w:pPr>
        <w:rPr>
          <w:lang w:val="en-US"/>
        </w:rPr>
      </w:pPr>
      <w:r w:rsidRPr="00A421D3">
        <w:rPr>
          <w:lang w:val="en-US"/>
        </w:rPr>
        <w:t xml:space="preserve">Apple (2024). </w:t>
      </w:r>
      <w:r w:rsidRPr="00A421D3">
        <w:rPr>
          <w:i/>
          <w:iCs/>
          <w:lang w:val="en-US"/>
        </w:rPr>
        <w:t>Apple Watch</w:t>
      </w:r>
      <w:r w:rsidRPr="00A421D3">
        <w:rPr>
          <w:lang w:val="en-US"/>
        </w:rPr>
        <w:t xml:space="preserve">. [online] Apple. Available at: </w:t>
      </w:r>
      <w:hyperlink r:id="rId9" w:history="1">
        <w:r w:rsidR="001354CF" w:rsidRPr="00F84528">
          <w:rPr>
            <w:rStyle w:val="Hyperlink"/>
            <w:lang w:val="en-US"/>
          </w:rPr>
          <w:t>https://www.apple.com/watch/</w:t>
        </w:r>
      </w:hyperlink>
      <w:r w:rsidRPr="00A421D3">
        <w:rPr>
          <w:lang w:val="en-US"/>
        </w:rPr>
        <w:t>[Accessed 18 Nov. 2025].</w:t>
      </w:r>
    </w:p>
    <w:p w:rsidR="00930875" w:rsidRDefault="00930875" w:rsidP="00930875">
      <w:pPr>
        <w:rPr>
          <w:lang w:val="en-US"/>
        </w:rPr>
      </w:pPr>
      <w:r w:rsidRPr="00A421D3">
        <w:rPr>
          <w:lang w:val="en-US"/>
        </w:rPr>
        <w:t xml:space="preserve">Diano, F. (2023). Empower Psychotherapy with mHealth Apps: The Design of ‘Safer’, an Emotion Regulation Application. </w:t>
      </w:r>
      <w:r w:rsidRPr="00A421D3">
        <w:rPr>
          <w:i/>
          <w:iCs/>
          <w:lang w:val="en-US"/>
        </w:rPr>
        <w:t>Information</w:t>
      </w:r>
      <w:r w:rsidRPr="00A421D3">
        <w:rPr>
          <w:lang w:val="en-US"/>
        </w:rPr>
        <w:t xml:space="preserve">, 14(6). </w:t>
      </w:r>
      <w:r w:rsidR="001354CF" w:rsidRPr="00A421D3">
        <w:rPr>
          <w:lang w:val="en-US"/>
        </w:rPr>
        <w:t xml:space="preserve">doi: </w:t>
      </w:r>
      <w:hyperlink r:id="rId10" w:history="1">
        <w:r w:rsidR="001354CF" w:rsidRPr="00F84528">
          <w:rPr>
            <w:rStyle w:val="Hyperlink"/>
            <w:lang w:val="en-US"/>
          </w:rPr>
          <w:t>https://doi.org/10.3390/info14060308</w:t>
        </w:r>
      </w:hyperlink>
      <w:r w:rsidRPr="00A421D3">
        <w:rPr>
          <w:lang w:val="en-US"/>
        </w:rPr>
        <w:t>.</w:t>
      </w:r>
    </w:p>
    <w:p w:rsidR="00930875" w:rsidRDefault="00930875" w:rsidP="00930875">
      <w:pPr>
        <w:rPr>
          <w:lang w:val="en-US"/>
        </w:rPr>
      </w:pPr>
      <w:r w:rsidRPr="00A421D3">
        <w:rPr>
          <w:lang w:val="en-US"/>
        </w:rPr>
        <w:t xml:space="preserve">Löchner, J., Carlbring, P., Schuller, B., Torous, J. and Sander, L. (2025). Digital interventions in mental health: An overview and future perspectives. </w:t>
      </w:r>
      <w:r w:rsidRPr="00A421D3">
        <w:rPr>
          <w:i/>
          <w:iCs/>
          <w:lang w:val="en-US"/>
        </w:rPr>
        <w:t>Internet Interventions</w:t>
      </w:r>
      <w:r w:rsidRPr="00A421D3">
        <w:rPr>
          <w:lang w:val="en-US"/>
        </w:rPr>
        <w:t xml:space="preserve">, [online] 40(100824). </w:t>
      </w:r>
      <w:r w:rsidR="001354CF" w:rsidRPr="00A421D3">
        <w:rPr>
          <w:lang w:val="en-US"/>
        </w:rPr>
        <w:t xml:space="preserve">doi: </w:t>
      </w:r>
      <w:hyperlink r:id="rId11" w:history="1">
        <w:r w:rsidR="001354CF" w:rsidRPr="00F84528">
          <w:rPr>
            <w:rStyle w:val="Hyperlink"/>
            <w:lang w:val="en-US"/>
          </w:rPr>
          <w:t>https://doi.org/10.1016/j.invent.2025.100824</w:t>
        </w:r>
      </w:hyperlink>
      <w:r w:rsidRPr="00A421D3">
        <w:rPr>
          <w:lang w:val="en-US"/>
        </w:rPr>
        <w:t>.</w:t>
      </w:r>
    </w:p>
    <w:p w:rsidR="00930875" w:rsidRDefault="00930875" w:rsidP="00930875">
      <w:pPr>
        <w:rPr>
          <w:lang w:val="en-US"/>
        </w:rPr>
      </w:pPr>
      <w:r w:rsidRPr="00A421D3">
        <w:rPr>
          <w:lang w:val="en-US"/>
        </w:rPr>
        <w:t xml:space="preserve">Lui, G.Y., Loughnane, D., Polley, C., Jayarathna, T. and Breen, P.P. (2022). The Apple Watch for Monitoring Mental Health–Related Physiological Symptoms: Literature Review. </w:t>
      </w:r>
      <w:r w:rsidRPr="00A421D3">
        <w:rPr>
          <w:i/>
          <w:iCs/>
          <w:lang w:val="en-US"/>
        </w:rPr>
        <w:t>JMIR Mental Health</w:t>
      </w:r>
      <w:r w:rsidRPr="00A421D3">
        <w:rPr>
          <w:lang w:val="en-US"/>
        </w:rPr>
        <w:t xml:space="preserve">, [online] 9(9), p.e37354. </w:t>
      </w:r>
      <w:r w:rsidR="001354CF" w:rsidRPr="00A421D3">
        <w:rPr>
          <w:lang w:val="en-US"/>
        </w:rPr>
        <w:t xml:space="preserve">doi: </w:t>
      </w:r>
      <w:hyperlink r:id="rId12" w:history="1">
        <w:r w:rsidR="001354CF" w:rsidRPr="00F84528">
          <w:rPr>
            <w:rStyle w:val="Hyperlink"/>
            <w:lang w:val="en-US"/>
          </w:rPr>
          <w:t>https://doi.org/10.2196/37354</w:t>
        </w:r>
      </w:hyperlink>
      <w:r w:rsidRPr="00A421D3">
        <w:rPr>
          <w:lang w:val="en-US"/>
        </w:rPr>
        <w:t>.</w:t>
      </w:r>
    </w:p>
    <w:p w:rsidR="001354CF" w:rsidRDefault="00930875" w:rsidP="00930875">
      <w:pPr>
        <w:rPr>
          <w:lang w:val="en-US"/>
        </w:rPr>
      </w:pPr>
      <w:r w:rsidRPr="00A421D3">
        <w:rPr>
          <w:lang w:val="en-US"/>
        </w:rPr>
        <w:t xml:space="preserve">World Health Organization (2024). </w:t>
      </w:r>
      <w:r w:rsidRPr="00A421D3">
        <w:rPr>
          <w:i/>
          <w:iCs/>
          <w:lang w:val="en-US"/>
        </w:rPr>
        <w:t>Physical activity</w:t>
      </w:r>
      <w:r w:rsidRPr="00A421D3">
        <w:rPr>
          <w:lang w:val="en-US"/>
        </w:rPr>
        <w:t xml:space="preserve">. [online] World Health Organization. Available at: </w:t>
      </w:r>
      <w:hyperlink r:id="rId13" w:history="1">
        <w:r w:rsidR="001354CF" w:rsidRPr="00F84528">
          <w:rPr>
            <w:rStyle w:val="Hyperlink"/>
            <w:lang w:val="en-US"/>
          </w:rPr>
          <w:t>https://www.who.int/news-room/fact-sheets/detail/physical-activity</w:t>
        </w:r>
      </w:hyperlink>
    </w:p>
    <w:p w:rsidR="00930875" w:rsidRDefault="00930875" w:rsidP="00930875">
      <w:pPr>
        <w:rPr>
          <w:lang w:val="en-US"/>
        </w:rPr>
      </w:pPr>
      <w:r w:rsidRPr="00A421D3">
        <w:rPr>
          <w:lang w:val="en-US"/>
        </w:rPr>
        <w:t>[Accessed 18 Nov. 2025].</w:t>
      </w:r>
    </w:p>
    <w:p w:rsidR="00930875" w:rsidRPr="00930875" w:rsidRDefault="00930875" w:rsidP="00930875">
      <w:pPr>
        <w:spacing w:line="259" w:lineRule="auto"/>
        <w:jc w:val="left"/>
        <w:rPr>
          <w:lang w:val="en-US"/>
        </w:rPr>
      </w:pPr>
      <w:r>
        <w:rPr>
          <w:lang w:val="en-US"/>
        </w:rPr>
        <w:br w:type="page"/>
      </w:r>
    </w:p>
    <w:p w:rsidR="00F47426" w:rsidRDefault="00F47426" w:rsidP="00A421D3">
      <w:pPr>
        <w:pStyle w:val="Heading1"/>
      </w:pPr>
      <w:r>
        <w:lastRenderedPageBreak/>
        <w:t xml:space="preserve">Blog 2: </w:t>
      </w:r>
      <w:r w:rsidRPr="00F47426">
        <w:t>A Mobile App for Mental Health Awareness and Coping Strategies</w:t>
      </w:r>
    </w:p>
    <w:p w:rsidR="00F47426" w:rsidRPr="00F47426" w:rsidRDefault="00F47426" w:rsidP="00A421D3">
      <w:pPr>
        <w:pStyle w:val="Heading2"/>
        <w:rPr>
          <w:lang w:val="en-US"/>
        </w:rPr>
      </w:pPr>
      <w:r w:rsidRPr="00F47426">
        <w:rPr>
          <w:lang w:val="en-US"/>
        </w:rPr>
        <w:t>A Mobile App for Mental Health Awareness and Coping Strategies</w:t>
      </w:r>
    </w:p>
    <w:p w:rsidR="00467B05" w:rsidRPr="00467B05" w:rsidRDefault="00467B05" w:rsidP="00467B05">
      <w:pPr>
        <w:rPr>
          <w:lang w:val="en-US"/>
        </w:rPr>
      </w:pPr>
      <w:r w:rsidRPr="00467B05">
        <w:rPr>
          <w:lang w:val="en-US"/>
        </w:rPr>
        <w:t>This hurried lifestyle of ours leads to feelings of stress, worry, and hopelessness. Because more than 450 million people throughout the world suffer from mental diseases, the World Health Organisation (WHO) considers mental health to be a global public health priority. Therapy, medicine, and institutionalisation are the three elements that make up traditional treatments for mental health. There are a lot of potential in mobile applications for mental health and well-being. On this blog, we will talk about a mobile app that teaches coping strategies and raises awareness of mental health, as well as its consequences and potential challenges</w:t>
      </w:r>
      <w:r w:rsidR="00930875" w:rsidRPr="00930875">
        <w:rPr>
          <w:lang w:val="en-US"/>
        </w:rPr>
        <w:t>(Moitra et al., 2023)</w:t>
      </w:r>
      <w:r w:rsidRPr="00467B05">
        <w:rPr>
          <w:lang w:val="en-US"/>
        </w:rPr>
        <w:t>.</w:t>
      </w:r>
    </w:p>
    <w:p w:rsidR="00F47426" w:rsidRPr="00F47426" w:rsidRDefault="00F47426" w:rsidP="00A421D3">
      <w:pPr>
        <w:pStyle w:val="Heading2"/>
        <w:rPr>
          <w:lang w:val="en-US"/>
        </w:rPr>
      </w:pPr>
      <w:r w:rsidRPr="00F47426">
        <w:rPr>
          <w:lang w:val="en-US"/>
        </w:rPr>
        <w:t>Addressing Mental Health Issues</w:t>
      </w:r>
    </w:p>
    <w:p w:rsidR="002E7082" w:rsidRPr="002E7082" w:rsidRDefault="002E7082" w:rsidP="002E7082">
      <w:pPr>
        <w:rPr>
          <w:lang w:val="en-US"/>
        </w:rPr>
      </w:pPr>
      <w:r w:rsidRPr="002E7082">
        <w:rPr>
          <w:lang w:val="en-US"/>
        </w:rPr>
        <w:t>ptions for stress, anxiety and mild to</w:t>
      </w:r>
      <w:r w:rsidRPr="002E7082">
        <w:rPr>
          <w:lang w:val="en-US"/>
        </w:rPr>
        <w:t> </w:t>
      </w:r>
      <w:r w:rsidRPr="002E7082">
        <w:rPr>
          <w:lang w:val="en-US"/>
        </w:rPr>
        <w:t>moderate depression. It includes mood tracking, mindfulness and guided meditation, cognitive behavioural</w:t>
      </w:r>
      <w:r w:rsidRPr="002E7082">
        <w:rPr>
          <w:lang w:val="en-US"/>
        </w:rPr>
        <w:t> </w:t>
      </w:r>
      <w:r w:rsidRPr="002E7082">
        <w:rPr>
          <w:lang w:val="en-US"/>
        </w:rPr>
        <w:t>therapy (CBT) techniques and mental health education. Well-being,</w:t>
      </w:r>
      <w:r w:rsidRPr="002E7082">
        <w:rPr>
          <w:lang w:val="en-US"/>
        </w:rPr>
        <w:t> </w:t>
      </w:r>
      <w:r w:rsidRPr="002E7082">
        <w:rPr>
          <w:lang w:val="en-US"/>
        </w:rPr>
        <w:t>mood management, and coping are also enhanced through these relationships. Individuals who wish to remain anonymous or do not have access to professional services are</w:t>
      </w:r>
      <w:r w:rsidRPr="002E7082">
        <w:rPr>
          <w:lang w:val="en-US"/>
        </w:rPr>
        <w:t> </w:t>
      </w:r>
      <w:r w:rsidRPr="002E7082">
        <w:rPr>
          <w:lang w:val="en-US"/>
        </w:rPr>
        <w:t>able utilise the program as it encourages early action and removes stigma. As indicated in Firth et</w:t>
      </w:r>
      <w:r w:rsidRPr="002E7082">
        <w:rPr>
          <w:lang w:val="en-US"/>
        </w:rPr>
        <w:t> </w:t>
      </w:r>
      <w:r w:rsidRPr="002E7082">
        <w:rPr>
          <w:lang w:val="en-US"/>
        </w:rPr>
        <w:t>al. (2017), digital</w:t>
      </w:r>
      <w:r w:rsidRPr="002E7082">
        <w:rPr>
          <w:lang w:val="en-US"/>
        </w:rPr>
        <w:t> </w:t>
      </w:r>
      <w:r w:rsidRPr="002E7082">
        <w:rPr>
          <w:lang w:val="en-US"/>
        </w:rPr>
        <w:t xml:space="preserve">treatment, psychoeducation, and fast help contribute to </w:t>
      </w:r>
      <w:r w:rsidR="00A421D3">
        <w:rPr>
          <w:noProof/>
          <w:lang w:eastAsia="en-GB"/>
        </w:rPr>
        <w:drawing>
          <wp:anchor distT="0" distB="0" distL="114300" distR="114300" simplePos="0" relativeHeight="251663872" behindDoc="0" locked="0" layoutInCell="1" allowOverlap="1">
            <wp:simplePos x="0" y="0"/>
            <wp:positionH relativeFrom="column">
              <wp:posOffset>0</wp:posOffset>
            </wp:positionH>
            <wp:positionV relativeFrom="paragraph">
              <wp:posOffset>1495425</wp:posOffset>
            </wp:positionV>
            <wp:extent cx="2628900" cy="1678940"/>
            <wp:effectExtent l="0" t="0" r="0" b="0"/>
            <wp:wrapSquare wrapText="bothSides"/>
            <wp:docPr id="1466377109" name="Picture 1" descr="HeartWatch 4: A Streamlined Dashboard for Your Health - Mac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Watch 4: A Streamlined Dashboard for Your Health - MacStories"/>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8900" cy="1678940"/>
                    </a:xfrm>
                    <a:prstGeom prst="rect">
                      <a:avLst/>
                    </a:prstGeom>
                    <a:noFill/>
                    <a:ln>
                      <a:noFill/>
                    </a:ln>
                  </pic:spPr>
                </pic:pic>
              </a:graphicData>
            </a:graphic>
          </wp:anchor>
        </w:drawing>
      </w:r>
      <w:r w:rsidRPr="002E7082">
        <w:rPr>
          <w:lang w:val="en-US"/>
        </w:rPr>
        <w:t>better mental health.</w:t>
      </w:r>
    </w:p>
    <w:p w:rsidR="00F47426" w:rsidRPr="00F47426" w:rsidRDefault="00F47426" w:rsidP="00A421D3">
      <w:pPr>
        <w:pStyle w:val="Heading2"/>
        <w:rPr>
          <w:lang w:val="en-US"/>
        </w:rPr>
      </w:pPr>
      <w:r w:rsidRPr="00F47426">
        <w:rPr>
          <w:lang w:val="en-US"/>
        </w:rPr>
        <w:t>Features of the Designed App</w:t>
      </w:r>
    </w:p>
    <w:p w:rsidR="002E7082" w:rsidRPr="002E7082" w:rsidRDefault="002E7082" w:rsidP="002E7082">
      <w:pPr>
        <w:rPr>
          <w:lang w:val="en-US"/>
        </w:rPr>
      </w:pPr>
      <w:r w:rsidRPr="002E7082">
        <w:rPr>
          <w:lang w:val="en-US"/>
        </w:rPr>
        <w:t>The software also tracks mood in an effort to</w:t>
      </w:r>
      <w:r w:rsidRPr="002E7082">
        <w:rPr>
          <w:lang w:val="en-US"/>
        </w:rPr>
        <w:t> </w:t>
      </w:r>
      <w:r w:rsidRPr="002E7082">
        <w:rPr>
          <w:lang w:val="en-US"/>
        </w:rPr>
        <w:t>find triggers and boost mental health. As indicated by</w:t>
      </w:r>
      <w:r w:rsidRPr="002E7082">
        <w:rPr>
          <w:lang w:val="en-US"/>
        </w:rPr>
        <w:t> </w:t>
      </w:r>
      <w:r w:rsidRPr="002E7082">
        <w:rPr>
          <w:lang w:val="en-US"/>
        </w:rPr>
        <w:t>Goyal and colleagues (2014), mindfulness exercises and meditation help to reduce</w:t>
      </w:r>
      <w:r w:rsidRPr="002E7082">
        <w:rPr>
          <w:lang w:val="en-US"/>
        </w:rPr>
        <w:t> </w:t>
      </w:r>
      <w:r w:rsidRPr="002E7082">
        <w:rPr>
          <w:lang w:val="en-US"/>
        </w:rPr>
        <w:t>anxiety and sadness. Cognitive</w:t>
      </w:r>
      <w:r w:rsidRPr="002E7082">
        <w:rPr>
          <w:lang w:val="en-US"/>
        </w:rPr>
        <w:t> </w:t>
      </w:r>
      <w:r w:rsidRPr="002E7082">
        <w:rPr>
          <w:lang w:val="en-US"/>
        </w:rPr>
        <w:t>behavioural therapy (CBT) improves quality of thinking by eliminating negative thoughts. Topics of the app include</w:t>
      </w:r>
      <w:r w:rsidRPr="002E7082">
        <w:rPr>
          <w:lang w:val="en-US"/>
        </w:rPr>
        <w:t> </w:t>
      </w:r>
      <w:r w:rsidRPr="002E7082">
        <w:rPr>
          <w:lang w:val="en-US"/>
        </w:rPr>
        <w:t>self-care, coping and mental health, as well as podcasts and videos. Peer support group is a voluntary group, where users can socialise, talk</w:t>
      </w:r>
      <w:r w:rsidRPr="002E7082">
        <w:rPr>
          <w:lang w:val="en-US"/>
        </w:rPr>
        <w:t> </w:t>
      </w:r>
      <w:r w:rsidRPr="002E7082">
        <w:rPr>
          <w:lang w:val="en-US"/>
        </w:rPr>
        <w:t>and encourage each other in a supportive environment</w:t>
      </w:r>
      <w:r w:rsidR="00A421D3" w:rsidRPr="00A421D3">
        <w:rPr>
          <w:lang w:val="en-US"/>
        </w:rPr>
        <w:t>(Firth et al., 2017)</w:t>
      </w:r>
      <w:r w:rsidRPr="002E7082">
        <w:rPr>
          <w:lang w:val="en-US"/>
        </w:rPr>
        <w:t>.</w:t>
      </w:r>
    </w:p>
    <w:p w:rsidR="00F47426" w:rsidRPr="00F47426" w:rsidRDefault="00F47426" w:rsidP="00A421D3">
      <w:pPr>
        <w:pStyle w:val="Heading2"/>
        <w:rPr>
          <w:lang w:val="en-US"/>
        </w:rPr>
      </w:pPr>
      <w:r w:rsidRPr="00F47426">
        <w:rPr>
          <w:lang w:val="en-US"/>
        </w:rPr>
        <w:lastRenderedPageBreak/>
        <w:t>Impact of the App in Health Promotion</w:t>
      </w:r>
    </w:p>
    <w:p w:rsidR="00467B05" w:rsidRPr="00467B05" w:rsidRDefault="00467B05" w:rsidP="00467B05">
      <w:pPr>
        <w:rPr>
          <w:lang w:val="en-US"/>
        </w:rPr>
      </w:pPr>
      <w:r w:rsidRPr="00467B05">
        <w:rPr>
          <w:lang w:val="en-US"/>
        </w:rPr>
        <w:t xml:space="preserve">The software assists users in maintaining and obtaining assistance for their mental health. Through the provision of self-help tools and information, this software encourages proactive management of mental health. By normalising conversations and providing a secure environment in which to find answers, it helps to reduce the stigma associated with mental health (Firth et al., 2017). </w:t>
      </w:r>
    </w:p>
    <w:p w:rsidR="00F47426" w:rsidRPr="00F47426" w:rsidRDefault="00F47426" w:rsidP="00A421D3">
      <w:pPr>
        <w:pStyle w:val="Heading2"/>
        <w:rPr>
          <w:lang w:val="en-US"/>
        </w:rPr>
      </w:pPr>
      <w:r w:rsidRPr="00F47426">
        <w:rPr>
          <w:lang w:val="en-US"/>
        </w:rPr>
        <w:t>Limitations and Shortfalls</w:t>
      </w:r>
    </w:p>
    <w:p w:rsidR="00467B05" w:rsidRPr="00467B05" w:rsidRDefault="00467B05" w:rsidP="00467B05">
      <w:pPr>
        <w:rPr>
          <w:lang w:val="en-US"/>
        </w:rPr>
      </w:pPr>
      <w:r w:rsidRPr="00467B05">
        <w:rPr>
          <w:lang w:val="en-US"/>
        </w:rPr>
        <w:t>Despite its usefulness, the software has some limitations. It is possible that it is not appropriate for patients with major mental health conditions who require expert care. It is possible that apps will lose their attraction because the program is dependent on user input. In order to utilise the application, not everyone possesses the necessary digital skills or resources (such as a mobile phone or the internet)</w:t>
      </w:r>
      <w:r w:rsidR="00A421D3" w:rsidRPr="00A421D3">
        <w:rPr>
          <w:lang w:val="en-US"/>
        </w:rPr>
        <w:t>(Yang and Zhao, 2019)</w:t>
      </w:r>
      <w:r w:rsidRPr="00467B05">
        <w:rPr>
          <w:lang w:val="en-US"/>
        </w:rPr>
        <w:t>.</w:t>
      </w:r>
    </w:p>
    <w:p w:rsidR="00F47426" w:rsidRPr="00F47426" w:rsidRDefault="00F47426" w:rsidP="00A421D3">
      <w:pPr>
        <w:pStyle w:val="Heading2"/>
        <w:rPr>
          <w:lang w:val="en-US"/>
        </w:rPr>
      </w:pPr>
      <w:r w:rsidRPr="00F47426">
        <w:rPr>
          <w:lang w:val="en-US"/>
        </w:rPr>
        <w:t>Addressing the Shortfalls</w:t>
      </w:r>
    </w:p>
    <w:p w:rsidR="00A421D3" w:rsidRDefault="00467B05" w:rsidP="00467B05">
      <w:pPr>
        <w:rPr>
          <w:lang w:val="en-US"/>
        </w:rPr>
      </w:pPr>
      <w:r w:rsidRPr="00467B05">
        <w:rPr>
          <w:lang w:val="en-US"/>
        </w:rPr>
        <w:t>For consumers who are unable to overcome these limits, the program may suggest that they call helplines or seek counselling in person. It would be beneficial for the app to include video conferencing with licensed therapists. There is a possibility that gamification, personal messaging, and reminders will increase long-term adherence</w:t>
      </w:r>
      <w:r w:rsidR="00930875" w:rsidRPr="00930875">
        <w:rPr>
          <w:lang w:val="en-US"/>
        </w:rPr>
        <w:t>(Nabi et al., 2025)</w:t>
      </w:r>
      <w:r w:rsidRPr="00467B05">
        <w:rPr>
          <w:lang w:val="en-US"/>
        </w:rPr>
        <w:t>.</w:t>
      </w:r>
    </w:p>
    <w:p w:rsidR="00A421D3" w:rsidRDefault="00A421D3">
      <w:pPr>
        <w:spacing w:line="259" w:lineRule="auto"/>
        <w:jc w:val="left"/>
        <w:rPr>
          <w:lang w:val="en-US"/>
        </w:rPr>
      </w:pPr>
      <w:r>
        <w:rPr>
          <w:lang w:val="en-US"/>
        </w:rPr>
        <w:br w:type="page"/>
      </w:r>
    </w:p>
    <w:p w:rsidR="00A421D3" w:rsidRPr="00A421D3" w:rsidRDefault="00A421D3" w:rsidP="00A421D3">
      <w:pPr>
        <w:pStyle w:val="Heading1"/>
        <w:rPr>
          <w:lang w:val="en-US"/>
        </w:rPr>
      </w:pPr>
      <w:r w:rsidRPr="00A421D3">
        <w:rPr>
          <w:lang w:val="en-US"/>
        </w:rPr>
        <w:lastRenderedPageBreak/>
        <w:t>Reference list</w:t>
      </w:r>
    </w:p>
    <w:p w:rsidR="00A421D3" w:rsidRDefault="00A421D3" w:rsidP="00A421D3">
      <w:pPr>
        <w:rPr>
          <w:lang w:val="en-US"/>
        </w:rPr>
      </w:pPr>
      <w:r w:rsidRPr="00A421D3">
        <w:rPr>
          <w:lang w:val="en-US"/>
        </w:rPr>
        <w:t xml:space="preserve">Firth, J., Torous, J., Nicholas, J., Carney, R., Pratap, A., Rosenbaum, S. and Sarris, J. (2017). The efficacy of smartphone-based mental health interventions for depressive symptoms: a meta-analysis of randomized controlled trials. </w:t>
      </w:r>
      <w:r w:rsidRPr="00A421D3">
        <w:rPr>
          <w:i/>
          <w:iCs/>
          <w:lang w:val="en-US"/>
        </w:rPr>
        <w:t>World Psychiatry</w:t>
      </w:r>
      <w:r w:rsidRPr="00A421D3">
        <w:rPr>
          <w:lang w:val="en-US"/>
        </w:rPr>
        <w:t xml:space="preserve">, 16(3), pp.287–298. </w:t>
      </w:r>
      <w:r w:rsidR="001354CF" w:rsidRPr="00A421D3">
        <w:rPr>
          <w:lang w:val="en-US"/>
        </w:rPr>
        <w:t xml:space="preserve">doi: </w:t>
      </w:r>
      <w:hyperlink r:id="rId15" w:history="1">
        <w:r w:rsidR="001354CF" w:rsidRPr="00F84528">
          <w:rPr>
            <w:rStyle w:val="Hyperlink"/>
            <w:lang w:val="en-US"/>
          </w:rPr>
          <w:t>https://doi.org/10.1002/wps.20472</w:t>
        </w:r>
      </w:hyperlink>
      <w:r w:rsidRPr="00A421D3">
        <w:rPr>
          <w:lang w:val="en-US"/>
        </w:rPr>
        <w:t>.</w:t>
      </w:r>
    </w:p>
    <w:p w:rsidR="00A421D3" w:rsidRDefault="00A421D3" w:rsidP="00A421D3">
      <w:pPr>
        <w:rPr>
          <w:lang w:val="en-US"/>
        </w:rPr>
      </w:pPr>
      <w:r w:rsidRPr="00A421D3">
        <w:rPr>
          <w:lang w:val="en-US"/>
        </w:rPr>
        <w:t xml:space="preserve">Goyal, M. (2014). Meditation Programs for Psychological Stress and Well-being. </w:t>
      </w:r>
      <w:r w:rsidRPr="00A421D3">
        <w:rPr>
          <w:i/>
          <w:iCs/>
          <w:lang w:val="en-US"/>
        </w:rPr>
        <w:t>JAMA Internal Medicine</w:t>
      </w:r>
      <w:r w:rsidRPr="00A421D3">
        <w:rPr>
          <w:lang w:val="en-US"/>
        </w:rPr>
        <w:t xml:space="preserve">, [online] 174(3). </w:t>
      </w:r>
      <w:r w:rsidR="001354CF" w:rsidRPr="00A421D3">
        <w:rPr>
          <w:lang w:val="en-US"/>
        </w:rPr>
        <w:t xml:space="preserve">doi: </w:t>
      </w:r>
      <w:hyperlink r:id="rId16" w:history="1">
        <w:r w:rsidR="001354CF" w:rsidRPr="00F84528">
          <w:rPr>
            <w:rStyle w:val="Hyperlink"/>
            <w:lang w:val="en-US"/>
          </w:rPr>
          <w:t>https://doi.org/10.1001/jamainternmed.2013.13018</w:t>
        </w:r>
      </w:hyperlink>
      <w:r w:rsidRPr="00A421D3">
        <w:rPr>
          <w:lang w:val="en-US"/>
        </w:rPr>
        <w:t>.</w:t>
      </w:r>
    </w:p>
    <w:p w:rsidR="00930875" w:rsidRDefault="00930875" w:rsidP="00930875">
      <w:pPr>
        <w:rPr>
          <w:lang w:val="en-US"/>
        </w:rPr>
      </w:pPr>
      <w:r w:rsidRPr="00930875">
        <w:rPr>
          <w:lang w:val="en-US"/>
        </w:rPr>
        <w:t xml:space="preserve">Moitra, M., Owens, S., Hailemariam, M., Wilson, K.S., Mensa-Kwao, A., Gonese, G., Kamamia, C.K., White, B., Young, D.M. and Collins, P.Y. (2023). Global mental health: Where we are and where we are going. </w:t>
      </w:r>
      <w:r w:rsidRPr="00930875">
        <w:rPr>
          <w:i/>
          <w:iCs/>
          <w:lang w:val="en-US"/>
        </w:rPr>
        <w:t>Global Mental Health: Where We Are and Where We Are Going</w:t>
      </w:r>
      <w:r w:rsidRPr="00930875">
        <w:rPr>
          <w:lang w:val="en-US"/>
        </w:rPr>
        <w:t xml:space="preserve">, [online] 25(7). </w:t>
      </w:r>
      <w:r w:rsidR="001354CF" w:rsidRPr="00930875">
        <w:rPr>
          <w:lang w:val="en-US"/>
        </w:rPr>
        <w:t xml:space="preserve">doi: </w:t>
      </w:r>
      <w:hyperlink r:id="rId17" w:history="1">
        <w:r w:rsidR="001354CF" w:rsidRPr="00F84528">
          <w:rPr>
            <w:rStyle w:val="Hyperlink"/>
            <w:lang w:val="en-US"/>
          </w:rPr>
          <w:t>https://doi.org/10.1007/s11920-023-01426-8</w:t>
        </w:r>
      </w:hyperlink>
      <w:r w:rsidRPr="00930875">
        <w:rPr>
          <w:lang w:val="en-US"/>
        </w:rPr>
        <w:t>.</w:t>
      </w:r>
    </w:p>
    <w:p w:rsidR="00930875" w:rsidRDefault="00930875" w:rsidP="00930875">
      <w:pPr>
        <w:rPr>
          <w:lang w:val="en-US"/>
        </w:rPr>
      </w:pPr>
      <w:r w:rsidRPr="00930875">
        <w:rPr>
          <w:lang w:val="en-US"/>
        </w:rPr>
        <w:t xml:space="preserve">Nabi, A.A., Ahmad, I., Muhammad, Zaman, K. and Anser, M.K. (2025). Advancing Mental Health Care: A Comprehensive Review of Digital Tools and Technologies for Enhancing Diagnosis, Treatment, and Wellness. </w:t>
      </w:r>
      <w:r w:rsidRPr="00930875">
        <w:rPr>
          <w:i/>
          <w:iCs/>
          <w:lang w:val="en-US"/>
        </w:rPr>
        <w:t>Health care science</w:t>
      </w:r>
      <w:r w:rsidRPr="00930875">
        <w:rPr>
          <w:lang w:val="en-US"/>
        </w:rPr>
        <w:t xml:space="preserve">. </w:t>
      </w:r>
      <w:r w:rsidR="001354CF" w:rsidRPr="00930875">
        <w:rPr>
          <w:lang w:val="en-US"/>
        </w:rPr>
        <w:t xml:space="preserve">doi: </w:t>
      </w:r>
      <w:hyperlink r:id="rId18" w:history="1">
        <w:r w:rsidR="001354CF" w:rsidRPr="00F84528">
          <w:rPr>
            <w:rStyle w:val="Hyperlink"/>
            <w:lang w:val="en-US"/>
          </w:rPr>
          <w:t>https://doi.org/10.1002/hcs2.70018</w:t>
        </w:r>
      </w:hyperlink>
      <w:r w:rsidRPr="00930875">
        <w:rPr>
          <w:lang w:val="en-US"/>
        </w:rPr>
        <w:t>.</w:t>
      </w:r>
    </w:p>
    <w:p w:rsidR="00930875" w:rsidRDefault="00930875" w:rsidP="00930875">
      <w:pPr>
        <w:rPr>
          <w:lang w:val="en-US"/>
        </w:rPr>
      </w:pPr>
      <w:r w:rsidRPr="00A421D3">
        <w:rPr>
          <w:lang w:val="en-US"/>
        </w:rPr>
        <w:t xml:space="preserve">Yang, X. and Zhao, X. (2019). Factors Influencing User’s Adherence to Physical Activity Applications: A Scoping Literature Review and Future Directions. </w:t>
      </w:r>
      <w:r w:rsidRPr="00A421D3">
        <w:rPr>
          <w:i/>
          <w:iCs/>
          <w:lang w:val="en-US"/>
        </w:rPr>
        <w:t>International Journal of Medical Informatics</w:t>
      </w:r>
      <w:r w:rsidRPr="00A421D3">
        <w:rPr>
          <w:lang w:val="en-US"/>
        </w:rPr>
        <w:t xml:space="preserve">, [online] 134. </w:t>
      </w:r>
      <w:r w:rsidR="001354CF" w:rsidRPr="00A421D3">
        <w:rPr>
          <w:lang w:val="en-US"/>
        </w:rPr>
        <w:t xml:space="preserve">doi: </w:t>
      </w:r>
      <w:hyperlink r:id="rId19" w:history="1">
        <w:r w:rsidR="001354CF" w:rsidRPr="00F84528">
          <w:rPr>
            <w:rStyle w:val="Hyperlink"/>
            <w:lang w:val="en-US"/>
          </w:rPr>
          <w:t>https://doi.org/10.1016/j.ijmedinf.2019.104039</w:t>
        </w:r>
      </w:hyperlink>
      <w:r w:rsidRPr="00A421D3">
        <w:rPr>
          <w:lang w:val="en-US"/>
        </w:rPr>
        <w:t>.</w:t>
      </w:r>
    </w:p>
    <w:p w:rsidR="001354CF" w:rsidRPr="00930875" w:rsidRDefault="001354CF" w:rsidP="00930875">
      <w:pPr>
        <w:rPr>
          <w:lang w:val="en-US"/>
        </w:rPr>
      </w:pPr>
    </w:p>
    <w:p w:rsidR="00467B05" w:rsidRPr="00467B05" w:rsidRDefault="00467B05" w:rsidP="00467B05">
      <w:pPr>
        <w:rPr>
          <w:lang w:val="en-US"/>
        </w:rPr>
      </w:pPr>
    </w:p>
    <w:p w:rsidR="00F47426" w:rsidRPr="00C56EBC" w:rsidRDefault="00F47426" w:rsidP="00C56EBC">
      <w:pPr>
        <w:spacing w:line="259" w:lineRule="auto"/>
        <w:jc w:val="left"/>
        <w:rPr>
          <w:lang w:val="en-US"/>
        </w:rPr>
      </w:pPr>
    </w:p>
    <w:p w:rsidR="00342390" w:rsidRDefault="00342390" w:rsidP="00F47426"/>
    <w:p w:rsidR="00342390" w:rsidRPr="00F47426" w:rsidRDefault="00342390" w:rsidP="00F47426"/>
    <w:sectPr w:rsidR="00342390" w:rsidRPr="00F47426" w:rsidSect="00C529FF">
      <w:foot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1E54" w:rsidRPr="008B0473" w:rsidRDefault="005E1E54" w:rsidP="004075F6">
      <w:pPr>
        <w:spacing w:after="0" w:line="240" w:lineRule="auto"/>
      </w:pPr>
      <w:r w:rsidRPr="008B0473">
        <w:separator/>
      </w:r>
    </w:p>
  </w:endnote>
  <w:endnote w:type="continuationSeparator" w:id="1">
    <w:p w:rsidR="005E1E54" w:rsidRPr="008B0473" w:rsidRDefault="005E1E54" w:rsidP="004075F6">
      <w:pPr>
        <w:spacing w:after="0" w:line="240" w:lineRule="auto"/>
      </w:pPr>
      <w:r w:rsidRPr="008B0473">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3303950"/>
      <w:docPartObj>
        <w:docPartGallery w:val="Page Numbers (Bottom of Page)"/>
        <w:docPartUnique/>
      </w:docPartObj>
    </w:sdtPr>
    <w:sdtEndPr>
      <w:rPr>
        <w:color w:val="7F7F7F" w:themeColor="background1" w:themeShade="7F"/>
        <w:spacing w:val="60"/>
      </w:rPr>
    </w:sdtEndPr>
    <w:sdtContent>
      <w:p w:rsidR="004075F6" w:rsidRPr="008B0473" w:rsidRDefault="00C529FF">
        <w:pPr>
          <w:pStyle w:val="Footer"/>
          <w:pBdr>
            <w:top w:val="single" w:sz="4" w:space="1" w:color="D9D9D9" w:themeColor="background1" w:themeShade="D9"/>
          </w:pBdr>
          <w:jc w:val="right"/>
        </w:pPr>
        <w:r w:rsidRPr="008B0473">
          <w:fldChar w:fldCharType="begin"/>
        </w:r>
        <w:r w:rsidR="004075F6" w:rsidRPr="008B0473">
          <w:instrText xml:space="preserve"> PAGE   \* MERGEFORMAT </w:instrText>
        </w:r>
        <w:r w:rsidRPr="008B0473">
          <w:fldChar w:fldCharType="separate"/>
        </w:r>
        <w:r w:rsidR="00B8632D">
          <w:rPr>
            <w:noProof/>
          </w:rPr>
          <w:t>1</w:t>
        </w:r>
        <w:r w:rsidRPr="008B0473">
          <w:fldChar w:fldCharType="end"/>
        </w:r>
        <w:r w:rsidR="004075F6" w:rsidRPr="008B0473">
          <w:t xml:space="preserve"> | </w:t>
        </w:r>
        <w:r w:rsidR="004075F6" w:rsidRPr="008B0473">
          <w:rPr>
            <w:color w:val="7F7F7F" w:themeColor="background1" w:themeShade="7F"/>
            <w:spacing w:val="60"/>
          </w:rPr>
          <w:t>Page</w:t>
        </w:r>
      </w:p>
    </w:sdtContent>
  </w:sdt>
  <w:p w:rsidR="004075F6" w:rsidRPr="008B0473" w:rsidRDefault="004075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1E54" w:rsidRPr="008B0473" w:rsidRDefault="005E1E54" w:rsidP="004075F6">
      <w:pPr>
        <w:spacing w:after="0" w:line="240" w:lineRule="auto"/>
      </w:pPr>
      <w:r w:rsidRPr="008B0473">
        <w:separator/>
      </w:r>
    </w:p>
  </w:footnote>
  <w:footnote w:type="continuationSeparator" w:id="1">
    <w:p w:rsidR="005E1E54" w:rsidRPr="008B0473" w:rsidRDefault="005E1E54" w:rsidP="004075F6">
      <w:pPr>
        <w:spacing w:after="0" w:line="240" w:lineRule="auto"/>
      </w:pPr>
      <w:r w:rsidRPr="008B0473">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221501"/>
    <w:multiLevelType w:val="multilevel"/>
    <w:tmpl w:val="E8E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E825FEF"/>
    <w:multiLevelType w:val="multilevel"/>
    <w:tmpl w:val="2FCC0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3E19B1"/>
    <w:rsid w:val="000842D8"/>
    <w:rsid w:val="000F6989"/>
    <w:rsid w:val="00121A59"/>
    <w:rsid w:val="001354CF"/>
    <w:rsid w:val="00174D02"/>
    <w:rsid w:val="00182E32"/>
    <w:rsid w:val="001A117B"/>
    <w:rsid w:val="001E0661"/>
    <w:rsid w:val="0022150B"/>
    <w:rsid w:val="00253439"/>
    <w:rsid w:val="002D1755"/>
    <w:rsid w:val="002E7082"/>
    <w:rsid w:val="00312EA9"/>
    <w:rsid w:val="00321AC2"/>
    <w:rsid w:val="00342390"/>
    <w:rsid w:val="003D62A3"/>
    <w:rsid w:val="003E19B1"/>
    <w:rsid w:val="004075F6"/>
    <w:rsid w:val="004333E2"/>
    <w:rsid w:val="00467B05"/>
    <w:rsid w:val="00482B5F"/>
    <w:rsid w:val="004A79D5"/>
    <w:rsid w:val="004B54C0"/>
    <w:rsid w:val="004C1C8C"/>
    <w:rsid w:val="0057639C"/>
    <w:rsid w:val="005E1E54"/>
    <w:rsid w:val="00660B14"/>
    <w:rsid w:val="00673D0C"/>
    <w:rsid w:val="00695B51"/>
    <w:rsid w:val="006A1FF9"/>
    <w:rsid w:val="00731C30"/>
    <w:rsid w:val="007C4064"/>
    <w:rsid w:val="007F74B4"/>
    <w:rsid w:val="008039E4"/>
    <w:rsid w:val="0085692B"/>
    <w:rsid w:val="008B0473"/>
    <w:rsid w:val="00930875"/>
    <w:rsid w:val="0094371F"/>
    <w:rsid w:val="009758A0"/>
    <w:rsid w:val="00995FF0"/>
    <w:rsid w:val="00A01656"/>
    <w:rsid w:val="00A421D3"/>
    <w:rsid w:val="00A65A34"/>
    <w:rsid w:val="00B8632D"/>
    <w:rsid w:val="00BB00D4"/>
    <w:rsid w:val="00BF68C2"/>
    <w:rsid w:val="00C529FF"/>
    <w:rsid w:val="00C56EBC"/>
    <w:rsid w:val="00CF3C30"/>
    <w:rsid w:val="00D70695"/>
    <w:rsid w:val="00E07EBA"/>
    <w:rsid w:val="00E504DC"/>
    <w:rsid w:val="00EE06FB"/>
    <w:rsid w:val="00F47426"/>
    <w:rsid w:val="00F632EA"/>
    <w:rsid w:val="00F90815"/>
    <w:rsid w:val="00FE3F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54CF"/>
    <w:pPr>
      <w:spacing w:line="360" w:lineRule="auto"/>
      <w:jc w:val="both"/>
    </w:pPr>
    <w:rPr>
      <w:rFonts w:ascii="Arial" w:hAnsi="Arial"/>
      <w:lang w:val="en-GB"/>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A421D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421D3"/>
    <w:pPr>
      <w:spacing w:after="100"/>
    </w:pPr>
  </w:style>
  <w:style w:type="paragraph" w:styleId="TOC2">
    <w:name w:val="toc 2"/>
    <w:basedOn w:val="Normal"/>
    <w:next w:val="Normal"/>
    <w:autoRedefine/>
    <w:uiPriority w:val="39"/>
    <w:unhideWhenUsed/>
    <w:rsid w:val="00A421D3"/>
    <w:pPr>
      <w:spacing w:after="100"/>
      <w:ind w:left="240"/>
    </w:pPr>
  </w:style>
  <w:style w:type="character" w:styleId="Hyperlink">
    <w:name w:val="Hyperlink"/>
    <w:basedOn w:val="DefaultParagraphFont"/>
    <w:uiPriority w:val="99"/>
    <w:unhideWhenUsed/>
    <w:rsid w:val="00A421D3"/>
    <w:rPr>
      <w:color w:val="0563C1" w:themeColor="hyperlink"/>
      <w:u w:val="single"/>
    </w:rPr>
  </w:style>
  <w:style w:type="table" w:customStyle="1" w:styleId="GridTable4Accent1">
    <w:name w:val="Grid Table 4 Accent 1"/>
    <w:basedOn w:val="TableNormal"/>
    <w:uiPriority w:val="49"/>
    <w:rsid w:val="001354CF"/>
    <w:pPr>
      <w:spacing w:after="0" w:line="240" w:lineRule="auto"/>
    </w:pPr>
    <w:rPr>
      <w:lang w:val="en-GB"/>
    </w:r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3">
    <w:name w:val="Grid Table 4 Accent 3"/>
    <w:basedOn w:val="TableNormal"/>
    <w:uiPriority w:val="49"/>
    <w:rsid w:val="001354CF"/>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UnresolvedMention">
    <w:name w:val="Unresolved Mention"/>
    <w:basedOn w:val="DefaultParagraphFont"/>
    <w:uiPriority w:val="99"/>
    <w:semiHidden/>
    <w:unhideWhenUsed/>
    <w:rsid w:val="001354CF"/>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ho.int/news-room/fact-sheets/detail/physical-activity" TargetMode="External"/><Relationship Id="rId18" Type="http://schemas.openxmlformats.org/officeDocument/2006/relationships/hyperlink" Target="https://doi.org/10.1002/hcs2.7001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2196/37354" TargetMode="External"/><Relationship Id="rId17" Type="http://schemas.openxmlformats.org/officeDocument/2006/relationships/hyperlink" Target="https://doi.org/10.1007/s11920-023-01426-8" TargetMode="External"/><Relationship Id="rId2" Type="http://schemas.openxmlformats.org/officeDocument/2006/relationships/numbering" Target="numbering.xml"/><Relationship Id="rId16" Type="http://schemas.openxmlformats.org/officeDocument/2006/relationships/hyperlink" Target="https://doi.org/10.1001/jamainternmed.2013.1301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nvent.2025.100824" TargetMode="External"/><Relationship Id="rId5" Type="http://schemas.openxmlformats.org/officeDocument/2006/relationships/webSettings" Target="webSettings.xml"/><Relationship Id="rId15" Type="http://schemas.openxmlformats.org/officeDocument/2006/relationships/hyperlink" Target="https://doi.org/10.1002/wps.20472" TargetMode="External"/><Relationship Id="rId10" Type="http://schemas.openxmlformats.org/officeDocument/2006/relationships/hyperlink" Target="https://doi.org/10.3390/info14060308" TargetMode="External"/><Relationship Id="rId19" Type="http://schemas.openxmlformats.org/officeDocument/2006/relationships/hyperlink" Target="https://doi.org/10.1016/j.ijmedinf.2019.104039" TargetMode="External"/><Relationship Id="rId4" Type="http://schemas.openxmlformats.org/officeDocument/2006/relationships/settings" Target="settings.xml"/><Relationship Id="rId9" Type="http://schemas.openxmlformats.org/officeDocument/2006/relationships/hyperlink" Target="https://www.apple.com/watch/"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36670FA-B170-4432-B22D-D3CE9D3B2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1418</Words>
  <Characters>8086</Characters>
  <Application>Microsoft Office Word</Application>
  <DocSecurity>0</DocSecurity>
  <Lines>67</Lines>
  <Paragraphs>18</Paragraphs>
  <ScaleCrop>false</ScaleCrop>
  <LinksUpToDate>false</LinksUpToDate>
  <CharactersWithSpaces>9486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2025-11-25T19:16:00Z</dcterms:created>
  <dcterms:modified xsi:type="dcterms:W3CDTF">2025-11-25T19:16:00Z</dcterms:modified>
</cp:coreProperties>
</file>