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E1467" w14:textId="77281640" w:rsidR="00820D97" w:rsidRDefault="00672116" w:rsidP="00C35118">
      <w:pPr>
        <w:spacing w:line="360" w:lineRule="auto"/>
        <w:rPr>
          <w:rFonts w:ascii="Arial" w:hAnsi="Arial" w:cs="Arial"/>
          <w:b/>
          <w:bCs/>
        </w:rPr>
      </w:pPr>
      <w:r>
        <w:rPr>
          <w:noProof/>
        </w:rPr>
        <w:drawing>
          <wp:anchor distT="0" distB="0" distL="114300" distR="114300" simplePos="0" relativeHeight="251658240" behindDoc="0" locked="0" layoutInCell="1" allowOverlap="1" wp14:anchorId="57EA89FD" wp14:editId="3B359610">
            <wp:simplePos x="0" y="0"/>
            <wp:positionH relativeFrom="page">
              <wp:posOffset>142240</wp:posOffset>
            </wp:positionH>
            <wp:positionV relativeFrom="paragraph">
              <wp:posOffset>229870</wp:posOffset>
            </wp:positionV>
            <wp:extent cx="4029710" cy="1605280"/>
            <wp:effectExtent l="0" t="0" r="8890" b="0"/>
            <wp:wrapTopAndBottom/>
            <wp:docPr id="1342835446" name="Picture 1">
              <a:extLst xmlns:a="http://schemas.openxmlformats.org/drawingml/2006/main">
                <a:ext uri="{FF2B5EF4-FFF2-40B4-BE49-F238E27FC236}">
                  <a16:creationId xmlns:a16="http://schemas.microsoft.com/office/drawing/2014/main" id="{661EC181-A59D-4DB5-9761-E00C67E58B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35446" name=""/>
                    <pic:cNvPicPr/>
                  </pic:nvPicPr>
                  <pic:blipFill>
                    <a:blip r:embed="rId10"/>
                    <a:stretch>
                      <a:fillRect/>
                    </a:stretch>
                  </pic:blipFill>
                  <pic:spPr>
                    <a:xfrm>
                      <a:off x="0" y="0"/>
                      <a:ext cx="4029710" cy="1605280"/>
                    </a:xfrm>
                    <a:prstGeom prst="rect">
                      <a:avLst/>
                    </a:prstGeom>
                  </pic:spPr>
                </pic:pic>
              </a:graphicData>
            </a:graphic>
            <wp14:sizeRelH relativeFrom="margin">
              <wp14:pctWidth>0</wp14:pctWidth>
            </wp14:sizeRelH>
            <wp14:sizeRelV relativeFrom="margin">
              <wp14:pctHeight>0</wp14:pctHeight>
            </wp14:sizeRelV>
          </wp:anchor>
        </w:drawing>
      </w:r>
    </w:p>
    <w:p w14:paraId="3CD667C5" w14:textId="77777777" w:rsidR="00820D97" w:rsidRDefault="00820D97" w:rsidP="00C35118">
      <w:pPr>
        <w:spacing w:line="360" w:lineRule="auto"/>
        <w:rPr>
          <w:rFonts w:ascii="Arial" w:hAnsi="Arial" w:cs="Arial"/>
          <w:b/>
          <w:bCs/>
        </w:rPr>
      </w:pPr>
    </w:p>
    <w:p w14:paraId="29B7F812" w14:textId="77777777" w:rsidR="00820D97" w:rsidRDefault="00820D97" w:rsidP="00C35118">
      <w:pPr>
        <w:spacing w:line="360" w:lineRule="auto"/>
        <w:rPr>
          <w:rFonts w:ascii="Arial" w:hAnsi="Arial" w:cs="Arial"/>
          <w:b/>
          <w:bCs/>
        </w:rPr>
      </w:pPr>
    </w:p>
    <w:p w14:paraId="550E08B8" w14:textId="77777777" w:rsidR="00820D97" w:rsidRDefault="00820D97" w:rsidP="00C35118">
      <w:pPr>
        <w:spacing w:line="360" w:lineRule="auto"/>
        <w:rPr>
          <w:rFonts w:ascii="Arial" w:hAnsi="Arial" w:cs="Arial"/>
          <w:b/>
          <w:bCs/>
        </w:rPr>
      </w:pPr>
    </w:p>
    <w:p w14:paraId="3F57B138" w14:textId="77777777" w:rsidR="00EC0E95" w:rsidRDefault="00EC0E95" w:rsidP="00C35118">
      <w:pPr>
        <w:spacing w:line="360" w:lineRule="auto"/>
        <w:rPr>
          <w:rFonts w:ascii="Arial" w:hAnsi="Arial" w:cs="Arial"/>
        </w:rPr>
      </w:pPr>
    </w:p>
    <w:p w14:paraId="20CA142F" w14:textId="77777777" w:rsidR="00EC0E95" w:rsidRDefault="00EC0E95" w:rsidP="00C35118">
      <w:pPr>
        <w:spacing w:line="360" w:lineRule="auto"/>
        <w:rPr>
          <w:rFonts w:ascii="Arial" w:hAnsi="Arial" w:cs="Arial"/>
        </w:rPr>
      </w:pPr>
    </w:p>
    <w:p w14:paraId="3A8DF14B" w14:textId="77777777" w:rsidR="00EC0E95" w:rsidRDefault="00EC0E95" w:rsidP="00C35118">
      <w:pPr>
        <w:spacing w:line="360" w:lineRule="auto"/>
        <w:rPr>
          <w:rFonts w:ascii="Arial" w:hAnsi="Arial" w:cs="Arial"/>
        </w:rPr>
      </w:pPr>
    </w:p>
    <w:p w14:paraId="1788C976" w14:textId="77777777" w:rsidR="00EC0E95" w:rsidRDefault="00EC0E95" w:rsidP="00C35118">
      <w:pPr>
        <w:spacing w:line="360" w:lineRule="auto"/>
        <w:rPr>
          <w:rFonts w:ascii="Arial" w:hAnsi="Arial" w:cs="Arial"/>
        </w:rPr>
      </w:pPr>
    </w:p>
    <w:p w14:paraId="69D5BA76" w14:textId="77777777" w:rsidR="00EC0E95" w:rsidRDefault="00EC0E95" w:rsidP="00C35118">
      <w:pPr>
        <w:spacing w:line="360" w:lineRule="auto"/>
        <w:rPr>
          <w:rFonts w:ascii="Arial" w:hAnsi="Arial" w:cs="Arial"/>
        </w:rPr>
      </w:pPr>
    </w:p>
    <w:p w14:paraId="2580A243" w14:textId="77777777" w:rsidR="00F27A9E" w:rsidRDefault="00F27A9E" w:rsidP="00C35118">
      <w:pPr>
        <w:spacing w:line="360" w:lineRule="auto"/>
        <w:rPr>
          <w:rFonts w:ascii="Arial" w:hAnsi="Arial" w:cs="Arial"/>
        </w:rPr>
      </w:pPr>
    </w:p>
    <w:p w14:paraId="1FCD1CC6" w14:textId="77777777" w:rsidR="00F27A9E" w:rsidRDefault="00F27A9E" w:rsidP="00C35118">
      <w:pPr>
        <w:spacing w:line="360" w:lineRule="auto"/>
        <w:rPr>
          <w:rFonts w:ascii="Arial" w:hAnsi="Arial" w:cs="Arial"/>
        </w:rPr>
      </w:pPr>
    </w:p>
    <w:p w14:paraId="0F1AF1E5" w14:textId="77777777" w:rsidR="00F27A9E" w:rsidRDefault="00F27A9E" w:rsidP="00C35118">
      <w:pPr>
        <w:spacing w:line="360" w:lineRule="auto"/>
        <w:rPr>
          <w:rFonts w:ascii="Arial" w:hAnsi="Arial" w:cs="Arial"/>
        </w:rPr>
      </w:pPr>
    </w:p>
    <w:p w14:paraId="14D32EDC" w14:textId="75A5846A" w:rsidR="00820D97" w:rsidRPr="008B2CC1" w:rsidRDefault="00FF6265" w:rsidP="00C35118">
      <w:pPr>
        <w:spacing w:line="360" w:lineRule="auto"/>
        <w:rPr>
          <w:rFonts w:ascii="Arial" w:hAnsi="Arial" w:cs="Arial"/>
        </w:rPr>
      </w:pPr>
      <w:r w:rsidRPr="008B2CC1">
        <w:rPr>
          <w:rFonts w:ascii="Arial" w:hAnsi="Arial" w:cs="Arial"/>
        </w:rPr>
        <w:t xml:space="preserve">STUDENT </w:t>
      </w:r>
      <w:r w:rsidR="0019138D" w:rsidRPr="008B2CC1">
        <w:rPr>
          <w:rFonts w:ascii="Arial" w:hAnsi="Arial" w:cs="Arial"/>
        </w:rPr>
        <w:t>NAME</w:t>
      </w:r>
      <w:r w:rsidRPr="008B2CC1">
        <w:rPr>
          <w:rFonts w:ascii="Arial" w:hAnsi="Arial" w:cs="Arial"/>
        </w:rPr>
        <w:t>: JAMILA ZAKARI</w:t>
      </w:r>
    </w:p>
    <w:p w14:paraId="2CE5C98A" w14:textId="19F246BC" w:rsidR="00FF6265" w:rsidRPr="008B2CC1" w:rsidRDefault="00114A8B" w:rsidP="00C35118">
      <w:pPr>
        <w:spacing w:line="360" w:lineRule="auto"/>
        <w:rPr>
          <w:rFonts w:ascii="Arial" w:hAnsi="Arial" w:cs="Arial"/>
        </w:rPr>
      </w:pPr>
      <w:r w:rsidRPr="008B2CC1">
        <w:rPr>
          <w:rFonts w:ascii="Arial" w:hAnsi="Arial" w:cs="Arial"/>
        </w:rPr>
        <w:t>STUDENT ID: 2322381</w:t>
      </w:r>
    </w:p>
    <w:p w14:paraId="058242E0" w14:textId="32328E20" w:rsidR="00114A8B" w:rsidRPr="008B2CC1" w:rsidRDefault="00114A8B" w:rsidP="00C35118">
      <w:pPr>
        <w:spacing w:line="360" w:lineRule="auto"/>
        <w:rPr>
          <w:rFonts w:ascii="Arial" w:hAnsi="Arial" w:cs="Arial"/>
        </w:rPr>
      </w:pPr>
      <w:r w:rsidRPr="008B2CC1">
        <w:rPr>
          <w:rFonts w:ascii="Arial" w:hAnsi="Arial" w:cs="Arial"/>
        </w:rPr>
        <w:t>MODU</w:t>
      </w:r>
      <w:r w:rsidR="00D606DB" w:rsidRPr="008B2CC1">
        <w:rPr>
          <w:rFonts w:ascii="Arial" w:hAnsi="Arial" w:cs="Arial"/>
        </w:rPr>
        <w:t>LE NAME:</w:t>
      </w:r>
      <w:r w:rsidR="00022FF5">
        <w:rPr>
          <w:rFonts w:ascii="Arial" w:hAnsi="Arial" w:cs="Arial"/>
        </w:rPr>
        <w:t xml:space="preserve"> </w:t>
      </w:r>
      <w:r w:rsidR="00EC69EE">
        <w:rPr>
          <w:rFonts w:ascii="Arial" w:hAnsi="Arial" w:cs="Arial"/>
        </w:rPr>
        <w:t xml:space="preserve">PRINCIPLES OF HEALTH AND </w:t>
      </w:r>
      <w:r w:rsidR="00022FF5">
        <w:rPr>
          <w:rFonts w:ascii="Arial" w:hAnsi="Arial" w:cs="Arial"/>
        </w:rPr>
        <w:t>SOCIAL CARE</w:t>
      </w:r>
      <w:r w:rsidR="004C6789">
        <w:rPr>
          <w:rFonts w:ascii="Arial" w:hAnsi="Arial" w:cs="Arial"/>
        </w:rPr>
        <w:t xml:space="preserve"> PRACTICE</w:t>
      </w:r>
    </w:p>
    <w:p w14:paraId="7235CCD6" w14:textId="5A0C1E9E" w:rsidR="007B68A0" w:rsidRPr="008B2CC1" w:rsidRDefault="00B57445" w:rsidP="00C35118">
      <w:pPr>
        <w:tabs>
          <w:tab w:val="left" w:pos="6540"/>
        </w:tabs>
        <w:spacing w:line="360" w:lineRule="auto"/>
        <w:rPr>
          <w:rFonts w:ascii="Arial" w:hAnsi="Arial" w:cs="Arial"/>
        </w:rPr>
      </w:pPr>
      <w:r w:rsidRPr="008B2CC1">
        <w:rPr>
          <w:rFonts w:ascii="Arial" w:hAnsi="Arial" w:cs="Arial"/>
        </w:rPr>
        <w:t>MODULE CODE:</w:t>
      </w:r>
      <w:r w:rsidR="00F67587" w:rsidRPr="008B2CC1">
        <w:rPr>
          <w:rFonts w:ascii="Arial" w:hAnsi="Arial" w:cs="Arial"/>
        </w:rPr>
        <w:t xml:space="preserve"> </w:t>
      </w:r>
      <w:r w:rsidR="007B68A0" w:rsidRPr="008B2CC1">
        <w:rPr>
          <w:rFonts w:ascii="Arial" w:hAnsi="Arial" w:cs="Arial"/>
        </w:rPr>
        <w:t>BMHP50</w:t>
      </w:r>
      <w:r w:rsidR="0007434F" w:rsidRPr="008B2CC1">
        <w:rPr>
          <w:rFonts w:ascii="Arial" w:hAnsi="Arial" w:cs="Arial"/>
        </w:rPr>
        <w:t>16</w:t>
      </w:r>
      <w:r w:rsidR="007B68A0" w:rsidRPr="008B2CC1">
        <w:rPr>
          <w:rFonts w:ascii="Arial" w:hAnsi="Arial" w:cs="Arial"/>
        </w:rPr>
        <w:t>_LON</w:t>
      </w:r>
    </w:p>
    <w:p w14:paraId="313DEA5A" w14:textId="2231DF11" w:rsidR="00B57445" w:rsidRPr="008B2CC1" w:rsidRDefault="44000EE9" w:rsidP="00C35118">
      <w:pPr>
        <w:spacing w:line="360" w:lineRule="auto"/>
        <w:rPr>
          <w:rFonts w:ascii="Arial" w:hAnsi="Arial" w:cs="Arial"/>
        </w:rPr>
      </w:pPr>
      <w:r w:rsidRPr="779E79DC">
        <w:rPr>
          <w:rFonts w:ascii="Arial" w:hAnsi="Arial" w:cs="Arial"/>
        </w:rPr>
        <w:t>LECTURER NAME:</w:t>
      </w:r>
      <w:r w:rsidR="4A767FA3" w:rsidRPr="779E79DC">
        <w:rPr>
          <w:rFonts w:ascii="Arial" w:hAnsi="Arial" w:cs="Arial"/>
        </w:rPr>
        <w:t xml:space="preserve"> D</w:t>
      </w:r>
      <w:r w:rsidR="6E142F2B" w:rsidRPr="779E79DC">
        <w:rPr>
          <w:rFonts w:ascii="Arial" w:hAnsi="Arial" w:cs="Arial"/>
        </w:rPr>
        <w:t xml:space="preserve">r </w:t>
      </w:r>
      <w:r w:rsidR="4A767FA3" w:rsidRPr="779E79DC">
        <w:rPr>
          <w:rFonts w:ascii="Arial" w:hAnsi="Arial" w:cs="Arial"/>
        </w:rPr>
        <w:t>ITSE OLAOYE</w:t>
      </w:r>
    </w:p>
    <w:p w14:paraId="5AAE8BA0" w14:textId="77777777" w:rsidR="00820D97" w:rsidRDefault="00820D97" w:rsidP="00C35118">
      <w:pPr>
        <w:spacing w:line="360" w:lineRule="auto"/>
        <w:rPr>
          <w:rFonts w:ascii="Arial" w:hAnsi="Arial" w:cs="Arial"/>
          <w:b/>
          <w:bCs/>
        </w:rPr>
      </w:pPr>
    </w:p>
    <w:p w14:paraId="359CA7BD" w14:textId="77777777" w:rsidR="00820D97" w:rsidRDefault="00820D97" w:rsidP="00C35118">
      <w:pPr>
        <w:spacing w:line="360" w:lineRule="auto"/>
        <w:rPr>
          <w:rFonts w:ascii="Arial" w:hAnsi="Arial" w:cs="Arial"/>
          <w:b/>
          <w:bCs/>
        </w:rPr>
      </w:pPr>
    </w:p>
    <w:p w14:paraId="6A100766" w14:textId="77777777" w:rsidR="00820D97" w:rsidRDefault="00820D97" w:rsidP="00C35118">
      <w:pPr>
        <w:spacing w:line="360" w:lineRule="auto"/>
        <w:rPr>
          <w:rFonts w:ascii="Arial" w:hAnsi="Arial" w:cs="Arial"/>
          <w:b/>
          <w:bCs/>
        </w:rPr>
      </w:pPr>
    </w:p>
    <w:p w14:paraId="7DD1CE10" w14:textId="77777777" w:rsidR="00BD57B8" w:rsidRDefault="00BD57B8" w:rsidP="008F029D">
      <w:pPr>
        <w:spacing w:line="360" w:lineRule="auto"/>
        <w:rPr>
          <w:rFonts w:ascii="Arial" w:hAnsi="Arial" w:cs="Arial"/>
          <w:b/>
          <w:bCs/>
        </w:rPr>
      </w:pPr>
    </w:p>
    <w:p w14:paraId="41AD062C" w14:textId="77777777" w:rsidR="0053083E" w:rsidRDefault="0053083E" w:rsidP="008F029D">
      <w:pPr>
        <w:spacing w:line="360" w:lineRule="auto"/>
        <w:rPr>
          <w:rFonts w:ascii="Arial" w:hAnsi="Arial" w:cs="Arial"/>
        </w:rPr>
      </w:pPr>
    </w:p>
    <w:p w14:paraId="152C4CE6" w14:textId="638A09F6" w:rsidR="00A2739B" w:rsidRPr="00E27651" w:rsidRDefault="00A2739B" w:rsidP="00E27651">
      <w:pPr>
        <w:rPr>
          <w:rFonts w:ascii="Arial" w:hAnsi="Arial" w:cs="Arial"/>
        </w:rPr>
      </w:pPr>
      <w:r w:rsidRPr="00BF35D0">
        <w:t xml:space="preserve">3. </w:t>
      </w:r>
      <w:r w:rsidR="008F029D" w:rsidRPr="00E27651">
        <w:rPr>
          <w:rFonts w:ascii="Arial" w:hAnsi="Arial" w:cs="Arial"/>
        </w:rPr>
        <w:t>Introduction</w:t>
      </w:r>
    </w:p>
    <w:p w14:paraId="698B3ED1" w14:textId="363DABC6" w:rsidR="0047181F" w:rsidRPr="00BF35D0" w:rsidRDefault="00A2739B" w:rsidP="00BF35D0">
      <w:pPr>
        <w:spacing w:line="360" w:lineRule="auto"/>
        <w:rPr>
          <w:rFonts w:ascii="Arial" w:hAnsi="Arial" w:cs="Arial"/>
        </w:rPr>
      </w:pPr>
      <w:r w:rsidRPr="00BF35D0">
        <w:rPr>
          <w:rFonts w:ascii="Arial" w:hAnsi="Arial" w:cs="Arial"/>
        </w:rPr>
        <w:t>3</w:t>
      </w:r>
      <w:r w:rsidR="00B47C1A" w:rsidRPr="00BF35D0">
        <w:rPr>
          <w:rFonts w:ascii="Arial" w:hAnsi="Arial" w:cs="Arial"/>
        </w:rPr>
        <w:t>.1</w:t>
      </w:r>
      <w:r w:rsidR="00C229A6" w:rsidRPr="00BF35D0">
        <w:rPr>
          <w:rFonts w:ascii="Arial" w:hAnsi="Arial" w:cs="Arial"/>
        </w:rPr>
        <w:t xml:space="preserve"> </w:t>
      </w:r>
      <w:r w:rsidR="008F029D" w:rsidRPr="00BF35D0">
        <w:rPr>
          <w:rFonts w:ascii="Arial" w:hAnsi="Arial" w:cs="Arial"/>
        </w:rPr>
        <w:t xml:space="preserve">Overview of </w:t>
      </w:r>
      <w:r w:rsidR="00423330" w:rsidRPr="00BF35D0">
        <w:rPr>
          <w:rFonts w:ascii="Arial" w:hAnsi="Arial" w:cs="Arial"/>
        </w:rPr>
        <w:t>Dementia</w:t>
      </w:r>
      <w:r w:rsidR="008F029D">
        <w:br/>
      </w:r>
      <w:r w:rsidR="00616AEE" w:rsidRPr="00BF35D0">
        <w:rPr>
          <w:rFonts w:ascii="Arial" w:hAnsi="Arial" w:cs="Arial"/>
        </w:rPr>
        <w:t>4.</w:t>
      </w:r>
      <w:r w:rsidR="0053083E" w:rsidRPr="00BF35D0">
        <w:rPr>
          <w:rFonts w:ascii="Arial" w:hAnsi="Arial" w:cs="Arial"/>
        </w:rPr>
        <w:t xml:space="preserve"> </w:t>
      </w:r>
      <w:r w:rsidR="008B226B" w:rsidRPr="00BF35D0">
        <w:rPr>
          <w:rFonts w:ascii="Arial" w:hAnsi="Arial" w:cs="Arial"/>
        </w:rPr>
        <w:t xml:space="preserve"> Emergency and </w:t>
      </w:r>
      <w:r w:rsidR="008F029D" w:rsidRPr="00BF35D0">
        <w:rPr>
          <w:rFonts w:ascii="Arial" w:hAnsi="Arial" w:cs="Arial"/>
        </w:rPr>
        <w:t xml:space="preserve">Development </w:t>
      </w:r>
      <w:r w:rsidR="2C90EE5B" w:rsidRPr="42C66774">
        <w:rPr>
          <w:rFonts w:ascii="Arial" w:hAnsi="Arial" w:cs="Arial"/>
        </w:rPr>
        <w:t>C</w:t>
      </w:r>
      <w:r w:rsidR="55366905" w:rsidRPr="42C66774">
        <w:rPr>
          <w:rFonts w:ascii="Arial" w:hAnsi="Arial" w:cs="Arial"/>
        </w:rPr>
        <w:t>o</w:t>
      </w:r>
      <w:r w:rsidR="6C673906" w:rsidRPr="42C66774">
        <w:rPr>
          <w:rFonts w:ascii="Arial" w:hAnsi="Arial" w:cs="Arial"/>
        </w:rPr>
        <w:t>ncept</w:t>
      </w:r>
      <w:r w:rsidR="004B1F82" w:rsidRPr="00BF35D0">
        <w:rPr>
          <w:rFonts w:ascii="Arial" w:hAnsi="Arial" w:cs="Arial"/>
        </w:rPr>
        <w:t xml:space="preserve"> of the </w:t>
      </w:r>
      <w:r w:rsidR="00FA7D06" w:rsidRPr="00BF35D0">
        <w:rPr>
          <w:rFonts w:ascii="Arial" w:hAnsi="Arial" w:cs="Arial"/>
        </w:rPr>
        <w:t>person-centred</w:t>
      </w:r>
      <w:r w:rsidR="007879DD" w:rsidRPr="00BF35D0">
        <w:rPr>
          <w:rFonts w:ascii="Arial" w:hAnsi="Arial" w:cs="Arial"/>
        </w:rPr>
        <w:t xml:space="preserve"> Dementia care</w:t>
      </w:r>
    </w:p>
    <w:p w14:paraId="1A69D975" w14:textId="77777777" w:rsidR="00BF35D0" w:rsidRDefault="00616AEE" w:rsidP="00BF35D0">
      <w:pPr>
        <w:spacing w:line="360" w:lineRule="auto"/>
        <w:rPr>
          <w:rFonts w:ascii="Arial" w:hAnsi="Arial" w:cs="Arial"/>
        </w:rPr>
      </w:pPr>
      <w:r w:rsidRPr="00BF35D0">
        <w:rPr>
          <w:rFonts w:ascii="Arial" w:hAnsi="Arial" w:cs="Arial"/>
        </w:rPr>
        <w:t>5</w:t>
      </w:r>
      <w:r w:rsidR="007F4675" w:rsidRPr="00BF35D0">
        <w:rPr>
          <w:rFonts w:ascii="Arial" w:hAnsi="Arial" w:cs="Arial"/>
        </w:rPr>
        <w:t>.</w:t>
      </w:r>
      <w:r w:rsidR="00213FFF" w:rsidRPr="00BF35D0">
        <w:rPr>
          <w:rFonts w:ascii="Arial" w:hAnsi="Arial" w:cs="Arial"/>
        </w:rPr>
        <w:t xml:space="preserve"> </w:t>
      </w:r>
      <w:r w:rsidR="00FA7D06" w:rsidRPr="00BF35D0">
        <w:rPr>
          <w:rFonts w:ascii="Arial" w:hAnsi="Arial" w:cs="Arial"/>
        </w:rPr>
        <w:t>Critiques of Person-Centred Dementia Care and Responses</w:t>
      </w:r>
    </w:p>
    <w:p w14:paraId="4591CFA1" w14:textId="77777777" w:rsidR="00A465DE" w:rsidRDefault="001F48A1" w:rsidP="00BF35D0">
      <w:pPr>
        <w:spacing w:line="360" w:lineRule="auto"/>
        <w:rPr>
          <w:rFonts w:ascii="Arial" w:hAnsi="Arial" w:cs="Arial"/>
        </w:rPr>
      </w:pPr>
      <w:r>
        <w:rPr>
          <w:rFonts w:ascii="Arial" w:hAnsi="Arial" w:cs="Arial"/>
        </w:rPr>
        <w:t>6</w:t>
      </w:r>
      <w:r w:rsidR="008F029D" w:rsidRPr="00BF35D0">
        <w:rPr>
          <w:rFonts w:ascii="Arial" w:hAnsi="Arial" w:cs="Arial"/>
        </w:rPr>
        <w:t xml:space="preserve">. </w:t>
      </w:r>
      <w:r w:rsidR="006C38E9" w:rsidRPr="00BF35D0">
        <w:rPr>
          <w:rFonts w:ascii="Arial" w:hAnsi="Arial" w:cs="Arial"/>
        </w:rPr>
        <w:t xml:space="preserve"> </w:t>
      </w:r>
      <w:r w:rsidR="008F029D" w:rsidRPr="00BF35D0">
        <w:rPr>
          <w:rFonts w:ascii="Arial" w:hAnsi="Arial" w:cs="Arial"/>
        </w:rPr>
        <w:t>Application to Health and Social Care Policy and Practice</w:t>
      </w:r>
    </w:p>
    <w:p w14:paraId="720951EE" w14:textId="1C958EEE" w:rsidR="005670FB" w:rsidRDefault="004771AD" w:rsidP="003B30FE">
      <w:pPr>
        <w:spacing w:line="360" w:lineRule="auto"/>
        <w:rPr>
          <w:rFonts w:ascii="Arial" w:hAnsi="Arial" w:cs="Arial"/>
        </w:rPr>
      </w:pPr>
      <w:r>
        <w:rPr>
          <w:rFonts w:ascii="Arial" w:hAnsi="Arial" w:cs="Arial"/>
        </w:rPr>
        <w:t>7.</w:t>
      </w:r>
      <w:r w:rsidRPr="00BF35D0">
        <w:rPr>
          <w:rFonts w:ascii="Arial" w:hAnsi="Arial" w:cs="Arial"/>
        </w:rPr>
        <w:t xml:space="preserve"> Application to Health and Social Care Policy and Practice</w:t>
      </w:r>
      <w:r w:rsidRPr="00BF35D0">
        <w:rPr>
          <w:rFonts w:ascii="Arial" w:hAnsi="Arial" w:cs="Arial"/>
        </w:rPr>
        <w:br/>
      </w:r>
      <w:r>
        <w:rPr>
          <w:rFonts w:ascii="Arial" w:hAnsi="Arial" w:cs="Arial"/>
        </w:rPr>
        <w:t>8</w:t>
      </w:r>
      <w:r w:rsidR="006C38E9" w:rsidRPr="00BF35D0">
        <w:rPr>
          <w:rFonts w:ascii="Arial" w:hAnsi="Arial" w:cs="Arial"/>
        </w:rPr>
        <w:t>. Problems and Challenges in Applying the Concept</w:t>
      </w:r>
    </w:p>
    <w:p w14:paraId="63638579" w14:textId="2BBC4E01" w:rsidR="003B30FE" w:rsidRPr="00BF35D0" w:rsidRDefault="005670FB" w:rsidP="003B30FE">
      <w:pPr>
        <w:spacing w:line="360" w:lineRule="auto"/>
        <w:rPr>
          <w:rFonts w:ascii="Arial" w:hAnsi="Arial" w:cs="Arial"/>
        </w:rPr>
      </w:pPr>
      <w:r>
        <w:rPr>
          <w:rFonts w:ascii="Arial" w:hAnsi="Arial" w:cs="Arial"/>
        </w:rPr>
        <w:t>9</w:t>
      </w:r>
      <w:r w:rsidR="003B30FE">
        <w:rPr>
          <w:rFonts w:ascii="Arial" w:hAnsi="Arial" w:cs="Arial"/>
        </w:rPr>
        <w:t>.</w:t>
      </w:r>
      <w:r w:rsidR="003B30FE" w:rsidRPr="00BF35D0">
        <w:rPr>
          <w:rFonts w:ascii="Arial" w:hAnsi="Arial" w:cs="Arial"/>
        </w:rPr>
        <w:t>Problems and Challenges in Applying the Concept</w:t>
      </w:r>
    </w:p>
    <w:p w14:paraId="1312283B" w14:textId="77777777" w:rsidR="00412C05" w:rsidRDefault="005670FB" w:rsidP="00BF35D0">
      <w:pPr>
        <w:spacing w:line="360" w:lineRule="auto"/>
        <w:rPr>
          <w:rFonts w:ascii="Arial" w:hAnsi="Arial" w:cs="Arial"/>
        </w:rPr>
      </w:pPr>
      <w:r>
        <w:rPr>
          <w:rFonts w:ascii="Arial" w:hAnsi="Arial" w:cs="Arial"/>
        </w:rPr>
        <w:t>10</w:t>
      </w:r>
      <w:r w:rsidR="00BB6E35">
        <w:rPr>
          <w:rFonts w:ascii="Arial" w:hAnsi="Arial" w:cs="Arial"/>
        </w:rPr>
        <w:t>.</w:t>
      </w:r>
      <w:r w:rsidR="008F029D" w:rsidRPr="00BF35D0">
        <w:rPr>
          <w:rFonts w:ascii="Arial" w:hAnsi="Arial" w:cs="Arial"/>
        </w:rPr>
        <w:t xml:space="preserve"> Recommendations for Policy and Practice</w:t>
      </w:r>
    </w:p>
    <w:p w14:paraId="5DC9A07F" w14:textId="22C5E0A9" w:rsidR="00412C05" w:rsidRDefault="00412C05" w:rsidP="00BF35D0">
      <w:pPr>
        <w:spacing w:line="360" w:lineRule="auto"/>
        <w:rPr>
          <w:rFonts w:ascii="Arial" w:hAnsi="Arial" w:cs="Arial"/>
        </w:rPr>
      </w:pPr>
      <w:r>
        <w:rPr>
          <w:rFonts w:ascii="Arial" w:hAnsi="Arial" w:cs="Arial"/>
        </w:rPr>
        <w:t xml:space="preserve">11. </w:t>
      </w:r>
      <w:r w:rsidR="00203A0B">
        <w:rPr>
          <w:rFonts w:ascii="Arial" w:hAnsi="Arial" w:cs="Arial"/>
        </w:rPr>
        <w:t>R</w:t>
      </w:r>
      <w:r w:rsidR="00B878B9">
        <w:rPr>
          <w:rFonts w:ascii="Arial" w:hAnsi="Arial" w:cs="Arial"/>
        </w:rPr>
        <w:t>e</w:t>
      </w:r>
      <w:r w:rsidR="007700EB">
        <w:rPr>
          <w:rFonts w:ascii="Arial" w:hAnsi="Arial" w:cs="Arial"/>
        </w:rPr>
        <w:t xml:space="preserve">commendation for Policy and </w:t>
      </w:r>
      <w:r w:rsidR="00203A0B">
        <w:rPr>
          <w:rFonts w:ascii="Arial" w:hAnsi="Arial" w:cs="Arial"/>
        </w:rPr>
        <w:t>Practice</w:t>
      </w:r>
    </w:p>
    <w:p w14:paraId="25A9296A" w14:textId="3A9E1648" w:rsidR="008F029D" w:rsidRPr="00BF35D0" w:rsidRDefault="005670FB" w:rsidP="00BF35D0">
      <w:pPr>
        <w:spacing w:line="360" w:lineRule="auto"/>
        <w:rPr>
          <w:rFonts w:ascii="Arial" w:hAnsi="Arial" w:cs="Arial"/>
        </w:rPr>
      </w:pPr>
      <w:r>
        <w:rPr>
          <w:rFonts w:ascii="Arial" w:hAnsi="Arial" w:cs="Arial"/>
        </w:rPr>
        <w:t>1</w:t>
      </w:r>
      <w:r w:rsidR="00412C05">
        <w:rPr>
          <w:rFonts w:ascii="Arial" w:hAnsi="Arial" w:cs="Arial"/>
        </w:rPr>
        <w:t>2</w:t>
      </w:r>
      <w:r w:rsidR="008F029D" w:rsidRPr="00BF35D0">
        <w:rPr>
          <w:rFonts w:ascii="Arial" w:hAnsi="Arial" w:cs="Arial"/>
        </w:rPr>
        <w:t>. Conclusion</w:t>
      </w:r>
      <w:r w:rsidR="008F029D" w:rsidRPr="00BF35D0">
        <w:rPr>
          <w:rFonts w:ascii="Arial" w:hAnsi="Arial" w:cs="Arial"/>
        </w:rPr>
        <w:br/>
      </w:r>
      <w:r>
        <w:rPr>
          <w:rFonts w:ascii="Arial" w:hAnsi="Arial" w:cs="Arial"/>
        </w:rPr>
        <w:t>1</w:t>
      </w:r>
      <w:r w:rsidR="00412C05">
        <w:rPr>
          <w:rFonts w:ascii="Arial" w:hAnsi="Arial" w:cs="Arial"/>
        </w:rPr>
        <w:t>3</w:t>
      </w:r>
      <w:r w:rsidR="00351AB4" w:rsidRPr="00BF35D0">
        <w:rPr>
          <w:rFonts w:ascii="Arial" w:hAnsi="Arial" w:cs="Arial"/>
        </w:rPr>
        <w:t>.</w:t>
      </w:r>
      <w:r w:rsidR="008F029D" w:rsidRPr="00BF35D0">
        <w:rPr>
          <w:rFonts w:ascii="Arial" w:hAnsi="Arial" w:cs="Arial"/>
        </w:rPr>
        <w:t xml:space="preserve"> References</w:t>
      </w:r>
    </w:p>
    <w:p w14:paraId="7A614BC0" w14:textId="77777777" w:rsidR="00820D97" w:rsidRDefault="00820D97" w:rsidP="00BF35D0">
      <w:pPr>
        <w:spacing w:line="360" w:lineRule="auto"/>
        <w:rPr>
          <w:rFonts w:ascii="Arial" w:hAnsi="Arial" w:cs="Arial"/>
          <w:b/>
          <w:bCs/>
        </w:rPr>
      </w:pPr>
    </w:p>
    <w:p w14:paraId="5BDAE0F4" w14:textId="77777777" w:rsidR="00B47C1A" w:rsidRDefault="00B47C1A" w:rsidP="00BF35D0">
      <w:pPr>
        <w:spacing w:line="360" w:lineRule="auto"/>
        <w:rPr>
          <w:rFonts w:ascii="Arial" w:hAnsi="Arial" w:cs="Arial"/>
        </w:rPr>
      </w:pPr>
    </w:p>
    <w:p w14:paraId="2A924521" w14:textId="77777777" w:rsidR="00B47C1A" w:rsidRDefault="00B47C1A" w:rsidP="6BDF2B13">
      <w:pPr>
        <w:spacing w:line="360" w:lineRule="auto"/>
        <w:rPr>
          <w:rFonts w:ascii="Arial" w:hAnsi="Arial" w:cs="Arial"/>
        </w:rPr>
      </w:pPr>
    </w:p>
    <w:p w14:paraId="77E515D3" w14:textId="77777777" w:rsidR="00B47C1A" w:rsidRDefault="00B47C1A" w:rsidP="6BDF2B13">
      <w:pPr>
        <w:spacing w:line="360" w:lineRule="auto"/>
        <w:rPr>
          <w:rFonts w:ascii="Arial" w:hAnsi="Arial" w:cs="Arial"/>
        </w:rPr>
      </w:pPr>
    </w:p>
    <w:p w14:paraId="078ECDCF" w14:textId="77777777" w:rsidR="00B47C1A" w:rsidRDefault="00B47C1A" w:rsidP="6BDF2B13">
      <w:pPr>
        <w:spacing w:line="360" w:lineRule="auto"/>
        <w:rPr>
          <w:rFonts w:ascii="Arial" w:hAnsi="Arial" w:cs="Arial"/>
        </w:rPr>
      </w:pPr>
    </w:p>
    <w:p w14:paraId="491DD102" w14:textId="77777777" w:rsidR="00B47C1A" w:rsidRDefault="00B47C1A" w:rsidP="6BDF2B13">
      <w:pPr>
        <w:spacing w:line="360" w:lineRule="auto"/>
        <w:rPr>
          <w:rFonts w:ascii="Arial" w:hAnsi="Arial" w:cs="Arial"/>
        </w:rPr>
      </w:pPr>
    </w:p>
    <w:p w14:paraId="3D12958C" w14:textId="77777777" w:rsidR="00B47C1A" w:rsidRDefault="00B47C1A" w:rsidP="6BDF2B13">
      <w:pPr>
        <w:spacing w:line="360" w:lineRule="auto"/>
        <w:rPr>
          <w:rFonts w:ascii="Arial" w:hAnsi="Arial" w:cs="Arial"/>
        </w:rPr>
      </w:pPr>
    </w:p>
    <w:p w14:paraId="517091FC" w14:textId="77777777" w:rsidR="00B47C1A" w:rsidRDefault="00B47C1A" w:rsidP="6BDF2B13">
      <w:pPr>
        <w:spacing w:line="360" w:lineRule="auto"/>
        <w:rPr>
          <w:rFonts w:ascii="Arial" w:hAnsi="Arial" w:cs="Arial"/>
        </w:rPr>
      </w:pPr>
    </w:p>
    <w:p w14:paraId="3C581CD5" w14:textId="77777777" w:rsidR="00B47C1A" w:rsidRDefault="00B47C1A" w:rsidP="6BDF2B13">
      <w:pPr>
        <w:spacing w:line="360" w:lineRule="auto"/>
        <w:rPr>
          <w:rFonts w:ascii="Arial" w:hAnsi="Arial" w:cs="Arial"/>
        </w:rPr>
      </w:pPr>
    </w:p>
    <w:p w14:paraId="73790B9B" w14:textId="77777777" w:rsidR="00B47C1A" w:rsidRDefault="00B47C1A" w:rsidP="6BDF2B13">
      <w:pPr>
        <w:spacing w:line="360" w:lineRule="auto"/>
        <w:rPr>
          <w:rFonts w:ascii="Arial" w:hAnsi="Arial" w:cs="Arial"/>
        </w:rPr>
      </w:pPr>
    </w:p>
    <w:p w14:paraId="2D970F56" w14:textId="77777777" w:rsidR="00B47C1A" w:rsidRDefault="00B47C1A" w:rsidP="6BDF2B13">
      <w:pPr>
        <w:spacing w:line="360" w:lineRule="auto"/>
        <w:rPr>
          <w:rFonts w:ascii="Arial" w:hAnsi="Arial" w:cs="Arial"/>
        </w:rPr>
      </w:pPr>
    </w:p>
    <w:p w14:paraId="4076E46C" w14:textId="77777777" w:rsidR="00BA08E7" w:rsidRDefault="00BA08E7" w:rsidP="6BDF2B13">
      <w:pPr>
        <w:spacing w:line="360" w:lineRule="auto"/>
        <w:rPr>
          <w:rFonts w:ascii="Arial" w:hAnsi="Arial" w:cs="Arial"/>
        </w:rPr>
      </w:pPr>
    </w:p>
    <w:p w14:paraId="0E3ACED6" w14:textId="77777777" w:rsidR="001F48A1" w:rsidRDefault="001F48A1" w:rsidP="6BDF2B13">
      <w:pPr>
        <w:spacing w:line="360" w:lineRule="auto"/>
        <w:rPr>
          <w:rFonts w:ascii="Arial" w:hAnsi="Arial" w:cs="Arial"/>
        </w:rPr>
      </w:pPr>
    </w:p>
    <w:p w14:paraId="662F1827" w14:textId="77777777" w:rsidR="001F48A1" w:rsidRDefault="001F48A1" w:rsidP="6BDF2B13">
      <w:pPr>
        <w:spacing w:line="360" w:lineRule="auto"/>
        <w:rPr>
          <w:rFonts w:ascii="Arial" w:hAnsi="Arial" w:cs="Arial"/>
        </w:rPr>
      </w:pPr>
    </w:p>
    <w:p w14:paraId="240EB127" w14:textId="77777777" w:rsidR="001F48A1" w:rsidRDefault="001F48A1" w:rsidP="6BDF2B13">
      <w:pPr>
        <w:spacing w:line="360" w:lineRule="auto"/>
        <w:rPr>
          <w:rFonts w:ascii="Arial" w:hAnsi="Arial" w:cs="Arial"/>
        </w:rPr>
      </w:pPr>
    </w:p>
    <w:p w14:paraId="68C862F7" w14:textId="77777777" w:rsidR="001F48A1" w:rsidRDefault="001F48A1" w:rsidP="6BDF2B13">
      <w:pPr>
        <w:spacing w:line="360" w:lineRule="auto"/>
        <w:rPr>
          <w:rFonts w:ascii="Arial" w:hAnsi="Arial" w:cs="Arial"/>
        </w:rPr>
      </w:pPr>
    </w:p>
    <w:p w14:paraId="3954EFD6" w14:textId="77777777" w:rsidR="001F48A1" w:rsidRDefault="001F48A1" w:rsidP="6BDF2B13">
      <w:pPr>
        <w:spacing w:line="360" w:lineRule="auto"/>
        <w:rPr>
          <w:rFonts w:ascii="Arial" w:hAnsi="Arial" w:cs="Arial"/>
        </w:rPr>
      </w:pPr>
    </w:p>
    <w:p w14:paraId="2F79004B" w14:textId="77777777" w:rsidR="001F48A1" w:rsidRDefault="001F48A1" w:rsidP="6BDF2B13">
      <w:pPr>
        <w:spacing w:line="360" w:lineRule="auto"/>
        <w:rPr>
          <w:rFonts w:ascii="Arial" w:hAnsi="Arial" w:cs="Arial"/>
        </w:rPr>
      </w:pPr>
    </w:p>
    <w:p w14:paraId="4A57E862" w14:textId="0A81C541" w:rsidR="00D90272" w:rsidRPr="00C86243" w:rsidRDefault="00D90272" w:rsidP="6BDF2B13">
      <w:pPr>
        <w:spacing w:line="360" w:lineRule="auto"/>
        <w:rPr>
          <w:rFonts w:ascii="Arial" w:hAnsi="Arial" w:cs="Arial"/>
        </w:rPr>
      </w:pPr>
      <w:r w:rsidRPr="00C86243">
        <w:rPr>
          <w:rFonts w:ascii="Arial" w:hAnsi="Arial" w:cs="Arial"/>
        </w:rPr>
        <w:t>A Critical Discussion of Dementia as a Concept Underpinning Person-Centred Care in Health and Social Care</w:t>
      </w:r>
    </w:p>
    <w:p w14:paraId="6F1F8CE0" w14:textId="1DBC0568" w:rsidR="00D90272" w:rsidRPr="00C86243" w:rsidRDefault="00D90272" w:rsidP="6BDF2B13">
      <w:pPr>
        <w:spacing w:line="360" w:lineRule="auto"/>
        <w:rPr>
          <w:rFonts w:ascii="Arial" w:eastAsia="Arial" w:hAnsi="Arial" w:cs="Arial"/>
        </w:rPr>
      </w:pPr>
      <w:r w:rsidRPr="00C86243">
        <w:rPr>
          <w:rFonts w:ascii="Arial" w:hAnsi="Arial" w:cs="Arial"/>
        </w:rPr>
        <w:t>Introduction</w:t>
      </w:r>
    </w:p>
    <w:p w14:paraId="75F97BCD" w14:textId="5A59CA17" w:rsidR="008E1DE8" w:rsidRPr="00C86243" w:rsidRDefault="008E1DE8" w:rsidP="008E1DE8">
      <w:pPr>
        <w:spacing w:line="360" w:lineRule="auto"/>
        <w:rPr>
          <w:rFonts w:ascii="Arial" w:hAnsi="Arial" w:cs="Arial"/>
        </w:rPr>
      </w:pPr>
      <w:r w:rsidRPr="00C86243">
        <w:rPr>
          <w:rFonts w:ascii="Arial" w:hAnsi="Arial" w:cs="Arial"/>
        </w:rPr>
        <w:t xml:space="preserve">The understanding of dementia has </w:t>
      </w:r>
      <w:r w:rsidRPr="3EEE208F">
        <w:rPr>
          <w:rFonts w:ascii="Arial" w:hAnsi="Arial" w:cs="Arial"/>
        </w:rPr>
        <w:t>progress</w:t>
      </w:r>
      <w:r w:rsidR="37A4F7C9" w:rsidRPr="3EEE208F">
        <w:rPr>
          <w:rFonts w:ascii="Arial" w:hAnsi="Arial" w:cs="Arial"/>
        </w:rPr>
        <w:t>ed</w:t>
      </w:r>
      <w:r w:rsidRPr="00C86243">
        <w:rPr>
          <w:rFonts w:ascii="Arial" w:hAnsi="Arial" w:cs="Arial"/>
        </w:rPr>
        <w:t xml:space="preserve"> significantly over time. Historically, dementia was often perceived as a normal and unavoidable aspect of ageing. Early medical descriptions referred to older adults experiencing memory loss as senile, implying that cognitive decline was simply a natural part of getting older (Ballard et al., 2011). However, beginning in the mid-20th century, research revealed that dementia is not a normal part of ageing rather, it encompasses a group of medical conditions resulting from changes in the brain, particularly diseases like Alzheimer’s. This shift marked a crucial advancement in recognising dementia as a clinical disorder.</w:t>
      </w:r>
    </w:p>
    <w:p w14:paraId="0B06A0AC" w14:textId="17075797" w:rsidR="008E1DE8" w:rsidRPr="00C86243" w:rsidRDefault="008E1DE8" w:rsidP="008E1DE8">
      <w:pPr>
        <w:spacing w:line="360" w:lineRule="auto"/>
        <w:rPr>
          <w:rFonts w:ascii="Arial" w:hAnsi="Arial" w:cs="Arial"/>
        </w:rPr>
      </w:pPr>
      <w:r w:rsidRPr="00C86243">
        <w:rPr>
          <w:rFonts w:ascii="Arial" w:hAnsi="Arial" w:cs="Arial"/>
        </w:rPr>
        <w:t xml:space="preserve">As research progressed, the definition of dementia developed </w:t>
      </w:r>
      <w:r w:rsidR="2B129BC0" w:rsidRPr="3EEE208F">
        <w:rPr>
          <w:rFonts w:ascii="Arial" w:hAnsi="Arial" w:cs="Arial"/>
        </w:rPr>
        <w:t xml:space="preserve">further. </w:t>
      </w:r>
      <w:r w:rsidRPr="00C86243">
        <w:rPr>
          <w:rFonts w:ascii="Arial" w:hAnsi="Arial" w:cs="Arial"/>
        </w:rPr>
        <w:t>Dementia is a progressive decline in memory, reasoning, language, and daily functioning (World Health Organization, 2020). Advances in brain imaging, diagnostic guidelines, and biomarkers have helped clinicians better identify and understand different types of dementia. At the same time, social science and psychology research contributed to a broader view that includes the emotional and social impact of the condition.</w:t>
      </w:r>
    </w:p>
    <w:p w14:paraId="184EA25B" w14:textId="3A86080C" w:rsidR="008E1DE8" w:rsidRPr="00C86243" w:rsidRDefault="008E1DE8" w:rsidP="008E1DE8">
      <w:pPr>
        <w:spacing w:line="360" w:lineRule="auto"/>
        <w:rPr>
          <w:rFonts w:ascii="Arial" w:hAnsi="Arial" w:cs="Arial"/>
        </w:rPr>
      </w:pPr>
      <w:r w:rsidRPr="00C86243">
        <w:rPr>
          <w:rFonts w:ascii="Arial" w:hAnsi="Arial" w:cs="Arial"/>
        </w:rPr>
        <w:t xml:space="preserve">Despite these developments, the concept of dementia has faced several critiques. A major criticism is that the biomedical replica can be too narrow. It often focuses mostly on brain pathology and overlooks the personal experiences of people living with dementia. This can contribute to negative stereotypes and that individuals with dementia cannot live meaningful lives (Ballard et al., 2011). Critics also point out that many tests and </w:t>
      </w:r>
      <w:r w:rsidRPr="3EEE208F">
        <w:rPr>
          <w:rFonts w:ascii="Arial" w:hAnsi="Arial" w:cs="Arial"/>
        </w:rPr>
        <w:t>diagnostic</w:t>
      </w:r>
      <w:r w:rsidR="4329FE4D" w:rsidRPr="3EEE208F">
        <w:rPr>
          <w:rFonts w:ascii="Arial" w:hAnsi="Arial" w:cs="Arial"/>
        </w:rPr>
        <w:t>s</w:t>
      </w:r>
      <w:r w:rsidRPr="00C86243">
        <w:rPr>
          <w:rFonts w:ascii="Arial" w:hAnsi="Arial" w:cs="Arial"/>
        </w:rPr>
        <w:t xml:space="preserve"> are based on Western cultural norms, which may not apply equally across different populations.</w:t>
      </w:r>
    </w:p>
    <w:p w14:paraId="1BB7358F" w14:textId="195CDEE9" w:rsidR="008E1DE8" w:rsidRPr="00C86243" w:rsidRDefault="008E1DE8" w:rsidP="008E1DE8">
      <w:pPr>
        <w:spacing w:line="360" w:lineRule="auto"/>
        <w:rPr>
          <w:rFonts w:ascii="Arial" w:hAnsi="Arial" w:cs="Arial"/>
        </w:rPr>
      </w:pPr>
      <w:r w:rsidRPr="00C86243">
        <w:rPr>
          <w:rFonts w:ascii="Arial" w:hAnsi="Arial" w:cs="Arial"/>
        </w:rPr>
        <w:t xml:space="preserve">In response, more person-centred approaches have been developed. These frameworks highlight the importance of respecting the individual, </w:t>
      </w:r>
      <w:r w:rsidR="6ED46288" w:rsidRPr="42C66774">
        <w:rPr>
          <w:rFonts w:ascii="Arial" w:hAnsi="Arial" w:cs="Arial"/>
        </w:rPr>
        <w:t>acknowledging</w:t>
      </w:r>
      <w:r w:rsidRPr="00C86243">
        <w:rPr>
          <w:rFonts w:ascii="Arial" w:hAnsi="Arial" w:cs="Arial"/>
        </w:rPr>
        <w:t xml:space="preserve"> their strengths, and supporting their independence. Organisations such as the WHO now promote a more holistic understanding of dementia that combines medical knowledge with social, cultural, and ethical perspectives (World Health Organization, 2020). Today, dementia is viewed not only as a biological disorder but also as a condition shaped by the environment, society, and personal identity.</w:t>
      </w:r>
    </w:p>
    <w:p w14:paraId="27104CD4" w14:textId="77777777" w:rsidR="00D33AB4" w:rsidRDefault="00D33AB4" w:rsidP="6BDF2B13">
      <w:pPr>
        <w:spacing w:line="360" w:lineRule="auto"/>
        <w:rPr>
          <w:rFonts w:ascii="Arial" w:hAnsi="Arial" w:cs="Arial"/>
          <w:b/>
          <w:bCs/>
        </w:rPr>
      </w:pPr>
    </w:p>
    <w:p w14:paraId="33FA5B9D" w14:textId="77777777" w:rsidR="0090457B" w:rsidRDefault="0090457B" w:rsidP="6BDF2B13">
      <w:pPr>
        <w:spacing w:line="360" w:lineRule="auto"/>
        <w:rPr>
          <w:rFonts w:ascii="Arial" w:hAnsi="Arial" w:cs="Arial"/>
          <w:b/>
          <w:bCs/>
        </w:rPr>
      </w:pPr>
    </w:p>
    <w:p w14:paraId="074BC0D7" w14:textId="77777777" w:rsidR="009966D5" w:rsidRDefault="009966D5" w:rsidP="6BDF2B13">
      <w:pPr>
        <w:spacing w:line="360" w:lineRule="auto"/>
        <w:rPr>
          <w:rFonts w:ascii="Arial" w:hAnsi="Arial" w:cs="Arial"/>
          <w:b/>
          <w:bCs/>
        </w:rPr>
      </w:pPr>
    </w:p>
    <w:p w14:paraId="6B3804E3" w14:textId="3A451537" w:rsidR="00D90272" w:rsidRPr="004F40D1" w:rsidRDefault="00D90272" w:rsidP="6BDF2B13">
      <w:pPr>
        <w:spacing w:line="360" w:lineRule="auto"/>
        <w:rPr>
          <w:rFonts w:ascii="Arial" w:hAnsi="Arial" w:cs="Arial"/>
        </w:rPr>
      </w:pPr>
      <w:r w:rsidRPr="004F40D1">
        <w:rPr>
          <w:rFonts w:ascii="Arial" w:hAnsi="Arial" w:cs="Arial"/>
        </w:rPr>
        <w:t>Emergence and Development of the Concept of Person-Centred Dementia Care</w:t>
      </w:r>
    </w:p>
    <w:p w14:paraId="5F205C58" w14:textId="77777777" w:rsidR="00D90272" w:rsidRPr="004F40D1" w:rsidRDefault="00D90272" w:rsidP="6BDF2B13">
      <w:pPr>
        <w:spacing w:line="360" w:lineRule="auto"/>
        <w:rPr>
          <w:rFonts w:ascii="Arial" w:eastAsia="Arial" w:hAnsi="Arial" w:cs="Arial"/>
        </w:rPr>
      </w:pPr>
      <w:r w:rsidRPr="004F40D1">
        <w:rPr>
          <w:rFonts w:ascii="Arial" w:eastAsia="Arial" w:hAnsi="Arial" w:cs="Arial"/>
        </w:rPr>
        <w:t>Early understandings of dementia were dominated by biomedical discourse. Throughout much of the 20th century, dementia was conceptualised as a degenerative brain disease characterised by memory loss, impaired reasoning, and behavioural disturbance (Innes, 2009). This reductionist framing positioned individuals primarily as patients suffering from cognitive deficits, implicitly legitimising institutionalisation, paternalistic care, and risk-averse practices. The biomedical model undoubtedly advanced diagnostic clarity and contributed to pharmacological interventions, yet it was criticised for neglecting psychosocial dimensions of dementia and ignoring the lived experience of individuals (Graham, 2017).</w:t>
      </w:r>
    </w:p>
    <w:p w14:paraId="77837AC0" w14:textId="1DE45BB9" w:rsidR="00D90272" w:rsidRPr="004F40D1" w:rsidRDefault="00D90272" w:rsidP="6BDF2B13">
      <w:pPr>
        <w:spacing w:line="360" w:lineRule="auto"/>
        <w:rPr>
          <w:rFonts w:ascii="Arial" w:eastAsia="Arial" w:hAnsi="Arial" w:cs="Arial"/>
        </w:rPr>
      </w:pPr>
      <w:r w:rsidRPr="004F40D1">
        <w:rPr>
          <w:rFonts w:ascii="Arial" w:eastAsia="Arial" w:hAnsi="Arial" w:cs="Arial"/>
        </w:rPr>
        <w:t>The emergence of person-centred dementia care marked a radical conceptual shift.</w:t>
      </w:r>
      <w:r w:rsidR="002242A3" w:rsidRPr="004F40D1">
        <w:rPr>
          <w:rFonts w:ascii="Arial" w:eastAsia="Arial" w:hAnsi="Arial" w:cs="Arial"/>
        </w:rPr>
        <w:t xml:space="preserve"> </w:t>
      </w:r>
      <w:r w:rsidR="002B6A26" w:rsidRPr="004F40D1">
        <w:rPr>
          <w:rFonts w:ascii="Arial" w:eastAsia="Arial" w:hAnsi="Arial" w:cs="Arial"/>
        </w:rPr>
        <w:t>(</w:t>
      </w:r>
      <w:r w:rsidRPr="004F40D1">
        <w:rPr>
          <w:rFonts w:ascii="Arial" w:eastAsia="Arial" w:hAnsi="Arial" w:cs="Arial"/>
        </w:rPr>
        <w:t>Kitwood 1997) argued that dementia could not be understood solely through neuropathology but must be viewed within a social and relational context. Drawing from humanistic psychology, social constructionism, and disability rights frameworks, he introduced the notion of personhood, defined as the status bestowed upon one human being by others through recognition, respect, and trust. According to Kitwood, cognitive decline alone does not erode personhood; instead, it is compromised by negative interactions, stigma, and organisational culture</w:t>
      </w:r>
      <w:r w:rsidR="00F745F7" w:rsidRPr="004F40D1">
        <w:rPr>
          <w:rFonts w:ascii="Arial" w:eastAsia="Arial" w:hAnsi="Arial" w:cs="Arial"/>
        </w:rPr>
        <w:t xml:space="preserve">, </w:t>
      </w:r>
      <w:r w:rsidRPr="004F40D1">
        <w:rPr>
          <w:rFonts w:ascii="Arial" w:eastAsia="Arial" w:hAnsi="Arial" w:cs="Arial"/>
        </w:rPr>
        <w:t>summarised in his concept of</w:t>
      </w:r>
      <w:r w:rsidR="00EF0AA9" w:rsidRPr="004F40D1">
        <w:rPr>
          <w:rFonts w:ascii="Arial" w:eastAsia="Arial" w:hAnsi="Arial" w:cs="Arial"/>
        </w:rPr>
        <w:t xml:space="preserve"> </w:t>
      </w:r>
      <w:r w:rsidRPr="004F40D1">
        <w:rPr>
          <w:rFonts w:ascii="Arial" w:eastAsia="Arial" w:hAnsi="Arial" w:cs="Arial"/>
        </w:rPr>
        <w:t>malignant social psychology</w:t>
      </w:r>
      <w:r w:rsidR="00EF0AA9" w:rsidRPr="004F40D1">
        <w:rPr>
          <w:rFonts w:ascii="Arial" w:eastAsia="Arial" w:hAnsi="Arial" w:cs="Arial"/>
        </w:rPr>
        <w:t>.</w:t>
      </w:r>
    </w:p>
    <w:p w14:paraId="0A090F57" w14:textId="44E242C2" w:rsidR="00D90272" w:rsidRPr="004F40D1" w:rsidRDefault="218E893E" w:rsidP="00C35118">
      <w:pPr>
        <w:spacing w:line="360" w:lineRule="auto"/>
        <w:rPr>
          <w:rFonts w:ascii="Arial" w:hAnsi="Arial" w:cs="Arial"/>
        </w:rPr>
      </w:pPr>
      <w:r w:rsidRPr="004F40D1">
        <w:rPr>
          <w:rFonts w:ascii="Arial" w:hAnsi="Arial" w:cs="Arial"/>
        </w:rPr>
        <w:t xml:space="preserve">Brooker (2004) </w:t>
      </w:r>
      <w:r w:rsidR="00D90272" w:rsidRPr="004F40D1">
        <w:rPr>
          <w:rFonts w:ascii="Arial" w:hAnsi="Arial" w:cs="Arial"/>
        </w:rPr>
        <w:t>further operationalised the theory in the VIPS model, outlining four principles: valuing staff and people with dementia, providing individualised care, adopting the perspective of the person with dementia, and creating supportive social environments. This</w:t>
      </w:r>
      <w:r w:rsidR="2747CEA2" w:rsidRPr="004F40D1">
        <w:rPr>
          <w:rFonts w:ascii="Arial" w:hAnsi="Arial" w:cs="Arial"/>
        </w:rPr>
        <w:t xml:space="preserve"> </w:t>
      </w:r>
      <w:r w:rsidR="00D90272" w:rsidRPr="004F40D1">
        <w:rPr>
          <w:rFonts w:ascii="Arial" w:hAnsi="Arial" w:cs="Arial"/>
        </w:rPr>
        <w:t>framework strengthened the applicability of person-dementia care across sectors.</w:t>
      </w:r>
    </w:p>
    <w:p w14:paraId="189E2C30" w14:textId="298A58CE" w:rsidR="00D90272" w:rsidRPr="004F40D1" w:rsidRDefault="00D90272" w:rsidP="00C35118">
      <w:pPr>
        <w:spacing w:line="360" w:lineRule="auto"/>
        <w:rPr>
          <w:rFonts w:ascii="Arial" w:hAnsi="Arial" w:cs="Arial"/>
        </w:rPr>
      </w:pPr>
      <w:r w:rsidRPr="004F40D1">
        <w:rPr>
          <w:rFonts w:ascii="Arial" w:hAnsi="Arial" w:cs="Arial"/>
        </w:rPr>
        <w:t xml:space="preserve">More recent developments have expanded the model by integrating rights-based, relational, and culturally responsive approaches. </w:t>
      </w:r>
      <w:r w:rsidR="00DF59C3" w:rsidRPr="004F40D1">
        <w:rPr>
          <w:rFonts w:ascii="Arial" w:hAnsi="Arial" w:cs="Arial"/>
        </w:rPr>
        <w:t>(</w:t>
      </w:r>
      <w:r w:rsidRPr="004F40D1">
        <w:rPr>
          <w:rFonts w:ascii="Arial" w:hAnsi="Arial" w:cs="Arial"/>
        </w:rPr>
        <w:t>O’Connor et al. 2018) highlight the need to recognise diverse dementia experiences, while Brooker and Latham (2016) emphasise organisational culture and leadership as fundamental components. These developments illustrate the dynamic evolution of the concept, demonstrating its continued relevance within contemporary care systems.</w:t>
      </w:r>
    </w:p>
    <w:p w14:paraId="70E4A2BF" w14:textId="77777777" w:rsidR="003B7931" w:rsidRPr="004F40D1" w:rsidRDefault="003B7931" w:rsidP="00C35118">
      <w:pPr>
        <w:spacing w:line="360" w:lineRule="auto"/>
        <w:rPr>
          <w:rFonts w:ascii="Arial" w:hAnsi="Arial" w:cs="Arial"/>
        </w:rPr>
      </w:pPr>
    </w:p>
    <w:p w14:paraId="664124A3" w14:textId="77777777" w:rsidR="0044707A" w:rsidRPr="004F40D1" w:rsidRDefault="0044707A" w:rsidP="00C35118">
      <w:pPr>
        <w:spacing w:line="360" w:lineRule="auto"/>
        <w:rPr>
          <w:rFonts w:ascii="Arial" w:hAnsi="Arial" w:cs="Arial"/>
        </w:rPr>
      </w:pPr>
    </w:p>
    <w:p w14:paraId="3FFEF5AD" w14:textId="77777777" w:rsidR="0044707A" w:rsidRPr="004F40D1" w:rsidRDefault="0044707A" w:rsidP="00C35118">
      <w:pPr>
        <w:spacing w:line="360" w:lineRule="auto"/>
        <w:rPr>
          <w:rFonts w:ascii="Arial" w:hAnsi="Arial" w:cs="Arial"/>
        </w:rPr>
      </w:pPr>
    </w:p>
    <w:p w14:paraId="55E54C0C" w14:textId="66123F98" w:rsidR="00D90272" w:rsidRPr="004F40D1" w:rsidRDefault="00D90272" w:rsidP="00C35118">
      <w:pPr>
        <w:spacing w:line="360" w:lineRule="auto"/>
        <w:rPr>
          <w:rFonts w:ascii="Arial" w:hAnsi="Arial" w:cs="Arial"/>
        </w:rPr>
      </w:pPr>
      <w:r w:rsidRPr="004F40D1">
        <w:rPr>
          <w:rFonts w:ascii="Arial" w:hAnsi="Arial" w:cs="Arial"/>
        </w:rPr>
        <w:t>Critiques of Person-Centred Dementia Care and Responses</w:t>
      </w:r>
    </w:p>
    <w:p w14:paraId="58A34977" w14:textId="4A2A0E20" w:rsidR="00D90272" w:rsidRPr="004F40D1" w:rsidRDefault="00D90272" w:rsidP="00C35118">
      <w:pPr>
        <w:spacing w:line="360" w:lineRule="auto"/>
        <w:rPr>
          <w:rFonts w:ascii="Arial" w:hAnsi="Arial" w:cs="Arial"/>
        </w:rPr>
      </w:pPr>
      <w:r w:rsidRPr="004F40D1">
        <w:rPr>
          <w:rFonts w:ascii="Arial" w:hAnsi="Arial" w:cs="Arial"/>
        </w:rPr>
        <w:t>Despite its influence, person-centred dementia care has attracted critique. One major criticism concerns conceptual vagueness. Edvardsson et al. (2008) argue that the term person-centred has been used so widely and inconsistently that it risks rhetorical overuse without substantive implementation. This ambiguity allows organisations to claim adherence while failing to embed cultural or structural changes.</w:t>
      </w:r>
    </w:p>
    <w:p w14:paraId="0B4643A8" w14:textId="77777777" w:rsidR="00D90272" w:rsidRPr="004F40D1" w:rsidRDefault="00D90272" w:rsidP="00C35118">
      <w:pPr>
        <w:spacing w:line="360" w:lineRule="auto"/>
        <w:rPr>
          <w:rFonts w:ascii="Arial" w:hAnsi="Arial" w:cs="Arial"/>
        </w:rPr>
      </w:pPr>
      <w:r w:rsidRPr="004F40D1">
        <w:rPr>
          <w:rFonts w:ascii="Arial" w:hAnsi="Arial" w:cs="Arial"/>
        </w:rPr>
        <w:t>A second criticism relates to its individualistic orientation. Downs (2013) suggests that the model sometimes overemphasises individual preferences while overlooking broader systemic, familial, or cultural factors that shape dementia experiences. Similarly, some scholars argue that person-centred approaches can inadvertently reinforce dependency if personhood is viewed as something bestowed by carers rather than inherent.</w:t>
      </w:r>
    </w:p>
    <w:p w14:paraId="5108C244" w14:textId="3D6DD7AA" w:rsidR="00D90272" w:rsidRPr="004F40D1" w:rsidRDefault="00D90272" w:rsidP="00C35118">
      <w:pPr>
        <w:spacing w:line="360" w:lineRule="auto"/>
        <w:rPr>
          <w:rFonts w:ascii="Arial" w:hAnsi="Arial" w:cs="Arial"/>
        </w:rPr>
      </w:pPr>
      <w:r w:rsidRPr="004F40D1">
        <w:rPr>
          <w:rFonts w:ascii="Arial" w:hAnsi="Arial" w:cs="Arial"/>
        </w:rPr>
        <w:t>Other critiques focus on practical limitations. Person-centred care is labour-intensive and requires adequate staffing, training, and environments that support meaningful engagement. Underfunded services often struggle to deliver relational care, leading to a gap between policy aspirations and frontline realities (Surr et al., 2020). These tensions are exacerbated by workforce shortages and high turnover in both health and social care sectors.</w:t>
      </w:r>
      <w:r w:rsidR="0B12D8EC" w:rsidRPr="004F40D1">
        <w:rPr>
          <w:rFonts w:ascii="Arial" w:hAnsi="Arial" w:cs="Arial"/>
        </w:rPr>
        <w:t xml:space="preserve"> </w:t>
      </w:r>
      <w:r w:rsidRPr="004F40D1">
        <w:rPr>
          <w:rFonts w:ascii="Arial" w:hAnsi="Arial" w:cs="Arial"/>
        </w:rPr>
        <w:t>Finally, critics argue that the model insufficiently addresses structural inequalities, such as disparities in access to diagnosis, support services, and culturally appropriate care. Minority ethnic communities, for example, continue to face barriers related to stigma, language, and service design (O’Connor et al., 2018).</w:t>
      </w:r>
    </w:p>
    <w:p w14:paraId="58117A20" w14:textId="1A1FFA37" w:rsidR="00D90272" w:rsidRPr="004F40D1" w:rsidRDefault="00D90272" w:rsidP="00C35118">
      <w:pPr>
        <w:spacing w:line="360" w:lineRule="auto"/>
        <w:rPr>
          <w:rFonts w:ascii="Arial" w:hAnsi="Arial" w:cs="Arial"/>
        </w:rPr>
      </w:pPr>
      <w:r w:rsidRPr="004F40D1">
        <w:rPr>
          <w:rFonts w:ascii="Arial" w:hAnsi="Arial" w:cs="Arial"/>
        </w:rPr>
        <w:t>Responses to these critiques highlight that person-centred dementia care should not be dismissed but enriched. Brooker and Latham (2016) argue for organisational-level frameworks, leadership investment, and cultural change. Rights-based approaches</w:t>
      </w:r>
      <w:r w:rsidR="001C539B" w:rsidRPr="004F40D1">
        <w:rPr>
          <w:rFonts w:ascii="Arial" w:hAnsi="Arial" w:cs="Arial"/>
        </w:rPr>
        <w:t xml:space="preserve">, </w:t>
      </w:r>
      <w:r w:rsidRPr="004F40D1">
        <w:rPr>
          <w:rFonts w:ascii="Arial" w:hAnsi="Arial" w:cs="Arial"/>
        </w:rPr>
        <w:t>aligned with the UNCRPD (2006) and Equality Act 2010</w:t>
      </w:r>
      <w:r w:rsidR="00DC51CF" w:rsidRPr="004F40D1">
        <w:rPr>
          <w:rFonts w:ascii="Arial" w:hAnsi="Arial" w:cs="Arial"/>
        </w:rPr>
        <w:t>, f</w:t>
      </w:r>
      <w:r w:rsidRPr="004F40D1">
        <w:rPr>
          <w:rFonts w:ascii="Arial" w:hAnsi="Arial" w:cs="Arial"/>
        </w:rPr>
        <w:t>urther emphasise autonomy, citizenship, and anti-discriminatory practice. These responses demonstrate the adaptability of the model and its capacity to evolve.</w:t>
      </w:r>
    </w:p>
    <w:p w14:paraId="4F621285" w14:textId="77777777" w:rsidR="001C13BC" w:rsidRPr="004F40D1" w:rsidRDefault="001C13BC" w:rsidP="00C35118">
      <w:pPr>
        <w:spacing w:line="360" w:lineRule="auto"/>
        <w:rPr>
          <w:rFonts w:ascii="Arial" w:hAnsi="Arial" w:cs="Arial"/>
        </w:rPr>
      </w:pPr>
    </w:p>
    <w:p w14:paraId="4562AFB9" w14:textId="77777777" w:rsidR="006D0062" w:rsidRPr="004F40D1" w:rsidRDefault="006D0062" w:rsidP="00C35118">
      <w:pPr>
        <w:spacing w:line="360" w:lineRule="auto"/>
        <w:rPr>
          <w:rFonts w:ascii="Arial" w:hAnsi="Arial" w:cs="Arial"/>
        </w:rPr>
      </w:pPr>
    </w:p>
    <w:p w14:paraId="6820CB70" w14:textId="77777777" w:rsidR="006D0062" w:rsidRPr="004F40D1" w:rsidRDefault="006D0062" w:rsidP="00C35118">
      <w:pPr>
        <w:spacing w:line="360" w:lineRule="auto"/>
        <w:rPr>
          <w:rFonts w:ascii="Arial" w:hAnsi="Arial" w:cs="Arial"/>
        </w:rPr>
      </w:pPr>
    </w:p>
    <w:p w14:paraId="4CDC0CAC" w14:textId="77777777" w:rsidR="006E29FA" w:rsidRDefault="006E29FA" w:rsidP="42C66774">
      <w:pPr>
        <w:spacing w:before="240" w:after="240" w:line="360" w:lineRule="auto"/>
        <w:rPr>
          <w:rFonts w:ascii="Arial" w:hAnsi="Arial" w:cs="Arial"/>
        </w:rPr>
      </w:pPr>
    </w:p>
    <w:p w14:paraId="67293BEC" w14:textId="77777777" w:rsidR="00D64875" w:rsidRDefault="00D64875" w:rsidP="42C66774">
      <w:pPr>
        <w:spacing w:before="240" w:after="240" w:line="360" w:lineRule="auto"/>
        <w:rPr>
          <w:rFonts w:ascii="Arial" w:hAnsi="Arial" w:cs="Arial"/>
        </w:rPr>
      </w:pPr>
    </w:p>
    <w:p w14:paraId="1B208BA9" w14:textId="77777777" w:rsidR="00D64875" w:rsidRDefault="00D64875" w:rsidP="42C66774">
      <w:pPr>
        <w:spacing w:before="240" w:after="240" w:line="360" w:lineRule="auto"/>
        <w:rPr>
          <w:rFonts w:ascii="Arial" w:hAnsi="Arial" w:cs="Arial"/>
        </w:rPr>
      </w:pPr>
    </w:p>
    <w:p w14:paraId="73D807CD" w14:textId="33ECB676" w:rsidR="00D90272" w:rsidRPr="004F40D1" w:rsidRDefault="00D90272" w:rsidP="42C66774">
      <w:pPr>
        <w:spacing w:before="240" w:after="240" w:line="360" w:lineRule="auto"/>
        <w:rPr>
          <w:rFonts w:ascii="Arial" w:hAnsi="Arial" w:cs="Arial"/>
        </w:rPr>
      </w:pPr>
      <w:r w:rsidRPr="004F40D1">
        <w:rPr>
          <w:rFonts w:ascii="Arial" w:hAnsi="Arial" w:cs="Arial"/>
        </w:rPr>
        <w:t>Application in UK Health and Social Care Policy and Practice</w:t>
      </w:r>
    </w:p>
    <w:p w14:paraId="7AC7B70C" w14:textId="0AA7D995" w:rsidR="22ED399C" w:rsidRPr="00973051" w:rsidRDefault="06D822D1" w:rsidP="00973051">
      <w:pPr>
        <w:spacing w:before="240" w:after="240" w:line="360" w:lineRule="auto"/>
        <w:rPr>
          <w:rFonts w:ascii="Arial" w:hAnsi="Arial" w:cs="Arial"/>
        </w:rPr>
      </w:pPr>
      <w:r w:rsidRPr="00973051">
        <w:rPr>
          <w:rFonts w:ascii="Arial" w:eastAsia="Arial" w:hAnsi="Arial" w:cs="Arial"/>
        </w:rPr>
        <w:t xml:space="preserve">The principle of person-centred dementia care is </w:t>
      </w:r>
      <w:r w:rsidR="01213B61" w:rsidRPr="00973051">
        <w:rPr>
          <w:rFonts w:ascii="Arial" w:eastAsia="Arial" w:hAnsi="Arial" w:cs="Arial"/>
        </w:rPr>
        <w:t>deeply integrated into current</w:t>
      </w:r>
      <w:r w:rsidRPr="00973051">
        <w:rPr>
          <w:rFonts w:ascii="Arial" w:eastAsia="Arial" w:hAnsi="Arial" w:cs="Arial"/>
        </w:rPr>
        <w:t xml:space="preserve"> UK health and social care </w:t>
      </w:r>
      <w:r w:rsidR="01213B61" w:rsidRPr="00973051">
        <w:rPr>
          <w:rFonts w:ascii="Arial" w:eastAsia="Arial" w:hAnsi="Arial" w:cs="Arial"/>
        </w:rPr>
        <w:t>policies, influencing</w:t>
      </w:r>
      <w:r w:rsidRPr="00973051">
        <w:rPr>
          <w:rFonts w:ascii="Arial" w:eastAsia="Arial" w:hAnsi="Arial" w:cs="Arial"/>
        </w:rPr>
        <w:t xml:space="preserve"> both strategic </w:t>
      </w:r>
      <w:r w:rsidR="01213B61" w:rsidRPr="00973051">
        <w:rPr>
          <w:rFonts w:ascii="Arial" w:eastAsia="Arial" w:hAnsi="Arial" w:cs="Arial"/>
        </w:rPr>
        <w:t>planning</w:t>
      </w:r>
      <w:r w:rsidRPr="00973051">
        <w:rPr>
          <w:rFonts w:ascii="Arial" w:eastAsia="Arial" w:hAnsi="Arial" w:cs="Arial"/>
        </w:rPr>
        <w:t xml:space="preserve"> and </w:t>
      </w:r>
      <w:r w:rsidR="01213B61" w:rsidRPr="00973051">
        <w:rPr>
          <w:rFonts w:ascii="Arial" w:eastAsia="Arial" w:hAnsi="Arial" w:cs="Arial"/>
        </w:rPr>
        <w:t>day-to-day</w:t>
      </w:r>
      <w:r w:rsidRPr="00973051">
        <w:rPr>
          <w:rFonts w:ascii="Arial" w:eastAsia="Arial" w:hAnsi="Arial" w:cs="Arial"/>
        </w:rPr>
        <w:t xml:space="preserve"> practice. Over the </w:t>
      </w:r>
      <w:r w:rsidR="01213B61" w:rsidRPr="00973051">
        <w:rPr>
          <w:rFonts w:ascii="Arial" w:eastAsia="Arial" w:hAnsi="Arial" w:cs="Arial"/>
        </w:rPr>
        <w:t>last twenty years, various</w:t>
      </w:r>
      <w:r w:rsidRPr="00973051">
        <w:rPr>
          <w:rFonts w:ascii="Arial" w:eastAsia="Arial" w:hAnsi="Arial" w:cs="Arial"/>
        </w:rPr>
        <w:t xml:space="preserve"> national frameworks have </w:t>
      </w:r>
      <w:r w:rsidR="01213B61" w:rsidRPr="00973051">
        <w:rPr>
          <w:rFonts w:ascii="Arial" w:eastAsia="Arial" w:hAnsi="Arial" w:cs="Arial"/>
        </w:rPr>
        <w:t>increasingly emphasised</w:t>
      </w:r>
      <w:r w:rsidRPr="00973051">
        <w:rPr>
          <w:rFonts w:ascii="Arial" w:eastAsia="Arial" w:hAnsi="Arial" w:cs="Arial"/>
        </w:rPr>
        <w:t xml:space="preserve"> supporting individuals with dementia in ways that </w:t>
      </w:r>
      <w:r w:rsidR="01213B61" w:rsidRPr="00973051">
        <w:rPr>
          <w:rFonts w:ascii="Arial" w:eastAsia="Arial" w:hAnsi="Arial" w:cs="Arial"/>
        </w:rPr>
        <w:t>respect</w:t>
      </w:r>
      <w:r w:rsidRPr="00973051">
        <w:rPr>
          <w:rFonts w:ascii="Arial" w:eastAsia="Arial" w:hAnsi="Arial" w:cs="Arial"/>
        </w:rPr>
        <w:t xml:space="preserve"> their autonomy, </w:t>
      </w:r>
      <w:r w:rsidR="01213B61" w:rsidRPr="00973051">
        <w:rPr>
          <w:rFonts w:ascii="Arial" w:eastAsia="Arial" w:hAnsi="Arial" w:cs="Arial"/>
        </w:rPr>
        <w:t>individuality</w:t>
      </w:r>
      <w:r w:rsidRPr="00973051">
        <w:rPr>
          <w:rFonts w:ascii="Arial" w:eastAsia="Arial" w:hAnsi="Arial" w:cs="Arial"/>
        </w:rPr>
        <w:t xml:space="preserve">, and </w:t>
      </w:r>
      <w:r w:rsidR="01213B61" w:rsidRPr="00973051">
        <w:rPr>
          <w:rFonts w:ascii="Arial" w:eastAsia="Arial" w:hAnsi="Arial" w:cs="Arial"/>
        </w:rPr>
        <w:t>personal</w:t>
      </w:r>
      <w:r w:rsidRPr="00973051">
        <w:rPr>
          <w:rFonts w:ascii="Arial" w:eastAsia="Arial" w:hAnsi="Arial" w:cs="Arial"/>
        </w:rPr>
        <w:t xml:space="preserve"> experiences.</w:t>
      </w:r>
      <w:r w:rsidR="00330BBB">
        <w:rPr>
          <w:rFonts w:ascii="Arial" w:hAnsi="Arial" w:cs="Arial"/>
        </w:rPr>
        <w:t xml:space="preserve"> </w:t>
      </w:r>
      <w:r w:rsidR="22ED399C" w:rsidRPr="00973051">
        <w:rPr>
          <w:rFonts w:ascii="Arial" w:eastAsia="Arial" w:hAnsi="Arial" w:cs="Arial"/>
        </w:rPr>
        <w:t>The National Dementia Strategy for England, established in 2009, initiated a formal person-centred approach in national policy, highlighting the need for early diagnosis, personalised care planning, and a skilled workforce. Building on this, the Prime Minister’s Challenge on Dementia 2015–2020 aimed to enhance these initiatives. The NICE Dementia Guidelines released in 2018 marked a significant advancement, offering comprehensive, evidence-based guidance for practitioners. These guidelines emphasise personalised care planning, the involvement of individuals in decision-making, and non-pharmacological interventions. They also stress the importance of assessing care</w:t>
      </w:r>
      <w:r w:rsidR="7E0BC2D5" w:rsidRPr="00973051">
        <w:rPr>
          <w:rFonts w:ascii="Arial" w:eastAsia="Arial" w:hAnsi="Arial" w:cs="Arial"/>
        </w:rPr>
        <w:t>rs,</w:t>
      </w:r>
      <w:r w:rsidR="43DE980B" w:rsidRPr="00973051">
        <w:rPr>
          <w:rFonts w:ascii="Arial" w:eastAsia="Arial" w:hAnsi="Arial" w:cs="Arial"/>
        </w:rPr>
        <w:t xml:space="preserve"> </w:t>
      </w:r>
      <w:r w:rsidR="22ED399C" w:rsidRPr="00973051">
        <w:rPr>
          <w:rFonts w:ascii="Arial" w:eastAsia="Arial" w:hAnsi="Arial" w:cs="Arial"/>
        </w:rPr>
        <w:t>needs and improving communication skills among health and social care staff, while reinforcing the principles of dignity, community engagement, and high standards of hospital care in dementia policy (Department of Health, 2015).</w:t>
      </w:r>
    </w:p>
    <w:p w14:paraId="35CBC599" w14:textId="280A1ECB" w:rsidR="06D822D1" w:rsidRPr="00A935A7" w:rsidRDefault="06D822D1" w:rsidP="00973051">
      <w:pPr>
        <w:spacing w:before="240" w:after="240" w:line="360" w:lineRule="auto"/>
        <w:rPr>
          <w:rFonts w:ascii="Arial" w:eastAsia="Arial" w:hAnsi="Arial" w:cs="Arial"/>
        </w:rPr>
      </w:pPr>
      <w:r w:rsidRPr="00973051">
        <w:rPr>
          <w:rFonts w:ascii="Arial" w:eastAsia="Arial" w:hAnsi="Arial" w:cs="Arial"/>
        </w:rPr>
        <w:t xml:space="preserve">Legislation has played a critical role in embedding these principles. The Care Act 2014 represents a major statutory commitment to personalisation, requiring local authorities to place wellbeing, choice, and prevention at the centre of care planning. This aligns closely with person-centred dementia care by mandating that practice be shaped around the wishes, aspirations, and autonomy of individuals. More recent policy documents, such as the NHS Long Term Plan (2019) and </w:t>
      </w:r>
      <w:r w:rsidR="5E4428C6" w:rsidRPr="00973051">
        <w:rPr>
          <w:rFonts w:ascii="Arial" w:eastAsia="Arial" w:hAnsi="Arial" w:cs="Arial"/>
        </w:rPr>
        <w:t xml:space="preserve">the </w:t>
      </w:r>
      <w:r w:rsidRPr="00973051">
        <w:rPr>
          <w:rFonts w:ascii="Arial" w:eastAsia="Arial" w:hAnsi="Arial" w:cs="Arial"/>
        </w:rPr>
        <w:t>social care reform strategy People at the Heart of Care (2021), extend this agenda further by strengthening the focus on integrated, community-based dementia pathways and investing in workforce development.</w:t>
      </w:r>
      <w:r w:rsidR="00A935A7">
        <w:rPr>
          <w:rFonts w:ascii="Arial" w:eastAsia="Arial" w:hAnsi="Arial" w:cs="Arial"/>
        </w:rPr>
        <w:t xml:space="preserve"> </w:t>
      </w:r>
      <w:r w:rsidRPr="00973051">
        <w:rPr>
          <w:rFonts w:ascii="Arial" w:eastAsia="Arial" w:hAnsi="Arial" w:cs="Arial"/>
        </w:rPr>
        <w:t>These policy commitments have translated into significant shifts across practice settings. Care planning processes increasingly emphasise individualised assessments, life history work, and collaborative goal setting, supporting a more holistic understanding of the person (McKeown et al., 2010). In acute settings, dementia-friendly hospital initiatives</w:t>
      </w:r>
      <w:r w:rsidR="059147EC" w:rsidRPr="00973051">
        <w:rPr>
          <w:rFonts w:ascii="Arial" w:eastAsia="Arial" w:hAnsi="Arial" w:cs="Arial"/>
        </w:rPr>
        <w:t xml:space="preserve">, </w:t>
      </w:r>
      <w:r w:rsidRPr="00973051">
        <w:rPr>
          <w:rFonts w:ascii="Arial" w:eastAsia="Arial" w:hAnsi="Arial" w:cs="Arial"/>
        </w:rPr>
        <w:t>such as environmental adaptations, the introduction of dementia champions, and enhanced observation protocols, have sought to enhance patient experience and safety. Workforce development has also advanced, with the Care Certificate, pre-registration nursing programmes, and continuing professional development opportunities all incorporating dementia-specific competencies rooted in person-centred philosophies.</w:t>
      </w:r>
    </w:p>
    <w:p w14:paraId="3B88FC0B" w14:textId="24C48D51" w:rsidR="00D90272" w:rsidRPr="0069586E" w:rsidRDefault="06D822D1" w:rsidP="0069586E">
      <w:pPr>
        <w:spacing w:before="240" w:after="240" w:line="360" w:lineRule="auto"/>
        <w:rPr>
          <w:rFonts w:ascii="Arial" w:eastAsia="Arial" w:hAnsi="Arial" w:cs="Arial"/>
        </w:rPr>
      </w:pPr>
      <w:r w:rsidRPr="00973051">
        <w:rPr>
          <w:rFonts w:ascii="Arial" w:eastAsia="Arial" w:hAnsi="Arial" w:cs="Arial"/>
        </w:rPr>
        <w:t xml:space="preserve">Beyond statutory services, the voluntary and community sector has played a central role in operationalising person-centred principles at a societal level. The development of dementia-friendly communities, supported by organisations such as the Alzheimer’s Society, </w:t>
      </w:r>
      <w:r w:rsidR="63BB6FEB" w:rsidRPr="00973051">
        <w:rPr>
          <w:rFonts w:ascii="Arial" w:eastAsia="Arial" w:hAnsi="Arial" w:cs="Arial"/>
        </w:rPr>
        <w:t>ha</w:t>
      </w:r>
      <w:r w:rsidR="0BBD7946" w:rsidRPr="00973051">
        <w:rPr>
          <w:rFonts w:ascii="Arial" w:eastAsia="Arial" w:hAnsi="Arial" w:cs="Arial"/>
        </w:rPr>
        <w:t>ve</w:t>
      </w:r>
      <w:r w:rsidRPr="00973051">
        <w:rPr>
          <w:rFonts w:ascii="Arial" w:eastAsia="Arial" w:hAnsi="Arial" w:cs="Arial"/>
        </w:rPr>
        <w:t xml:space="preserve"> contributed to greater public awareness, improved accessibility, and enhanced social inclusion. Additionally, memory clinics and post-diagnostic services increasingly focus on adjustment support, wellbeing, and social connection rather than solely on diagnostic processes, reflecting a more holistic view of living well with dementia.</w:t>
      </w:r>
      <w:r w:rsidR="0069586E">
        <w:rPr>
          <w:rFonts w:ascii="Arial" w:eastAsia="Arial" w:hAnsi="Arial" w:cs="Arial"/>
        </w:rPr>
        <w:t xml:space="preserve"> </w:t>
      </w:r>
      <w:r w:rsidR="70C17DCF" w:rsidRPr="00973051">
        <w:rPr>
          <w:rFonts w:ascii="Arial" w:hAnsi="Arial" w:cs="Arial"/>
        </w:rPr>
        <w:t xml:space="preserve">Despite these advances, the implementation of person-centred care remains inconsistent across regions and services. Variations in resources, staffing, and organisational cultures continue to influence how fully policy intentions are realised in practice. The following section examines these ongoing challenges and the implications they have for maintaining high-quality, person-centred dementia care. </w:t>
      </w:r>
    </w:p>
    <w:p w14:paraId="0F49AD06" w14:textId="77777777" w:rsidR="00DD7629" w:rsidRPr="00973051" w:rsidRDefault="00DD7629" w:rsidP="00973051">
      <w:pPr>
        <w:spacing w:line="360" w:lineRule="auto"/>
        <w:rPr>
          <w:rFonts w:ascii="Arial" w:hAnsi="Arial" w:cs="Arial"/>
        </w:rPr>
      </w:pPr>
    </w:p>
    <w:p w14:paraId="35B5DF45" w14:textId="77777777" w:rsidR="008C5320" w:rsidRPr="00973051" w:rsidRDefault="008C5320" w:rsidP="00973051">
      <w:pPr>
        <w:spacing w:line="360" w:lineRule="auto"/>
        <w:rPr>
          <w:rFonts w:ascii="Arial" w:hAnsi="Arial" w:cs="Arial"/>
        </w:rPr>
      </w:pPr>
    </w:p>
    <w:p w14:paraId="36B516BF" w14:textId="77777777" w:rsidR="008C5320" w:rsidRPr="00973051" w:rsidRDefault="008C5320" w:rsidP="00973051">
      <w:pPr>
        <w:spacing w:line="360" w:lineRule="auto"/>
        <w:rPr>
          <w:rFonts w:ascii="Arial" w:hAnsi="Arial" w:cs="Arial"/>
        </w:rPr>
      </w:pPr>
    </w:p>
    <w:p w14:paraId="2F9188DE" w14:textId="77777777" w:rsidR="008C5320" w:rsidRPr="00973051" w:rsidRDefault="008C5320" w:rsidP="00973051">
      <w:pPr>
        <w:spacing w:line="360" w:lineRule="auto"/>
        <w:rPr>
          <w:rFonts w:ascii="Arial" w:hAnsi="Arial" w:cs="Arial"/>
        </w:rPr>
      </w:pPr>
    </w:p>
    <w:p w14:paraId="28A9B9EE" w14:textId="77777777" w:rsidR="00130C9D" w:rsidRPr="00973051" w:rsidRDefault="00130C9D" w:rsidP="00973051">
      <w:pPr>
        <w:spacing w:line="360" w:lineRule="auto"/>
        <w:rPr>
          <w:rFonts w:ascii="Arial" w:hAnsi="Arial" w:cs="Arial"/>
        </w:rPr>
      </w:pPr>
    </w:p>
    <w:p w14:paraId="7BE781C7" w14:textId="77777777" w:rsidR="006345F6" w:rsidRDefault="006345F6" w:rsidP="00973051">
      <w:pPr>
        <w:spacing w:line="360" w:lineRule="auto"/>
        <w:rPr>
          <w:rFonts w:ascii="Arial" w:hAnsi="Arial" w:cs="Arial"/>
        </w:rPr>
      </w:pPr>
    </w:p>
    <w:p w14:paraId="47850554" w14:textId="77777777" w:rsidR="006345F6" w:rsidRDefault="006345F6" w:rsidP="00973051">
      <w:pPr>
        <w:spacing w:line="360" w:lineRule="auto"/>
        <w:rPr>
          <w:rFonts w:ascii="Arial" w:hAnsi="Arial" w:cs="Arial"/>
        </w:rPr>
      </w:pPr>
    </w:p>
    <w:p w14:paraId="513110B2" w14:textId="77777777" w:rsidR="006345F6" w:rsidRDefault="006345F6" w:rsidP="00973051">
      <w:pPr>
        <w:spacing w:line="360" w:lineRule="auto"/>
        <w:rPr>
          <w:rFonts w:ascii="Arial" w:hAnsi="Arial" w:cs="Arial"/>
        </w:rPr>
      </w:pPr>
    </w:p>
    <w:p w14:paraId="3F731C00" w14:textId="77777777" w:rsidR="006345F6" w:rsidRDefault="006345F6" w:rsidP="00973051">
      <w:pPr>
        <w:spacing w:line="360" w:lineRule="auto"/>
        <w:rPr>
          <w:rFonts w:ascii="Arial" w:hAnsi="Arial" w:cs="Arial"/>
        </w:rPr>
      </w:pPr>
    </w:p>
    <w:p w14:paraId="07856182" w14:textId="77777777" w:rsidR="006345F6" w:rsidRDefault="006345F6" w:rsidP="00973051">
      <w:pPr>
        <w:spacing w:line="360" w:lineRule="auto"/>
        <w:rPr>
          <w:rFonts w:ascii="Arial" w:hAnsi="Arial" w:cs="Arial"/>
        </w:rPr>
      </w:pPr>
    </w:p>
    <w:p w14:paraId="79900641" w14:textId="77777777" w:rsidR="006345F6" w:rsidRDefault="006345F6" w:rsidP="00973051">
      <w:pPr>
        <w:spacing w:line="360" w:lineRule="auto"/>
        <w:rPr>
          <w:rFonts w:ascii="Arial" w:hAnsi="Arial" w:cs="Arial"/>
        </w:rPr>
      </w:pPr>
    </w:p>
    <w:p w14:paraId="0F95A9FE" w14:textId="77777777" w:rsidR="006345F6" w:rsidRDefault="006345F6" w:rsidP="00973051">
      <w:pPr>
        <w:spacing w:line="360" w:lineRule="auto"/>
        <w:rPr>
          <w:rFonts w:ascii="Arial" w:hAnsi="Arial" w:cs="Arial"/>
        </w:rPr>
      </w:pPr>
    </w:p>
    <w:p w14:paraId="55D34AEE" w14:textId="77777777" w:rsidR="006345F6" w:rsidRDefault="006345F6" w:rsidP="00973051">
      <w:pPr>
        <w:spacing w:line="360" w:lineRule="auto"/>
        <w:rPr>
          <w:rFonts w:ascii="Arial" w:hAnsi="Arial" w:cs="Arial"/>
        </w:rPr>
      </w:pPr>
    </w:p>
    <w:p w14:paraId="4902052D" w14:textId="77777777" w:rsidR="006345F6" w:rsidRDefault="006345F6" w:rsidP="00973051">
      <w:pPr>
        <w:spacing w:line="360" w:lineRule="auto"/>
        <w:rPr>
          <w:rFonts w:ascii="Arial" w:hAnsi="Arial" w:cs="Arial"/>
        </w:rPr>
      </w:pPr>
    </w:p>
    <w:p w14:paraId="6348BC48" w14:textId="77777777" w:rsidR="006345F6" w:rsidRDefault="006345F6" w:rsidP="00973051">
      <w:pPr>
        <w:spacing w:line="360" w:lineRule="auto"/>
        <w:rPr>
          <w:rFonts w:ascii="Arial" w:hAnsi="Arial" w:cs="Arial"/>
        </w:rPr>
      </w:pPr>
    </w:p>
    <w:p w14:paraId="6432A9A5" w14:textId="77777777" w:rsidR="006345F6" w:rsidRDefault="006345F6" w:rsidP="00973051">
      <w:pPr>
        <w:spacing w:line="360" w:lineRule="auto"/>
        <w:rPr>
          <w:rFonts w:ascii="Arial" w:hAnsi="Arial" w:cs="Arial"/>
        </w:rPr>
      </w:pPr>
    </w:p>
    <w:p w14:paraId="3973312F" w14:textId="77777777" w:rsidR="006345F6" w:rsidRDefault="006345F6" w:rsidP="00973051">
      <w:pPr>
        <w:spacing w:line="360" w:lineRule="auto"/>
        <w:rPr>
          <w:rFonts w:ascii="Arial" w:hAnsi="Arial" w:cs="Arial"/>
        </w:rPr>
      </w:pPr>
    </w:p>
    <w:p w14:paraId="1BD7648F" w14:textId="77777777" w:rsidR="006345F6" w:rsidRDefault="006345F6" w:rsidP="00973051">
      <w:pPr>
        <w:spacing w:line="360" w:lineRule="auto"/>
        <w:rPr>
          <w:rFonts w:ascii="Arial" w:hAnsi="Arial" w:cs="Arial"/>
        </w:rPr>
      </w:pPr>
    </w:p>
    <w:p w14:paraId="3891E8D7" w14:textId="744F7E35" w:rsidR="00D90272" w:rsidRPr="00973051" w:rsidRDefault="45D98601" w:rsidP="00973051">
      <w:pPr>
        <w:spacing w:line="360" w:lineRule="auto"/>
        <w:rPr>
          <w:rFonts w:ascii="Arial" w:hAnsi="Arial" w:cs="Arial"/>
        </w:rPr>
      </w:pPr>
      <w:r w:rsidRPr="00973051">
        <w:rPr>
          <w:rFonts w:ascii="Arial" w:hAnsi="Arial" w:cs="Arial"/>
        </w:rPr>
        <w:t>Problems</w:t>
      </w:r>
      <w:r w:rsidR="00D90272" w:rsidRPr="00973051">
        <w:rPr>
          <w:rFonts w:ascii="Arial" w:hAnsi="Arial" w:cs="Arial"/>
        </w:rPr>
        <w:t xml:space="preserve"> and Challenges in Applying the Concept</w:t>
      </w:r>
    </w:p>
    <w:p w14:paraId="1E3CF7A1" w14:textId="2AFEB43A" w:rsidR="00D90272" w:rsidRPr="00973051" w:rsidRDefault="47061D16" w:rsidP="00973051">
      <w:pPr>
        <w:spacing w:before="240" w:after="240" w:line="360" w:lineRule="auto"/>
        <w:rPr>
          <w:rFonts w:ascii="Arial" w:hAnsi="Arial" w:cs="Arial"/>
        </w:rPr>
      </w:pPr>
      <w:r w:rsidRPr="00973051">
        <w:rPr>
          <w:rFonts w:ascii="Arial" w:eastAsia="Arial" w:hAnsi="Arial" w:cs="Arial"/>
        </w:rPr>
        <w:t>Despite significant advancements in integrating person-centred principles into UK dementia policy, several ongoing challenges still hinder the consistent realisation of these ideals in practice. These challenges stem from systemic constraints, organisational cultures, and enduring inequalities that affect the daily experiences of individuals living with dementia and their caregivers.</w:t>
      </w:r>
      <w:r w:rsidR="1B5B37BB" w:rsidRPr="00973051">
        <w:rPr>
          <w:rFonts w:ascii="Arial" w:eastAsia="Arial" w:hAnsi="Arial" w:cs="Arial"/>
        </w:rPr>
        <w:t xml:space="preserve"> </w:t>
      </w:r>
      <w:r w:rsidR="77E40BB8" w:rsidRPr="00973051">
        <w:rPr>
          <w:rFonts w:ascii="Arial" w:eastAsia="Arial" w:hAnsi="Arial" w:cs="Arial"/>
        </w:rPr>
        <w:t>A major barrier is the persistent underfunding of health and social care services. Over the past decade, social care budgets have declined in real terms, leaving local authorities struggling to meet rising demand (Brimblecombe et al., 2018). Financial pressures have led to reduced staffing levels and high turnover, which significantly limit practitioners’ capacity to engage in relational, person-centred work. Instead, staff are often compelled to adopt task-</w:t>
      </w:r>
      <w:r w:rsidR="040D7E18" w:rsidRPr="00973051">
        <w:rPr>
          <w:rFonts w:ascii="Arial" w:eastAsia="Arial" w:hAnsi="Arial" w:cs="Arial"/>
        </w:rPr>
        <w:t>orien</w:t>
      </w:r>
      <w:r w:rsidR="0E7040F6" w:rsidRPr="00973051">
        <w:rPr>
          <w:rFonts w:ascii="Arial" w:eastAsia="Arial" w:hAnsi="Arial" w:cs="Arial"/>
        </w:rPr>
        <w:t>ta</w:t>
      </w:r>
      <w:r w:rsidR="040D7E18" w:rsidRPr="00973051">
        <w:rPr>
          <w:rFonts w:ascii="Arial" w:eastAsia="Arial" w:hAnsi="Arial" w:cs="Arial"/>
        </w:rPr>
        <w:t>ted</w:t>
      </w:r>
      <w:r w:rsidR="77E40BB8" w:rsidRPr="00973051">
        <w:rPr>
          <w:rFonts w:ascii="Arial" w:eastAsia="Arial" w:hAnsi="Arial" w:cs="Arial"/>
        </w:rPr>
        <w:t xml:space="preserve"> routines driven by efficiency demands rather than the individual needs, histories, and preferences of those they support.</w:t>
      </w:r>
      <w:r w:rsidR="76FC13BB" w:rsidRPr="00973051">
        <w:rPr>
          <w:rFonts w:ascii="Arial" w:eastAsia="Arial" w:hAnsi="Arial" w:cs="Arial"/>
        </w:rPr>
        <w:t xml:space="preserve"> </w:t>
      </w:r>
      <w:r w:rsidR="77E40BB8" w:rsidRPr="00973051">
        <w:rPr>
          <w:rFonts w:ascii="Arial" w:eastAsia="Arial" w:hAnsi="Arial" w:cs="Arial"/>
        </w:rPr>
        <w:t>Alongside financial constraints, there is considerable variability in the availability and quality of dementia services across the country. While some regions have developed robust post-diagnostic pathways and specialist community provision, others experience significant gaps, relying heavily on overstretched voluntary organisations. This geographical inequality means that access to high-quality, personalised support remains uneven, undermining the universal aspirations of national policy directives.</w:t>
      </w:r>
      <w:r w:rsidR="2E69FA83" w:rsidRPr="00973051">
        <w:rPr>
          <w:rFonts w:ascii="Arial" w:eastAsia="Arial" w:hAnsi="Arial" w:cs="Arial"/>
        </w:rPr>
        <w:t xml:space="preserve"> However, o</w:t>
      </w:r>
      <w:r w:rsidR="040D7E18" w:rsidRPr="00973051">
        <w:rPr>
          <w:rFonts w:ascii="Arial" w:eastAsia="Arial" w:hAnsi="Arial" w:cs="Arial"/>
        </w:rPr>
        <w:t>rganisational</w:t>
      </w:r>
      <w:r w:rsidR="77E40BB8" w:rsidRPr="00973051">
        <w:rPr>
          <w:rFonts w:ascii="Arial" w:eastAsia="Arial" w:hAnsi="Arial" w:cs="Arial"/>
        </w:rPr>
        <w:t xml:space="preserve"> cultures also pose challenges. Many hospitals, care homes, and community services operate under regulatory frameworks that place significant emphasis on safeguarding, risk management, and the delivery of measurable outputs. As Graham (2017) notes, such risk-averse cultures can inadvertently restrict autonomy and creativity in care, prioritising institutional efficiency over relational engagement. This creates tensions between organisational imperatives and the ethos of person-centred dementia care, which values flexibility, individuality, and shared decision-making.</w:t>
      </w:r>
      <w:r w:rsidR="61DAF3A9" w:rsidRPr="00973051">
        <w:rPr>
          <w:rFonts w:ascii="Arial" w:eastAsia="Arial" w:hAnsi="Arial" w:cs="Arial"/>
        </w:rPr>
        <w:t xml:space="preserve"> </w:t>
      </w:r>
      <w:r w:rsidR="77E40BB8" w:rsidRPr="00973051">
        <w:rPr>
          <w:rFonts w:ascii="Arial" w:eastAsia="Arial" w:hAnsi="Arial" w:cs="Arial"/>
        </w:rPr>
        <w:t>Furthermore, the diverse needs of the UK population are not always adequately addressed within dementia services. People from minority ethnic communities, LGBTQ+ groups, and socio-economically disadvantaged backgrounds frequently encounter barriers related to stigma, cultural misunderstanding, and communication (O’Connor et al., 2018). These challenges can delay diagnosis, reduce engagement with services, and limit access to culturally sensitive, person-centred support. Without targeted strategies to address these inequities, person-centred care risks becoming a universal ideal that is not universally achieved.</w:t>
      </w:r>
      <w:r w:rsidR="20796F72" w:rsidRPr="00973051">
        <w:rPr>
          <w:rFonts w:ascii="Arial" w:eastAsia="Arial" w:hAnsi="Arial" w:cs="Arial"/>
        </w:rPr>
        <w:t xml:space="preserve"> </w:t>
      </w:r>
      <w:r w:rsidR="77E40BB8" w:rsidRPr="00973051">
        <w:rPr>
          <w:rFonts w:ascii="Arial" w:eastAsia="Arial" w:hAnsi="Arial" w:cs="Arial"/>
        </w:rPr>
        <w:t>Family carers face parallel challenges. They provide a substantial proportion of dementia support, yet many experience significant burden due to insufficient respite, limited financial support, and inadequate training. While person-centred policies often assume strong family networks capable of sustaining care, this assumption does not always reflect reality. Carers may be socially isolated, financially constrained, or themselves in poor health, making it difficult for them to provide the level of support expected by policy frameworks.</w:t>
      </w:r>
      <w:r w:rsidR="35ED67C7" w:rsidRPr="00973051">
        <w:rPr>
          <w:rFonts w:ascii="Arial" w:eastAsia="Arial" w:hAnsi="Arial" w:cs="Arial"/>
        </w:rPr>
        <w:t xml:space="preserve"> </w:t>
      </w:r>
      <w:r w:rsidR="77E40BB8" w:rsidRPr="00973051">
        <w:rPr>
          <w:rFonts w:ascii="Arial" w:eastAsia="Arial" w:hAnsi="Arial" w:cs="Arial"/>
        </w:rPr>
        <w:t>Overall, these challenges underscore the complexity of translating person-centred dementia policy into practice. Without addressing structural inequalities, resource constraints, organisational cultures, and unmet carer needs, the full potential of person-centred care cannot be realised.</w:t>
      </w:r>
    </w:p>
    <w:p w14:paraId="509E4231" w14:textId="143AD033" w:rsidR="00D90272" w:rsidRPr="00973051" w:rsidRDefault="00D90272" w:rsidP="00973051">
      <w:pPr>
        <w:spacing w:line="360" w:lineRule="auto"/>
        <w:rPr>
          <w:rFonts w:ascii="Arial" w:hAnsi="Arial" w:cs="Arial"/>
        </w:rPr>
      </w:pPr>
    </w:p>
    <w:p w14:paraId="1374C3CD" w14:textId="77777777" w:rsidR="0070483A" w:rsidRPr="00973051" w:rsidRDefault="0070483A" w:rsidP="00973051">
      <w:pPr>
        <w:spacing w:line="360" w:lineRule="auto"/>
        <w:rPr>
          <w:rFonts w:ascii="Arial" w:hAnsi="Arial" w:cs="Arial"/>
        </w:rPr>
      </w:pPr>
    </w:p>
    <w:p w14:paraId="65F8795E" w14:textId="77777777" w:rsidR="0070483A" w:rsidRPr="00973051" w:rsidRDefault="0070483A" w:rsidP="00973051">
      <w:pPr>
        <w:spacing w:line="360" w:lineRule="auto"/>
        <w:rPr>
          <w:rFonts w:ascii="Arial" w:hAnsi="Arial" w:cs="Arial"/>
        </w:rPr>
      </w:pPr>
    </w:p>
    <w:p w14:paraId="3D4EAA9F" w14:textId="77777777" w:rsidR="0070483A" w:rsidRPr="00973051" w:rsidRDefault="0070483A" w:rsidP="00973051">
      <w:pPr>
        <w:spacing w:line="360" w:lineRule="auto"/>
        <w:rPr>
          <w:rFonts w:ascii="Arial" w:hAnsi="Arial" w:cs="Arial"/>
        </w:rPr>
      </w:pPr>
    </w:p>
    <w:p w14:paraId="041CB117" w14:textId="77777777" w:rsidR="007575CD" w:rsidRDefault="007575CD" w:rsidP="00973051">
      <w:pPr>
        <w:spacing w:line="360" w:lineRule="auto"/>
        <w:rPr>
          <w:rFonts w:ascii="Arial" w:hAnsi="Arial" w:cs="Arial"/>
        </w:rPr>
      </w:pPr>
    </w:p>
    <w:p w14:paraId="17E49648" w14:textId="77777777" w:rsidR="006E29FA" w:rsidRDefault="006E29FA" w:rsidP="00973051">
      <w:pPr>
        <w:spacing w:line="360" w:lineRule="auto"/>
        <w:rPr>
          <w:rFonts w:ascii="Arial" w:hAnsi="Arial" w:cs="Arial"/>
        </w:rPr>
      </w:pPr>
    </w:p>
    <w:p w14:paraId="3E3B028F" w14:textId="77777777" w:rsidR="006345F6" w:rsidRDefault="006345F6" w:rsidP="00973051">
      <w:pPr>
        <w:spacing w:line="360" w:lineRule="auto"/>
        <w:rPr>
          <w:rFonts w:ascii="Arial" w:hAnsi="Arial" w:cs="Arial"/>
        </w:rPr>
      </w:pPr>
    </w:p>
    <w:p w14:paraId="7995616E" w14:textId="77777777" w:rsidR="006345F6" w:rsidRDefault="006345F6" w:rsidP="00973051">
      <w:pPr>
        <w:spacing w:line="360" w:lineRule="auto"/>
        <w:rPr>
          <w:rFonts w:ascii="Arial" w:hAnsi="Arial" w:cs="Arial"/>
        </w:rPr>
      </w:pPr>
    </w:p>
    <w:p w14:paraId="7059F18F" w14:textId="77777777" w:rsidR="006345F6" w:rsidRDefault="006345F6" w:rsidP="00973051">
      <w:pPr>
        <w:spacing w:line="360" w:lineRule="auto"/>
        <w:rPr>
          <w:rFonts w:ascii="Arial" w:hAnsi="Arial" w:cs="Arial"/>
        </w:rPr>
      </w:pPr>
    </w:p>
    <w:p w14:paraId="3678A11E" w14:textId="77777777" w:rsidR="00E679AD" w:rsidRDefault="00E679AD" w:rsidP="00973051">
      <w:pPr>
        <w:spacing w:line="360" w:lineRule="auto"/>
        <w:rPr>
          <w:rFonts w:ascii="Arial" w:hAnsi="Arial" w:cs="Arial"/>
        </w:rPr>
      </w:pPr>
    </w:p>
    <w:p w14:paraId="7267CFE1" w14:textId="77777777" w:rsidR="00E679AD" w:rsidRDefault="00E679AD" w:rsidP="00973051">
      <w:pPr>
        <w:spacing w:line="360" w:lineRule="auto"/>
        <w:rPr>
          <w:rFonts w:ascii="Arial" w:hAnsi="Arial" w:cs="Arial"/>
        </w:rPr>
      </w:pPr>
    </w:p>
    <w:p w14:paraId="4ECDFD95" w14:textId="77777777" w:rsidR="00E679AD" w:rsidRDefault="00E679AD" w:rsidP="00973051">
      <w:pPr>
        <w:spacing w:line="360" w:lineRule="auto"/>
        <w:rPr>
          <w:rFonts w:ascii="Arial" w:hAnsi="Arial" w:cs="Arial"/>
        </w:rPr>
      </w:pPr>
    </w:p>
    <w:p w14:paraId="6537A4C2" w14:textId="77777777" w:rsidR="00E679AD" w:rsidRDefault="00E679AD" w:rsidP="00973051">
      <w:pPr>
        <w:spacing w:line="360" w:lineRule="auto"/>
        <w:rPr>
          <w:rFonts w:ascii="Arial" w:hAnsi="Arial" w:cs="Arial"/>
        </w:rPr>
      </w:pPr>
    </w:p>
    <w:p w14:paraId="1BCECD36" w14:textId="77777777" w:rsidR="00E679AD" w:rsidRDefault="00E679AD" w:rsidP="00973051">
      <w:pPr>
        <w:spacing w:line="360" w:lineRule="auto"/>
        <w:rPr>
          <w:rFonts w:ascii="Arial" w:hAnsi="Arial" w:cs="Arial"/>
        </w:rPr>
      </w:pPr>
    </w:p>
    <w:p w14:paraId="7FF9218C" w14:textId="77777777" w:rsidR="00E679AD" w:rsidRDefault="00E679AD" w:rsidP="00973051">
      <w:pPr>
        <w:spacing w:line="360" w:lineRule="auto"/>
        <w:rPr>
          <w:rFonts w:ascii="Arial" w:hAnsi="Arial" w:cs="Arial"/>
        </w:rPr>
      </w:pPr>
    </w:p>
    <w:p w14:paraId="08D22D4A" w14:textId="77777777" w:rsidR="00E679AD" w:rsidRDefault="00E679AD" w:rsidP="00973051">
      <w:pPr>
        <w:spacing w:line="360" w:lineRule="auto"/>
        <w:rPr>
          <w:rFonts w:ascii="Arial" w:hAnsi="Arial" w:cs="Arial"/>
        </w:rPr>
      </w:pPr>
    </w:p>
    <w:p w14:paraId="26E7E75D" w14:textId="77777777" w:rsidR="00E679AD" w:rsidRDefault="00E679AD" w:rsidP="00973051">
      <w:pPr>
        <w:spacing w:line="360" w:lineRule="auto"/>
        <w:rPr>
          <w:rFonts w:ascii="Arial" w:hAnsi="Arial" w:cs="Arial"/>
        </w:rPr>
      </w:pPr>
    </w:p>
    <w:p w14:paraId="02FFE43C" w14:textId="77777777" w:rsidR="00E679AD" w:rsidRDefault="00E679AD" w:rsidP="00973051">
      <w:pPr>
        <w:spacing w:line="360" w:lineRule="auto"/>
        <w:rPr>
          <w:rFonts w:ascii="Arial" w:hAnsi="Arial" w:cs="Arial"/>
        </w:rPr>
      </w:pPr>
    </w:p>
    <w:p w14:paraId="0B34EEDA" w14:textId="77777777" w:rsidR="00E679AD" w:rsidRDefault="00E679AD" w:rsidP="00973051">
      <w:pPr>
        <w:spacing w:line="360" w:lineRule="auto"/>
        <w:rPr>
          <w:rFonts w:ascii="Arial" w:hAnsi="Arial" w:cs="Arial"/>
        </w:rPr>
      </w:pPr>
    </w:p>
    <w:p w14:paraId="27E64727" w14:textId="77777777" w:rsidR="00E679AD" w:rsidRDefault="00E679AD" w:rsidP="00973051">
      <w:pPr>
        <w:spacing w:line="360" w:lineRule="auto"/>
        <w:rPr>
          <w:rFonts w:ascii="Arial" w:hAnsi="Arial" w:cs="Arial"/>
        </w:rPr>
      </w:pPr>
    </w:p>
    <w:p w14:paraId="016C21BA" w14:textId="77777777" w:rsidR="00E679AD" w:rsidRDefault="00E679AD" w:rsidP="00973051">
      <w:pPr>
        <w:spacing w:line="360" w:lineRule="auto"/>
        <w:rPr>
          <w:rFonts w:ascii="Arial" w:hAnsi="Arial" w:cs="Arial"/>
        </w:rPr>
      </w:pPr>
    </w:p>
    <w:p w14:paraId="1261F132" w14:textId="77777777" w:rsidR="00E679AD" w:rsidRDefault="00E679AD" w:rsidP="00973051">
      <w:pPr>
        <w:spacing w:line="360" w:lineRule="auto"/>
        <w:rPr>
          <w:rFonts w:ascii="Arial" w:hAnsi="Arial" w:cs="Arial"/>
        </w:rPr>
      </w:pPr>
    </w:p>
    <w:p w14:paraId="7952B7C0" w14:textId="2C56A0C2" w:rsidR="00D90272" w:rsidRPr="00973051" w:rsidRDefault="00D90272" w:rsidP="00973051">
      <w:pPr>
        <w:spacing w:line="360" w:lineRule="auto"/>
        <w:rPr>
          <w:rFonts w:ascii="Arial" w:hAnsi="Arial" w:cs="Arial"/>
        </w:rPr>
      </w:pPr>
      <w:r w:rsidRPr="00973051">
        <w:rPr>
          <w:rFonts w:ascii="Arial" w:hAnsi="Arial" w:cs="Arial"/>
        </w:rPr>
        <w:t>Recommendations for Policy and Practice</w:t>
      </w:r>
    </w:p>
    <w:p w14:paraId="4B36028A" w14:textId="5F656CB0" w:rsidR="5AC7FC5B" w:rsidRPr="00973051" w:rsidRDefault="5AC7FC5B" w:rsidP="00973051">
      <w:pPr>
        <w:spacing w:before="240" w:after="240" w:line="360" w:lineRule="auto"/>
        <w:rPr>
          <w:rFonts w:ascii="Arial" w:hAnsi="Arial" w:cs="Arial"/>
        </w:rPr>
      </w:pPr>
      <w:r w:rsidRPr="00973051">
        <w:rPr>
          <w:rFonts w:ascii="Arial" w:eastAsia="Arial" w:hAnsi="Arial" w:cs="Arial"/>
        </w:rPr>
        <w:t xml:space="preserve">Addressing the persistent challenges in delivering person-centred dementia care requires a strategic and multi-dimensional approach. </w:t>
      </w:r>
      <w:r w:rsidR="00B32A9E" w:rsidRPr="00973051">
        <w:rPr>
          <w:rFonts w:ascii="Arial" w:eastAsia="Arial" w:hAnsi="Arial" w:cs="Arial"/>
        </w:rPr>
        <w:t>Several</w:t>
      </w:r>
      <w:r w:rsidRPr="00973051">
        <w:rPr>
          <w:rFonts w:ascii="Arial" w:eastAsia="Arial" w:hAnsi="Arial" w:cs="Arial"/>
        </w:rPr>
        <w:t xml:space="preserve"> improvements, grounded in policy, practice, and organisational reform, have the potential to advance the quality and equity of dementia support across the UK.</w:t>
      </w:r>
      <w:r w:rsidR="7D011CBB" w:rsidRPr="00973051">
        <w:rPr>
          <w:rFonts w:ascii="Arial" w:eastAsia="Arial" w:hAnsi="Arial" w:cs="Arial"/>
        </w:rPr>
        <w:t xml:space="preserve"> </w:t>
      </w:r>
      <w:r w:rsidRPr="00973051">
        <w:rPr>
          <w:rFonts w:ascii="Arial" w:eastAsia="Arial" w:hAnsi="Arial" w:cs="Arial"/>
        </w:rPr>
        <w:t>First, increasing investment in dementia services and social care is fundamental. Adequate and sustainable funding is essential to ensure sufficient staffing levels, provide comprehensive training, and deliver personalised interventions. Current funding models frequently rely on informal carers and contribute to regional disparities in access; therefore, reformed investment strategies must prioritise equity and reduce the financial burden placed on families.</w:t>
      </w:r>
      <w:r w:rsidR="00DC50DF" w:rsidRPr="00973051">
        <w:rPr>
          <w:rFonts w:ascii="Arial" w:eastAsia="Arial" w:hAnsi="Arial" w:cs="Arial"/>
        </w:rPr>
        <w:t xml:space="preserve"> </w:t>
      </w:r>
      <w:r w:rsidRPr="00973051">
        <w:rPr>
          <w:rFonts w:ascii="Arial" w:eastAsia="Arial" w:hAnsi="Arial" w:cs="Arial"/>
        </w:rPr>
        <w:t>A strengthened and well-supported workforce is equally crucial. Mandatory dementia-specific training should not only develop clinical knowledge but also emphasise person-centred communication, rights-based approaches, cultural competence, and reflective practice. Additionally, leadership development programmes are necessary to foster organisational cultures that promote autonomy, empathy, and relational care, counteracting the prevailing task-orien</w:t>
      </w:r>
      <w:r w:rsidR="7AA0836B" w:rsidRPr="00973051">
        <w:rPr>
          <w:rFonts w:ascii="Arial" w:eastAsia="Arial" w:hAnsi="Arial" w:cs="Arial"/>
        </w:rPr>
        <w:t>ta</w:t>
      </w:r>
      <w:r w:rsidRPr="00973051">
        <w:rPr>
          <w:rFonts w:ascii="Arial" w:eastAsia="Arial" w:hAnsi="Arial" w:cs="Arial"/>
        </w:rPr>
        <w:t>ted and risk-averse tendencies.</w:t>
      </w:r>
      <w:r w:rsidR="0BC1E429" w:rsidRPr="00973051">
        <w:rPr>
          <w:rFonts w:ascii="Arial" w:eastAsia="Arial" w:hAnsi="Arial" w:cs="Arial"/>
        </w:rPr>
        <w:t xml:space="preserve"> </w:t>
      </w:r>
      <w:r w:rsidRPr="00973051">
        <w:rPr>
          <w:rFonts w:ascii="Arial" w:eastAsia="Arial" w:hAnsi="Arial" w:cs="Arial"/>
        </w:rPr>
        <w:t>Improving integration across health and social care services represents another essential step. Integrated Care Systems have the potential to support seamless dementia pathways by enhancing coordination between primary care, memory clinics, hospital services, community mental health teams, and social care providers. The adoption of shared digital records would further facilitate communication and continuity, ensuring that individuals do not experience fragmented or duplicative services.</w:t>
      </w:r>
      <w:r w:rsidR="23319037" w:rsidRPr="00973051">
        <w:rPr>
          <w:rFonts w:ascii="Arial" w:eastAsia="Arial" w:hAnsi="Arial" w:cs="Arial"/>
        </w:rPr>
        <w:t xml:space="preserve"> </w:t>
      </w:r>
      <w:r w:rsidRPr="00973051">
        <w:rPr>
          <w:rFonts w:ascii="Arial" w:eastAsia="Arial" w:hAnsi="Arial" w:cs="Arial"/>
        </w:rPr>
        <w:t>Enhancing support for family carers is also vital. Carers play a central role in dementia support, yet their needs are often overlooked. Policies should therefore ensure access to financial assistance, flexible working arrangements, high-quality respite services, and psychological support. Importantly, carer involvement must be conceptualised as a partnership rather than an assumed obligation, recognising carers’ autonomy and varying capacities.</w:t>
      </w:r>
      <w:r w:rsidR="14AA11AA" w:rsidRPr="00973051">
        <w:rPr>
          <w:rFonts w:ascii="Arial" w:eastAsia="Arial" w:hAnsi="Arial" w:cs="Arial"/>
        </w:rPr>
        <w:t xml:space="preserve"> </w:t>
      </w:r>
      <w:r w:rsidRPr="00973051">
        <w:rPr>
          <w:rFonts w:ascii="Arial" w:eastAsia="Arial" w:hAnsi="Arial" w:cs="Arial"/>
        </w:rPr>
        <w:t>In addition, dementia services must become more culturally inclusive and anti-discriminatory. Co-produced interventions with minority ethnic groups, LGBTQ+ communities, and socio-economically disadvantaged populations can ensure that support is relevant and accessible. Strategies such as offering interpretation services, recruiting a culturally diverse workforce, and designing personalised care that respects cultural values are necessary for achieving genuinely inclusive person-centred care.</w:t>
      </w:r>
      <w:r w:rsidR="1D1CCA59" w:rsidRPr="00973051">
        <w:rPr>
          <w:rFonts w:ascii="Arial" w:eastAsia="Arial" w:hAnsi="Arial" w:cs="Arial"/>
        </w:rPr>
        <w:t xml:space="preserve"> </w:t>
      </w:r>
      <w:r w:rsidRPr="00973051">
        <w:rPr>
          <w:rFonts w:ascii="Arial" w:eastAsia="Arial" w:hAnsi="Arial" w:cs="Arial"/>
        </w:rPr>
        <w:t>Finally, regulation must reinforce person-centred principles. The Care Quality Commission (CQC) should expand its assessment frameworks to evaluate relational care quality, autonomy, dignity, and lived experience, rather than focusing predominantly on safety and compliance metrics. Embedding person-centred outcomes into regulatory standards would send a powerful signal regarding what high-quality dementia care should entail and promote consistency across services.</w:t>
      </w:r>
      <w:r w:rsidR="394EAF93" w:rsidRPr="00973051">
        <w:rPr>
          <w:rFonts w:ascii="Arial" w:eastAsia="Arial" w:hAnsi="Arial" w:cs="Arial"/>
        </w:rPr>
        <w:t xml:space="preserve"> </w:t>
      </w:r>
      <w:r w:rsidRPr="00973051">
        <w:rPr>
          <w:rFonts w:ascii="Arial" w:eastAsia="Arial" w:hAnsi="Arial" w:cs="Arial"/>
        </w:rPr>
        <w:t>Collectively, these improvements highlight the need for a coordinated, well-resourced, and equity-driven approach to dementia care. By addressing these areas, the health and social care system can move closer to realising the full potential of person-centred practice for individuals living with dementia and their carers.</w:t>
      </w:r>
    </w:p>
    <w:p w14:paraId="76996FC3" w14:textId="4768FC8F" w:rsidR="6BDF2B13" w:rsidRPr="00973051" w:rsidRDefault="6BDF2B13" w:rsidP="00973051">
      <w:pPr>
        <w:spacing w:line="360" w:lineRule="auto"/>
        <w:rPr>
          <w:rFonts w:ascii="Arial" w:hAnsi="Arial" w:cs="Arial"/>
        </w:rPr>
      </w:pPr>
    </w:p>
    <w:p w14:paraId="43F5B841" w14:textId="77777777" w:rsidR="005F474A" w:rsidRPr="00973051" w:rsidRDefault="005F474A" w:rsidP="00973051">
      <w:pPr>
        <w:spacing w:line="360" w:lineRule="auto"/>
        <w:rPr>
          <w:rFonts w:ascii="Arial" w:hAnsi="Arial" w:cs="Arial"/>
        </w:rPr>
      </w:pPr>
    </w:p>
    <w:p w14:paraId="59D02352" w14:textId="77777777" w:rsidR="005F474A" w:rsidRPr="00973051" w:rsidRDefault="005F474A" w:rsidP="00973051">
      <w:pPr>
        <w:spacing w:line="360" w:lineRule="auto"/>
        <w:rPr>
          <w:rFonts w:ascii="Arial" w:hAnsi="Arial" w:cs="Arial"/>
        </w:rPr>
      </w:pPr>
    </w:p>
    <w:p w14:paraId="7A3C7E56" w14:textId="77777777" w:rsidR="005F474A" w:rsidRPr="00973051" w:rsidRDefault="005F474A" w:rsidP="00973051">
      <w:pPr>
        <w:spacing w:line="360" w:lineRule="auto"/>
        <w:rPr>
          <w:rFonts w:ascii="Arial" w:hAnsi="Arial" w:cs="Arial"/>
        </w:rPr>
      </w:pPr>
    </w:p>
    <w:p w14:paraId="55C2F0AB" w14:textId="77777777" w:rsidR="007575CD" w:rsidRDefault="007575CD" w:rsidP="00973051">
      <w:pPr>
        <w:spacing w:line="360" w:lineRule="auto"/>
        <w:rPr>
          <w:rFonts w:ascii="Arial" w:hAnsi="Arial" w:cs="Arial"/>
        </w:rPr>
      </w:pPr>
    </w:p>
    <w:p w14:paraId="01B31946" w14:textId="77777777" w:rsidR="007575CD" w:rsidRDefault="007575CD" w:rsidP="00973051">
      <w:pPr>
        <w:spacing w:line="360" w:lineRule="auto"/>
        <w:rPr>
          <w:rFonts w:ascii="Arial" w:hAnsi="Arial" w:cs="Arial"/>
        </w:rPr>
      </w:pPr>
    </w:p>
    <w:p w14:paraId="18629762" w14:textId="77777777" w:rsidR="007575CD" w:rsidRDefault="007575CD" w:rsidP="00973051">
      <w:pPr>
        <w:spacing w:line="360" w:lineRule="auto"/>
        <w:rPr>
          <w:rFonts w:ascii="Arial" w:hAnsi="Arial" w:cs="Arial"/>
        </w:rPr>
      </w:pPr>
    </w:p>
    <w:p w14:paraId="1DEB87AE" w14:textId="77777777" w:rsidR="007575CD" w:rsidRDefault="007575CD" w:rsidP="00973051">
      <w:pPr>
        <w:spacing w:line="360" w:lineRule="auto"/>
        <w:rPr>
          <w:rFonts w:ascii="Arial" w:hAnsi="Arial" w:cs="Arial"/>
        </w:rPr>
      </w:pPr>
    </w:p>
    <w:p w14:paraId="550509EB" w14:textId="77777777" w:rsidR="007575CD" w:rsidRDefault="007575CD" w:rsidP="00973051">
      <w:pPr>
        <w:spacing w:line="360" w:lineRule="auto"/>
        <w:rPr>
          <w:rFonts w:ascii="Arial" w:hAnsi="Arial" w:cs="Arial"/>
        </w:rPr>
      </w:pPr>
    </w:p>
    <w:p w14:paraId="4C8AB439" w14:textId="77777777" w:rsidR="007575CD" w:rsidRDefault="007575CD" w:rsidP="00973051">
      <w:pPr>
        <w:spacing w:line="360" w:lineRule="auto"/>
        <w:rPr>
          <w:rFonts w:ascii="Arial" w:hAnsi="Arial" w:cs="Arial"/>
        </w:rPr>
      </w:pPr>
    </w:p>
    <w:p w14:paraId="68FDC660" w14:textId="77777777" w:rsidR="007575CD" w:rsidRDefault="007575CD" w:rsidP="00973051">
      <w:pPr>
        <w:spacing w:line="360" w:lineRule="auto"/>
        <w:rPr>
          <w:rFonts w:ascii="Arial" w:hAnsi="Arial" w:cs="Arial"/>
        </w:rPr>
      </w:pPr>
    </w:p>
    <w:p w14:paraId="080F58BE" w14:textId="77777777" w:rsidR="007575CD" w:rsidRDefault="007575CD" w:rsidP="00973051">
      <w:pPr>
        <w:spacing w:line="360" w:lineRule="auto"/>
        <w:rPr>
          <w:rFonts w:ascii="Arial" w:hAnsi="Arial" w:cs="Arial"/>
        </w:rPr>
      </w:pPr>
    </w:p>
    <w:p w14:paraId="66A3C888" w14:textId="77777777" w:rsidR="007575CD" w:rsidRDefault="007575CD" w:rsidP="00973051">
      <w:pPr>
        <w:spacing w:line="360" w:lineRule="auto"/>
        <w:rPr>
          <w:rFonts w:ascii="Arial" w:hAnsi="Arial" w:cs="Arial"/>
        </w:rPr>
      </w:pPr>
    </w:p>
    <w:p w14:paraId="2002245A" w14:textId="77777777" w:rsidR="007575CD" w:rsidRDefault="007575CD" w:rsidP="00973051">
      <w:pPr>
        <w:spacing w:line="360" w:lineRule="auto"/>
        <w:rPr>
          <w:rFonts w:ascii="Arial" w:hAnsi="Arial" w:cs="Arial"/>
        </w:rPr>
      </w:pPr>
    </w:p>
    <w:p w14:paraId="6B1B4515" w14:textId="77777777" w:rsidR="007575CD" w:rsidRDefault="007575CD" w:rsidP="00973051">
      <w:pPr>
        <w:spacing w:line="360" w:lineRule="auto"/>
        <w:rPr>
          <w:rFonts w:ascii="Arial" w:hAnsi="Arial" w:cs="Arial"/>
        </w:rPr>
      </w:pPr>
    </w:p>
    <w:p w14:paraId="08757710" w14:textId="77777777" w:rsidR="007575CD" w:rsidRDefault="007575CD" w:rsidP="00973051">
      <w:pPr>
        <w:spacing w:line="360" w:lineRule="auto"/>
        <w:rPr>
          <w:rFonts w:ascii="Arial" w:hAnsi="Arial" w:cs="Arial"/>
        </w:rPr>
      </w:pPr>
    </w:p>
    <w:p w14:paraId="558473DA" w14:textId="77777777" w:rsidR="007575CD" w:rsidRDefault="007575CD" w:rsidP="00973051">
      <w:pPr>
        <w:spacing w:line="360" w:lineRule="auto"/>
        <w:rPr>
          <w:rFonts w:ascii="Arial" w:hAnsi="Arial" w:cs="Arial"/>
        </w:rPr>
      </w:pPr>
    </w:p>
    <w:p w14:paraId="79EF87C5" w14:textId="77777777" w:rsidR="007575CD" w:rsidRDefault="007575CD" w:rsidP="00973051">
      <w:pPr>
        <w:spacing w:line="360" w:lineRule="auto"/>
        <w:rPr>
          <w:rFonts w:ascii="Arial" w:hAnsi="Arial" w:cs="Arial"/>
        </w:rPr>
      </w:pPr>
    </w:p>
    <w:p w14:paraId="16A940CC" w14:textId="77777777" w:rsidR="007575CD" w:rsidRDefault="007575CD" w:rsidP="00973051">
      <w:pPr>
        <w:spacing w:line="360" w:lineRule="auto"/>
        <w:rPr>
          <w:rFonts w:ascii="Arial" w:hAnsi="Arial" w:cs="Arial"/>
        </w:rPr>
      </w:pPr>
    </w:p>
    <w:p w14:paraId="6484A570" w14:textId="77777777" w:rsidR="007575CD" w:rsidRDefault="007575CD" w:rsidP="00973051">
      <w:pPr>
        <w:spacing w:line="360" w:lineRule="auto"/>
        <w:rPr>
          <w:rFonts w:ascii="Arial" w:hAnsi="Arial" w:cs="Arial"/>
        </w:rPr>
      </w:pPr>
    </w:p>
    <w:p w14:paraId="54E3BA4B" w14:textId="77777777" w:rsidR="007575CD" w:rsidRDefault="007575CD" w:rsidP="00973051">
      <w:pPr>
        <w:spacing w:line="360" w:lineRule="auto"/>
        <w:rPr>
          <w:rFonts w:ascii="Arial" w:hAnsi="Arial" w:cs="Arial"/>
        </w:rPr>
      </w:pPr>
    </w:p>
    <w:p w14:paraId="1508AF45" w14:textId="77777777" w:rsidR="007575CD" w:rsidRDefault="007575CD" w:rsidP="00973051">
      <w:pPr>
        <w:spacing w:line="360" w:lineRule="auto"/>
        <w:rPr>
          <w:rFonts w:ascii="Arial" w:hAnsi="Arial" w:cs="Arial"/>
        </w:rPr>
      </w:pPr>
    </w:p>
    <w:p w14:paraId="72B448CF" w14:textId="20E7DE01" w:rsidR="00D90272" w:rsidRPr="00973051" w:rsidRDefault="00D90272" w:rsidP="00973051">
      <w:pPr>
        <w:spacing w:line="360" w:lineRule="auto"/>
        <w:rPr>
          <w:rFonts w:ascii="Arial" w:hAnsi="Arial" w:cs="Arial"/>
        </w:rPr>
      </w:pPr>
      <w:r w:rsidRPr="00973051">
        <w:rPr>
          <w:rFonts w:ascii="Arial" w:hAnsi="Arial" w:cs="Arial"/>
        </w:rPr>
        <w:t>Conclusion</w:t>
      </w:r>
    </w:p>
    <w:p w14:paraId="633C1220" w14:textId="3CF07877" w:rsidR="13AAB32E" w:rsidRPr="00973051" w:rsidRDefault="13AAB32E" w:rsidP="00973051">
      <w:pPr>
        <w:spacing w:line="360" w:lineRule="auto"/>
        <w:rPr>
          <w:rFonts w:ascii="Arial" w:hAnsi="Arial" w:cs="Arial"/>
        </w:rPr>
      </w:pPr>
      <w:r w:rsidRPr="00973051">
        <w:rPr>
          <w:rFonts w:ascii="Arial" w:hAnsi="Arial" w:cs="Arial"/>
        </w:rPr>
        <w:t>The</w:t>
      </w:r>
      <w:r w:rsidR="33E4B10C" w:rsidRPr="00973051">
        <w:rPr>
          <w:rFonts w:ascii="Arial" w:hAnsi="Arial" w:cs="Arial"/>
        </w:rPr>
        <w:t xml:space="preserve"> </w:t>
      </w:r>
      <w:r w:rsidR="46CD6A94" w:rsidRPr="00973051">
        <w:rPr>
          <w:rFonts w:ascii="Arial" w:hAnsi="Arial" w:cs="Arial"/>
        </w:rPr>
        <w:t>u</w:t>
      </w:r>
      <w:r w:rsidR="33E4B10C" w:rsidRPr="00973051">
        <w:rPr>
          <w:rFonts w:ascii="Arial" w:hAnsi="Arial" w:cs="Arial"/>
        </w:rPr>
        <w:t>nderstanding of dementia has undergone substantial evolution, transitioning from a limited biomedical perspective to a comprehensive</w:t>
      </w:r>
      <w:r w:rsidR="3C1EFDEC" w:rsidRPr="00973051">
        <w:rPr>
          <w:rFonts w:ascii="Arial" w:hAnsi="Arial" w:cs="Arial"/>
        </w:rPr>
        <w:t>, relational model that emphasises</w:t>
      </w:r>
      <w:r w:rsidR="33E4B10C" w:rsidRPr="00973051">
        <w:rPr>
          <w:rFonts w:ascii="Arial" w:hAnsi="Arial" w:cs="Arial"/>
        </w:rPr>
        <w:t xml:space="preserve"> personhood, dignity, and autonomy. Person-centred dementia care has significantly shaped policy and practice within the United Kingdom through national strategies, legislative frameworks, and professional standards. While there are critiques </w:t>
      </w:r>
      <w:r w:rsidR="0CBC9876" w:rsidRPr="00973051">
        <w:rPr>
          <w:rFonts w:ascii="Arial" w:hAnsi="Arial" w:cs="Arial"/>
        </w:rPr>
        <w:t>about</w:t>
      </w:r>
      <w:r w:rsidR="33E4B10C" w:rsidRPr="00973051">
        <w:rPr>
          <w:rFonts w:ascii="Arial" w:hAnsi="Arial" w:cs="Arial"/>
        </w:rPr>
        <w:t xml:space="preserve"> conceptual ambiguity, resource limitations, and the necessity for cultural responsiveness, these issues highlight crucial areas for advancement rather than diminish the inherent value of the model. Enhancing funding, workforce capacity, integration, and equitable access will enable person-centred dementia care to realise its transformative potential. Ultimately, this model remains essential for fostering ethical, compassionate, and high-quality care in the context of increasing demographic challenges and systemic pressures.</w:t>
      </w:r>
    </w:p>
    <w:p w14:paraId="28FAEFFC" w14:textId="77777777" w:rsidR="00F309E9" w:rsidRPr="00973051" w:rsidRDefault="00F309E9" w:rsidP="00973051">
      <w:pPr>
        <w:spacing w:line="360" w:lineRule="auto"/>
        <w:rPr>
          <w:rFonts w:ascii="Arial" w:hAnsi="Arial" w:cs="Arial"/>
        </w:rPr>
      </w:pPr>
    </w:p>
    <w:p w14:paraId="497983F9" w14:textId="77777777" w:rsidR="005F272D" w:rsidRPr="00973051" w:rsidRDefault="005F272D" w:rsidP="00973051">
      <w:pPr>
        <w:spacing w:line="360" w:lineRule="auto"/>
        <w:rPr>
          <w:rFonts w:ascii="Arial" w:hAnsi="Arial" w:cs="Arial"/>
        </w:rPr>
      </w:pPr>
    </w:p>
    <w:p w14:paraId="1497B0A9" w14:textId="77777777" w:rsidR="00973051" w:rsidRDefault="00973051" w:rsidP="00973051">
      <w:pPr>
        <w:spacing w:line="360" w:lineRule="auto"/>
        <w:rPr>
          <w:rFonts w:ascii="Arial" w:hAnsi="Arial" w:cs="Arial"/>
        </w:rPr>
      </w:pPr>
    </w:p>
    <w:p w14:paraId="0D5CD660" w14:textId="77777777" w:rsidR="00E573BC" w:rsidRDefault="00E573BC" w:rsidP="00973051">
      <w:pPr>
        <w:spacing w:line="360" w:lineRule="auto"/>
        <w:rPr>
          <w:rFonts w:ascii="Arial" w:hAnsi="Arial" w:cs="Arial"/>
        </w:rPr>
      </w:pPr>
    </w:p>
    <w:p w14:paraId="2CC95ED7" w14:textId="77777777" w:rsidR="00E573BC" w:rsidRDefault="00E573BC" w:rsidP="00973051">
      <w:pPr>
        <w:spacing w:line="360" w:lineRule="auto"/>
        <w:rPr>
          <w:rFonts w:ascii="Arial" w:hAnsi="Arial" w:cs="Arial"/>
        </w:rPr>
      </w:pPr>
    </w:p>
    <w:p w14:paraId="2040FFFA" w14:textId="77777777" w:rsidR="00E573BC" w:rsidRDefault="00E573BC" w:rsidP="00973051">
      <w:pPr>
        <w:spacing w:line="360" w:lineRule="auto"/>
        <w:rPr>
          <w:rFonts w:ascii="Arial" w:hAnsi="Arial" w:cs="Arial"/>
        </w:rPr>
      </w:pPr>
    </w:p>
    <w:p w14:paraId="03481B34" w14:textId="77777777" w:rsidR="00E573BC" w:rsidRDefault="00E573BC" w:rsidP="00973051">
      <w:pPr>
        <w:spacing w:line="360" w:lineRule="auto"/>
        <w:rPr>
          <w:rFonts w:ascii="Arial" w:hAnsi="Arial" w:cs="Arial"/>
        </w:rPr>
      </w:pPr>
    </w:p>
    <w:p w14:paraId="6E433E0C" w14:textId="77777777" w:rsidR="00E573BC" w:rsidRDefault="00E573BC" w:rsidP="00973051">
      <w:pPr>
        <w:spacing w:line="360" w:lineRule="auto"/>
        <w:rPr>
          <w:rFonts w:ascii="Arial" w:hAnsi="Arial" w:cs="Arial"/>
        </w:rPr>
      </w:pPr>
    </w:p>
    <w:p w14:paraId="1A95A25D" w14:textId="77777777" w:rsidR="00E573BC" w:rsidRDefault="00E573BC" w:rsidP="00973051">
      <w:pPr>
        <w:spacing w:line="360" w:lineRule="auto"/>
        <w:rPr>
          <w:rFonts w:ascii="Arial" w:hAnsi="Arial" w:cs="Arial"/>
        </w:rPr>
      </w:pPr>
    </w:p>
    <w:p w14:paraId="1F009A05" w14:textId="77777777" w:rsidR="00E573BC" w:rsidRDefault="00E573BC" w:rsidP="00973051">
      <w:pPr>
        <w:spacing w:line="360" w:lineRule="auto"/>
        <w:rPr>
          <w:rFonts w:ascii="Arial" w:hAnsi="Arial" w:cs="Arial"/>
        </w:rPr>
      </w:pPr>
    </w:p>
    <w:p w14:paraId="22288704" w14:textId="77777777" w:rsidR="00E573BC" w:rsidRDefault="00E573BC" w:rsidP="00973051">
      <w:pPr>
        <w:spacing w:line="360" w:lineRule="auto"/>
        <w:rPr>
          <w:rFonts w:ascii="Arial" w:hAnsi="Arial" w:cs="Arial"/>
        </w:rPr>
      </w:pPr>
    </w:p>
    <w:p w14:paraId="62F76706" w14:textId="77777777" w:rsidR="00E573BC" w:rsidRDefault="00E573BC" w:rsidP="00973051">
      <w:pPr>
        <w:spacing w:line="360" w:lineRule="auto"/>
        <w:rPr>
          <w:rFonts w:ascii="Arial" w:hAnsi="Arial" w:cs="Arial"/>
        </w:rPr>
      </w:pPr>
    </w:p>
    <w:p w14:paraId="2DFF6EAE" w14:textId="77777777" w:rsidR="00E573BC" w:rsidRDefault="00E573BC" w:rsidP="00973051">
      <w:pPr>
        <w:spacing w:line="360" w:lineRule="auto"/>
        <w:rPr>
          <w:rFonts w:ascii="Arial" w:hAnsi="Arial" w:cs="Arial"/>
        </w:rPr>
      </w:pPr>
    </w:p>
    <w:p w14:paraId="002D5D8A" w14:textId="77777777" w:rsidR="00E573BC" w:rsidRDefault="00E573BC" w:rsidP="00973051">
      <w:pPr>
        <w:spacing w:line="360" w:lineRule="auto"/>
        <w:rPr>
          <w:rFonts w:ascii="Arial" w:hAnsi="Arial" w:cs="Arial"/>
        </w:rPr>
      </w:pPr>
    </w:p>
    <w:p w14:paraId="70F11D53" w14:textId="77777777" w:rsidR="00E573BC" w:rsidRDefault="00E573BC" w:rsidP="00973051">
      <w:pPr>
        <w:spacing w:line="360" w:lineRule="auto"/>
        <w:rPr>
          <w:rFonts w:ascii="Arial" w:hAnsi="Arial" w:cs="Arial"/>
        </w:rPr>
      </w:pPr>
    </w:p>
    <w:p w14:paraId="08559BFD" w14:textId="77777777" w:rsidR="00E573BC" w:rsidRDefault="00E573BC" w:rsidP="00973051">
      <w:pPr>
        <w:spacing w:line="360" w:lineRule="auto"/>
        <w:rPr>
          <w:rFonts w:ascii="Arial" w:hAnsi="Arial" w:cs="Arial"/>
        </w:rPr>
      </w:pPr>
    </w:p>
    <w:p w14:paraId="0869BBDF" w14:textId="7DC7AF5C" w:rsidR="00D90272" w:rsidRPr="00973051" w:rsidRDefault="00D90272" w:rsidP="00973051">
      <w:pPr>
        <w:spacing w:line="360" w:lineRule="auto"/>
        <w:rPr>
          <w:rFonts w:ascii="Arial" w:hAnsi="Arial" w:cs="Arial"/>
        </w:rPr>
      </w:pPr>
      <w:r w:rsidRPr="00973051">
        <w:rPr>
          <w:rFonts w:ascii="Arial" w:hAnsi="Arial" w:cs="Arial"/>
        </w:rPr>
        <w:t>References</w:t>
      </w:r>
    </w:p>
    <w:p w14:paraId="20951DF0" w14:textId="77777777" w:rsidR="001D26ED" w:rsidRPr="00973051" w:rsidRDefault="00D90272" w:rsidP="00973051">
      <w:pPr>
        <w:spacing w:line="360" w:lineRule="auto"/>
        <w:rPr>
          <w:rFonts w:ascii="Arial" w:hAnsi="Arial" w:cs="Arial"/>
        </w:rPr>
      </w:pPr>
      <w:r w:rsidRPr="00973051">
        <w:rPr>
          <w:rFonts w:ascii="Arial" w:hAnsi="Arial" w:cs="Arial"/>
        </w:rPr>
        <w:t>Alzheimer’s Society (2023) Dementia UK Report. London: Alzheimer’s Society.</w:t>
      </w:r>
    </w:p>
    <w:p w14:paraId="071EE94F" w14:textId="429C3A92" w:rsidR="001D26ED" w:rsidRPr="00973051" w:rsidRDefault="00D90272" w:rsidP="00973051">
      <w:pPr>
        <w:spacing w:line="360" w:lineRule="auto"/>
        <w:rPr>
          <w:rFonts w:ascii="Arial" w:hAnsi="Arial" w:cs="Arial"/>
        </w:rPr>
      </w:pPr>
      <w:r w:rsidRPr="00973051">
        <w:rPr>
          <w:rFonts w:ascii="Arial" w:hAnsi="Arial" w:cs="Arial"/>
        </w:rPr>
        <w:t>Brimblecombe, N. et al. (2018) ‘Unpaid care in the UK: policy challenges, Health and Social Care in the Community, 26(2), pp. 183–191.</w:t>
      </w:r>
    </w:p>
    <w:p w14:paraId="56C6AE66" w14:textId="003541C1" w:rsidR="001D26ED" w:rsidRPr="00973051" w:rsidRDefault="00D90272" w:rsidP="00973051">
      <w:pPr>
        <w:spacing w:line="360" w:lineRule="auto"/>
        <w:rPr>
          <w:rFonts w:ascii="Arial" w:hAnsi="Arial" w:cs="Arial"/>
        </w:rPr>
      </w:pPr>
      <w:r w:rsidRPr="00973051">
        <w:rPr>
          <w:rFonts w:ascii="Arial" w:hAnsi="Arial" w:cs="Arial"/>
        </w:rPr>
        <w:t>Brooker, D. (2004) ‘What is person-centred care in dementia?’, Reviews in Clinical Gerontology, 13(3), pp. 215–222.</w:t>
      </w:r>
    </w:p>
    <w:p w14:paraId="4671BDA3" w14:textId="16283EC4" w:rsidR="001D26ED" w:rsidRPr="00973051" w:rsidRDefault="00D90272" w:rsidP="00973051">
      <w:pPr>
        <w:spacing w:line="360" w:lineRule="auto"/>
        <w:rPr>
          <w:rFonts w:ascii="Arial" w:hAnsi="Arial" w:cs="Arial"/>
        </w:rPr>
      </w:pPr>
      <w:r w:rsidRPr="00973051">
        <w:rPr>
          <w:rFonts w:ascii="Arial" w:hAnsi="Arial" w:cs="Arial"/>
        </w:rPr>
        <w:t>Brooker, D. and Latham, I. (2016) Person-Centred Dementia Care. London: Jessica Kingsley.</w:t>
      </w:r>
    </w:p>
    <w:p w14:paraId="4950ADE6" w14:textId="1E94CC87" w:rsidR="001D26ED" w:rsidRPr="00973051" w:rsidRDefault="00D90272" w:rsidP="00973051">
      <w:pPr>
        <w:spacing w:line="360" w:lineRule="auto"/>
        <w:rPr>
          <w:rFonts w:ascii="Arial" w:hAnsi="Arial" w:cs="Arial"/>
        </w:rPr>
      </w:pPr>
      <w:r w:rsidRPr="00973051">
        <w:rPr>
          <w:rFonts w:ascii="Arial" w:hAnsi="Arial" w:cs="Arial"/>
        </w:rPr>
        <w:t>Department of Health (2015) Prime Minister’s Challenge on Dementia 2020. London: DoH.</w:t>
      </w:r>
      <w:r w:rsidRPr="00973051">
        <w:rPr>
          <w:rFonts w:ascii="Arial" w:hAnsi="Arial" w:cs="Arial"/>
        </w:rPr>
        <w:br/>
        <w:t>Downs, M. (2013) ‘Putting people</w:t>
      </w:r>
      <w:r w:rsidR="00A134C1" w:rsidRPr="00973051">
        <w:rPr>
          <w:rFonts w:ascii="Arial" w:hAnsi="Arial" w:cs="Arial"/>
        </w:rPr>
        <w:t xml:space="preserve"> </w:t>
      </w:r>
      <w:r w:rsidRPr="00973051">
        <w:rPr>
          <w:rFonts w:ascii="Arial" w:hAnsi="Arial" w:cs="Arial"/>
        </w:rPr>
        <w:t>and compassion</w:t>
      </w:r>
      <w:r w:rsidR="00A134C1" w:rsidRPr="00973051">
        <w:rPr>
          <w:rFonts w:ascii="Arial" w:hAnsi="Arial" w:cs="Arial"/>
        </w:rPr>
        <w:t xml:space="preserve"> </w:t>
      </w:r>
      <w:r w:rsidRPr="00973051">
        <w:rPr>
          <w:rFonts w:ascii="Arial" w:hAnsi="Arial" w:cs="Arial"/>
        </w:rPr>
        <w:t>back into dementia care’, Ageing &amp; Society, 33(5), pp. 897–913.</w:t>
      </w:r>
    </w:p>
    <w:p w14:paraId="32040DEB" w14:textId="15CAA7A2" w:rsidR="00A9416B" w:rsidRPr="00973051" w:rsidRDefault="00D90272" w:rsidP="00973051">
      <w:pPr>
        <w:spacing w:line="360" w:lineRule="auto"/>
        <w:rPr>
          <w:rFonts w:ascii="Arial" w:hAnsi="Arial" w:cs="Arial"/>
        </w:rPr>
      </w:pPr>
      <w:r w:rsidRPr="00973051">
        <w:rPr>
          <w:rFonts w:ascii="Arial" w:hAnsi="Arial" w:cs="Arial"/>
        </w:rPr>
        <w:t>Edvardsson, D., Winblad, B. and Sandman, P.-O. (2008) ‘Person-centred care for people with severe Alzheimer’s disease’, The Lancet Neurology, 7(4), pp. 362–367.</w:t>
      </w:r>
      <w:r w:rsidRPr="00973051">
        <w:rPr>
          <w:rFonts w:ascii="Arial" w:hAnsi="Arial" w:cs="Arial"/>
        </w:rPr>
        <w:br/>
        <w:t>Equality Act 2010. London: HMSO.</w:t>
      </w:r>
    </w:p>
    <w:p w14:paraId="3BEEDA0B" w14:textId="199E63A3" w:rsidR="00A9416B" w:rsidRPr="00973051" w:rsidRDefault="00D90272" w:rsidP="00973051">
      <w:pPr>
        <w:spacing w:line="360" w:lineRule="auto"/>
        <w:rPr>
          <w:rFonts w:ascii="Arial" w:hAnsi="Arial" w:cs="Arial"/>
        </w:rPr>
      </w:pPr>
      <w:r w:rsidRPr="00973051">
        <w:rPr>
          <w:rFonts w:ascii="Arial" w:hAnsi="Arial" w:cs="Arial"/>
        </w:rPr>
        <w:t>Graham, M. (2017) Understanding Dementia Care. London: Sage.</w:t>
      </w:r>
      <w:r w:rsidRPr="00973051">
        <w:rPr>
          <w:rFonts w:ascii="Arial" w:hAnsi="Arial" w:cs="Arial"/>
        </w:rPr>
        <w:br/>
        <w:t>Innes, A. (2009) Dementia Studies: A Social Science Perspective. London: Sage.</w:t>
      </w:r>
      <w:r w:rsidRPr="00973051">
        <w:rPr>
          <w:rFonts w:ascii="Arial" w:hAnsi="Arial" w:cs="Arial"/>
        </w:rPr>
        <w:br/>
        <w:t>Kitwood, T. (1997) Dementia Reconsidered: The Person Comes First. Buckingham: Open</w:t>
      </w:r>
      <w:r w:rsidR="00F97204" w:rsidRPr="00973051">
        <w:rPr>
          <w:rFonts w:ascii="Arial" w:hAnsi="Arial" w:cs="Arial"/>
        </w:rPr>
        <w:t xml:space="preserve"> </w:t>
      </w:r>
      <w:r w:rsidRPr="00973051">
        <w:rPr>
          <w:rFonts w:ascii="Arial" w:hAnsi="Arial" w:cs="Arial"/>
        </w:rPr>
        <w:t>University Press.</w:t>
      </w:r>
    </w:p>
    <w:p w14:paraId="20CC1BAB" w14:textId="3CD1872F" w:rsidR="00A9416B" w:rsidRPr="00973051" w:rsidRDefault="00D90272" w:rsidP="00973051">
      <w:pPr>
        <w:spacing w:line="360" w:lineRule="auto"/>
        <w:rPr>
          <w:rFonts w:ascii="Arial" w:hAnsi="Arial" w:cs="Arial"/>
        </w:rPr>
      </w:pPr>
      <w:r w:rsidRPr="00973051">
        <w:rPr>
          <w:rFonts w:ascii="Arial" w:hAnsi="Arial" w:cs="Arial"/>
        </w:rPr>
        <w:t>McKeown, J. et al. (2010) ‘Life story work in dementia care’, Journal of Advanced Nursing, 65(11), pp. 2431–2439.</w:t>
      </w:r>
    </w:p>
    <w:p w14:paraId="3F7DA324" w14:textId="4D3BDADC" w:rsidR="00A9416B" w:rsidRPr="00973051" w:rsidRDefault="00D90272" w:rsidP="00973051">
      <w:pPr>
        <w:spacing w:line="360" w:lineRule="auto"/>
        <w:rPr>
          <w:rFonts w:ascii="Arial" w:hAnsi="Arial" w:cs="Arial"/>
        </w:rPr>
      </w:pPr>
      <w:r w:rsidRPr="00973051">
        <w:rPr>
          <w:rFonts w:ascii="Arial" w:hAnsi="Arial" w:cs="Arial"/>
        </w:rPr>
        <w:t>NHS England (2019) The NHS Long Term Plan. London: NHS England.</w:t>
      </w:r>
    </w:p>
    <w:p w14:paraId="7218CE51" w14:textId="0C47FA06" w:rsidR="00AA368F" w:rsidRPr="00973051" w:rsidRDefault="00D90272" w:rsidP="00973051">
      <w:pPr>
        <w:spacing w:line="360" w:lineRule="auto"/>
        <w:rPr>
          <w:rFonts w:ascii="Arial" w:hAnsi="Arial" w:cs="Arial"/>
        </w:rPr>
      </w:pPr>
      <w:r w:rsidRPr="00973051">
        <w:rPr>
          <w:rFonts w:ascii="Arial" w:hAnsi="Arial" w:cs="Arial"/>
        </w:rPr>
        <w:t>NICE (2018) Dementia: Assessment, Management and Support. London: NICE.</w:t>
      </w:r>
    </w:p>
    <w:p w14:paraId="43E63FCF" w14:textId="404F7253" w:rsidR="00AA368F" w:rsidRPr="00973051" w:rsidRDefault="00D90272" w:rsidP="00973051">
      <w:pPr>
        <w:spacing w:line="360" w:lineRule="auto"/>
        <w:rPr>
          <w:rFonts w:ascii="Arial" w:hAnsi="Arial" w:cs="Arial"/>
        </w:rPr>
      </w:pPr>
      <w:r w:rsidRPr="00973051">
        <w:rPr>
          <w:rFonts w:ascii="Arial" w:hAnsi="Arial" w:cs="Arial"/>
        </w:rPr>
        <w:t>O’Connor, D., Phinney, A. and Hulko, W. (2018) Dementia: Critical Perspectives and Diverse Communities. London: Routledge.</w:t>
      </w:r>
    </w:p>
    <w:p w14:paraId="31A9BE0F" w14:textId="42E1B231" w:rsidR="00301299" w:rsidRPr="00973051" w:rsidRDefault="00D90272" w:rsidP="00973051">
      <w:pPr>
        <w:spacing w:line="360" w:lineRule="auto"/>
        <w:rPr>
          <w:rFonts w:ascii="Arial" w:hAnsi="Arial" w:cs="Arial"/>
        </w:rPr>
      </w:pPr>
      <w:r w:rsidRPr="00973051">
        <w:rPr>
          <w:rFonts w:ascii="Arial" w:hAnsi="Arial" w:cs="Arial"/>
        </w:rPr>
        <w:t>Surr, C. et al. (2020) ‘Impact of dementia education on staff’, International Journal of Nursing Studies, 110, pp. 103–123.</w:t>
      </w:r>
    </w:p>
    <w:p w14:paraId="5B5903BF" w14:textId="677DEC0C" w:rsidR="00D90272" w:rsidRPr="00973051" w:rsidRDefault="00D90272" w:rsidP="00973051">
      <w:pPr>
        <w:spacing w:line="360" w:lineRule="auto"/>
        <w:rPr>
          <w:rFonts w:ascii="Arial" w:hAnsi="Arial" w:cs="Arial"/>
        </w:rPr>
      </w:pPr>
      <w:r w:rsidRPr="00973051">
        <w:rPr>
          <w:rFonts w:ascii="Arial" w:hAnsi="Arial" w:cs="Arial"/>
        </w:rPr>
        <w:t>United Nations (2006) Convention on the Rights of Persons with Disabilities. New York: UN.</w:t>
      </w:r>
    </w:p>
    <w:p w14:paraId="3DBBE142" w14:textId="2E7506B6" w:rsidR="15A68A18" w:rsidRPr="00973051" w:rsidRDefault="15A68A18" w:rsidP="00973051">
      <w:pPr>
        <w:spacing w:before="240" w:after="240" w:line="360" w:lineRule="auto"/>
        <w:rPr>
          <w:rFonts w:ascii="Arial" w:hAnsi="Arial" w:cs="Arial"/>
        </w:rPr>
      </w:pPr>
      <w:r w:rsidRPr="00973051">
        <w:rPr>
          <w:rFonts w:ascii="Arial" w:eastAsia="Arial" w:hAnsi="Arial" w:cs="Arial"/>
        </w:rPr>
        <w:t>Ballard, C., Gauthier, S., Corbett, A., Brayne, C., Aarsland, D. and Jones, E. (2011) ‘Alzheimer’s disease’, The Lancet, 377(9770), pp. 1019–1031.</w:t>
      </w:r>
    </w:p>
    <w:p w14:paraId="2765C9E1" w14:textId="774D9190" w:rsidR="15A68A18" w:rsidRPr="00973051" w:rsidRDefault="15A68A18" w:rsidP="00973051">
      <w:pPr>
        <w:spacing w:before="240" w:after="240" w:line="360" w:lineRule="auto"/>
        <w:rPr>
          <w:rFonts w:ascii="Arial" w:hAnsi="Arial" w:cs="Arial"/>
        </w:rPr>
      </w:pPr>
      <w:r w:rsidRPr="00973051">
        <w:rPr>
          <w:rFonts w:ascii="Arial" w:eastAsia="Arial" w:hAnsi="Arial" w:cs="Arial"/>
        </w:rPr>
        <w:t>World Health Organization (2020) Dementia: A public health priority. Geneva: WHO Press.</w:t>
      </w:r>
    </w:p>
    <w:p w14:paraId="778A7B1E" w14:textId="05309491" w:rsidR="6B71EC6C" w:rsidRPr="00973051" w:rsidRDefault="6B71EC6C" w:rsidP="00973051">
      <w:pPr>
        <w:spacing w:line="360" w:lineRule="auto"/>
        <w:rPr>
          <w:rFonts w:ascii="Arial" w:hAnsi="Arial" w:cs="Arial"/>
        </w:rPr>
      </w:pPr>
    </w:p>
    <w:p w14:paraId="7468E788" w14:textId="77777777" w:rsidR="001A4563" w:rsidRPr="00973051" w:rsidRDefault="001A4563" w:rsidP="00973051">
      <w:pPr>
        <w:spacing w:line="360" w:lineRule="auto"/>
        <w:rPr>
          <w:rFonts w:ascii="Arial" w:hAnsi="Arial" w:cs="Arial"/>
        </w:rPr>
      </w:pPr>
    </w:p>
    <w:sectPr w:rsidR="001A4563" w:rsidRPr="0097305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D3D92" w14:textId="77777777" w:rsidR="004C674C" w:rsidRDefault="004C674C" w:rsidP="00310DD7">
      <w:pPr>
        <w:spacing w:after="0" w:line="240" w:lineRule="auto"/>
      </w:pPr>
      <w:r>
        <w:separator/>
      </w:r>
    </w:p>
  </w:endnote>
  <w:endnote w:type="continuationSeparator" w:id="0">
    <w:p w14:paraId="5D9DD2C6" w14:textId="77777777" w:rsidR="004C674C" w:rsidRDefault="004C674C" w:rsidP="00310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5470264"/>
      <w:docPartObj>
        <w:docPartGallery w:val="Page Numbers (Bottom of Page)"/>
        <w:docPartUnique/>
      </w:docPartObj>
    </w:sdtPr>
    <w:sdtContent>
      <w:p w14:paraId="4BFFF5A0" w14:textId="078152C5" w:rsidR="000B3F2C" w:rsidRDefault="000B3F2C">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167AB993" w14:textId="77777777" w:rsidR="000B3F2C" w:rsidRDefault="000B3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9818B" w14:textId="77777777" w:rsidR="004C674C" w:rsidRDefault="004C674C" w:rsidP="00310DD7">
      <w:pPr>
        <w:spacing w:after="0" w:line="240" w:lineRule="auto"/>
      </w:pPr>
      <w:r>
        <w:separator/>
      </w:r>
    </w:p>
  </w:footnote>
  <w:footnote w:type="continuationSeparator" w:id="0">
    <w:p w14:paraId="1431CB24" w14:textId="77777777" w:rsidR="004C674C" w:rsidRDefault="004C674C" w:rsidP="00310DD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9vvE6MfgcQS8o0" int2:id="3L28Mzwi">
      <int2:state int2:value="Rejected" int2:type="spell"/>
    </int2:textHash>
    <int2:textHash int2:hashCode="2QXEDotLT2wjEy" int2:id="yfiYWNwI">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E0DCC"/>
    <w:multiLevelType w:val="multilevel"/>
    <w:tmpl w:val="0486C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BA755E"/>
    <w:multiLevelType w:val="hybridMultilevel"/>
    <w:tmpl w:val="CB0C3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6028473">
    <w:abstractNumId w:val="0"/>
  </w:num>
  <w:num w:numId="2" w16cid:durableId="257908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272"/>
    <w:rsid w:val="00022FF5"/>
    <w:rsid w:val="000272A8"/>
    <w:rsid w:val="00027C08"/>
    <w:rsid w:val="000450A0"/>
    <w:rsid w:val="00070FA6"/>
    <w:rsid w:val="0007434F"/>
    <w:rsid w:val="00083B66"/>
    <w:rsid w:val="00086AF1"/>
    <w:rsid w:val="00086CD9"/>
    <w:rsid w:val="000A6059"/>
    <w:rsid w:val="000B01C1"/>
    <w:rsid w:val="000B3F2C"/>
    <w:rsid w:val="000D1C68"/>
    <w:rsid w:val="000D51B2"/>
    <w:rsid w:val="000E5C0A"/>
    <w:rsid w:val="000F2E04"/>
    <w:rsid w:val="000F3E3D"/>
    <w:rsid w:val="00107876"/>
    <w:rsid w:val="00114A8B"/>
    <w:rsid w:val="00116425"/>
    <w:rsid w:val="00121713"/>
    <w:rsid w:val="00130C9D"/>
    <w:rsid w:val="001322FE"/>
    <w:rsid w:val="00135E3B"/>
    <w:rsid w:val="001370BD"/>
    <w:rsid w:val="001408B5"/>
    <w:rsid w:val="00144E6B"/>
    <w:rsid w:val="0016672E"/>
    <w:rsid w:val="001667EE"/>
    <w:rsid w:val="0019138D"/>
    <w:rsid w:val="001A424B"/>
    <w:rsid w:val="001A4563"/>
    <w:rsid w:val="001B16E9"/>
    <w:rsid w:val="001B5079"/>
    <w:rsid w:val="001B6B2F"/>
    <w:rsid w:val="001C083B"/>
    <w:rsid w:val="001C13BC"/>
    <w:rsid w:val="001C539B"/>
    <w:rsid w:val="001C67CE"/>
    <w:rsid w:val="001D0E15"/>
    <w:rsid w:val="001D1694"/>
    <w:rsid w:val="001D26ED"/>
    <w:rsid w:val="001E6FBF"/>
    <w:rsid w:val="001F48A1"/>
    <w:rsid w:val="00203A0B"/>
    <w:rsid w:val="002135E8"/>
    <w:rsid w:val="00213FFF"/>
    <w:rsid w:val="00221356"/>
    <w:rsid w:val="002242A3"/>
    <w:rsid w:val="002353DA"/>
    <w:rsid w:val="0025545F"/>
    <w:rsid w:val="00257050"/>
    <w:rsid w:val="00266460"/>
    <w:rsid w:val="00275690"/>
    <w:rsid w:val="00283F2A"/>
    <w:rsid w:val="00284164"/>
    <w:rsid w:val="002847DA"/>
    <w:rsid w:val="002B45CA"/>
    <w:rsid w:val="002B6A26"/>
    <w:rsid w:val="002D3855"/>
    <w:rsid w:val="002D3CFE"/>
    <w:rsid w:val="002D6160"/>
    <w:rsid w:val="002E058E"/>
    <w:rsid w:val="002F0F5C"/>
    <w:rsid w:val="002F2988"/>
    <w:rsid w:val="002F362F"/>
    <w:rsid w:val="00301299"/>
    <w:rsid w:val="00304E23"/>
    <w:rsid w:val="0030584B"/>
    <w:rsid w:val="00310DD7"/>
    <w:rsid w:val="00314E8D"/>
    <w:rsid w:val="00317040"/>
    <w:rsid w:val="003187CB"/>
    <w:rsid w:val="00330BBB"/>
    <w:rsid w:val="0033170A"/>
    <w:rsid w:val="00340D09"/>
    <w:rsid w:val="003472A5"/>
    <w:rsid w:val="00350F78"/>
    <w:rsid w:val="00351AB4"/>
    <w:rsid w:val="00361C46"/>
    <w:rsid w:val="00374530"/>
    <w:rsid w:val="0038058D"/>
    <w:rsid w:val="003904D8"/>
    <w:rsid w:val="00392108"/>
    <w:rsid w:val="00394040"/>
    <w:rsid w:val="003A3210"/>
    <w:rsid w:val="003B30FE"/>
    <w:rsid w:val="003B6347"/>
    <w:rsid w:val="003B7931"/>
    <w:rsid w:val="003C3202"/>
    <w:rsid w:val="003D43C6"/>
    <w:rsid w:val="003E0D67"/>
    <w:rsid w:val="003F0070"/>
    <w:rsid w:val="00412C05"/>
    <w:rsid w:val="00423330"/>
    <w:rsid w:val="00424143"/>
    <w:rsid w:val="0042647F"/>
    <w:rsid w:val="0044707A"/>
    <w:rsid w:val="0046792E"/>
    <w:rsid w:val="0047181F"/>
    <w:rsid w:val="004771AD"/>
    <w:rsid w:val="004877D3"/>
    <w:rsid w:val="004915CB"/>
    <w:rsid w:val="00492B3A"/>
    <w:rsid w:val="00493B6C"/>
    <w:rsid w:val="004B1F82"/>
    <w:rsid w:val="004C359A"/>
    <w:rsid w:val="004C65A8"/>
    <w:rsid w:val="004C674C"/>
    <w:rsid w:val="004C6789"/>
    <w:rsid w:val="004F3154"/>
    <w:rsid w:val="004F40D1"/>
    <w:rsid w:val="00502A72"/>
    <w:rsid w:val="00504B0A"/>
    <w:rsid w:val="005143F5"/>
    <w:rsid w:val="005242C0"/>
    <w:rsid w:val="0053083E"/>
    <w:rsid w:val="00557DC6"/>
    <w:rsid w:val="005628DE"/>
    <w:rsid w:val="0056349C"/>
    <w:rsid w:val="005634DA"/>
    <w:rsid w:val="005645FF"/>
    <w:rsid w:val="005670FB"/>
    <w:rsid w:val="005710F2"/>
    <w:rsid w:val="005719C9"/>
    <w:rsid w:val="00591E7E"/>
    <w:rsid w:val="00593383"/>
    <w:rsid w:val="00595831"/>
    <w:rsid w:val="005C014C"/>
    <w:rsid w:val="005C2084"/>
    <w:rsid w:val="005C5097"/>
    <w:rsid w:val="005D46A5"/>
    <w:rsid w:val="005E0AA5"/>
    <w:rsid w:val="005E3AF5"/>
    <w:rsid w:val="005E4DA4"/>
    <w:rsid w:val="005F272D"/>
    <w:rsid w:val="005F474A"/>
    <w:rsid w:val="00606357"/>
    <w:rsid w:val="0061043D"/>
    <w:rsid w:val="00616AEE"/>
    <w:rsid w:val="00620652"/>
    <w:rsid w:val="006345F6"/>
    <w:rsid w:val="00647202"/>
    <w:rsid w:val="00672116"/>
    <w:rsid w:val="00686E91"/>
    <w:rsid w:val="006940EC"/>
    <w:rsid w:val="0069586E"/>
    <w:rsid w:val="00695BDF"/>
    <w:rsid w:val="00696979"/>
    <w:rsid w:val="006A0906"/>
    <w:rsid w:val="006C0398"/>
    <w:rsid w:val="006C38E9"/>
    <w:rsid w:val="006D0062"/>
    <w:rsid w:val="006D2DFA"/>
    <w:rsid w:val="006D5862"/>
    <w:rsid w:val="006E29FA"/>
    <w:rsid w:val="006E41E6"/>
    <w:rsid w:val="006E4327"/>
    <w:rsid w:val="006E5F23"/>
    <w:rsid w:val="006F2DF9"/>
    <w:rsid w:val="006F5316"/>
    <w:rsid w:val="007009F5"/>
    <w:rsid w:val="00701A4C"/>
    <w:rsid w:val="0070483A"/>
    <w:rsid w:val="0070A08D"/>
    <w:rsid w:val="00712A33"/>
    <w:rsid w:val="007140B8"/>
    <w:rsid w:val="00732F48"/>
    <w:rsid w:val="007400D3"/>
    <w:rsid w:val="00741D31"/>
    <w:rsid w:val="007568A7"/>
    <w:rsid w:val="007575CD"/>
    <w:rsid w:val="00761BA7"/>
    <w:rsid w:val="00762123"/>
    <w:rsid w:val="007700EB"/>
    <w:rsid w:val="00781C2C"/>
    <w:rsid w:val="007879DD"/>
    <w:rsid w:val="0079068A"/>
    <w:rsid w:val="007A20C0"/>
    <w:rsid w:val="007A3E55"/>
    <w:rsid w:val="007B68A0"/>
    <w:rsid w:val="007E64A2"/>
    <w:rsid w:val="007F4675"/>
    <w:rsid w:val="00803648"/>
    <w:rsid w:val="00820D97"/>
    <w:rsid w:val="008244A2"/>
    <w:rsid w:val="00833A12"/>
    <w:rsid w:val="008401C1"/>
    <w:rsid w:val="00843F0E"/>
    <w:rsid w:val="0085681E"/>
    <w:rsid w:val="00863635"/>
    <w:rsid w:val="00873051"/>
    <w:rsid w:val="00892C36"/>
    <w:rsid w:val="008A3C54"/>
    <w:rsid w:val="008A4485"/>
    <w:rsid w:val="008B226B"/>
    <w:rsid w:val="008B2CC1"/>
    <w:rsid w:val="008C0A8B"/>
    <w:rsid w:val="008C5320"/>
    <w:rsid w:val="008C67CB"/>
    <w:rsid w:val="008E0DBB"/>
    <w:rsid w:val="008E1DE8"/>
    <w:rsid w:val="008E6DA3"/>
    <w:rsid w:val="008F029D"/>
    <w:rsid w:val="00902646"/>
    <w:rsid w:val="0090457B"/>
    <w:rsid w:val="00913C77"/>
    <w:rsid w:val="00934F6C"/>
    <w:rsid w:val="00943E7F"/>
    <w:rsid w:val="00947CCF"/>
    <w:rsid w:val="00953285"/>
    <w:rsid w:val="00961EFA"/>
    <w:rsid w:val="0096476D"/>
    <w:rsid w:val="00967375"/>
    <w:rsid w:val="00973051"/>
    <w:rsid w:val="00973810"/>
    <w:rsid w:val="00977F9D"/>
    <w:rsid w:val="00983A9C"/>
    <w:rsid w:val="00991BBE"/>
    <w:rsid w:val="009966D5"/>
    <w:rsid w:val="00A0637A"/>
    <w:rsid w:val="00A10FAB"/>
    <w:rsid w:val="00A134C1"/>
    <w:rsid w:val="00A220DA"/>
    <w:rsid w:val="00A2739B"/>
    <w:rsid w:val="00A30800"/>
    <w:rsid w:val="00A32D79"/>
    <w:rsid w:val="00A41847"/>
    <w:rsid w:val="00A465DE"/>
    <w:rsid w:val="00A52916"/>
    <w:rsid w:val="00A52B9E"/>
    <w:rsid w:val="00A54C53"/>
    <w:rsid w:val="00A77EB9"/>
    <w:rsid w:val="00A935A7"/>
    <w:rsid w:val="00A9416B"/>
    <w:rsid w:val="00AA368F"/>
    <w:rsid w:val="00AA7838"/>
    <w:rsid w:val="00AB33FD"/>
    <w:rsid w:val="00AB50E5"/>
    <w:rsid w:val="00AC2EBC"/>
    <w:rsid w:val="00AC7329"/>
    <w:rsid w:val="00AE24D7"/>
    <w:rsid w:val="00AE685B"/>
    <w:rsid w:val="00B040C8"/>
    <w:rsid w:val="00B0670E"/>
    <w:rsid w:val="00B11C8E"/>
    <w:rsid w:val="00B2511C"/>
    <w:rsid w:val="00B32A9E"/>
    <w:rsid w:val="00B47C1A"/>
    <w:rsid w:val="00B53073"/>
    <w:rsid w:val="00B57445"/>
    <w:rsid w:val="00B6795B"/>
    <w:rsid w:val="00B7147D"/>
    <w:rsid w:val="00B750BB"/>
    <w:rsid w:val="00B878B9"/>
    <w:rsid w:val="00B97F3B"/>
    <w:rsid w:val="00BA08E7"/>
    <w:rsid w:val="00BA0AEA"/>
    <w:rsid w:val="00BB6E35"/>
    <w:rsid w:val="00BB7502"/>
    <w:rsid w:val="00BC1090"/>
    <w:rsid w:val="00BC736C"/>
    <w:rsid w:val="00BD3BB1"/>
    <w:rsid w:val="00BD4678"/>
    <w:rsid w:val="00BD57B8"/>
    <w:rsid w:val="00BF35D0"/>
    <w:rsid w:val="00C1042D"/>
    <w:rsid w:val="00C229A6"/>
    <w:rsid w:val="00C258B6"/>
    <w:rsid w:val="00C30EAB"/>
    <w:rsid w:val="00C35118"/>
    <w:rsid w:val="00C359D1"/>
    <w:rsid w:val="00C64182"/>
    <w:rsid w:val="00C75711"/>
    <w:rsid w:val="00C86243"/>
    <w:rsid w:val="00CB7712"/>
    <w:rsid w:val="00CE1EDC"/>
    <w:rsid w:val="00CF6A5E"/>
    <w:rsid w:val="00D06129"/>
    <w:rsid w:val="00D14DAB"/>
    <w:rsid w:val="00D22D9A"/>
    <w:rsid w:val="00D30342"/>
    <w:rsid w:val="00D31B1B"/>
    <w:rsid w:val="00D33AB4"/>
    <w:rsid w:val="00D41C9B"/>
    <w:rsid w:val="00D606DB"/>
    <w:rsid w:val="00D64875"/>
    <w:rsid w:val="00D73187"/>
    <w:rsid w:val="00D839B2"/>
    <w:rsid w:val="00D90272"/>
    <w:rsid w:val="00DC50DF"/>
    <w:rsid w:val="00DC51CF"/>
    <w:rsid w:val="00DD5D16"/>
    <w:rsid w:val="00DD7629"/>
    <w:rsid w:val="00DE7725"/>
    <w:rsid w:val="00DF3606"/>
    <w:rsid w:val="00DF59C3"/>
    <w:rsid w:val="00E14F96"/>
    <w:rsid w:val="00E25A1A"/>
    <w:rsid w:val="00E27651"/>
    <w:rsid w:val="00E36DD1"/>
    <w:rsid w:val="00E36F4A"/>
    <w:rsid w:val="00E506B2"/>
    <w:rsid w:val="00E573BC"/>
    <w:rsid w:val="00E62ADE"/>
    <w:rsid w:val="00E679AD"/>
    <w:rsid w:val="00E86498"/>
    <w:rsid w:val="00E966AD"/>
    <w:rsid w:val="00EA088C"/>
    <w:rsid w:val="00EA1D2C"/>
    <w:rsid w:val="00EA3F6B"/>
    <w:rsid w:val="00EB3CCD"/>
    <w:rsid w:val="00EC0E95"/>
    <w:rsid w:val="00EC1A8E"/>
    <w:rsid w:val="00EC69EE"/>
    <w:rsid w:val="00EC7A2E"/>
    <w:rsid w:val="00EE2741"/>
    <w:rsid w:val="00EF0AA9"/>
    <w:rsid w:val="00F1746B"/>
    <w:rsid w:val="00F27A9E"/>
    <w:rsid w:val="00F309E9"/>
    <w:rsid w:val="00F40A7C"/>
    <w:rsid w:val="00F40AB6"/>
    <w:rsid w:val="00F4184B"/>
    <w:rsid w:val="00F46B6A"/>
    <w:rsid w:val="00F67587"/>
    <w:rsid w:val="00F71B6C"/>
    <w:rsid w:val="00F745F7"/>
    <w:rsid w:val="00F97204"/>
    <w:rsid w:val="00FA7D06"/>
    <w:rsid w:val="00FF6265"/>
    <w:rsid w:val="01213B61"/>
    <w:rsid w:val="016D7472"/>
    <w:rsid w:val="02970CB8"/>
    <w:rsid w:val="02B6978E"/>
    <w:rsid w:val="040D7E18"/>
    <w:rsid w:val="059147EC"/>
    <w:rsid w:val="0666BE57"/>
    <w:rsid w:val="06D822D1"/>
    <w:rsid w:val="07AEA3F9"/>
    <w:rsid w:val="084A0EF1"/>
    <w:rsid w:val="08632AE9"/>
    <w:rsid w:val="091B2A24"/>
    <w:rsid w:val="09224B03"/>
    <w:rsid w:val="0AB2929C"/>
    <w:rsid w:val="0B12D8EC"/>
    <w:rsid w:val="0BBD7946"/>
    <w:rsid w:val="0BC1E429"/>
    <w:rsid w:val="0C0ED533"/>
    <w:rsid w:val="0C6B592F"/>
    <w:rsid w:val="0CBC9876"/>
    <w:rsid w:val="0D9963C1"/>
    <w:rsid w:val="0DAB0860"/>
    <w:rsid w:val="0E7040F6"/>
    <w:rsid w:val="103911B8"/>
    <w:rsid w:val="10F01027"/>
    <w:rsid w:val="111DAFA3"/>
    <w:rsid w:val="117CB011"/>
    <w:rsid w:val="12D6E335"/>
    <w:rsid w:val="13AAB32E"/>
    <w:rsid w:val="13F107F1"/>
    <w:rsid w:val="14A69A82"/>
    <w:rsid w:val="14AA11AA"/>
    <w:rsid w:val="14FAA54E"/>
    <w:rsid w:val="152CC606"/>
    <w:rsid w:val="15832F08"/>
    <w:rsid w:val="15A68A18"/>
    <w:rsid w:val="167EB9E3"/>
    <w:rsid w:val="16AAC00C"/>
    <w:rsid w:val="16C9CB18"/>
    <w:rsid w:val="18B7656C"/>
    <w:rsid w:val="19ED9D7C"/>
    <w:rsid w:val="1B5B37BB"/>
    <w:rsid w:val="1CF87DF7"/>
    <w:rsid w:val="1D1CCA59"/>
    <w:rsid w:val="1D91A3E0"/>
    <w:rsid w:val="1E757632"/>
    <w:rsid w:val="1EAAC57E"/>
    <w:rsid w:val="202E44FB"/>
    <w:rsid w:val="20796F72"/>
    <w:rsid w:val="218E893E"/>
    <w:rsid w:val="22ED399C"/>
    <w:rsid w:val="23319037"/>
    <w:rsid w:val="23C05CA7"/>
    <w:rsid w:val="23CB5D63"/>
    <w:rsid w:val="2424B84B"/>
    <w:rsid w:val="242BC98C"/>
    <w:rsid w:val="24E78510"/>
    <w:rsid w:val="2519B27B"/>
    <w:rsid w:val="2747CEA2"/>
    <w:rsid w:val="2833B222"/>
    <w:rsid w:val="2865681C"/>
    <w:rsid w:val="29F4E30B"/>
    <w:rsid w:val="2ABF75A2"/>
    <w:rsid w:val="2B129BC0"/>
    <w:rsid w:val="2B383F4A"/>
    <w:rsid w:val="2B4A54BA"/>
    <w:rsid w:val="2B6A3BA1"/>
    <w:rsid w:val="2BEBACB2"/>
    <w:rsid w:val="2BF632AE"/>
    <w:rsid w:val="2C90EE5B"/>
    <w:rsid w:val="2D425DB8"/>
    <w:rsid w:val="2E44C1BF"/>
    <w:rsid w:val="2E69FA83"/>
    <w:rsid w:val="2EFA2D7E"/>
    <w:rsid w:val="2F69728F"/>
    <w:rsid w:val="2FF3D383"/>
    <w:rsid w:val="3080C568"/>
    <w:rsid w:val="31418866"/>
    <w:rsid w:val="320F72C4"/>
    <w:rsid w:val="32B68C41"/>
    <w:rsid w:val="3347349C"/>
    <w:rsid w:val="337E66BA"/>
    <w:rsid w:val="33E4B10C"/>
    <w:rsid w:val="345D4F6B"/>
    <w:rsid w:val="35E9C8BF"/>
    <w:rsid w:val="35ED67C7"/>
    <w:rsid w:val="3632C663"/>
    <w:rsid w:val="36EEE164"/>
    <w:rsid w:val="370465CC"/>
    <w:rsid w:val="3782A097"/>
    <w:rsid w:val="37A4F7C9"/>
    <w:rsid w:val="37C53C8A"/>
    <w:rsid w:val="37E8608F"/>
    <w:rsid w:val="394EAF93"/>
    <w:rsid w:val="39DA280F"/>
    <w:rsid w:val="3AA74F8A"/>
    <w:rsid w:val="3C1EFDEC"/>
    <w:rsid w:val="3C9021DC"/>
    <w:rsid w:val="3C9CD522"/>
    <w:rsid w:val="3E953EAB"/>
    <w:rsid w:val="3EEE208F"/>
    <w:rsid w:val="3FDC602F"/>
    <w:rsid w:val="421CB126"/>
    <w:rsid w:val="42C66774"/>
    <w:rsid w:val="4329FE4D"/>
    <w:rsid w:val="43DE980B"/>
    <w:rsid w:val="44000EE9"/>
    <w:rsid w:val="45D98601"/>
    <w:rsid w:val="463DE10B"/>
    <w:rsid w:val="46CD6A94"/>
    <w:rsid w:val="47061D16"/>
    <w:rsid w:val="470B65E6"/>
    <w:rsid w:val="49EDB041"/>
    <w:rsid w:val="4A767FA3"/>
    <w:rsid w:val="4A78E576"/>
    <w:rsid w:val="4AD56AF9"/>
    <w:rsid w:val="4B8E67CF"/>
    <w:rsid w:val="4BCD8B9F"/>
    <w:rsid w:val="4C1A1AAF"/>
    <w:rsid w:val="4D83C749"/>
    <w:rsid w:val="4DECEDCD"/>
    <w:rsid w:val="4EBD7B78"/>
    <w:rsid w:val="4ECD2293"/>
    <w:rsid w:val="50076698"/>
    <w:rsid w:val="522203C1"/>
    <w:rsid w:val="524EEF00"/>
    <w:rsid w:val="5463BF3E"/>
    <w:rsid w:val="55366905"/>
    <w:rsid w:val="5634C9BA"/>
    <w:rsid w:val="56B7B86F"/>
    <w:rsid w:val="57760BFC"/>
    <w:rsid w:val="585F62CD"/>
    <w:rsid w:val="5912A3E1"/>
    <w:rsid w:val="5914B766"/>
    <w:rsid w:val="59243D86"/>
    <w:rsid w:val="592A006C"/>
    <w:rsid w:val="59C540E9"/>
    <w:rsid w:val="5AC7FC5B"/>
    <w:rsid w:val="5AEAA284"/>
    <w:rsid w:val="5C368411"/>
    <w:rsid w:val="5C995650"/>
    <w:rsid w:val="5CA5236B"/>
    <w:rsid w:val="5D7B5A9C"/>
    <w:rsid w:val="5E4428C6"/>
    <w:rsid w:val="5E5CD0D1"/>
    <w:rsid w:val="5FD81DC2"/>
    <w:rsid w:val="60DA1D7F"/>
    <w:rsid w:val="61DAF3A9"/>
    <w:rsid w:val="62A2C3E5"/>
    <w:rsid w:val="62E751BF"/>
    <w:rsid w:val="631A2FDF"/>
    <w:rsid w:val="63BB6FEB"/>
    <w:rsid w:val="64FC8DD7"/>
    <w:rsid w:val="6661066B"/>
    <w:rsid w:val="6709B844"/>
    <w:rsid w:val="698D937E"/>
    <w:rsid w:val="6AA8FB5C"/>
    <w:rsid w:val="6B71EC6C"/>
    <w:rsid w:val="6B9E09AB"/>
    <w:rsid w:val="6BDF2B13"/>
    <w:rsid w:val="6C16EBA5"/>
    <w:rsid w:val="6C673906"/>
    <w:rsid w:val="6D06B32E"/>
    <w:rsid w:val="6DC0DE36"/>
    <w:rsid w:val="6DC6AE27"/>
    <w:rsid w:val="6DFEBC4F"/>
    <w:rsid w:val="6E142F2B"/>
    <w:rsid w:val="6E5DB917"/>
    <w:rsid w:val="6E5E2900"/>
    <w:rsid w:val="6E832A96"/>
    <w:rsid w:val="6EC517A0"/>
    <w:rsid w:val="6ED46288"/>
    <w:rsid w:val="6F0E12C2"/>
    <w:rsid w:val="7007A4B7"/>
    <w:rsid w:val="703D5884"/>
    <w:rsid w:val="70C17DCF"/>
    <w:rsid w:val="72A417E2"/>
    <w:rsid w:val="73AA6C3F"/>
    <w:rsid w:val="73F8911D"/>
    <w:rsid w:val="76C3E8C9"/>
    <w:rsid w:val="76EB1FBD"/>
    <w:rsid w:val="76FC13BB"/>
    <w:rsid w:val="777A743E"/>
    <w:rsid w:val="779E79DC"/>
    <w:rsid w:val="77E40BB8"/>
    <w:rsid w:val="79E74768"/>
    <w:rsid w:val="7A6BE42D"/>
    <w:rsid w:val="7AA0836B"/>
    <w:rsid w:val="7B43FE2F"/>
    <w:rsid w:val="7B587EC1"/>
    <w:rsid w:val="7CBA5CF1"/>
    <w:rsid w:val="7D011CBB"/>
    <w:rsid w:val="7DD105B7"/>
    <w:rsid w:val="7E0BC2D5"/>
    <w:rsid w:val="7EC5ACD7"/>
    <w:rsid w:val="7F3BC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5A86C"/>
  <w15:chartTrackingRefBased/>
  <w15:docId w15:val="{57883629-CDC9-4ECD-A7DC-7B2BD49ED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2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902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027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027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027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02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2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2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2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27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9027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027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027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027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02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2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2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272"/>
    <w:rPr>
      <w:rFonts w:eastAsiaTheme="majorEastAsia" w:cstheme="majorBidi"/>
      <w:color w:val="272727" w:themeColor="text1" w:themeTint="D8"/>
    </w:rPr>
  </w:style>
  <w:style w:type="paragraph" w:styleId="Title">
    <w:name w:val="Title"/>
    <w:basedOn w:val="Normal"/>
    <w:next w:val="Normal"/>
    <w:link w:val="TitleChar"/>
    <w:uiPriority w:val="10"/>
    <w:qFormat/>
    <w:rsid w:val="00D902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2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2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2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272"/>
    <w:pPr>
      <w:spacing w:before="160"/>
      <w:jc w:val="center"/>
    </w:pPr>
    <w:rPr>
      <w:i/>
      <w:iCs/>
      <w:color w:val="404040" w:themeColor="text1" w:themeTint="BF"/>
    </w:rPr>
  </w:style>
  <w:style w:type="character" w:customStyle="1" w:styleId="QuoteChar">
    <w:name w:val="Quote Char"/>
    <w:basedOn w:val="DefaultParagraphFont"/>
    <w:link w:val="Quote"/>
    <w:uiPriority w:val="29"/>
    <w:rsid w:val="00D90272"/>
    <w:rPr>
      <w:i/>
      <w:iCs/>
      <w:color w:val="404040" w:themeColor="text1" w:themeTint="BF"/>
    </w:rPr>
  </w:style>
  <w:style w:type="paragraph" w:styleId="ListParagraph">
    <w:name w:val="List Paragraph"/>
    <w:basedOn w:val="Normal"/>
    <w:uiPriority w:val="34"/>
    <w:qFormat/>
    <w:rsid w:val="00D90272"/>
    <w:pPr>
      <w:ind w:left="720"/>
      <w:contextualSpacing/>
    </w:pPr>
  </w:style>
  <w:style w:type="character" w:styleId="IntenseEmphasis">
    <w:name w:val="Intense Emphasis"/>
    <w:basedOn w:val="DefaultParagraphFont"/>
    <w:uiPriority w:val="21"/>
    <w:qFormat/>
    <w:rsid w:val="00D90272"/>
    <w:rPr>
      <w:i/>
      <w:iCs/>
      <w:color w:val="2F5496" w:themeColor="accent1" w:themeShade="BF"/>
    </w:rPr>
  </w:style>
  <w:style w:type="paragraph" w:styleId="IntenseQuote">
    <w:name w:val="Intense Quote"/>
    <w:basedOn w:val="Normal"/>
    <w:next w:val="Normal"/>
    <w:link w:val="IntenseQuoteChar"/>
    <w:uiPriority w:val="30"/>
    <w:qFormat/>
    <w:rsid w:val="00D902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0272"/>
    <w:rPr>
      <w:i/>
      <w:iCs/>
      <w:color w:val="2F5496" w:themeColor="accent1" w:themeShade="BF"/>
    </w:rPr>
  </w:style>
  <w:style w:type="character" w:styleId="IntenseReference">
    <w:name w:val="Intense Reference"/>
    <w:basedOn w:val="DefaultParagraphFont"/>
    <w:uiPriority w:val="32"/>
    <w:qFormat/>
    <w:rsid w:val="00D90272"/>
    <w:rPr>
      <w:b/>
      <w:bCs/>
      <w:smallCaps/>
      <w:color w:val="2F5496" w:themeColor="accent1" w:themeShade="BF"/>
      <w:spacing w:val="5"/>
    </w:rPr>
  </w:style>
  <w:style w:type="paragraph" w:styleId="Header">
    <w:name w:val="header"/>
    <w:basedOn w:val="Normal"/>
    <w:link w:val="HeaderChar"/>
    <w:uiPriority w:val="99"/>
    <w:unhideWhenUsed/>
    <w:rsid w:val="00310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DD7"/>
  </w:style>
  <w:style w:type="paragraph" w:styleId="Footer">
    <w:name w:val="footer"/>
    <w:basedOn w:val="Normal"/>
    <w:link w:val="FooterChar"/>
    <w:uiPriority w:val="99"/>
    <w:unhideWhenUsed/>
    <w:rsid w:val="00310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D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013c99e1b2dca6731991d19d20eee92e">
  <xsd:schema xmlns:xsd="http://www.w3.org/2001/XMLSchema" xmlns:xs="http://www.w3.org/2001/XMLSchema" xmlns:p="http://schemas.microsoft.com/office/2006/metadata/properties" xmlns:ns3="ea615e75-cfa6-4777-b3e2-cd5725779d91" targetNamespace="http://schemas.microsoft.com/office/2006/metadata/properties" ma:root="true" ma:fieldsID="dce35946fe6097a3a8fcc131b1521556"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Props1.xml><?xml version="1.0" encoding="utf-8"?>
<ds:datastoreItem xmlns:ds="http://schemas.openxmlformats.org/officeDocument/2006/customXml" ds:itemID="{44519F0E-05B4-4245-9D38-0486426F88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CE7036-D2AF-40A3-AB09-1CB890CB251F}">
  <ds:schemaRefs>
    <ds:schemaRef ds:uri="http://schemas.microsoft.com/sharepoint/v3/contenttype/forms"/>
  </ds:schemaRefs>
</ds:datastoreItem>
</file>

<file path=customXml/itemProps3.xml><?xml version="1.0" encoding="utf-8"?>
<ds:datastoreItem xmlns:ds="http://schemas.openxmlformats.org/officeDocument/2006/customXml" ds:itemID="{7A1162FC-18D8-4062-B2C2-230117DE367A}">
  <ds:schemaRefs>
    <ds:schemaRef ds:uri="http://schemas.microsoft.com/office/2006/metadata/properties"/>
    <ds:schemaRef ds:uri="http://schemas.microsoft.com/office/infopath/2007/PartnerControls"/>
    <ds:schemaRef ds:uri="ea615e75-cfa6-4777-b3e2-cd5725779d91"/>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1</Pages>
  <Words>3185</Words>
  <Characters>18155</Characters>
  <Application>Microsoft Office Word</Application>
  <DocSecurity>4</DocSecurity>
  <Lines>151</Lines>
  <Paragraphs>42</Paragraphs>
  <ScaleCrop>false</ScaleCrop>
  <Company/>
  <LinksUpToDate>false</LinksUpToDate>
  <CharactersWithSpaces>21298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Jamila Zakari (2322381)</dc:creator>
  <cp:keywords/>
  <dc:description/>
  <cp:lastModifiedBy>Jamila Zakari (2322381)</cp:lastModifiedBy>
  <cp:revision>244</cp:revision>
  <dcterms:created xsi:type="dcterms:W3CDTF">2025-12-01T19:55:00Z</dcterms:created>
  <dcterms:modified xsi:type="dcterms:W3CDTF">2025-12-11T13:34:00Z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