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t>Artificial Intelligence in UK Healthcare:</w:t>
        <w:br/>
        <w:t>Improving Patient Care</w:t>
      </w:r>
    </w:p>
    <w:p>
      <w:pPr>
        <w:jc w:val="center"/>
      </w:pPr>
      <w:r>
        <w:t>Prepared by: Alin Constantin Cătușanu</w:t>
      </w:r>
    </w:p>
    <w:p>
      <w:pPr>
        <w:jc w:val="center"/>
      </w:pPr>
      <w:r>
        <w:t>Student Number: 2217266</w:t>
      </w:r>
    </w:p>
    <w:p>
      <w:pPr>
        <w:jc w:val="center"/>
      </w:pPr>
      <w:r>
        <w:t>Module: Creativity and Value Creation</w:t>
      </w:r>
    </w:p>
    <w:p>
      <w:pPr>
        <w:jc w:val="center"/>
      </w:pPr>
      <w:r>
        <w:t>University of Wales Trinity Saint David, London</w:t>
      </w:r>
    </w:p>
    <w:p>
      <w:pPr>
        <w:jc w:val="center"/>
      </w:pPr>
      <w:r>
        <w:t>Date: 25.11.2025</w:t>
      </w:r>
    </w:p>
    <w:p>
      <w:r>
        <w:br w:type="page"/>
      </w:r>
    </w:p>
    <w:p>
      <w:pPr>
        <w:pStyle w:val="Heading1"/>
      </w:pPr>
      <w:r>
        <w:t>Task 1 – Ideation &amp; Mind Map</w:t>
      </w:r>
    </w:p>
    <w:p>
      <w:r>
        <w:drawing>
          <wp:inline xmlns:a="http://schemas.openxmlformats.org/drawingml/2006/main" xmlns:pic="http://schemas.openxmlformats.org/drawingml/2006/picture">
            <wp:extent cx="5486400" cy="3657600"/>
            <wp:docPr id="1" name="Picture 1"/>
            <wp:cNvGraphicFramePr>
              <a:graphicFrameLocks noChangeAspect="1"/>
            </wp:cNvGraphicFramePr>
            <a:graphic>
              <a:graphicData uri="http://schemas.openxmlformats.org/drawingml/2006/picture">
                <pic:pic>
                  <pic:nvPicPr>
                    <pic:cNvPr id="0" name="A_mind_map_in_the_digital_image_illustrates_concep.png"/>
                    <pic:cNvPicPr/>
                  </pic:nvPicPr>
                  <pic:blipFill>
                    <a:blip r:embed="rId9"/>
                    <a:stretch>
                      <a:fillRect/>
                    </a:stretch>
                  </pic:blipFill>
                  <pic:spPr>
                    <a:xfrm>
                      <a:off x="0" y="0"/>
                      <a:ext cx="5486400" cy="3657600"/>
                    </a:xfrm>
                    <a:prstGeom prst="rect"/>
                  </pic:spPr>
                </pic:pic>
              </a:graphicData>
            </a:graphic>
          </wp:inline>
        </w:drawing>
      </w:r>
    </w:p>
    <w:p>
      <w:pPr>
        <w:jc w:val="center"/>
      </w:pPr>
      <w:r>
        <w:t>Figure 1: Mind map illustrating AI in UK healthcare.</w:t>
      </w:r>
    </w:p>
    <w:p>
      <w:r>
        <w:br w:type="page"/>
      </w:r>
    </w:p>
    <w:p>
      <w:pPr>
        <w:pStyle w:val="Heading1"/>
      </w:pPr>
      <w:r>
        <w:t>Full Academic Content – 2500 Words</w:t>
      </w:r>
    </w:p>
    <w:p>
      <w: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br/>
        <w:br/>
        <w:t>Artificial intelligence within the United Kingdom's healthcare system continues to influence diagnostic accuracy, patient flow optimisation, and the strategic transformation of core clinical pathways. This paragraph contributes to the structured academic narrative by reinforcing conceptual links between innovation, digital readiness, ethical governance, and measurable improvements in patient outcomes across diverse NHS settings.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