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997E9F" w14:textId="54301357" w:rsidR="00FA49FD" w:rsidRDefault="00B779F7"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Hughes, Donald (2006) ‘The Natural Environment</w:t>
      </w:r>
      <w:r>
        <w:rPr>
          <w:rFonts w:ascii="Helvetica" w:hAnsi="Helvetica" w:cs="Helvetica"/>
          <w:i/>
          <w:iCs/>
          <w:color w:val="000000"/>
          <w:lang w:val="en-US"/>
        </w:rPr>
        <w:t>’ Blackwell Companion to the Classical Greek World</w:t>
      </w:r>
      <w:r>
        <w:rPr>
          <w:rFonts w:ascii="Helvetica" w:hAnsi="Helvetica" w:cs="Helvetica"/>
          <w:iCs/>
          <w:color w:val="000000"/>
          <w:lang w:val="en-US"/>
        </w:rPr>
        <w:t xml:space="preserve">, </w:t>
      </w:r>
      <w:r>
        <w:rPr>
          <w:rFonts w:ascii="Helvetica" w:hAnsi="Helvetica" w:cs="Helvetica"/>
          <w:lang w:val="en-US"/>
        </w:rPr>
        <w:t xml:space="preserve">Konrad H. </w:t>
      </w:r>
      <w:proofErr w:type="spellStart"/>
      <w:r>
        <w:rPr>
          <w:rFonts w:ascii="Helvetica" w:hAnsi="Helvetica" w:cs="Helvetica"/>
          <w:lang w:val="en-US"/>
        </w:rPr>
        <w:t>Kinzl</w:t>
      </w:r>
      <w:proofErr w:type="spellEnd"/>
      <w:r>
        <w:rPr>
          <w:rFonts w:ascii="Helvetica" w:hAnsi="Helvetica" w:cs="Helvetica"/>
          <w:lang w:val="en-US"/>
        </w:rPr>
        <w:t xml:space="preserve"> (ed.) </w:t>
      </w:r>
      <w:r w:rsidR="004008B7">
        <w:rPr>
          <w:rFonts w:ascii="Helvetica" w:hAnsi="Helvetica" w:cs="Helvetica"/>
          <w:lang w:val="en-US"/>
        </w:rPr>
        <w:t xml:space="preserve">London: </w:t>
      </w:r>
      <w:r>
        <w:rPr>
          <w:rFonts w:ascii="Helvetica" w:hAnsi="Helvetica" w:cs="Helvetica"/>
          <w:lang w:val="en-US"/>
        </w:rPr>
        <w:t>Wiley-Blackwell</w:t>
      </w:r>
    </w:p>
    <w:p w14:paraId="10101084" w14:textId="53564343" w:rsidR="00FC44B9" w:rsidRDefault="00FC44B9" w:rsidP="00240C45">
      <w:pPr>
        <w:widowControl w:val="0"/>
        <w:autoSpaceDE w:val="0"/>
        <w:autoSpaceDN w:val="0"/>
        <w:adjustRightInd w:val="0"/>
        <w:rPr>
          <w:rFonts w:ascii="Helvetica" w:hAnsi="Helvetica" w:cs="Helvetica"/>
          <w:iCs/>
          <w:color w:val="000000"/>
          <w:lang w:val="en-US"/>
        </w:rPr>
      </w:pPr>
    </w:p>
    <w:p w14:paraId="415F0DB5" w14:textId="6150A244" w:rsidR="00CB633D" w:rsidRDefault="006542E0"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Hughes</w:t>
      </w:r>
      <w:r w:rsidR="00DC10A2">
        <w:rPr>
          <w:rFonts w:ascii="Helvetica" w:hAnsi="Helvetica" w:cs="Helvetica"/>
          <w:iCs/>
          <w:color w:val="000000"/>
          <w:lang w:val="en-US"/>
        </w:rPr>
        <w:t>’ article has a clear descriptive nature to it. The purpose of the work is to describe the environment in which the Greeks lived, how it shaped the</w:t>
      </w:r>
      <w:r w:rsidR="008E7A18">
        <w:rPr>
          <w:rFonts w:ascii="Helvetica" w:hAnsi="Helvetica" w:cs="Helvetica"/>
          <w:iCs/>
          <w:color w:val="000000"/>
          <w:lang w:val="en-US"/>
        </w:rPr>
        <w:t>m</w:t>
      </w:r>
      <w:r w:rsidR="00DC10A2">
        <w:rPr>
          <w:rFonts w:ascii="Helvetica" w:hAnsi="Helvetica" w:cs="Helvetica"/>
          <w:iCs/>
          <w:color w:val="000000"/>
          <w:lang w:val="en-US"/>
        </w:rPr>
        <w:t xml:space="preserve">, and how they </w:t>
      </w:r>
      <w:r w:rsidR="008E7A18">
        <w:rPr>
          <w:rFonts w:ascii="Helvetica" w:hAnsi="Helvetica" w:cs="Helvetica"/>
          <w:iCs/>
          <w:color w:val="000000"/>
          <w:lang w:val="en-US"/>
        </w:rPr>
        <w:t>changed</w:t>
      </w:r>
      <w:r w:rsidR="00DC10A2">
        <w:rPr>
          <w:rFonts w:ascii="Helvetica" w:hAnsi="Helvetica" w:cs="Helvetica"/>
          <w:iCs/>
          <w:color w:val="000000"/>
          <w:lang w:val="en-US"/>
        </w:rPr>
        <w:t xml:space="preserve"> the environment.</w:t>
      </w:r>
      <w:r w:rsidR="00DC10A2">
        <w:rPr>
          <w:rStyle w:val="FootnoteReference"/>
          <w:rFonts w:ascii="Helvetica" w:hAnsi="Helvetica" w:cs="Helvetica"/>
          <w:iCs/>
          <w:color w:val="000000"/>
          <w:lang w:val="en-US"/>
        </w:rPr>
        <w:footnoteReference w:id="1"/>
      </w:r>
      <w:r w:rsidR="00DC10A2">
        <w:rPr>
          <w:rFonts w:ascii="Helvetica" w:hAnsi="Helvetica" w:cs="Helvetica"/>
          <w:iCs/>
          <w:color w:val="000000"/>
          <w:lang w:val="en-US"/>
        </w:rPr>
        <w:t xml:space="preserve"> </w:t>
      </w:r>
      <w:r w:rsidR="002D2278">
        <w:rPr>
          <w:rFonts w:ascii="Helvetica" w:hAnsi="Helvetica" w:cs="Helvetica"/>
          <w:iCs/>
          <w:color w:val="000000"/>
          <w:lang w:val="en-US"/>
        </w:rPr>
        <w:t>T</w:t>
      </w:r>
      <w:r w:rsidR="00DC10A2">
        <w:rPr>
          <w:rFonts w:ascii="Helvetica" w:hAnsi="Helvetica" w:cs="Helvetica"/>
          <w:iCs/>
          <w:color w:val="000000"/>
          <w:lang w:val="en-US"/>
        </w:rPr>
        <w:t>his</w:t>
      </w:r>
      <w:r w:rsidR="002D2278">
        <w:rPr>
          <w:rFonts w:ascii="Helvetica" w:hAnsi="Helvetica" w:cs="Helvetica"/>
          <w:iCs/>
          <w:color w:val="000000"/>
          <w:lang w:val="en-US"/>
        </w:rPr>
        <w:t>, however,</w:t>
      </w:r>
      <w:r w:rsidR="00DC10A2">
        <w:rPr>
          <w:rFonts w:ascii="Helvetica" w:hAnsi="Helvetica" w:cs="Helvetica"/>
          <w:iCs/>
          <w:color w:val="000000"/>
          <w:lang w:val="en-US"/>
        </w:rPr>
        <w:t xml:space="preserve"> becomes clear only in the conclu</w:t>
      </w:r>
      <w:r w:rsidR="008E7A18">
        <w:rPr>
          <w:rFonts w:ascii="Helvetica" w:hAnsi="Helvetica" w:cs="Helvetica"/>
          <w:iCs/>
          <w:color w:val="000000"/>
          <w:lang w:val="en-US"/>
        </w:rPr>
        <w:t>sion</w:t>
      </w:r>
      <w:r w:rsidR="00DC10A2">
        <w:rPr>
          <w:rFonts w:ascii="Helvetica" w:hAnsi="Helvetica" w:cs="Helvetica"/>
          <w:iCs/>
          <w:color w:val="000000"/>
          <w:lang w:val="en-US"/>
        </w:rPr>
        <w:t>.</w:t>
      </w:r>
      <w:r w:rsidR="00DC10A2">
        <w:rPr>
          <w:rStyle w:val="FootnoteReference"/>
          <w:rFonts w:ascii="Helvetica" w:hAnsi="Helvetica" w:cs="Helvetica"/>
          <w:iCs/>
          <w:color w:val="000000"/>
          <w:lang w:val="en-US"/>
        </w:rPr>
        <w:footnoteReference w:id="2"/>
      </w:r>
      <w:r w:rsidR="00DC10A2">
        <w:rPr>
          <w:rFonts w:ascii="Helvetica" w:hAnsi="Helvetica" w:cs="Helvetica"/>
          <w:iCs/>
          <w:color w:val="000000"/>
          <w:lang w:val="en-US"/>
        </w:rPr>
        <w:t xml:space="preserve"> </w:t>
      </w:r>
      <w:r w:rsidR="00340AB4">
        <w:rPr>
          <w:rFonts w:ascii="Helvetica" w:hAnsi="Helvetica" w:cs="Helvetica"/>
          <w:iCs/>
          <w:color w:val="000000"/>
          <w:lang w:val="en-US"/>
        </w:rPr>
        <w:t xml:space="preserve">This makes the precise purpose unclear at the beginning, however </w:t>
      </w:r>
      <w:r w:rsidR="002D2278">
        <w:rPr>
          <w:rFonts w:ascii="Helvetica" w:hAnsi="Helvetica" w:cs="Helvetica"/>
          <w:iCs/>
          <w:color w:val="000000"/>
          <w:lang w:val="en-US"/>
        </w:rPr>
        <w:t>the article</w:t>
      </w:r>
      <w:r w:rsidR="00340AB4">
        <w:rPr>
          <w:rFonts w:ascii="Helvetica" w:hAnsi="Helvetica" w:cs="Helvetica"/>
          <w:iCs/>
          <w:color w:val="000000"/>
          <w:lang w:val="en-US"/>
        </w:rPr>
        <w:t xml:space="preserve"> is split into ten </w:t>
      </w:r>
      <w:r w:rsidR="00255A0B">
        <w:rPr>
          <w:rFonts w:ascii="Helvetica" w:hAnsi="Helvetica" w:cs="Helvetica"/>
          <w:iCs/>
          <w:color w:val="000000"/>
          <w:lang w:val="en-US"/>
        </w:rPr>
        <w:t xml:space="preserve">clear </w:t>
      </w:r>
      <w:r w:rsidR="00340AB4">
        <w:rPr>
          <w:rFonts w:ascii="Helvetica" w:hAnsi="Helvetica" w:cs="Helvetica"/>
          <w:iCs/>
          <w:color w:val="000000"/>
          <w:lang w:val="en-US"/>
        </w:rPr>
        <w:t xml:space="preserve">sections </w:t>
      </w:r>
      <w:r w:rsidR="008E7A18">
        <w:rPr>
          <w:rFonts w:ascii="Helvetica" w:hAnsi="Helvetica" w:cs="Helvetica"/>
          <w:iCs/>
          <w:color w:val="000000"/>
          <w:lang w:val="en-US"/>
        </w:rPr>
        <w:t xml:space="preserve">which aids </w:t>
      </w:r>
      <w:r w:rsidR="002D2278">
        <w:rPr>
          <w:rFonts w:ascii="Helvetica" w:hAnsi="Helvetica" w:cs="Helvetica"/>
          <w:iCs/>
          <w:color w:val="000000"/>
          <w:lang w:val="en-US"/>
        </w:rPr>
        <w:t>clarity</w:t>
      </w:r>
      <w:r w:rsidR="00340AB4">
        <w:rPr>
          <w:rFonts w:ascii="Helvetica" w:hAnsi="Helvetica" w:cs="Helvetica"/>
          <w:iCs/>
          <w:color w:val="000000"/>
          <w:lang w:val="en-US"/>
        </w:rPr>
        <w:t>.</w:t>
      </w:r>
      <w:r w:rsidR="00340AB4">
        <w:rPr>
          <w:rStyle w:val="FootnoteReference"/>
          <w:rFonts w:ascii="Helvetica" w:hAnsi="Helvetica" w:cs="Helvetica"/>
          <w:iCs/>
          <w:color w:val="000000"/>
          <w:lang w:val="en-US"/>
        </w:rPr>
        <w:footnoteReference w:id="3"/>
      </w:r>
      <w:r w:rsidR="00340AB4">
        <w:rPr>
          <w:rFonts w:ascii="Helvetica" w:hAnsi="Helvetica" w:cs="Helvetica"/>
          <w:iCs/>
          <w:color w:val="000000"/>
          <w:lang w:val="en-US"/>
        </w:rPr>
        <w:t xml:space="preserve"> This is an effective measure as a reader interested in one aspect need only read the section they require, </w:t>
      </w:r>
      <w:r w:rsidR="008E7A18">
        <w:rPr>
          <w:rFonts w:ascii="Helvetica" w:hAnsi="Helvetica" w:cs="Helvetica"/>
          <w:iCs/>
          <w:color w:val="000000"/>
          <w:lang w:val="en-US"/>
        </w:rPr>
        <w:t>not the entire article</w:t>
      </w:r>
      <w:r w:rsidR="00340AB4">
        <w:rPr>
          <w:rFonts w:ascii="Helvetica" w:hAnsi="Helvetica" w:cs="Helvetica"/>
          <w:iCs/>
          <w:color w:val="000000"/>
          <w:lang w:val="en-US"/>
        </w:rPr>
        <w:t>.</w:t>
      </w:r>
      <w:r w:rsidR="00340AB4">
        <w:rPr>
          <w:rStyle w:val="FootnoteReference"/>
          <w:rFonts w:ascii="Helvetica" w:hAnsi="Helvetica" w:cs="Helvetica"/>
          <w:iCs/>
          <w:color w:val="000000"/>
          <w:lang w:val="en-US"/>
        </w:rPr>
        <w:footnoteReference w:id="4"/>
      </w:r>
    </w:p>
    <w:p w14:paraId="1B889B01" w14:textId="77777777" w:rsidR="00CB633D" w:rsidRDefault="00CB633D" w:rsidP="00240C45">
      <w:pPr>
        <w:widowControl w:val="0"/>
        <w:autoSpaceDE w:val="0"/>
        <w:autoSpaceDN w:val="0"/>
        <w:adjustRightInd w:val="0"/>
        <w:rPr>
          <w:rFonts w:ascii="Helvetica" w:hAnsi="Helvetica" w:cs="Helvetica"/>
          <w:iCs/>
          <w:color w:val="000000"/>
          <w:lang w:val="en-US"/>
        </w:rPr>
      </w:pPr>
    </w:p>
    <w:p w14:paraId="076CE071" w14:textId="0963DA9F" w:rsidR="00CB633D" w:rsidRDefault="00340AB4"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The first section, the introduction</w:t>
      </w:r>
      <w:r w:rsidR="00255A0B">
        <w:rPr>
          <w:rFonts w:ascii="Helvetica" w:hAnsi="Helvetica" w:cs="Helvetica"/>
          <w:iCs/>
          <w:color w:val="000000"/>
          <w:lang w:val="en-US"/>
        </w:rPr>
        <w:t>, contains no statements of the authors intention or hints of the article’s direction.</w:t>
      </w:r>
      <w:r>
        <w:rPr>
          <w:rFonts w:ascii="Helvetica" w:hAnsi="Helvetica" w:cs="Helvetica"/>
          <w:iCs/>
          <w:color w:val="000000"/>
          <w:lang w:val="en-US"/>
        </w:rPr>
        <w:t xml:space="preserve"> </w:t>
      </w:r>
      <w:r w:rsidR="00255A0B">
        <w:rPr>
          <w:rFonts w:ascii="Helvetica" w:hAnsi="Helvetica" w:cs="Helvetica"/>
          <w:iCs/>
          <w:color w:val="000000"/>
          <w:lang w:val="en-US"/>
        </w:rPr>
        <w:t xml:space="preserve">It </w:t>
      </w:r>
      <w:r>
        <w:rPr>
          <w:rFonts w:ascii="Helvetica" w:hAnsi="Helvetica" w:cs="Helvetica"/>
          <w:iCs/>
          <w:color w:val="000000"/>
          <w:lang w:val="en-US"/>
        </w:rPr>
        <w:t xml:space="preserve">describes briefly the overall geography of Greece and why the maritime nature of the Greeks arose </w:t>
      </w:r>
      <w:r w:rsidR="00255A0B">
        <w:rPr>
          <w:rFonts w:ascii="Helvetica" w:hAnsi="Helvetica" w:cs="Helvetica"/>
          <w:iCs/>
          <w:color w:val="000000"/>
          <w:lang w:val="en-US"/>
        </w:rPr>
        <w:t>due to</w:t>
      </w:r>
      <w:r>
        <w:rPr>
          <w:rFonts w:ascii="Helvetica" w:hAnsi="Helvetica" w:cs="Helvetica"/>
          <w:iCs/>
          <w:color w:val="000000"/>
          <w:lang w:val="en-US"/>
        </w:rPr>
        <w:t xml:space="preserve"> the proximity to the calm Mediterranean Sea and harsh mountainous terrain.</w:t>
      </w:r>
      <w:r>
        <w:rPr>
          <w:rStyle w:val="FootnoteReference"/>
          <w:rFonts w:ascii="Helvetica" w:hAnsi="Helvetica" w:cs="Helvetica"/>
          <w:iCs/>
          <w:color w:val="000000"/>
          <w:lang w:val="en-US"/>
        </w:rPr>
        <w:footnoteReference w:id="5"/>
      </w:r>
    </w:p>
    <w:p w14:paraId="7C659CFA" w14:textId="77777777" w:rsidR="00CB633D" w:rsidRDefault="00CB633D" w:rsidP="00240C45">
      <w:pPr>
        <w:widowControl w:val="0"/>
        <w:autoSpaceDE w:val="0"/>
        <w:autoSpaceDN w:val="0"/>
        <w:adjustRightInd w:val="0"/>
        <w:rPr>
          <w:rFonts w:ascii="Helvetica" w:hAnsi="Helvetica" w:cs="Helvetica"/>
          <w:iCs/>
          <w:color w:val="000000"/>
          <w:lang w:val="en-US"/>
        </w:rPr>
      </w:pPr>
    </w:p>
    <w:p w14:paraId="334DC9E0" w14:textId="3ECFC8B5" w:rsidR="00CB633D" w:rsidRDefault="00340AB4"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The second section describes the reason for the climate, and a simple description of</w:t>
      </w:r>
      <w:r w:rsidR="00AF68AD">
        <w:rPr>
          <w:rFonts w:ascii="Helvetica" w:hAnsi="Helvetica" w:cs="Helvetica"/>
          <w:iCs/>
          <w:color w:val="000000"/>
          <w:lang w:val="en-US"/>
        </w:rPr>
        <w:t xml:space="preserve"> what the climate was like.</w:t>
      </w:r>
      <w:r w:rsidR="00AF68AD">
        <w:rPr>
          <w:rStyle w:val="FootnoteReference"/>
          <w:rFonts w:ascii="Helvetica" w:hAnsi="Helvetica" w:cs="Helvetica"/>
          <w:iCs/>
          <w:color w:val="000000"/>
          <w:lang w:val="en-US"/>
        </w:rPr>
        <w:footnoteReference w:id="6"/>
      </w:r>
      <w:r w:rsidR="00AF68AD">
        <w:rPr>
          <w:rFonts w:ascii="Helvetica" w:hAnsi="Helvetica" w:cs="Helvetica"/>
          <w:iCs/>
          <w:color w:val="000000"/>
          <w:lang w:val="en-US"/>
        </w:rPr>
        <w:t xml:space="preserve"> </w:t>
      </w:r>
      <w:r w:rsidR="000F2A73">
        <w:rPr>
          <w:rFonts w:ascii="Helvetica" w:hAnsi="Helvetica" w:cs="Helvetica"/>
          <w:iCs/>
          <w:color w:val="000000"/>
          <w:lang w:val="en-US"/>
        </w:rPr>
        <w:t xml:space="preserve">References for temperature recordings in the ancient world are missing, but the </w:t>
      </w:r>
      <w:r w:rsidR="005F2CC9">
        <w:rPr>
          <w:rFonts w:ascii="Helvetica" w:hAnsi="Helvetica" w:cs="Helvetica"/>
          <w:iCs/>
          <w:color w:val="000000"/>
          <w:lang w:val="en-US"/>
        </w:rPr>
        <w:t>data</w:t>
      </w:r>
      <w:r w:rsidR="000F2A73">
        <w:rPr>
          <w:rFonts w:ascii="Helvetica" w:hAnsi="Helvetica" w:cs="Helvetica"/>
          <w:iCs/>
          <w:color w:val="000000"/>
          <w:lang w:val="en-US"/>
        </w:rPr>
        <w:t xml:space="preserve"> is presented clearly.</w:t>
      </w:r>
      <w:r w:rsidR="000F2A73">
        <w:rPr>
          <w:rStyle w:val="FootnoteReference"/>
          <w:rFonts w:ascii="Helvetica" w:hAnsi="Helvetica" w:cs="Helvetica"/>
          <w:iCs/>
          <w:color w:val="000000"/>
          <w:lang w:val="en-US"/>
        </w:rPr>
        <w:footnoteReference w:id="7"/>
      </w:r>
    </w:p>
    <w:p w14:paraId="774274CE" w14:textId="77777777" w:rsidR="00CB633D" w:rsidRDefault="00CB633D" w:rsidP="00240C45">
      <w:pPr>
        <w:widowControl w:val="0"/>
        <w:autoSpaceDE w:val="0"/>
        <w:autoSpaceDN w:val="0"/>
        <w:adjustRightInd w:val="0"/>
        <w:rPr>
          <w:rFonts w:ascii="Helvetica" w:hAnsi="Helvetica" w:cs="Helvetica"/>
          <w:iCs/>
          <w:color w:val="000000"/>
          <w:lang w:val="en-US"/>
        </w:rPr>
      </w:pPr>
    </w:p>
    <w:p w14:paraId="0B7F7D54" w14:textId="6CA0A633" w:rsidR="00CB633D" w:rsidRDefault="00AF68AD"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 xml:space="preserve">The third section summarises the geological and volcanic history of </w:t>
      </w:r>
      <w:r w:rsidR="005F2CC9">
        <w:rPr>
          <w:rFonts w:ascii="Helvetica" w:hAnsi="Helvetica" w:cs="Helvetica"/>
          <w:iCs/>
          <w:color w:val="000000"/>
          <w:lang w:val="en-US"/>
        </w:rPr>
        <w:t>Greece</w:t>
      </w:r>
      <w:r w:rsidR="005E01D3">
        <w:rPr>
          <w:rFonts w:ascii="Helvetica" w:hAnsi="Helvetica" w:cs="Helvetica"/>
          <w:iCs/>
          <w:color w:val="000000"/>
          <w:lang w:val="en-US"/>
        </w:rPr>
        <w:t>, and the Mediterranean</w:t>
      </w:r>
      <w:r>
        <w:rPr>
          <w:rFonts w:ascii="Helvetica" w:hAnsi="Helvetica" w:cs="Helvetica"/>
          <w:iCs/>
          <w:color w:val="000000"/>
          <w:lang w:val="en-US"/>
        </w:rPr>
        <w:t>.</w:t>
      </w:r>
      <w:r>
        <w:rPr>
          <w:rStyle w:val="FootnoteReference"/>
          <w:rFonts w:ascii="Helvetica" w:hAnsi="Helvetica" w:cs="Helvetica"/>
          <w:iCs/>
          <w:color w:val="000000"/>
          <w:lang w:val="en-US"/>
        </w:rPr>
        <w:footnoteReference w:id="8"/>
      </w:r>
      <w:r>
        <w:rPr>
          <w:rFonts w:ascii="Helvetica" w:hAnsi="Helvetica" w:cs="Helvetica"/>
          <w:iCs/>
          <w:color w:val="000000"/>
          <w:lang w:val="en-US"/>
        </w:rPr>
        <w:t xml:space="preserve"> </w:t>
      </w:r>
      <w:r w:rsidR="005F2CC9">
        <w:rPr>
          <w:rFonts w:ascii="Helvetica" w:hAnsi="Helvetica" w:cs="Helvetica"/>
          <w:iCs/>
          <w:color w:val="000000"/>
          <w:lang w:val="en-US"/>
        </w:rPr>
        <w:t>Whilst heavily anecdotal, the information provided does provide a good overall impression of the topic.</w:t>
      </w:r>
      <w:r w:rsidR="005E01D3">
        <w:rPr>
          <w:rStyle w:val="FootnoteReference"/>
          <w:rFonts w:ascii="Helvetica" w:hAnsi="Helvetica" w:cs="Helvetica"/>
          <w:iCs/>
          <w:color w:val="000000"/>
          <w:lang w:val="en-US"/>
        </w:rPr>
        <w:footnoteReference w:id="9"/>
      </w:r>
    </w:p>
    <w:p w14:paraId="3B7C2D4B" w14:textId="77777777" w:rsidR="00CB633D" w:rsidRDefault="00CB633D" w:rsidP="00240C45">
      <w:pPr>
        <w:widowControl w:val="0"/>
        <w:autoSpaceDE w:val="0"/>
        <w:autoSpaceDN w:val="0"/>
        <w:adjustRightInd w:val="0"/>
        <w:rPr>
          <w:rFonts w:ascii="Helvetica" w:hAnsi="Helvetica" w:cs="Helvetica"/>
          <w:iCs/>
          <w:color w:val="000000"/>
          <w:lang w:val="en-US"/>
        </w:rPr>
      </w:pPr>
    </w:p>
    <w:p w14:paraId="1DEB0854" w14:textId="5F3E1B0D" w:rsidR="00CB633D" w:rsidRDefault="00AF68AD"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The fourth section is entit</w:t>
      </w:r>
      <w:r w:rsidR="00E34E4F">
        <w:rPr>
          <w:rFonts w:ascii="Helvetica" w:hAnsi="Helvetica" w:cs="Helvetica"/>
          <w:iCs/>
          <w:color w:val="000000"/>
          <w:lang w:val="en-US"/>
        </w:rPr>
        <w:t>led</w:t>
      </w:r>
      <w:r>
        <w:rPr>
          <w:rFonts w:ascii="Helvetica" w:hAnsi="Helvetica" w:cs="Helvetica"/>
          <w:iCs/>
          <w:color w:val="000000"/>
          <w:lang w:val="en-US"/>
        </w:rPr>
        <w:t xml:space="preserve"> ‘Mineral Resources’, and gives an account of the resources available to the Greeks, their methods </w:t>
      </w:r>
      <w:r w:rsidR="00E34E4F">
        <w:rPr>
          <w:rFonts w:ascii="Helvetica" w:hAnsi="Helvetica" w:cs="Helvetica"/>
          <w:iCs/>
          <w:color w:val="000000"/>
          <w:lang w:val="en-US"/>
        </w:rPr>
        <w:t xml:space="preserve">and capacity </w:t>
      </w:r>
      <w:r>
        <w:rPr>
          <w:rFonts w:ascii="Helvetica" w:hAnsi="Helvetica" w:cs="Helvetica"/>
          <w:iCs/>
          <w:color w:val="000000"/>
          <w:lang w:val="en-US"/>
        </w:rPr>
        <w:t>for utilising these</w:t>
      </w:r>
      <w:r w:rsidR="00E34E4F">
        <w:rPr>
          <w:rFonts w:ascii="Helvetica" w:hAnsi="Helvetica" w:cs="Helvetica"/>
          <w:iCs/>
          <w:color w:val="000000"/>
          <w:lang w:val="en-US"/>
        </w:rPr>
        <w:t xml:space="preserve"> wood and mineral/ore</w:t>
      </w:r>
      <w:r>
        <w:rPr>
          <w:rFonts w:ascii="Helvetica" w:hAnsi="Helvetica" w:cs="Helvetica"/>
          <w:iCs/>
          <w:color w:val="000000"/>
          <w:lang w:val="en-US"/>
        </w:rPr>
        <w:t xml:space="preserve"> deposits</w:t>
      </w:r>
      <w:r w:rsidR="00E34E4F">
        <w:rPr>
          <w:rFonts w:ascii="Helvetica" w:hAnsi="Helvetica" w:cs="Helvetica"/>
          <w:iCs/>
          <w:color w:val="000000"/>
          <w:lang w:val="en-US"/>
        </w:rPr>
        <w:t>, and how industrial operations caused a heavy environmental impact</w:t>
      </w:r>
      <w:r>
        <w:rPr>
          <w:rFonts w:ascii="Helvetica" w:hAnsi="Helvetica" w:cs="Helvetica"/>
          <w:iCs/>
          <w:color w:val="000000"/>
          <w:lang w:val="en-US"/>
        </w:rPr>
        <w:t>.</w:t>
      </w:r>
      <w:r w:rsidR="00E34E4F">
        <w:rPr>
          <w:rStyle w:val="FootnoteReference"/>
          <w:rFonts w:ascii="Helvetica" w:hAnsi="Helvetica" w:cs="Helvetica"/>
          <w:iCs/>
          <w:color w:val="000000"/>
          <w:lang w:val="en-US"/>
        </w:rPr>
        <w:footnoteReference w:id="10"/>
      </w:r>
      <w:r w:rsidR="00E34E4F">
        <w:rPr>
          <w:rFonts w:ascii="Helvetica" w:hAnsi="Helvetica" w:cs="Helvetica"/>
          <w:iCs/>
          <w:color w:val="000000"/>
          <w:lang w:val="en-US"/>
        </w:rPr>
        <w:t xml:space="preserve"> </w:t>
      </w:r>
    </w:p>
    <w:p w14:paraId="0EC10657" w14:textId="77777777" w:rsidR="00CB633D" w:rsidRDefault="00CB633D" w:rsidP="00240C45">
      <w:pPr>
        <w:widowControl w:val="0"/>
        <w:autoSpaceDE w:val="0"/>
        <w:autoSpaceDN w:val="0"/>
        <w:adjustRightInd w:val="0"/>
        <w:rPr>
          <w:rFonts w:ascii="Helvetica" w:hAnsi="Helvetica" w:cs="Helvetica"/>
          <w:iCs/>
          <w:color w:val="000000"/>
          <w:lang w:val="en-US"/>
        </w:rPr>
      </w:pPr>
    </w:p>
    <w:p w14:paraId="72A73700" w14:textId="248E4E86" w:rsidR="00340AB4" w:rsidRDefault="00E34E4F" w:rsidP="00240C45">
      <w:pPr>
        <w:widowControl w:val="0"/>
        <w:autoSpaceDE w:val="0"/>
        <w:autoSpaceDN w:val="0"/>
        <w:adjustRightInd w:val="0"/>
        <w:rPr>
          <w:rFonts w:ascii="Helvetica" w:hAnsi="Helvetica" w:cs="Helvetica"/>
          <w:iCs/>
          <w:color w:val="000000"/>
          <w:lang w:val="en-US"/>
        </w:rPr>
      </w:pPr>
      <w:r>
        <w:rPr>
          <w:rFonts w:ascii="Helvetica" w:hAnsi="Helvetica" w:cs="Helvetica"/>
          <w:iCs/>
          <w:color w:val="000000"/>
          <w:lang w:val="en-US"/>
        </w:rPr>
        <w:t xml:space="preserve">The fifth section outlines the flora diversity, distribution, </w:t>
      </w:r>
      <w:r w:rsidR="00CB633D">
        <w:rPr>
          <w:rFonts w:ascii="Helvetica" w:hAnsi="Helvetica" w:cs="Helvetica"/>
          <w:iCs/>
          <w:color w:val="000000"/>
          <w:lang w:val="en-US"/>
        </w:rPr>
        <w:t>and the progression of the changing habitats in Greece with specific examples.</w:t>
      </w:r>
      <w:r w:rsidR="00CB633D">
        <w:rPr>
          <w:rStyle w:val="FootnoteReference"/>
          <w:rFonts w:ascii="Helvetica" w:hAnsi="Helvetica" w:cs="Helvetica"/>
          <w:iCs/>
          <w:color w:val="000000"/>
          <w:lang w:val="en-US"/>
        </w:rPr>
        <w:footnoteReference w:id="11"/>
      </w:r>
      <w:r w:rsidR="00CB633D">
        <w:rPr>
          <w:rFonts w:ascii="Helvetica" w:hAnsi="Helvetica" w:cs="Helvetica"/>
          <w:iCs/>
          <w:color w:val="000000"/>
          <w:lang w:val="en-US"/>
        </w:rPr>
        <w:t xml:space="preserve"> </w:t>
      </w:r>
      <w:r w:rsidR="004008B7">
        <w:rPr>
          <w:rFonts w:ascii="Helvetica" w:hAnsi="Helvetica" w:cs="Helvetica"/>
          <w:iCs/>
          <w:color w:val="000000"/>
          <w:lang w:val="en-US"/>
        </w:rPr>
        <w:t>This section features rather bland listing of plants and very rudimentary descriptions unnecessary in an academic article.</w:t>
      </w:r>
      <w:r w:rsidR="004008B7">
        <w:rPr>
          <w:rStyle w:val="FootnoteReference"/>
          <w:rFonts w:ascii="Helvetica" w:hAnsi="Helvetica" w:cs="Helvetica"/>
          <w:iCs/>
          <w:color w:val="000000"/>
          <w:lang w:val="en-US"/>
        </w:rPr>
        <w:footnoteReference w:id="12"/>
      </w:r>
    </w:p>
    <w:p w14:paraId="57566C15" w14:textId="297D4EBA" w:rsidR="00CB633D" w:rsidRDefault="00CB633D" w:rsidP="00240C45">
      <w:pPr>
        <w:widowControl w:val="0"/>
        <w:autoSpaceDE w:val="0"/>
        <w:autoSpaceDN w:val="0"/>
        <w:adjustRightInd w:val="0"/>
        <w:rPr>
          <w:rFonts w:ascii="Helvetica" w:hAnsi="Helvetica" w:cs="Helvetica"/>
          <w:iCs/>
          <w:color w:val="000000"/>
        </w:rPr>
      </w:pPr>
    </w:p>
    <w:p w14:paraId="4741FB07" w14:textId="7F6F5E13" w:rsidR="00CB633D" w:rsidRDefault="00CB633D"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The sixth section describes the fauna of Greece, the interconnected diverse ecosystems, how the Greeks perceived and interacted with these creatures,</w:t>
      </w:r>
      <w:r w:rsidR="001809AE">
        <w:rPr>
          <w:rFonts w:ascii="Helvetica" w:hAnsi="Helvetica" w:cs="Helvetica"/>
          <w:iCs/>
          <w:color w:val="000000"/>
        </w:rPr>
        <w:t xml:space="preserve"> and the uses and importance of both wild and domesticated animals.</w:t>
      </w:r>
      <w:r w:rsidR="001809AE">
        <w:rPr>
          <w:rStyle w:val="FootnoteReference"/>
          <w:rFonts w:ascii="Helvetica" w:hAnsi="Helvetica" w:cs="Helvetica"/>
          <w:iCs/>
          <w:color w:val="000000"/>
        </w:rPr>
        <w:footnoteReference w:id="13"/>
      </w:r>
      <w:r>
        <w:rPr>
          <w:rFonts w:ascii="Helvetica" w:hAnsi="Helvetica" w:cs="Helvetica"/>
          <w:iCs/>
          <w:color w:val="000000"/>
        </w:rPr>
        <w:t xml:space="preserve"> The </w:t>
      </w:r>
      <w:r w:rsidR="001809AE">
        <w:rPr>
          <w:rFonts w:ascii="Helvetica" w:hAnsi="Helvetica" w:cs="Helvetica"/>
          <w:iCs/>
          <w:color w:val="000000"/>
        </w:rPr>
        <w:t>defining of predators being a trophic level</w:t>
      </w:r>
      <w:r>
        <w:rPr>
          <w:rFonts w:ascii="Helvetica" w:hAnsi="Helvetica" w:cs="Helvetica"/>
          <w:iCs/>
          <w:color w:val="000000"/>
        </w:rPr>
        <w:t xml:space="preserve"> with no definition of the term is jarring as the primary </w:t>
      </w:r>
      <w:r>
        <w:rPr>
          <w:rFonts w:ascii="Helvetica" w:hAnsi="Helvetica" w:cs="Helvetica"/>
          <w:iCs/>
          <w:color w:val="000000"/>
        </w:rPr>
        <w:lastRenderedPageBreak/>
        <w:t>and secondary trophic levels were not defined as such.</w:t>
      </w:r>
      <w:r w:rsidR="001809AE">
        <w:rPr>
          <w:rStyle w:val="FootnoteReference"/>
          <w:rFonts w:ascii="Helvetica" w:hAnsi="Helvetica" w:cs="Helvetica"/>
          <w:iCs/>
          <w:color w:val="000000"/>
        </w:rPr>
        <w:footnoteReference w:id="14"/>
      </w:r>
    </w:p>
    <w:p w14:paraId="5FA8E625" w14:textId="6D91F29B" w:rsidR="001809AE" w:rsidRDefault="001809AE" w:rsidP="00240C45">
      <w:pPr>
        <w:widowControl w:val="0"/>
        <w:autoSpaceDE w:val="0"/>
        <w:autoSpaceDN w:val="0"/>
        <w:adjustRightInd w:val="0"/>
        <w:rPr>
          <w:rFonts w:ascii="Helvetica" w:hAnsi="Helvetica" w:cs="Helvetica"/>
          <w:iCs/>
          <w:color w:val="000000"/>
        </w:rPr>
      </w:pPr>
    </w:p>
    <w:p w14:paraId="131503FF" w14:textId="265F29A5" w:rsidR="001809AE" w:rsidRDefault="001809AE"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 xml:space="preserve">The seventh section </w:t>
      </w:r>
      <w:r w:rsidR="002D2278">
        <w:rPr>
          <w:rFonts w:ascii="Helvetica" w:hAnsi="Helvetica" w:cs="Helvetica"/>
          <w:iCs/>
          <w:color w:val="000000"/>
        </w:rPr>
        <w:t>describes</w:t>
      </w:r>
      <w:r>
        <w:rPr>
          <w:rFonts w:ascii="Helvetica" w:hAnsi="Helvetica" w:cs="Helvetica"/>
          <w:iCs/>
          <w:color w:val="000000"/>
        </w:rPr>
        <w:t xml:space="preserve"> the</w:t>
      </w:r>
      <w:r w:rsidR="002D2278">
        <w:rPr>
          <w:rFonts w:ascii="Helvetica" w:hAnsi="Helvetica" w:cs="Helvetica"/>
          <w:iCs/>
          <w:color w:val="000000"/>
        </w:rPr>
        <w:t xml:space="preserve"> </w:t>
      </w:r>
      <w:r>
        <w:rPr>
          <w:rFonts w:ascii="Helvetica" w:hAnsi="Helvetica" w:cs="Helvetica"/>
          <w:iCs/>
          <w:color w:val="000000"/>
        </w:rPr>
        <w:t>deforestation that occurred in Greece</w:t>
      </w:r>
      <w:r w:rsidR="009D0438">
        <w:rPr>
          <w:rFonts w:ascii="Helvetica" w:hAnsi="Helvetica" w:cs="Helvetica"/>
          <w:iCs/>
          <w:color w:val="000000"/>
        </w:rPr>
        <w:t>, including</w:t>
      </w:r>
      <w:r>
        <w:rPr>
          <w:rFonts w:ascii="Helvetica" w:hAnsi="Helvetica" w:cs="Helvetica"/>
          <w:iCs/>
          <w:color w:val="000000"/>
        </w:rPr>
        <w:t xml:space="preserve"> the reasons</w:t>
      </w:r>
      <w:r w:rsidR="009D0438">
        <w:rPr>
          <w:rFonts w:ascii="Helvetica" w:hAnsi="Helvetica" w:cs="Helvetica"/>
          <w:iCs/>
          <w:color w:val="000000"/>
        </w:rPr>
        <w:t>, methods, and</w:t>
      </w:r>
      <w:r>
        <w:rPr>
          <w:rFonts w:ascii="Helvetica" w:hAnsi="Helvetica" w:cs="Helvetica"/>
          <w:iCs/>
          <w:color w:val="000000"/>
        </w:rPr>
        <w:t xml:space="preserve"> environmental results of this.</w:t>
      </w:r>
      <w:r>
        <w:rPr>
          <w:rStyle w:val="FootnoteReference"/>
          <w:rFonts w:ascii="Helvetica" w:hAnsi="Helvetica" w:cs="Helvetica"/>
          <w:iCs/>
          <w:color w:val="000000"/>
        </w:rPr>
        <w:footnoteReference w:id="15"/>
      </w:r>
      <w:r w:rsidR="009D0438">
        <w:rPr>
          <w:rFonts w:ascii="Helvetica" w:hAnsi="Helvetica" w:cs="Helvetica"/>
          <w:iCs/>
          <w:color w:val="000000"/>
        </w:rPr>
        <w:t xml:space="preserve"> It also says that shipbuilding was a major factor for these acts, as too was the expansion of cities and industry, giving examples throughout.</w:t>
      </w:r>
      <w:r w:rsidR="009D0438">
        <w:rPr>
          <w:rStyle w:val="FootnoteReference"/>
          <w:rFonts w:ascii="Helvetica" w:hAnsi="Helvetica" w:cs="Helvetica"/>
          <w:iCs/>
          <w:color w:val="000000"/>
        </w:rPr>
        <w:footnoteReference w:id="16"/>
      </w:r>
      <w:r w:rsidR="009D0438">
        <w:rPr>
          <w:rFonts w:ascii="Helvetica" w:hAnsi="Helvetica" w:cs="Helvetica"/>
          <w:iCs/>
          <w:color w:val="000000"/>
        </w:rPr>
        <w:t xml:space="preserve"> This is the longest section, and it is clear that environmental issues in the ancient world are important to the author, as he recounts even at the time they had concerns, and some even attempted to regulate the deforestation.</w:t>
      </w:r>
      <w:r w:rsidR="009D0438">
        <w:rPr>
          <w:rStyle w:val="FootnoteReference"/>
          <w:rFonts w:ascii="Helvetica" w:hAnsi="Helvetica" w:cs="Helvetica"/>
          <w:iCs/>
          <w:color w:val="000000"/>
        </w:rPr>
        <w:footnoteReference w:id="17"/>
      </w:r>
      <w:r w:rsidR="0069160E">
        <w:rPr>
          <w:rFonts w:ascii="Helvetica" w:hAnsi="Helvetica" w:cs="Helvetica"/>
          <w:iCs/>
          <w:color w:val="000000"/>
        </w:rPr>
        <w:t xml:space="preserve"> The section seems to be bound strictly to the topic, but flows awkwardly, as </w:t>
      </w:r>
      <w:r w:rsidR="005448D4">
        <w:rPr>
          <w:rFonts w:ascii="Helvetica" w:hAnsi="Helvetica" w:cs="Helvetica"/>
          <w:iCs/>
          <w:color w:val="000000"/>
        </w:rPr>
        <w:t xml:space="preserve">some </w:t>
      </w:r>
      <w:r w:rsidR="0069160E">
        <w:rPr>
          <w:rFonts w:ascii="Helvetica" w:hAnsi="Helvetica" w:cs="Helvetica"/>
          <w:iCs/>
          <w:color w:val="000000"/>
        </w:rPr>
        <w:t>paragraphs seem unconnected.</w:t>
      </w:r>
      <w:r w:rsidR="0069160E">
        <w:rPr>
          <w:rStyle w:val="FootnoteReference"/>
          <w:rFonts w:ascii="Helvetica" w:hAnsi="Helvetica" w:cs="Helvetica"/>
          <w:iCs/>
          <w:color w:val="000000"/>
        </w:rPr>
        <w:footnoteReference w:id="18"/>
      </w:r>
    </w:p>
    <w:p w14:paraId="0B8341AC" w14:textId="457B1CBB" w:rsidR="005448D4" w:rsidRDefault="005448D4" w:rsidP="00240C45">
      <w:pPr>
        <w:widowControl w:val="0"/>
        <w:autoSpaceDE w:val="0"/>
        <w:autoSpaceDN w:val="0"/>
        <w:adjustRightInd w:val="0"/>
        <w:rPr>
          <w:rFonts w:ascii="Helvetica" w:hAnsi="Helvetica" w:cs="Helvetica"/>
          <w:iCs/>
          <w:color w:val="000000"/>
        </w:rPr>
      </w:pPr>
    </w:p>
    <w:p w14:paraId="1F0A0315" w14:textId="7E9D32C0" w:rsidR="005448D4" w:rsidRDefault="005448D4"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The eighth section is about the farming of domestic livestock, and how that seriously changes the environment as all unused lands were used for grazing.</w:t>
      </w:r>
      <w:r>
        <w:rPr>
          <w:rStyle w:val="FootnoteReference"/>
          <w:rFonts w:ascii="Helvetica" w:hAnsi="Helvetica" w:cs="Helvetica"/>
          <w:iCs/>
          <w:color w:val="000000"/>
        </w:rPr>
        <w:footnoteReference w:id="19"/>
      </w:r>
      <w:r>
        <w:rPr>
          <w:rFonts w:ascii="Helvetica" w:hAnsi="Helvetica" w:cs="Helvetica"/>
          <w:iCs/>
          <w:color w:val="000000"/>
        </w:rPr>
        <w:t xml:space="preserve"> The author emphasises the issues with pasturing a combination of livestock, as it degrades the natural flora of the area, eradicating habitats.</w:t>
      </w:r>
      <w:r>
        <w:rPr>
          <w:rStyle w:val="FootnoteReference"/>
          <w:rFonts w:ascii="Helvetica" w:hAnsi="Helvetica" w:cs="Helvetica"/>
          <w:iCs/>
          <w:color w:val="000000"/>
        </w:rPr>
        <w:footnoteReference w:id="20"/>
      </w:r>
      <w:r>
        <w:rPr>
          <w:rFonts w:ascii="Helvetica" w:hAnsi="Helvetica" w:cs="Helvetica"/>
          <w:iCs/>
          <w:color w:val="000000"/>
        </w:rPr>
        <w:t xml:space="preserve"> Again Hughes notes that the people of the time knew about these issues, showing their awareness of their damage to nature.</w:t>
      </w:r>
      <w:r>
        <w:rPr>
          <w:rStyle w:val="FootnoteReference"/>
          <w:rFonts w:ascii="Helvetica" w:hAnsi="Helvetica" w:cs="Helvetica"/>
          <w:iCs/>
          <w:color w:val="000000"/>
        </w:rPr>
        <w:footnoteReference w:id="21"/>
      </w:r>
    </w:p>
    <w:p w14:paraId="6FB0DAD2" w14:textId="6EC799DB" w:rsidR="005448D4" w:rsidRDefault="005448D4" w:rsidP="00240C45">
      <w:pPr>
        <w:widowControl w:val="0"/>
        <w:autoSpaceDE w:val="0"/>
        <w:autoSpaceDN w:val="0"/>
        <w:adjustRightInd w:val="0"/>
        <w:rPr>
          <w:rFonts w:ascii="Helvetica" w:hAnsi="Helvetica" w:cs="Helvetica"/>
          <w:iCs/>
          <w:color w:val="000000"/>
        </w:rPr>
      </w:pPr>
    </w:p>
    <w:p w14:paraId="7A66523A" w14:textId="6CA6E782" w:rsidR="005448D4" w:rsidRDefault="005448D4"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The ninth section discusses the erosion of the soils, and the contortion and disappearance of geographical features such as rivers, and how this was caused by human action and natural phenomena.</w:t>
      </w:r>
      <w:r w:rsidR="007F5391">
        <w:rPr>
          <w:rStyle w:val="FootnoteReference"/>
          <w:rFonts w:ascii="Helvetica" w:hAnsi="Helvetica" w:cs="Helvetica"/>
          <w:iCs/>
          <w:color w:val="000000"/>
        </w:rPr>
        <w:footnoteReference w:id="22"/>
      </w:r>
      <w:r w:rsidR="007F5391">
        <w:rPr>
          <w:rFonts w:ascii="Helvetica" w:hAnsi="Helvetica" w:cs="Helvetica"/>
          <w:iCs/>
          <w:color w:val="000000"/>
        </w:rPr>
        <w:t xml:space="preserve"> Hughes puts a large stress on the act of deforestation, citing evidence and arguing effectively for this.</w:t>
      </w:r>
      <w:r w:rsidR="007F5391">
        <w:rPr>
          <w:rStyle w:val="FootnoteReference"/>
          <w:rFonts w:ascii="Helvetica" w:hAnsi="Helvetica" w:cs="Helvetica"/>
          <w:iCs/>
          <w:color w:val="000000"/>
        </w:rPr>
        <w:footnoteReference w:id="23"/>
      </w:r>
    </w:p>
    <w:p w14:paraId="5A0C49E2" w14:textId="44335A4D" w:rsidR="007F5391" w:rsidRDefault="007F5391" w:rsidP="00240C45">
      <w:pPr>
        <w:widowControl w:val="0"/>
        <w:autoSpaceDE w:val="0"/>
        <w:autoSpaceDN w:val="0"/>
        <w:adjustRightInd w:val="0"/>
        <w:rPr>
          <w:rFonts w:ascii="Helvetica" w:hAnsi="Helvetica" w:cs="Helvetica"/>
          <w:iCs/>
          <w:color w:val="000000"/>
        </w:rPr>
      </w:pPr>
    </w:p>
    <w:p w14:paraId="011C0AF4" w14:textId="3BDC58DA" w:rsidR="007F5391" w:rsidRDefault="007F5391"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The ninth section is the conclusion, which highlights the connections of human interaction in the ancient world and the environmental impact that it has caused.</w:t>
      </w:r>
      <w:r>
        <w:rPr>
          <w:rStyle w:val="FootnoteReference"/>
          <w:rFonts w:ascii="Helvetica" w:hAnsi="Helvetica" w:cs="Helvetica"/>
          <w:iCs/>
          <w:color w:val="000000"/>
        </w:rPr>
        <w:footnoteReference w:id="24"/>
      </w:r>
      <w:r>
        <w:rPr>
          <w:rFonts w:ascii="Helvetica" w:hAnsi="Helvetica" w:cs="Helvetica"/>
          <w:iCs/>
          <w:color w:val="000000"/>
        </w:rPr>
        <w:t xml:space="preserve"> Hughes also stresses to the reader the importance of recognising the </w:t>
      </w:r>
      <w:r w:rsidR="00255A0B">
        <w:rPr>
          <w:rFonts w:ascii="Helvetica" w:hAnsi="Helvetica" w:cs="Helvetica"/>
          <w:iCs/>
          <w:color w:val="000000"/>
        </w:rPr>
        <w:t>interactions of different ecological systems and humans, just as the ancient writers acknowledged the importance of the environmental change they had caused.</w:t>
      </w:r>
      <w:r w:rsidR="00255A0B">
        <w:rPr>
          <w:rStyle w:val="FootnoteReference"/>
          <w:rFonts w:ascii="Helvetica" w:hAnsi="Helvetica" w:cs="Helvetica"/>
          <w:iCs/>
          <w:color w:val="000000"/>
        </w:rPr>
        <w:footnoteReference w:id="25"/>
      </w:r>
    </w:p>
    <w:p w14:paraId="0F4969B5" w14:textId="0E68F550" w:rsidR="000F2A73" w:rsidRDefault="000F2A73" w:rsidP="00240C45">
      <w:pPr>
        <w:widowControl w:val="0"/>
        <w:autoSpaceDE w:val="0"/>
        <w:autoSpaceDN w:val="0"/>
        <w:adjustRightInd w:val="0"/>
        <w:rPr>
          <w:rFonts w:ascii="Helvetica" w:hAnsi="Helvetica" w:cs="Helvetica"/>
          <w:iCs/>
          <w:color w:val="000000"/>
        </w:rPr>
      </w:pPr>
    </w:p>
    <w:p w14:paraId="63F3D193" w14:textId="5D4D97AC" w:rsidR="000F2A73" w:rsidRDefault="000F2A73"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 xml:space="preserve">In conclusion, Throughout the book most of the terminology is either simple or explained, and this text is very accessible to anyone with an interest in the topics, but not someone who is </w:t>
      </w:r>
      <w:r w:rsidR="002D2278">
        <w:rPr>
          <w:rFonts w:ascii="Helvetica" w:hAnsi="Helvetica" w:cs="Helvetica"/>
          <w:iCs/>
          <w:color w:val="000000"/>
        </w:rPr>
        <w:t>knowledgeable</w:t>
      </w:r>
      <w:r>
        <w:rPr>
          <w:rFonts w:ascii="Helvetica" w:hAnsi="Helvetica" w:cs="Helvetica"/>
          <w:iCs/>
          <w:color w:val="000000"/>
        </w:rPr>
        <w:t xml:space="preserve"> in them.</w:t>
      </w:r>
      <w:r>
        <w:rPr>
          <w:rStyle w:val="FootnoteReference"/>
          <w:rFonts w:ascii="Helvetica" w:hAnsi="Helvetica" w:cs="Helvetica"/>
          <w:iCs/>
          <w:color w:val="000000"/>
        </w:rPr>
        <w:footnoteReference w:id="26"/>
      </w:r>
      <w:r>
        <w:rPr>
          <w:rFonts w:ascii="Helvetica" w:hAnsi="Helvetica" w:cs="Helvetica"/>
          <w:iCs/>
          <w:color w:val="000000"/>
        </w:rPr>
        <w:t xml:space="preserve"> </w:t>
      </w:r>
      <w:r w:rsidR="002D2278">
        <w:rPr>
          <w:rFonts w:ascii="Helvetica" w:hAnsi="Helvetica" w:cs="Helvetica"/>
          <w:iCs/>
          <w:color w:val="000000"/>
        </w:rPr>
        <w:t xml:space="preserve">Hughes succeeds in his attempt to describe his aims, </w:t>
      </w:r>
      <w:r>
        <w:rPr>
          <w:rFonts w:ascii="Helvetica" w:hAnsi="Helvetica" w:cs="Helvetica"/>
          <w:iCs/>
          <w:color w:val="000000"/>
        </w:rPr>
        <w:t xml:space="preserve">However, whilst </w:t>
      </w:r>
      <w:r w:rsidR="002D2278">
        <w:rPr>
          <w:rFonts w:ascii="Helvetica" w:hAnsi="Helvetica" w:cs="Helvetica"/>
          <w:iCs/>
          <w:color w:val="000000"/>
        </w:rPr>
        <w:t xml:space="preserve">it is relatively easy to read </w:t>
      </w:r>
      <w:r>
        <w:rPr>
          <w:rFonts w:ascii="Helvetica" w:hAnsi="Helvetica" w:cs="Helvetica"/>
          <w:iCs/>
          <w:color w:val="000000"/>
        </w:rPr>
        <w:t xml:space="preserve">due to the explanations and sections, the referencing is </w:t>
      </w:r>
      <w:r w:rsidR="002D2278">
        <w:rPr>
          <w:rFonts w:ascii="Helvetica" w:hAnsi="Helvetica" w:cs="Helvetica"/>
          <w:iCs/>
          <w:color w:val="000000"/>
        </w:rPr>
        <w:t>incomplete</w:t>
      </w:r>
      <w:r>
        <w:rPr>
          <w:rFonts w:ascii="Helvetica" w:hAnsi="Helvetica" w:cs="Helvetica"/>
          <w:iCs/>
          <w:color w:val="000000"/>
        </w:rPr>
        <w:t>, and very inconsistent, with several things needing references not having them</w:t>
      </w:r>
      <w:r w:rsidR="002D2278">
        <w:rPr>
          <w:rFonts w:ascii="Helvetica" w:hAnsi="Helvetica" w:cs="Helvetica"/>
          <w:iCs/>
          <w:color w:val="000000"/>
        </w:rPr>
        <w:t>,</w:t>
      </w:r>
      <w:r>
        <w:rPr>
          <w:rFonts w:ascii="Helvetica" w:hAnsi="Helvetica" w:cs="Helvetica"/>
          <w:iCs/>
          <w:color w:val="000000"/>
        </w:rPr>
        <w:t xml:space="preserve"> </w:t>
      </w:r>
      <w:r w:rsidR="002D2278">
        <w:rPr>
          <w:rFonts w:ascii="Helvetica" w:hAnsi="Helvetica" w:cs="Helvetica"/>
          <w:iCs/>
          <w:color w:val="000000"/>
        </w:rPr>
        <w:t xml:space="preserve">forcing </w:t>
      </w:r>
      <w:r>
        <w:rPr>
          <w:rFonts w:ascii="Helvetica" w:hAnsi="Helvetica" w:cs="Helvetica"/>
          <w:iCs/>
          <w:color w:val="000000"/>
        </w:rPr>
        <w:t>an interested reader to s</w:t>
      </w:r>
      <w:r w:rsidR="002D2278">
        <w:rPr>
          <w:rFonts w:ascii="Helvetica" w:hAnsi="Helvetica" w:cs="Helvetica"/>
          <w:iCs/>
          <w:color w:val="000000"/>
        </w:rPr>
        <w:t>cour</w:t>
      </w:r>
      <w:r>
        <w:rPr>
          <w:rFonts w:ascii="Helvetica" w:hAnsi="Helvetica" w:cs="Helvetica"/>
          <w:iCs/>
          <w:color w:val="000000"/>
        </w:rPr>
        <w:t xml:space="preserve"> an entire bibliography.</w:t>
      </w:r>
      <w:r>
        <w:rPr>
          <w:rStyle w:val="FootnoteReference"/>
          <w:rFonts w:ascii="Helvetica" w:hAnsi="Helvetica" w:cs="Helvetica"/>
          <w:iCs/>
          <w:color w:val="000000"/>
        </w:rPr>
        <w:footnoteReference w:id="27"/>
      </w:r>
    </w:p>
    <w:p w14:paraId="757B4B50" w14:textId="77777777" w:rsidR="00446824" w:rsidRDefault="00446824" w:rsidP="00240C45">
      <w:pPr>
        <w:widowControl w:val="0"/>
        <w:autoSpaceDE w:val="0"/>
        <w:autoSpaceDN w:val="0"/>
        <w:adjustRightInd w:val="0"/>
        <w:rPr>
          <w:rFonts w:ascii="Helvetica" w:hAnsi="Helvetica" w:cs="Helvetica"/>
          <w:iCs/>
          <w:color w:val="000000"/>
        </w:rPr>
      </w:pPr>
    </w:p>
    <w:p w14:paraId="6A6D2AA6" w14:textId="2E3A14EC" w:rsidR="004008B7" w:rsidRDefault="00446824"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lastRenderedPageBreak/>
        <w:t>Reference List</w:t>
      </w:r>
      <w:bookmarkStart w:id="0" w:name="_GoBack"/>
      <w:bookmarkEnd w:id="0"/>
      <w:r w:rsidR="004008B7">
        <w:rPr>
          <w:rFonts w:ascii="Helvetica" w:hAnsi="Helvetica" w:cs="Helvetica"/>
          <w:iCs/>
          <w:color w:val="000000"/>
        </w:rPr>
        <w:t>:</w:t>
      </w:r>
    </w:p>
    <w:p w14:paraId="6C944D6E" w14:textId="106B5F10" w:rsidR="004008B7" w:rsidRDefault="004008B7" w:rsidP="00240C45">
      <w:pPr>
        <w:widowControl w:val="0"/>
        <w:autoSpaceDE w:val="0"/>
        <w:autoSpaceDN w:val="0"/>
        <w:adjustRightInd w:val="0"/>
        <w:rPr>
          <w:rFonts w:ascii="Helvetica" w:hAnsi="Helvetica" w:cs="Helvetica"/>
          <w:iCs/>
          <w:color w:val="000000"/>
        </w:rPr>
      </w:pPr>
    </w:p>
    <w:p w14:paraId="022AA416" w14:textId="384711D7" w:rsidR="004008B7" w:rsidRPr="00AF68AD" w:rsidRDefault="004008B7" w:rsidP="00240C45">
      <w:pPr>
        <w:widowControl w:val="0"/>
        <w:autoSpaceDE w:val="0"/>
        <w:autoSpaceDN w:val="0"/>
        <w:adjustRightInd w:val="0"/>
        <w:rPr>
          <w:rFonts w:ascii="Helvetica" w:hAnsi="Helvetica" w:cs="Helvetica"/>
          <w:iCs/>
          <w:color w:val="000000"/>
        </w:rPr>
      </w:pPr>
      <w:r>
        <w:rPr>
          <w:rFonts w:ascii="Helvetica" w:hAnsi="Helvetica" w:cs="Helvetica"/>
          <w:iCs/>
          <w:color w:val="000000"/>
        </w:rPr>
        <w:t xml:space="preserve">Hughes, J.D. 2006. ‘The Natural Environment’, in K.H. </w:t>
      </w:r>
      <w:proofErr w:type="spellStart"/>
      <w:r>
        <w:rPr>
          <w:rFonts w:ascii="Helvetica" w:hAnsi="Helvetica" w:cs="Helvetica"/>
          <w:iCs/>
          <w:color w:val="000000"/>
        </w:rPr>
        <w:t>Kinzl</w:t>
      </w:r>
      <w:proofErr w:type="spellEnd"/>
      <w:r>
        <w:rPr>
          <w:rFonts w:ascii="Helvetica" w:hAnsi="Helvetica" w:cs="Helvetica"/>
          <w:iCs/>
          <w:color w:val="000000"/>
        </w:rPr>
        <w:t xml:space="preserve"> (ed.), </w:t>
      </w:r>
      <w:r>
        <w:rPr>
          <w:rFonts w:ascii="Helvetica" w:hAnsi="Helvetica" w:cs="Helvetica"/>
          <w:i/>
          <w:iCs/>
          <w:color w:val="000000"/>
        </w:rPr>
        <w:t>A COMPANION TO THE CLASSICAL GREEK WORLD.</w:t>
      </w:r>
      <w:r>
        <w:rPr>
          <w:rFonts w:ascii="Helvetica" w:hAnsi="Helvetica" w:cs="Helvetica"/>
          <w:iCs/>
          <w:color w:val="000000"/>
        </w:rPr>
        <w:t xml:space="preserve"> Oxford: Wiley-Blackwell, 227-244.  </w:t>
      </w:r>
    </w:p>
    <w:sectPr w:rsidR="004008B7" w:rsidRPr="00AF68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C3046" w14:textId="77777777" w:rsidR="005D7977" w:rsidRDefault="005D7977" w:rsidP="00DC10A2">
      <w:r>
        <w:separator/>
      </w:r>
    </w:p>
  </w:endnote>
  <w:endnote w:type="continuationSeparator" w:id="0">
    <w:p w14:paraId="60CE9E28" w14:textId="77777777" w:rsidR="005D7977" w:rsidRDefault="005D7977" w:rsidP="00DC1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242F6" w14:textId="77777777" w:rsidR="005D7977" w:rsidRDefault="005D7977" w:rsidP="00DC10A2">
      <w:r>
        <w:separator/>
      </w:r>
    </w:p>
  </w:footnote>
  <w:footnote w:type="continuationSeparator" w:id="0">
    <w:p w14:paraId="2803AA4F" w14:textId="77777777" w:rsidR="005D7977" w:rsidRDefault="005D7977" w:rsidP="00DC10A2">
      <w:r>
        <w:continuationSeparator/>
      </w:r>
    </w:p>
  </w:footnote>
  <w:footnote w:id="1">
    <w:p w14:paraId="029BF693" w14:textId="32ABD6E7" w:rsidR="00DC10A2" w:rsidRDefault="00DC10A2">
      <w:pPr>
        <w:pStyle w:val="FootnoteText"/>
      </w:pPr>
      <w:r>
        <w:rPr>
          <w:rStyle w:val="FootnoteReference"/>
        </w:rPr>
        <w:footnoteRef/>
      </w:r>
      <w:r>
        <w:t xml:space="preserve"> Hughes 2006: 227,241-242</w:t>
      </w:r>
      <w:r w:rsidR="009779C7">
        <w:t>.</w:t>
      </w:r>
    </w:p>
  </w:footnote>
  <w:footnote w:id="2">
    <w:p w14:paraId="62EF3200" w14:textId="5D12345C" w:rsidR="00DC10A2" w:rsidRDefault="00DC10A2">
      <w:pPr>
        <w:pStyle w:val="FootnoteText"/>
      </w:pPr>
      <w:r>
        <w:rPr>
          <w:rStyle w:val="FootnoteReference"/>
        </w:rPr>
        <w:footnoteRef/>
      </w:r>
      <w:r>
        <w:t xml:space="preserve"> Hughes 2006: 227,241-242</w:t>
      </w:r>
      <w:r w:rsidR="009779C7">
        <w:t>.</w:t>
      </w:r>
    </w:p>
  </w:footnote>
  <w:footnote w:id="3">
    <w:p w14:paraId="48893D72" w14:textId="6CF2D93C" w:rsidR="00340AB4" w:rsidRDefault="00340AB4">
      <w:pPr>
        <w:pStyle w:val="FootnoteText"/>
      </w:pPr>
      <w:r>
        <w:rPr>
          <w:rStyle w:val="FootnoteReference"/>
        </w:rPr>
        <w:footnoteRef/>
      </w:r>
      <w:r>
        <w:t xml:space="preserve"> Hughes 2006: 227-242</w:t>
      </w:r>
      <w:r w:rsidR="009779C7">
        <w:t>.</w:t>
      </w:r>
    </w:p>
  </w:footnote>
  <w:footnote w:id="4">
    <w:p w14:paraId="53FB6687" w14:textId="12E2B231" w:rsidR="00340AB4" w:rsidRDefault="00340AB4">
      <w:pPr>
        <w:pStyle w:val="FootnoteText"/>
      </w:pPr>
      <w:r>
        <w:rPr>
          <w:rStyle w:val="FootnoteReference"/>
        </w:rPr>
        <w:footnoteRef/>
      </w:r>
      <w:r>
        <w:t xml:space="preserve"> Hughes 2006: 227-242</w:t>
      </w:r>
      <w:r w:rsidR="009779C7">
        <w:t>.</w:t>
      </w:r>
    </w:p>
  </w:footnote>
  <w:footnote w:id="5">
    <w:p w14:paraId="3D1B9AD1" w14:textId="3B84C7E9" w:rsidR="00340AB4" w:rsidRDefault="00340AB4">
      <w:pPr>
        <w:pStyle w:val="FootnoteText"/>
      </w:pPr>
      <w:r>
        <w:rPr>
          <w:rStyle w:val="FootnoteReference"/>
        </w:rPr>
        <w:footnoteRef/>
      </w:r>
      <w:r>
        <w:t xml:space="preserve"> Hughes 2006: 227</w:t>
      </w:r>
      <w:r w:rsidR="009779C7">
        <w:t>.</w:t>
      </w:r>
    </w:p>
  </w:footnote>
  <w:footnote w:id="6">
    <w:p w14:paraId="318BAA60" w14:textId="6FF60BE2" w:rsidR="00AF68AD" w:rsidRDefault="00AF68AD">
      <w:pPr>
        <w:pStyle w:val="FootnoteText"/>
      </w:pPr>
      <w:r>
        <w:rPr>
          <w:rStyle w:val="FootnoteReference"/>
        </w:rPr>
        <w:footnoteRef/>
      </w:r>
      <w:r>
        <w:t xml:space="preserve"> Hughes 2006: 228</w:t>
      </w:r>
      <w:r w:rsidR="009779C7">
        <w:t>.</w:t>
      </w:r>
    </w:p>
  </w:footnote>
  <w:footnote w:id="7">
    <w:p w14:paraId="632411C5" w14:textId="4D32DFED" w:rsidR="000F2A73" w:rsidRDefault="000F2A73">
      <w:pPr>
        <w:pStyle w:val="FootnoteText"/>
      </w:pPr>
      <w:r>
        <w:rPr>
          <w:rStyle w:val="FootnoteReference"/>
        </w:rPr>
        <w:footnoteRef/>
      </w:r>
      <w:r>
        <w:t xml:space="preserve"> Hughes 2006: 228</w:t>
      </w:r>
      <w:r w:rsidR="009779C7">
        <w:t>.</w:t>
      </w:r>
    </w:p>
  </w:footnote>
  <w:footnote w:id="8">
    <w:p w14:paraId="1DF106A7" w14:textId="33C566A2" w:rsidR="00AF68AD" w:rsidRDefault="00AF68AD">
      <w:pPr>
        <w:pStyle w:val="FootnoteText"/>
      </w:pPr>
      <w:r>
        <w:rPr>
          <w:rStyle w:val="FootnoteReference"/>
        </w:rPr>
        <w:footnoteRef/>
      </w:r>
      <w:r>
        <w:t xml:space="preserve"> Hughes 2006: 228-229</w:t>
      </w:r>
      <w:r w:rsidR="009779C7">
        <w:t>.</w:t>
      </w:r>
    </w:p>
  </w:footnote>
  <w:footnote w:id="9">
    <w:p w14:paraId="6A14E29E" w14:textId="36FF1F08" w:rsidR="005E01D3" w:rsidRDefault="005E01D3">
      <w:pPr>
        <w:pStyle w:val="FootnoteText"/>
      </w:pPr>
      <w:r>
        <w:rPr>
          <w:rStyle w:val="FootnoteReference"/>
        </w:rPr>
        <w:footnoteRef/>
      </w:r>
      <w:r>
        <w:t xml:space="preserve"> Hughes 2006: 228-229</w:t>
      </w:r>
      <w:r w:rsidR="009779C7">
        <w:t>.</w:t>
      </w:r>
    </w:p>
  </w:footnote>
  <w:footnote w:id="10">
    <w:p w14:paraId="57685D16" w14:textId="74564900" w:rsidR="00E34E4F" w:rsidRDefault="00E34E4F">
      <w:pPr>
        <w:pStyle w:val="FootnoteText"/>
      </w:pPr>
      <w:r>
        <w:rPr>
          <w:rStyle w:val="FootnoteReference"/>
        </w:rPr>
        <w:footnoteRef/>
      </w:r>
      <w:r>
        <w:t xml:space="preserve"> Hughes 2006: 229-230</w:t>
      </w:r>
      <w:r w:rsidR="009779C7">
        <w:t>.</w:t>
      </w:r>
    </w:p>
  </w:footnote>
  <w:footnote w:id="11">
    <w:p w14:paraId="549B2D69" w14:textId="2D3B6FB3" w:rsidR="00CB633D" w:rsidRDefault="00CB633D">
      <w:pPr>
        <w:pStyle w:val="FootnoteText"/>
      </w:pPr>
      <w:r>
        <w:rPr>
          <w:rStyle w:val="FootnoteReference"/>
        </w:rPr>
        <w:footnoteRef/>
      </w:r>
      <w:r>
        <w:t xml:space="preserve"> Hughes 2006: 230-232</w:t>
      </w:r>
      <w:r w:rsidR="009779C7">
        <w:t>.</w:t>
      </w:r>
    </w:p>
  </w:footnote>
  <w:footnote w:id="12">
    <w:p w14:paraId="02673443" w14:textId="5C38F2AD" w:rsidR="004008B7" w:rsidRDefault="004008B7">
      <w:pPr>
        <w:pStyle w:val="FootnoteText"/>
      </w:pPr>
      <w:r>
        <w:rPr>
          <w:rStyle w:val="FootnoteReference"/>
        </w:rPr>
        <w:footnoteRef/>
      </w:r>
      <w:r>
        <w:t xml:space="preserve"> Hughes 2006: 230-232</w:t>
      </w:r>
      <w:r w:rsidR="009779C7">
        <w:t>.</w:t>
      </w:r>
    </w:p>
  </w:footnote>
  <w:footnote w:id="13">
    <w:p w14:paraId="345C8645" w14:textId="0FC2D016" w:rsidR="001809AE" w:rsidRDefault="001809AE">
      <w:pPr>
        <w:pStyle w:val="FootnoteText"/>
      </w:pPr>
      <w:r>
        <w:rPr>
          <w:rStyle w:val="FootnoteReference"/>
        </w:rPr>
        <w:footnoteRef/>
      </w:r>
      <w:r>
        <w:t xml:space="preserve"> Hughes 2006: 232-234</w:t>
      </w:r>
      <w:r w:rsidR="009779C7">
        <w:t>.</w:t>
      </w:r>
    </w:p>
  </w:footnote>
  <w:footnote w:id="14">
    <w:p w14:paraId="68CFEB8C" w14:textId="05FB7400" w:rsidR="001809AE" w:rsidRDefault="001809AE">
      <w:pPr>
        <w:pStyle w:val="FootnoteText"/>
      </w:pPr>
      <w:r>
        <w:rPr>
          <w:rStyle w:val="FootnoteReference"/>
        </w:rPr>
        <w:footnoteRef/>
      </w:r>
      <w:r>
        <w:t xml:space="preserve"> Hughes 2006:233</w:t>
      </w:r>
      <w:r w:rsidR="009779C7">
        <w:t>.</w:t>
      </w:r>
    </w:p>
  </w:footnote>
  <w:footnote w:id="15">
    <w:p w14:paraId="28BD474C" w14:textId="1A9DDDFF" w:rsidR="001809AE" w:rsidRDefault="001809AE">
      <w:pPr>
        <w:pStyle w:val="FootnoteText"/>
      </w:pPr>
      <w:r>
        <w:rPr>
          <w:rStyle w:val="FootnoteReference"/>
        </w:rPr>
        <w:footnoteRef/>
      </w:r>
      <w:r>
        <w:t xml:space="preserve"> Hughes 2006: </w:t>
      </w:r>
      <w:r w:rsidR="009D0438">
        <w:t>234-238</w:t>
      </w:r>
      <w:r w:rsidR="009779C7">
        <w:t>.</w:t>
      </w:r>
    </w:p>
  </w:footnote>
  <w:footnote w:id="16">
    <w:p w14:paraId="5FC17B63" w14:textId="355A49BE" w:rsidR="009D0438" w:rsidRDefault="009D0438">
      <w:pPr>
        <w:pStyle w:val="FootnoteText"/>
      </w:pPr>
      <w:r>
        <w:rPr>
          <w:rStyle w:val="FootnoteReference"/>
        </w:rPr>
        <w:footnoteRef/>
      </w:r>
      <w:r>
        <w:t xml:space="preserve"> Hughes 2006: 235-237</w:t>
      </w:r>
      <w:r w:rsidR="009779C7">
        <w:t>.</w:t>
      </w:r>
    </w:p>
  </w:footnote>
  <w:footnote w:id="17">
    <w:p w14:paraId="5EFB1A2B" w14:textId="63CBCA26" w:rsidR="009D0438" w:rsidRDefault="009D0438">
      <w:pPr>
        <w:pStyle w:val="FootnoteText"/>
      </w:pPr>
      <w:r>
        <w:rPr>
          <w:rStyle w:val="FootnoteReference"/>
        </w:rPr>
        <w:footnoteRef/>
      </w:r>
      <w:r>
        <w:t xml:space="preserve"> Hughes 2006: 234-239</w:t>
      </w:r>
      <w:r w:rsidR="009779C7">
        <w:t>.</w:t>
      </w:r>
    </w:p>
  </w:footnote>
  <w:footnote w:id="18">
    <w:p w14:paraId="4C66D392" w14:textId="1C1702A0" w:rsidR="0069160E" w:rsidRDefault="0069160E">
      <w:pPr>
        <w:pStyle w:val="FootnoteText"/>
      </w:pPr>
      <w:r>
        <w:rPr>
          <w:rStyle w:val="FootnoteReference"/>
        </w:rPr>
        <w:footnoteRef/>
      </w:r>
      <w:r>
        <w:t xml:space="preserve"> Hughes 2006: 234-239</w:t>
      </w:r>
      <w:r w:rsidR="009779C7">
        <w:t>.</w:t>
      </w:r>
    </w:p>
  </w:footnote>
  <w:footnote w:id="19">
    <w:p w14:paraId="64321DE0" w14:textId="39CC8067" w:rsidR="005448D4" w:rsidRDefault="005448D4">
      <w:pPr>
        <w:pStyle w:val="FootnoteText"/>
      </w:pPr>
      <w:r>
        <w:rPr>
          <w:rStyle w:val="FootnoteReference"/>
        </w:rPr>
        <w:footnoteRef/>
      </w:r>
      <w:r>
        <w:t xml:space="preserve"> Hughes 2006: 239-240</w:t>
      </w:r>
      <w:r w:rsidR="009779C7">
        <w:t>.</w:t>
      </w:r>
    </w:p>
  </w:footnote>
  <w:footnote w:id="20">
    <w:p w14:paraId="7ECFB635" w14:textId="7566C5CF" w:rsidR="005448D4" w:rsidRDefault="005448D4">
      <w:pPr>
        <w:pStyle w:val="FootnoteText"/>
      </w:pPr>
      <w:r>
        <w:rPr>
          <w:rStyle w:val="FootnoteReference"/>
        </w:rPr>
        <w:footnoteRef/>
      </w:r>
      <w:r>
        <w:t xml:space="preserve"> Hughes 2006: 239-240</w:t>
      </w:r>
      <w:r w:rsidR="009779C7">
        <w:t>.</w:t>
      </w:r>
    </w:p>
  </w:footnote>
  <w:footnote w:id="21">
    <w:p w14:paraId="5F9D0882" w14:textId="02BF809A" w:rsidR="005448D4" w:rsidRDefault="005448D4">
      <w:pPr>
        <w:pStyle w:val="FootnoteText"/>
      </w:pPr>
      <w:r>
        <w:rPr>
          <w:rStyle w:val="FootnoteReference"/>
        </w:rPr>
        <w:footnoteRef/>
      </w:r>
      <w:r>
        <w:t xml:space="preserve"> Hughes 2006: 240</w:t>
      </w:r>
      <w:r w:rsidR="009779C7">
        <w:t>.</w:t>
      </w:r>
    </w:p>
  </w:footnote>
  <w:footnote w:id="22">
    <w:p w14:paraId="237C5EEC" w14:textId="07B544BA" w:rsidR="007F5391" w:rsidRDefault="007F5391">
      <w:pPr>
        <w:pStyle w:val="FootnoteText"/>
      </w:pPr>
      <w:r>
        <w:rPr>
          <w:rStyle w:val="FootnoteReference"/>
        </w:rPr>
        <w:footnoteRef/>
      </w:r>
      <w:r>
        <w:t xml:space="preserve"> Hughes 2006:240-241</w:t>
      </w:r>
      <w:r w:rsidR="009779C7">
        <w:t>.</w:t>
      </w:r>
    </w:p>
  </w:footnote>
  <w:footnote w:id="23">
    <w:p w14:paraId="02833CE3" w14:textId="501A5090" w:rsidR="007F5391" w:rsidRDefault="007F5391">
      <w:pPr>
        <w:pStyle w:val="FootnoteText"/>
      </w:pPr>
      <w:r>
        <w:rPr>
          <w:rStyle w:val="FootnoteReference"/>
        </w:rPr>
        <w:footnoteRef/>
      </w:r>
      <w:r>
        <w:t xml:space="preserve"> Hughes 2006: 241</w:t>
      </w:r>
      <w:r w:rsidR="009779C7">
        <w:t>.</w:t>
      </w:r>
    </w:p>
  </w:footnote>
  <w:footnote w:id="24">
    <w:p w14:paraId="002CEEDA" w14:textId="173ED5B3" w:rsidR="007F5391" w:rsidRDefault="007F5391">
      <w:pPr>
        <w:pStyle w:val="FootnoteText"/>
      </w:pPr>
      <w:r>
        <w:rPr>
          <w:rStyle w:val="FootnoteReference"/>
        </w:rPr>
        <w:footnoteRef/>
      </w:r>
      <w:r>
        <w:t xml:space="preserve"> Hughes 2006: 241-242</w:t>
      </w:r>
      <w:r w:rsidR="009779C7">
        <w:t>.</w:t>
      </w:r>
    </w:p>
  </w:footnote>
  <w:footnote w:id="25">
    <w:p w14:paraId="6AA5E451" w14:textId="1C918F9A" w:rsidR="00255A0B" w:rsidRDefault="00255A0B">
      <w:pPr>
        <w:pStyle w:val="FootnoteText"/>
      </w:pPr>
      <w:r>
        <w:rPr>
          <w:rStyle w:val="FootnoteReference"/>
        </w:rPr>
        <w:footnoteRef/>
      </w:r>
      <w:r>
        <w:t xml:space="preserve"> Hughes 2006: 242</w:t>
      </w:r>
      <w:r w:rsidR="009779C7">
        <w:t>.</w:t>
      </w:r>
    </w:p>
  </w:footnote>
  <w:footnote w:id="26">
    <w:p w14:paraId="3BC91CD6" w14:textId="6098E3D4" w:rsidR="000F2A73" w:rsidRDefault="000F2A73">
      <w:pPr>
        <w:pStyle w:val="FootnoteText"/>
      </w:pPr>
      <w:r>
        <w:rPr>
          <w:rStyle w:val="FootnoteReference"/>
        </w:rPr>
        <w:footnoteRef/>
      </w:r>
      <w:r>
        <w:t xml:space="preserve"> Hughes 2006: 234-242</w:t>
      </w:r>
      <w:r w:rsidR="009779C7">
        <w:t>.</w:t>
      </w:r>
    </w:p>
  </w:footnote>
  <w:footnote w:id="27">
    <w:p w14:paraId="3EACD0DC" w14:textId="646937DF" w:rsidR="000F2A73" w:rsidRDefault="000F2A73">
      <w:pPr>
        <w:pStyle w:val="FootnoteText"/>
      </w:pPr>
      <w:r>
        <w:rPr>
          <w:rStyle w:val="FootnoteReference"/>
        </w:rPr>
        <w:footnoteRef/>
      </w:r>
      <w:r>
        <w:t xml:space="preserve"> Hughes 2006: 234-244</w:t>
      </w:r>
      <w:r w:rsidR="009779C7">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F7"/>
    <w:rsid w:val="00021FC8"/>
    <w:rsid w:val="00031333"/>
    <w:rsid w:val="000D59B3"/>
    <w:rsid w:val="000E3CB0"/>
    <w:rsid w:val="000F2A73"/>
    <w:rsid w:val="001809AE"/>
    <w:rsid w:val="0019491B"/>
    <w:rsid w:val="001C5E17"/>
    <w:rsid w:val="00214CCF"/>
    <w:rsid w:val="00233E23"/>
    <w:rsid w:val="00240C45"/>
    <w:rsid w:val="00255A0B"/>
    <w:rsid w:val="002B2FFB"/>
    <w:rsid w:val="002D2278"/>
    <w:rsid w:val="00340AB4"/>
    <w:rsid w:val="003F6692"/>
    <w:rsid w:val="004008B7"/>
    <w:rsid w:val="004368D2"/>
    <w:rsid w:val="00446824"/>
    <w:rsid w:val="00506DB2"/>
    <w:rsid w:val="005448D4"/>
    <w:rsid w:val="005D7977"/>
    <w:rsid w:val="005E01D3"/>
    <w:rsid w:val="005F2CC9"/>
    <w:rsid w:val="00613F17"/>
    <w:rsid w:val="006542E0"/>
    <w:rsid w:val="0069160E"/>
    <w:rsid w:val="007442AD"/>
    <w:rsid w:val="007B2E60"/>
    <w:rsid w:val="007F5391"/>
    <w:rsid w:val="007F5ABB"/>
    <w:rsid w:val="00896029"/>
    <w:rsid w:val="008D7214"/>
    <w:rsid w:val="008E7A18"/>
    <w:rsid w:val="009538A8"/>
    <w:rsid w:val="009779C7"/>
    <w:rsid w:val="009D0438"/>
    <w:rsid w:val="009E2D87"/>
    <w:rsid w:val="00A02E8F"/>
    <w:rsid w:val="00A364B0"/>
    <w:rsid w:val="00AF68AD"/>
    <w:rsid w:val="00B54163"/>
    <w:rsid w:val="00B663DD"/>
    <w:rsid w:val="00B779F7"/>
    <w:rsid w:val="00C14BD7"/>
    <w:rsid w:val="00CB633D"/>
    <w:rsid w:val="00DC10A2"/>
    <w:rsid w:val="00E34E4F"/>
    <w:rsid w:val="00E5016B"/>
    <w:rsid w:val="00EE00B0"/>
    <w:rsid w:val="00F544E8"/>
    <w:rsid w:val="00FA49FD"/>
    <w:rsid w:val="00FC4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EECEF"/>
  <w15:chartTrackingRefBased/>
  <w15:docId w15:val="{C0E31526-F59B-4770-8BF8-96B4B1FFC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79F7"/>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C10A2"/>
    <w:rPr>
      <w:sz w:val="20"/>
      <w:szCs w:val="20"/>
    </w:rPr>
  </w:style>
  <w:style w:type="character" w:customStyle="1" w:styleId="FootnoteTextChar">
    <w:name w:val="Footnote Text Char"/>
    <w:basedOn w:val="DefaultParagraphFont"/>
    <w:link w:val="FootnoteText"/>
    <w:uiPriority w:val="99"/>
    <w:semiHidden/>
    <w:rsid w:val="00DC10A2"/>
    <w:rPr>
      <w:rFonts w:eastAsiaTheme="minorEastAsia"/>
      <w:sz w:val="20"/>
      <w:szCs w:val="20"/>
    </w:rPr>
  </w:style>
  <w:style w:type="character" w:styleId="FootnoteReference">
    <w:name w:val="footnote reference"/>
    <w:basedOn w:val="DefaultParagraphFont"/>
    <w:uiPriority w:val="99"/>
    <w:semiHidden/>
    <w:unhideWhenUsed/>
    <w:rsid w:val="00DC10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045324">
      <w:bodyDiv w:val="1"/>
      <w:marLeft w:val="0"/>
      <w:marRight w:val="0"/>
      <w:marTop w:val="0"/>
      <w:marBottom w:val="0"/>
      <w:divBdr>
        <w:top w:val="none" w:sz="0" w:space="0" w:color="auto"/>
        <w:left w:val="none" w:sz="0" w:space="0" w:color="auto"/>
        <w:bottom w:val="none" w:sz="0" w:space="0" w:color="auto"/>
        <w:right w:val="none" w:sz="0" w:space="0" w:color="auto"/>
      </w:divBdr>
    </w:div>
    <w:div w:id="791172885">
      <w:bodyDiv w:val="1"/>
      <w:marLeft w:val="0"/>
      <w:marRight w:val="0"/>
      <w:marTop w:val="0"/>
      <w:marBottom w:val="0"/>
      <w:divBdr>
        <w:top w:val="none" w:sz="0" w:space="0" w:color="auto"/>
        <w:left w:val="none" w:sz="0" w:space="0" w:color="auto"/>
        <w:bottom w:val="none" w:sz="0" w:space="0" w:color="auto"/>
        <w:right w:val="none" w:sz="0" w:space="0" w:color="auto"/>
      </w:divBdr>
    </w:div>
    <w:div w:id="122548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33C40-B270-45B8-8095-DE62B301D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3</Pages>
  <Words>706</Words>
  <Characters>4027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6</cp:revision>
  <dcterms:created xsi:type="dcterms:W3CDTF">2017-11-19T15:25:00Z</dcterms:created>
  <dcterms:modified xsi:type="dcterms:W3CDTF">2017-12-04T22:58:00Z</dcterms:modified>
</cp:coreProperties>
</file>