
<file path=[Content_Types].xml><?xml version="1.0" encoding="utf-8"?>
<Types xmlns="http://schemas.openxmlformats.org/package/2006/content-types">
  <Default Extension="xml" ContentType="application/xml"/>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91CEF7E">
      <w:pPr>
        <w:spacing w:line="360" w:lineRule="auto"/>
        <w:jc w:val="center"/>
        <w:rPr>
          <w:rFonts w:ascii="Times New Roman" w:hAnsi="Times New Roman" w:eastAsia="Times New Roman" w:cs="Times New Roman"/>
          <w:b/>
          <w:bCs/>
          <w:sz w:val="32"/>
          <w:szCs w:val="32"/>
        </w:rPr>
      </w:pPr>
      <w:r>
        <w:rPr>
          <w:rFonts w:ascii="Arial" w:hAnsi="Arial" w:cs="Arial"/>
          <w:sz w:val="24"/>
          <w:szCs w:val="24"/>
        </w:rPr>
        <w:drawing>
          <wp:anchor distT="0" distB="0" distL="114300" distR="114300" simplePos="0" relativeHeight="251659264" behindDoc="0" locked="0" layoutInCell="1" allowOverlap="1">
            <wp:simplePos x="0" y="0"/>
            <wp:positionH relativeFrom="column">
              <wp:posOffset>-222885</wp:posOffset>
            </wp:positionH>
            <wp:positionV relativeFrom="paragraph">
              <wp:posOffset>-447040</wp:posOffset>
            </wp:positionV>
            <wp:extent cx="1809750" cy="72390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561C81A6">
      <w:pPr>
        <w:spacing w:line="360" w:lineRule="auto"/>
        <w:jc w:val="center"/>
        <w:rPr>
          <w:rFonts w:ascii="Times New Roman" w:hAnsi="Times New Roman" w:eastAsia="Times New Roman" w:cs="Times New Roman"/>
          <w:b/>
          <w:bCs/>
          <w:sz w:val="32"/>
          <w:szCs w:val="32"/>
        </w:rPr>
      </w:pPr>
    </w:p>
    <w:tbl>
      <w:tblPr>
        <w:tblStyle w:val="9"/>
        <w:tblW w:w="9580"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9580"/>
      </w:tblGrid>
      <w:tr w14:paraId="12FE24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CellMar>
            <w:top w:w="0" w:type="dxa"/>
            <w:left w:w="108" w:type="dxa"/>
            <w:bottom w:w="0" w:type="dxa"/>
            <w:right w:w="108" w:type="dxa"/>
          </w:tblCellMar>
        </w:tblPrEx>
        <w:trPr>
          <w:trHeight w:val="712" w:hRule="atLeast"/>
        </w:trPr>
        <w:tc>
          <w:tcPr>
            <w:tcW w:w="9580" w:type="dxa"/>
            <w:shd w:val="clear" w:color="auto" w:fill="C0C0C0"/>
          </w:tcPr>
          <w:p w14:paraId="7C65D30D">
            <w:pPr>
              <w:pStyle w:val="5"/>
              <w:rPr>
                <w:rFonts w:ascii="Arial" w:hAnsi="Arial" w:cs="Arial"/>
                <w:b/>
                <w:color w:val="auto"/>
                <w:sz w:val="24"/>
                <w:szCs w:val="24"/>
              </w:rPr>
            </w:pPr>
            <w:r>
              <w:rPr>
                <w:rFonts w:ascii="Arial" w:hAnsi="Arial" w:cs="Arial"/>
                <w:b/>
                <w:color w:val="auto"/>
                <w:sz w:val="24"/>
                <w:szCs w:val="24"/>
              </w:rPr>
              <w:t xml:space="preserve">LEVEL 7 ASSESSMENT SPECIFICATION </w:t>
            </w:r>
          </w:p>
        </w:tc>
      </w:tr>
    </w:tbl>
    <w:p w14:paraId="1C465E88">
      <w:pPr>
        <w:jc w:val="center"/>
        <w:rPr>
          <w:rFonts w:ascii="Arial" w:hAnsi="Arial" w:cs="Arial"/>
          <w:b/>
          <w:i/>
          <w:sz w:val="24"/>
          <w:szCs w:val="24"/>
        </w:rPr>
      </w:pPr>
    </w:p>
    <w:tbl>
      <w:tblPr>
        <w:tblStyle w:val="9"/>
        <w:tblW w:w="955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17"/>
        <w:gridCol w:w="3172"/>
        <w:gridCol w:w="2184"/>
        <w:gridCol w:w="2184"/>
      </w:tblGrid>
      <w:tr w14:paraId="16AFAD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1" w:hRule="atLeast"/>
        </w:trPr>
        <w:tc>
          <w:tcPr>
            <w:tcW w:w="2017" w:type="dxa"/>
            <w:vAlign w:val="center"/>
          </w:tcPr>
          <w:p w14:paraId="11D24ED6">
            <w:pPr>
              <w:spacing w:before="120" w:after="120"/>
              <w:rPr>
                <w:rFonts w:ascii="Arial" w:hAnsi="Arial" w:cs="Arial"/>
                <w:b/>
                <w:sz w:val="24"/>
                <w:szCs w:val="24"/>
              </w:rPr>
            </w:pPr>
            <w:r>
              <w:rPr>
                <w:rFonts w:ascii="Arial" w:hAnsi="Arial" w:cs="Arial"/>
                <w:b/>
                <w:sz w:val="24"/>
                <w:szCs w:val="24"/>
              </w:rPr>
              <w:t>Student name:</w:t>
            </w:r>
          </w:p>
        </w:tc>
        <w:tc>
          <w:tcPr>
            <w:tcW w:w="3172" w:type="dxa"/>
            <w:vAlign w:val="center"/>
          </w:tcPr>
          <w:p w14:paraId="3BB3B0A7">
            <w:pPr>
              <w:spacing w:before="120" w:after="120"/>
              <w:rPr>
                <w:rFonts w:hint="default" w:ascii="Arial" w:hAnsi="Arial" w:cs="Arial"/>
                <w:b/>
                <w:sz w:val="24"/>
                <w:szCs w:val="24"/>
                <w:lang w:val="en-IN"/>
              </w:rPr>
            </w:pPr>
            <w:r>
              <w:rPr>
                <w:rFonts w:hint="default" w:ascii="Arial" w:hAnsi="Arial" w:cs="Arial"/>
                <w:b/>
                <w:sz w:val="24"/>
                <w:szCs w:val="24"/>
                <w:lang w:val="en-IN"/>
              </w:rPr>
              <w:t>Sejal Choudhary</w:t>
            </w:r>
          </w:p>
        </w:tc>
        <w:tc>
          <w:tcPr>
            <w:tcW w:w="2184" w:type="dxa"/>
            <w:shd w:val="clear" w:color="auto" w:fill="D8D8D8" w:themeFill="background1" w:themeFillShade="D9"/>
            <w:vAlign w:val="center"/>
          </w:tcPr>
          <w:p w14:paraId="6EAE3BA0">
            <w:pPr>
              <w:spacing w:before="120" w:after="120"/>
              <w:rPr>
                <w:rFonts w:ascii="Arial" w:hAnsi="Arial" w:cs="Arial"/>
                <w:b/>
                <w:sz w:val="24"/>
                <w:szCs w:val="24"/>
              </w:rPr>
            </w:pPr>
            <w:r>
              <w:rPr>
                <w:rFonts w:ascii="Arial" w:hAnsi="Arial" w:cs="Arial"/>
                <w:b/>
                <w:sz w:val="24"/>
                <w:szCs w:val="24"/>
              </w:rPr>
              <w:t>Student ID number:</w:t>
            </w:r>
          </w:p>
        </w:tc>
        <w:tc>
          <w:tcPr>
            <w:tcW w:w="2184" w:type="dxa"/>
            <w:vAlign w:val="center"/>
          </w:tcPr>
          <w:p w14:paraId="06AD059F">
            <w:pPr>
              <w:spacing w:before="120" w:after="120"/>
              <w:rPr>
                <w:rFonts w:hint="default" w:ascii="Arial" w:hAnsi="Arial" w:cs="Arial"/>
                <w:b/>
                <w:sz w:val="24"/>
                <w:szCs w:val="24"/>
                <w:lang w:val="en-IN"/>
              </w:rPr>
            </w:pPr>
            <w:r>
              <w:rPr>
                <w:rFonts w:hint="default" w:ascii="Arial" w:hAnsi="Arial" w:cs="Arial"/>
                <w:b/>
                <w:sz w:val="24"/>
                <w:szCs w:val="24"/>
                <w:lang w:val="en-IN"/>
              </w:rPr>
              <w:t>2538991</w:t>
            </w:r>
          </w:p>
        </w:tc>
      </w:tr>
      <w:tr w14:paraId="020425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40" w:hRule="atLeast"/>
        </w:trPr>
        <w:tc>
          <w:tcPr>
            <w:tcW w:w="2017" w:type="dxa"/>
            <w:vAlign w:val="center"/>
          </w:tcPr>
          <w:p w14:paraId="28841FB8">
            <w:pPr>
              <w:spacing w:before="120" w:after="120"/>
              <w:rPr>
                <w:rFonts w:ascii="Arial" w:hAnsi="Arial" w:cs="Arial"/>
                <w:b/>
                <w:sz w:val="24"/>
                <w:szCs w:val="24"/>
              </w:rPr>
            </w:pPr>
            <w:r>
              <w:rPr>
                <w:rFonts w:ascii="Arial" w:hAnsi="Arial" w:cs="Arial"/>
                <w:b/>
                <w:sz w:val="24"/>
                <w:szCs w:val="24"/>
              </w:rPr>
              <w:t>Programme:</w:t>
            </w:r>
          </w:p>
        </w:tc>
        <w:tc>
          <w:tcPr>
            <w:tcW w:w="7540" w:type="dxa"/>
            <w:gridSpan w:val="3"/>
            <w:vAlign w:val="center"/>
          </w:tcPr>
          <w:p w14:paraId="11EBDDE1">
            <w:pPr>
              <w:spacing w:before="120" w:after="120"/>
              <w:rPr>
                <w:rFonts w:ascii="Arial" w:hAnsi="Arial" w:cs="Arial"/>
                <w:b/>
                <w:sz w:val="24"/>
                <w:szCs w:val="24"/>
              </w:rPr>
            </w:pPr>
            <w:r>
              <w:rPr>
                <w:rFonts w:ascii="Arial" w:hAnsi="Arial" w:cs="Arial"/>
                <w:b/>
                <w:sz w:val="24"/>
                <w:szCs w:val="24"/>
              </w:rPr>
              <w:t>Master of Business Administration</w:t>
            </w:r>
          </w:p>
        </w:tc>
      </w:tr>
      <w:tr w14:paraId="25EB83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40" w:hRule="atLeast"/>
        </w:trPr>
        <w:tc>
          <w:tcPr>
            <w:tcW w:w="2017" w:type="dxa"/>
            <w:vAlign w:val="center"/>
          </w:tcPr>
          <w:p w14:paraId="25DDC4E2">
            <w:pPr>
              <w:spacing w:before="120" w:after="120"/>
              <w:rPr>
                <w:rFonts w:ascii="Arial" w:hAnsi="Arial" w:cs="Arial"/>
                <w:b/>
                <w:sz w:val="24"/>
                <w:szCs w:val="24"/>
              </w:rPr>
            </w:pPr>
            <w:r>
              <w:rPr>
                <w:rFonts w:ascii="Arial" w:hAnsi="Arial" w:cs="Arial"/>
                <w:b/>
                <w:sz w:val="24"/>
                <w:szCs w:val="24"/>
              </w:rPr>
              <w:t>Module:</w:t>
            </w:r>
          </w:p>
        </w:tc>
        <w:tc>
          <w:tcPr>
            <w:tcW w:w="7540" w:type="dxa"/>
            <w:gridSpan w:val="3"/>
            <w:vAlign w:val="center"/>
          </w:tcPr>
          <w:p w14:paraId="484B8E07">
            <w:pPr>
              <w:spacing w:before="120" w:after="120"/>
              <w:rPr>
                <w:rFonts w:ascii="Arial" w:hAnsi="Arial" w:cs="Arial"/>
                <w:b/>
                <w:sz w:val="24"/>
                <w:szCs w:val="24"/>
              </w:rPr>
            </w:pPr>
            <w:r>
              <w:rPr>
                <w:rFonts w:ascii="Arial" w:hAnsi="Arial" w:cs="Arial"/>
                <w:b/>
                <w:sz w:val="24"/>
                <w:szCs w:val="24"/>
              </w:rPr>
              <w:t>Human Capital Management</w:t>
            </w:r>
          </w:p>
        </w:tc>
      </w:tr>
      <w:tr w14:paraId="0D0F96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41" w:hRule="atLeast"/>
        </w:trPr>
        <w:tc>
          <w:tcPr>
            <w:tcW w:w="2017" w:type="dxa"/>
            <w:vAlign w:val="center"/>
          </w:tcPr>
          <w:p w14:paraId="7209AD73">
            <w:pPr>
              <w:spacing w:before="120" w:after="120"/>
              <w:rPr>
                <w:rFonts w:ascii="Arial" w:hAnsi="Arial" w:cs="Arial"/>
                <w:b/>
                <w:sz w:val="24"/>
                <w:szCs w:val="24"/>
              </w:rPr>
            </w:pPr>
            <w:r>
              <w:rPr>
                <w:rFonts w:ascii="Arial" w:hAnsi="Arial" w:cs="Arial"/>
                <w:b/>
                <w:sz w:val="24"/>
                <w:szCs w:val="24"/>
              </w:rPr>
              <w:t>Module code:</w:t>
            </w:r>
          </w:p>
        </w:tc>
        <w:tc>
          <w:tcPr>
            <w:tcW w:w="3172" w:type="dxa"/>
            <w:vAlign w:val="center"/>
          </w:tcPr>
          <w:p w14:paraId="1D78036A">
            <w:pPr>
              <w:spacing w:before="120" w:after="120"/>
              <w:rPr>
                <w:rFonts w:ascii="Arial" w:hAnsi="Arial" w:cs="Arial"/>
                <w:b/>
                <w:sz w:val="24"/>
                <w:szCs w:val="24"/>
              </w:rPr>
            </w:pPr>
            <w:r>
              <w:rPr>
                <w:rFonts w:ascii="Arial" w:hAnsi="Arial" w:cs="Arial"/>
                <w:b/>
                <w:sz w:val="24"/>
                <w:szCs w:val="24"/>
              </w:rPr>
              <w:t>LCMB7023</w:t>
            </w:r>
          </w:p>
        </w:tc>
        <w:tc>
          <w:tcPr>
            <w:tcW w:w="2184" w:type="dxa"/>
            <w:shd w:val="clear" w:color="auto" w:fill="D8D8D8" w:themeFill="background1" w:themeFillShade="D9"/>
            <w:vAlign w:val="center"/>
          </w:tcPr>
          <w:p w14:paraId="5D851492">
            <w:pPr>
              <w:pStyle w:val="3"/>
              <w:jc w:val="left"/>
              <w:rPr>
                <w:rFonts w:ascii="Arial" w:hAnsi="Arial" w:cs="Arial"/>
                <w:szCs w:val="24"/>
              </w:rPr>
            </w:pPr>
            <w:r>
              <w:rPr>
                <w:rFonts w:ascii="Arial" w:hAnsi="Arial" w:cs="Arial"/>
                <w:szCs w:val="24"/>
              </w:rPr>
              <w:t>Contribution to Overall Module Assessment (%):</w:t>
            </w:r>
          </w:p>
        </w:tc>
        <w:tc>
          <w:tcPr>
            <w:tcW w:w="2184" w:type="dxa"/>
            <w:vAlign w:val="center"/>
          </w:tcPr>
          <w:p w14:paraId="74CA9294">
            <w:pPr>
              <w:spacing w:before="120" w:after="120"/>
              <w:rPr>
                <w:rFonts w:ascii="Arial" w:hAnsi="Arial" w:cs="Arial"/>
                <w:b/>
                <w:sz w:val="24"/>
                <w:szCs w:val="24"/>
              </w:rPr>
            </w:pPr>
            <w:r>
              <w:rPr>
                <w:rFonts w:ascii="Arial" w:hAnsi="Arial" w:cs="Arial"/>
                <w:b/>
                <w:sz w:val="24"/>
                <w:szCs w:val="24"/>
              </w:rPr>
              <w:t>50%</w:t>
            </w:r>
          </w:p>
        </w:tc>
      </w:tr>
      <w:tr w14:paraId="6BCFFF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60" w:hRule="atLeast"/>
        </w:trPr>
        <w:tc>
          <w:tcPr>
            <w:tcW w:w="2017" w:type="dxa"/>
            <w:vAlign w:val="center"/>
          </w:tcPr>
          <w:p w14:paraId="6C6B1D06">
            <w:pPr>
              <w:spacing w:before="120" w:after="120"/>
              <w:rPr>
                <w:rFonts w:ascii="Arial" w:hAnsi="Arial" w:cs="Arial"/>
                <w:b/>
                <w:sz w:val="24"/>
                <w:szCs w:val="24"/>
              </w:rPr>
            </w:pPr>
            <w:r>
              <w:rPr>
                <w:rFonts w:ascii="Arial" w:hAnsi="Arial" w:cs="Arial"/>
                <w:b/>
                <w:sz w:val="24"/>
                <w:szCs w:val="24"/>
              </w:rPr>
              <w:t>Lecturer:</w:t>
            </w:r>
          </w:p>
        </w:tc>
        <w:tc>
          <w:tcPr>
            <w:tcW w:w="3172" w:type="dxa"/>
            <w:vAlign w:val="center"/>
          </w:tcPr>
          <w:p w14:paraId="3F0507F6">
            <w:pPr>
              <w:spacing w:before="120" w:after="120"/>
              <w:rPr>
                <w:rFonts w:ascii="Arial" w:hAnsi="Arial" w:cs="Arial"/>
                <w:b/>
                <w:sz w:val="24"/>
                <w:szCs w:val="24"/>
              </w:rPr>
            </w:pPr>
            <w:r>
              <w:rPr>
                <w:rFonts w:ascii="Arial" w:hAnsi="Arial" w:cs="Arial"/>
                <w:b/>
                <w:sz w:val="24"/>
                <w:szCs w:val="24"/>
              </w:rPr>
              <w:t>Gladius Kulothungan (London)</w:t>
            </w:r>
          </w:p>
          <w:p w14:paraId="10EF8917">
            <w:pPr>
              <w:spacing w:before="120" w:after="120"/>
              <w:rPr>
                <w:rFonts w:ascii="Arial" w:hAnsi="Arial" w:cs="Arial"/>
                <w:b/>
                <w:sz w:val="24"/>
                <w:szCs w:val="24"/>
              </w:rPr>
            </w:pPr>
            <w:r>
              <w:rPr>
                <w:rFonts w:ascii="Arial" w:hAnsi="Arial" w:cs="Arial"/>
                <w:b/>
                <w:sz w:val="24"/>
                <w:szCs w:val="24"/>
              </w:rPr>
              <w:t>Eno Maycock (Birmingham)</w:t>
            </w:r>
          </w:p>
        </w:tc>
        <w:tc>
          <w:tcPr>
            <w:tcW w:w="2184" w:type="dxa"/>
            <w:shd w:val="clear" w:color="auto" w:fill="D8D8D8" w:themeFill="background1" w:themeFillShade="D9"/>
            <w:vAlign w:val="center"/>
          </w:tcPr>
          <w:p w14:paraId="4730CD59">
            <w:pPr>
              <w:spacing w:before="120" w:after="120"/>
              <w:rPr>
                <w:rFonts w:ascii="Arial" w:hAnsi="Arial" w:cs="Arial"/>
                <w:b/>
                <w:sz w:val="24"/>
                <w:szCs w:val="24"/>
              </w:rPr>
            </w:pPr>
            <w:r>
              <w:rPr>
                <w:rFonts w:ascii="Arial" w:hAnsi="Arial" w:cs="Arial"/>
                <w:b/>
                <w:sz w:val="24"/>
                <w:szCs w:val="24"/>
              </w:rPr>
              <w:t>Internal Verifier:</w:t>
            </w:r>
          </w:p>
        </w:tc>
        <w:tc>
          <w:tcPr>
            <w:tcW w:w="2184" w:type="dxa"/>
            <w:vAlign w:val="center"/>
          </w:tcPr>
          <w:p w14:paraId="53885A98">
            <w:pPr>
              <w:spacing w:before="120" w:after="120"/>
              <w:rPr>
                <w:rFonts w:ascii="Arial" w:hAnsi="Arial" w:cs="Arial"/>
                <w:b/>
                <w:sz w:val="24"/>
                <w:szCs w:val="24"/>
              </w:rPr>
            </w:pPr>
            <w:r>
              <w:rPr>
                <w:rFonts w:ascii="Arial" w:hAnsi="Arial" w:cs="Arial"/>
                <w:b/>
                <w:sz w:val="24"/>
                <w:szCs w:val="24"/>
              </w:rPr>
              <w:t>Vasilios Tavlaridis</w:t>
            </w:r>
          </w:p>
          <w:p w14:paraId="74B12231">
            <w:pPr>
              <w:spacing w:before="120" w:after="120"/>
              <w:rPr>
                <w:rFonts w:ascii="Arial" w:hAnsi="Arial" w:cs="Arial"/>
                <w:b/>
                <w:sz w:val="24"/>
                <w:szCs w:val="24"/>
              </w:rPr>
            </w:pPr>
            <w:r>
              <w:rPr>
                <w:rFonts w:ascii="Arial" w:hAnsi="Arial" w:cs="Arial"/>
                <w:b/>
                <w:sz w:val="24"/>
                <w:szCs w:val="24"/>
              </w:rPr>
              <w:t>Hoang Nguyen</w:t>
            </w:r>
          </w:p>
        </w:tc>
      </w:tr>
      <w:tr w14:paraId="3853F4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1" w:hRule="atLeast"/>
        </w:trPr>
        <w:tc>
          <w:tcPr>
            <w:tcW w:w="2017" w:type="dxa"/>
            <w:vAlign w:val="center"/>
          </w:tcPr>
          <w:p w14:paraId="666BB409">
            <w:pPr>
              <w:spacing w:before="120" w:after="120"/>
              <w:rPr>
                <w:rFonts w:ascii="Arial" w:hAnsi="Arial" w:cs="Arial"/>
                <w:b/>
                <w:sz w:val="24"/>
                <w:szCs w:val="24"/>
              </w:rPr>
            </w:pPr>
            <w:r>
              <w:rPr>
                <w:rFonts w:ascii="Arial" w:hAnsi="Arial" w:cs="Arial"/>
                <w:b/>
                <w:sz w:val="24"/>
                <w:szCs w:val="24"/>
              </w:rPr>
              <w:t>Assignment Title:</w:t>
            </w:r>
          </w:p>
        </w:tc>
        <w:tc>
          <w:tcPr>
            <w:tcW w:w="3172" w:type="dxa"/>
            <w:vAlign w:val="center"/>
          </w:tcPr>
          <w:p w14:paraId="4A24C1F1">
            <w:pPr>
              <w:spacing w:before="120" w:after="120"/>
              <w:rPr>
                <w:rFonts w:ascii="Arial" w:hAnsi="Arial" w:cs="Arial"/>
                <w:b/>
                <w:sz w:val="24"/>
                <w:szCs w:val="24"/>
              </w:rPr>
            </w:pPr>
            <w:r>
              <w:rPr>
                <w:rFonts w:ascii="Arial" w:hAnsi="Arial" w:cs="Arial"/>
                <w:b/>
                <w:sz w:val="24"/>
                <w:szCs w:val="24"/>
              </w:rPr>
              <w:t>Assessment component 1: Individual report</w:t>
            </w:r>
          </w:p>
        </w:tc>
        <w:tc>
          <w:tcPr>
            <w:tcW w:w="2184" w:type="dxa"/>
            <w:vAlign w:val="center"/>
          </w:tcPr>
          <w:p w14:paraId="2683E4CC">
            <w:pPr>
              <w:spacing w:before="120" w:after="120"/>
              <w:rPr>
                <w:rFonts w:ascii="Arial" w:hAnsi="Arial" w:cs="Arial"/>
                <w:b/>
                <w:sz w:val="24"/>
                <w:szCs w:val="24"/>
              </w:rPr>
            </w:pPr>
            <w:r>
              <w:rPr>
                <w:rFonts w:ascii="Arial" w:hAnsi="Arial" w:cs="Arial"/>
                <w:b/>
                <w:sz w:val="24"/>
                <w:szCs w:val="24"/>
              </w:rPr>
              <w:t>Word count (or equivalent):</w:t>
            </w:r>
          </w:p>
        </w:tc>
        <w:tc>
          <w:tcPr>
            <w:tcW w:w="2184" w:type="dxa"/>
            <w:vAlign w:val="center"/>
          </w:tcPr>
          <w:p w14:paraId="50386177">
            <w:pPr>
              <w:spacing w:before="120" w:after="120"/>
              <w:rPr>
                <w:rFonts w:ascii="Arial" w:hAnsi="Arial" w:cs="Arial"/>
                <w:b/>
                <w:sz w:val="24"/>
                <w:szCs w:val="24"/>
              </w:rPr>
            </w:pPr>
            <w:r>
              <w:rPr>
                <w:rFonts w:ascii="Arial" w:hAnsi="Arial" w:cs="Arial"/>
                <w:b/>
                <w:sz w:val="24"/>
                <w:szCs w:val="24"/>
              </w:rPr>
              <w:t xml:space="preserve"> 2,500</w:t>
            </w:r>
          </w:p>
        </w:tc>
      </w:tr>
      <w:tr w14:paraId="6FC89E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55" w:hRule="atLeast"/>
        </w:trPr>
        <w:tc>
          <w:tcPr>
            <w:tcW w:w="2017" w:type="dxa"/>
            <w:vAlign w:val="center"/>
          </w:tcPr>
          <w:p w14:paraId="0ABBC941">
            <w:pPr>
              <w:spacing w:before="120" w:after="120"/>
              <w:rPr>
                <w:rFonts w:ascii="Arial" w:hAnsi="Arial" w:cs="Arial"/>
                <w:b/>
                <w:sz w:val="24"/>
                <w:szCs w:val="24"/>
              </w:rPr>
            </w:pPr>
            <w:r>
              <w:rPr>
                <w:rFonts w:ascii="Arial" w:hAnsi="Arial" w:cs="Arial"/>
                <w:b/>
                <w:sz w:val="24"/>
                <w:szCs w:val="24"/>
              </w:rPr>
              <w:t>Submission deadline:</w:t>
            </w:r>
          </w:p>
        </w:tc>
        <w:tc>
          <w:tcPr>
            <w:tcW w:w="3172" w:type="dxa"/>
            <w:vAlign w:val="center"/>
          </w:tcPr>
          <w:p w14:paraId="0DCD4C5A">
            <w:pPr>
              <w:rPr>
                <w:rFonts w:ascii="Arial" w:hAnsi="Arial" w:cs="Arial"/>
                <w:b/>
                <w:bCs/>
                <w:color w:val="FF0000"/>
                <w:sz w:val="24"/>
                <w:szCs w:val="24"/>
              </w:rPr>
            </w:pPr>
            <w:r>
              <w:rPr>
                <w:rFonts w:ascii="Arial" w:hAnsi="Arial" w:cs="Arial"/>
                <w:b/>
                <w:bCs/>
                <w:color w:val="FF0000"/>
                <w:sz w:val="24"/>
                <w:szCs w:val="24"/>
              </w:rPr>
              <w:t>Friday 19</w:t>
            </w:r>
            <w:r>
              <w:rPr>
                <w:rFonts w:ascii="Arial" w:hAnsi="Arial" w:cs="Arial"/>
                <w:b/>
                <w:bCs/>
                <w:color w:val="FF0000"/>
                <w:sz w:val="24"/>
                <w:szCs w:val="24"/>
                <w:vertAlign w:val="superscript"/>
              </w:rPr>
              <w:t>th</w:t>
            </w:r>
            <w:r>
              <w:rPr>
                <w:rFonts w:ascii="Arial" w:hAnsi="Arial" w:cs="Arial"/>
                <w:b/>
                <w:bCs/>
                <w:color w:val="FF0000"/>
                <w:sz w:val="24"/>
                <w:szCs w:val="24"/>
              </w:rPr>
              <w:t xml:space="preserve"> June 2026</w:t>
            </w:r>
          </w:p>
          <w:p w14:paraId="308FA595">
            <w:pPr>
              <w:rPr>
                <w:rFonts w:ascii="Arial" w:hAnsi="Arial" w:cs="Arial"/>
                <w:b/>
                <w:bCs/>
                <w:sz w:val="24"/>
                <w:szCs w:val="24"/>
              </w:rPr>
            </w:pPr>
            <w:r>
              <w:rPr>
                <w:rFonts w:ascii="Arial" w:hAnsi="Arial" w:cs="Arial"/>
                <w:b/>
                <w:bCs/>
                <w:color w:val="FF0000"/>
                <w:sz w:val="24"/>
                <w:szCs w:val="24"/>
              </w:rPr>
              <w:t>by 2pm</w:t>
            </w:r>
          </w:p>
        </w:tc>
        <w:tc>
          <w:tcPr>
            <w:tcW w:w="2184" w:type="dxa"/>
            <w:vAlign w:val="center"/>
          </w:tcPr>
          <w:p w14:paraId="43F5A586">
            <w:pPr>
              <w:spacing w:before="120" w:after="120"/>
              <w:rPr>
                <w:rFonts w:ascii="Arial" w:hAnsi="Arial" w:cs="Arial"/>
                <w:b/>
                <w:sz w:val="24"/>
                <w:szCs w:val="24"/>
              </w:rPr>
            </w:pPr>
            <w:r>
              <w:rPr>
                <w:rFonts w:ascii="Arial" w:hAnsi="Arial" w:cs="Arial"/>
                <w:b/>
                <w:sz w:val="24"/>
                <w:szCs w:val="24"/>
              </w:rPr>
              <w:t>Return date of provisional marks &amp; written feedback:</w:t>
            </w:r>
          </w:p>
        </w:tc>
        <w:tc>
          <w:tcPr>
            <w:tcW w:w="2184" w:type="dxa"/>
            <w:vAlign w:val="center"/>
          </w:tcPr>
          <w:p w14:paraId="5D022D74">
            <w:pPr>
              <w:spacing w:before="120" w:after="120"/>
              <w:rPr>
                <w:rFonts w:ascii="Arial" w:hAnsi="Arial" w:cs="Arial"/>
                <w:b/>
                <w:bCs/>
                <w:color w:val="FF0000"/>
                <w:sz w:val="24"/>
                <w:szCs w:val="24"/>
              </w:rPr>
            </w:pPr>
            <w:r>
              <w:rPr>
                <w:rFonts w:ascii="Arial" w:hAnsi="Arial" w:cs="Arial"/>
                <w:b/>
                <w:bCs/>
                <w:color w:val="FF0000"/>
                <w:sz w:val="24"/>
                <w:szCs w:val="24"/>
              </w:rPr>
              <w:t>17</w:t>
            </w:r>
            <w:r>
              <w:rPr>
                <w:rFonts w:ascii="Arial" w:hAnsi="Arial" w:cs="Arial"/>
                <w:b/>
                <w:bCs/>
                <w:color w:val="FF0000"/>
                <w:sz w:val="24"/>
                <w:szCs w:val="24"/>
                <w:vertAlign w:val="superscript"/>
              </w:rPr>
              <w:t>th</w:t>
            </w:r>
            <w:r>
              <w:rPr>
                <w:rFonts w:ascii="Arial" w:hAnsi="Arial" w:cs="Arial"/>
                <w:b/>
                <w:bCs/>
                <w:color w:val="FF0000"/>
                <w:sz w:val="24"/>
                <w:szCs w:val="24"/>
              </w:rPr>
              <w:t xml:space="preserve"> July 2026</w:t>
            </w:r>
          </w:p>
        </w:tc>
      </w:tr>
    </w:tbl>
    <w:p w14:paraId="03F59539">
      <w:pPr>
        <w:spacing w:line="360" w:lineRule="auto"/>
        <w:jc w:val="center"/>
        <w:rPr>
          <w:rFonts w:ascii="Times New Roman" w:hAnsi="Times New Roman" w:eastAsia="Times New Roman" w:cs="Times New Roman"/>
          <w:b/>
          <w:bCs/>
          <w:sz w:val="32"/>
          <w:szCs w:val="32"/>
        </w:rPr>
      </w:pPr>
    </w:p>
    <w:p w14:paraId="7A17E00E">
      <w:pPr>
        <w:spacing w:line="360" w:lineRule="auto"/>
        <w:jc w:val="center"/>
        <w:rPr>
          <w:rFonts w:ascii="Times New Roman" w:hAnsi="Times New Roman" w:eastAsia="Times New Roman" w:cs="Times New Roman"/>
          <w:b/>
          <w:bCs/>
          <w:sz w:val="32"/>
          <w:szCs w:val="32"/>
        </w:rPr>
      </w:pPr>
    </w:p>
    <w:p w14:paraId="00FB7998">
      <w:pPr>
        <w:spacing w:line="360" w:lineRule="auto"/>
        <w:jc w:val="center"/>
        <w:rPr>
          <w:rFonts w:ascii="Times New Roman" w:hAnsi="Times New Roman" w:eastAsia="Times New Roman" w:cs="Times New Roman"/>
          <w:b/>
          <w:bCs/>
          <w:sz w:val="32"/>
          <w:szCs w:val="32"/>
        </w:rPr>
      </w:pPr>
    </w:p>
    <w:p w14:paraId="4A745D1D">
      <w:pPr>
        <w:spacing w:line="360" w:lineRule="auto"/>
        <w:jc w:val="center"/>
        <w:rPr>
          <w:rFonts w:ascii="Times New Roman" w:hAnsi="Times New Roman" w:eastAsia="Times New Roman" w:cs="Times New Roman"/>
          <w:b/>
          <w:bCs/>
          <w:sz w:val="32"/>
          <w:szCs w:val="32"/>
        </w:rPr>
      </w:pPr>
    </w:p>
    <w:p w14:paraId="1BCFB221">
      <w:pPr>
        <w:spacing w:line="360" w:lineRule="auto"/>
        <w:jc w:val="center"/>
        <w:rPr>
          <w:rFonts w:ascii="Times New Roman" w:hAnsi="Times New Roman" w:eastAsia="Times New Roman" w:cs="Times New Roman"/>
          <w:b/>
          <w:bCs/>
          <w:sz w:val="32"/>
          <w:szCs w:val="32"/>
        </w:rPr>
      </w:pPr>
    </w:p>
    <w:p w14:paraId="69A4E46E">
      <w:pPr>
        <w:spacing w:line="360" w:lineRule="auto"/>
        <w:jc w:val="both"/>
        <w:rPr>
          <w:rFonts w:ascii="Times New Roman" w:hAnsi="Times New Roman" w:eastAsia="Times New Roman" w:cs="Times New Roman"/>
          <w:b/>
          <w:bCs/>
          <w:sz w:val="32"/>
          <w:szCs w:val="32"/>
        </w:rPr>
      </w:pPr>
    </w:p>
    <w:p w14:paraId="742A6C2C">
      <w:pPr>
        <w:spacing w:line="360" w:lineRule="auto"/>
        <w:jc w:val="center"/>
        <w:rPr>
          <w:rFonts w:ascii="Times New Roman" w:hAnsi="Times New Roman" w:eastAsia="Times New Roman" w:cs="Times New Roman"/>
          <w:b/>
          <w:bCs/>
          <w:sz w:val="32"/>
          <w:szCs w:val="32"/>
        </w:rPr>
      </w:pPr>
    </w:p>
    <w:sdt>
      <w:sdtPr>
        <w:rPr>
          <w:b/>
          <w:bCs/>
          <w:sz w:val="36"/>
          <w:szCs w:val="36"/>
        </w:rPr>
        <w:id w:val="-1352712807"/>
        <w:docPartObj>
          <w:docPartGallery w:val="Table of Contents"/>
          <w:docPartUnique/>
        </w:docPartObj>
      </w:sdtPr>
      <w:sdtEndPr>
        <w:rPr>
          <w:rFonts w:ascii="Arial" w:hAnsi="Arial" w:eastAsia="Arial" w:cs="Arial"/>
          <w:b/>
          <w:bCs/>
          <w:color w:val="auto"/>
          <w:sz w:val="22"/>
          <w:szCs w:val="22"/>
          <w:lang w:val="en-GB" w:eastAsia="en-IN"/>
        </w:rPr>
      </w:sdtEndPr>
      <w:sdtContent>
        <w:p w14:paraId="416B0C85">
          <w:pPr>
            <w:pStyle w:val="18"/>
            <w:spacing w:line="360" w:lineRule="auto"/>
            <w:jc w:val="center"/>
            <w:rPr>
              <w:rFonts w:ascii="Times New Roman" w:hAnsi="Times New Roman" w:cs="Times New Roman"/>
              <w:b/>
              <w:bCs/>
              <w:color w:val="auto"/>
              <w:sz w:val="28"/>
              <w:szCs w:val="28"/>
            </w:rPr>
          </w:pPr>
          <w:bookmarkStart w:id="0" w:name="_trfg8dqdi2jy" w:colFirst="0" w:colLast="0"/>
          <w:bookmarkEnd w:id="0"/>
          <w:r>
            <w:rPr>
              <w:rFonts w:ascii="Times New Roman" w:hAnsi="Times New Roman" w:cs="Times New Roman"/>
              <w:b/>
              <w:bCs/>
              <w:color w:val="auto"/>
              <w:sz w:val="28"/>
              <w:szCs w:val="28"/>
            </w:rPr>
            <w:t>Table of Contents</w:t>
          </w:r>
        </w:p>
        <w:p w14:paraId="4A68846E">
          <w:pPr>
            <w:pStyle w:val="15"/>
            <w:tabs>
              <w:tab w:val="right" w:leader="dot" w:pos="9019"/>
            </w:tabs>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"_Toc232549517" </w:instrText>
          </w:r>
          <w:r>
            <w:fldChar w:fldCharType="separate"/>
          </w:r>
          <w:r>
            <w:rPr>
              <w:rStyle w:val="12"/>
              <w:rFonts w:ascii="Times New Roman" w:hAnsi="Times New Roman" w:cs="Times New Roman"/>
              <w:color w:val="auto"/>
              <w:sz w:val="24"/>
              <w:szCs w:val="24"/>
            </w:rPr>
            <w:t>1.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_Toc232549517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6AD4D8C">
          <w:pPr>
            <w:pStyle w:val="15"/>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"_Toc232549518" </w:instrText>
          </w:r>
          <w:r>
            <w:fldChar w:fldCharType="separate"/>
          </w:r>
          <w:r>
            <w:rPr>
              <w:rStyle w:val="12"/>
              <w:rFonts w:ascii="Times New Roman" w:hAnsi="Times New Roman" w:cs="Times New Roman"/>
              <w:color w:val="auto"/>
              <w:sz w:val="24"/>
              <w:szCs w:val="24"/>
            </w:rPr>
            <w:t>TASK A: Socialisation, Identity &amp; Business Activism</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_Toc232549518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184C8AD">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"_Toc232549519" </w:instrText>
          </w:r>
          <w:r>
            <w:fldChar w:fldCharType="separate"/>
          </w:r>
          <w:r>
            <w:rPr>
              <w:rStyle w:val="12"/>
              <w:rFonts w:ascii="Times New Roman" w:hAnsi="Times New Roman" w:cs="Times New Roman"/>
              <w:color w:val="auto"/>
              <w:sz w:val="24"/>
              <w:szCs w:val="24"/>
            </w:rPr>
            <w:t>A1. Critical Evaluation: Onboarding vs Strategic Socialisation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_Toc232549519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E13865D">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"_Toc232549520" </w:instrText>
          </w:r>
          <w:r>
            <w:fldChar w:fldCharType="separate"/>
          </w:r>
          <w:r>
            <w:rPr>
              <w:rStyle w:val="12"/>
              <w:rFonts w:ascii="Times New Roman" w:hAnsi="Times New Roman" w:cs="Times New Roman"/>
              <w:color w:val="auto"/>
              <w:sz w:val="24"/>
              <w:szCs w:val="24"/>
            </w:rPr>
            <w:t>A2. Structured Socialisation Framework for HUM</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_Toc232549520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E167EBF">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"_Toc232549521" </w:instrText>
          </w:r>
          <w:r>
            <w:fldChar w:fldCharType="separate"/>
          </w:r>
          <w:r>
            <w:rPr>
              <w:rStyle w:val="12"/>
              <w:rFonts w:ascii="Times New Roman" w:hAnsi="Times New Roman" w:cs="Times New Roman"/>
              <w:color w:val="auto"/>
              <w:sz w:val="24"/>
              <w:szCs w:val="24"/>
            </w:rPr>
            <w:t>A3. Organisational Identity, Ethics &amp; Business Activism</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_Toc232549521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0091A84">
          <w:pPr>
            <w:pStyle w:val="15"/>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"_Toc232549522" </w:instrText>
          </w:r>
          <w:r>
            <w:fldChar w:fldCharType="separate"/>
          </w:r>
          <w:r>
            <w:rPr>
              <w:rStyle w:val="12"/>
              <w:rFonts w:ascii="Times New Roman" w:hAnsi="Times New Roman" w:cs="Times New Roman"/>
              <w:color w:val="auto"/>
              <w:sz w:val="24"/>
              <w:szCs w:val="24"/>
            </w:rPr>
            <w:t>TASK B: Job Design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_Toc232549522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84AE51D">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"_Toc232549523" </w:instrText>
          </w:r>
          <w:r>
            <w:fldChar w:fldCharType="separate"/>
          </w:r>
          <w:r>
            <w:rPr>
              <w:rStyle w:val="12"/>
              <w:rFonts w:ascii="Times New Roman" w:hAnsi="Times New Roman" w:cs="Times New Roman"/>
              <w:color w:val="auto"/>
              <w:sz w:val="24"/>
              <w:szCs w:val="24"/>
            </w:rPr>
            <w:t>B1. Innovative Job Design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_Toc232549523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C4454FC">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"_Toc232549524" </w:instrText>
          </w:r>
          <w:r>
            <w:fldChar w:fldCharType="separate"/>
          </w:r>
          <w:r>
            <w:rPr>
              <w:rStyle w:val="12"/>
              <w:rFonts w:ascii="Times New Roman" w:hAnsi="Times New Roman" w:cs="Times New Roman"/>
              <w:color w:val="auto"/>
              <w:sz w:val="24"/>
              <w:szCs w:val="24"/>
            </w:rPr>
            <w:t>B2. Intrinsic Motivation &amp; Innovation Mechanisms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_Toc232549524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47D4460">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"_Toc232549525" </w:instrText>
          </w:r>
          <w:r>
            <w:fldChar w:fldCharType="separate"/>
          </w:r>
          <w:r>
            <w:rPr>
              <w:rStyle w:val="12"/>
              <w:rFonts w:ascii="Times New Roman" w:hAnsi="Times New Roman" w:cs="Times New Roman"/>
              <w:color w:val="auto"/>
              <w:sz w:val="24"/>
              <w:szCs w:val="24"/>
            </w:rPr>
            <w:t>B3. Critical Evaluation of Risks &amp; Justification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_Toc232549525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4B50864">
          <w:pPr>
            <w:pStyle w:val="15"/>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"_Toc232549526" </w:instrText>
          </w:r>
          <w:r>
            <w:fldChar w:fldCharType="separate"/>
          </w:r>
          <w:r>
            <w:rPr>
              <w:rStyle w:val="12"/>
              <w:rFonts w:ascii="Times New Roman" w:hAnsi="Times New Roman" w:cs="Times New Roman"/>
              <w:color w:val="auto"/>
              <w:sz w:val="24"/>
              <w:szCs w:val="24"/>
            </w:rPr>
            <w:t>TASK C: Reflective Report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_Toc232549526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00FC54A">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"_Toc232549527" </w:instrText>
          </w:r>
          <w:r>
            <w:fldChar w:fldCharType="separate"/>
          </w:r>
          <w:r>
            <w:rPr>
              <w:rStyle w:val="12"/>
              <w:rFonts w:ascii="Times New Roman" w:hAnsi="Times New Roman" w:cs="Times New Roman"/>
              <w:color w:val="auto"/>
              <w:sz w:val="24"/>
              <w:szCs w:val="24"/>
            </w:rPr>
            <w:t>C1. AI as Decision-Support Tool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_Toc232549527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8105D02">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"_Toc232549528" </w:instrText>
          </w:r>
          <w:r>
            <w:fldChar w:fldCharType="separate"/>
          </w:r>
          <w:r>
            <w:rPr>
              <w:rStyle w:val="12"/>
              <w:rFonts w:ascii="Times New Roman" w:hAnsi="Times New Roman" w:cs="Times New Roman"/>
              <w:color w:val="auto"/>
              <w:sz w:val="24"/>
              <w:szCs w:val="24"/>
            </w:rPr>
            <w:t>C2. Personal Capability Development Plan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_Toc232549528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6CCE740">
          <w:pPr>
            <w:pStyle w:val="15"/>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"_Toc232549529" </w:instrText>
          </w:r>
          <w:r>
            <w:fldChar w:fldCharType="separate"/>
          </w:r>
          <w:r>
            <w:rPr>
              <w:rStyle w:val="12"/>
              <w:rFonts w:ascii="Times New Roman" w:hAnsi="Times New Roman" w:cs="Times New Roman"/>
              <w:color w:val="auto"/>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_Toc232549529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DD04DB4">
          <w:pPr>
            <w:pStyle w:val="15"/>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"_Toc232549530" </w:instrText>
          </w:r>
          <w:r>
            <w:fldChar w:fldCharType="separate"/>
          </w:r>
          <w:r>
            <w:rPr>
              <w:rStyle w:val="12"/>
              <w:rFonts w:ascii="Times New Roman" w:hAnsi="Times New Roman" w:cs="Times New Roman"/>
              <w:color w:val="auto"/>
              <w:sz w:val="24"/>
              <w:szCs w:val="24"/>
            </w:rPr>
            <w:t>Reference List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_Toc232549530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2CC1745">
          <w:pPr>
            <w:spacing w:line="360" w:lineRule="auto"/>
            <w:jc w:val="both"/>
          </w:pPr>
          <w:r>
            <w:rPr>
              <w:rFonts w:ascii="Times New Roman" w:hAnsi="Times New Roman" w:cs="Times New Roman"/>
              <w:b/>
              <w:bCs/>
              <w:sz w:val="24"/>
              <w:szCs w:val="24"/>
            </w:rPr>
            <w:fldChar w:fldCharType="end"/>
          </w:r>
        </w:p>
      </w:sdtContent>
    </w:sdt>
    <w:p w14:paraId="51E9B004">
      <w:pPr>
        <w:rPr>
          <w:rFonts w:ascii="Times New Roman" w:hAnsi="Times New Roman" w:eastAsia="Times New Roman" w:cs="Times New Roman"/>
          <w:b/>
          <w:bCs/>
          <w:sz w:val="28"/>
          <w:szCs w:val="28"/>
        </w:rPr>
      </w:pPr>
      <w:r>
        <w:br w:type="page"/>
      </w:r>
    </w:p>
    <w:p w14:paraId="2C1181EE">
      <w:pPr>
        <w:pStyle w:val="2"/>
      </w:pPr>
      <w:bookmarkStart w:id="1" w:name="_Toc232549517"/>
      <w:bookmarkStart w:id="15" w:name="_GoBack"/>
      <w:r>
        <w:t>1. Introduction</w:t>
      </w:r>
      <w:bookmarkEnd w:id="1"/>
    </w:p>
    <w:p w14:paraId="36B23F4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Helios Urban Mobility (HUM) is a rapidly expanding smart-transport start-up experiencing critical human resource issues such as ineffective socialisation with an 8-month ramped-up process, a low rate of employee engagement at 54% and high turnover of high-potential graduates. The purpose of the report is to develop a human capital architecture that will reinforce onboarding and socialisation, job design and motivation, and employee identity and retention. To present evidence-based organisational solutions, the analysis will use Van Maanen and Schein socialisation theory, psychological contract theory, Job Characteristics Model, job crafting theory, and strategic HRM views, such as the model proposed by Ulrich.</w:t>
      </w:r>
    </w:p>
    <w:p w14:paraId="6F32935B">
      <w:pPr>
        <w:spacing w:before="240" w:after="240" w:line="360" w:lineRule="auto"/>
        <w:jc w:val="both"/>
        <w:rPr>
          <w:rFonts w:ascii="Times New Roman" w:hAnsi="Times New Roman" w:eastAsia="Times New Roman" w:cs="Times New Roman"/>
          <w:sz w:val="24"/>
          <w:szCs w:val="24"/>
        </w:rPr>
      </w:pPr>
    </w:p>
    <w:p w14:paraId="024C00F9">
      <w:pPr>
        <w:pStyle w:val="2"/>
      </w:pPr>
      <w:bookmarkStart w:id="2" w:name="_Toc232549518"/>
      <w:r>
        <w:t>TASK A: Socialisation, Identity &amp; Business Activism</w:t>
      </w:r>
      <w:bookmarkEnd w:id="2"/>
    </w:p>
    <w:p w14:paraId="38CE0E20">
      <w:pPr>
        <w:pStyle w:val="3"/>
      </w:pPr>
      <w:bookmarkStart w:id="3" w:name="_Toc232549519"/>
      <w:r>
        <w:t>A1. Critical Evaluation: Onboarding vs Strategic Socialisation</w:t>
      </w:r>
      <w:bookmarkEnd w:id="3"/>
      <w:r>
        <w:t xml:space="preserve"> </w:t>
      </w:r>
    </w:p>
    <w:p w14:paraId="5400A7E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Conventional onboarding is highly administrative, short-term and compliance-oriented and is aimed at documentation, role induction and task orientation. According to Pinco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(2024), onboarding practices have transformed due to digital transformation and remote working: onboarding practices have evolved to a hybrid and digital approach. However, even with these changes, onboarding within most organisations remains a one-off activity and not a process of ongoing integration, limiting its potential efficacy over the longer term in shaping employee identity and commitment.</w:t>
      </w:r>
    </w:p>
    <w:p w14:paraId="38366EA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Conversely, strategic organisational socialisation is not limited to first entry but as an ongoing identity-making process. Socialisation tactics developed by Van Maanen and Schein focus on formal and informal, collective and individual structured experiences that have a direct effect on the internalisation of organisational values by newcomers. With HUM, there is no orderly identity-building, resulting in poor engagement and high turnover of graduates.</w:t>
      </w:r>
    </w:p>
    <w:p w14:paraId="1B401B25">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gap is further explained by psychological contract theory. With employees feeling a lack of commitment between what organisations promise and what they deliver, negative attitudes and withdrawal behaviours grow (Topa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2022). The low engagement rate (54% at HUM) and the long ramp-up time suggest a possible lack of alignment between the psychological contract, especially among the graduates that anticipated swift growth and effective work in the field of innovation.</w:t>
      </w:r>
    </w:p>
    <w:p w14:paraId="055E147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Thus, the existing onboarding strategy of HUM is inefficient as it focuses on the procedure integration, rather than on the relational and identity-based integration. This translates to fragmented identity development, ineffective organisational identification and lack of commitment. On the other hand, strategic socialisation assists employees to internalise organisational purpose which reduces uncertainty and improves engagement due to value congruence and role identity development.</w:t>
      </w:r>
    </w:p>
    <w:p w14:paraId="0542D6CC">
      <w:pPr>
        <w:pStyle w:val="3"/>
      </w:pPr>
      <w:bookmarkStart w:id="4" w:name="_Toc232549520"/>
      <w:r>
        <w:t>A2. Structured Socialisation Framework for HUM</w:t>
      </w:r>
      <w:bookmarkEnd w:id="4"/>
      <w:r>
        <w:t xml:space="preserve"> </w:t>
      </w:r>
    </w:p>
    <w:p w14:paraId="7036F5D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HUM should have a structured socialisation system in form of a three-stage developmental architecture, which combines digital, relational and identity-based interventions.</w:t>
      </w:r>
    </w:p>
    <w:p w14:paraId="07835AD6">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1. Pre-boarding phase:</w:t>
      </w:r>
    </w:p>
    <w:p w14:paraId="554069B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This step ought to commence prior to formal admission via a digital onboarding portal that offers structured organisational understanding, part role anticipations and cultural immersion. Onboarding digitally, as noted by Sani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(2022), has a major impact on the level of employee engagement and performance outcomes; nevertheless, it may decrease the level of social connectedness without humanisation. Therefore, HUM should combine the role preview with AI support with the first psychological contract alignment, during which the expectations of exposure to innovations, mobility, and career growth are feasible and accurately presented. Moreover, pre-boarding communication, such as interactive welcome programs with the future team members and team leaders, should take place to develop some initial relational trust. Availability of learning materials and virtual simulation of HUM projects will also reduce the uncertainty and facilitate the entry in the organisation and solidify the initial contact and commitment.</w:t>
      </w:r>
    </w:p>
    <w:p w14:paraId="2325084C">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2. First 90 days:</w:t>
      </w:r>
    </w:p>
    <w:p w14:paraId="5EBC0B8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emphasis of this phase should be on systematic integration by means of buddy and manager mentoring system which would provide social and task related support. The cross-functional immersion of activities in the London, Berlin, and Singapore operations of HUM will be able to speed up the contextual learning process and slow down the formation of silos. Workshops to build identity ought to support organisational purpose, especially that of HUM in AI-enabled smart mobility systems, enhancing initial organisational recognition. Moreover, the feedback checkpoints at 30, 60, and 90 days of progress will be structured to review the progress, clarify the expectations, and talk over the initial challenges. This feedback loop will enhance the psychological safety, role clarity, and timely detection of misalignment, which will eventually accelerate the adaptation process and decrease attrition rates of new employees in the initial stages.</w:t>
      </w:r>
    </w:p>
    <w:p w14:paraId="6F12EB32">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3. First-year integration:</w:t>
      </w:r>
    </w:p>
    <w:p w14:paraId="43D5BCF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final step should bring identity and performance fit together through career path mapping, innovation participation project, and formal performance culture alignment reviews. Tavares and Vaz (2025) stress that performance systems are optimally effective when they are in line with organisational context that includes 360-degree feedback and dynamic evaluation mechanisms. The incorporation of these mechanisms provides fairness, learning orientation, and long-term engagement.</w:t>
      </w:r>
    </w:p>
    <w:p w14:paraId="79C068C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This framework is warranted because it directly tackles the fundamental problems of HUM: long time to ramp-up, low engagement, and high attrition. Also, gamified and interactive features, promoted by James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(2024), contribute to better engagement and retention through the promotion of psychological connectedness and motivation. In general, the model alters the manner in which onboarding is a transactional process to a continuous journey of identity building.</w:t>
      </w:r>
    </w:p>
    <w:p w14:paraId="657FF0C8">
      <w:pPr>
        <w:pStyle w:val="3"/>
      </w:pPr>
      <w:bookmarkStart w:id="5" w:name="_Toc232549521"/>
      <w:r>
        <w:t>A3. Organisational Identity, Ethics &amp; Business Activism</w:t>
      </w:r>
      <w:bookmarkEnd w:id="5"/>
      <w:r>
        <w:t xml:space="preserve"> </w:t>
      </w:r>
    </w:p>
    <w:p w14:paraId="784510E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Social Identity Theory, which suggests that people identify themselves with groups and internalise organisational values in case of high group prototypicality, can be used to strengthen organisational identification in HUM (van Knippenberg, 2023). Currently, employees are unable to associate themselves with the mission of HUM because of poor socialisation, which leads to disengagement and turnover. It is possible to promote perceived organisational distinctiveness and belonging by reinforcing internal branding around the HUM purpose of smart mobility and sustainability.</w:t>
      </w:r>
    </w:p>
    <w:p w14:paraId="0CA57AF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Ethical professionalism should be integrated by having a strong HR ethics model that enhances fairness, transparency and accountability in talent management decisions. This is especially essential in AI-enabled organisations such as HUM, where the risks of automation and the deployment of data in the decision-making are subject to ethical risks that can impact on trust and psychological safety.</w:t>
      </w:r>
    </w:p>
    <w:p w14:paraId="436BB0B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idea of business activism also extends the HR role beyond its administrative assistance to strategic impact. The Ulrich HR Business Partner model emphasises HR as a strategic business partner, which is embedded in business functions, thereby increasing the alignment of human capital practices/organisational strategy (Verlinden, 2024). This model does not involve employees as passive participants but as active change agents that bring organisational change.</w:t>
      </w:r>
    </w:p>
    <w:p w14:paraId="156866C2">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the case of HUM, a stakeholder capitalism mentality can guarantee that the employees are not trained to be productive only but to contribute to the greater value creation in society, especially in sustainable urban mobility. Incorporating AI ethics, sustainability focus, and stakeholder accountability in the development of the workforce enhances the organisational legitimacy and long-term competitiveness.</w:t>
      </w:r>
    </w:p>
    <w:p w14:paraId="613ACC02">
      <w:pPr>
        <w:spacing w:before="240" w:after="240" w:line="360" w:lineRule="auto"/>
        <w:jc w:val="both"/>
        <w:rPr>
          <w:rFonts w:ascii="Times New Roman" w:hAnsi="Times New Roman" w:eastAsia="Times New Roman" w:cs="Times New Roman"/>
          <w:sz w:val="24"/>
          <w:szCs w:val="24"/>
        </w:rPr>
      </w:pPr>
    </w:p>
    <w:p w14:paraId="27B15706">
      <w:pPr>
        <w:pStyle w:val="2"/>
      </w:pPr>
      <w:bookmarkStart w:id="6" w:name="_Toc232549522"/>
      <w:r>
        <w:t>TASK B: Job Design</w:t>
      </w:r>
      <w:bookmarkEnd w:id="6"/>
    </w:p>
    <w:p w14:paraId="5964430A">
      <w:pPr>
        <w:pStyle w:val="3"/>
      </w:pPr>
      <w:bookmarkStart w:id="7" w:name="_Toc232549523"/>
      <w:r>
        <w:t>B1. Innovative Job Design Strategy</w:t>
      </w:r>
      <w:bookmarkEnd w:id="7"/>
    </w:p>
    <w:p w14:paraId="766CC9D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 good job design plan of Helios Urban Mobility (HUM) must incorporate Job Characteristics Model (JCM), job crafting theory, and a talent marketplace based on skills to maximize intrinsic motivation and agility in AI-based mobility work.</w:t>
      </w:r>
    </w:p>
    <w:p w14:paraId="468957C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redesign of job roles to maximise five core dimensions, namely, skill variety, task identity, task significance, autonomy, and feedback should be done using the JCM of Hackman and Oldham. As Zhao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(2024) evidence, these traits make intrinsic motivation and performance a lot stronger by associating meaningful work with greater engagement results. In the case of HUM, this is quite applicable since the present level of disengagement and attrition of graduates shows the low level of psychological attachment to working positions.</w:t>
      </w:r>
    </w:p>
    <w:p w14:paraId="1DF9A9E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Firstly, HUM should reorganize AI and mobility engineering functions into dynamic project-based roles, rather than job descriptions. The employees would be moved in AI mobility analytics, smart infrastructure modelling, and city-government consultancy projects, which would enhance the diversity of skills and task identity. Task significance is further enhanced when outputs are directly associated with the systems of sustainable urban mobility, enhancing the perceived societal impact.</w:t>
      </w:r>
    </w:p>
    <w:p w14:paraId="0DF74A9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Second, job crafting theory ought to be integrated to enable employees to participate in redesigning their work, relationships, and cognition of their work. Liu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(2023) also note that autonomous motivation is an important motivator of job crafting behaviour in the presence of empowering leadership. Instead, HUM managers are supposed to be facilitators and not controllers so that employees can be allowed to re-design workflow within strategic boundaries.</w:t>
      </w:r>
    </w:p>
    <w:p w14:paraId="62F4AC7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Third, HUM needs to deploy its internal talent marketplace, which allows the employees to freely cross-project in London, Berlin, and Singapore on the basis of skills and interests. This is also in line with AI-based mobility control systems, outlined by Cirianni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(2023), of which data-driven systems can be dynamically optimised in real-time. This model enhances independence and organisational capability is equivalent.</w:t>
      </w:r>
    </w:p>
    <w:p w14:paraId="5F891A82">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Overall, this comprehensive design relocates jobs to be dynamic, skill-based experiences, which increase motivation, innovation ability and organisational flexibility in the rapid scaling environment of HUM.</w:t>
      </w:r>
    </w:p>
    <w:p w14:paraId="29CADFCB">
      <w:pPr>
        <w:pStyle w:val="3"/>
      </w:pPr>
      <w:bookmarkStart w:id="8" w:name="_Toc232549524"/>
      <w:r>
        <w:t>B2. Intrinsic Motivation &amp; Innovation Mechanisms</w:t>
      </w:r>
      <w:bookmarkEnd w:id="8"/>
      <w:r>
        <w:t xml:space="preserve"> </w:t>
      </w:r>
    </w:p>
    <w:p w14:paraId="66F83E2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HUM intrinsic motivation can be reinforced through organisational climate redesigning with the focus on autonomy, meaningful work, and mastery. Studies by Xu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(2022) indicate that intrinsic motivation is most predictive of innovative work behaviour, particularly with a psychologically safe and innovation-oriented work environment.</w:t>
      </w:r>
    </w:p>
    <w:p w14:paraId="5C75E62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begin with, autonomy ought to be incorporated by using self-managing project teams wherein the employees decide on procedures, sequence of tasks, and the type of collaboration within specified project outcomes. This will minimize reliance on top-down control and will directly deal with disengagement associated with strict role configurations.</w:t>
      </w:r>
    </w:p>
    <w:p w14:paraId="320AC9D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Second, meaningful work must be strengthened through a clear linking of works to the mission of HUM of sustainable smart mobility in cities. Emotional attachment and persistence are also elevated when employees feel that their job is socially meaningful and this reduces the level of graduate attrition and enhances the level of engagement.</w:t>
      </w:r>
    </w:p>
    <w:p w14:paraId="62EE4A58">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Third, the development pathways into mastery must be established through the provision of AI skill-building programmes, which would enable lifelong upskilling in machine learning, mobility analytics, and urban systems modelling. This reinforces the career identity at a long-term level and minimizes the turnover intention among the high-potential employees.</w:t>
      </w:r>
    </w:p>
    <w:p w14:paraId="6AA6FAD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HUM needs to implement three mechanisms in order to operationalise innovation. A specialized inside gig marketplace would allow employees to select short term projects in the functions, which would increase exposure and sharing of knowledge. Innovation projects in the form of hackathons can promote the rapid experimentation and generation of ideas on time-constrained settings. Lastly, cross-functional collaboration teams, like agile marketing frameworks mentioned by Umezurike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(2025), eliminate silos by merging engineers, analysts, and designers into common delivery teams.</w:t>
      </w:r>
    </w:p>
    <w:p w14:paraId="22F2FBE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combination of such mechanisms leads to enhanced psychological safety and intrinsic motivation as it promotes expressing ideas, experimentation, and collaboration. Innovative behaviour depends heavily on psychological safety and intrinsic motivation as emphasised by Xu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(2022). Thus, the job design of HUM increases the level of engagement in addition to direct improvement of the performance in the area of innovation and retention of high-potential graduates.</w:t>
      </w:r>
    </w:p>
    <w:p w14:paraId="5EB5A96C">
      <w:pPr>
        <w:pStyle w:val="3"/>
      </w:pPr>
      <w:bookmarkStart w:id="9" w:name="_Toc232549525"/>
      <w:r>
        <w:t>B3. Critical Evaluation of Risks &amp; Justification</w:t>
      </w:r>
      <w:bookmarkEnd w:id="9"/>
      <w:r>
        <w:t xml:space="preserve"> </w:t>
      </w:r>
    </w:p>
    <w:p w14:paraId="7A318765">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Although it has advantages, the suggested job design model poses a number of threats. First, too much flexibility can lead to role ambiguity, with the employees failing to establish roles, amid the dynamic project-based work. Second, job crafting can contribute to work overload or misalignment because employees in highly interdependent agile teams might focus on personal optimisation instead of team coordination (Tenzer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2026).</w:t>
      </w:r>
    </w:p>
    <w:p w14:paraId="592434D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Also, the uneven application on the international locations (London, Berlin, Singapore) can lead to unequal performance levels, undermining overall fairness perceptions and organisational cohesion.</w:t>
      </w:r>
    </w:p>
    <w:p w14:paraId="5D0CCFD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counter these risks, HUM should have a systematic flexibility limit, meaning that job crafting and mobility are to take place within well-defined strategic roles and competencies. It will also require a strong HR governance system which will provide uniformity in the role design, performance requirements and mobility policies across geographical locations.</w:t>
      </w:r>
    </w:p>
    <w:p w14:paraId="4F8E1E8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Moreover, the introduction of AI-based HR analytics systems can facilitate real-time identifying workload balance, performance outcomes, and movement patterns. HR analytics improves the legitimacy of decisions when used in tandem with organized data governance and alignment of strategic objectives (Belizón and Kieran, 2021).</w:t>
      </w:r>
    </w:p>
    <w:p w14:paraId="1A352BE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sum, although autonomy-based job design leads to higher engagement and innovation, it should be balanced by governance systems. This systematic method of autonomy makes it sustainable, helps to avoid burnout, and guarantee the continuity of performance among the highly dynamic international workforce of HUM.</w:t>
      </w:r>
    </w:p>
    <w:p w14:paraId="04E326FA">
      <w:pPr>
        <w:spacing w:before="240" w:after="240" w:line="360" w:lineRule="auto"/>
        <w:jc w:val="both"/>
        <w:rPr>
          <w:rFonts w:ascii="Times New Roman" w:hAnsi="Times New Roman" w:eastAsia="Times New Roman" w:cs="Times New Roman"/>
          <w:sz w:val="24"/>
          <w:szCs w:val="24"/>
        </w:rPr>
      </w:pPr>
    </w:p>
    <w:p w14:paraId="195AEC4F">
      <w:pPr>
        <w:pStyle w:val="2"/>
      </w:pPr>
      <w:bookmarkStart w:id="10" w:name="_Toc232549526"/>
      <w:r>
        <w:t>TASK C: Reflective Report</w:t>
      </w:r>
      <w:bookmarkEnd w:id="10"/>
      <w:r>
        <w:t xml:space="preserve"> </w:t>
      </w:r>
    </w:p>
    <w:p w14:paraId="502861F9">
      <w:pPr>
        <w:pStyle w:val="3"/>
      </w:pPr>
      <w:bookmarkStart w:id="11" w:name="_Toc232549527"/>
      <w:r>
        <w:t>C1. AI as Decision-Support Tool</w:t>
      </w:r>
      <w:bookmarkEnd w:id="11"/>
      <w:r>
        <w:t xml:space="preserve"> </w:t>
      </w:r>
    </w:p>
    <w:p w14:paraId="38436E0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AI is also transforming HR decision-making in recruitment, onboarding and retention, processes. According to Madanchian (2024), AI solutions like applicant tracking systems, automated onboarding solutions, and predictive analytics enhance efficiency, personalisation and human resource planning throughout the employee lifecycle. These tools could help in HUM to recognize high-potential graduates earlier and find early signs of attrition.</w:t>
      </w:r>
    </w:p>
    <w:p w14:paraId="0DE154A5">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However, overreliance on AI will have essential dangers like bias in algorithms, absence of human judgment, and ethical concerns that pertain to privacy of data. Camilleri (2023) emphasizes that good AI governance must ensure fairness, transparency, accountability, and explainability of the decision systems.</w:t>
      </w:r>
    </w:p>
    <w:p w14:paraId="1878FDB5">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Therefore, AI should not be utilized as a decision engine but rather be used as a decision support tool. The strategy should include having a human-in-the-loop approach, in which the managers are left with the decision of whether to hire, onboard and keep a human being. In real life, I would use AI generated information to make decisions, yet not neglect ethical restraint and situational explanation to avoid over-reliance on automated outputs.</w:t>
      </w:r>
    </w:p>
    <w:p w14:paraId="74A9D255">
      <w:pPr>
        <w:pStyle w:val="3"/>
      </w:pPr>
      <w:bookmarkStart w:id="12" w:name="_Toc232549528"/>
      <w:r>
        <w:t>C2. Personal Capability Development Plan</w:t>
      </w:r>
      <w:bookmarkEnd w:id="12"/>
      <w:r>
        <w:t xml:space="preserve"> </w:t>
      </w:r>
    </w:p>
    <w:p w14:paraId="31F6EEF5">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remain relevant in AI-enabled HR, I will focus on four areas of capabilities.</w:t>
      </w:r>
    </w:p>
    <w:p w14:paraId="6939EC0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First of all, evidence-based decision making presupposes data literacy, in particular, HR analytics skills, such as predicting attrition and engagement analysis. According to Căvescu and Popescu (2025), ethical use of predictive analytics tools such as XGBoost and random forest can enhance the accuracy of HR forecasts in a significant manner.</w:t>
      </w:r>
    </w:p>
    <w:p w14:paraId="6E204C7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Second, I will gain competence in AI augmentation in HR, such as being familiar with the AI-based recruitment, onboarding, and workforce planning systems to maximize operational efficiency.</w:t>
      </w:r>
    </w:p>
    <w:p w14:paraId="68214F9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Third, I want to improve strategic influencing skills that will assist me to business partner with HR effectively and communicate with stakeholders at various levels in organisations.</w:t>
      </w:r>
    </w:p>
    <w:p w14:paraId="60F7F54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Lastly, I will develop global mobility and international HR sensitivity, especially in the context of multinational operations, such as the activities of HUM in London, Berlin, and Singapore. Inclusive talent management and integration of a global workforce would not be possible without cross-cultural competence (Mouboua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2024).</w:t>
      </w:r>
    </w:p>
    <w:p w14:paraId="238A7ED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My action plan will involve finishing HR analytics and AI certifications, have an internship experience, and practice continuous reflection on integrating theory with applied HR experience.</w:t>
      </w:r>
    </w:p>
    <w:p w14:paraId="132FC45C">
      <w:pPr>
        <w:spacing w:before="240" w:after="240" w:line="360" w:lineRule="auto"/>
        <w:jc w:val="both"/>
        <w:rPr>
          <w:rFonts w:ascii="Times New Roman" w:hAnsi="Times New Roman" w:eastAsia="Times New Roman" w:cs="Times New Roman"/>
          <w:sz w:val="24"/>
          <w:szCs w:val="24"/>
        </w:rPr>
      </w:pPr>
    </w:p>
    <w:p w14:paraId="2A8CCC40">
      <w:pPr>
        <w:pStyle w:val="2"/>
      </w:pPr>
      <w:bookmarkStart w:id="13" w:name="_Toc232549529"/>
      <w:r>
        <w:t>Conclusion</w:t>
      </w:r>
      <w:bookmarkEnd w:id="13"/>
      <w:r>
        <w:t xml:space="preserve"> </w:t>
      </w:r>
    </w:p>
    <w:p w14:paraId="76846A05">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According to this report, strategic socialisation will succeed compared to traditional onboarding in identity and engagement development. Restructured, adaptable working models boost motivation and creativity, whereas AI-assisted HR systems should be harmonized with human judgment and moral leadership. Overall, HUM must adopt a holistic human capital model that incorporates structured socialisation, job designing, and responsible AI utilisation. The plan will increase the level of engagement, reduce attrition, and allow HUM to move towards global smart mobility strategy.</w:t>
      </w:r>
    </w:p>
    <w:p w14:paraId="50E4398D">
      <w:pPr>
        <w:spacing w:before="240" w:after="240" w:line="360" w:lineRule="auto"/>
        <w:jc w:val="both"/>
        <w:rPr>
          <w:rFonts w:ascii="Times New Roman" w:hAnsi="Times New Roman" w:eastAsia="Times New Roman" w:cs="Times New Roman"/>
          <w:sz w:val="24"/>
          <w:szCs w:val="24"/>
        </w:rPr>
      </w:pPr>
      <w:r>
        <w:br w:type="page"/>
      </w:r>
    </w:p>
    <w:bookmarkEnd w:id="15"/>
    <w:p w14:paraId="5E80BA40">
      <w:pPr>
        <w:pStyle w:val="2"/>
      </w:pPr>
      <w:bookmarkStart w:id="14" w:name="_Toc232549530"/>
      <w:r>
        <w:t>Reference List</w:t>
      </w:r>
      <w:bookmarkEnd w:id="14"/>
    </w:p>
    <w:p w14:paraId="0B7615E6">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Belizón, M.J. and Kieran, S. (2021). Human resources analytics: A legitimacy process. </w:t>
      </w:r>
      <w:r>
        <w:rPr>
          <w:rFonts w:ascii="Times New Roman" w:hAnsi="Times New Roman" w:eastAsia="Times New Roman" w:cs="Times New Roman"/>
          <w:i/>
          <w:iCs/>
          <w:sz w:val="24"/>
          <w:szCs w:val="24"/>
        </w:rPr>
        <w:t>Human Resource Management Journal</w:t>
      </w:r>
      <w:r>
        <w:rPr>
          <w:rFonts w:ascii="Times New Roman" w:hAnsi="Times New Roman" w:eastAsia="Times New Roman" w:cs="Times New Roman"/>
          <w:sz w:val="24"/>
          <w:szCs w:val="24"/>
        </w:rPr>
        <w:t>, 32(3), pp.603–630. doi:</w:t>
      </w:r>
      <w:r>
        <w:fldChar w:fldCharType="begin"/>
      </w:r>
      <w:r>
        <w:instrText xml:space="preserve"> HYPERLINK "https://doi.org/10.1111/1748-8583.12417" \h </w:instrText>
      </w:r>
      <w:r>
        <w:fldChar w:fldCharType="separate"/>
      </w:r>
      <w:r>
        <w:rPr>
          <w:rFonts w:ascii="Times New Roman" w:hAnsi="Times New Roman" w:eastAsia="Times New Roman" w:cs="Times New Roman"/>
          <w:color w:val="1155CC"/>
          <w:sz w:val="24"/>
          <w:szCs w:val="24"/>
          <w:u w:val="single"/>
        </w:rPr>
        <w:t>https://doi.org/10.1111/1748-8583.12417</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4C32DA91">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Camilleri, M.A. (2023). Artificial intelligence governance: Ethical considerations and implications for social responsibility. </w:t>
      </w:r>
      <w:r>
        <w:rPr>
          <w:rFonts w:ascii="Times New Roman" w:hAnsi="Times New Roman" w:eastAsia="Times New Roman" w:cs="Times New Roman"/>
          <w:i/>
          <w:iCs/>
          <w:sz w:val="24"/>
          <w:szCs w:val="24"/>
        </w:rPr>
        <w:t>Expert Systems</w:t>
      </w:r>
      <w:r>
        <w:rPr>
          <w:rFonts w:ascii="Times New Roman" w:hAnsi="Times New Roman" w:eastAsia="Times New Roman" w:cs="Times New Roman"/>
          <w:sz w:val="24"/>
          <w:szCs w:val="24"/>
        </w:rPr>
        <w:t>, 41(7). doi:</w:t>
      </w:r>
      <w:r>
        <w:fldChar w:fldCharType="begin"/>
      </w:r>
      <w:r>
        <w:instrText xml:space="preserve"> HYPERLINK "https://doi.org/10.1111/exsy.13406" \h </w:instrText>
      </w:r>
      <w:r>
        <w:fldChar w:fldCharType="separate"/>
      </w:r>
      <w:r>
        <w:rPr>
          <w:rFonts w:ascii="Times New Roman" w:hAnsi="Times New Roman" w:eastAsia="Times New Roman" w:cs="Times New Roman"/>
          <w:color w:val="1155CC"/>
          <w:sz w:val="24"/>
          <w:szCs w:val="24"/>
          <w:u w:val="single"/>
        </w:rPr>
        <w:t>https://doi.org/10.1111/exsy.13406</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55F7C77D">
      <w:pPr>
        <w:spacing w:after="240" w:line="360" w:lineRule="auto"/>
        <w:jc w:val="both"/>
        <w:rPr>
          <w:rFonts w:ascii="Times New Roman" w:hAnsi="Times New Roman" w:eastAsia="Times New Roman" w:cs="Times New Roman"/>
          <w:sz w:val="24"/>
          <w:szCs w:val="24"/>
          <w:lang w:val="it-IT"/>
        </w:rPr>
      </w:pPr>
      <w:r>
        <w:rPr>
          <w:rFonts w:ascii="Times New Roman" w:hAnsi="Times New Roman" w:eastAsia="Times New Roman" w:cs="Times New Roman"/>
          <w:sz w:val="24"/>
          <w:szCs w:val="24"/>
        </w:rPr>
        <w:t xml:space="preserve">Căvescu, A.M. and Popescu, N. (2025). Predictive Analytics in Human Resources Management: Evaluating AIHR’s Role in Talent Retention. </w:t>
      </w:r>
      <w:r>
        <w:rPr>
          <w:rFonts w:ascii="Times New Roman" w:hAnsi="Times New Roman" w:eastAsia="Times New Roman" w:cs="Times New Roman"/>
          <w:i/>
          <w:iCs/>
          <w:sz w:val="24"/>
          <w:szCs w:val="24"/>
          <w:lang w:val="it-IT"/>
        </w:rPr>
        <w:t>AppliedMath</w:t>
      </w:r>
      <w:r>
        <w:rPr>
          <w:rFonts w:ascii="Times New Roman" w:hAnsi="Times New Roman" w:eastAsia="Times New Roman" w:cs="Times New Roman"/>
          <w:sz w:val="24"/>
          <w:szCs w:val="24"/>
          <w:lang w:val="it-IT"/>
        </w:rPr>
        <w:t>, 5(3), p.99. doi:</w:t>
      </w:r>
      <w:r>
        <w:fldChar w:fldCharType="begin"/>
      </w:r>
      <w:r>
        <w:instrText xml:space="preserve"> HYPERLINK "https://doi.org/10.3390/appliedmath5030099" \h </w:instrText>
      </w:r>
      <w:r>
        <w:fldChar w:fldCharType="separate"/>
      </w:r>
      <w:r>
        <w:rPr>
          <w:rFonts w:ascii="Times New Roman" w:hAnsi="Times New Roman" w:eastAsia="Times New Roman" w:cs="Times New Roman"/>
          <w:color w:val="1155CC"/>
          <w:sz w:val="24"/>
          <w:szCs w:val="24"/>
          <w:u w:val="single"/>
          <w:lang w:val="it-IT"/>
        </w:rPr>
        <w:t>https://doi.org/10.3390/appliedmath5030099</w:t>
      </w:r>
      <w:r>
        <w:rPr>
          <w:rFonts w:ascii="Times New Roman" w:hAnsi="Times New Roman" w:eastAsia="Times New Roman" w:cs="Times New Roman"/>
          <w:color w:val="1155CC"/>
          <w:sz w:val="24"/>
          <w:szCs w:val="24"/>
          <w:u w:val="single"/>
          <w:lang w:val="it-IT"/>
        </w:rPr>
        <w:fldChar w:fldCharType="end"/>
      </w:r>
      <w:r>
        <w:rPr>
          <w:rFonts w:ascii="Times New Roman" w:hAnsi="Times New Roman" w:eastAsia="Times New Roman" w:cs="Times New Roman"/>
          <w:sz w:val="24"/>
          <w:szCs w:val="24"/>
          <w:lang w:val="it-IT"/>
        </w:rPr>
        <w:t xml:space="preserve">. </w:t>
      </w:r>
    </w:p>
    <w:p w14:paraId="1DACE5F2">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lang w:val="it-IT"/>
        </w:rPr>
        <w:t xml:space="preserve">Cirianni, F., Comi, A. and Quattrone, A. (2023). </w:t>
      </w:r>
      <w:r>
        <w:rPr>
          <w:rFonts w:ascii="Times New Roman" w:hAnsi="Times New Roman" w:eastAsia="Times New Roman" w:cs="Times New Roman"/>
          <w:sz w:val="24"/>
          <w:szCs w:val="24"/>
        </w:rPr>
        <w:t xml:space="preserve">Mobility Control Centre and Artificial Intelligence for Sustainable Urban Districts. </w:t>
      </w:r>
      <w:r>
        <w:rPr>
          <w:rFonts w:ascii="Times New Roman" w:hAnsi="Times New Roman" w:eastAsia="Times New Roman" w:cs="Times New Roman"/>
          <w:i/>
          <w:iCs/>
          <w:sz w:val="24"/>
          <w:szCs w:val="24"/>
        </w:rPr>
        <w:t>Information</w:t>
      </w:r>
      <w:r>
        <w:rPr>
          <w:rFonts w:ascii="Times New Roman" w:hAnsi="Times New Roman" w:eastAsia="Times New Roman" w:cs="Times New Roman"/>
          <w:sz w:val="24"/>
          <w:szCs w:val="24"/>
        </w:rPr>
        <w:t>, 14(10), pp.581–581. doi:</w:t>
      </w:r>
      <w:r>
        <w:fldChar w:fldCharType="begin"/>
      </w:r>
      <w:r>
        <w:instrText xml:space="preserve"> HYPERLINK "https://doi.org/10.3390/info14100581" \h </w:instrText>
      </w:r>
      <w:r>
        <w:fldChar w:fldCharType="separate"/>
      </w:r>
      <w:r>
        <w:rPr>
          <w:rFonts w:ascii="Times New Roman" w:hAnsi="Times New Roman" w:eastAsia="Times New Roman" w:cs="Times New Roman"/>
          <w:color w:val="1155CC"/>
          <w:sz w:val="24"/>
          <w:szCs w:val="24"/>
          <w:u w:val="single"/>
        </w:rPr>
        <w:t>https://doi.org/10.3390/info14100581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10C74ED1">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James, W., Oates, G. and Schonfeldt, N. (2024). Improving retention while enhancing student engagement and learning outcomes using gamified mobile technology. </w:t>
      </w:r>
      <w:r>
        <w:rPr>
          <w:rFonts w:ascii="Times New Roman" w:hAnsi="Times New Roman" w:eastAsia="Times New Roman" w:cs="Times New Roman"/>
          <w:i/>
          <w:iCs/>
          <w:sz w:val="24"/>
          <w:szCs w:val="24"/>
        </w:rPr>
        <w:t>Accounting education (London. Print)</w:t>
      </w:r>
      <w:r>
        <w:rPr>
          <w:rFonts w:ascii="Times New Roman" w:hAnsi="Times New Roman" w:eastAsia="Times New Roman" w:cs="Times New Roman"/>
          <w:sz w:val="24"/>
          <w:szCs w:val="24"/>
        </w:rPr>
        <w:t>, 34(3), pp.1–21. doi:</w:t>
      </w:r>
      <w:r>
        <w:fldChar w:fldCharType="begin"/>
      </w:r>
      <w:r>
        <w:instrText xml:space="preserve"> HYPERLINK "https://doi.org/10.1080/09639284.2024.2326009" \h </w:instrText>
      </w:r>
      <w:r>
        <w:fldChar w:fldCharType="separate"/>
      </w:r>
      <w:r>
        <w:rPr>
          <w:rFonts w:ascii="Times New Roman" w:hAnsi="Times New Roman" w:eastAsia="Times New Roman" w:cs="Times New Roman"/>
          <w:color w:val="1155CC"/>
          <w:sz w:val="24"/>
          <w:szCs w:val="24"/>
          <w:u w:val="single"/>
        </w:rPr>
        <w:t>https://doi.org/10.1080/09639284.2024.2326009</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49276C43">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Liu, G., Peng, H. and Wen, H. (2023). How self-leadership promotes job crafting: Based on the perspective of self-determination theory. </w:t>
      </w:r>
      <w:r>
        <w:rPr>
          <w:rFonts w:ascii="Times New Roman" w:hAnsi="Times New Roman" w:eastAsia="Times New Roman" w:cs="Times New Roman"/>
          <w:i/>
          <w:iCs/>
          <w:sz w:val="24"/>
          <w:szCs w:val="24"/>
        </w:rPr>
        <w:t>Frontiers in Psychology</w:t>
      </w:r>
      <w:r>
        <w:rPr>
          <w:rFonts w:ascii="Times New Roman" w:hAnsi="Times New Roman" w:eastAsia="Times New Roman" w:cs="Times New Roman"/>
          <w:sz w:val="24"/>
          <w:szCs w:val="24"/>
        </w:rPr>
        <w:t>, 14. doi:</w:t>
      </w:r>
      <w:r>
        <w:fldChar w:fldCharType="begin"/>
      </w:r>
      <w:r>
        <w:instrText xml:space="preserve"> HYPERLINK "https://doi.org/10.3389/fpsyg.2023.1079196" \h </w:instrText>
      </w:r>
      <w:r>
        <w:fldChar w:fldCharType="separate"/>
      </w:r>
      <w:r>
        <w:rPr>
          <w:rFonts w:ascii="Times New Roman" w:hAnsi="Times New Roman" w:eastAsia="Times New Roman" w:cs="Times New Roman"/>
          <w:color w:val="1155CC"/>
          <w:sz w:val="24"/>
          <w:szCs w:val="24"/>
          <w:u w:val="single"/>
        </w:rPr>
        <w:t>https://doi.org/10.3389/fpsyg.2023.1079196</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87112FF">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Madanchian, M. (2024). From Recruitment to Retention: AI Tools for Human Resource Decision-Making. </w:t>
      </w:r>
      <w:r>
        <w:rPr>
          <w:rFonts w:ascii="Times New Roman" w:hAnsi="Times New Roman" w:eastAsia="Times New Roman" w:cs="Times New Roman"/>
          <w:i/>
          <w:iCs/>
          <w:sz w:val="24"/>
          <w:szCs w:val="24"/>
        </w:rPr>
        <w:t>Applied Sciences</w:t>
      </w:r>
      <w:r>
        <w:rPr>
          <w:rFonts w:ascii="Times New Roman" w:hAnsi="Times New Roman" w:eastAsia="Times New Roman" w:cs="Times New Roman"/>
          <w:sz w:val="24"/>
          <w:szCs w:val="24"/>
        </w:rPr>
        <w:t>, 14(24), p.11750. doi:</w:t>
      </w:r>
      <w:r>
        <w:fldChar w:fldCharType="begin"/>
      </w:r>
      <w:r>
        <w:instrText xml:space="preserve"> HYPERLINK "https://doi.org/10.3390/app142411750" \h </w:instrText>
      </w:r>
      <w:r>
        <w:fldChar w:fldCharType="separate"/>
      </w:r>
      <w:r>
        <w:rPr>
          <w:rFonts w:ascii="Times New Roman" w:hAnsi="Times New Roman" w:eastAsia="Times New Roman" w:cs="Times New Roman"/>
          <w:color w:val="1155CC"/>
          <w:sz w:val="24"/>
          <w:szCs w:val="24"/>
          <w:u w:val="single"/>
        </w:rPr>
        <w:t>https://doi.org/10.3390/app142411750</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74F26D24">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Mouboua, P.D., Atobatele, F.A. and Akintayo, O.T. (2024). Cross-cultural competence in global HRD: Strategies for developing an inclusive and diverse workforce. </w:t>
      </w:r>
      <w:r>
        <w:rPr>
          <w:rFonts w:ascii="Times New Roman" w:hAnsi="Times New Roman" w:eastAsia="Times New Roman" w:cs="Times New Roman"/>
          <w:i/>
          <w:iCs/>
          <w:sz w:val="24"/>
          <w:szCs w:val="24"/>
        </w:rPr>
        <w:t>International Journal of Science and Research Archive</w:t>
      </w:r>
      <w:r>
        <w:rPr>
          <w:rFonts w:ascii="Times New Roman" w:hAnsi="Times New Roman" w:eastAsia="Times New Roman" w:cs="Times New Roman"/>
          <w:sz w:val="24"/>
          <w:szCs w:val="24"/>
        </w:rPr>
        <w:t>, 12(1), pp.103–113. doi:</w:t>
      </w:r>
      <w:r>
        <w:fldChar w:fldCharType="begin"/>
      </w:r>
      <w:r>
        <w:instrText xml:space="preserve"> HYPERLINK "https://doi.org/10.30574/ijsra.2024.12.1.0765" \h </w:instrText>
      </w:r>
      <w:r>
        <w:fldChar w:fldCharType="separate"/>
      </w:r>
      <w:r>
        <w:rPr>
          <w:rFonts w:ascii="Times New Roman" w:hAnsi="Times New Roman" w:eastAsia="Times New Roman" w:cs="Times New Roman"/>
          <w:color w:val="1155CC"/>
          <w:sz w:val="24"/>
          <w:szCs w:val="24"/>
          <w:u w:val="single"/>
        </w:rPr>
        <w:t>https://doi.org/10.30574/ijsra.2024.12.1.0765</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1351FA3D">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Pinco, O., Salanta, I.I., Beleiu, I.N. and Crisan, E.L. (2024). The onboarding process: a review. </w:t>
      </w:r>
      <w:r>
        <w:rPr>
          <w:rFonts w:ascii="Times New Roman" w:hAnsi="Times New Roman" w:eastAsia="Times New Roman" w:cs="Times New Roman"/>
          <w:i/>
          <w:iCs/>
          <w:sz w:val="24"/>
          <w:szCs w:val="24"/>
        </w:rPr>
        <w:t>Vilakshan - XIMB Journal of Management</w:t>
      </w:r>
      <w:r>
        <w:rPr>
          <w:rFonts w:ascii="Times New Roman" w:hAnsi="Times New Roman" w:eastAsia="Times New Roman" w:cs="Times New Roman"/>
          <w:sz w:val="24"/>
          <w:szCs w:val="24"/>
        </w:rPr>
        <w:t>, 22(1). doi:</w:t>
      </w:r>
      <w:r>
        <w:fldChar w:fldCharType="begin"/>
      </w:r>
      <w:r>
        <w:instrText xml:space="preserve"> HYPERLINK "https://doi.org/10.1108/xjm-01-2024-0008" \h </w:instrText>
      </w:r>
      <w:r>
        <w:fldChar w:fldCharType="separate"/>
      </w:r>
      <w:r>
        <w:rPr>
          <w:rFonts w:ascii="Times New Roman" w:hAnsi="Times New Roman" w:eastAsia="Times New Roman" w:cs="Times New Roman"/>
          <w:color w:val="1155CC"/>
          <w:sz w:val="24"/>
          <w:szCs w:val="24"/>
          <w:u w:val="single"/>
        </w:rPr>
        <w:t>https://doi.org/10.1108/xjm-01-2024-0008</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4AF9A8E3">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Sani, K.F., Adisa, T.A., Adekoya, O.D. and Oruh, E.S. (2022). Digital Onboarding and Employee outcomes: Empirical Evidence From the UK. </w:t>
      </w:r>
      <w:r>
        <w:rPr>
          <w:rFonts w:ascii="Times New Roman" w:hAnsi="Times New Roman" w:eastAsia="Times New Roman" w:cs="Times New Roman"/>
          <w:i/>
          <w:iCs/>
          <w:sz w:val="24"/>
          <w:szCs w:val="24"/>
        </w:rPr>
        <w:t>Management Decision</w:t>
      </w:r>
      <w:r>
        <w:rPr>
          <w:rFonts w:ascii="Times New Roman" w:hAnsi="Times New Roman" w:eastAsia="Times New Roman" w:cs="Times New Roman"/>
          <w:sz w:val="24"/>
          <w:szCs w:val="24"/>
        </w:rPr>
        <w:t xml:space="preserve">, [online] 61(3), pp.637–654. Available at: </w:t>
      </w:r>
      <w:r>
        <w:fldChar w:fldCharType="begin"/>
      </w:r>
      <w:r>
        <w:instrText xml:space="preserve"> HYPERLINK "https://doi.org/10.1108/MD-11-2021-1528" \h </w:instrText>
      </w:r>
      <w:r>
        <w:fldChar w:fldCharType="separate"/>
      </w:r>
      <w:r>
        <w:rPr>
          <w:rFonts w:ascii="Times New Roman" w:hAnsi="Times New Roman" w:eastAsia="Times New Roman" w:cs="Times New Roman"/>
          <w:color w:val="1155CC"/>
          <w:sz w:val="24"/>
          <w:szCs w:val="24"/>
          <w:u w:val="single"/>
        </w:rPr>
        <w:t>https://doi.org/10.1108/MD-11-2021-1528</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66D0E52E">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Tavares, M.C. and Vaz, M. (2025). Rethinking Performance Evaluation: Strategic Alignment in the Service Sector Through a Case-Based Framework. </w:t>
      </w:r>
      <w:r>
        <w:rPr>
          <w:rFonts w:ascii="Times New Roman" w:hAnsi="Times New Roman" w:eastAsia="Times New Roman" w:cs="Times New Roman"/>
          <w:i/>
          <w:iCs/>
          <w:sz w:val="24"/>
          <w:szCs w:val="24"/>
        </w:rPr>
        <w:t>Administrative Sciences</w:t>
      </w:r>
      <w:r>
        <w:rPr>
          <w:rFonts w:ascii="Times New Roman" w:hAnsi="Times New Roman" w:eastAsia="Times New Roman" w:cs="Times New Roman"/>
          <w:sz w:val="24"/>
          <w:szCs w:val="24"/>
        </w:rPr>
        <w:t>, 15(10), p.390. doi:</w:t>
      </w:r>
      <w:r>
        <w:fldChar w:fldCharType="begin"/>
      </w:r>
      <w:r>
        <w:instrText xml:space="preserve"> HYPERLINK "https://doi.org/10.3390/admsci15100390" \h </w:instrText>
      </w:r>
      <w:r>
        <w:fldChar w:fldCharType="separate"/>
      </w:r>
      <w:r>
        <w:rPr>
          <w:rFonts w:ascii="Times New Roman" w:hAnsi="Times New Roman" w:eastAsia="Times New Roman" w:cs="Times New Roman"/>
          <w:color w:val="1155CC"/>
          <w:sz w:val="24"/>
          <w:szCs w:val="24"/>
          <w:u w:val="single"/>
        </w:rPr>
        <w:t>https://doi.org/10.3390/admsci15100390</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76F4F1F2">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Tenzer, H., Hoegl, M., Tims, M., Yang, P. and Wütz, S. (2026). I Can’t Split Myself in Two (or Five): Job Crafting in Highly Demanding and Interdependent Work Environments. </w:t>
      </w:r>
      <w:r>
        <w:rPr>
          <w:rFonts w:ascii="Times New Roman" w:hAnsi="Times New Roman" w:eastAsia="Times New Roman" w:cs="Times New Roman"/>
          <w:i/>
          <w:iCs/>
          <w:sz w:val="24"/>
          <w:szCs w:val="24"/>
        </w:rPr>
        <w:t>Journal of Organizational Behavior</w:t>
      </w:r>
      <w:r>
        <w:rPr>
          <w:rFonts w:ascii="Times New Roman" w:hAnsi="Times New Roman" w:eastAsia="Times New Roman" w:cs="Times New Roman"/>
          <w:sz w:val="24"/>
          <w:szCs w:val="24"/>
        </w:rPr>
        <w:t>. doi:</w:t>
      </w:r>
      <w:r>
        <w:fldChar w:fldCharType="begin"/>
      </w:r>
      <w:r>
        <w:instrText xml:space="preserve"> HYPERLINK "https://doi.org/10.1002/job.70072" \h </w:instrText>
      </w:r>
      <w:r>
        <w:fldChar w:fldCharType="separate"/>
      </w:r>
      <w:r>
        <w:rPr>
          <w:rFonts w:ascii="Times New Roman" w:hAnsi="Times New Roman" w:eastAsia="Times New Roman" w:cs="Times New Roman"/>
          <w:color w:val="1155CC"/>
          <w:sz w:val="24"/>
          <w:szCs w:val="24"/>
          <w:u w:val="single"/>
        </w:rPr>
        <w:t>https://doi.org/10.1002/job.70072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2DF2C1C2">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Topa, G., Aranda-Carmena, M. and De-Maria, B. (2022). Psychological Contract Breach and Outcomes: A Systematic Review of Reviews. </w:t>
      </w:r>
      <w:r>
        <w:rPr>
          <w:rFonts w:ascii="Times New Roman" w:hAnsi="Times New Roman" w:eastAsia="Times New Roman" w:cs="Times New Roman"/>
          <w:i/>
          <w:iCs/>
          <w:sz w:val="24"/>
          <w:szCs w:val="24"/>
        </w:rPr>
        <w:t>International Journal of Environmental Research and Public Health</w:t>
      </w:r>
      <w:r>
        <w:rPr>
          <w:rFonts w:ascii="Times New Roman" w:hAnsi="Times New Roman" w:eastAsia="Times New Roman" w:cs="Times New Roman"/>
          <w:sz w:val="24"/>
          <w:szCs w:val="24"/>
        </w:rPr>
        <w:t xml:space="preserve">, [online] 19(23), p.15527. Available at: </w:t>
      </w:r>
      <w:r>
        <w:fldChar w:fldCharType="begin"/>
      </w:r>
      <w:r>
        <w:instrText xml:space="preserve"> HYPERLINK "https://www.mdpi.com/1660-4601/19/23/15527" \h </w:instrText>
      </w:r>
      <w:r>
        <w:fldChar w:fldCharType="separate"/>
      </w:r>
      <w:r>
        <w:rPr>
          <w:rFonts w:ascii="Times New Roman" w:hAnsi="Times New Roman" w:eastAsia="Times New Roman" w:cs="Times New Roman"/>
          <w:color w:val="1155CC"/>
          <w:sz w:val="24"/>
          <w:szCs w:val="24"/>
          <w:u w:val="single"/>
        </w:rPr>
        <w:t>https://www.mdpi.com/1660-4601/19/23/15527</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54FFF83B">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Umezurike, S.A., Akinrinoye, O.V., Kufile, O.T., Onifade, A.Y., Otokiti, B.O. and Ejike, O.G. (2025). A Review of Agile Marketing in Cross-Functional Teams: Driving Product Growth through Collaboration. </w:t>
      </w:r>
      <w:r>
        <w:rPr>
          <w:rFonts w:ascii="Times New Roman" w:hAnsi="Times New Roman" w:eastAsia="Times New Roman" w:cs="Times New Roman"/>
          <w:i/>
          <w:iCs/>
          <w:sz w:val="24"/>
          <w:szCs w:val="24"/>
        </w:rPr>
        <w:t>Journal of Frontiers in Multidisciplinary Research</w:t>
      </w:r>
      <w:r>
        <w:rPr>
          <w:rFonts w:ascii="Times New Roman" w:hAnsi="Times New Roman" w:eastAsia="Times New Roman" w:cs="Times New Roman"/>
          <w:sz w:val="24"/>
          <w:szCs w:val="24"/>
        </w:rPr>
        <w:t>, 6(2), pp.23–40. doi:</w:t>
      </w:r>
      <w:r>
        <w:fldChar w:fldCharType="begin"/>
      </w:r>
      <w:r>
        <w:instrText xml:space="preserve"> HYPERLINK "https://doi.org/10.54660/.jfmr.2025.6.2.23-40" \h </w:instrText>
      </w:r>
      <w:r>
        <w:fldChar w:fldCharType="separate"/>
      </w:r>
      <w:r>
        <w:rPr>
          <w:rFonts w:ascii="Times New Roman" w:hAnsi="Times New Roman" w:eastAsia="Times New Roman" w:cs="Times New Roman"/>
          <w:color w:val="1155CC"/>
          <w:sz w:val="24"/>
          <w:szCs w:val="24"/>
          <w:u w:val="single"/>
        </w:rPr>
        <w:t>https://doi.org/10.54660/.jfmr.2025.6.2.23-40</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7AE2D795">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van Knippenberg, D. (2023). Developing the social identity theory of leadership: Leader agency in leader group prototypicality. </w:t>
      </w:r>
      <w:r>
        <w:rPr>
          <w:rFonts w:ascii="Times New Roman" w:hAnsi="Times New Roman" w:eastAsia="Times New Roman" w:cs="Times New Roman"/>
          <w:i/>
          <w:iCs/>
          <w:sz w:val="24"/>
          <w:szCs w:val="24"/>
        </w:rPr>
        <w:t>Social and Personality Psychology Compass</w:t>
      </w:r>
      <w:r>
        <w:rPr>
          <w:rFonts w:ascii="Times New Roman" w:hAnsi="Times New Roman" w:eastAsia="Times New Roman" w:cs="Times New Roman"/>
          <w:sz w:val="24"/>
          <w:szCs w:val="24"/>
        </w:rPr>
        <w:t>, 17(4). doi:</w:t>
      </w:r>
      <w:r>
        <w:fldChar w:fldCharType="begin"/>
      </w:r>
      <w:r>
        <w:instrText xml:space="preserve"> HYPERLINK "https://doi.org/10.1111/spc3.12739" \h </w:instrText>
      </w:r>
      <w:r>
        <w:fldChar w:fldCharType="separate"/>
      </w:r>
      <w:r>
        <w:rPr>
          <w:rFonts w:ascii="Times New Roman" w:hAnsi="Times New Roman" w:eastAsia="Times New Roman" w:cs="Times New Roman"/>
          <w:color w:val="1155CC"/>
          <w:sz w:val="24"/>
          <w:szCs w:val="24"/>
          <w:u w:val="single"/>
        </w:rPr>
        <w:t>https://doi.org/10.1111/spc3.12739</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6B755B66">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Verlinden, N. (2024). </w:t>
      </w:r>
      <w:r>
        <w:rPr>
          <w:rFonts w:ascii="Times New Roman" w:hAnsi="Times New Roman" w:eastAsia="Times New Roman" w:cs="Times New Roman"/>
          <w:i/>
          <w:iCs/>
          <w:sz w:val="24"/>
          <w:szCs w:val="24"/>
        </w:rPr>
        <w:t>HR Business Partner Model</w:t>
      </w:r>
      <w:r>
        <w:rPr>
          <w:rFonts w:ascii="Times New Roman" w:hAnsi="Times New Roman" w:eastAsia="Times New Roman" w:cs="Times New Roman"/>
          <w:sz w:val="24"/>
          <w:szCs w:val="24"/>
        </w:rPr>
        <w:t xml:space="preserve">. [online] AIHR. Available at: </w:t>
      </w:r>
      <w:r>
        <w:fldChar w:fldCharType="begin"/>
      </w:r>
      <w:r>
        <w:instrText xml:space="preserve"> HYPERLINK "https://www.aihr.com/blog/hr-business-partner-model/" \h </w:instrText>
      </w:r>
      <w:r>
        <w:fldChar w:fldCharType="separate"/>
      </w:r>
      <w:r>
        <w:rPr>
          <w:rFonts w:ascii="Times New Roman" w:hAnsi="Times New Roman" w:eastAsia="Times New Roman" w:cs="Times New Roman"/>
          <w:color w:val="1155CC"/>
          <w:sz w:val="24"/>
          <w:szCs w:val="24"/>
          <w:u w:val="single"/>
        </w:rPr>
        <w:t>https://www.aihr.com/blog/hr-business-partner-model/</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16 Jun. 2026].</w:t>
      </w:r>
    </w:p>
    <w:p w14:paraId="10404408">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Xu, Z., Wang, H. and Suntrayuth, S. (2022). Organizational Climate, Innovation Orientation, and Innovative Work Behavior: The Mediating Role of Psychological Safety and Intrinsic Motivation. </w:t>
      </w:r>
      <w:r>
        <w:rPr>
          <w:rFonts w:ascii="Times New Roman" w:hAnsi="Times New Roman" w:eastAsia="Times New Roman" w:cs="Times New Roman"/>
          <w:i/>
          <w:iCs/>
          <w:sz w:val="24"/>
          <w:szCs w:val="24"/>
        </w:rPr>
        <w:t>Discrete Dynamics in Nature and Society</w:t>
      </w:r>
      <w:r>
        <w:rPr>
          <w:rFonts w:ascii="Times New Roman" w:hAnsi="Times New Roman" w:eastAsia="Times New Roman" w:cs="Times New Roman"/>
          <w:sz w:val="24"/>
          <w:szCs w:val="24"/>
        </w:rPr>
        <w:t>, 2022, pp.1–10. doi:</w:t>
      </w:r>
      <w:r>
        <w:fldChar w:fldCharType="begin"/>
      </w:r>
      <w:r>
        <w:instrText xml:space="preserve"> HYPERLINK "https://doi.org/10.1155/2022/9067136" \h </w:instrText>
      </w:r>
      <w:r>
        <w:fldChar w:fldCharType="separate"/>
      </w:r>
      <w:r>
        <w:rPr>
          <w:rFonts w:ascii="Times New Roman" w:hAnsi="Times New Roman" w:eastAsia="Times New Roman" w:cs="Times New Roman"/>
          <w:color w:val="1155CC"/>
          <w:sz w:val="24"/>
          <w:szCs w:val="24"/>
          <w:u w:val="single"/>
        </w:rPr>
        <w:t>https://doi.org/10.1155/2022/9067136</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C7E90A5">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Zhao, S., Ping, J., Zhu, H., Ji, W., Wang, Y. and Wang, Y. (2024). Job characteristics model-based study of the intrinsic motivations for primary care practitioners. </w:t>
      </w:r>
      <w:r>
        <w:rPr>
          <w:rFonts w:ascii="Times New Roman" w:hAnsi="Times New Roman" w:eastAsia="Times New Roman" w:cs="Times New Roman"/>
          <w:i/>
          <w:iCs/>
          <w:sz w:val="24"/>
          <w:szCs w:val="24"/>
        </w:rPr>
        <w:t>Chinese General Practice Journal</w:t>
      </w:r>
      <w:r>
        <w:rPr>
          <w:rFonts w:ascii="Times New Roman" w:hAnsi="Times New Roman" w:eastAsia="Times New Roman" w:cs="Times New Roman"/>
          <w:sz w:val="24"/>
          <w:szCs w:val="24"/>
        </w:rPr>
        <w:t>, 1(1), pp.3–10. doi:</w:t>
      </w:r>
      <w:r>
        <w:fldChar w:fldCharType="begin"/>
      </w:r>
      <w:r>
        <w:instrText xml:space="preserve"> HYPERLINK "https://doi.org/10.1016/j.cgpj.2024.03.004" \h </w:instrText>
      </w:r>
      <w:r>
        <w:fldChar w:fldCharType="separate"/>
      </w:r>
      <w:r>
        <w:rPr>
          <w:rFonts w:ascii="Times New Roman" w:hAnsi="Times New Roman" w:eastAsia="Times New Roman" w:cs="Times New Roman"/>
          <w:color w:val="1155CC"/>
          <w:sz w:val="24"/>
          <w:szCs w:val="24"/>
          <w:u w:val="single"/>
        </w:rPr>
        <w:t>https://doi.org/10.1016/j.cgpj.2024.03.004</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6E7FC415">
      <w:pPr>
        <w:spacing w:before="240" w:after="240" w:line="360" w:lineRule="auto"/>
        <w:jc w:val="both"/>
        <w:rPr>
          <w:rFonts w:ascii="Times New Roman" w:hAnsi="Times New Roman" w:eastAsia="Times New Roman" w:cs="Times New Roman"/>
          <w:sz w:val="24"/>
          <w:szCs w:val="24"/>
        </w:rPr>
      </w:pPr>
    </w:p>
    <w:p w14:paraId="36925809">
      <w:pPr>
        <w:spacing w:line="360" w:lineRule="auto"/>
        <w:jc w:val="both"/>
        <w:rPr>
          <w:rFonts w:ascii="Times New Roman" w:hAnsi="Times New Roman" w:eastAsia="Times New Roman" w:cs="Times New Roman"/>
          <w:sz w:val="24"/>
          <w:szCs w:val="24"/>
        </w:rPr>
      </w:pPr>
    </w:p>
    <w:sectPr>
      <w:footerReference r:id="rId5" w:type="default"/>
      <w:pgSz w:w="11909" w:h="16834"/>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D116DED3-2666-4136-A18F-51EC3999B076}"/>
  </w:font>
  <w:font w:name="Arial">
    <w:panose1 w:val="020B0604020202020204"/>
    <w:charset w:val="86"/>
    <w:family w:val="swiss"/>
    <w:pitch w:val="default"/>
    <w:sig w:usb0="E0002EFF" w:usb1="C000785B" w:usb2="00000009" w:usb3="00000000" w:csb0="400001FF" w:csb1="FFFF0000"/>
    <w:embedRegular r:id="rId2" w:fontKey="{0DCDF2C5-77B3-4141-B0B2-28C529E20CE1}"/>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70F88E3F-8FF5-4884-909F-C88571206A27}"/>
  </w:font>
  <w:font w:name="Wingdings">
    <w:panose1 w:val="05000000000000000000"/>
    <w:charset w:val="02"/>
    <w:family w:val="auto"/>
    <w:pitch w:val="default"/>
    <w:sig w:usb0="00000000" w:usb1="00000000" w:usb2="00000000" w:usb3="00000000" w:csb0="80000000" w:csb1="00000000"/>
    <w:embedRegular r:id="rId4" w:fontKey="{289EC3DF-9BEA-4104-9BC2-9340B46B7950}"/>
  </w:font>
  <w:font w:name="Calibri">
    <w:panose1 w:val="020F0502020204030204"/>
    <w:charset w:val="00"/>
    <w:family w:val="swiss"/>
    <w:pitch w:val="default"/>
    <w:sig w:usb0="E4002EFF" w:usb1="C200247B" w:usb2="00000009" w:usb3="00000000" w:csb0="200001FF" w:csb1="00000000"/>
    <w:embedRegular r:id="rId5" w:fontKey="{F587BE8E-3C61-4218-8DC9-3BCF9CA07128}"/>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Arial">
    <w:panose1 w:val="020B0604020202020204"/>
    <w:charset w:val="00"/>
    <w:family w:val="swiss"/>
    <w:pitch w:val="default"/>
    <w:sig w:usb0="E0002EFF" w:usb1="C000785B" w:usb2="00000009" w:usb3="00000000" w:csb0="400001FF" w:csb1="FFFF0000"/>
    <w:embedRegular r:id="rId6" w:fontKey="{465088B3-5C55-4D4B-952A-02021D97A722}"/>
  </w:font>
  <w:font w:name="Segoe UI">
    <w:panose1 w:val="020B0502040204020203"/>
    <w:charset w:val="00"/>
    <w:family w:val="auto"/>
    <w:pitch w:val="default"/>
    <w:sig w:usb0="E4002EFF" w:usb1="C000E47F" w:usb2="00000009" w:usb3="00000000" w:csb0="200001FF" w:csb1="00000000"/>
    <w:embedRegular r:id="rId7" w:fontKey="{13AB8BC6-118E-460A-9356-6998D3CB1227}"/>
  </w:font>
  <w:font w:name="Segoe UI Symbol">
    <w:panose1 w:val="020B0502040204020203"/>
    <w:charset w:val="00"/>
    <w:family w:val="swiss"/>
    <w:pitch w:val="default"/>
    <w:sig w:usb0="800001E3" w:usb1="1200FFEF" w:usb2="00040000" w:usb3="04000000" w:csb0="00000001" w:csb1="40000000"/>
    <w:embedRegular r:id="rId8" w:fontKey="{811036C8-9A63-4C40-B9C3-52A550046C37}"/>
  </w:font>
  <w:font w:name="MS Gothic">
    <w:panose1 w:val="020B0609070205080204"/>
    <w:charset w:val="80"/>
    <w:family w:val="modern"/>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60230349"/>
      <w:docPartObj>
        <w:docPartGallery w:val="AutoText"/>
      </w:docPartObj>
    </w:sdtPr>
    <w:sdtContent>
      <w:p w14:paraId="3484D4B3">
        <w:pPr>
          <w:pStyle w:val="10"/>
          <w:jc w:val="right"/>
        </w:pPr>
        <w:r>
          <w:fldChar w:fldCharType="begin"/>
        </w:r>
        <w:r>
          <w:instrText xml:space="preserve"> PAGE   \* MERGEFORMAT </w:instrText>
        </w:r>
        <w:r>
          <w:fldChar w:fldCharType="separate"/>
        </w:r>
        <w:r>
          <w:t>2</w:t>
        </w:r>
        <w:r>
          <w:fldChar w:fldCharType="end"/>
        </w:r>
      </w:p>
    </w:sdtContent>
  </w:sdt>
  <w:p w14:paraId="7D78C97F">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8"/>
  <w:removePersonalInformation/>
  <w:embedTrueTypeFonts/>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47E5"/>
    <w:rsid w:val="001F3CBE"/>
    <w:rsid w:val="00660BAB"/>
    <w:rsid w:val="007D35A3"/>
    <w:rsid w:val="008447E5"/>
    <w:rsid w:val="00A5273D"/>
    <w:rsid w:val="00C927C5"/>
    <w:rsid w:val="00F915AE"/>
    <w:rsid w:val="42AA64F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eastAsia="en-IN" w:bidi="ar-SA"/>
    </w:rPr>
  </w:style>
  <w:style w:type="paragraph" w:styleId="2">
    <w:name w:val="heading 1"/>
    <w:basedOn w:val="1"/>
    <w:next w:val="1"/>
    <w:qFormat/>
    <w:uiPriority w:val="9"/>
    <w:pPr>
      <w:spacing w:before="480" w:after="120" w:line="360" w:lineRule="auto"/>
      <w:jc w:val="both"/>
      <w:outlineLvl w:val="0"/>
    </w:pPr>
    <w:rPr>
      <w:rFonts w:ascii="Times New Roman" w:hAnsi="Times New Roman" w:eastAsia="Times New Roman" w:cs="Times New Roman"/>
      <w:b/>
      <w:bCs/>
      <w:sz w:val="28"/>
      <w:szCs w:val="28"/>
    </w:rPr>
  </w:style>
  <w:style w:type="paragraph" w:styleId="3">
    <w:name w:val="heading 2"/>
    <w:basedOn w:val="1"/>
    <w:next w:val="1"/>
    <w:unhideWhenUsed/>
    <w:qFormat/>
    <w:uiPriority w:val="9"/>
    <w:pPr>
      <w:spacing w:before="240" w:after="240" w:line="360" w:lineRule="auto"/>
      <w:jc w:val="both"/>
      <w:outlineLvl w:val="1"/>
    </w:pPr>
    <w:rPr>
      <w:rFonts w:ascii="Times New Roman" w:hAnsi="Times New Roman" w:eastAsia="Times New Roman" w:cs="Times New Roman"/>
      <w:b/>
      <w:bCs/>
      <w:sz w:val="24"/>
      <w:szCs w:val="24"/>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sz w:val="24"/>
      <w:szCs w:val="24"/>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iCs/>
      <w:color w:val="666666"/>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footer"/>
    <w:basedOn w:val="1"/>
    <w:link w:val="20"/>
    <w:unhideWhenUsed/>
    <w:uiPriority w:val="99"/>
    <w:pPr>
      <w:tabs>
        <w:tab w:val="center" w:pos="4513"/>
        <w:tab w:val="right" w:pos="9026"/>
      </w:tabs>
      <w:spacing w:line="240" w:lineRule="auto"/>
    </w:pPr>
  </w:style>
  <w:style w:type="paragraph" w:styleId="11">
    <w:name w:val="header"/>
    <w:basedOn w:val="1"/>
    <w:link w:val="19"/>
    <w:unhideWhenUsed/>
    <w:uiPriority w:val="99"/>
    <w:pPr>
      <w:tabs>
        <w:tab w:val="center" w:pos="4513"/>
        <w:tab w:val="right" w:pos="9026"/>
      </w:tabs>
      <w:spacing w:line="240" w:lineRule="auto"/>
    </w:pPr>
  </w:style>
  <w:style w:type="character" w:styleId="12">
    <w:name w:val="Hyperlink"/>
    <w:basedOn w:val="8"/>
    <w:unhideWhenUsed/>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after="320"/>
    </w:pPr>
    <w:rPr>
      <w:color w:val="666666"/>
      <w:sz w:val="30"/>
      <w:szCs w:val="30"/>
    </w:rPr>
  </w:style>
  <w:style w:type="paragraph" w:styleId="14">
    <w:name w:val="Title"/>
    <w:basedOn w:val="1"/>
    <w:next w:val="1"/>
    <w:qFormat/>
    <w:uiPriority w:val="10"/>
    <w:pPr>
      <w:keepNext/>
      <w:keepLines/>
      <w:spacing w:after="60"/>
    </w:pPr>
    <w:rPr>
      <w:sz w:val="52"/>
      <w:szCs w:val="52"/>
    </w:rPr>
  </w:style>
  <w:style w:type="paragraph" w:styleId="15">
    <w:name w:val="toc 1"/>
    <w:basedOn w:val="1"/>
    <w:next w:val="1"/>
    <w:autoRedefine/>
    <w:unhideWhenUsed/>
    <w:uiPriority w:val="39"/>
    <w:pPr>
      <w:spacing w:after="100"/>
    </w:pPr>
  </w:style>
  <w:style w:type="paragraph" w:styleId="16">
    <w:name w:val="toc 2"/>
    <w:basedOn w:val="1"/>
    <w:next w:val="1"/>
    <w:autoRedefine/>
    <w:unhideWhenUsed/>
    <w:uiPriority w:val="39"/>
    <w:pPr>
      <w:spacing w:after="100"/>
      <w:ind w:left="220"/>
    </w:pPr>
  </w:style>
  <w:style w:type="table" w:customStyle="1" w:styleId="17">
    <w:name w:val="TableNormal"/>
    <w:uiPriority w:val="0"/>
    <w:tblPr>
      <w:tblCellMar>
        <w:top w:w="100" w:type="dxa"/>
        <w:left w:w="100" w:type="dxa"/>
        <w:bottom w:w="100" w:type="dxa"/>
        <w:right w:w="100" w:type="dxa"/>
      </w:tblCellMar>
    </w:tblPr>
  </w:style>
  <w:style w:type="paragraph" w:customStyle="1" w:styleId="18">
    <w:name w:val="TOC Heading"/>
    <w:basedOn w:val="2"/>
    <w:next w:val="1"/>
    <w:unhideWhenUsed/>
    <w:qFormat/>
    <w:uiPriority w:val="39"/>
    <w:pPr>
      <w:keepNext/>
      <w:keepLines/>
      <w:spacing w:before="240" w:after="0" w:line="259" w:lineRule="auto"/>
      <w:jc w:val="left"/>
      <w:outlineLvl w:val="9"/>
    </w:pPr>
    <w:rPr>
      <w:rFonts w:asciiTheme="majorHAnsi" w:hAnsiTheme="majorHAnsi" w:eastAsiaTheme="majorEastAsia" w:cstheme="majorBidi"/>
      <w:b w:val="0"/>
      <w:bCs w:val="0"/>
      <w:color w:val="376092" w:themeColor="accent1" w:themeShade="BF"/>
      <w:sz w:val="32"/>
      <w:szCs w:val="32"/>
      <w:lang w:val="en-US" w:eastAsia="en-US"/>
    </w:rPr>
  </w:style>
  <w:style w:type="character" w:customStyle="1" w:styleId="19">
    <w:name w:val="Header Char"/>
    <w:basedOn w:val="8"/>
    <w:link w:val="11"/>
    <w:uiPriority w:val="99"/>
  </w:style>
  <w:style w:type="character" w:customStyle="1" w:styleId="20">
    <w:name w:val="Footer Char"/>
    <w:basedOn w:val="8"/>
    <w:link w:val="10"/>
    <w:uiPriority w:val="99"/>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cid:image001.png@01D0EA4A.2BD679A0" TargetMode="Externa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4BE388-0440-49D7-95F4-4883ADA6DD55}">
  <ds:schemaRefs/>
</ds:datastoreItem>
</file>

<file path=docProps/app.xml><?xml version="1.0" encoding="utf-8"?>
<Properties xmlns="http://schemas.openxmlformats.org/officeDocument/2006/extended-properties" xmlns:vt="http://schemas.openxmlformats.org/officeDocument/2006/docPropsVTypes">
  <Template>Normal</Template>
  <Pages>14</Pages>
  <Words>3696</Words>
  <Characters>21072</Characters>
  <Lines>175</Lines>
  <Paragraphs>49</Paragraphs>
  <TotalTime>3</TotalTime>
  <ScaleCrop>false</ScaleCrop>
  <LinksUpToDate>false</LinksUpToDate>
  <CharactersWithSpaces>24719</CharactersWithSpaces>
  <Application>WPS Office_12.2.0.23203_F1E327BC-269C-435d-A152-05C5408002CA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2026-06-16T19:16:00Z</dcterms:created>
  <dcterms:modified xsi:type="dcterms:W3CDTF">2026-06-17T09:15:40Z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2057-12.2.0.23203</vt:lpwstr>
  </property>
  <property fmtid="{D5CDD505-2E9C-101B-9397-08002B2CF9AE}" pid="3" name="ICV">
    <vt:lpwstr>1749BF9125A641D6AC891323933F5029_13</vt:lpwstr>
  </property>
</Properties>
</file>