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5CE" w:rsidRPr="00D965CE" w:rsidRDefault="00D965CE" w:rsidP="00D965CE">
      <w:pPr>
        <w:spacing w:line="240" w:lineRule="auto"/>
        <w:rPr>
          <w:rFonts w:ascii="Times New Roman" w:eastAsia="Times New Roman" w:hAnsi="Times New Roman" w:cs="Times New Roman"/>
          <w:sz w:val="24"/>
          <w:szCs w:val="24"/>
          <w:lang w:val="en-US"/>
        </w:rPr>
      </w:pPr>
      <w:r w:rsidRPr="00D965CE">
        <w:rPr>
          <w:rFonts w:ascii="Calibri" w:eastAsia="Times New Roman" w:hAnsi="Calibri" w:cs="Calibri"/>
          <w:b/>
          <w:bCs/>
          <w:color w:val="000000"/>
          <w:u w:val="single"/>
          <w:lang w:val="en-US"/>
        </w:rPr>
        <w:t>Look for an Example of a Time When Archaeologists have Uncovered food or Other such Culinary Paraphernalia</w:t>
      </w:r>
    </w:p>
    <w:p w:rsidR="00D965CE" w:rsidRPr="00D965CE" w:rsidRDefault="00D965CE" w:rsidP="00D965CE">
      <w:pPr>
        <w:spacing w:line="240" w:lineRule="auto"/>
        <w:rPr>
          <w:rFonts w:ascii="Times New Roman" w:eastAsia="Times New Roman" w:hAnsi="Times New Roman" w:cs="Times New Roman"/>
          <w:sz w:val="24"/>
          <w:szCs w:val="24"/>
          <w:lang w:val="en-US"/>
        </w:rPr>
      </w:pPr>
      <w:r w:rsidRPr="00D965CE">
        <w:rPr>
          <w:rFonts w:ascii="Calibri" w:eastAsia="Times New Roman" w:hAnsi="Calibri" w:cs="Calibri"/>
          <w:color w:val="000000"/>
          <w:u w:val="single"/>
          <w:lang w:val="en-US"/>
        </w:rPr>
        <w:t>Introduction</w:t>
      </w:r>
    </w:p>
    <w:p w:rsidR="00D965CE" w:rsidRPr="00D965CE" w:rsidRDefault="00D965CE" w:rsidP="00D965CE">
      <w:pPr>
        <w:spacing w:line="240" w:lineRule="auto"/>
        <w:rPr>
          <w:rFonts w:ascii="Times New Roman" w:eastAsia="Times New Roman" w:hAnsi="Times New Roman" w:cs="Times New Roman"/>
          <w:sz w:val="24"/>
          <w:szCs w:val="24"/>
          <w:lang w:val="en-US"/>
        </w:rPr>
      </w:pPr>
      <w:r w:rsidRPr="00D965CE">
        <w:rPr>
          <w:rFonts w:ascii="Calibri" w:eastAsia="Times New Roman" w:hAnsi="Calibri" w:cs="Calibri"/>
          <w:color w:val="000000"/>
          <w:lang w:val="en-US"/>
        </w:rPr>
        <w:t xml:space="preserve">The purpose of this somewhat short essay is to explore a few points where the subjects of archaeology and culinary converge. In this particular case the point of convergence rests on burial traditions of the ancient Egyptians, primarily </w:t>
      </w:r>
      <w:proofErr w:type="spellStart"/>
      <w:r w:rsidRPr="00D965CE">
        <w:rPr>
          <w:rFonts w:ascii="Calibri" w:eastAsia="Times New Roman" w:hAnsi="Calibri" w:cs="Calibri"/>
          <w:color w:val="000000"/>
          <w:lang w:val="en-US"/>
        </w:rPr>
        <w:t>focussing</w:t>
      </w:r>
      <w:proofErr w:type="spellEnd"/>
      <w:r w:rsidRPr="00D965CE">
        <w:rPr>
          <w:rFonts w:ascii="Calibri" w:eastAsia="Times New Roman" w:hAnsi="Calibri" w:cs="Calibri"/>
          <w:color w:val="000000"/>
          <w:lang w:val="en-US"/>
        </w:rPr>
        <w:t xml:space="preserve"> on burial chambers found in ‘The Valley of the Kings, the cemetery of royals and nobles from the 18</w:t>
      </w:r>
      <w:r w:rsidRPr="00D965CE">
        <w:rPr>
          <w:rFonts w:ascii="Calibri" w:eastAsia="Times New Roman" w:hAnsi="Calibri" w:cs="Calibri"/>
          <w:color w:val="000000"/>
          <w:sz w:val="13"/>
          <w:szCs w:val="13"/>
          <w:vertAlign w:val="superscript"/>
          <w:lang w:val="en-US"/>
        </w:rPr>
        <w:t>th</w:t>
      </w:r>
      <w:r w:rsidRPr="00D965CE">
        <w:rPr>
          <w:rFonts w:ascii="Calibri" w:eastAsia="Times New Roman" w:hAnsi="Calibri" w:cs="Calibri"/>
          <w:color w:val="000000"/>
          <w:lang w:val="en-US"/>
        </w:rPr>
        <w:t>, 19</w:t>
      </w:r>
      <w:r w:rsidRPr="00D965CE">
        <w:rPr>
          <w:rFonts w:ascii="Calibri" w:eastAsia="Times New Roman" w:hAnsi="Calibri" w:cs="Calibri"/>
          <w:color w:val="000000"/>
          <w:sz w:val="13"/>
          <w:szCs w:val="13"/>
          <w:vertAlign w:val="superscript"/>
          <w:lang w:val="en-US"/>
        </w:rPr>
        <w:t>th</w:t>
      </w:r>
      <w:r w:rsidRPr="00D965CE">
        <w:rPr>
          <w:rFonts w:ascii="Calibri" w:eastAsia="Times New Roman" w:hAnsi="Calibri" w:cs="Calibri"/>
          <w:color w:val="000000"/>
          <w:lang w:val="en-US"/>
        </w:rPr>
        <w:t>, and 20</w:t>
      </w:r>
      <w:r w:rsidRPr="00D965CE">
        <w:rPr>
          <w:rFonts w:ascii="Calibri" w:eastAsia="Times New Roman" w:hAnsi="Calibri" w:cs="Calibri"/>
          <w:color w:val="000000"/>
          <w:sz w:val="13"/>
          <w:szCs w:val="13"/>
          <w:vertAlign w:val="superscript"/>
          <w:lang w:val="en-US"/>
        </w:rPr>
        <w:t>th</w:t>
      </w:r>
      <w:r w:rsidRPr="00D965CE">
        <w:rPr>
          <w:rFonts w:ascii="Calibri" w:eastAsia="Times New Roman" w:hAnsi="Calibri" w:cs="Calibri"/>
          <w:color w:val="000000"/>
          <w:lang w:val="en-US"/>
        </w:rPr>
        <w:t xml:space="preserve"> dynasties’ (Fulton et al.)  </w:t>
      </w:r>
    </w:p>
    <w:p w:rsidR="00D965CE" w:rsidRPr="00D965CE" w:rsidRDefault="00D965CE" w:rsidP="00D965CE">
      <w:pPr>
        <w:spacing w:line="240" w:lineRule="auto"/>
        <w:rPr>
          <w:rFonts w:ascii="Times New Roman" w:eastAsia="Times New Roman" w:hAnsi="Times New Roman" w:cs="Times New Roman"/>
          <w:sz w:val="24"/>
          <w:szCs w:val="24"/>
          <w:lang w:val="en-US"/>
        </w:rPr>
      </w:pPr>
      <w:r w:rsidRPr="00D965CE">
        <w:rPr>
          <w:rFonts w:ascii="Calibri" w:eastAsia="Times New Roman" w:hAnsi="Calibri" w:cs="Calibri"/>
          <w:color w:val="000000"/>
          <w:lang w:val="en-US"/>
        </w:rPr>
        <w:t xml:space="preserve">The tomb which is to take focus is that of the young pharaoh, King </w:t>
      </w:r>
      <w:proofErr w:type="spellStart"/>
      <w:r w:rsidRPr="00D965CE">
        <w:rPr>
          <w:rFonts w:ascii="Calibri" w:eastAsia="Times New Roman" w:hAnsi="Calibri" w:cs="Calibri"/>
          <w:color w:val="000000"/>
          <w:lang w:val="en-US"/>
        </w:rPr>
        <w:t>Tutankhamun</w:t>
      </w:r>
      <w:proofErr w:type="spellEnd"/>
      <w:r w:rsidRPr="00D965CE">
        <w:rPr>
          <w:rFonts w:ascii="Calibri" w:eastAsia="Times New Roman" w:hAnsi="Calibri" w:cs="Calibri"/>
          <w:color w:val="000000"/>
          <w:lang w:val="en-US"/>
        </w:rPr>
        <w:t xml:space="preserve"> and the many treasures that were placed within to accompany the ruler in the afterlife.</w:t>
      </w:r>
    </w:p>
    <w:p w:rsidR="00D965CE" w:rsidRPr="00D965CE" w:rsidRDefault="00D965CE" w:rsidP="00D965CE">
      <w:pPr>
        <w:spacing w:line="240" w:lineRule="auto"/>
        <w:rPr>
          <w:rFonts w:ascii="Times New Roman" w:eastAsia="Times New Roman" w:hAnsi="Times New Roman" w:cs="Times New Roman"/>
          <w:sz w:val="24"/>
          <w:szCs w:val="24"/>
          <w:lang w:val="en-US"/>
        </w:rPr>
      </w:pPr>
      <w:r w:rsidRPr="00D965CE">
        <w:rPr>
          <w:rFonts w:ascii="Calibri" w:eastAsia="Times New Roman" w:hAnsi="Calibri" w:cs="Calibri"/>
          <w:color w:val="000000"/>
          <w:u w:val="single"/>
          <w:lang w:val="en-US"/>
        </w:rPr>
        <w:t>Main Body</w:t>
      </w:r>
    </w:p>
    <w:p w:rsidR="00D965CE" w:rsidRDefault="00D965CE" w:rsidP="00D965CE">
      <w:pPr>
        <w:spacing w:line="240" w:lineRule="auto"/>
        <w:rPr>
          <w:rFonts w:ascii="Calibri" w:eastAsia="Times New Roman" w:hAnsi="Calibri" w:cs="Calibri"/>
          <w:color w:val="000000"/>
          <w:lang w:val="en-US"/>
        </w:rPr>
      </w:pPr>
      <w:r w:rsidRPr="00D965CE">
        <w:rPr>
          <w:rFonts w:ascii="Calibri" w:eastAsia="Times New Roman" w:hAnsi="Calibri" w:cs="Calibri"/>
          <w:color w:val="000000"/>
          <w:lang w:val="en-US"/>
        </w:rPr>
        <w:t xml:space="preserve">The article ‘Packing Food for the Hereafter in Ancient Egypt’ (National Geographic, 2015) refers to </w:t>
      </w:r>
      <w:proofErr w:type="spellStart"/>
      <w:r w:rsidRPr="00D965CE">
        <w:rPr>
          <w:rFonts w:ascii="Calibri" w:eastAsia="Times New Roman" w:hAnsi="Calibri" w:cs="Calibri"/>
          <w:color w:val="000000"/>
          <w:lang w:val="en-US"/>
        </w:rPr>
        <w:t>Tutankhamuns</w:t>
      </w:r>
      <w:proofErr w:type="spellEnd"/>
      <w:r w:rsidRPr="00D965CE">
        <w:rPr>
          <w:rFonts w:ascii="Calibri" w:eastAsia="Times New Roman" w:hAnsi="Calibri" w:cs="Calibri"/>
          <w:color w:val="000000"/>
          <w:lang w:val="en-US"/>
        </w:rPr>
        <w:t xml:space="preserve"> resting place as ‘KV62</w:t>
      </w:r>
      <w:r w:rsidR="00CB2C25">
        <w:rPr>
          <w:rFonts w:ascii="Calibri" w:eastAsia="Times New Roman" w:hAnsi="Calibri" w:cs="Calibri"/>
          <w:color w:val="000000"/>
          <w:lang w:val="en-US"/>
        </w:rPr>
        <w:t>,</w:t>
      </w:r>
      <w:r w:rsidRPr="00D965CE">
        <w:rPr>
          <w:rFonts w:ascii="Calibri" w:eastAsia="Times New Roman" w:hAnsi="Calibri" w:cs="Calibri"/>
          <w:color w:val="000000"/>
          <w:lang w:val="en-US"/>
        </w:rPr>
        <w:t>’</w:t>
      </w:r>
      <w:r w:rsidR="00CB2C25">
        <w:rPr>
          <w:rFonts w:ascii="Calibri" w:eastAsia="Times New Roman" w:hAnsi="Calibri" w:cs="Calibri"/>
          <w:color w:val="000000"/>
          <w:lang w:val="en-US"/>
        </w:rPr>
        <w:t xml:space="preserve"> </w:t>
      </w:r>
      <w:proofErr w:type="gramStart"/>
      <w:r w:rsidR="00CB2C25">
        <w:rPr>
          <w:rFonts w:ascii="Calibri" w:eastAsia="Times New Roman" w:hAnsi="Calibri" w:cs="Calibri"/>
          <w:color w:val="000000"/>
          <w:lang w:val="en-US"/>
        </w:rPr>
        <w:t>Which</w:t>
      </w:r>
      <w:proofErr w:type="gramEnd"/>
      <w:r w:rsidR="00CB2C25">
        <w:rPr>
          <w:rFonts w:ascii="Calibri" w:eastAsia="Times New Roman" w:hAnsi="Calibri" w:cs="Calibri"/>
          <w:color w:val="000000"/>
          <w:lang w:val="en-US"/>
        </w:rPr>
        <w:t xml:space="preserve"> was discovered in 1922 by the archaeologist Howard Carter on an exhibition funded by Lord Carnarvon. The tomb itself contained a vast variety of treasures despite having ‘been robbed’. These included ‘</w:t>
      </w:r>
      <w:proofErr w:type="gramStart"/>
      <w:r w:rsidR="00431F6C">
        <w:rPr>
          <w:rFonts w:ascii="Calibri" w:eastAsia="Times New Roman" w:hAnsi="Calibri" w:cs="Calibri"/>
          <w:color w:val="000000"/>
          <w:lang w:val="en-US"/>
        </w:rPr>
        <w:t>A</w:t>
      </w:r>
      <w:proofErr w:type="gramEnd"/>
      <w:r w:rsidR="00431F6C">
        <w:rPr>
          <w:rFonts w:ascii="Calibri" w:eastAsia="Times New Roman" w:hAnsi="Calibri" w:cs="Calibri"/>
          <w:color w:val="000000"/>
          <w:lang w:val="en-US"/>
        </w:rPr>
        <w:t xml:space="preserve"> stunning array of royal must-</w:t>
      </w:r>
      <w:r w:rsidR="00CB2C25">
        <w:rPr>
          <w:rFonts w:ascii="Calibri" w:eastAsia="Times New Roman" w:hAnsi="Calibri" w:cs="Calibri"/>
          <w:color w:val="000000"/>
          <w:lang w:val="en-US"/>
        </w:rPr>
        <w:t>haves</w:t>
      </w:r>
      <w:r w:rsidR="00431F6C">
        <w:rPr>
          <w:rFonts w:ascii="Calibri" w:eastAsia="Times New Roman" w:hAnsi="Calibri" w:cs="Calibri"/>
          <w:color w:val="000000"/>
          <w:lang w:val="en-US"/>
        </w:rPr>
        <w:t>: 5398 objects, including the kings famous solid-gold mask.’ (Fulton et al.) Amongst all these treasures however something a little less fitting for the deceased was uncovered in the form of a trove of foods rather appropriately fit for a king.</w:t>
      </w:r>
    </w:p>
    <w:p w:rsidR="00A37660" w:rsidRDefault="00097A61" w:rsidP="00D965CE">
      <w:pPr>
        <w:spacing w:line="240" w:lineRule="auto"/>
        <w:rPr>
          <w:rFonts w:ascii="Calibri" w:eastAsia="Times New Roman" w:hAnsi="Calibri" w:cs="Calibri"/>
          <w:color w:val="000000"/>
          <w:lang w:val="en-US"/>
        </w:rPr>
      </w:pPr>
      <w:r>
        <w:rPr>
          <w:rFonts w:ascii="Calibri" w:eastAsia="Times New Roman" w:hAnsi="Calibri" w:cs="Calibri"/>
          <w:color w:val="000000"/>
          <w:lang w:val="en-US"/>
        </w:rPr>
        <w:t>Among the foods uncovered were, ‘more than one-hundred finely woven baskets’ which ‘held the remains of plant-based foods such as wheat and barley, loaves of bread, sycamore figs, dates, melons and grapes</w:t>
      </w:r>
      <w:r w:rsidR="00BE419F">
        <w:rPr>
          <w:rFonts w:ascii="Calibri" w:eastAsia="Times New Roman" w:hAnsi="Calibri" w:cs="Calibri"/>
          <w:color w:val="000000"/>
          <w:lang w:val="en-US"/>
        </w:rPr>
        <w:t>.’</w:t>
      </w:r>
      <w:r w:rsidR="00912465">
        <w:rPr>
          <w:rFonts w:ascii="Calibri" w:eastAsia="Times New Roman" w:hAnsi="Calibri" w:cs="Calibri"/>
          <w:color w:val="000000"/>
          <w:lang w:val="en-US"/>
        </w:rPr>
        <w:t>(Further details of the baskets content can be found in the bibliography.)</w:t>
      </w:r>
      <w:r w:rsidR="00BE419F">
        <w:rPr>
          <w:rFonts w:ascii="Calibri" w:eastAsia="Times New Roman" w:hAnsi="Calibri" w:cs="Calibri"/>
          <w:color w:val="000000"/>
          <w:lang w:val="en-US"/>
        </w:rPr>
        <w:t xml:space="preserve"> However there were far finer treats than these in the forms of </w:t>
      </w:r>
      <w:r w:rsidR="00912465">
        <w:rPr>
          <w:rFonts w:ascii="Calibri" w:eastAsia="Times New Roman" w:hAnsi="Calibri" w:cs="Calibri"/>
          <w:color w:val="000000"/>
          <w:lang w:val="en-US"/>
        </w:rPr>
        <w:t>the finest cuts of beef and antelope venison, stored suitable with long term availability in mind given their mummified and casketed states.</w:t>
      </w:r>
      <w:r w:rsidR="00F51573">
        <w:rPr>
          <w:rFonts w:ascii="Calibri" w:eastAsia="Times New Roman" w:hAnsi="Calibri" w:cs="Calibri"/>
          <w:color w:val="000000"/>
          <w:lang w:val="en-US"/>
        </w:rPr>
        <w:t xml:space="preserve"> Interestingly no fish, pork, or mutton </w:t>
      </w:r>
      <w:proofErr w:type="gramStart"/>
      <w:r w:rsidR="00F51573">
        <w:rPr>
          <w:rFonts w:ascii="Calibri" w:eastAsia="Times New Roman" w:hAnsi="Calibri" w:cs="Calibri"/>
          <w:color w:val="000000"/>
          <w:lang w:val="en-US"/>
        </w:rPr>
        <w:t>were</w:t>
      </w:r>
      <w:proofErr w:type="gramEnd"/>
      <w:r w:rsidR="00F51573">
        <w:rPr>
          <w:rFonts w:ascii="Calibri" w:eastAsia="Times New Roman" w:hAnsi="Calibri" w:cs="Calibri"/>
          <w:color w:val="000000"/>
          <w:lang w:val="en-US"/>
        </w:rPr>
        <w:t xml:space="preserve"> found despite their general abundance during the time. The Egyptologist </w:t>
      </w:r>
      <w:proofErr w:type="spellStart"/>
      <w:r w:rsidR="00F51573">
        <w:rPr>
          <w:rFonts w:ascii="Calibri" w:eastAsia="Times New Roman" w:hAnsi="Calibri" w:cs="Calibri"/>
          <w:color w:val="000000"/>
          <w:lang w:val="en-US"/>
        </w:rPr>
        <w:t>Salima</w:t>
      </w:r>
      <w:proofErr w:type="spellEnd"/>
      <w:r w:rsidR="00F51573">
        <w:rPr>
          <w:rFonts w:ascii="Calibri" w:eastAsia="Times New Roman" w:hAnsi="Calibri" w:cs="Calibri"/>
          <w:color w:val="000000"/>
          <w:lang w:val="en-US"/>
        </w:rPr>
        <w:t xml:space="preserve"> </w:t>
      </w:r>
      <w:proofErr w:type="spellStart"/>
      <w:r w:rsidR="00F51573">
        <w:rPr>
          <w:rFonts w:ascii="Calibri" w:eastAsia="Times New Roman" w:hAnsi="Calibri" w:cs="Calibri"/>
          <w:color w:val="000000"/>
          <w:lang w:val="en-US"/>
        </w:rPr>
        <w:t>ikram</w:t>
      </w:r>
      <w:proofErr w:type="spellEnd"/>
      <w:r w:rsidR="00F51573">
        <w:rPr>
          <w:rFonts w:ascii="Calibri" w:eastAsia="Times New Roman" w:hAnsi="Calibri" w:cs="Calibri"/>
          <w:color w:val="000000"/>
          <w:lang w:val="en-US"/>
        </w:rPr>
        <w:t xml:space="preserve"> reasons that this is because such foods were part of a ‘normal diet’ and as such, ‘nobody could imagine craving them for eternity.’</w:t>
      </w:r>
      <w:r w:rsidR="00A37660">
        <w:rPr>
          <w:rFonts w:ascii="Calibri" w:eastAsia="Times New Roman" w:hAnsi="Calibri" w:cs="Calibri"/>
          <w:color w:val="000000"/>
          <w:lang w:val="en-US"/>
        </w:rPr>
        <w:t xml:space="preserve"> (Fulton et al)</w:t>
      </w:r>
    </w:p>
    <w:p w:rsidR="00A37660" w:rsidRDefault="00056B88" w:rsidP="00D965CE">
      <w:pPr>
        <w:spacing w:line="240" w:lineRule="auto"/>
        <w:rPr>
          <w:rFonts w:ascii="Calibri" w:eastAsia="Times New Roman" w:hAnsi="Calibri" w:cs="Calibri"/>
          <w:color w:val="000000"/>
          <w:lang w:val="en-US"/>
        </w:rPr>
      </w:pPr>
      <w:r>
        <w:rPr>
          <w:rFonts w:ascii="Calibri" w:eastAsia="Times New Roman" w:hAnsi="Calibri" w:cs="Calibri"/>
          <w:color w:val="000000"/>
          <w:lang w:val="en-US"/>
        </w:rPr>
        <w:t>The meats are particularly interesting for a few key parts of their preparation and preservation, one factor of which having already been stated. Each piece of meat was set in its own casket, carved to match the shape and form of the piece itself. A leg of veal was found in a casket in the shape of a leg of veal and so on, the amount of work and care taken in these carvings shows a great level of devotion on behalf of the workers tasked with the construction and stocking of the tomb</w:t>
      </w:r>
      <w:r w:rsidR="00F51573">
        <w:rPr>
          <w:rFonts w:ascii="Calibri" w:eastAsia="Times New Roman" w:hAnsi="Calibri" w:cs="Calibri"/>
          <w:color w:val="000000"/>
          <w:lang w:val="en-US"/>
        </w:rPr>
        <w:t>. Another factor that supports this is t</w:t>
      </w:r>
      <w:r w:rsidR="00EE6A53">
        <w:rPr>
          <w:rFonts w:ascii="Calibri" w:eastAsia="Times New Roman" w:hAnsi="Calibri" w:cs="Calibri"/>
          <w:color w:val="000000"/>
          <w:lang w:val="en-US"/>
        </w:rPr>
        <w:t xml:space="preserve">he use of a resin found only in what is now known as Syria and Lebanon which has been used in the preparation of the meats found. This substance must have been imported at a great cost and as such </w:t>
      </w:r>
      <w:r w:rsidR="00C01AAC">
        <w:rPr>
          <w:rFonts w:ascii="Calibri" w:eastAsia="Times New Roman" w:hAnsi="Calibri" w:cs="Calibri"/>
          <w:color w:val="000000"/>
          <w:lang w:val="en-US"/>
        </w:rPr>
        <w:t xml:space="preserve">once more a strong reminder of the care and attention with which these tombs were prepared. </w:t>
      </w:r>
    </w:p>
    <w:p w:rsidR="00C01AAC" w:rsidRDefault="00C01AAC" w:rsidP="00D965CE">
      <w:pPr>
        <w:spacing w:line="240" w:lineRule="auto"/>
        <w:rPr>
          <w:rFonts w:ascii="Calibri" w:eastAsia="Times New Roman" w:hAnsi="Calibri" w:cs="Calibri"/>
          <w:color w:val="000000"/>
          <w:lang w:val="en-US"/>
        </w:rPr>
      </w:pPr>
      <w:r>
        <w:rPr>
          <w:rFonts w:ascii="Calibri" w:eastAsia="Times New Roman" w:hAnsi="Calibri" w:cs="Calibri"/>
          <w:color w:val="000000"/>
          <w:lang w:val="en-US"/>
        </w:rPr>
        <w:t>These foods were often left as a form of sustenance for the deceased as they travelled on to the land of the dead. In the case of the more extravagant and rich foods, mummification was used to create ‘victual mummies’, this was in order to guarantee that these foods would be as eternal as the bodies of the dead rulers, and as such would sustain a lifestyle of luxury and opulence for the deceased.</w:t>
      </w:r>
    </w:p>
    <w:p w:rsidR="006F261C" w:rsidRPr="00D965CE" w:rsidRDefault="006F261C" w:rsidP="006F261C">
      <w:pPr>
        <w:spacing w:line="240" w:lineRule="auto"/>
        <w:rPr>
          <w:rFonts w:ascii="Times New Roman" w:eastAsia="Times New Roman" w:hAnsi="Times New Roman" w:cs="Times New Roman"/>
          <w:sz w:val="24"/>
          <w:szCs w:val="24"/>
          <w:lang w:val="en-US"/>
        </w:rPr>
      </w:pPr>
      <w:r w:rsidRPr="00D965CE">
        <w:rPr>
          <w:rFonts w:ascii="Calibri" w:eastAsia="Times New Roman" w:hAnsi="Calibri" w:cs="Calibri"/>
          <w:b/>
          <w:bCs/>
          <w:color w:val="000000"/>
          <w:u w:val="single"/>
          <w:lang w:val="en-US"/>
        </w:rPr>
        <w:t xml:space="preserve">Bibliography: </w:t>
      </w:r>
      <w:r w:rsidRPr="00D965CE">
        <w:rPr>
          <w:rFonts w:ascii="Calibri" w:eastAsia="Times New Roman" w:hAnsi="Calibri" w:cs="Calibri"/>
          <w:color w:val="000000"/>
          <w:lang w:val="en-US"/>
        </w:rPr>
        <w:t>National Geographic- Packing food for the hereafter</w:t>
      </w:r>
      <w:r>
        <w:rPr>
          <w:rFonts w:ascii="Calibri" w:eastAsia="Times New Roman" w:hAnsi="Calibri" w:cs="Calibri"/>
          <w:color w:val="000000"/>
          <w:lang w:val="en-US"/>
        </w:rPr>
        <w:t>:</w:t>
      </w:r>
      <w:r w:rsidRPr="00D965CE">
        <w:rPr>
          <w:rFonts w:ascii="Calibri" w:eastAsia="Times New Roman" w:hAnsi="Calibri" w:cs="Calibri"/>
          <w:color w:val="000000"/>
          <w:lang w:val="en-US"/>
        </w:rPr>
        <w:t xml:space="preserve"> </w:t>
      </w:r>
      <w:hyperlink r:id="rId4" w:history="1">
        <w:r w:rsidRPr="00D965CE">
          <w:rPr>
            <w:rFonts w:ascii="Calibri" w:eastAsia="Times New Roman" w:hAnsi="Calibri" w:cs="Calibri"/>
            <w:color w:val="0000FF"/>
            <w:u w:val="single"/>
            <w:lang w:val="en-US"/>
          </w:rPr>
          <w:t>http://theplate.nationalgeographic.com/2015/04/05/packing-food-for-the-hereafter-in-ancient-egypt/</w:t>
        </w:r>
      </w:hyperlink>
    </w:p>
    <w:p w:rsidR="006F261C" w:rsidRDefault="006F261C" w:rsidP="006F261C">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Contents of the baskets information: </w:t>
      </w:r>
      <w:hyperlink r:id="rId5" w:history="1">
        <w:r w:rsidRPr="00EA7523">
          <w:rPr>
            <w:rStyle w:val="Hyperlink"/>
            <w:rFonts w:ascii="Times New Roman" w:eastAsia="Times New Roman" w:hAnsi="Times New Roman" w:cs="Times New Roman"/>
            <w:sz w:val="24"/>
            <w:szCs w:val="24"/>
            <w:lang w:val="en-US"/>
          </w:rPr>
          <w:t>http://www.griffith.ox.ac.uk/gri/4baskets.html</w:t>
        </w:r>
      </w:hyperlink>
    </w:p>
    <w:p w:rsidR="006F261C" w:rsidRPr="00D965CE" w:rsidRDefault="006F261C" w:rsidP="00D965CE">
      <w:pPr>
        <w:spacing w:line="240" w:lineRule="auto"/>
        <w:rPr>
          <w:rFonts w:ascii="Calibri" w:eastAsia="Times New Roman" w:hAnsi="Calibri" w:cs="Calibri"/>
          <w:color w:val="000000"/>
          <w:lang w:val="en-US"/>
        </w:rPr>
      </w:pPr>
    </w:p>
    <w:p w:rsidR="00147764" w:rsidRDefault="00147764"/>
    <w:sectPr w:rsidR="00147764" w:rsidSect="00E17E1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D965CE"/>
    <w:rsid w:val="00056B88"/>
    <w:rsid w:val="0008349E"/>
    <w:rsid w:val="00097A61"/>
    <w:rsid w:val="00147764"/>
    <w:rsid w:val="00326571"/>
    <w:rsid w:val="00431F6C"/>
    <w:rsid w:val="00661F28"/>
    <w:rsid w:val="006F261C"/>
    <w:rsid w:val="00912465"/>
    <w:rsid w:val="00A37660"/>
    <w:rsid w:val="00BE419F"/>
    <w:rsid w:val="00C01AAC"/>
    <w:rsid w:val="00CA1FC7"/>
    <w:rsid w:val="00CB2C25"/>
    <w:rsid w:val="00D965CE"/>
    <w:rsid w:val="00E17E16"/>
    <w:rsid w:val="00EE6A53"/>
    <w:rsid w:val="00F51573"/>
    <w:rsid w:val="00F5582C"/>
    <w:rsid w:val="00F676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E1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65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D965CE"/>
    <w:rPr>
      <w:color w:val="0000FF"/>
      <w:u w:val="single"/>
    </w:rPr>
  </w:style>
</w:styles>
</file>

<file path=word/webSettings.xml><?xml version="1.0" encoding="utf-8"?>
<w:webSettings xmlns:r="http://schemas.openxmlformats.org/officeDocument/2006/relationships" xmlns:w="http://schemas.openxmlformats.org/wordprocessingml/2006/main">
  <w:divs>
    <w:div w:id="64817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riffith.ox.ac.uk/gri/4baskets.html" TargetMode="External"/><Relationship Id="rId4" Type="http://schemas.openxmlformats.org/officeDocument/2006/relationships/hyperlink" Target="http://theplate.nationalgeographic.com/2015/04/05/packing-food-for-the-hereafter-in-ancient-egy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378</TotalTime>
  <Pages>2</Pages>
  <Words>555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bert</dc:creator>
  <cp:lastModifiedBy>dylanphillips3@googlemail.com</cp:lastModifiedBy>
  <cp:revision>3</cp:revision>
  <dcterms:created xsi:type="dcterms:W3CDTF">2018-02-24T21:21:00Z</dcterms:created>
  <dcterms:modified xsi:type="dcterms:W3CDTF">2018-02-26T18:30:00Z</dcterms:modified>
</cp:coreProperties>
</file>