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2F50E" w14:textId="77777777" w:rsidR="00A14C91" w:rsidRPr="00517162" w:rsidRDefault="00A14C91" w:rsidP="00A14C91">
      <w:pPr>
        <w:jc w:val="center"/>
        <w:rPr>
          <w:rFonts w:ascii="Times New Roman" w:hAnsi="Times New Roman" w:cs="Times New Roman"/>
          <w:sz w:val="24"/>
          <w:szCs w:val="24"/>
        </w:rPr>
      </w:pPr>
    </w:p>
    <w:p w14:paraId="01401C3E" w14:textId="77777777" w:rsidR="00A14C91" w:rsidRPr="00517162" w:rsidRDefault="00A14C91" w:rsidP="00A14C91">
      <w:pPr>
        <w:jc w:val="center"/>
        <w:rPr>
          <w:rFonts w:ascii="Times New Roman" w:hAnsi="Times New Roman" w:cs="Times New Roman"/>
          <w:sz w:val="24"/>
          <w:szCs w:val="24"/>
        </w:rPr>
      </w:pPr>
    </w:p>
    <w:p w14:paraId="13881745" w14:textId="77777777" w:rsidR="00A14C91" w:rsidRPr="00517162" w:rsidRDefault="00A14C91" w:rsidP="00A14C91">
      <w:pPr>
        <w:jc w:val="center"/>
        <w:rPr>
          <w:rFonts w:ascii="Times New Roman" w:hAnsi="Times New Roman" w:cs="Times New Roman"/>
          <w:sz w:val="24"/>
          <w:szCs w:val="24"/>
        </w:rPr>
      </w:pPr>
    </w:p>
    <w:p w14:paraId="66F17401" w14:textId="77777777" w:rsidR="00A14C91" w:rsidRPr="00517162" w:rsidRDefault="00A14C91" w:rsidP="00A14C91">
      <w:pPr>
        <w:jc w:val="center"/>
        <w:rPr>
          <w:rFonts w:ascii="Times New Roman" w:hAnsi="Times New Roman" w:cs="Times New Roman"/>
          <w:sz w:val="24"/>
          <w:szCs w:val="24"/>
        </w:rPr>
      </w:pPr>
    </w:p>
    <w:p w14:paraId="57FC29B5" w14:textId="77777777" w:rsidR="00A14C91" w:rsidRPr="00517162" w:rsidRDefault="00A14C91" w:rsidP="00A14C91">
      <w:pPr>
        <w:jc w:val="center"/>
        <w:rPr>
          <w:rFonts w:ascii="Times New Roman" w:hAnsi="Times New Roman" w:cs="Times New Roman"/>
          <w:sz w:val="24"/>
          <w:szCs w:val="24"/>
        </w:rPr>
      </w:pPr>
    </w:p>
    <w:p w14:paraId="7FD8F717" w14:textId="77777777" w:rsidR="00A14C91" w:rsidRPr="00517162" w:rsidRDefault="00A14C91" w:rsidP="00A14C91">
      <w:pPr>
        <w:jc w:val="center"/>
        <w:rPr>
          <w:rFonts w:ascii="Times New Roman" w:hAnsi="Times New Roman" w:cs="Times New Roman"/>
          <w:sz w:val="24"/>
          <w:szCs w:val="24"/>
        </w:rPr>
      </w:pPr>
    </w:p>
    <w:p w14:paraId="418C349A" w14:textId="77777777" w:rsidR="00A14C91" w:rsidRPr="00517162" w:rsidRDefault="00A14C91" w:rsidP="00A14C91">
      <w:pPr>
        <w:jc w:val="center"/>
        <w:rPr>
          <w:rFonts w:ascii="Times New Roman" w:hAnsi="Times New Roman" w:cs="Times New Roman"/>
          <w:sz w:val="24"/>
          <w:szCs w:val="24"/>
        </w:rPr>
      </w:pPr>
    </w:p>
    <w:p w14:paraId="3ACACC8A" w14:textId="77777777" w:rsidR="00A14C91" w:rsidRPr="00517162" w:rsidRDefault="00A14C91" w:rsidP="00A14C91">
      <w:pPr>
        <w:jc w:val="center"/>
        <w:rPr>
          <w:rFonts w:ascii="Times New Roman" w:hAnsi="Times New Roman" w:cs="Times New Roman"/>
          <w:b/>
          <w:bCs/>
          <w:sz w:val="24"/>
          <w:szCs w:val="24"/>
        </w:rPr>
      </w:pPr>
      <w:r w:rsidRPr="00517162">
        <w:rPr>
          <w:rFonts w:ascii="Times New Roman" w:hAnsi="Times New Roman" w:cs="Times New Roman"/>
          <w:b/>
          <w:bCs/>
          <w:sz w:val="24"/>
          <w:szCs w:val="24"/>
        </w:rPr>
        <w:t>DATA ANALYSIS AND VISUALISATION ESSAY</w:t>
      </w:r>
    </w:p>
    <w:p w14:paraId="1115A6BF" w14:textId="77777777" w:rsidR="00A14C91" w:rsidRPr="00517162" w:rsidRDefault="00A14C91" w:rsidP="00A14C91">
      <w:pPr>
        <w:jc w:val="center"/>
        <w:rPr>
          <w:rFonts w:ascii="Times New Roman" w:hAnsi="Times New Roman" w:cs="Times New Roman"/>
          <w:sz w:val="24"/>
          <w:szCs w:val="24"/>
        </w:rPr>
      </w:pPr>
    </w:p>
    <w:p w14:paraId="06AAB459" w14:textId="77777777" w:rsidR="00A14C91" w:rsidRPr="00517162" w:rsidRDefault="00A14C91" w:rsidP="00A14C91">
      <w:pPr>
        <w:jc w:val="center"/>
        <w:rPr>
          <w:rFonts w:ascii="Times New Roman" w:hAnsi="Times New Roman" w:cs="Times New Roman"/>
          <w:sz w:val="24"/>
          <w:szCs w:val="24"/>
        </w:rPr>
      </w:pPr>
    </w:p>
    <w:p w14:paraId="6B6E0BF8" w14:textId="77777777" w:rsidR="006B7F7C" w:rsidRPr="00995CAB" w:rsidRDefault="006B7F7C" w:rsidP="006B7F7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Constantin Marian Grigoras 2124074</w:t>
      </w:r>
    </w:p>
    <w:p w14:paraId="77CE2326" w14:textId="77777777" w:rsidR="006B7F7C" w:rsidRPr="00995CAB" w:rsidRDefault="006B7F7C" w:rsidP="006B7F7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University of Wales Trinity Saint David</w:t>
      </w:r>
    </w:p>
    <w:p w14:paraId="3A2764F6" w14:textId="77777777" w:rsidR="006B7F7C" w:rsidRPr="00995CAB" w:rsidRDefault="006B7F7C" w:rsidP="006B7F7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LCBB</w:t>
      </w:r>
      <w:r>
        <w:rPr>
          <w:rFonts w:ascii="Times New Roman" w:hAnsi="Times New Roman" w:cs="Times New Roman"/>
          <w:b/>
          <w:sz w:val="24"/>
          <w:szCs w:val="24"/>
          <w:lang w:val="en-GB"/>
        </w:rPr>
        <w:t>5000 Data Handling &amp; Business Intelligence</w:t>
      </w:r>
    </w:p>
    <w:p w14:paraId="14590A76" w14:textId="77777777" w:rsidR="006B7F7C" w:rsidRPr="00995CAB" w:rsidRDefault="006B7F7C" w:rsidP="006B7F7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 xml:space="preserve">Lecturer’s name: </w:t>
      </w:r>
      <w:proofErr w:type="spellStart"/>
      <w:r>
        <w:rPr>
          <w:rFonts w:ascii="Times New Roman" w:hAnsi="Times New Roman" w:cs="Times New Roman"/>
          <w:b/>
          <w:sz w:val="24"/>
          <w:szCs w:val="24"/>
          <w:lang w:val="en-GB"/>
        </w:rPr>
        <w:t>Amitave</w:t>
      </w:r>
      <w:proofErr w:type="spellEnd"/>
      <w:r>
        <w:rPr>
          <w:rFonts w:ascii="Times New Roman" w:hAnsi="Times New Roman" w:cs="Times New Roman"/>
          <w:b/>
          <w:sz w:val="24"/>
          <w:szCs w:val="24"/>
          <w:lang w:val="en-GB"/>
        </w:rPr>
        <w:t xml:space="preserve"> </w:t>
      </w:r>
      <w:proofErr w:type="spellStart"/>
      <w:r>
        <w:rPr>
          <w:rFonts w:ascii="Times New Roman" w:hAnsi="Times New Roman" w:cs="Times New Roman"/>
          <w:b/>
          <w:sz w:val="24"/>
          <w:szCs w:val="24"/>
          <w:lang w:val="en-GB"/>
        </w:rPr>
        <w:t>Banik</w:t>
      </w:r>
      <w:proofErr w:type="spellEnd"/>
    </w:p>
    <w:p w14:paraId="36F30338" w14:textId="77777777" w:rsidR="006B7F7C" w:rsidRPr="00995CAB" w:rsidRDefault="006B7F7C" w:rsidP="006B7F7C">
      <w:pPr>
        <w:spacing w:line="480" w:lineRule="auto"/>
        <w:contextualSpacing/>
        <w:jc w:val="center"/>
        <w:rPr>
          <w:rFonts w:ascii="Times New Roman" w:hAnsi="Times New Roman" w:cs="Times New Roman"/>
          <w:b/>
          <w:sz w:val="24"/>
          <w:szCs w:val="24"/>
          <w:lang w:val="en-GB"/>
        </w:rPr>
      </w:pPr>
    </w:p>
    <w:p w14:paraId="5FF68EF7" w14:textId="47B0E2AF" w:rsidR="00A14C91" w:rsidRPr="00517162" w:rsidRDefault="006B7F7C" w:rsidP="006B7F7C">
      <w:pPr>
        <w:jc w:val="center"/>
        <w:rPr>
          <w:rFonts w:ascii="Times New Roman" w:hAnsi="Times New Roman" w:cs="Times New Roman"/>
          <w:sz w:val="24"/>
          <w:szCs w:val="24"/>
        </w:rPr>
      </w:pPr>
      <w:r w:rsidRPr="00995CAB">
        <w:rPr>
          <w:rFonts w:ascii="Times New Roman" w:hAnsi="Times New Roman" w:cs="Times New Roman"/>
          <w:b/>
          <w:sz w:val="24"/>
          <w:szCs w:val="24"/>
          <w:lang w:val="en-GB"/>
        </w:rPr>
        <w:t>Date:</w:t>
      </w:r>
      <w:r>
        <w:rPr>
          <w:rFonts w:ascii="Times New Roman" w:hAnsi="Times New Roman" w:cs="Times New Roman"/>
          <w:b/>
          <w:sz w:val="24"/>
          <w:szCs w:val="24"/>
          <w:lang w:val="en-GB"/>
        </w:rPr>
        <w:t xml:space="preserve"> 08-09-2023</w:t>
      </w:r>
    </w:p>
    <w:p w14:paraId="10D77CA4" w14:textId="77777777" w:rsidR="00A14C91" w:rsidRPr="00517162" w:rsidRDefault="00A14C91" w:rsidP="00A14C91">
      <w:pPr>
        <w:rPr>
          <w:rFonts w:ascii="Times New Roman" w:hAnsi="Times New Roman" w:cs="Times New Roman"/>
          <w:sz w:val="24"/>
          <w:szCs w:val="24"/>
        </w:rPr>
      </w:pPr>
      <w:r w:rsidRPr="00517162">
        <w:rPr>
          <w:rFonts w:ascii="Times New Roman" w:hAnsi="Times New Roman" w:cs="Times New Roman"/>
          <w:sz w:val="24"/>
          <w:szCs w:val="24"/>
        </w:rPr>
        <w:br w:type="page"/>
      </w:r>
    </w:p>
    <w:p w14:paraId="35D54A10" w14:textId="77777777" w:rsidR="00A14C91" w:rsidRPr="00517162" w:rsidRDefault="00A14C91" w:rsidP="00A14C91">
      <w:pPr>
        <w:jc w:val="center"/>
        <w:rPr>
          <w:rFonts w:ascii="Times New Roman" w:hAnsi="Times New Roman" w:cs="Times New Roman"/>
          <w:sz w:val="24"/>
          <w:szCs w:val="24"/>
        </w:rPr>
      </w:pPr>
      <w:r w:rsidRPr="00517162">
        <w:rPr>
          <w:rFonts w:ascii="Times New Roman" w:hAnsi="Times New Roman" w:cs="Times New Roman"/>
          <w:sz w:val="24"/>
          <w:szCs w:val="24"/>
        </w:rPr>
        <w:lastRenderedPageBreak/>
        <w:t>Data Analysis and Visualization Essay</w:t>
      </w:r>
    </w:p>
    <w:p w14:paraId="52872147" w14:textId="77777777" w:rsidR="00A14C91" w:rsidRPr="00517162" w:rsidRDefault="00A14C91" w:rsidP="00A14C91">
      <w:pPr>
        <w:pStyle w:val="Heading1"/>
        <w:rPr>
          <w:rFonts w:ascii="Times New Roman" w:hAnsi="Times New Roman" w:cs="Times New Roman"/>
        </w:rPr>
      </w:pPr>
      <w:r w:rsidRPr="00517162">
        <w:rPr>
          <w:rFonts w:ascii="Times New Roman" w:hAnsi="Times New Roman" w:cs="Times New Roman"/>
        </w:rPr>
        <w:t>Part 1</w:t>
      </w:r>
    </w:p>
    <w:p w14:paraId="251475FD" w14:textId="77777777" w:rsidR="00A14C91" w:rsidRPr="00517162"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Hotel Reservation dataset contains information about factors, represented as variables, that affect the average price of a hotel reservation. For instance, the type of room, meal plan that comes with a room, number of weekends for the reservation, and whether a guest is visiting the hotel for the first time or not. Similarly, the booking option represented as the variable </w:t>
      </w:r>
      <w:r w:rsidRPr="00517162">
        <w:rPr>
          <w:rFonts w:ascii="Times New Roman" w:hAnsi="Times New Roman" w:cs="Times New Roman"/>
          <w:i/>
          <w:sz w:val="24"/>
          <w:szCs w:val="24"/>
        </w:rPr>
        <w:t>market_type</w:t>
      </w:r>
      <w:r w:rsidRPr="00517162">
        <w:rPr>
          <w:rFonts w:ascii="Times New Roman" w:hAnsi="Times New Roman" w:cs="Times New Roman"/>
          <w:sz w:val="24"/>
          <w:szCs w:val="24"/>
        </w:rPr>
        <w:t xml:space="preserve"> indicates whether a booking is done offline, online, through corporate or aviation option. All of these are factors that explain the nature of a hotel reservation. The data is collected for the hotel reservations completed between the years 2017 up until 2022. This paper seeks to establish the main factors that affect the average price of a hotel reservation, focusing on the years between 2017 to 2021. Pivot tables in Microsoft excel were utilized to come up with data tables and later on charts and graphs that explain the changes in the average price of the hotel reservations. The function </w:t>
      </w:r>
      <w:r w:rsidRPr="00517162">
        <w:rPr>
          <w:rFonts w:ascii="Times New Roman" w:hAnsi="Times New Roman" w:cs="Times New Roman"/>
          <w:b/>
          <w:sz w:val="24"/>
          <w:szCs w:val="24"/>
        </w:rPr>
        <w:t>“=COUNTIF(J:J,</w:t>
      </w:r>
      <w:r w:rsidRPr="00517162">
        <w:rPr>
          <w:rFonts w:ascii="Times New Roman" w:hAnsi="Times New Roman" w:cs="Times New Roman"/>
          <w:b/>
          <w:i/>
          <w:sz w:val="24"/>
          <w:szCs w:val="24"/>
        </w:rPr>
        <w:t>year</w:t>
      </w:r>
      <w:r w:rsidRPr="00517162">
        <w:rPr>
          <w:rFonts w:ascii="Times New Roman" w:hAnsi="Times New Roman" w:cs="Times New Roman"/>
          <w:b/>
          <w:sz w:val="24"/>
          <w:szCs w:val="24"/>
        </w:rPr>
        <w:t xml:space="preserve">)” </w:t>
      </w:r>
      <w:r w:rsidRPr="00517162">
        <w:rPr>
          <w:rFonts w:ascii="Times New Roman" w:hAnsi="Times New Roman" w:cs="Times New Roman"/>
          <w:sz w:val="24"/>
          <w:szCs w:val="24"/>
        </w:rPr>
        <w:t>was used to give the frequency of the year representation in the hotel reservation the dataset. The output for the same is illustrated in the table 1 below;</w:t>
      </w:r>
    </w:p>
    <w:p w14:paraId="1CFF328B"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t>Table 1. representation of year frequency in the dataset</w:t>
      </w:r>
    </w:p>
    <w:tbl>
      <w:tblPr>
        <w:tblW w:w="3080" w:type="dxa"/>
        <w:tblInd w:w="-3" w:type="dxa"/>
        <w:tblLook w:val="04A0" w:firstRow="1" w:lastRow="0" w:firstColumn="1" w:lastColumn="0" w:noHBand="0" w:noVBand="1"/>
      </w:tblPr>
      <w:tblGrid>
        <w:gridCol w:w="1480"/>
        <w:gridCol w:w="1600"/>
      </w:tblGrid>
      <w:tr w:rsidR="00A14C91" w:rsidRPr="00517162" w14:paraId="5DAF7214" w14:textId="77777777" w:rsidTr="0090224C">
        <w:trPr>
          <w:trHeight w:val="600"/>
        </w:trPr>
        <w:tc>
          <w:tcPr>
            <w:tcW w:w="14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542CADA"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year</w:t>
            </w:r>
          </w:p>
        </w:tc>
        <w:tc>
          <w:tcPr>
            <w:tcW w:w="1600" w:type="dxa"/>
            <w:tcBorders>
              <w:top w:val="single" w:sz="4" w:space="0" w:color="auto"/>
              <w:left w:val="nil"/>
              <w:bottom w:val="single" w:sz="4" w:space="0" w:color="auto"/>
              <w:right w:val="single" w:sz="4" w:space="0" w:color="auto"/>
            </w:tcBorders>
            <w:shd w:val="clear" w:color="auto" w:fill="auto"/>
            <w:vAlign w:val="bottom"/>
            <w:hideMark/>
          </w:tcPr>
          <w:p w14:paraId="6E6CC431"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 xml:space="preserve">frequency </w:t>
            </w:r>
          </w:p>
        </w:tc>
      </w:tr>
      <w:tr w:rsidR="00A14C91" w:rsidRPr="00517162" w14:paraId="39F0C35B"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EB840DC"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2017</w:t>
            </w:r>
          </w:p>
        </w:tc>
        <w:tc>
          <w:tcPr>
            <w:tcW w:w="1600" w:type="dxa"/>
            <w:tcBorders>
              <w:top w:val="nil"/>
              <w:left w:val="nil"/>
              <w:bottom w:val="single" w:sz="4" w:space="0" w:color="auto"/>
              <w:right w:val="single" w:sz="4" w:space="0" w:color="auto"/>
            </w:tcBorders>
            <w:shd w:val="clear" w:color="auto" w:fill="auto"/>
            <w:noWrap/>
            <w:vAlign w:val="bottom"/>
            <w:hideMark/>
          </w:tcPr>
          <w:p w14:paraId="6D9CF85C"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6100</w:t>
            </w:r>
          </w:p>
        </w:tc>
      </w:tr>
      <w:tr w:rsidR="00A14C91" w:rsidRPr="00517162" w14:paraId="58DE7BB2"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4833D1E"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2018</w:t>
            </w:r>
          </w:p>
        </w:tc>
        <w:tc>
          <w:tcPr>
            <w:tcW w:w="1600" w:type="dxa"/>
            <w:tcBorders>
              <w:top w:val="nil"/>
              <w:left w:val="nil"/>
              <w:bottom w:val="single" w:sz="4" w:space="0" w:color="auto"/>
              <w:right w:val="single" w:sz="4" w:space="0" w:color="auto"/>
            </w:tcBorders>
            <w:shd w:val="clear" w:color="auto" w:fill="auto"/>
            <w:noWrap/>
            <w:vAlign w:val="bottom"/>
            <w:hideMark/>
          </w:tcPr>
          <w:p w14:paraId="19CC978B"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28038</w:t>
            </w:r>
          </w:p>
        </w:tc>
      </w:tr>
      <w:tr w:rsidR="00A14C91" w:rsidRPr="00517162" w14:paraId="4F721560"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A3C5173"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2019</w:t>
            </w:r>
          </w:p>
        </w:tc>
        <w:tc>
          <w:tcPr>
            <w:tcW w:w="1600" w:type="dxa"/>
            <w:tcBorders>
              <w:top w:val="nil"/>
              <w:left w:val="nil"/>
              <w:bottom w:val="single" w:sz="4" w:space="0" w:color="auto"/>
              <w:right w:val="single" w:sz="4" w:space="0" w:color="auto"/>
            </w:tcBorders>
            <w:shd w:val="clear" w:color="auto" w:fill="auto"/>
            <w:noWrap/>
            <w:vAlign w:val="bottom"/>
            <w:hideMark/>
          </w:tcPr>
          <w:p w14:paraId="270D974C"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177</w:t>
            </w:r>
          </w:p>
        </w:tc>
      </w:tr>
      <w:tr w:rsidR="00A14C91" w:rsidRPr="00517162" w14:paraId="0A11B589"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6AAEAC0"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2020</w:t>
            </w:r>
          </w:p>
        </w:tc>
        <w:tc>
          <w:tcPr>
            <w:tcW w:w="1600" w:type="dxa"/>
            <w:tcBorders>
              <w:top w:val="nil"/>
              <w:left w:val="nil"/>
              <w:bottom w:val="single" w:sz="4" w:space="0" w:color="auto"/>
              <w:right w:val="single" w:sz="4" w:space="0" w:color="auto"/>
            </w:tcBorders>
            <w:shd w:val="clear" w:color="auto" w:fill="auto"/>
            <w:noWrap/>
            <w:vAlign w:val="bottom"/>
            <w:hideMark/>
          </w:tcPr>
          <w:p w14:paraId="45FCB0A6"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198</w:t>
            </w:r>
          </w:p>
        </w:tc>
      </w:tr>
      <w:tr w:rsidR="00A14C91" w:rsidRPr="00517162" w14:paraId="43411525"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46E0B74"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2021</w:t>
            </w:r>
          </w:p>
        </w:tc>
        <w:tc>
          <w:tcPr>
            <w:tcW w:w="1600" w:type="dxa"/>
            <w:tcBorders>
              <w:top w:val="nil"/>
              <w:left w:val="nil"/>
              <w:bottom w:val="single" w:sz="4" w:space="0" w:color="auto"/>
              <w:right w:val="single" w:sz="4" w:space="0" w:color="auto"/>
            </w:tcBorders>
            <w:shd w:val="clear" w:color="auto" w:fill="auto"/>
            <w:noWrap/>
            <w:vAlign w:val="bottom"/>
            <w:hideMark/>
          </w:tcPr>
          <w:p w14:paraId="6CBA544E"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192</w:t>
            </w:r>
          </w:p>
        </w:tc>
      </w:tr>
      <w:tr w:rsidR="00A14C91" w:rsidRPr="00517162" w14:paraId="7755CD55"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2D4F9FE"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2022</w:t>
            </w:r>
          </w:p>
        </w:tc>
        <w:tc>
          <w:tcPr>
            <w:tcW w:w="1600" w:type="dxa"/>
            <w:tcBorders>
              <w:top w:val="nil"/>
              <w:left w:val="nil"/>
              <w:bottom w:val="single" w:sz="4" w:space="0" w:color="auto"/>
              <w:right w:val="single" w:sz="4" w:space="0" w:color="auto"/>
            </w:tcBorders>
            <w:shd w:val="clear" w:color="auto" w:fill="auto"/>
            <w:noWrap/>
            <w:vAlign w:val="bottom"/>
            <w:hideMark/>
          </w:tcPr>
          <w:p w14:paraId="2F875F0A"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1570</w:t>
            </w:r>
          </w:p>
        </w:tc>
      </w:tr>
      <w:tr w:rsidR="00A14C91" w:rsidRPr="00517162" w14:paraId="089CC902"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1B339C1" w14:textId="77777777" w:rsidR="00A14C91" w:rsidRPr="00517162" w:rsidRDefault="00A14C91" w:rsidP="0090224C">
            <w:pPr>
              <w:spacing w:after="0" w:line="240" w:lineRule="auto"/>
              <w:jc w:val="center"/>
              <w:rPr>
                <w:rFonts w:ascii="Times New Roman" w:eastAsia="Times New Roman" w:hAnsi="Times New Roman" w:cs="Times New Roman"/>
                <w:b/>
                <w:bCs/>
                <w:color w:val="000000"/>
              </w:rPr>
            </w:pPr>
            <w:r w:rsidRPr="00517162">
              <w:rPr>
                <w:rFonts w:ascii="Times New Roman" w:eastAsia="Times New Roman" w:hAnsi="Times New Roman" w:cs="Times New Roman"/>
                <w:b/>
                <w:bCs/>
                <w:color w:val="000000"/>
              </w:rPr>
              <w:t>2023</w:t>
            </w:r>
          </w:p>
        </w:tc>
        <w:tc>
          <w:tcPr>
            <w:tcW w:w="1600" w:type="dxa"/>
            <w:tcBorders>
              <w:top w:val="nil"/>
              <w:left w:val="nil"/>
              <w:bottom w:val="single" w:sz="4" w:space="0" w:color="auto"/>
              <w:right w:val="single" w:sz="4" w:space="0" w:color="auto"/>
            </w:tcBorders>
            <w:shd w:val="clear" w:color="auto" w:fill="auto"/>
            <w:noWrap/>
            <w:vAlign w:val="bottom"/>
            <w:hideMark/>
          </w:tcPr>
          <w:p w14:paraId="43BB6EF7"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0</w:t>
            </w:r>
          </w:p>
        </w:tc>
      </w:tr>
      <w:tr w:rsidR="00A14C91" w:rsidRPr="00517162" w14:paraId="6ED540DD" w14:textId="77777777" w:rsidTr="0090224C">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1D80BF3" w14:textId="77777777" w:rsidR="00A14C91" w:rsidRPr="00517162" w:rsidRDefault="00A14C91" w:rsidP="0090224C">
            <w:pPr>
              <w:spacing w:after="0" w:line="240" w:lineRule="auto"/>
              <w:jc w:val="center"/>
              <w:rPr>
                <w:rFonts w:ascii="Times New Roman" w:eastAsia="Times New Roman" w:hAnsi="Times New Roman" w:cs="Times New Roman"/>
                <w:color w:val="000000"/>
              </w:rPr>
            </w:pPr>
            <w:r w:rsidRPr="00517162">
              <w:rPr>
                <w:rFonts w:ascii="Times New Roman" w:eastAsia="Times New Roman" w:hAnsi="Times New Roman" w:cs="Times New Roman"/>
                <w:color w:val="000000"/>
              </w:rPr>
              <w:t xml:space="preserve">total </w:t>
            </w:r>
          </w:p>
        </w:tc>
        <w:tc>
          <w:tcPr>
            <w:tcW w:w="1600" w:type="dxa"/>
            <w:tcBorders>
              <w:top w:val="nil"/>
              <w:left w:val="nil"/>
              <w:bottom w:val="single" w:sz="4" w:space="0" w:color="auto"/>
              <w:right w:val="single" w:sz="4" w:space="0" w:color="auto"/>
            </w:tcBorders>
            <w:shd w:val="clear" w:color="auto" w:fill="auto"/>
            <w:noWrap/>
            <w:vAlign w:val="bottom"/>
            <w:hideMark/>
          </w:tcPr>
          <w:p w14:paraId="584F21EC"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36275</w:t>
            </w:r>
          </w:p>
        </w:tc>
      </w:tr>
    </w:tbl>
    <w:p w14:paraId="06263EDF" w14:textId="77777777" w:rsidR="00A14C91" w:rsidRPr="00517162" w:rsidRDefault="00A14C91" w:rsidP="00A14C91">
      <w:pPr>
        <w:spacing w:line="480" w:lineRule="auto"/>
        <w:ind w:firstLine="720"/>
        <w:rPr>
          <w:rFonts w:ascii="Times New Roman" w:hAnsi="Times New Roman" w:cs="Times New Roman"/>
          <w:sz w:val="24"/>
          <w:szCs w:val="24"/>
        </w:rPr>
      </w:pPr>
    </w:p>
    <w:p w14:paraId="0446A9BD" w14:textId="77777777" w:rsidR="00A14C91" w:rsidRPr="00517162"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lastRenderedPageBreak/>
        <w:t xml:space="preserve">The figure 1 below illustrates the annual average price of hotel reservations from the year 2017 to 2021. A graphical representation of the same is illustrated in the area map in the figure below. The mean hotel reservation price was 90.04 for 2017, 106.35 in 2018, 70.96 in 2019, 81.40 in 2020 and 105.33 in 2021. The average hotel reservation price is, apparently, highest in 2018. However, there is need to consider the factors that affect the average hotel reservation price. The analysis of the same is completed and illustrated in the subsequent graphs and tables. </w:t>
      </w:r>
    </w:p>
    <w:p w14:paraId="25EA5808"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t xml:space="preserve">Table 2. Annual average price of hotel reservations </w:t>
      </w:r>
    </w:p>
    <w:tbl>
      <w:tblPr>
        <w:tblW w:w="3740" w:type="dxa"/>
        <w:tblLook w:val="04A0" w:firstRow="1" w:lastRow="0" w:firstColumn="1" w:lastColumn="0" w:noHBand="0" w:noVBand="1"/>
      </w:tblPr>
      <w:tblGrid>
        <w:gridCol w:w="2480"/>
        <w:gridCol w:w="1371"/>
      </w:tblGrid>
      <w:tr w:rsidR="00A14C91" w:rsidRPr="00517162" w14:paraId="6049C794" w14:textId="77777777" w:rsidTr="0090224C">
        <w:trPr>
          <w:trHeight w:val="300"/>
        </w:trPr>
        <w:tc>
          <w:tcPr>
            <w:tcW w:w="2480" w:type="dxa"/>
            <w:tcBorders>
              <w:top w:val="single" w:sz="4" w:space="0" w:color="999999"/>
              <w:left w:val="single" w:sz="4" w:space="0" w:color="999999"/>
              <w:bottom w:val="nil"/>
              <w:right w:val="nil"/>
            </w:tcBorders>
            <w:shd w:val="clear" w:color="auto" w:fill="auto"/>
            <w:noWrap/>
            <w:vAlign w:val="bottom"/>
            <w:hideMark/>
          </w:tcPr>
          <w:p w14:paraId="2A3FF05E" w14:textId="77777777" w:rsidR="00A14C91" w:rsidRPr="00517162" w:rsidRDefault="00A14C91" w:rsidP="0090224C">
            <w:pPr>
              <w:spacing w:after="0" w:line="240" w:lineRule="auto"/>
              <w:rPr>
                <w:rFonts w:ascii="Times New Roman" w:eastAsia="Times New Roman" w:hAnsi="Times New Roman" w:cs="Times New Roman"/>
                <w:color w:val="000000"/>
              </w:rPr>
            </w:pPr>
            <w:r w:rsidRPr="00517162">
              <w:rPr>
                <w:rFonts w:ascii="Times New Roman" w:eastAsia="Times New Roman" w:hAnsi="Times New Roman" w:cs="Times New Roman"/>
                <w:color w:val="000000"/>
              </w:rPr>
              <w:t>Average of Average price</w:t>
            </w:r>
          </w:p>
        </w:tc>
        <w:tc>
          <w:tcPr>
            <w:tcW w:w="1260" w:type="dxa"/>
            <w:tcBorders>
              <w:top w:val="single" w:sz="4" w:space="0" w:color="999999"/>
              <w:left w:val="single" w:sz="4" w:space="0" w:color="999999"/>
              <w:bottom w:val="nil"/>
              <w:right w:val="single" w:sz="4" w:space="0" w:color="999999"/>
            </w:tcBorders>
            <w:shd w:val="clear" w:color="auto" w:fill="auto"/>
            <w:noWrap/>
            <w:vAlign w:val="bottom"/>
            <w:hideMark/>
          </w:tcPr>
          <w:p w14:paraId="71F5083C" w14:textId="77777777" w:rsidR="00A14C91" w:rsidRPr="00517162" w:rsidRDefault="00A14C91" w:rsidP="0090224C">
            <w:pPr>
              <w:spacing w:after="0" w:line="240" w:lineRule="auto"/>
              <w:rPr>
                <w:rFonts w:ascii="Times New Roman" w:eastAsia="Times New Roman" w:hAnsi="Times New Roman" w:cs="Times New Roman"/>
                <w:color w:val="000000"/>
              </w:rPr>
            </w:pPr>
            <w:r w:rsidRPr="00517162">
              <w:rPr>
                <w:rFonts w:ascii="Times New Roman" w:eastAsia="Times New Roman" w:hAnsi="Times New Roman" w:cs="Times New Roman"/>
                <w:color w:val="000000"/>
              </w:rPr>
              <w:t> </w:t>
            </w:r>
          </w:p>
        </w:tc>
      </w:tr>
      <w:tr w:rsidR="00A14C91" w:rsidRPr="00517162" w14:paraId="388DF12B" w14:textId="77777777" w:rsidTr="0090224C">
        <w:trPr>
          <w:trHeight w:val="300"/>
        </w:trPr>
        <w:tc>
          <w:tcPr>
            <w:tcW w:w="2480" w:type="dxa"/>
            <w:tcBorders>
              <w:top w:val="single" w:sz="4" w:space="0" w:color="999999"/>
              <w:left w:val="single" w:sz="4" w:space="0" w:color="999999"/>
              <w:bottom w:val="nil"/>
              <w:right w:val="nil"/>
            </w:tcBorders>
            <w:shd w:val="clear" w:color="auto" w:fill="auto"/>
            <w:noWrap/>
            <w:vAlign w:val="bottom"/>
            <w:hideMark/>
          </w:tcPr>
          <w:p w14:paraId="097A5442" w14:textId="77777777" w:rsidR="00A14C91" w:rsidRPr="00517162" w:rsidRDefault="00A14C91" w:rsidP="0090224C">
            <w:pPr>
              <w:spacing w:after="0" w:line="240" w:lineRule="auto"/>
              <w:rPr>
                <w:rFonts w:ascii="Times New Roman" w:eastAsia="Times New Roman" w:hAnsi="Times New Roman" w:cs="Times New Roman"/>
                <w:color w:val="000000"/>
              </w:rPr>
            </w:pPr>
            <w:r w:rsidRPr="00517162">
              <w:rPr>
                <w:rFonts w:ascii="Times New Roman" w:eastAsia="Times New Roman" w:hAnsi="Times New Roman" w:cs="Times New Roman"/>
                <w:color w:val="000000"/>
              </w:rPr>
              <w:t>Arrival_year</w:t>
            </w:r>
          </w:p>
        </w:tc>
        <w:tc>
          <w:tcPr>
            <w:tcW w:w="1260" w:type="dxa"/>
            <w:tcBorders>
              <w:top w:val="single" w:sz="4" w:space="0" w:color="999999"/>
              <w:left w:val="single" w:sz="4" w:space="0" w:color="999999"/>
              <w:bottom w:val="nil"/>
              <w:right w:val="single" w:sz="4" w:space="0" w:color="999999"/>
            </w:tcBorders>
            <w:shd w:val="clear" w:color="auto" w:fill="auto"/>
            <w:noWrap/>
            <w:vAlign w:val="bottom"/>
            <w:hideMark/>
          </w:tcPr>
          <w:p w14:paraId="34FF1323" w14:textId="77777777" w:rsidR="00A14C91" w:rsidRPr="00517162" w:rsidRDefault="00A14C91" w:rsidP="0090224C">
            <w:pPr>
              <w:spacing w:after="0" w:line="240" w:lineRule="auto"/>
              <w:rPr>
                <w:rFonts w:ascii="Times New Roman" w:eastAsia="Times New Roman" w:hAnsi="Times New Roman" w:cs="Times New Roman"/>
                <w:color w:val="000000"/>
              </w:rPr>
            </w:pPr>
            <w:r w:rsidRPr="00517162">
              <w:rPr>
                <w:rFonts w:ascii="Times New Roman" w:eastAsia="Times New Roman" w:hAnsi="Times New Roman" w:cs="Times New Roman"/>
                <w:color w:val="000000"/>
              </w:rPr>
              <w:t>Total</w:t>
            </w:r>
          </w:p>
        </w:tc>
      </w:tr>
      <w:tr w:rsidR="00A14C91" w:rsidRPr="00517162" w14:paraId="31680272" w14:textId="77777777" w:rsidTr="0090224C">
        <w:trPr>
          <w:trHeight w:val="300"/>
        </w:trPr>
        <w:tc>
          <w:tcPr>
            <w:tcW w:w="2480" w:type="dxa"/>
            <w:tcBorders>
              <w:top w:val="single" w:sz="4" w:space="0" w:color="999999"/>
              <w:left w:val="single" w:sz="4" w:space="0" w:color="999999"/>
              <w:bottom w:val="nil"/>
              <w:right w:val="nil"/>
            </w:tcBorders>
            <w:shd w:val="clear" w:color="auto" w:fill="auto"/>
            <w:noWrap/>
            <w:vAlign w:val="bottom"/>
            <w:hideMark/>
          </w:tcPr>
          <w:p w14:paraId="3869D517"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2017</w:t>
            </w:r>
          </w:p>
        </w:tc>
        <w:tc>
          <w:tcPr>
            <w:tcW w:w="1260" w:type="dxa"/>
            <w:tcBorders>
              <w:top w:val="single" w:sz="4" w:space="0" w:color="999999"/>
              <w:left w:val="single" w:sz="4" w:space="0" w:color="999999"/>
              <w:bottom w:val="nil"/>
              <w:right w:val="single" w:sz="4" w:space="0" w:color="999999"/>
            </w:tcBorders>
            <w:shd w:val="clear" w:color="auto" w:fill="auto"/>
            <w:noWrap/>
            <w:vAlign w:val="bottom"/>
            <w:hideMark/>
          </w:tcPr>
          <w:p w14:paraId="4F209E5C"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90.0439238</w:t>
            </w:r>
          </w:p>
        </w:tc>
      </w:tr>
      <w:tr w:rsidR="00A14C91" w:rsidRPr="00517162" w14:paraId="2E8A3F9C" w14:textId="77777777" w:rsidTr="0090224C">
        <w:trPr>
          <w:trHeight w:val="300"/>
        </w:trPr>
        <w:tc>
          <w:tcPr>
            <w:tcW w:w="2480" w:type="dxa"/>
            <w:tcBorders>
              <w:top w:val="nil"/>
              <w:left w:val="single" w:sz="4" w:space="0" w:color="999999"/>
              <w:bottom w:val="nil"/>
              <w:right w:val="nil"/>
            </w:tcBorders>
            <w:shd w:val="clear" w:color="auto" w:fill="auto"/>
            <w:noWrap/>
            <w:vAlign w:val="bottom"/>
            <w:hideMark/>
          </w:tcPr>
          <w:p w14:paraId="7E328CC7"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2018</w:t>
            </w:r>
          </w:p>
        </w:tc>
        <w:tc>
          <w:tcPr>
            <w:tcW w:w="1260" w:type="dxa"/>
            <w:tcBorders>
              <w:top w:val="nil"/>
              <w:left w:val="single" w:sz="4" w:space="0" w:color="999999"/>
              <w:bottom w:val="nil"/>
              <w:right w:val="single" w:sz="4" w:space="0" w:color="999999"/>
            </w:tcBorders>
            <w:shd w:val="clear" w:color="auto" w:fill="auto"/>
            <w:noWrap/>
            <w:vAlign w:val="bottom"/>
            <w:hideMark/>
          </w:tcPr>
          <w:p w14:paraId="744FA56D"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106.359883</w:t>
            </w:r>
          </w:p>
        </w:tc>
      </w:tr>
      <w:tr w:rsidR="00A14C91" w:rsidRPr="00517162" w14:paraId="6ED01C07" w14:textId="77777777" w:rsidTr="0090224C">
        <w:trPr>
          <w:trHeight w:val="300"/>
        </w:trPr>
        <w:tc>
          <w:tcPr>
            <w:tcW w:w="2480" w:type="dxa"/>
            <w:tcBorders>
              <w:top w:val="nil"/>
              <w:left w:val="single" w:sz="4" w:space="0" w:color="999999"/>
              <w:bottom w:val="nil"/>
              <w:right w:val="nil"/>
            </w:tcBorders>
            <w:shd w:val="clear" w:color="auto" w:fill="auto"/>
            <w:noWrap/>
            <w:vAlign w:val="bottom"/>
            <w:hideMark/>
          </w:tcPr>
          <w:p w14:paraId="08B704A3"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2019</w:t>
            </w:r>
          </w:p>
        </w:tc>
        <w:tc>
          <w:tcPr>
            <w:tcW w:w="1260" w:type="dxa"/>
            <w:tcBorders>
              <w:top w:val="nil"/>
              <w:left w:val="single" w:sz="4" w:space="0" w:color="999999"/>
              <w:bottom w:val="nil"/>
              <w:right w:val="single" w:sz="4" w:space="0" w:color="999999"/>
            </w:tcBorders>
            <w:shd w:val="clear" w:color="auto" w:fill="auto"/>
            <w:noWrap/>
            <w:vAlign w:val="bottom"/>
            <w:hideMark/>
          </w:tcPr>
          <w:p w14:paraId="7039A732"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70.96333333</w:t>
            </w:r>
          </w:p>
        </w:tc>
      </w:tr>
      <w:tr w:rsidR="00A14C91" w:rsidRPr="00517162" w14:paraId="4443001B" w14:textId="77777777" w:rsidTr="0090224C">
        <w:trPr>
          <w:trHeight w:val="300"/>
        </w:trPr>
        <w:tc>
          <w:tcPr>
            <w:tcW w:w="2480" w:type="dxa"/>
            <w:tcBorders>
              <w:top w:val="nil"/>
              <w:left w:val="single" w:sz="4" w:space="0" w:color="999999"/>
              <w:bottom w:val="nil"/>
              <w:right w:val="nil"/>
            </w:tcBorders>
            <w:shd w:val="clear" w:color="auto" w:fill="auto"/>
            <w:noWrap/>
            <w:vAlign w:val="bottom"/>
            <w:hideMark/>
          </w:tcPr>
          <w:p w14:paraId="40D023EA"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2020</w:t>
            </w:r>
          </w:p>
        </w:tc>
        <w:tc>
          <w:tcPr>
            <w:tcW w:w="1260" w:type="dxa"/>
            <w:tcBorders>
              <w:top w:val="nil"/>
              <w:left w:val="single" w:sz="4" w:space="0" w:color="999999"/>
              <w:bottom w:val="nil"/>
              <w:right w:val="single" w:sz="4" w:space="0" w:color="999999"/>
            </w:tcBorders>
            <w:shd w:val="clear" w:color="auto" w:fill="auto"/>
            <w:noWrap/>
            <w:vAlign w:val="bottom"/>
            <w:hideMark/>
          </w:tcPr>
          <w:p w14:paraId="0BFEAD17"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81.4</w:t>
            </w:r>
          </w:p>
        </w:tc>
      </w:tr>
      <w:tr w:rsidR="00A14C91" w:rsidRPr="00517162" w14:paraId="4032F135" w14:textId="77777777" w:rsidTr="0090224C">
        <w:trPr>
          <w:trHeight w:val="300"/>
        </w:trPr>
        <w:tc>
          <w:tcPr>
            <w:tcW w:w="2480" w:type="dxa"/>
            <w:tcBorders>
              <w:top w:val="nil"/>
              <w:left w:val="single" w:sz="4" w:space="0" w:color="999999"/>
              <w:bottom w:val="nil"/>
              <w:right w:val="nil"/>
            </w:tcBorders>
            <w:shd w:val="clear" w:color="auto" w:fill="auto"/>
            <w:noWrap/>
            <w:vAlign w:val="bottom"/>
            <w:hideMark/>
          </w:tcPr>
          <w:p w14:paraId="5967E0DA"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2021</w:t>
            </w:r>
          </w:p>
        </w:tc>
        <w:tc>
          <w:tcPr>
            <w:tcW w:w="1260" w:type="dxa"/>
            <w:tcBorders>
              <w:top w:val="nil"/>
              <w:left w:val="single" w:sz="4" w:space="0" w:color="999999"/>
              <w:bottom w:val="nil"/>
              <w:right w:val="single" w:sz="4" w:space="0" w:color="999999"/>
            </w:tcBorders>
            <w:shd w:val="clear" w:color="auto" w:fill="auto"/>
            <w:noWrap/>
            <w:vAlign w:val="bottom"/>
            <w:hideMark/>
          </w:tcPr>
          <w:p w14:paraId="0129EB42"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105.3333333</w:t>
            </w:r>
          </w:p>
        </w:tc>
      </w:tr>
      <w:tr w:rsidR="00A14C91" w:rsidRPr="00517162" w14:paraId="142C89E3" w14:textId="77777777" w:rsidTr="0090224C">
        <w:trPr>
          <w:trHeight w:val="300"/>
        </w:trPr>
        <w:tc>
          <w:tcPr>
            <w:tcW w:w="2480" w:type="dxa"/>
            <w:tcBorders>
              <w:top w:val="single" w:sz="4" w:space="0" w:color="999999"/>
              <w:left w:val="single" w:sz="4" w:space="0" w:color="999999"/>
              <w:bottom w:val="single" w:sz="4" w:space="0" w:color="999999"/>
              <w:right w:val="nil"/>
            </w:tcBorders>
            <w:shd w:val="clear" w:color="auto" w:fill="auto"/>
            <w:noWrap/>
            <w:vAlign w:val="bottom"/>
            <w:hideMark/>
          </w:tcPr>
          <w:p w14:paraId="7D5C5ADD" w14:textId="77777777" w:rsidR="00A14C91" w:rsidRPr="00517162" w:rsidRDefault="00A14C91" w:rsidP="0090224C">
            <w:pPr>
              <w:spacing w:after="0" w:line="240" w:lineRule="auto"/>
              <w:rPr>
                <w:rFonts w:ascii="Times New Roman" w:eastAsia="Times New Roman" w:hAnsi="Times New Roman" w:cs="Times New Roman"/>
                <w:color w:val="000000"/>
              </w:rPr>
            </w:pPr>
            <w:r w:rsidRPr="00517162">
              <w:rPr>
                <w:rFonts w:ascii="Times New Roman" w:eastAsia="Times New Roman" w:hAnsi="Times New Roman" w:cs="Times New Roman"/>
                <w:color w:val="000000"/>
              </w:rPr>
              <w:t>Grand Total</w:t>
            </w:r>
          </w:p>
        </w:tc>
        <w:tc>
          <w:tcPr>
            <w:tcW w:w="126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5B16C911" w14:textId="77777777" w:rsidR="00A14C91" w:rsidRPr="00517162" w:rsidRDefault="00A14C91" w:rsidP="0090224C">
            <w:pPr>
              <w:spacing w:after="0" w:line="240" w:lineRule="auto"/>
              <w:jc w:val="right"/>
              <w:rPr>
                <w:rFonts w:ascii="Times New Roman" w:eastAsia="Times New Roman" w:hAnsi="Times New Roman" w:cs="Times New Roman"/>
                <w:color w:val="000000"/>
              </w:rPr>
            </w:pPr>
            <w:r w:rsidRPr="00517162">
              <w:rPr>
                <w:rFonts w:ascii="Times New Roman" w:eastAsia="Times New Roman" w:hAnsi="Times New Roman" w:cs="Times New Roman"/>
                <w:color w:val="000000"/>
              </w:rPr>
              <w:t>103.4235391</w:t>
            </w:r>
          </w:p>
        </w:tc>
      </w:tr>
    </w:tbl>
    <w:p w14:paraId="0BB294D9" w14:textId="77777777" w:rsidR="00A14C91" w:rsidRPr="00517162" w:rsidRDefault="00A14C91" w:rsidP="00A14C91">
      <w:pPr>
        <w:spacing w:line="480" w:lineRule="auto"/>
        <w:ind w:firstLine="720"/>
        <w:rPr>
          <w:rFonts w:ascii="Times New Roman" w:hAnsi="Times New Roman" w:cs="Times New Roman"/>
          <w:sz w:val="24"/>
          <w:szCs w:val="24"/>
        </w:rPr>
      </w:pPr>
    </w:p>
    <w:p w14:paraId="5D04F1F7"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noProof/>
        </w:rPr>
        <w:drawing>
          <wp:inline distT="0" distB="0" distL="0" distR="0" wp14:anchorId="6DA13DB8" wp14:editId="5DC9A07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1C38638"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Figure 1. Annual average price of hotel reservations</w:t>
      </w:r>
    </w:p>
    <w:p w14:paraId="6500E4FD" w14:textId="77777777" w:rsidR="00A14C91"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lastRenderedPageBreak/>
        <w:t xml:space="preserve">Subsequent analysis was conducted to observe whether the number of adults is a significant factor affecting the average price of a hotel reservation. From the data, the number of adults varies from 0 to 4. The chart below illustrates the varying average price of a hotel reservation for the different number of adults for the period between 2017 to 2021. As shown in the line chart in figure 2 below, the average price of the hotel booking is seen to increase from 201 to 2021 regardless of the number of adults. However, it is significantly higher in the year 2018. </w:t>
      </w:r>
    </w:p>
    <w:p w14:paraId="24E771C0" w14:textId="77777777" w:rsidR="006B7F7C" w:rsidRDefault="006B7F7C" w:rsidP="00A14C91">
      <w:pPr>
        <w:spacing w:line="480" w:lineRule="auto"/>
        <w:ind w:firstLine="720"/>
        <w:jc w:val="both"/>
        <w:rPr>
          <w:rFonts w:ascii="Times New Roman" w:hAnsi="Times New Roman" w:cs="Times New Roman"/>
          <w:sz w:val="24"/>
          <w:szCs w:val="24"/>
        </w:rPr>
      </w:pPr>
    </w:p>
    <w:p w14:paraId="48B9EB4F" w14:textId="77777777" w:rsidR="006B7F7C" w:rsidRDefault="006B7F7C" w:rsidP="00A14C91">
      <w:pPr>
        <w:spacing w:line="480" w:lineRule="auto"/>
        <w:ind w:firstLine="720"/>
        <w:jc w:val="both"/>
        <w:rPr>
          <w:rFonts w:ascii="Times New Roman" w:hAnsi="Times New Roman" w:cs="Times New Roman"/>
          <w:sz w:val="24"/>
          <w:szCs w:val="24"/>
        </w:rPr>
      </w:pPr>
    </w:p>
    <w:p w14:paraId="516F5340" w14:textId="77777777" w:rsidR="006B7F7C" w:rsidRPr="00517162" w:rsidRDefault="006B7F7C" w:rsidP="00A14C91">
      <w:pPr>
        <w:spacing w:line="480" w:lineRule="auto"/>
        <w:ind w:firstLine="720"/>
        <w:jc w:val="both"/>
        <w:rPr>
          <w:rFonts w:ascii="Times New Roman" w:hAnsi="Times New Roman" w:cs="Times New Roman"/>
          <w:sz w:val="24"/>
          <w:szCs w:val="24"/>
        </w:rPr>
      </w:pPr>
    </w:p>
    <w:p w14:paraId="6E5DA529"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noProof/>
        </w:rPr>
        <w:drawing>
          <wp:inline distT="0" distB="0" distL="0" distR="0" wp14:anchorId="1B1E19B3" wp14:editId="6CCCB666">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995FB46" w14:textId="77777777" w:rsidR="00A14C91"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Figure 2. Number of Adults vs Average hotel reservation price</w:t>
      </w:r>
    </w:p>
    <w:p w14:paraId="33165352" w14:textId="77777777" w:rsidR="006B7F7C" w:rsidRDefault="006B7F7C" w:rsidP="00A14C91">
      <w:pPr>
        <w:spacing w:line="480" w:lineRule="auto"/>
        <w:ind w:firstLine="720"/>
        <w:rPr>
          <w:rFonts w:ascii="Times New Roman" w:hAnsi="Times New Roman" w:cs="Times New Roman"/>
          <w:sz w:val="24"/>
          <w:szCs w:val="24"/>
        </w:rPr>
      </w:pPr>
    </w:p>
    <w:p w14:paraId="3246FFAC" w14:textId="77777777" w:rsidR="006B7F7C" w:rsidRDefault="006B7F7C" w:rsidP="00A14C91">
      <w:pPr>
        <w:spacing w:line="480" w:lineRule="auto"/>
        <w:ind w:firstLine="720"/>
        <w:rPr>
          <w:rFonts w:ascii="Times New Roman" w:hAnsi="Times New Roman" w:cs="Times New Roman"/>
          <w:sz w:val="24"/>
          <w:szCs w:val="24"/>
        </w:rPr>
      </w:pPr>
    </w:p>
    <w:p w14:paraId="564D7691" w14:textId="77777777" w:rsidR="006B7F7C" w:rsidRDefault="006B7F7C" w:rsidP="00A14C91">
      <w:pPr>
        <w:spacing w:line="480" w:lineRule="auto"/>
        <w:ind w:firstLine="720"/>
        <w:rPr>
          <w:rFonts w:ascii="Times New Roman" w:hAnsi="Times New Roman" w:cs="Times New Roman"/>
          <w:sz w:val="24"/>
          <w:szCs w:val="24"/>
        </w:rPr>
      </w:pPr>
    </w:p>
    <w:p w14:paraId="19975596" w14:textId="77777777" w:rsidR="006B7F7C" w:rsidRDefault="006B7F7C" w:rsidP="00A14C91">
      <w:pPr>
        <w:spacing w:line="480" w:lineRule="auto"/>
        <w:ind w:firstLine="720"/>
        <w:rPr>
          <w:rFonts w:ascii="Times New Roman" w:hAnsi="Times New Roman" w:cs="Times New Roman"/>
          <w:sz w:val="24"/>
          <w:szCs w:val="24"/>
        </w:rPr>
      </w:pPr>
    </w:p>
    <w:p w14:paraId="7089E01A" w14:textId="77777777" w:rsidR="006B7F7C" w:rsidRPr="00517162" w:rsidRDefault="006B7F7C" w:rsidP="00A14C91">
      <w:pPr>
        <w:spacing w:line="480" w:lineRule="auto"/>
        <w:ind w:firstLine="720"/>
        <w:rPr>
          <w:rFonts w:ascii="Times New Roman" w:hAnsi="Times New Roman" w:cs="Times New Roman"/>
          <w:sz w:val="24"/>
          <w:szCs w:val="24"/>
        </w:rPr>
      </w:pPr>
    </w:p>
    <w:p w14:paraId="29D57D21" w14:textId="77777777" w:rsidR="00A14C91"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number of children is also hypothesized to affect the average price of a hotel reservation. The figure below illustrates the analysis for the same. However, the available data in the dataset doesn’t provide information of much use as the number of children isn’t available for all the years, as it isn’t available for 2020 and 2021. </w:t>
      </w:r>
    </w:p>
    <w:p w14:paraId="37669462" w14:textId="77777777" w:rsidR="006B7F7C" w:rsidRDefault="006B7F7C" w:rsidP="00A14C91">
      <w:pPr>
        <w:spacing w:line="480" w:lineRule="auto"/>
        <w:ind w:firstLine="720"/>
        <w:jc w:val="both"/>
        <w:rPr>
          <w:rFonts w:ascii="Times New Roman" w:hAnsi="Times New Roman" w:cs="Times New Roman"/>
          <w:sz w:val="24"/>
          <w:szCs w:val="24"/>
        </w:rPr>
      </w:pPr>
    </w:p>
    <w:p w14:paraId="2EC4966F" w14:textId="77777777" w:rsidR="006B7F7C" w:rsidRDefault="006B7F7C" w:rsidP="00A14C91">
      <w:pPr>
        <w:spacing w:line="480" w:lineRule="auto"/>
        <w:ind w:firstLine="720"/>
        <w:jc w:val="both"/>
        <w:rPr>
          <w:rFonts w:ascii="Times New Roman" w:hAnsi="Times New Roman" w:cs="Times New Roman"/>
          <w:sz w:val="24"/>
          <w:szCs w:val="24"/>
        </w:rPr>
      </w:pPr>
    </w:p>
    <w:p w14:paraId="195779CC" w14:textId="77777777" w:rsidR="006B7F7C" w:rsidRDefault="006B7F7C" w:rsidP="00A14C91">
      <w:pPr>
        <w:spacing w:line="480" w:lineRule="auto"/>
        <w:ind w:firstLine="720"/>
        <w:jc w:val="both"/>
        <w:rPr>
          <w:rFonts w:ascii="Times New Roman" w:hAnsi="Times New Roman" w:cs="Times New Roman"/>
          <w:sz w:val="24"/>
          <w:szCs w:val="24"/>
        </w:rPr>
      </w:pPr>
    </w:p>
    <w:p w14:paraId="272D9D64" w14:textId="77777777" w:rsidR="006B7F7C" w:rsidRPr="00517162" w:rsidRDefault="006B7F7C" w:rsidP="00A14C91">
      <w:pPr>
        <w:spacing w:line="480" w:lineRule="auto"/>
        <w:ind w:firstLine="720"/>
        <w:jc w:val="both"/>
        <w:rPr>
          <w:rFonts w:ascii="Times New Roman" w:hAnsi="Times New Roman" w:cs="Times New Roman"/>
          <w:sz w:val="24"/>
          <w:szCs w:val="24"/>
        </w:rPr>
      </w:pPr>
    </w:p>
    <w:p w14:paraId="7E2E2683"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noProof/>
        </w:rPr>
        <w:drawing>
          <wp:inline distT="0" distB="0" distL="0" distR="0" wp14:anchorId="047E671C" wp14:editId="004660FC">
            <wp:extent cx="504825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B887363" w14:textId="77777777" w:rsidR="00A14C91"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Figure 3. number of children vs average price</w:t>
      </w:r>
    </w:p>
    <w:p w14:paraId="4454C7BF" w14:textId="77777777" w:rsidR="006B7F7C" w:rsidRDefault="006B7F7C" w:rsidP="00A14C91">
      <w:pPr>
        <w:spacing w:line="480" w:lineRule="auto"/>
        <w:ind w:firstLine="720"/>
        <w:rPr>
          <w:rFonts w:ascii="Times New Roman" w:hAnsi="Times New Roman" w:cs="Times New Roman"/>
          <w:sz w:val="24"/>
          <w:szCs w:val="24"/>
        </w:rPr>
      </w:pPr>
    </w:p>
    <w:p w14:paraId="4CBF8A49" w14:textId="77777777" w:rsidR="00A14C91" w:rsidRDefault="00A14C91" w:rsidP="006B7F7C">
      <w:pPr>
        <w:spacing w:line="480" w:lineRule="auto"/>
        <w:jc w:val="both"/>
        <w:rPr>
          <w:rFonts w:ascii="Times New Roman" w:hAnsi="Times New Roman" w:cs="Times New Roman"/>
          <w:sz w:val="24"/>
          <w:szCs w:val="24"/>
        </w:rPr>
      </w:pPr>
      <w:r w:rsidRPr="00517162">
        <w:rPr>
          <w:rFonts w:ascii="Times New Roman" w:hAnsi="Times New Roman" w:cs="Times New Roman"/>
          <w:sz w:val="24"/>
          <w:szCs w:val="24"/>
        </w:rPr>
        <w:lastRenderedPageBreak/>
        <w:t xml:space="preserve">Another factor that might affect the average price of a hotel reservation is the arrival month of the guests into the hotel. The data indicates that the hotel expects guests from January up until December, which is the last month of the year. it is hypothesized that the average price of a hotel booking changes all through the months. The line chart below illustrates this observation. The line chart indicates that the average prices of hotel reservations are generally lower during the first and last quarter of the year. During the two center quarters of the years, the hotel reservation prices are at their peak as indicated in the chart below. </w:t>
      </w:r>
    </w:p>
    <w:p w14:paraId="6996DAF6" w14:textId="77777777" w:rsidR="006B7F7C" w:rsidRDefault="006B7F7C" w:rsidP="006B7F7C">
      <w:pPr>
        <w:spacing w:line="480" w:lineRule="auto"/>
        <w:jc w:val="both"/>
        <w:rPr>
          <w:rFonts w:ascii="Times New Roman" w:hAnsi="Times New Roman" w:cs="Times New Roman"/>
          <w:sz w:val="24"/>
          <w:szCs w:val="24"/>
        </w:rPr>
      </w:pPr>
    </w:p>
    <w:p w14:paraId="4D3DBF0F" w14:textId="77777777" w:rsidR="006B7F7C" w:rsidRPr="00517162" w:rsidRDefault="006B7F7C" w:rsidP="006B7F7C">
      <w:pPr>
        <w:spacing w:line="480" w:lineRule="auto"/>
        <w:jc w:val="both"/>
        <w:rPr>
          <w:rFonts w:ascii="Times New Roman" w:hAnsi="Times New Roman" w:cs="Times New Roman"/>
          <w:sz w:val="24"/>
          <w:szCs w:val="24"/>
        </w:rPr>
      </w:pPr>
    </w:p>
    <w:p w14:paraId="6B28ECE1"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noProof/>
        </w:rPr>
        <w:drawing>
          <wp:inline distT="0" distB="0" distL="0" distR="0" wp14:anchorId="270365C9" wp14:editId="4864996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147631" w14:textId="77777777" w:rsidR="00A14C91"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Figure 4. months vs average price</w:t>
      </w:r>
    </w:p>
    <w:p w14:paraId="6A0731B5" w14:textId="77777777" w:rsidR="006B7F7C" w:rsidRDefault="006B7F7C" w:rsidP="00A14C91">
      <w:pPr>
        <w:spacing w:line="480" w:lineRule="auto"/>
        <w:ind w:firstLine="720"/>
        <w:rPr>
          <w:rFonts w:ascii="Times New Roman" w:hAnsi="Times New Roman" w:cs="Times New Roman"/>
          <w:sz w:val="24"/>
          <w:szCs w:val="24"/>
        </w:rPr>
      </w:pPr>
    </w:p>
    <w:p w14:paraId="09095D83" w14:textId="77777777" w:rsidR="006B7F7C" w:rsidRPr="00517162" w:rsidRDefault="006B7F7C" w:rsidP="00A14C91">
      <w:pPr>
        <w:spacing w:line="480" w:lineRule="auto"/>
        <w:ind w:firstLine="720"/>
        <w:rPr>
          <w:rFonts w:ascii="Times New Roman" w:hAnsi="Times New Roman" w:cs="Times New Roman"/>
          <w:sz w:val="24"/>
          <w:szCs w:val="24"/>
        </w:rPr>
      </w:pPr>
    </w:p>
    <w:p w14:paraId="5806F26B" w14:textId="77777777" w:rsidR="00A14C91" w:rsidRPr="00517162"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lastRenderedPageBreak/>
        <w:t>The average price of hotel reservations is assumed to vary with the number of special requests that a guests might have. The special requests in the dataset vary from none to five. The figure below is an illustration of the varying hotel reservations prices all through the years of the study. According to the first two years, 2017 and 2018, the hotel reservation prices increases with increase in number of special requests. This is noticed with the subtle pattern set in the first two years as illustrated in the column chart below.</w:t>
      </w:r>
    </w:p>
    <w:p w14:paraId="1D8ECAB1"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noProof/>
        </w:rPr>
        <w:drawing>
          <wp:inline distT="0" distB="0" distL="0" distR="0" wp14:anchorId="565CD96E" wp14:editId="430E3DD5">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029749" w14:textId="77777777" w:rsidR="00A14C91"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Figure 5. number of special requests vs average price</w:t>
      </w:r>
    </w:p>
    <w:p w14:paraId="2B932507" w14:textId="77777777" w:rsidR="006B7F7C" w:rsidRDefault="006B7F7C" w:rsidP="00A14C91">
      <w:pPr>
        <w:spacing w:line="480" w:lineRule="auto"/>
        <w:ind w:firstLine="720"/>
        <w:rPr>
          <w:rFonts w:ascii="Times New Roman" w:hAnsi="Times New Roman" w:cs="Times New Roman"/>
          <w:sz w:val="24"/>
          <w:szCs w:val="24"/>
        </w:rPr>
      </w:pPr>
    </w:p>
    <w:p w14:paraId="7102F4D8" w14:textId="77777777" w:rsidR="006B7F7C" w:rsidRDefault="006B7F7C" w:rsidP="00A14C91">
      <w:pPr>
        <w:spacing w:line="480" w:lineRule="auto"/>
        <w:ind w:firstLine="720"/>
        <w:rPr>
          <w:rFonts w:ascii="Times New Roman" w:hAnsi="Times New Roman" w:cs="Times New Roman"/>
          <w:sz w:val="24"/>
          <w:szCs w:val="24"/>
        </w:rPr>
      </w:pPr>
    </w:p>
    <w:p w14:paraId="2895FA11" w14:textId="77777777" w:rsidR="006B7F7C" w:rsidRDefault="006B7F7C" w:rsidP="00A14C91">
      <w:pPr>
        <w:spacing w:line="480" w:lineRule="auto"/>
        <w:ind w:firstLine="720"/>
        <w:rPr>
          <w:rFonts w:ascii="Times New Roman" w:hAnsi="Times New Roman" w:cs="Times New Roman"/>
          <w:sz w:val="24"/>
          <w:szCs w:val="24"/>
        </w:rPr>
      </w:pPr>
    </w:p>
    <w:p w14:paraId="51D59466" w14:textId="77777777" w:rsidR="006B7F7C" w:rsidRDefault="006B7F7C" w:rsidP="00A14C91">
      <w:pPr>
        <w:spacing w:line="480" w:lineRule="auto"/>
        <w:ind w:firstLine="720"/>
        <w:rPr>
          <w:rFonts w:ascii="Times New Roman" w:hAnsi="Times New Roman" w:cs="Times New Roman"/>
          <w:sz w:val="24"/>
          <w:szCs w:val="24"/>
        </w:rPr>
      </w:pPr>
    </w:p>
    <w:p w14:paraId="7BED166C" w14:textId="77777777" w:rsidR="006B7F7C" w:rsidRPr="00517162" w:rsidRDefault="006B7F7C" w:rsidP="00A14C91">
      <w:pPr>
        <w:spacing w:line="480" w:lineRule="auto"/>
        <w:ind w:firstLine="720"/>
        <w:rPr>
          <w:rFonts w:ascii="Times New Roman" w:hAnsi="Times New Roman" w:cs="Times New Roman"/>
          <w:sz w:val="24"/>
          <w:szCs w:val="24"/>
        </w:rPr>
      </w:pPr>
    </w:p>
    <w:p w14:paraId="20727ABA" w14:textId="77777777" w:rsidR="00A14C91"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lastRenderedPageBreak/>
        <w:t xml:space="preserve">There are five market types that hotel reservations are completed with, these include offline, online, corporate, aviation and complementary. There is a difference in the average price of the booking across all these five market types. This is shown in the table below. </w:t>
      </w:r>
    </w:p>
    <w:p w14:paraId="2AB38745" w14:textId="77777777" w:rsidR="006B7F7C" w:rsidRPr="00517162" w:rsidRDefault="006B7F7C" w:rsidP="00A14C91">
      <w:pPr>
        <w:spacing w:line="480" w:lineRule="auto"/>
        <w:ind w:firstLine="720"/>
        <w:jc w:val="both"/>
        <w:rPr>
          <w:rFonts w:ascii="Times New Roman" w:hAnsi="Times New Roman" w:cs="Times New Roman"/>
          <w:sz w:val="24"/>
          <w:szCs w:val="24"/>
        </w:rPr>
      </w:pPr>
    </w:p>
    <w:p w14:paraId="62DAF5AE"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t>Table 3. Market type vs Average price</w:t>
      </w:r>
    </w:p>
    <w:p w14:paraId="050FF253"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noProof/>
        </w:rPr>
        <w:drawing>
          <wp:inline distT="0" distB="0" distL="0" distR="0" wp14:anchorId="1466EB4C" wp14:editId="4B5D910F">
            <wp:extent cx="5943600" cy="1211291"/>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211291"/>
                    </a:xfrm>
                    <a:prstGeom prst="rect">
                      <a:avLst/>
                    </a:prstGeom>
                    <a:noFill/>
                    <a:ln>
                      <a:noFill/>
                    </a:ln>
                  </pic:spPr>
                </pic:pic>
              </a:graphicData>
            </a:graphic>
          </wp:inline>
        </w:drawing>
      </w:r>
    </w:p>
    <w:p w14:paraId="4FD01306" w14:textId="77777777" w:rsidR="00A14C91" w:rsidRPr="00517162"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information in the table above is represented in the figure below. The average price is noticed to be significantly highest for the online market type and lowest for the complementary market type all through from 2017 to 2021. </w:t>
      </w:r>
    </w:p>
    <w:p w14:paraId="7C76A1D8"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noProof/>
        </w:rPr>
        <w:drawing>
          <wp:inline distT="0" distB="0" distL="0" distR="0" wp14:anchorId="5F92CD1B" wp14:editId="1DD36ACA">
            <wp:extent cx="462915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2BE569"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Figure 6. market type vs average price</w:t>
      </w:r>
    </w:p>
    <w:p w14:paraId="250CD66C" w14:textId="77777777" w:rsidR="00A14C91"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lastRenderedPageBreak/>
        <w:t xml:space="preserve">In conclusion, there are several variables in the dataset that affect the average hotel reservation price. For instance, the average hotel reservation price is noticed to be highest during the third quarter if the year and lowest during the first and the last quarters of the year. Therefore, the calendar month is considered as an important factor that affects the average hotel reservation price. The number of special requests is also concluded as a factor that determines the general price of a hotel reservation as illustrated from the dataset. The graphical presentation shows that hotel reservation prices are directly proportional with the average hotel reservation price. The price is seen to be highest as the number of special requests from a guest in the hotel are seen to increase. The pattern is repeated from 2017 to 2021. Analysis also concludes, although obvious, that the average price of a hotel reservation increases with the number of adults. The hotel might charge higher prices when more adult guests’ book for a reservation than when few book for a reservation with them. Similarly, the market type is a variable that determines the average price of a hotel reservation. From the chart above, it can be noticed that the price is highest for online reservations than for other market types. The pattern is noticed all through the four years, from 2017 to 2021. </w:t>
      </w:r>
    </w:p>
    <w:p w14:paraId="07D42D82" w14:textId="77777777" w:rsidR="006B7F7C" w:rsidRDefault="006B7F7C" w:rsidP="00A14C91">
      <w:pPr>
        <w:spacing w:line="480" w:lineRule="auto"/>
        <w:ind w:firstLine="720"/>
        <w:jc w:val="both"/>
        <w:rPr>
          <w:rFonts w:ascii="Times New Roman" w:hAnsi="Times New Roman" w:cs="Times New Roman"/>
          <w:sz w:val="24"/>
          <w:szCs w:val="24"/>
        </w:rPr>
      </w:pPr>
    </w:p>
    <w:p w14:paraId="1A2979D1" w14:textId="77777777" w:rsidR="006B7F7C" w:rsidRDefault="006B7F7C" w:rsidP="00A14C91">
      <w:pPr>
        <w:spacing w:line="480" w:lineRule="auto"/>
        <w:ind w:firstLine="720"/>
        <w:jc w:val="both"/>
        <w:rPr>
          <w:rFonts w:ascii="Times New Roman" w:hAnsi="Times New Roman" w:cs="Times New Roman"/>
          <w:sz w:val="24"/>
          <w:szCs w:val="24"/>
        </w:rPr>
      </w:pPr>
    </w:p>
    <w:p w14:paraId="73584C1A" w14:textId="77777777" w:rsidR="006B7F7C" w:rsidRDefault="006B7F7C" w:rsidP="00A14C91">
      <w:pPr>
        <w:spacing w:line="480" w:lineRule="auto"/>
        <w:ind w:firstLine="720"/>
        <w:jc w:val="both"/>
        <w:rPr>
          <w:rFonts w:ascii="Times New Roman" w:hAnsi="Times New Roman" w:cs="Times New Roman"/>
          <w:sz w:val="24"/>
          <w:szCs w:val="24"/>
        </w:rPr>
      </w:pPr>
    </w:p>
    <w:p w14:paraId="67CA82A2" w14:textId="77777777" w:rsidR="006B7F7C" w:rsidRDefault="006B7F7C" w:rsidP="00A14C91">
      <w:pPr>
        <w:spacing w:line="480" w:lineRule="auto"/>
        <w:ind w:firstLine="720"/>
        <w:jc w:val="both"/>
        <w:rPr>
          <w:rFonts w:ascii="Times New Roman" w:hAnsi="Times New Roman" w:cs="Times New Roman"/>
          <w:sz w:val="24"/>
          <w:szCs w:val="24"/>
        </w:rPr>
      </w:pPr>
    </w:p>
    <w:p w14:paraId="7D4BF132" w14:textId="77777777" w:rsidR="006B7F7C" w:rsidRDefault="006B7F7C" w:rsidP="00A14C91">
      <w:pPr>
        <w:spacing w:line="480" w:lineRule="auto"/>
        <w:ind w:firstLine="720"/>
        <w:jc w:val="both"/>
        <w:rPr>
          <w:rFonts w:ascii="Times New Roman" w:hAnsi="Times New Roman" w:cs="Times New Roman"/>
          <w:sz w:val="24"/>
          <w:szCs w:val="24"/>
        </w:rPr>
      </w:pPr>
    </w:p>
    <w:p w14:paraId="3BD3D212" w14:textId="77777777" w:rsidR="006B7F7C" w:rsidRDefault="006B7F7C" w:rsidP="00A14C91">
      <w:pPr>
        <w:spacing w:line="480" w:lineRule="auto"/>
        <w:ind w:firstLine="720"/>
        <w:jc w:val="both"/>
        <w:rPr>
          <w:rFonts w:ascii="Times New Roman" w:hAnsi="Times New Roman" w:cs="Times New Roman"/>
          <w:sz w:val="24"/>
          <w:szCs w:val="24"/>
        </w:rPr>
      </w:pPr>
    </w:p>
    <w:p w14:paraId="49CEA2CC" w14:textId="77777777" w:rsidR="006B7F7C" w:rsidRPr="00517162" w:rsidRDefault="006B7F7C" w:rsidP="00A14C91">
      <w:pPr>
        <w:spacing w:line="480" w:lineRule="auto"/>
        <w:ind w:firstLine="720"/>
        <w:jc w:val="both"/>
        <w:rPr>
          <w:rFonts w:ascii="Times New Roman" w:hAnsi="Times New Roman" w:cs="Times New Roman"/>
          <w:sz w:val="24"/>
          <w:szCs w:val="24"/>
        </w:rPr>
      </w:pPr>
    </w:p>
    <w:p w14:paraId="788AA8A6" w14:textId="77777777" w:rsidR="00A14C91" w:rsidRPr="00517162" w:rsidRDefault="00A14C91" w:rsidP="00A14C91">
      <w:pPr>
        <w:pStyle w:val="Heading1"/>
        <w:jc w:val="center"/>
        <w:rPr>
          <w:rFonts w:ascii="Times New Roman" w:hAnsi="Times New Roman" w:cs="Times New Roman"/>
          <w:color w:val="auto"/>
        </w:rPr>
      </w:pPr>
      <w:r w:rsidRPr="00517162">
        <w:rPr>
          <w:rFonts w:ascii="Times New Roman" w:hAnsi="Times New Roman" w:cs="Times New Roman"/>
          <w:color w:val="auto"/>
        </w:rPr>
        <w:lastRenderedPageBreak/>
        <w:t>Part 2</w:t>
      </w:r>
    </w:p>
    <w:p w14:paraId="7A74EA14"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 xml:space="preserve">The student score dataset contains information about 2133 students and their pretest and posttest scores. The variables in the dataset include the students’ gender, teaching method a student is taken through, and a variable indicating whether a student qualifies for a reduced/free lunch or not. The main purpose of the analysis in this paper is to compare the results of the students based on their gender and based on the </w:t>
      </w:r>
      <w:r w:rsidRPr="00517162">
        <w:rPr>
          <w:rFonts w:ascii="Times New Roman" w:hAnsi="Times New Roman" w:cs="Times New Roman"/>
          <w:i/>
          <w:sz w:val="24"/>
          <w:szCs w:val="24"/>
        </w:rPr>
        <w:t xml:space="preserve">Lunch </w:t>
      </w:r>
      <w:r w:rsidRPr="00517162">
        <w:rPr>
          <w:rFonts w:ascii="Times New Roman" w:hAnsi="Times New Roman" w:cs="Times New Roman"/>
          <w:sz w:val="24"/>
          <w:szCs w:val="24"/>
        </w:rPr>
        <w:t>variable. There is need to analyze whether students’ results in the pretest and posttest scores varies between the two groups. The following are the hypothesis of the study;</w:t>
      </w:r>
    </w:p>
    <w:p w14:paraId="7244F22E" w14:textId="77777777" w:rsidR="00A14C91" w:rsidRPr="00517162" w:rsidRDefault="00A14C91" w:rsidP="00A14C91">
      <w:pPr>
        <w:spacing w:line="480" w:lineRule="auto"/>
        <w:rPr>
          <w:rFonts w:ascii="Times New Roman" w:hAnsi="Times New Roman" w:cs="Times New Roman"/>
          <w:b/>
          <w:bCs/>
          <w:sz w:val="24"/>
          <w:szCs w:val="24"/>
        </w:rPr>
      </w:pPr>
      <w:r w:rsidRPr="00517162">
        <w:rPr>
          <w:rFonts w:ascii="Times New Roman" w:hAnsi="Times New Roman" w:cs="Times New Roman"/>
          <w:b/>
          <w:bCs/>
          <w:sz w:val="24"/>
          <w:szCs w:val="24"/>
        </w:rPr>
        <w:t>Part a</w:t>
      </w:r>
    </w:p>
    <w:p w14:paraId="5A0BC4B9"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t>Null Hypothesis; there is no significant difference between the test scores of the males and females.</w:t>
      </w:r>
    </w:p>
    <w:p w14:paraId="1086CA59"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t>Alternative hypothesis; there is no significant difference between the test scores of the males and females.</w:t>
      </w:r>
    </w:p>
    <w:p w14:paraId="1E0D6358" w14:textId="77777777" w:rsidR="00A14C91" w:rsidRPr="00517162" w:rsidRDefault="00A14C91" w:rsidP="00A14C91">
      <w:pPr>
        <w:spacing w:line="480" w:lineRule="auto"/>
        <w:rPr>
          <w:rFonts w:ascii="Times New Roman" w:hAnsi="Times New Roman" w:cs="Times New Roman"/>
          <w:b/>
          <w:bCs/>
          <w:sz w:val="24"/>
          <w:szCs w:val="24"/>
        </w:rPr>
      </w:pPr>
      <w:r w:rsidRPr="00517162">
        <w:rPr>
          <w:rFonts w:ascii="Times New Roman" w:hAnsi="Times New Roman" w:cs="Times New Roman"/>
          <w:b/>
          <w:bCs/>
          <w:sz w:val="24"/>
          <w:szCs w:val="24"/>
        </w:rPr>
        <w:t>Part b</w:t>
      </w:r>
    </w:p>
    <w:p w14:paraId="02A8E47D"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t xml:space="preserve">Null Hypothesis; there is no significant difference between the test scores of the students that qualify for reduced/free lunch and those that do not. </w:t>
      </w:r>
    </w:p>
    <w:p w14:paraId="245247C2"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t xml:space="preserve">Alternative hypothesis; there is no significant difference between the test scores of the students that qualify for reduced/free lunch and those that do not. </w:t>
      </w:r>
    </w:p>
    <w:p w14:paraId="0397A7BD" w14:textId="77777777" w:rsidR="00A14C91" w:rsidRPr="00517162" w:rsidRDefault="00A14C91" w:rsidP="00A14C91">
      <w:pPr>
        <w:spacing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tables and graphs, generated using SPSS, offer data visualization of the dataset. There are 2133 observations in the dataset and a number of variables. Of the students 50.5% (1077) are males and 40.5% (1056) are females. </w:t>
      </w:r>
    </w:p>
    <w:p w14:paraId="6C0AA1FF" w14:textId="77777777" w:rsidR="00A14C91" w:rsidRPr="00517162" w:rsidRDefault="00A14C91" w:rsidP="00A14C91">
      <w:pPr>
        <w:spacing w:line="480" w:lineRule="auto"/>
        <w:rPr>
          <w:rFonts w:ascii="Times New Roman" w:hAnsi="Times New Roman" w:cs="Times New Roman"/>
          <w:sz w:val="24"/>
          <w:szCs w:val="24"/>
        </w:rPr>
      </w:pPr>
      <w:r w:rsidRPr="00517162">
        <w:rPr>
          <w:rFonts w:ascii="Times New Roman" w:hAnsi="Times New Roman" w:cs="Times New Roman"/>
          <w:sz w:val="24"/>
          <w:szCs w:val="24"/>
        </w:rPr>
        <w:lastRenderedPageBreak/>
        <w:t xml:space="preserve">Table. Gender frequencies </w:t>
      </w: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A14C91" w:rsidRPr="00517162" w14:paraId="638DEA70" w14:textId="77777777" w:rsidTr="0090224C">
        <w:trPr>
          <w:cantSplit/>
        </w:trPr>
        <w:tc>
          <w:tcPr>
            <w:tcW w:w="6712" w:type="dxa"/>
            <w:gridSpan w:val="6"/>
            <w:tcBorders>
              <w:top w:val="nil"/>
              <w:left w:val="nil"/>
              <w:bottom w:val="nil"/>
              <w:right w:val="nil"/>
            </w:tcBorders>
            <w:shd w:val="clear" w:color="auto" w:fill="FFFFFF"/>
            <w:vAlign w:val="center"/>
          </w:tcPr>
          <w:p w14:paraId="6EF5B782"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Gender</w:t>
            </w:r>
          </w:p>
        </w:tc>
      </w:tr>
      <w:tr w:rsidR="00A14C91" w:rsidRPr="00517162" w14:paraId="477DA32E" w14:textId="77777777" w:rsidTr="0090224C">
        <w:trPr>
          <w:cantSplit/>
        </w:trPr>
        <w:tc>
          <w:tcPr>
            <w:tcW w:w="1667" w:type="dxa"/>
            <w:gridSpan w:val="2"/>
            <w:tcBorders>
              <w:top w:val="nil"/>
              <w:left w:val="nil"/>
              <w:bottom w:val="single" w:sz="8" w:space="0" w:color="152935"/>
              <w:right w:val="nil"/>
            </w:tcBorders>
            <w:shd w:val="clear" w:color="auto" w:fill="FFFFFF"/>
            <w:vAlign w:val="bottom"/>
          </w:tcPr>
          <w:p w14:paraId="5667C066"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654CF09B"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3B74532"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38E675AB"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7C3CE72D"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Cumulative Percent</w:t>
            </w:r>
          </w:p>
        </w:tc>
      </w:tr>
      <w:tr w:rsidR="00A14C91" w:rsidRPr="00517162" w14:paraId="6406AED1" w14:textId="77777777" w:rsidTr="0090224C">
        <w:trPr>
          <w:cantSplit/>
        </w:trPr>
        <w:tc>
          <w:tcPr>
            <w:tcW w:w="734" w:type="dxa"/>
            <w:vMerge w:val="restart"/>
            <w:tcBorders>
              <w:top w:val="single" w:sz="8" w:space="0" w:color="152935"/>
              <w:left w:val="nil"/>
              <w:bottom w:val="single" w:sz="8" w:space="0" w:color="152935"/>
              <w:right w:val="nil"/>
            </w:tcBorders>
            <w:shd w:val="clear" w:color="auto" w:fill="E0E0E0"/>
          </w:tcPr>
          <w:p w14:paraId="39EA030A"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14:paraId="61835C9D"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0784E5E7"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07493DB"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358F03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49.5</w:t>
            </w:r>
          </w:p>
        </w:tc>
        <w:tc>
          <w:tcPr>
            <w:tcW w:w="1468" w:type="dxa"/>
            <w:tcBorders>
              <w:top w:val="single" w:sz="8" w:space="0" w:color="152935"/>
              <w:left w:val="single" w:sz="8" w:space="0" w:color="E0E0E0"/>
              <w:bottom w:val="single" w:sz="8" w:space="0" w:color="AEAEAE"/>
              <w:right w:val="nil"/>
            </w:tcBorders>
            <w:shd w:val="clear" w:color="auto" w:fill="FFFFFF"/>
          </w:tcPr>
          <w:p w14:paraId="6604DFB2"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49.5</w:t>
            </w:r>
          </w:p>
        </w:tc>
      </w:tr>
      <w:tr w:rsidR="00A14C91" w:rsidRPr="00517162" w14:paraId="07877F11" w14:textId="77777777" w:rsidTr="0090224C">
        <w:trPr>
          <w:cantSplit/>
        </w:trPr>
        <w:tc>
          <w:tcPr>
            <w:tcW w:w="734" w:type="dxa"/>
            <w:vMerge/>
            <w:tcBorders>
              <w:top w:val="single" w:sz="8" w:space="0" w:color="152935"/>
              <w:left w:val="nil"/>
              <w:bottom w:val="single" w:sz="8" w:space="0" w:color="152935"/>
              <w:right w:val="nil"/>
            </w:tcBorders>
            <w:shd w:val="clear" w:color="auto" w:fill="E0E0E0"/>
          </w:tcPr>
          <w:p w14:paraId="6F6D6B21"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53B3BDB5"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Male</w:t>
            </w:r>
          </w:p>
        </w:tc>
        <w:tc>
          <w:tcPr>
            <w:tcW w:w="1162" w:type="dxa"/>
            <w:tcBorders>
              <w:top w:val="single" w:sz="8" w:space="0" w:color="AEAEAE"/>
              <w:left w:val="nil"/>
              <w:bottom w:val="single" w:sz="8" w:space="0" w:color="AEAEAE"/>
              <w:right w:val="single" w:sz="8" w:space="0" w:color="E0E0E0"/>
            </w:tcBorders>
            <w:shd w:val="clear" w:color="auto" w:fill="FFFFFF"/>
          </w:tcPr>
          <w:p w14:paraId="3181B82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8834DA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0468EBB"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50.5</w:t>
            </w:r>
          </w:p>
        </w:tc>
        <w:tc>
          <w:tcPr>
            <w:tcW w:w="1468" w:type="dxa"/>
            <w:tcBorders>
              <w:top w:val="single" w:sz="8" w:space="0" w:color="AEAEAE"/>
              <w:left w:val="single" w:sz="8" w:space="0" w:color="E0E0E0"/>
              <w:bottom w:val="single" w:sz="8" w:space="0" w:color="AEAEAE"/>
              <w:right w:val="nil"/>
            </w:tcBorders>
            <w:shd w:val="clear" w:color="auto" w:fill="FFFFFF"/>
          </w:tcPr>
          <w:p w14:paraId="6DDE62F7"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100.0</w:t>
            </w:r>
          </w:p>
        </w:tc>
      </w:tr>
      <w:tr w:rsidR="00A14C91" w:rsidRPr="00517162" w14:paraId="27F5D95E" w14:textId="77777777" w:rsidTr="0090224C">
        <w:trPr>
          <w:cantSplit/>
        </w:trPr>
        <w:tc>
          <w:tcPr>
            <w:tcW w:w="734" w:type="dxa"/>
            <w:vMerge/>
            <w:tcBorders>
              <w:top w:val="single" w:sz="8" w:space="0" w:color="152935"/>
              <w:left w:val="nil"/>
              <w:bottom w:val="single" w:sz="8" w:space="0" w:color="152935"/>
              <w:right w:val="nil"/>
            </w:tcBorders>
            <w:shd w:val="clear" w:color="auto" w:fill="E0E0E0"/>
          </w:tcPr>
          <w:p w14:paraId="742260DA"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933" w:type="dxa"/>
            <w:tcBorders>
              <w:top w:val="single" w:sz="8" w:space="0" w:color="AEAEAE"/>
              <w:left w:val="nil"/>
              <w:bottom w:val="single" w:sz="8" w:space="0" w:color="152935"/>
              <w:right w:val="nil"/>
            </w:tcBorders>
            <w:shd w:val="clear" w:color="auto" w:fill="E0E0E0"/>
          </w:tcPr>
          <w:p w14:paraId="65EA7571"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6EA85FC4"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C6EDBB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53F0AD1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532E0800"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bl>
    <w:p w14:paraId="1DA0BE2C"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3AAC5B5A"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noProof/>
          <w:sz w:val="24"/>
          <w:szCs w:val="24"/>
        </w:rPr>
        <w:drawing>
          <wp:inline distT="0" distB="0" distL="0" distR="0" wp14:anchorId="52B48306" wp14:editId="72136D7F">
            <wp:extent cx="4362450" cy="2565736"/>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74918" cy="2573069"/>
                    </a:xfrm>
                    <a:prstGeom prst="rect">
                      <a:avLst/>
                    </a:prstGeom>
                    <a:noFill/>
                    <a:ln>
                      <a:noFill/>
                    </a:ln>
                  </pic:spPr>
                </pic:pic>
              </a:graphicData>
            </a:graphic>
          </wp:inline>
        </w:drawing>
      </w:r>
    </w:p>
    <w:p w14:paraId="01395C79"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p>
    <w:p w14:paraId="109D3A18"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table and the bar chart below represent the </w:t>
      </w:r>
      <w:r w:rsidRPr="00517162">
        <w:rPr>
          <w:rFonts w:ascii="Times New Roman" w:hAnsi="Times New Roman" w:cs="Times New Roman"/>
          <w:i/>
          <w:sz w:val="24"/>
          <w:szCs w:val="24"/>
        </w:rPr>
        <w:t xml:space="preserve">Lunch </w:t>
      </w:r>
      <w:r w:rsidRPr="00517162">
        <w:rPr>
          <w:rFonts w:ascii="Times New Roman" w:hAnsi="Times New Roman" w:cs="Times New Roman"/>
          <w:sz w:val="24"/>
          <w:szCs w:val="24"/>
        </w:rPr>
        <w:t xml:space="preserve">variable in the dataset. 1215 students (57%) do not qualify for free/Reduced lunch while 918 (43%) qualify for the same. </w:t>
      </w:r>
    </w:p>
    <w:p w14:paraId="7ACA5DAB" w14:textId="77777777" w:rsidR="00A14C91" w:rsidRPr="00517162" w:rsidRDefault="00A14C91" w:rsidP="00A14C91">
      <w:pPr>
        <w:autoSpaceDE w:val="0"/>
        <w:autoSpaceDN w:val="0"/>
        <w:adjustRightInd w:val="0"/>
        <w:spacing w:after="0" w:line="480" w:lineRule="auto"/>
        <w:rPr>
          <w:rFonts w:ascii="Times New Roman" w:hAnsi="Times New Roman" w:cs="Times New Roman"/>
          <w:sz w:val="24"/>
          <w:szCs w:val="24"/>
        </w:rPr>
      </w:pPr>
    </w:p>
    <w:p w14:paraId="4078623E" w14:textId="77777777" w:rsidR="00A14C91" w:rsidRPr="00517162" w:rsidRDefault="00A14C91" w:rsidP="00A14C91">
      <w:pPr>
        <w:autoSpaceDE w:val="0"/>
        <w:autoSpaceDN w:val="0"/>
        <w:adjustRightInd w:val="0"/>
        <w:spacing w:after="0" w:line="480" w:lineRule="auto"/>
        <w:rPr>
          <w:rFonts w:ascii="Times New Roman" w:hAnsi="Times New Roman" w:cs="Times New Roman"/>
          <w:sz w:val="24"/>
          <w:szCs w:val="24"/>
        </w:rPr>
      </w:pPr>
    </w:p>
    <w:p w14:paraId="655DC328"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sz w:val="24"/>
          <w:szCs w:val="24"/>
        </w:rPr>
        <w:t>Table. Lunch variable frequency</w:t>
      </w:r>
    </w:p>
    <w:p w14:paraId="5914BF2E"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A14C91" w:rsidRPr="00517162" w14:paraId="2375A865" w14:textId="77777777" w:rsidTr="0090224C">
        <w:trPr>
          <w:cantSplit/>
        </w:trPr>
        <w:tc>
          <w:tcPr>
            <w:tcW w:w="8226" w:type="dxa"/>
            <w:gridSpan w:val="6"/>
            <w:tcBorders>
              <w:top w:val="nil"/>
              <w:left w:val="nil"/>
              <w:bottom w:val="nil"/>
              <w:right w:val="nil"/>
            </w:tcBorders>
            <w:shd w:val="clear" w:color="auto" w:fill="FFFFFF"/>
            <w:vAlign w:val="center"/>
          </w:tcPr>
          <w:p w14:paraId="0BF725E6"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Lunch</w:t>
            </w:r>
          </w:p>
        </w:tc>
      </w:tr>
      <w:tr w:rsidR="00A14C91" w:rsidRPr="00517162" w14:paraId="7C363EFD" w14:textId="77777777" w:rsidTr="0090224C">
        <w:trPr>
          <w:cantSplit/>
        </w:trPr>
        <w:tc>
          <w:tcPr>
            <w:tcW w:w="3181" w:type="dxa"/>
            <w:gridSpan w:val="2"/>
            <w:tcBorders>
              <w:top w:val="nil"/>
              <w:left w:val="nil"/>
              <w:bottom w:val="single" w:sz="8" w:space="0" w:color="152935"/>
              <w:right w:val="nil"/>
            </w:tcBorders>
            <w:shd w:val="clear" w:color="auto" w:fill="FFFFFF"/>
            <w:vAlign w:val="bottom"/>
          </w:tcPr>
          <w:p w14:paraId="73C9FB3D"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26B8371E"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427395E"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FD078DA"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2BB93BC2"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Cumulative Percent</w:t>
            </w:r>
          </w:p>
        </w:tc>
      </w:tr>
      <w:tr w:rsidR="00A14C91" w:rsidRPr="00517162" w14:paraId="0B34BF04" w14:textId="77777777" w:rsidTr="0090224C">
        <w:trPr>
          <w:cantSplit/>
        </w:trPr>
        <w:tc>
          <w:tcPr>
            <w:tcW w:w="734" w:type="dxa"/>
            <w:vMerge w:val="restart"/>
            <w:tcBorders>
              <w:top w:val="single" w:sz="8" w:space="0" w:color="152935"/>
              <w:left w:val="nil"/>
              <w:bottom w:val="single" w:sz="8" w:space="0" w:color="152935"/>
              <w:right w:val="nil"/>
            </w:tcBorders>
            <w:shd w:val="clear" w:color="auto" w:fill="E0E0E0"/>
          </w:tcPr>
          <w:p w14:paraId="481B74FC"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6063B1CD"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6BA8DF89"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8947159"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01CD3070"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37C7E8A4"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57.0</w:t>
            </w:r>
          </w:p>
        </w:tc>
      </w:tr>
      <w:tr w:rsidR="00A14C91" w:rsidRPr="00517162" w14:paraId="3DBA10E2" w14:textId="77777777" w:rsidTr="0090224C">
        <w:trPr>
          <w:cantSplit/>
        </w:trPr>
        <w:tc>
          <w:tcPr>
            <w:tcW w:w="734" w:type="dxa"/>
            <w:vMerge/>
            <w:tcBorders>
              <w:top w:val="single" w:sz="8" w:space="0" w:color="152935"/>
              <w:left w:val="nil"/>
              <w:bottom w:val="single" w:sz="8" w:space="0" w:color="152935"/>
              <w:right w:val="nil"/>
            </w:tcBorders>
            <w:shd w:val="clear" w:color="auto" w:fill="E0E0E0"/>
          </w:tcPr>
          <w:p w14:paraId="0190A1FF"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24A3673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2BBA751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B2A610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3D9738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18317DF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100.0</w:t>
            </w:r>
          </w:p>
        </w:tc>
      </w:tr>
      <w:tr w:rsidR="00A14C91" w:rsidRPr="00517162" w14:paraId="176F4879" w14:textId="77777777" w:rsidTr="0090224C">
        <w:trPr>
          <w:cantSplit/>
        </w:trPr>
        <w:tc>
          <w:tcPr>
            <w:tcW w:w="734" w:type="dxa"/>
            <w:vMerge/>
            <w:tcBorders>
              <w:top w:val="single" w:sz="8" w:space="0" w:color="152935"/>
              <w:left w:val="nil"/>
              <w:bottom w:val="single" w:sz="8" w:space="0" w:color="152935"/>
              <w:right w:val="nil"/>
            </w:tcBorders>
            <w:shd w:val="clear" w:color="auto" w:fill="E0E0E0"/>
          </w:tcPr>
          <w:p w14:paraId="26268D60"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300A60CF"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930C33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EBEAD0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7402179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F50523B"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bl>
    <w:p w14:paraId="233C15C9"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531C92F7"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noProof/>
          <w:sz w:val="24"/>
          <w:szCs w:val="24"/>
        </w:rPr>
        <w:lastRenderedPageBreak/>
        <w:drawing>
          <wp:inline distT="0" distB="0" distL="0" distR="0" wp14:anchorId="6E5C85B0" wp14:editId="6E81A825">
            <wp:extent cx="4981575" cy="2929869"/>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2350" cy="2936206"/>
                    </a:xfrm>
                    <a:prstGeom prst="rect">
                      <a:avLst/>
                    </a:prstGeom>
                    <a:noFill/>
                    <a:ln>
                      <a:noFill/>
                    </a:ln>
                  </pic:spPr>
                </pic:pic>
              </a:graphicData>
            </a:graphic>
          </wp:inline>
        </w:drawing>
      </w:r>
    </w:p>
    <w:p w14:paraId="0A3EEA7F"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p>
    <w:p w14:paraId="2AB6B8AB"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table shows the descriptive statistics of the pretest and posttest variables in the dataset. The average score in the pretest and post-test scores are 54.96 and 67.10 respectively. </w:t>
      </w:r>
    </w:p>
    <w:p w14:paraId="3ED74A3E"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sz w:val="24"/>
          <w:szCs w:val="24"/>
        </w:rPr>
        <w:t xml:space="preserve">Table. descriptive statistics of the pretest and posttest scores </w:t>
      </w:r>
    </w:p>
    <w:tbl>
      <w:tblPr>
        <w:tblW w:w="73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1024"/>
        <w:gridCol w:w="1071"/>
        <w:gridCol w:w="1102"/>
        <w:gridCol w:w="1025"/>
        <w:gridCol w:w="1438"/>
      </w:tblGrid>
      <w:tr w:rsidR="00A14C91" w:rsidRPr="00517162" w14:paraId="3A9BEA49" w14:textId="77777777" w:rsidTr="0090224C">
        <w:trPr>
          <w:cantSplit/>
        </w:trPr>
        <w:tc>
          <w:tcPr>
            <w:tcW w:w="7354" w:type="dxa"/>
            <w:gridSpan w:val="6"/>
            <w:tcBorders>
              <w:top w:val="nil"/>
              <w:left w:val="nil"/>
              <w:bottom w:val="nil"/>
              <w:right w:val="nil"/>
            </w:tcBorders>
            <w:shd w:val="clear" w:color="auto" w:fill="FFFFFF"/>
            <w:vAlign w:val="center"/>
          </w:tcPr>
          <w:p w14:paraId="6448095C"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Descriptive Statistics</w:t>
            </w:r>
          </w:p>
        </w:tc>
      </w:tr>
      <w:tr w:rsidR="00A14C91" w:rsidRPr="00517162" w14:paraId="0C8E24D4" w14:textId="77777777" w:rsidTr="0090224C">
        <w:trPr>
          <w:cantSplit/>
        </w:trPr>
        <w:tc>
          <w:tcPr>
            <w:tcW w:w="1698" w:type="dxa"/>
            <w:tcBorders>
              <w:top w:val="nil"/>
              <w:left w:val="nil"/>
              <w:bottom w:val="single" w:sz="8" w:space="0" w:color="152935"/>
              <w:right w:val="nil"/>
            </w:tcBorders>
            <w:shd w:val="clear" w:color="auto" w:fill="FFFFFF"/>
            <w:vAlign w:val="bottom"/>
          </w:tcPr>
          <w:p w14:paraId="0A77C086"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24" w:type="dxa"/>
            <w:tcBorders>
              <w:top w:val="nil"/>
              <w:left w:val="nil"/>
              <w:bottom w:val="single" w:sz="8" w:space="0" w:color="152935"/>
              <w:right w:val="single" w:sz="8" w:space="0" w:color="E0E0E0"/>
            </w:tcBorders>
            <w:shd w:val="clear" w:color="auto" w:fill="FFFFFF"/>
            <w:vAlign w:val="bottom"/>
          </w:tcPr>
          <w:p w14:paraId="2F218B87"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N</w:t>
            </w:r>
          </w:p>
        </w:tc>
        <w:tc>
          <w:tcPr>
            <w:tcW w:w="1070" w:type="dxa"/>
            <w:tcBorders>
              <w:top w:val="nil"/>
              <w:left w:val="single" w:sz="8" w:space="0" w:color="E0E0E0"/>
              <w:bottom w:val="single" w:sz="8" w:space="0" w:color="152935"/>
              <w:right w:val="single" w:sz="8" w:space="0" w:color="E0E0E0"/>
            </w:tcBorders>
            <w:shd w:val="clear" w:color="auto" w:fill="FFFFFF"/>
            <w:vAlign w:val="bottom"/>
          </w:tcPr>
          <w:p w14:paraId="34F29262"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Minimum</w:t>
            </w:r>
          </w:p>
        </w:tc>
        <w:tc>
          <w:tcPr>
            <w:tcW w:w="1101" w:type="dxa"/>
            <w:tcBorders>
              <w:top w:val="nil"/>
              <w:left w:val="single" w:sz="8" w:space="0" w:color="E0E0E0"/>
              <w:bottom w:val="single" w:sz="8" w:space="0" w:color="152935"/>
              <w:right w:val="single" w:sz="8" w:space="0" w:color="E0E0E0"/>
            </w:tcBorders>
            <w:shd w:val="clear" w:color="auto" w:fill="FFFFFF"/>
            <w:vAlign w:val="bottom"/>
          </w:tcPr>
          <w:p w14:paraId="58E6995C"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Maximum</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1963D82"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Mean</w:t>
            </w:r>
          </w:p>
        </w:tc>
        <w:tc>
          <w:tcPr>
            <w:tcW w:w="1437" w:type="dxa"/>
            <w:tcBorders>
              <w:top w:val="nil"/>
              <w:left w:val="single" w:sz="8" w:space="0" w:color="E0E0E0"/>
              <w:bottom w:val="single" w:sz="8" w:space="0" w:color="152935"/>
              <w:right w:val="nil"/>
            </w:tcBorders>
            <w:shd w:val="clear" w:color="auto" w:fill="FFFFFF"/>
            <w:vAlign w:val="bottom"/>
          </w:tcPr>
          <w:p w14:paraId="1BC26AF6"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Std. Deviation</w:t>
            </w:r>
          </w:p>
        </w:tc>
      </w:tr>
      <w:tr w:rsidR="00A14C91" w:rsidRPr="00517162" w14:paraId="1C1A7EAC" w14:textId="77777777" w:rsidTr="0090224C">
        <w:trPr>
          <w:cantSplit/>
        </w:trPr>
        <w:tc>
          <w:tcPr>
            <w:tcW w:w="1698" w:type="dxa"/>
            <w:tcBorders>
              <w:top w:val="single" w:sz="8" w:space="0" w:color="152935"/>
              <w:left w:val="nil"/>
              <w:bottom w:val="single" w:sz="8" w:space="0" w:color="AEAEAE"/>
              <w:right w:val="nil"/>
            </w:tcBorders>
            <w:shd w:val="clear" w:color="auto" w:fill="E0E0E0"/>
          </w:tcPr>
          <w:p w14:paraId="44279B1A"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Pretest</w:t>
            </w:r>
          </w:p>
        </w:tc>
        <w:tc>
          <w:tcPr>
            <w:tcW w:w="1024" w:type="dxa"/>
            <w:tcBorders>
              <w:top w:val="single" w:sz="8" w:space="0" w:color="152935"/>
              <w:left w:val="nil"/>
              <w:bottom w:val="single" w:sz="8" w:space="0" w:color="AEAEAE"/>
              <w:right w:val="single" w:sz="8" w:space="0" w:color="E0E0E0"/>
            </w:tcBorders>
            <w:shd w:val="clear" w:color="auto" w:fill="FFFFFF"/>
          </w:tcPr>
          <w:p w14:paraId="3E76163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2133</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14:paraId="533F8A7B"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22</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14:paraId="47B0819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93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968C08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54.96</w:t>
            </w:r>
          </w:p>
        </w:tc>
        <w:tc>
          <w:tcPr>
            <w:tcW w:w="1437" w:type="dxa"/>
            <w:tcBorders>
              <w:top w:val="single" w:sz="8" w:space="0" w:color="152935"/>
              <w:left w:val="single" w:sz="8" w:space="0" w:color="E0E0E0"/>
              <w:bottom w:val="single" w:sz="8" w:space="0" w:color="AEAEAE"/>
              <w:right w:val="nil"/>
            </w:tcBorders>
            <w:shd w:val="clear" w:color="auto" w:fill="FFFFFF"/>
          </w:tcPr>
          <w:p w14:paraId="22AE8469"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13.563</w:t>
            </w:r>
          </w:p>
        </w:tc>
      </w:tr>
      <w:tr w:rsidR="00A14C91" w:rsidRPr="00517162" w14:paraId="6C7343D6" w14:textId="77777777" w:rsidTr="0090224C">
        <w:trPr>
          <w:cantSplit/>
        </w:trPr>
        <w:tc>
          <w:tcPr>
            <w:tcW w:w="1698" w:type="dxa"/>
            <w:tcBorders>
              <w:top w:val="single" w:sz="8" w:space="0" w:color="AEAEAE"/>
              <w:left w:val="nil"/>
              <w:bottom w:val="single" w:sz="8" w:space="0" w:color="AEAEAE"/>
              <w:right w:val="nil"/>
            </w:tcBorders>
            <w:shd w:val="clear" w:color="auto" w:fill="E0E0E0"/>
          </w:tcPr>
          <w:p w14:paraId="3F7A4DBF"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Posttest</w:t>
            </w:r>
          </w:p>
        </w:tc>
        <w:tc>
          <w:tcPr>
            <w:tcW w:w="1024" w:type="dxa"/>
            <w:tcBorders>
              <w:top w:val="single" w:sz="8" w:space="0" w:color="AEAEAE"/>
              <w:left w:val="nil"/>
              <w:bottom w:val="single" w:sz="8" w:space="0" w:color="AEAEAE"/>
              <w:right w:val="single" w:sz="8" w:space="0" w:color="E0E0E0"/>
            </w:tcBorders>
            <w:shd w:val="clear" w:color="auto" w:fill="FFFFFF"/>
          </w:tcPr>
          <w:p w14:paraId="52057A3E"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372F7EE8"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32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342450B7"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0394C6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67.10</w:t>
            </w:r>
          </w:p>
        </w:tc>
        <w:tc>
          <w:tcPr>
            <w:tcW w:w="1437" w:type="dxa"/>
            <w:tcBorders>
              <w:top w:val="single" w:sz="8" w:space="0" w:color="AEAEAE"/>
              <w:left w:val="single" w:sz="8" w:space="0" w:color="E0E0E0"/>
              <w:bottom w:val="single" w:sz="8" w:space="0" w:color="AEAEAE"/>
              <w:right w:val="nil"/>
            </w:tcBorders>
            <w:shd w:val="clear" w:color="auto" w:fill="FFFFFF"/>
          </w:tcPr>
          <w:p w14:paraId="6135EA88"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13.987</w:t>
            </w:r>
          </w:p>
        </w:tc>
      </w:tr>
      <w:tr w:rsidR="00A14C91" w:rsidRPr="00517162" w14:paraId="63FA9BB1" w14:textId="77777777" w:rsidTr="0090224C">
        <w:trPr>
          <w:cantSplit/>
        </w:trPr>
        <w:tc>
          <w:tcPr>
            <w:tcW w:w="1698" w:type="dxa"/>
            <w:tcBorders>
              <w:top w:val="single" w:sz="8" w:space="0" w:color="AEAEAE"/>
              <w:left w:val="nil"/>
              <w:bottom w:val="single" w:sz="8" w:space="0" w:color="152935"/>
              <w:right w:val="nil"/>
            </w:tcBorders>
            <w:shd w:val="clear" w:color="auto" w:fill="E0E0E0"/>
          </w:tcPr>
          <w:p w14:paraId="1CFE602E"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Valid N (listwise)</w:t>
            </w:r>
          </w:p>
        </w:tc>
        <w:tc>
          <w:tcPr>
            <w:tcW w:w="1024" w:type="dxa"/>
            <w:tcBorders>
              <w:top w:val="single" w:sz="8" w:space="0" w:color="AEAEAE"/>
              <w:left w:val="nil"/>
              <w:bottom w:val="single" w:sz="8" w:space="0" w:color="152935"/>
              <w:right w:val="single" w:sz="8" w:space="0" w:color="E0E0E0"/>
            </w:tcBorders>
            <w:shd w:val="clear" w:color="auto" w:fill="FFFFFF"/>
          </w:tcPr>
          <w:p w14:paraId="65BC8CD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2133</w:t>
            </w:r>
          </w:p>
        </w:tc>
        <w:tc>
          <w:tcPr>
            <w:tcW w:w="107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D74F76B"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1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B448462"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E978C80"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14:paraId="46F5EFBA"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bl>
    <w:p w14:paraId="2033CF70" w14:textId="77777777" w:rsidR="00A14C91" w:rsidRPr="00517162" w:rsidRDefault="00A14C91" w:rsidP="00A14C91">
      <w:pPr>
        <w:autoSpaceDE w:val="0"/>
        <w:autoSpaceDN w:val="0"/>
        <w:adjustRightInd w:val="0"/>
        <w:spacing w:after="0" w:line="480" w:lineRule="auto"/>
        <w:rPr>
          <w:rFonts w:ascii="Times New Roman" w:hAnsi="Times New Roman" w:cs="Times New Roman"/>
          <w:sz w:val="24"/>
          <w:szCs w:val="24"/>
        </w:rPr>
      </w:pPr>
    </w:p>
    <w:p w14:paraId="7EA9B202"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table shows the descriptive statistics of </w:t>
      </w:r>
      <w:r w:rsidRPr="00517162">
        <w:rPr>
          <w:rFonts w:ascii="Times New Roman" w:hAnsi="Times New Roman" w:cs="Times New Roman"/>
          <w:sz w:val="24"/>
          <w:szCs w:val="24"/>
        </w:rPr>
        <w:t>difference in the posttest and pretest scores o</w:t>
      </w:r>
      <w:r>
        <w:rPr>
          <w:rFonts w:ascii="Times New Roman" w:hAnsi="Times New Roman" w:cs="Times New Roman"/>
          <w:sz w:val="24"/>
          <w:szCs w:val="24"/>
        </w:rPr>
        <w:t xml:space="preserve">f the students’ gender </w:t>
      </w:r>
      <w:r w:rsidRPr="00517162">
        <w:rPr>
          <w:rFonts w:ascii="Times New Roman" w:hAnsi="Times New Roman" w:cs="Times New Roman"/>
          <w:sz w:val="24"/>
          <w:szCs w:val="24"/>
        </w:rPr>
        <w:t xml:space="preserve">in the dataset. </w:t>
      </w:r>
    </w:p>
    <w:p w14:paraId="4F1EEB04" w14:textId="77777777" w:rsidR="00A14C91" w:rsidRPr="00517162" w:rsidRDefault="00A14C91" w:rsidP="00A14C91">
      <w:pPr>
        <w:autoSpaceDE w:val="0"/>
        <w:autoSpaceDN w:val="0"/>
        <w:adjustRightInd w:val="0"/>
        <w:spacing w:after="0" w:line="480" w:lineRule="auto"/>
        <w:rPr>
          <w:rFonts w:ascii="Times New Roman" w:hAnsi="Times New Roman" w:cs="Times New Roman"/>
          <w:sz w:val="24"/>
          <w:szCs w:val="24"/>
        </w:rPr>
      </w:pPr>
      <w:r w:rsidRPr="00517162">
        <w:rPr>
          <w:rFonts w:ascii="Times New Roman" w:hAnsi="Times New Roman" w:cs="Times New Roman"/>
          <w:sz w:val="24"/>
          <w:szCs w:val="24"/>
        </w:rPr>
        <w:t>Table. Mean and median in the pretest and posttest scores according to gender variable</w:t>
      </w:r>
    </w:p>
    <w:p w14:paraId="702ACEB1"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p>
    <w:tbl>
      <w:tblPr>
        <w:tblW w:w="4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2"/>
        <w:gridCol w:w="1438"/>
        <w:gridCol w:w="1025"/>
        <w:gridCol w:w="1025"/>
      </w:tblGrid>
      <w:tr w:rsidR="00A14C91" w:rsidRPr="00517162" w14:paraId="34762E29" w14:textId="77777777" w:rsidTr="0090224C">
        <w:trPr>
          <w:cantSplit/>
        </w:trPr>
        <w:tc>
          <w:tcPr>
            <w:tcW w:w="4417" w:type="dxa"/>
            <w:gridSpan w:val="4"/>
            <w:tcBorders>
              <w:top w:val="nil"/>
              <w:left w:val="nil"/>
              <w:bottom w:val="nil"/>
              <w:right w:val="nil"/>
            </w:tcBorders>
            <w:shd w:val="clear" w:color="auto" w:fill="FFFFFF"/>
            <w:vAlign w:val="center"/>
          </w:tcPr>
          <w:p w14:paraId="35485F20"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Report</w:t>
            </w:r>
          </w:p>
        </w:tc>
      </w:tr>
      <w:tr w:rsidR="00A14C91" w:rsidRPr="00517162" w14:paraId="693328E5" w14:textId="77777777" w:rsidTr="0090224C">
        <w:trPr>
          <w:cantSplit/>
        </w:trPr>
        <w:tc>
          <w:tcPr>
            <w:tcW w:w="2369" w:type="dxa"/>
            <w:gridSpan w:val="2"/>
            <w:tcBorders>
              <w:top w:val="nil"/>
              <w:left w:val="nil"/>
              <w:bottom w:val="single" w:sz="8" w:space="0" w:color="152935"/>
              <w:right w:val="nil"/>
            </w:tcBorders>
            <w:shd w:val="clear" w:color="auto" w:fill="FFFFFF"/>
            <w:vAlign w:val="bottom"/>
          </w:tcPr>
          <w:p w14:paraId="34D5A513"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Gender</w:t>
            </w:r>
          </w:p>
        </w:tc>
        <w:tc>
          <w:tcPr>
            <w:tcW w:w="1024" w:type="dxa"/>
            <w:tcBorders>
              <w:top w:val="nil"/>
              <w:left w:val="nil"/>
              <w:bottom w:val="single" w:sz="8" w:space="0" w:color="152935"/>
              <w:right w:val="single" w:sz="8" w:space="0" w:color="E0E0E0"/>
            </w:tcBorders>
            <w:shd w:val="clear" w:color="auto" w:fill="FFFFFF"/>
            <w:vAlign w:val="bottom"/>
          </w:tcPr>
          <w:p w14:paraId="032A9D00"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Pretest</w:t>
            </w:r>
          </w:p>
        </w:tc>
        <w:tc>
          <w:tcPr>
            <w:tcW w:w="1024" w:type="dxa"/>
            <w:tcBorders>
              <w:top w:val="nil"/>
              <w:left w:val="single" w:sz="8" w:space="0" w:color="E0E0E0"/>
              <w:bottom w:val="single" w:sz="8" w:space="0" w:color="152935"/>
              <w:right w:val="nil"/>
            </w:tcBorders>
            <w:shd w:val="clear" w:color="auto" w:fill="FFFFFF"/>
            <w:vAlign w:val="bottom"/>
          </w:tcPr>
          <w:p w14:paraId="14D5CD56"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Posttest</w:t>
            </w:r>
          </w:p>
        </w:tc>
      </w:tr>
      <w:tr w:rsidR="00A14C91" w:rsidRPr="00517162" w14:paraId="2156B959" w14:textId="77777777" w:rsidTr="0090224C">
        <w:trPr>
          <w:cantSplit/>
        </w:trPr>
        <w:tc>
          <w:tcPr>
            <w:tcW w:w="932" w:type="dxa"/>
            <w:vMerge w:val="restart"/>
            <w:tcBorders>
              <w:top w:val="single" w:sz="8" w:space="0" w:color="152935"/>
              <w:left w:val="nil"/>
              <w:bottom w:val="nil"/>
              <w:right w:val="nil"/>
            </w:tcBorders>
            <w:shd w:val="clear" w:color="auto" w:fill="E0E0E0"/>
          </w:tcPr>
          <w:p w14:paraId="6AB4C31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Female</w:t>
            </w:r>
          </w:p>
        </w:tc>
        <w:tc>
          <w:tcPr>
            <w:tcW w:w="1437" w:type="dxa"/>
            <w:tcBorders>
              <w:top w:val="single" w:sz="8" w:space="0" w:color="152935"/>
              <w:left w:val="nil"/>
              <w:bottom w:val="single" w:sz="8" w:space="0" w:color="AEAEAE"/>
              <w:right w:val="nil"/>
            </w:tcBorders>
            <w:shd w:val="clear" w:color="auto" w:fill="E0E0E0"/>
          </w:tcPr>
          <w:p w14:paraId="33AC2FE7"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Mean</w:t>
            </w:r>
          </w:p>
        </w:tc>
        <w:tc>
          <w:tcPr>
            <w:tcW w:w="1024" w:type="dxa"/>
            <w:tcBorders>
              <w:top w:val="single" w:sz="8" w:space="0" w:color="152935"/>
              <w:left w:val="nil"/>
              <w:bottom w:val="single" w:sz="8" w:space="0" w:color="AEAEAE"/>
              <w:right w:val="single" w:sz="8" w:space="0" w:color="E0E0E0"/>
            </w:tcBorders>
            <w:shd w:val="clear" w:color="auto" w:fill="FFFFFF"/>
          </w:tcPr>
          <w:p w14:paraId="6FB68AC1"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54.87</w:t>
            </w:r>
          </w:p>
        </w:tc>
        <w:tc>
          <w:tcPr>
            <w:tcW w:w="1024" w:type="dxa"/>
            <w:tcBorders>
              <w:top w:val="single" w:sz="8" w:space="0" w:color="152935"/>
              <w:left w:val="single" w:sz="8" w:space="0" w:color="E0E0E0"/>
              <w:bottom w:val="single" w:sz="8" w:space="0" w:color="AEAEAE"/>
              <w:right w:val="nil"/>
            </w:tcBorders>
            <w:shd w:val="clear" w:color="auto" w:fill="FFFFFF"/>
          </w:tcPr>
          <w:p w14:paraId="48F6062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67.00</w:t>
            </w:r>
          </w:p>
        </w:tc>
      </w:tr>
      <w:tr w:rsidR="00A14C91" w:rsidRPr="00517162" w14:paraId="5C87F335" w14:textId="77777777" w:rsidTr="0090224C">
        <w:trPr>
          <w:cantSplit/>
        </w:trPr>
        <w:tc>
          <w:tcPr>
            <w:tcW w:w="932" w:type="dxa"/>
            <w:vMerge/>
            <w:tcBorders>
              <w:top w:val="single" w:sz="8" w:space="0" w:color="152935"/>
              <w:left w:val="nil"/>
              <w:bottom w:val="nil"/>
              <w:right w:val="nil"/>
            </w:tcBorders>
            <w:shd w:val="clear" w:color="auto" w:fill="E0E0E0"/>
          </w:tcPr>
          <w:p w14:paraId="17114122"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1437" w:type="dxa"/>
            <w:tcBorders>
              <w:top w:val="single" w:sz="8" w:space="0" w:color="AEAEAE"/>
              <w:left w:val="nil"/>
              <w:bottom w:val="single" w:sz="8" w:space="0" w:color="AEAEAE"/>
              <w:right w:val="nil"/>
            </w:tcBorders>
            <w:shd w:val="clear" w:color="auto" w:fill="E0E0E0"/>
          </w:tcPr>
          <w:p w14:paraId="0BFC78DE"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Std. Deviation</w:t>
            </w:r>
          </w:p>
        </w:tc>
        <w:tc>
          <w:tcPr>
            <w:tcW w:w="1024" w:type="dxa"/>
            <w:tcBorders>
              <w:top w:val="single" w:sz="8" w:space="0" w:color="AEAEAE"/>
              <w:left w:val="nil"/>
              <w:bottom w:val="single" w:sz="8" w:space="0" w:color="AEAEAE"/>
              <w:right w:val="single" w:sz="8" w:space="0" w:color="E0E0E0"/>
            </w:tcBorders>
            <w:shd w:val="clear" w:color="auto" w:fill="FFFFFF"/>
          </w:tcPr>
          <w:p w14:paraId="6FB58302"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13.880</w:t>
            </w:r>
          </w:p>
        </w:tc>
        <w:tc>
          <w:tcPr>
            <w:tcW w:w="1024" w:type="dxa"/>
            <w:tcBorders>
              <w:top w:val="single" w:sz="8" w:space="0" w:color="AEAEAE"/>
              <w:left w:val="single" w:sz="8" w:space="0" w:color="E0E0E0"/>
              <w:bottom w:val="single" w:sz="8" w:space="0" w:color="AEAEAE"/>
              <w:right w:val="nil"/>
            </w:tcBorders>
            <w:shd w:val="clear" w:color="auto" w:fill="FFFFFF"/>
          </w:tcPr>
          <w:p w14:paraId="216FE3EE"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14.139</w:t>
            </w:r>
          </w:p>
        </w:tc>
      </w:tr>
      <w:tr w:rsidR="00A14C91" w:rsidRPr="00517162" w14:paraId="33FDED65" w14:textId="77777777" w:rsidTr="0090224C">
        <w:trPr>
          <w:cantSplit/>
        </w:trPr>
        <w:tc>
          <w:tcPr>
            <w:tcW w:w="932" w:type="dxa"/>
            <w:vMerge/>
            <w:tcBorders>
              <w:top w:val="single" w:sz="8" w:space="0" w:color="152935"/>
              <w:left w:val="nil"/>
              <w:bottom w:val="nil"/>
              <w:right w:val="nil"/>
            </w:tcBorders>
            <w:shd w:val="clear" w:color="auto" w:fill="E0E0E0"/>
          </w:tcPr>
          <w:p w14:paraId="668A189C"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1437" w:type="dxa"/>
            <w:tcBorders>
              <w:top w:val="single" w:sz="8" w:space="0" w:color="AEAEAE"/>
              <w:left w:val="nil"/>
              <w:bottom w:val="nil"/>
              <w:right w:val="nil"/>
            </w:tcBorders>
            <w:shd w:val="clear" w:color="auto" w:fill="E0E0E0"/>
          </w:tcPr>
          <w:p w14:paraId="5ADF0923"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Median</w:t>
            </w:r>
          </w:p>
        </w:tc>
        <w:tc>
          <w:tcPr>
            <w:tcW w:w="1024" w:type="dxa"/>
            <w:tcBorders>
              <w:top w:val="single" w:sz="8" w:space="0" w:color="AEAEAE"/>
              <w:left w:val="nil"/>
              <w:bottom w:val="nil"/>
              <w:right w:val="single" w:sz="8" w:space="0" w:color="E0E0E0"/>
            </w:tcBorders>
            <w:shd w:val="clear" w:color="auto" w:fill="FFFFFF"/>
          </w:tcPr>
          <w:p w14:paraId="396E763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55.00</w:t>
            </w:r>
          </w:p>
        </w:tc>
        <w:tc>
          <w:tcPr>
            <w:tcW w:w="1024" w:type="dxa"/>
            <w:tcBorders>
              <w:top w:val="single" w:sz="8" w:space="0" w:color="AEAEAE"/>
              <w:left w:val="single" w:sz="8" w:space="0" w:color="E0E0E0"/>
              <w:bottom w:val="nil"/>
              <w:right w:val="nil"/>
            </w:tcBorders>
            <w:shd w:val="clear" w:color="auto" w:fill="FFFFFF"/>
          </w:tcPr>
          <w:p w14:paraId="5DB997B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68.00</w:t>
            </w:r>
          </w:p>
        </w:tc>
      </w:tr>
      <w:tr w:rsidR="00A14C91" w:rsidRPr="00517162" w14:paraId="1B01E7C2" w14:textId="77777777" w:rsidTr="0090224C">
        <w:trPr>
          <w:cantSplit/>
        </w:trPr>
        <w:tc>
          <w:tcPr>
            <w:tcW w:w="932" w:type="dxa"/>
            <w:vMerge w:val="restart"/>
            <w:tcBorders>
              <w:top w:val="single" w:sz="8" w:space="0" w:color="AEAEAE"/>
              <w:left w:val="nil"/>
              <w:bottom w:val="nil"/>
              <w:right w:val="nil"/>
            </w:tcBorders>
            <w:shd w:val="clear" w:color="auto" w:fill="E0E0E0"/>
          </w:tcPr>
          <w:p w14:paraId="2F891216"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Male</w:t>
            </w:r>
          </w:p>
        </w:tc>
        <w:tc>
          <w:tcPr>
            <w:tcW w:w="1437" w:type="dxa"/>
            <w:tcBorders>
              <w:top w:val="single" w:sz="8" w:space="0" w:color="AEAEAE"/>
              <w:left w:val="nil"/>
              <w:bottom w:val="single" w:sz="8" w:space="0" w:color="AEAEAE"/>
              <w:right w:val="nil"/>
            </w:tcBorders>
            <w:shd w:val="clear" w:color="auto" w:fill="E0E0E0"/>
          </w:tcPr>
          <w:p w14:paraId="38879A07"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Mean</w:t>
            </w:r>
          </w:p>
        </w:tc>
        <w:tc>
          <w:tcPr>
            <w:tcW w:w="1024" w:type="dxa"/>
            <w:tcBorders>
              <w:top w:val="single" w:sz="8" w:space="0" w:color="AEAEAE"/>
              <w:left w:val="nil"/>
              <w:bottom w:val="single" w:sz="8" w:space="0" w:color="AEAEAE"/>
              <w:right w:val="single" w:sz="8" w:space="0" w:color="E0E0E0"/>
            </w:tcBorders>
            <w:shd w:val="clear" w:color="auto" w:fill="FFFFFF"/>
          </w:tcPr>
          <w:p w14:paraId="452CD5A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55.04</w:t>
            </w:r>
          </w:p>
        </w:tc>
        <w:tc>
          <w:tcPr>
            <w:tcW w:w="1024" w:type="dxa"/>
            <w:tcBorders>
              <w:top w:val="single" w:sz="8" w:space="0" w:color="AEAEAE"/>
              <w:left w:val="single" w:sz="8" w:space="0" w:color="E0E0E0"/>
              <w:bottom w:val="single" w:sz="8" w:space="0" w:color="AEAEAE"/>
              <w:right w:val="nil"/>
            </w:tcBorders>
            <w:shd w:val="clear" w:color="auto" w:fill="FFFFFF"/>
          </w:tcPr>
          <w:p w14:paraId="640E7DE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67.20</w:t>
            </w:r>
          </w:p>
        </w:tc>
      </w:tr>
      <w:tr w:rsidR="00A14C91" w:rsidRPr="00517162" w14:paraId="322FDA37" w14:textId="77777777" w:rsidTr="0090224C">
        <w:trPr>
          <w:cantSplit/>
        </w:trPr>
        <w:tc>
          <w:tcPr>
            <w:tcW w:w="932" w:type="dxa"/>
            <w:vMerge/>
            <w:tcBorders>
              <w:top w:val="single" w:sz="8" w:space="0" w:color="AEAEAE"/>
              <w:left w:val="nil"/>
              <w:bottom w:val="nil"/>
              <w:right w:val="nil"/>
            </w:tcBorders>
            <w:shd w:val="clear" w:color="auto" w:fill="E0E0E0"/>
          </w:tcPr>
          <w:p w14:paraId="3324BE37"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1437" w:type="dxa"/>
            <w:tcBorders>
              <w:top w:val="single" w:sz="8" w:space="0" w:color="AEAEAE"/>
              <w:left w:val="nil"/>
              <w:bottom w:val="single" w:sz="8" w:space="0" w:color="AEAEAE"/>
              <w:right w:val="nil"/>
            </w:tcBorders>
            <w:shd w:val="clear" w:color="auto" w:fill="E0E0E0"/>
          </w:tcPr>
          <w:p w14:paraId="23A21B6D"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Std. Deviation</w:t>
            </w:r>
          </w:p>
        </w:tc>
        <w:tc>
          <w:tcPr>
            <w:tcW w:w="1024" w:type="dxa"/>
            <w:tcBorders>
              <w:top w:val="single" w:sz="8" w:space="0" w:color="AEAEAE"/>
              <w:left w:val="nil"/>
              <w:bottom w:val="single" w:sz="8" w:space="0" w:color="AEAEAE"/>
              <w:right w:val="single" w:sz="8" w:space="0" w:color="E0E0E0"/>
            </w:tcBorders>
            <w:shd w:val="clear" w:color="auto" w:fill="FFFFFF"/>
          </w:tcPr>
          <w:p w14:paraId="1D02D71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13.251</w:t>
            </w:r>
          </w:p>
        </w:tc>
        <w:tc>
          <w:tcPr>
            <w:tcW w:w="1024" w:type="dxa"/>
            <w:tcBorders>
              <w:top w:val="single" w:sz="8" w:space="0" w:color="AEAEAE"/>
              <w:left w:val="single" w:sz="8" w:space="0" w:color="E0E0E0"/>
              <w:bottom w:val="single" w:sz="8" w:space="0" w:color="AEAEAE"/>
              <w:right w:val="nil"/>
            </w:tcBorders>
            <w:shd w:val="clear" w:color="auto" w:fill="FFFFFF"/>
          </w:tcPr>
          <w:p w14:paraId="1102C442"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13.842</w:t>
            </w:r>
          </w:p>
        </w:tc>
      </w:tr>
      <w:tr w:rsidR="00A14C91" w:rsidRPr="00517162" w14:paraId="3D1DAF9E" w14:textId="77777777" w:rsidTr="0090224C">
        <w:trPr>
          <w:cantSplit/>
        </w:trPr>
        <w:tc>
          <w:tcPr>
            <w:tcW w:w="932" w:type="dxa"/>
            <w:vMerge/>
            <w:tcBorders>
              <w:top w:val="single" w:sz="8" w:space="0" w:color="AEAEAE"/>
              <w:left w:val="nil"/>
              <w:bottom w:val="nil"/>
              <w:right w:val="nil"/>
            </w:tcBorders>
            <w:shd w:val="clear" w:color="auto" w:fill="E0E0E0"/>
          </w:tcPr>
          <w:p w14:paraId="70D33955"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1437" w:type="dxa"/>
            <w:tcBorders>
              <w:top w:val="single" w:sz="8" w:space="0" w:color="AEAEAE"/>
              <w:left w:val="nil"/>
              <w:bottom w:val="nil"/>
              <w:right w:val="nil"/>
            </w:tcBorders>
            <w:shd w:val="clear" w:color="auto" w:fill="E0E0E0"/>
          </w:tcPr>
          <w:p w14:paraId="724B6B69"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Median</w:t>
            </w:r>
          </w:p>
        </w:tc>
        <w:tc>
          <w:tcPr>
            <w:tcW w:w="1024" w:type="dxa"/>
            <w:tcBorders>
              <w:top w:val="single" w:sz="8" w:space="0" w:color="AEAEAE"/>
              <w:left w:val="nil"/>
              <w:bottom w:val="nil"/>
              <w:right w:val="single" w:sz="8" w:space="0" w:color="E0E0E0"/>
            </w:tcBorders>
            <w:shd w:val="clear" w:color="auto" w:fill="FFFFFF"/>
          </w:tcPr>
          <w:p w14:paraId="52648CF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56.00</w:t>
            </w:r>
          </w:p>
        </w:tc>
        <w:tc>
          <w:tcPr>
            <w:tcW w:w="1024" w:type="dxa"/>
            <w:tcBorders>
              <w:top w:val="single" w:sz="8" w:space="0" w:color="AEAEAE"/>
              <w:left w:val="single" w:sz="8" w:space="0" w:color="E0E0E0"/>
              <w:bottom w:val="nil"/>
              <w:right w:val="nil"/>
            </w:tcBorders>
            <w:shd w:val="clear" w:color="auto" w:fill="FFFFFF"/>
          </w:tcPr>
          <w:p w14:paraId="76808FE8"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68.00</w:t>
            </w:r>
          </w:p>
        </w:tc>
      </w:tr>
      <w:tr w:rsidR="00A14C91" w:rsidRPr="00517162" w14:paraId="5236205D" w14:textId="77777777" w:rsidTr="0090224C">
        <w:trPr>
          <w:cantSplit/>
        </w:trPr>
        <w:tc>
          <w:tcPr>
            <w:tcW w:w="932" w:type="dxa"/>
            <w:vMerge w:val="restart"/>
            <w:tcBorders>
              <w:top w:val="single" w:sz="8" w:space="0" w:color="AEAEAE"/>
              <w:left w:val="nil"/>
              <w:bottom w:val="single" w:sz="8" w:space="0" w:color="152935"/>
              <w:right w:val="nil"/>
            </w:tcBorders>
            <w:shd w:val="clear" w:color="auto" w:fill="E0E0E0"/>
          </w:tcPr>
          <w:p w14:paraId="36E70F73"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1437" w:type="dxa"/>
            <w:tcBorders>
              <w:top w:val="single" w:sz="8" w:space="0" w:color="AEAEAE"/>
              <w:left w:val="nil"/>
              <w:bottom w:val="single" w:sz="8" w:space="0" w:color="AEAEAE"/>
              <w:right w:val="nil"/>
            </w:tcBorders>
            <w:shd w:val="clear" w:color="auto" w:fill="E0E0E0"/>
          </w:tcPr>
          <w:p w14:paraId="59487A74"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Mean</w:t>
            </w:r>
          </w:p>
        </w:tc>
        <w:tc>
          <w:tcPr>
            <w:tcW w:w="1024" w:type="dxa"/>
            <w:tcBorders>
              <w:top w:val="single" w:sz="8" w:space="0" w:color="AEAEAE"/>
              <w:left w:val="nil"/>
              <w:bottom w:val="single" w:sz="8" w:space="0" w:color="AEAEAE"/>
              <w:right w:val="single" w:sz="8" w:space="0" w:color="E0E0E0"/>
            </w:tcBorders>
            <w:shd w:val="clear" w:color="auto" w:fill="FFFFFF"/>
          </w:tcPr>
          <w:p w14:paraId="4C8E9F8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54.96</w:t>
            </w:r>
          </w:p>
        </w:tc>
        <w:tc>
          <w:tcPr>
            <w:tcW w:w="1024" w:type="dxa"/>
            <w:tcBorders>
              <w:top w:val="single" w:sz="8" w:space="0" w:color="AEAEAE"/>
              <w:left w:val="single" w:sz="8" w:space="0" w:color="E0E0E0"/>
              <w:bottom w:val="single" w:sz="8" w:space="0" w:color="AEAEAE"/>
              <w:right w:val="nil"/>
            </w:tcBorders>
            <w:shd w:val="clear" w:color="auto" w:fill="FFFFFF"/>
          </w:tcPr>
          <w:p w14:paraId="168A4999"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67.10</w:t>
            </w:r>
          </w:p>
        </w:tc>
      </w:tr>
      <w:tr w:rsidR="00A14C91" w:rsidRPr="00517162" w14:paraId="6DFE2436" w14:textId="77777777" w:rsidTr="0090224C">
        <w:trPr>
          <w:cantSplit/>
        </w:trPr>
        <w:tc>
          <w:tcPr>
            <w:tcW w:w="932" w:type="dxa"/>
            <w:vMerge/>
            <w:tcBorders>
              <w:top w:val="single" w:sz="8" w:space="0" w:color="AEAEAE"/>
              <w:left w:val="nil"/>
              <w:bottom w:val="single" w:sz="8" w:space="0" w:color="152935"/>
              <w:right w:val="nil"/>
            </w:tcBorders>
            <w:shd w:val="clear" w:color="auto" w:fill="E0E0E0"/>
          </w:tcPr>
          <w:p w14:paraId="018468F4"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1437" w:type="dxa"/>
            <w:tcBorders>
              <w:top w:val="single" w:sz="8" w:space="0" w:color="AEAEAE"/>
              <w:left w:val="nil"/>
              <w:bottom w:val="single" w:sz="8" w:space="0" w:color="AEAEAE"/>
              <w:right w:val="nil"/>
            </w:tcBorders>
            <w:shd w:val="clear" w:color="auto" w:fill="E0E0E0"/>
          </w:tcPr>
          <w:p w14:paraId="4FBB11F6"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Std. Deviation</w:t>
            </w:r>
          </w:p>
        </w:tc>
        <w:tc>
          <w:tcPr>
            <w:tcW w:w="1024" w:type="dxa"/>
            <w:tcBorders>
              <w:top w:val="single" w:sz="8" w:space="0" w:color="AEAEAE"/>
              <w:left w:val="nil"/>
              <w:bottom w:val="single" w:sz="8" w:space="0" w:color="AEAEAE"/>
              <w:right w:val="single" w:sz="8" w:space="0" w:color="E0E0E0"/>
            </w:tcBorders>
            <w:shd w:val="clear" w:color="auto" w:fill="FFFFFF"/>
          </w:tcPr>
          <w:p w14:paraId="56ACE27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13.563</w:t>
            </w:r>
          </w:p>
        </w:tc>
        <w:tc>
          <w:tcPr>
            <w:tcW w:w="1024" w:type="dxa"/>
            <w:tcBorders>
              <w:top w:val="single" w:sz="8" w:space="0" w:color="AEAEAE"/>
              <w:left w:val="single" w:sz="8" w:space="0" w:color="E0E0E0"/>
              <w:bottom w:val="single" w:sz="8" w:space="0" w:color="AEAEAE"/>
              <w:right w:val="nil"/>
            </w:tcBorders>
            <w:shd w:val="clear" w:color="auto" w:fill="FFFFFF"/>
          </w:tcPr>
          <w:p w14:paraId="4179855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13.987</w:t>
            </w:r>
          </w:p>
        </w:tc>
      </w:tr>
      <w:tr w:rsidR="00A14C91" w:rsidRPr="00517162" w14:paraId="3FA7EF4D" w14:textId="77777777" w:rsidTr="0090224C">
        <w:trPr>
          <w:cantSplit/>
        </w:trPr>
        <w:tc>
          <w:tcPr>
            <w:tcW w:w="932" w:type="dxa"/>
            <w:vMerge/>
            <w:tcBorders>
              <w:top w:val="single" w:sz="8" w:space="0" w:color="AEAEAE"/>
              <w:left w:val="nil"/>
              <w:bottom w:val="single" w:sz="8" w:space="0" w:color="152935"/>
              <w:right w:val="nil"/>
            </w:tcBorders>
            <w:shd w:val="clear" w:color="auto" w:fill="E0E0E0"/>
          </w:tcPr>
          <w:p w14:paraId="49C02D3E"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1437" w:type="dxa"/>
            <w:tcBorders>
              <w:top w:val="single" w:sz="8" w:space="0" w:color="AEAEAE"/>
              <w:left w:val="nil"/>
              <w:bottom w:val="single" w:sz="8" w:space="0" w:color="152935"/>
              <w:right w:val="nil"/>
            </w:tcBorders>
            <w:shd w:val="clear" w:color="auto" w:fill="E0E0E0"/>
          </w:tcPr>
          <w:p w14:paraId="6C9486A7"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Median</w:t>
            </w:r>
          </w:p>
        </w:tc>
        <w:tc>
          <w:tcPr>
            <w:tcW w:w="1024" w:type="dxa"/>
            <w:tcBorders>
              <w:top w:val="single" w:sz="8" w:space="0" w:color="AEAEAE"/>
              <w:left w:val="nil"/>
              <w:bottom w:val="single" w:sz="8" w:space="0" w:color="152935"/>
              <w:right w:val="single" w:sz="8" w:space="0" w:color="E0E0E0"/>
            </w:tcBorders>
            <w:shd w:val="clear" w:color="auto" w:fill="FFFFFF"/>
          </w:tcPr>
          <w:p w14:paraId="18FE9A6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56.00</w:t>
            </w:r>
          </w:p>
        </w:tc>
        <w:tc>
          <w:tcPr>
            <w:tcW w:w="1024" w:type="dxa"/>
            <w:tcBorders>
              <w:top w:val="single" w:sz="8" w:space="0" w:color="AEAEAE"/>
              <w:left w:val="single" w:sz="8" w:space="0" w:color="E0E0E0"/>
              <w:bottom w:val="single" w:sz="8" w:space="0" w:color="152935"/>
              <w:right w:val="nil"/>
            </w:tcBorders>
            <w:shd w:val="clear" w:color="auto" w:fill="FFFFFF"/>
          </w:tcPr>
          <w:p w14:paraId="7A76EE7B"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68.00</w:t>
            </w:r>
          </w:p>
        </w:tc>
      </w:tr>
    </w:tbl>
    <w:p w14:paraId="28943850"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594118A6"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average score for the male and female students is 55.04 and 54.87 in the pretest and 67.20 and 67.00 in the posttest. The median for the male and female students is 56.00 and 55.00 in the pretest and 68.00 for both in the posttest. </w:t>
      </w:r>
    </w:p>
    <w:p w14:paraId="315B6C00" w14:textId="77777777" w:rsidR="00A14C91" w:rsidRPr="00517162" w:rsidRDefault="00A14C91" w:rsidP="00A14C91">
      <w:pPr>
        <w:autoSpaceDE w:val="0"/>
        <w:autoSpaceDN w:val="0"/>
        <w:adjustRightInd w:val="0"/>
        <w:spacing w:after="0" w:line="480" w:lineRule="auto"/>
        <w:rPr>
          <w:rFonts w:ascii="Times New Roman" w:hAnsi="Times New Roman" w:cs="Times New Roman"/>
          <w:sz w:val="24"/>
          <w:szCs w:val="24"/>
        </w:rPr>
      </w:pPr>
    </w:p>
    <w:p w14:paraId="1B4B11B8"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sz w:val="24"/>
          <w:szCs w:val="24"/>
        </w:rPr>
        <w:t xml:space="preserve">Table. Mean and median for </w:t>
      </w:r>
      <w:r w:rsidRPr="00517162">
        <w:rPr>
          <w:rFonts w:ascii="Times New Roman" w:hAnsi="Times New Roman" w:cs="Times New Roman"/>
          <w:i/>
          <w:sz w:val="24"/>
          <w:szCs w:val="24"/>
        </w:rPr>
        <w:t xml:space="preserve">lunch </w:t>
      </w:r>
      <w:r w:rsidRPr="00517162">
        <w:rPr>
          <w:rFonts w:ascii="Times New Roman" w:hAnsi="Times New Roman" w:cs="Times New Roman"/>
          <w:sz w:val="24"/>
          <w:szCs w:val="24"/>
        </w:rPr>
        <w:t>variable</w:t>
      </w:r>
    </w:p>
    <w:tbl>
      <w:tblPr>
        <w:tblW w:w="53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902"/>
        <w:gridCol w:w="1024"/>
        <w:gridCol w:w="1024"/>
      </w:tblGrid>
      <w:tr w:rsidR="00A14C91" w:rsidRPr="00517162" w14:paraId="0030ADB3" w14:textId="77777777" w:rsidTr="0090224C">
        <w:trPr>
          <w:cantSplit/>
        </w:trPr>
        <w:tc>
          <w:tcPr>
            <w:tcW w:w="5397" w:type="dxa"/>
            <w:gridSpan w:val="4"/>
            <w:tcBorders>
              <w:top w:val="nil"/>
              <w:left w:val="nil"/>
              <w:bottom w:val="nil"/>
              <w:right w:val="nil"/>
            </w:tcBorders>
            <w:shd w:val="clear" w:color="auto" w:fill="FFFFFF"/>
            <w:vAlign w:val="center"/>
          </w:tcPr>
          <w:p w14:paraId="29F391E4"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Report</w:t>
            </w:r>
          </w:p>
        </w:tc>
      </w:tr>
      <w:tr w:rsidR="00A14C91" w:rsidRPr="00517162" w14:paraId="154C78EC" w14:textId="77777777" w:rsidTr="0090224C">
        <w:trPr>
          <w:cantSplit/>
        </w:trPr>
        <w:tc>
          <w:tcPr>
            <w:tcW w:w="3349" w:type="dxa"/>
            <w:gridSpan w:val="2"/>
            <w:tcBorders>
              <w:top w:val="nil"/>
              <w:left w:val="nil"/>
              <w:bottom w:val="single" w:sz="8" w:space="0" w:color="152935"/>
              <w:right w:val="nil"/>
            </w:tcBorders>
            <w:shd w:val="clear" w:color="auto" w:fill="FFFFFF"/>
            <w:vAlign w:val="bottom"/>
          </w:tcPr>
          <w:p w14:paraId="668465A5"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Lunch</w:t>
            </w:r>
          </w:p>
        </w:tc>
        <w:tc>
          <w:tcPr>
            <w:tcW w:w="1024" w:type="dxa"/>
            <w:tcBorders>
              <w:top w:val="nil"/>
              <w:left w:val="nil"/>
              <w:bottom w:val="single" w:sz="8" w:space="0" w:color="152935"/>
              <w:right w:val="single" w:sz="8" w:space="0" w:color="E0E0E0"/>
            </w:tcBorders>
            <w:shd w:val="clear" w:color="auto" w:fill="FFFFFF"/>
            <w:vAlign w:val="bottom"/>
          </w:tcPr>
          <w:p w14:paraId="003C5EF0"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Pretest</w:t>
            </w:r>
          </w:p>
        </w:tc>
        <w:tc>
          <w:tcPr>
            <w:tcW w:w="1024" w:type="dxa"/>
            <w:tcBorders>
              <w:top w:val="nil"/>
              <w:left w:val="single" w:sz="8" w:space="0" w:color="E0E0E0"/>
              <w:bottom w:val="single" w:sz="8" w:space="0" w:color="152935"/>
              <w:right w:val="nil"/>
            </w:tcBorders>
            <w:shd w:val="clear" w:color="auto" w:fill="FFFFFF"/>
            <w:vAlign w:val="bottom"/>
          </w:tcPr>
          <w:p w14:paraId="2712BF95"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Posttest</w:t>
            </w:r>
          </w:p>
        </w:tc>
      </w:tr>
      <w:tr w:rsidR="00A14C91" w:rsidRPr="00517162" w14:paraId="00ABEC7B" w14:textId="77777777" w:rsidTr="0090224C">
        <w:trPr>
          <w:cantSplit/>
        </w:trPr>
        <w:tc>
          <w:tcPr>
            <w:tcW w:w="2447" w:type="dxa"/>
            <w:vMerge w:val="restart"/>
            <w:tcBorders>
              <w:top w:val="single" w:sz="8" w:space="0" w:color="152935"/>
              <w:left w:val="nil"/>
              <w:bottom w:val="nil"/>
              <w:right w:val="nil"/>
            </w:tcBorders>
            <w:shd w:val="clear" w:color="auto" w:fill="E0E0E0"/>
          </w:tcPr>
          <w:p w14:paraId="31C7A3AB"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Does not qualify</w:t>
            </w:r>
          </w:p>
        </w:tc>
        <w:tc>
          <w:tcPr>
            <w:tcW w:w="902" w:type="dxa"/>
            <w:tcBorders>
              <w:top w:val="single" w:sz="8" w:space="0" w:color="152935"/>
              <w:left w:val="nil"/>
              <w:bottom w:val="single" w:sz="8" w:space="0" w:color="AEAEAE"/>
              <w:right w:val="nil"/>
            </w:tcBorders>
            <w:shd w:val="clear" w:color="auto" w:fill="E0E0E0"/>
          </w:tcPr>
          <w:p w14:paraId="52DE97DC"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Mean</w:t>
            </w:r>
          </w:p>
        </w:tc>
        <w:tc>
          <w:tcPr>
            <w:tcW w:w="1024" w:type="dxa"/>
            <w:tcBorders>
              <w:top w:val="single" w:sz="8" w:space="0" w:color="152935"/>
              <w:left w:val="nil"/>
              <w:bottom w:val="single" w:sz="8" w:space="0" w:color="AEAEAE"/>
              <w:right w:val="single" w:sz="8" w:space="0" w:color="E0E0E0"/>
            </w:tcBorders>
            <w:shd w:val="clear" w:color="auto" w:fill="FFFFFF"/>
          </w:tcPr>
          <w:p w14:paraId="4074AA5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62.29</w:t>
            </w:r>
          </w:p>
        </w:tc>
        <w:tc>
          <w:tcPr>
            <w:tcW w:w="1024" w:type="dxa"/>
            <w:tcBorders>
              <w:top w:val="single" w:sz="8" w:space="0" w:color="152935"/>
              <w:left w:val="single" w:sz="8" w:space="0" w:color="E0E0E0"/>
              <w:bottom w:val="single" w:sz="8" w:space="0" w:color="AEAEAE"/>
              <w:right w:val="nil"/>
            </w:tcBorders>
            <w:shd w:val="clear" w:color="auto" w:fill="FFFFFF"/>
          </w:tcPr>
          <w:p w14:paraId="56B88AA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74.38</w:t>
            </w:r>
          </w:p>
        </w:tc>
      </w:tr>
      <w:tr w:rsidR="00A14C91" w:rsidRPr="00517162" w14:paraId="47723222" w14:textId="77777777" w:rsidTr="0090224C">
        <w:trPr>
          <w:cantSplit/>
        </w:trPr>
        <w:tc>
          <w:tcPr>
            <w:tcW w:w="2447" w:type="dxa"/>
            <w:vMerge/>
            <w:tcBorders>
              <w:top w:val="single" w:sz="8" w:space="0" w:color="152935"/>
              <w:left w:val="nil"/>
              <w:bottom w:val="nil"/>
              <w:right w:val="nil"/>
            </w:tcBorders>
            <w:shd w:val="clear" w:color="auto" w:fill="E0E0E0"/>
          </w:tcPr>
          <w:p w14:paraId="5E9BECEB"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902" w:type="dxa"/>
            <w:tcBorders>
              <w:top w:val="single" w:sz="8" w:space="0" w:color="AEAEAE"/>
              <w:left w:val="nil"/>
              <w:bottom w:val="nil"/>
              <w:right w:val="nil"/>
            </w:tcBorders>
            <w:shd w:val="clear" w:color="auto" w:fill="E0E0E0"/>
          </w:tcPr>
          <w:p w14:paraId="1EDCE318"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Median</w:t>
            </w:r>
          </w:p>
        </w:tc>
        <w:tc>
          <w:tcPr>
            <w:tcW w:w="1024" w:type="dxa"/>
            <w:tcBorders>
              <w:top w:val="single" w:sz="8" w:space="0" w:color="AEAEAE"/>
              <w:left w:val="nil"/>
              <w:bottom w:val="nil"/>
              <w:right w:val="single" w:sz="8" w:space="0" w:color="E0E0E0"/>
            </w:tcBorders>
            <w:shd w:val="clear" w:color="auto" w:fill="FFFFFF"/>
          </w:tcPr>
          <w:p w14:paraId="1B00C7FE"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62.00</w:t>
            </w:r>
          </w:p>
        </w:tc>
        <w:tc>
          <w:tcPr>
            <w:tcW w:w="1024" w:type="dxa"/>
            <w:tcBorders>
              <w:top w:val="single" w:sz="8" w:space="0" w:color="AEAEAE"/>
              <w:left w:val="single" w:sz="8" w:space="0" w:color="E0E0E0"/>
              <w:bottom w:val="nil"/>
              <w:right w:val="nil"/>
            </w:tcBorders>
            <w:shd w:val="clear" w:color="auto" w:fill="FFFFFF"/>
          </w:tcPr>
          <w:p w14:paraId="08051E90"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74.00</w:t>
            </w:r>
          </w:p>
        </w:tc>
      </w:tr>
      <w:tr w:rsidR="00A14C91" w:rsidRPr="00517162" w14:paraId="2F9A51E2" w14:textId="77777777" w:rsidTr="0090224C">
        <w:trPr>
          <w:cantSplit/>
        </w:trPr>
        <w:tc>
          <w:tcPr>
            <w:tcW w:w="2447" w:type="dxa"/>
            <w:vMerge w:val="restart"/>
            <w:tcBorders>
              <w:top w:val="single" w:sz="8" w:space="0" w:color="AEAEAE"/>
              <w:left w:val="nil"/>
              <w:bottom w:val="nil"/>
              <w:right w:val="nil"/>
            </w:tcBorders>
            <w:shd w:val="clear" w:color="auto" w:fill="E0E0E0"/>
          </w:tcPr>
          <w:p w14:paraId="02FA288F"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Qualifies for reduced/free lunch</w:t>
            </w:r>
          </w:p>
        </w:tc>
        <w:tc>
          <w:tcPr>
            <w:tcW w:w="902" w:type="dxa"/>
            <w:tcBorders>
              <w:top w:val="single" w:sz="8" w:space="0" w:color="AEAEAE"/>
              <w:left w:val="nil"/>
              <w:bottom w:val="single" w:sz="8" w:space="0" w:color="AEAEAE"/>
              <w:right w:val="nil"/>
            </w:tcBorders>
            <w:shd w:val="clear" w:color="auto" w:fill="E0E0E0"/>
          </w:tcPr>
          <w:p w14:paraId="51F2A022"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Mean</w:t>
            </w:r>
          </w:p>
        </w:tc>
        <w:tc>
          <w:tcPr>
            <w:tcW w:w="1024" w:type="dxa"/>
            <w:tcBorders>
              <w:top w:val="single" w:sz="8" w:space="0" w:color="AEAEAE"/>
              <w:left w:val="nil"/>
              <w:bottom w:val="single" w:sz="8" w:space="0" w:color="AEAEAE"/>
              <w:right w:val="single" w:sz="8" w:space="0" w:color="E0E0E0"/>
            </w:tcBorders>
            <w:shd w:val="clear" w:color="auto" w:fill="FFFFFF"/>
          </w:tcPr>
          <w:p w14:paraId="63F61C4E"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45.25</w:t>
            </w:r>
          </w:p>
        </w:tc>
        <w:tc>
          <w:tcPr>
            <w:tcW w:w="1024" w:type="dxa"/>
            <w:tcBorders>
              <w:top w:val="single" w:sz="8" w:space="0" w:color="AEAEAE"/>
              <w:left w:val="single" w:sz="8" w:space="0" w:color="E0E0E0"/>
              <w:bottom w:val="single" w:sz="8" w:space="0" w:color="AEAEAE"/>
              <w:right w:val="nil"/>
            </w:tcBorders>
            <w:shd w:val="clear" w:color="auto" w:fill="FFFFFF"/>
          </w:tcPr>
          <w:p w14:paraId="73A8D904"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57.48</w:t>
            </w:r>
          </w:p>
        </w:tc>
      </w:tr>
      <w:tr w:rsidR="00A14C91" w:rsidRPr="00517162" w14:paraId="240441D5" w14:textId="77777777" w:rsidTr="0090224C">
        <w:trPr>
          <w:cantSplit/>
        </w:trPr>
        <w:tc>
          <w:tcPr>
            <w:tcW w:w="2447" w:type="dxa"/>
            <w:vMerge/>
            <w:tcBorders>
              <w:top w:val="single" w:sz="8" w:space="0" w:color="AEAEAE"/>
              <w:left w:val="nil"/>
              <w:bottom w:val="nil"/>
              <w:right w:val="nil"/>
            </w:tcBorders>
            <w:shd w:val="clear" w:color="auto" w:fill="E0E0E0"/>
          </w:tcPr>
          <w:p w14:paraId="4E442670"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902" w:type="dxa"/>
            <w:tcBorders>
              <w:top w:val="single" w:sz="8" w:space="0" w:color="AEAEAE"/>
              <w:left w:val="nil"/>
              <w:bottom w:val="nil"/>
              <w:right w:val="nil"/>
            </w:tcBorders>
            <w:shd w:val="clear" w:color="auto" w:fill="E0E0E0"/>
          </w:tcPr>
          <w:p w14:paraId="278380A3"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Median</w:t>
            </w:r>
          </w:p>
        </w:tc>
        <w:tc>
          <w:tcPr>
            <w:tcW w:w="1024" w:type="dxa"/>
            <w:tcBorders>
              <w:top w:val="single" w:sz="8" w:space="0" w:color="AEAEAE"/>
              <w:left w:val="nil"/>
              <w:bottom w:val="nil"/>
              <w:right w:val="single" w:sz="8" w:space="0" w:color="E0E0E0"/>
            </w:tcBorders>
            <w:shd w:val="clear" w:color="auto" w:fill="FFFFFF"/>
          </w:tcPr>
          <w:p w14:paraId="7AEAC0E8"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44.00</w:t>
            </w:r>
          </w:p>
        </w:tc>
        <w:tc>
          <w:tcPr>
            <w:tcW w:w="1024" w:type="dxa"/>
            <w:tcBorders>
              <w:top w:val="single" w:sz="8" w:space="0" w:color="AEAEAE"/>
              <w:left w:val="single" w:sz="8" w:space="0" w:color="E0E0E0"/>
              <w:bottom w:val="nil"/>
              <w:right w:val="nil"/>
            </w:tcBorders>
            <w:shd w:val="clear" w:color="auto" w:fill="FFFFFF"/>
          </w:tcPr>
          <w:p w14:paraId="1AF7805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55.00</w:t>
            </w:r>
          </w:p>
        </w:tc>
      </w:tr>
      <w:tr w:rsidR="00A14C91" w:rsidRPr="00517162" w14:paraId="1C9A6FDD" w14:textId="77777777" w:rsidTr="0090224C">
        <w:trPr>
          <w:cantSplit/>
        </w:trPr>
        <w:tc>
          <w:tcPr>
            <w:tcW w:w="2447" w:type="dxa"/>
            <w:vMerge w:val="restart"/>
            <w:tcBorders>
              <w:top w:val="single" w:sz="8" w:space="0" w:color="AEAEAE"/>
              <w:left w:val="nil"/>
              <w:bottom w:val="single" w:sz="8" w:space="0" w:color="152935"/>
              <w:right w:val="nil"/>
            </w:tcBorders>
            <w:shd w:val="clear" w:color="auto" w:fill="E0E0E0"/>
          </w:tcPr>
          <w:p w14:paraId="525E5E3F"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902" w:type="dxa"/>
            <w:tcBorders>
              <w:top w:val="single" w:sz="8" w:space="0" w:color="AEAEAE"/>
              <w:left w:val="nil"/>
              <w:bottom w:val="single" w:sz="8" w:space="0" w:color="AEAEAE"/>
              <w:right w:val="nil"/>
            </w:tcBorders>
            <w:shd w:val="clear" w:color="auto" w:fill="E0E0E0"/>
          </w:tcPr>
          <w:p w14:paraId="095276E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Mean</w:t>
            </w:r>
          </w:p>
        </w:tc>
        <w:tc>
          <w:tcPr>
            <w:tcW w:w="1024" w:type="dxa"/>
            <w:tcBorders>
              <w:top w:val="single" w:sz="8" w:space="0" w:color="AEAEAE"/>
              <w:left w:val="nil"/>
              <w:bottom w:val="single" w:sz="8" w:space="0" w:color="AEAEAE"/>
              <w:right w:val="single" w:sz="8" w:space="0" w:color="E0E0E0"/>
            </w:tcBorders>
            <w:shd w:val="clear" w:color="auto" w:fill="FFFFFF"/>
          </w:tcPr>
          <w:p w14:paraId="3BA716A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54.96</w:t>
            </w:r>
          </w:p>
        </w:tc>
        <w:tc>
          <w:tcPr>
            <w:tcW w:w="1024" w:type="dxa"/>
            <w:tcBorders>
              <w:top w:val="single" w:sz="8" w:space="0" w:color="AEAEAE"/>
              <w:left w:val="single" w:sz="8" w:space="0" w:color="E0E0E0"/>
              <w:bottom w:val="single" w:sz="8" w:space="0" w:color="AEAEAE"/>
              <w:right w:val="nil"/>
            </w:tcBorders>
            <w:shd w:val="clear" w:color="auto" w:fill="FFFFFF"/>
          </w:tcPr>
          <w:p w14:paraId="141C4BF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67.10</w:t>
            </w:r>
          </w:p>
        </w:tc>
      </w:tr>
      <w:tr w:rsidR="00A14C91" w:rsidRPr="00517162" w14:paraId="5E6C34D2" w14:textId="77777777" w:rsidTr="0090224C">
        <w:trPr>
          <w:cantSplit/>
        </w:trPr>
        <w:tc>
          <w:tcPr>
            <w:tcW w:w="2447" w:type="dxa"/>
            <w:vMerge/>
            <w:tcBorders>
              <w:top w:val="single" w:sz="8" w:space="0" w:color="AEAEAE"/>
              <w:left w:val="nil"/>
              <w:bottom w:val="single" w:sz="8" w:space="0" w:color="152935"/>
              <w:right w:val="nil"/>
            </w:tcBorders>
            <w:shd w:val="clear" w:color="auto" w:fill="E0E0E0"/>
          </w:tcPr>
          <w:p w14:paraId="6BC228CE"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902" w:type="dxa"/>
            <w:tcBorders>
              <w:top w:val="single" w:sz="8" w:space="0" w:color="AEAEAE"/>
              <w:left w:val="nil"/>
              <w:bottom w:val="single" w:sz="8" w:space="0" w:color="152935"/>
              <w:right w:val="nil"/>
            </w:tcBorders>
            <w:shd w:val="clear" w:color="auto" w:fill="E0E0E0"/>
          </w:tcPr>
          <w:p w14:paraId="12A45788"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Median</w:t>
            </w:r>
          </w:p>
        </w:tc>
        <w:tc>
          <w:tcPr>
            <w:tcW w:w="1024" w:type="dxa"/>
            <w:tcBorders>
              <w:top w:val="single" w:sz="8" w:space="0" w:color="AEAEAE"/>
              <w:left w:val="nil"/>
              <w:bottom w:val="single" w:sz="8" w:space="0" w:color="152935"/>
              <w:right w:val="single" w:sz="8" w:space="0" w:color="E0E0E0"/>
            </w:tcBorders>
            <w:shd w:val="clear" w:color="auto" w:fill="FFFFFF"/>
          </w:tcPr>
          <w:p w14:paraId="45BEB71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56.00</w:t>
            </w:r>
          </w:p>
        </w:tc>
        <w:tc>
          <w:tcPr>
            <w:tcW w:w="1024" w:type="dxa"/>
            <w:tcBorders>
              <w:top w:val="single" w:sz="8" w:space="0" w:color="AEAEAE"/>
              <w:left w:val="single" w:sz="8" w:space="0" w:color="E0E0E0"/>
              <w:bottom w:val="single" w:sz="8" w:space="0" w:color="152935"/>
              <w:right w:val="nil"/>
            </w:tcBorders>
            <w:shd w:val="clear" w:color="auto" w:fill="FFFFFF"/>
          </w:tcPr>
          <w:p w14:paraId="4082365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68.00</w:t>
            </w:r>
          </w:p>
        </w:tc>
      </w:tr>
    </w:tbl>
    <w:p w14:paraId="78334E7A"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635697A1"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average score for those that don’t qualify and those that qualify for reduced/free lunch is 62.29 and 45.25 in the pretest and 74.38 and 57.48 in the posttest. On the other hand, the median for those don’t qualify and those that qualify for reduced/free lunch is 62.00 and 44.00 in the pretest and 74.00 and 55.00 in the posttest. </w:t>
      </w:r>
    </w:p>
    <w:p w14:paraId="0C03D854"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ANOVA table below provides a better analysis of the comparison of the means at 0.05 confidence interval. The table below is a result of the analysis based on the gender variable. </w:t>
      </w:r>
    </w:p>
    <w:p w14:paraId="0A8EC405" w14:textId="77777777" w:rsidR="00A14C91" w:rsidRPr="00517162" w:rsidRDefault="00A14C91" w:rsidP="00A14C91">
      <w:pPr>
        <w:autoSpaceDE w:val="0"/>
        <w:autoSpaceDN w:val="0"/>
        <w:adjustRightInd w:val="0"/>
        <w:spacing w:after="0" w:line="480" w:lineRule="auto"/>
        <w:rPr>
          <w:rFonts w:ascii="Times New Roman" w:hAnsi="Times New Roman" w:cs="Times New Roman"/>
          <w:sz w:val="24"/>
          <w:szCs w:val="24"/>
        </w:rPr>
      </w:pPr>
    </w:p>
    <w:p w14:paraId="22029B75"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sz w:val="24"/>
          <w:szCs w:val="24"/>
        </w:rPr>
        <w:t xml:space="preserve">Table. ANOVA analysis output table </w:t>
      </w:r>
    </w:p>
    <w:tbl>
      <w:tblPr>
        <w:tblW w:w="97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7"/>
        <w:gridCol w:w="1547"/>
        <w:gridCol w:w="1186"/>
        <w:gridCol w:w="1338"/>
        <w:gridCol w:w="933"/>
        <w:gridCol w:w="1283"/>
        <w:gridCol w:w="933"/>
        <w:gridCol w:w="936"/>
      </w:tblGrid>
      <w:tr w:rsidR="00A14C91" w:rsidRPr="00517162" w14:paraId="37EBEB09" w14:textId="77777777" w:rsidTr="0090224C">
        <w:trPr>
          <w:cantSplit/>
          <w:trHeight w:val="328"/>
        </w:trPr>
        <w:tc>
          <w:tcPr>
            <w:tcW w:w="9773" w:type="dxa"/>
            <w:gridSpan w:val="8"/>
            <w:tcBorders>
              <w:top w:val="nil"/>
              <w:left w:val="nil"/>
              <w:bottom w:val="nil"/>
              <w:right w:val="nil"/>
            </w:tcBorders>
            <w:shd w:val="clear" w:color="auto" w:fill="FFFFFF"/>
            <w:vAlign w:val="center"/>
          </w:tcPr>
          <w:p w14:paraId="59128E5A"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ANOVA Table</w:t>
            </w:r>
          </w:p>
        </w:tc>
      </w:tr>
      <w:tr w:rsidR="00A14C91" w:rsidRPr="00517162" w14:paraId="207C80C2" w14:textId="77777777" w:rsidTr="0090224C">
        <w:trPr>
          <w:cantSplit/>
          <w:trHeight w:val="344"/>
        </w:trPr>
        <w:tc>
          <w:tcPr>
            <w:tcW w:w="4350" w:type="dxa"/>
            <w:gridSpan w:val="3"/>
            <w:tcBorders>
              <w:top w:val="nil"/>
              <w:left w:val="nil"/>
              <w:bottom w:val="single" w:sz="8" w:space="0" w:color="152935"/>
              <w:right w:val="nil"/>
            </w:tcBorders>
            <w:shd w:val="clear" w:color="auto" w:fill="FFFFFF"/>
            <w:vAlign w:val="bottom"/>
          </w:tcPr>
          <w:p w14:paraId="70A49806"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338" w:type="dxa"/>
            <w:tcBorders>
              <w:top w:val="nil"/>
              <w:left w:val="nil"/>
              <w:bottom w:val="single" w:sz="8" w:space="0" w:color="152935"/>
              <w:right w:val="single" w:sz="8" w:space="0" w:color="E0E0E0"/>
            </w:tcBorders>
            <w:shd w:val="clear" w:color="auto" w:fill="FFFFFF"/>
            <w:vAlign w:val="bottom"/>
          </w:tcPr>
          <w:p w14:paraId="756923A0"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Sum of Squares</w:t>
            </w:r>
          </w:p>
        </w:tc>
        <w:tc>
          <w:tcPr>
            <w:tcW w:w="933" w:type="dxa"/>
            <w:tcBorders>
              <w:top w:val="nil"/>
              <w:left w:val="single" w:sz="8" w:space="0" w:color="E0E0E0"/>
              <w:bottom w:val="single" w:sz="8" w:space="0" w:color="152935"/>
              <w:right w:val="single" w:sz="8" w:space="0" w:color="E0E0E0"/>
            </w:tcBorders>
            <w:shd w:val="clear" w:color="auto" w:fill="FFFFFF"/>
            <w:vAlign w:val="bottom"/>
          </w:tcPr>
          <w:p w14:paraId="5D889E4B"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df</w:t>
            </w:r>
          </w:p>
        </w:tc>
        <w:tc>
          <w:tcPr>
            <w:tcW w:w="1283" w:type="dxa"/>
            <w:tcBorders>
              <w:top w:val="nil"/>
              <w:left w:val="single" w:sz="8" w:space="0" w:color="E0E0E0"/>
              <w:bottom w:val="single" w:sz="8" w:space="0" w:color="152935"/>
              <w:right w:val="single" w:sz="8" w:space="0" w:color="E0E0E0"/>
            </w:tcBorders>
            <w:shd w:val="clear" w:color="auto" w:fill="FFFFFF"/>
            <w:vAlign w:val="bottom"/>
          </w:tcPr>
          <w:p w14:paraId="5D2D961C"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Mean Square</w:t>
            </w:r>
          </w:p>
        </w:tc>
        <w:tc>
          <w:tcPr>
            <w:tcW w:w="933" w:type="dxa"/>
            <w:tcBorders>
              <w:top w:val="nil"/>
              <w:left w:val="single" w:sz="8" w:space="0" w:color="E0E0E0"/>
              <w:bottom w:val="single" w:sz="8" w:space="0" w:color="152935"/>
              <w:right w:val="single" w:sz="8" w:space="0" w:color="E0E0E0"/>
            </w:tcBorders>
            <w:shd w:val="clear" w:color="auto" w:fill="FFFFFF"/>
            <w:vAlign w:val="bottom"/>
          </w:tcPr>
          <w:p w14:paraId="38E49B78"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F</w:t>
            </w:r>
          </w:p>
        </w:tc>
        <w:tc>
          <w:tcPr>
            <w:tcW w:w="933" w:type="dxa"/>
            <w:tcBorders>
              <w:top w:val="nil"/>
              <w:left w:val="single" w:sz="8" w:space="0" w:color="E0E0E0"/>
              <w:bottom w:val="single" w:sz="8" w:space="0" w:color="152935"/>
              <w:right w:val="nil"/>
            </w:tcBorders>
            <w:shd w:val="clear" w:color="auto" w:fill="FFFFFF"/>
            <w:vAlign w:val="bottom"/>
          </w:tcPr>
          <w:p w14:paraId="352D28A1"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Sig.</w:t>
            </w:r>
          </w:p>
        </w:tc>
      </w:tr>
      <w:tr w:rsidR="00A14C91" w:rsidRPr="00517162" w14:paraId="13E011B6" w14:textId="77777777" w:rsidTr="0090224C">
        <w:trPr>
          <w:cantSplit/>
          <w:trHeight w:val="328"/>
        </w:trPr>
        <w:tc>
          <w:tcPr>
            <w:tcW w:w="1617" w:type="dxa"/>
            <w:vMerge w:val="restart"/>
            <w:tcBorders>
              <w:top w:val="single" w:sz="8" w:space="0" w:color="152935"/>
              <w:left w:val="nil"/>
              <w:bottom w:val="nil"/>
              <w:right w:val="nil"/>
            </w:tcBorders>
            <w:shd w:val="clear" w:color="auto" w:fill="E0E0E0"/>
          </w:tcPr>
          <w:p w14:paraId="636444E7"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Pretest * Gender</w:t>
            </w:r>
          </w:p>
        </w:tc>
        <w:tc>
          <w:tcPr>
            <w:tcW w:w="1547" w:type="dxa"/>
            <w:tcBorders>
              <w:top w:val="single" w:sz="8" w:space="0" w:color="152935"/>
              <w:left w:val="nil"/>
              <w:bottom w:val="nil"/>
              <w:right w:val="nil"/>
            </w:tcBorders>
            <w:shd w:val="clear" w:color="auto" w:fill="E0E0E0"/>
          </w:tcPr>
          <w:p w14:paraId="18B4352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Between Groups</w:t>
            </w:r>
          </w:p>
        </w:tc>
        <w:tc>
          <w:tcPr>
            <w:tcW w:w="1185" w:type="dxa"/>
            <w:tcBorders>
              <w:top w:val="single" w:sz="8" w:space="0" w:color="152935"/>
              <w:left w:val="nil"/>
              <w:bottom w:val="nil"/>
              <w:right w:val="nil"/>
            </w:tcBorders>
            <w:shd w:val="clear" w:color="auto" w:fill="E0E0E0"/>
          </w:tcPr>
          <w:p w14:paraId="5466D2FB"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(Combined)</w:t>
            </w:r>
          </w:p>
        </w:tc>
        <w:tc>
          <w:tcPr>
            <w:tcW w:w="1338" w:type="dxa"/>
            <w:tcBorders>
              <w:top w:val="single" w:sz="8" w:space="0" w:color="152935"/>
              <w:left w:val="nil"/>
              <w:bottom w:val="nil"/>
              <w:right w:val="single" w:sz="8" w:space="0" w:color="E0E0E0"/>
            </w:tcBorders>
            <w:shd w:val="clear" w:color="auto" w:fill="FFFFFF"/>
          </w:tcPr>
          <w:p w14:paraId="07B8D688"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14.347</w:t>
            </w:r>
          </w:p>
        </w:tc>
        <w:tc>
          <w:tcPr>
            <w:tcW w:w="933" w:type="dxa"/>
            <w:tcBorders>
              <w:top w:val="single" w:sz="8" w:space="0" w:color="152935"/>
              <w:left w:val="single" w:sz="8" w:space="0" w:color="E0E0E0"/>
              <w:bottom w:val="nil"/>
              <w:right w:val="single" w:sz="8" w:space="0" w:color="E0E0E0"/>
            </w:tcBorders>
            <w:shd w:val="clear" w:color="auto" w:fill="FFFFFF"/>
          </w:tcPr>
          <w:p w14:paraId="590ACFB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w:t>
            </w:r>
          </w:p>
        </w:tc>
        <w:tc>
          <w:tcPr>
            <w:tcW w:w="1283" w:type="dxa"/>
            <w:tcBorders>
              <w:top w:val="single" w:sz="8" w:space="0" w:color="152935"/>
              <w:left w:val="single" w:sz="8" w:space="0" w:color="E0E0E0"/>
              <w:bottom w:val="nil"/>
              <w:right w:val="single" w:sz="8" w:space="0" w:color="E0E0E0"/>
            </w:tcBorders>
            <w:shd w:val="clear" w:color="auto" w:fill="FFFFFF"/>
          </w:tcPr>
          <w:p w14:paraId="0ED03F3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14.347</w:t>
            </w:r>
          </w:p>
        </w:tc>
        <w:tc>
          <w:tcPr>
            <w:tcW w:w="933" w:type="dxa"/>
            <w:tcBorders>
              <w:top w:val="single" w:sz="8" w:space="0" w:color="152935"/>
              <w:left w:val="single" w:sz="8" w:space="0" w:color="E0E0E0"/>
              <w:bottom w:val="nil"/>
              <w:right w:val="single" w:sz="8" w:space="0" w:color="E0E0E0"/>
            </w:tcBorders>
            <w:shd w:val="clear" w:color="auto" w:fill="FFFFFF"/>
          </w:tcPr>
          <w:p w14:paraId="66159AE9"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.078</w:t>
            </w:r>
          </w:p>
        </w:tc>
        <w:tc>
          <w:tcPr>
            <w:tcW w:w="933" w:type="dxa"/>
            <w:tcBorders>
              <w:top w:val="single" w:sz="8" w:space="0" w:color="152935"/>
              <w:left w:val="single" w:sz="8" w:space="0" w:color="E0E0E0"/>
              <w:bottom w:val="nil"/>
              <w:right w:val="nil"/>
            </w:tcBorders>
            <w:shd w:val="clear" w:color="auto" w:fill="FFFFFF"/>
          </w:tcPr>
          <w:p w14:paraId="65E4C17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.780</w:t>
            </w:r>
          </w:p>
        </w:tc>
      </w:tr>
      <w:tr w:rsidR="00A14C91" w:rsidRPr="00517162" w14:paraId="22AF7943" w14:textId="77777777" w:rsidTr="0090224C">
        <w:trPr>
          <w:cantSplit/>
          <w:trHeight w:val="359"/>
        </w:trPr>
        <w:tc>
          <w:tcPr>
            <w:tcW w:w="1617" w:type="dxa"/>
            <w:vMerge/>
            <w:tcBorders>
              <w:top w:val="single" w:sz="8" w:space="0" w:color="152935"/>
              <w:left w:val="nil"/>
              <w:bottom w:val="nil"/>
              <w:right w:val="nil"/>
            </w:tcBorders>
            <w:shd w:val="clear" w:color="auto" w:fill="E0E0E0"/>
          </w:tcPr>
          <w:p w14:paraId="16142E2A"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2733" w:type="dxa"/>
            <w:gridSpan w:val="2"/>
            <w:tcBorders>
              <w:top w:val="single" w:sz="8" w:space="0" w:color="AEAEAE"/>
              <w:left w:val="nil"/>
              <w:bottom w:val="nil"/>
              <w:right w:val="nil"/>
            </w:tcBorders>
            <w:shd w:val="clear" w:color="auto" w:fill="E0E0E0"/>
          </w:tcPr>
          <w:p w14:paraId="1F3BB9D5"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Within Groups</w:t>
            </w:r>
          </w:p>
        </w:tc>
        <w:tc>
          <w:tcPr>
            <w:tcW w:w="1338" w:type="dxa"/>
            <w:tcBorders>
              <w:top w:val="single" w:sz="8" w:space="0" w:color="AEAEAE"/>
              <w:left w:val="nil"/>
              <w:bottom w:val="nil"/>
              <w:right w:val="single" w:sz="8" w:space="0" w:color="E0E0E0"/>
            </w:tcBorders>
            <w:shd w:val="clear" w:color="auto" w:fill="FFFFFF"/>
          </w:tcPr>
          <w:p w14:paraId="5154D92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392183.511</w:t>
            </w:r>
          </w:p>
        </w:tc>
        <w:tc>
          <w:tcPr>
            <w:tcW w:w="933" w:type="dxa"/>
            <w:tcBorders>
              <w:top w:val="single" w:sz="8" w:space="0" w:color="AEAEAE"/>
              <w:left w:val="single" w:sz="8" w:space="0" w:color="E0E0E0"/>
              <w:bottom w:val="nil"/>
              <w:right w:val="single" w:sz="8" w:space="0" w:color="E0E0E0"/>
            </w:tcBorders>
            <w:shd w:val="clear" w:color="auto" w:fill="FFFFFF"/>
          </w:tcPr>
          <w:p w14:paraId="3F1C610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2131</w:t>
            </w:r>
          </w:p>
        </w:tc>
        <w:tc>
          <w:tcPr>
            <w:tcW w:w="1283" w:type="dxa"/>
            <w:tcBorders>
              <w:top w:val="single" w:sz="8" w:space="0" w:color="AEAEAE"/>
              <w:left w:val="single" w:sz="8" w:space="0" w:color="E0E0E0"/>
              <w:bottom w:val="nil"/>
              <w:right w:val="single" w:sz="8" w:space="0" w:color="E0E0E0"/>
            </w:tcBorders>
            <w:shd w:val="clear" w:color="auto" w:fill="FFFFFF"/>
          </w:tcPr>
          <w:p w14:paraId="3EC3F10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184.037</w:t>
            </w:r>
          </w:p>
        </w:tc>
        <w:tc>
          <w:tcPr>
            <w:tcW w:w="933" w:type="dxa"/>
            <w:tcBorders>
              <w:top w:val="single" w:sz="8" w:space="0" w:color="AEAEAE"/>
              <w:left w:val="single" w:sz="8" w:space="0" w:color="E0E0E0"/>
              <w:bottom w:val="nil"/>
              <w:right w:val="single" w:sz="8" w:space="0" w:color="E0E0E0"/>
            </w:tcBorders>
            <w:shd w:val="clear" w:color="auto" w:fill="FFFFFF"/>
            <w:vAlign w:val="center"/>
          </w:tcPr>
          <w:p w14:paraId="7E03B545"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933" w:type="dxa"/>
            <w:tcBorders>
              <w:top w:val="single" w:sz="8" w:space="0" w:color="AEAEAE"/>
              <w:left w:val="single" w:sz="8" w:space="0" w:color="E0E0E0"/>
              <w:bottom w:val="nil"/>
              <w:right w:val="nil"/>
            </w:tcBorders>
            <w:shd w:val="clear" w:color="auto" w:fill="FFFFFF"/>
            <w:vAlign w:val="center"/>
          </w:tcPr>
          <w:p w14:paraId="6F4E1CB0"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r w:rsidR="00A14C91" w:rsidRPr="00517162" w14:paraId="40D1BEEF" w14:textId="77777777" w:rsidTr="0090224C">
        <w:trPr>
          <w:cantSplit/>
          <w:trHeight w:val="359"/>
        </w:trPr>
        <w:tc>
          <w:tcPr>
            <w:tcW w:w="1617" w:type="dxa"/>
            <w:vMerge/>
            <w:tcBorders>
              <w:top w:val="single" w:sz="8" w:space="0" w:color="152935"/>
              <w:left w:val="nil"/>
              <w:bottom w:val="nil"/>
              <w:right w:val="nil"/>
            </w:tcBorders>
            <w:shd w:val="clear" w:color="auto" w:fill="E0E0E0"/>
          </w:tcPr>
          <w:p w14:paraId="40CBB36A"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2733" w:type="dxa"/>
            <w:gridSpan w:val="2"/>
            <w:tcBorders>
              <w:top w:val="single" w:sz="8" w:space="0" w:color="AEAEAE"/>
              <w:left w:val="nil"/>
              <w:bottom w:val="nil"/>
              <w:right w:val="nil"/>
            </w:tcBorders>
            <w:shd w:val="clear" w:color="auto" w:fill="E0E0E0"/>
          </w:tcPr>
          <w:p w14:paraId="61AECC9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1338" w:type="dxa"/>
            <w:tcBorders>
              <w:top w:val="single" w:sz="8" w:space="0" w:color="AEAEAE"/>
              <w:left w:val="nil"/>
              <w:bottom w:val="nil"/>
              <w:right w:val="single" w:sz="8" w:space="0" w:color="E0E0E0"/>
            </w:tcBorders>
            <w:shd w:val="clear" w:color="auto" w:fill="FFFFFF"/>
          </w:tcPr>
          <w:p w14:paraId="09EA8F1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392197.857</w:t>
            </w:r>
          </w:p>
        </w:tc>
        <w:tc>
          <w:tcPr>
            <w:tcW w:w="933" w:type="dxa"/>
            <w:tcBorders>
              <w:top w:val="single" w:sz="8" w:space="0" w:color="AEAEAE"/>
              <w:left w:val="single" w:sz="8" w:space="0" w:color="E0E0E0"/>
              <w:bottom w:val="nil"/>
              <w:right w:val="single" w:sz="8" w:space="0" w:color="E0E0E0"/>
            </w:tcBorders>
            <w:shd w:val="clear" w:color="auto" w:fill="FFFFFF"/>
          </w:tcPr>
          <w:p w14:paraId="0680834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2132</w:t>
            </w:r>
          </w:p>
        </w:tc>
        <w:tc>
          <w:tcPr>
            <w:tcW w:w="1283" w:type="dxa"/>
            <w:tcBorders>
              <w:top w:val="single" w:sz="8" w:space="0" w:color="AEAEAE"/>
              <w:left w:val="single" w:sz="8" w:space="0" w:color="E0E0E0"/>
              <w:bottom w:val="nil"/>
              <w:right w:val="single" w:sz="8" w:space="0" w:color="E0E0E0"/>
            </w:tcBorders>
            <w:shd w:val="clear" w:color="auto" w:fill="FFFFFF"/>
            <w:vAlign w:val="center"/>
          </w:tcPr>
          <w:p w14:paraId="0B3A1D48"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933" w:type="dxa"/>
            <w:tcBorders>
              <w:top w:val="single" w:sz="8" w:space="0" w:color="AEAEAE"/>
              <w:left w:val="single" w:sz="8" w:space="0" w:color="E0E0E0"/>
              <w:bottom w:val="nil"/>
              <w:right w:val="single" w:sz="8" w:space="0" w:color="E0E0E0"/>
            </w:tcBorders>
            <w:shd w:val="clear" w:color="auto" w:fill="FFFFFF"/>
            <w:vAlign w:val="center"/>
          </w:tcPr>
          <w:p w14:paraId="4F8213BE"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933" w:type="dxa"/>
            <w:tcBorders>
              <w:top w:val="single" w:sz="8" w:space="0" w:color="AEAEAE"/>
              <w:left w:val="single" w:sz="8" w:space="0" w:color="E0E0E0"/>
              <w:bottom w:val="nil"/>
              <w:right w:val="nil"/>
            </w:tcBorders>
            <w:shd w:val="clear" w:color="auto" w:fill="FFFFFF"/>
            <w:vAlign w:val="center"/>
          </w:tcPr>
          <w:p w14:paraId="4C3C4FE4"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r w:rsidR="00A14C91" w:rsidRPr="00517162" w14:paraId="2774054A" w14:textId="77777777" w:rsidTr="0090224C">
        <w:trPr>
          <w:cantSplit/>
          <w:trHeight w:val="328"/>
        </w:trPr>
        <w:tc>
          <w:tcPr>
            <w:tcW w:w="1617" w:type="dxa"/>
            <w:vMerge w:val="restart"/>
            <w:tcBorders>
              <w:top w:val="single" w:sz="8" w:space="0" w:color="AEAEAE"/>
              <w:left w:val="nil"/>
              <w:bottom w:val="single" w:sz="8" w:space="0" w:color="152935"/>
              <w:right w:val="nil"/>
            </w:tcBorders>
            <w:shd w:val="clear" w:color="auto" w:fill="E0E0E0"/>
          </w:tcPr>
          <w:p w14:paraId="4996C04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Posttest * Gender</w:t>
            </w:r>
          </w:p>
        </w:tc>
        <w:tc>
          <w:tcPr>
            <w:tcW w:w="1547" w:type="dxa"/>
            <w:tcBorders>
              <w:top w:val="single" w:sz="8" w:space="0" w:color="AEAEAE"/>
              <w:left w:val="nil"/>
              <w:bottom w:val="nil"/>
              <w:right w:val="nil"/>
            </w:tcBorders>
            <w:shd w:val="clear" w:color="auto" w:fill="E0E0E0"/>
          </w:tcPr>
          <w:p w14:paraId="375A2088"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Between Groups</w:t>
            </w:r>
          </w:p>
        </w:tc>
        <w:tc>
          <w:tcPr>
            <w:tcW w:w="1185" w:type="dxa"/>
            <w:tcBorders>
              <w:top w:val="single" w:sz="8" w:space="0" w:color="AEAEAE"/>
              <w:left w:val="nil"/>
              <w:bottom w:val="nil"/>
              <w:right w:val="nil"/>
            </w:tcBorders>
            <w:shd w:val="clear" w:color="auto" w:fill="E0E0E0"/>
          </w:tcPr>
          <w:p w14:paraId="179ECD9C"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(Combined)</w:t>
            </w:r>
          </w:p>
        </w:tc>
        <w:tc>
          <w:tcPr>
            <w:tcW w:w="1338" w:type="dxa"/>
            <w:tcBorders>
              <w:top w:val="single" w:sz="8" w:space="0" w:color="AEAEAE"/>
              <w:left w:val="nil"/>
              <w:bottom w:val="nil"/>
              <w:right w:val="single" w:sz="8" w:space="0" w:color="E0E0E0"/>
            </w:tcBorders>
            <w:shd w:val="clear" w:color="auto" w:fill="FFFFFF"/>
          </w:tcPr>
          <w:p w14:paraId="4242A919"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19.869</w:t>
            </w:r>
          </w:p>
        </w:tc>
        <w:tc>
          <w:tcPr>
            <w:tcW w:w="933" w:type="dxa"/>
            <w:tcBorders>
              <w:top w:val="single" w:sz="8" w:space="0" w:color="AEAEAE"/>
              <w:left w:val="single" w:sz="8" w:space="0" w:color="E0E0E0"/>
              <w:bottom w:val="nil"/>
              <w:right w:val="single" w:sz="8" w:space="0" w:color="E0E0E0"/>
            </w:tcBorders>
            <w:shd w:val="clear" w:color="auto" w:fill="FFFFFF"/>
          </w:tcPr>
          <w:p w14:paraId="125DEC3E"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w:t>
            </w:r>
          </w:p>
        </w:tc>
        <w:tc>
          <w:tcPr>
            <w:tcW w:w="1283" w:type="dxa"/>
            <w:tcBorders>
              <w:top w:val="single" w:sz="8" w:space="0" w:color="AEAEAE"/>
              <w:left w:val="single" w:sz="8" w:space="0" w:color="E0E0E0"/>
              <w:bottom w:val="nil"/>
              <w:right w:val="single" w:sz="8" w:space="0" w:color="E0E0E0"/>
            </w:tcBorders>
            <w:shd w:val="clear" w:color="auto" w:fill="FFFFFF"/>
          </w:tcPr>
          <w:p w14:paraId="383CB6EE"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19.869</w:t>
            </w:r>
          </w:p>
        </w:tc>
        <w:tc>
          <w:tcPr>
            <w:tcW w:w="933" w:type="dxa"/>
            <w:tcBorders>
              <w:top w:val="single" w:sz="8" w:space="0" w:color="AEAEAE"/>
              <w:left w:val="single" w:sz="8" w:space="0" w:color="E0E0E0"/>
              <w:bottom w:val="nil"/>
              <w:right w:val="single" w:sz="8" w:space="0" w:color="E0E0E0"/>
            </w:tcBorders>
            <w:shd w:val="clear" w:color="auto" w:fill="FFFFFF"/>
          </w:tcPr>
          <w:p w14:paraId="0C4288FA"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.102</w:t>
            </w:r>
          </w:p>
        </w:tc>
        <w:tc>
          <w:tcPr>
            <w:tcW w:w="933" w:type="dxa"/>
            <w:tcBorders>
              <w:top w:val="single" w:sz="8" w:space="0" w:color="AEAEAE"/>
              <w:left w:val="single" w:sz="8" w:space="0" w:color="E0E0E0"/>
              <w:bottom w:val="nil"/>
              <w:right w:val="nil"/>
            </w:tcBorders>
            <w:shd w:val="clear" w:color="auto" w:fill="FFFFFF"/>
          </w:tcPr>
          <w:p w14:paraId="6F8DA15B"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.750</w:t>
            </w:r>
          </w:p>
        </w:tc>
      </w:tr>
      <w:tr w:rsidR="00A14C91" w:rsidRPr="00517162" w14:paraId="16031C45" w14:textId="77777777" w:rsidTr="0090224C">
        <w:trPr>
          <w:cantSplit/>
          <w:trHeight w:val="359"/>
        </w:trPr>
        <w:tc>
          <w:tcPr>
            <w:tcW w:w="1617" w:type="dxa"/>
            <w:vMerge/>
            <w:tcBorders>
              <w:top w:val="single" w:sz="8" w:space="0" w:color="AEAEAE"/>
              <w:left w:val="nil"/>
              <w:bottom w:val="single" w:sz="8" w:space="0" w:color="152935"/>
              <w:right w:val="nil"/>
            </w:tcBorders>
            <w:shd w:val="clear" w:color="auto" w:fill="E0E0E0"/>
          </w:tcPr>
          <w:p w14:paraId="28FBAAA5"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2733" w:type="dxa"/>
            <w:gridSpan w:val="2"/>
            <w:tcBorders>
              <w:top w:val="single" w:sz="8" w:space="0" w:color="AEAEAE"/>
              <w:left w:val="nil"/>
              <w:bottom w:val="nil"/>
              <w:right w:val="nil"/>
            </w:tcBorders>
            <w:shd w:val="clear" w:color="auto" w:fill="E0E0E0"/>
          </w:tcPr>
          <w:p w14:paraId="59CE4FB6"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Within Groups</w:t>
            </w:r>
          </w:p>
        </w:tc>
        <w:tc>
          <w:tcPr>
            <w:tcW w:w="1338" w:type="dxa"/>
            <w:tcBorders>
              <w:top w:val="single" w:sz="8" w:space="0" w:color="AEAEAE"/>
              <w:left w:val="nil"/>
              <w:bottom w:val="nil"/>
              <w:right w:val="single" w:sz="8" w:space="0" w:color="E0E0E0"/>
            </w:tcBorders>
            <w:shd w:val="clear" w:color="auto" w:fill="FFFFFF"/>
          </w:tcPr>
          <w:p w14:paraId="5AD4D5CD"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417063.851</w:t>
            </w:r>
          </w:p>
        </w:tc>
        <w:tc>
          <w:tcPr>
            <w:tcW w:w="933" w:type="dxa"/>
            <w:tcBorders>
              <w:top w:val="single" w:sz="8" w:space="0" w:color="AEAEAE"/>
              <w:left w:val="single" w:sz="8" w:space="0" w:color="E0E0E0"/>
              <w:bottom w:val="nil"/>
              <w:right w:val="single" w:sz="8" w:space="0" w:color="E0E0E0"/>
            </w:tcBorders>
            <w:shd w:val="clear" w:color="auto" w:fill="FFFFFF"/>
          </w:tcPr>
          <w:p w14:paraId="321B0DC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2131</w:t>
            </w:r>
          </w:p>
        </w:tc>
        <w:tc>
          <w:tcPr>
            <w:tcW w:w="1283" w:type="dxa"/>
            <w:tcBorders>
              <w:top w:val="single" w:sz="8" w:space="0" w:color="AEAEAE"/>
              <w:left w:val="single" w:sz="8" w:space="0" w:color="E0E0E0"/>
              <w:bottom w:val="nil"/>
              <w:right w:val="single" w:sz="8" w:space="0" w:color="E0E0E0"/>
            </w:tcBorders>
            <w:shd w:val="clear" w:color="auto" w:fill="FFFFFF"/>
          </w:tcPr>
          <w:p w14:paraId="52EBC81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195.713</w:t>
            </w:r>
          </w:p>
        </w:tc>
        <w:tc>
          <w:tcPr>
            <w:tcW w:w="933" w:type="dxa"/>
            <w:tcBorders>
              <w:top w:val="single" w:sz="8" w:space="0" w:color="AEAEAE"/>
              <w:left w:val="single" w:sz="8" w:space="0" w:color="E0E0E0"/>
              <w:bottom w:val="nil"/>
              <w:right w:val="single" w:sz="8" w:space="0" w:color="E0E0E0"/>
            </w:tcBorders>
            <w:shd w:val="clear" w:color="auto" w:fill="FFFFFF"/>
            <w:vAlign w:val="center"/>
          </w:tcPr>
          <w:p w14:paraId="3A67AA17"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933" w:type="dxa"/>
            <w:tcBorders>
              <w:top w:val="single" w:sz="8" w:space="0" w:color="AEAEAE"/>
              <w:left w:val="single" w:sz="8" w:space="0" w:color="E0E0E0"/>
              <w:bottom w:val="nil"/>
              <w:right w:val="nil"/>
            </w:tcBorders>
            <w:shd w:val="clear" w:color="auto" w:fill="FFFFFF"/>
            <w:vAlign w:val="center"/>
          </w:tcPr>
          <w:p w14:paraId="35F513BD"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r w:rsidR="00A14C91" w:rsidRPr="00517162" w14:paraId="48630E45" w14:textId="77777777" w:rsidTr="0090224C">
        <w:trPr>
          <w:cantSplit/>
          <w:trHeight w:val="359"/>
        </w:trPr>
        <w:tc>
          <w:tcPr>
            <w:tcW w:w="1617" w:type="dxa"/>
            <w:vMerge/>
            <w:tcBorders>
              <w:top w:val="single" w:sz="8" w:space="0" w:color="AEAEAE"/>
              <w:left w:val="nil"/>
              <w:bottom w:val="single" w:sz="8" w:space="0" w:color="152935"/>
              <w:right w:val="nil"/>
            </w:tcBorders>
            <w:shd w:val="clear" w:color="auto" w:fill="E0E0E0"/>
          </w:tcPr>
          <w:p w14:paraId="1060380B"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2733" w:type="dxa"/>
            <w:gridSpan w:val="2"/>
            <w:tcBorders>
              <w:top w:val="single" w:sz="8" w:space="0" w:color="AEAEAE"/>
              <w:left w:val="nil"/>
              <w:bottom w:val="single" w:sz="8" w:space="0" w:color="152935"/>
              <w:right w:val="nil"/>
            </w:tcBorders>
            <w:shd w:val="clear" w:color="auto" w:fill="E0E0E0"/>
          </w:tcPr>
          <w:p w14:paraId="5652C195"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1338" w:type="dxa"/>
            <w:tcBorders>
              <w:top w:val="single" w:sz="8" w:space="0" w:color="AEAEAE"/>
              <w:left w:val="nil"/>
              <w:bottom w:val="single" w:sz="8" w:space="0" w:color="152935"/>
              <w:right w:val="single" w:sz="8" w:space="0" w:color="E0E0E0"/>
            </w:tcBorders>
            <w:shd w:val="clear" w:color="auto" w:fill="FFFFFF"/>
          </w:tcPr>
          <w:p w14:paraId="3FD944D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417083.720</w:t>
            </w:r>
          </w:p>
        </w:tc>
        <w:tc>
          <w:tcPr>
            <w:tcW w:w="933" w:type="dxa"/>
            <w:tcBorders>
              <w:top w:val="single" w:sz="8" w:space="0" w:color="AEAEAE"/>
              <w:left w:val="single" w:sz="8" w:space="0" w:color="E0E0E0"/>
              <w:bottom w:val="single" w:sz="8" w:space="0" w:color="152935"/>
              <w:right w:val="single" w:sz="8" w:space="0" w:color="E0E0E0"/>
            </w:tcBorders>
            <w:shd w:val="clear" w:color="auto" w:fill="FFFFFF"/>
          </w:tcPr>
          <w:p w14:paraId="0D322860"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2132</w:t>
            </w:r>
          </w:p>
        </w:tc>
        <w:tc>
          <w:tcPr>
            <w:tcW w:w="128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43968F"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93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3F3C1D1"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933" w:type="dxa"/>
            <w:tcBorders>
              <w:top w:val="single" w:sz="8" w:space="0" w:color="AEAEAE"/>
              <w:left w:val="single" w:sz="8" w:space="0" w:color="E0E0E0"/>
              <w:bottom w:val="single" w:sz="8" w:space="0" w:color="152935"/>
              <w:right w:val="nil"/>
            </w:tcBorders>
            <w:shd w:val="clear" w:color="auto" w:fill="FFFFFF"/>
            <w:vAlign w:val="center"/>
          </w:tcPr>
          <w:p w14:paraId="295F4EE9"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bl>
    <w:p w14:paraId="1B274DCD"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4DE0780E"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significant level from the ANOVA table &gt;0.05, therefore we reject the null hypothesis and accept the alternative hypothesis. Thus, we can conclude that there is no significant difference between the male and female students. The conclusion is applied for both the pretest and posttest. </w:t>
      </w:r>
    </w:p>
    <w:p w14:paraId="376A8EF9" w14:textId="77777777" w:rsidR="00A14C91" w:rsidRPr="00517162" w:rsidRDefault="00A14C91" w:rsidP="00A14C91">
      <w:pPr>
        <w:autoSpaceDE w:val="0"/>
        <w:autoSpaceDN w:val="0"/>
        <w:adjustRightInd w:val="0"/>
        <w:spacing w:after="0" w:line="480" w:lineRule="auto"/>
        <w:jc w:val="both"/>
        <w:rPr>
          <w:rFonts w:ascii="Times New Roman" w:hAnsi="Times New Roman" w:cs="Times New Roman"/>
          <w:sz w:val="24"/>
          <w:szCs w:val="24"/>
        </w:rPr>
      </w:pPr>
      <w:r w:rsidRPr="00517162">
        <w:rPr>
          <w:rFonts w:ascii="Times New Roman" w:hAnsi="Times New Roman" w:cs="Times New Roman"/>
          <w:sz w:val="24"/>
          <w:szCs w:val="24"/>
        </w:rPr>
        <w:t xml:space="preserve">The table below is the ANOVA analysis result based on the </w:t>
      </w:r>
      <w:r w:rsidRPr="00517162">
        <w:rPr>
          <w:rFonts w:ascii="Times New Roman" w:hAnsi="Times New Roman" w:cs="Times New Roman"/>
          <w:i/>
          <w:sz w:val="24"/>
          <w:szCs w:val="24"/>
        </w:rPr>
        <w:t xml:space="preserve">Lunch </w:t>
      </w:r>
      <w:r w:rsidRPr="00517162">
        <w:rPr>
          <w:rFonts w:ascii="Times New Roman" w:hAnsi="Times New Roman" w:cs="Times New Roman"/>
          <w:sz w:val="24"/>
          <w:szCs w:val="24"/>
        </w:rPr>
        <w:t xml:space="preserve">variable. </w:t>
      </w:r>
    </w:p>
    <w:p w14:paraId="0DFBB0CA" w14:textId="77777777" w:rsidR="00A14C91" w:rsidRPr="00517162" w:rsidRDefault="00A14C91" w:rsidP="00A14C91">
      <w:pPr>
        <w:autoSpaceDE w:val="0"/>
        <w:autoSpaceDN w:val="0"/>
        <w:adjustRightInd w:val="0"/>
        <w:spacing w:after="0" w:line="480" w:lineRule="auto"/>
        <w:rPr>
          <w:rFonts w:ascii="Times New Roman" w:hAnsi="Times New Roman" w:cs="Times New Roman"/>
          <w:sz w:val="24"/>
          <w:szCs w:val="24"/>
        </w:rPr>
      </w:pPr>
    </w:p>
    <w:p w14:paraId="0BB9F00E"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sz w:val="24"/>
          <w:szCs w:val="24"/>
        </w:rPr>
        <w:t xml:space="preserve">Table. ANOVA analysis table </w:t>
      </w:r>
    </w:p>
    <w:tbl>
      <w:tblPr>
        <w:tblW w:w="104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30"/>
        <w:gridCol w:w="1660"/>
        <w:gridCol w:w="1271"/>
        <w:gridCol w:w="1434"/>
        <w:gridCol w:w="1001"/>
        <w:gridCol w:w="1374"/>
        <w:gridCol w:w="1061"/>
        <w:gridCol w:w="1003"/>
      </w:tblGrid>
      <w:tr w:rsidR="00A14C91" w:rsidRPr="00517162" w14:paraId="2E42831D" w14:textId="77777777" w:rsidTr="0090224C">
        <w:trPr>
          <w:cantSplit/>
          <w:trHeight w:val="328"/>
        </w:trPr>
        <w:tc>
          <w:tcPr>
            <w:tcW w:w="10434" w:type="dxa"/>
            <w:gridSpan w:val="8"/>
            <w:tcBorders>
              <w:top w:val="nil"/>
              <w:left w:val="nil"/>
              <w:bottom w:val="nil"/>
              <w:right w:val="nil"/>
            </w:tcBorders>
            <w:shd w:val="clear" w:color="auto" w:fill="FFFFFF"/>
            <w:vAlign w:val="center"/>
          </w:tcPr>
          <w:p w14:paraId="773B052D"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ANOVA Table</w:t>
            </w:r>
          </w:p>
        </w:tc>
      </w:tr>
      <w:tr w:rsidR="00A14C91" w:rsidRPr="00517162" w14:paraId="36A9E9AC" w14:textId="77777777" w:rsidTr="0090224C">
        <w:trPr>
          <w:cantSplit/>
          <w:trHeight w:val="344"/>
        </w:trPr>
        <w:tc>
          <w:tcPr>
            <w:tcW w:w="4561" w:type="dxa"/>
            <w:gridSpan w:val="3"/>
            <w:tcBorders>
              <w:top w:val="nil"/>
              <w:left w:val="nil"/>
              <w:bottom w:val="single" w:sz="8" w:space="0" w:color="152935"/>
              <w:right w:val="nil"/>
            </w:tcBorders>
            <w:shd w:val="clear" w:color="auto" w:fill="FFFFFF"/>
            <w:vAlign w:val="bottom"/>
          </w:tcPr>
          <w:p w14:paraId="48ACBB70"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434" w:type="dxa"/>
            <w:tcBorders>
              <w:top w:val="nil"/>
              <w:left w:val="nil"/>
              <w:bottom w:val="single" w:sz="8" w:space="0" w:color="152935"/>
              <w:right w:val="single" w:sz="8" w:space="0" w:color="E0E0E0"/>
            </w:tcBorders>
            <w:shd w:val="clear" w:color="auto" w:fill="FFFFFF"/>
            <w:vAlign w:val="bottom"/>
          </w:tcPr>
          <w:p w14:paraId="259F919A"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Sum of Squares</w:t>
            </w:r>
          </w:p>
        </w:tc>
        <w:tc>
          <w:tcPr>
            <w:tcW w:w="1001" w:type="dxa"/>
            <w:tcBorders>
              <w:top w:val="nil"/>
              <w:left w:val="single" w:sz="8" w:space="0" w:color="E0E0E0"/>
              <w:bottom w:val="single" w:sz="8" w:space="0" w:color="152935"/>
              <w:right w:val="single" w:sz="8" w:space="0" w:color="E0E0E0"/>
            </w:tcBorders>
            <w:shd w:val="clear" w:color="auto" w:fill="FFFFFF"/>
            <w:vAlign w:val="bottom"/>
          </w:tcPr>
          <w:p w14:paraId="75A19995"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df</w:t>
            </w:r>
          </w:p>
        </w:tc>
        <w:tc>
          <w:tcPr>
            <w:tcW w:w="1374" w:type="dxa"/>
            <w:tcBorders>
              <w:top w:val="nil"/>
              <w:left w:val="single" w:sz="8" w:space="0" w:color="E0E0E0"/>
              <w:bottom w:val="single" w:sz="8" w:space="0" w:color="152935"/>
              <w:right w:val="single" w:sz="8" w:space="0" w:color="E0E0E0"/>
            </w:tcBorders>
            <w:shd w:val="clear" w:color="auto" w:fill="FFFFFF"/>
            <w:vAlign w:val="bottom"/>
          </w:tcPr>
          <w:p w14:paraId="538DE4C2"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Mean Square</w:t>
            </w:r>
          </w:p>
        </w:tc>
        <w:tc>
          <w:tcPr>
            <w:tcW w:w="1061" w:type="dxa"/>
            <w:tcBorders>
              <w:top w:val="nil"/>
              <w:left w:val="single" w:sz="8" w:space="0" w:color="E0E0E0"/>
              <w:bottom w:val="single" w:sz="8" w:space="0" w:color="152935"/>
              <w:right w:val="single" w:sz="8" w:space="0" w:color="E0E0E0"/>
            </w:tcBorders>
            <w:shd w:val="clear" w:color="auto" w:fill="FFFFFF"/>
            <w:vAlign w:val="bottom"/>
          </w:tcPr>
          <w:p w14:paraId="058DDB98"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F</w:t>
            </w:r>
          </w:p>
        </w:tc>
        <w:tc>
          <w:tcPr>
            <w:tcW w:w="1001" w:type="dxa"/>
            <w:tcBorders>
              <w:top w:val="nil"/>
              <w:left w:val="single" w:sz="8" w:space="0" w:color="E0E0E0"/>
              <w:bottom w:val="single" w:sz="8" w:space="0" w:color="152935"/>
              <w:right w:val="nil"/>
            </w:tcBorders>
            <w:shd w:val="clear" w:color="auto" w:fill="FFFFFF"/>
            <w:vAlign w:val="bottom"/>
          </w:tcPr>
          <w:p w14:paraId="2E2E0606"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Sig.</w:t>
            </w:r>
          </w:p>
        </w:tc>
      </w:tr>
      <w:tr w:rsidR="00A14C91" w:rsidRPr="00517162" w14:paraId="7F95318A" w14:textId="77777777" w:rsidTr="0090224C">
        <w:trPr>
          <w:cantSplit/>
          <w:trHeight w:val="328"/>
        </w:trPr>
        <w:tc>
          <w:tcPr>
            <w:tcW w:w="1630" w:type="dxa"/>
            <w:vMerge w:val="restart"/>
            <w:tcBorders>
              <w:top w:val="single" w:sz="8" w:space="0" w:color="152935"/>
              <w:left w:val="nil"/>
              <w:bottom w:val="nil"/>
              <w:right w:val="nil"/>
            </w:tcBorders>
            <w:shd w:val="clear" w:color="auto" w:fill="E0E0E0"/>
          </w:tcPr>
          <w:p w14:paraId="2F764EFE"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Pretest * Lunch</w:t>
            </w:r>
          </w:p>
        </w:tc>
        <w:tc>
          <w:tcPr>
            <w:tcW w:w="1660" w:type="dxa"/>
            <w:tcBorders>
              <w:top w:val="single" w:sz="8" w:space="0" w:color="152935"/>
              <w:left w:val="nil"/>
              <w:bottom w:val="nil"/>
              <w:right w:val="nil"/>
            </w:tcBorders>
            <w:shd w:val="clear" w:color="auto" w:fill="E0E0E0"/>
          </w:tcPr>
          <w:p w14:paraId="68C12224"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Between Groups</w:t>
            </w:r>
          </w:p>
        </w:tc>
        <w:tc>
          <w:tcPr>
            <w:tcW w:w="1271" w:type="dxa"/>
            <w:tcBorders>
              <w:top w:val="single" w:sz="8" w:space="0" w:color="152935"/>
              <w:left w:val="nil"/>
              <w:bottom w:val="nil"/>
              <w:right w:val="nil"/>
            </w:tcBorders>
            <w:shd w:val="clear" w:color="auto" w:fill="E0E0E0"/>
          </w:tcPr>
          <w:p w14:paraId="54479DF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(Combined)</w:t>
            </w:r>
          </w:p>
        </w:tc>
        <w:tc>
          <w:tcPr>
            <w:tcW w:w="1434" w:type="dxa"/>
            <w:tcBorders>
              <w:top w:val="single" w:sz="8" w:space="0" w:color="152935"/>
              <w:left w:val="nil"/>
              <w:bottom w:val="nil"/>
              <w:right w:val="single" w:sz="8" w:space="0" w:color="E0E0E0"/>
            </w:tcBorders>
            <w:shd w:val="clear" w:color="auto" w:fill="FFFFFF"/>
          </w:tcPr>
          <w:p w14:paraId="5A82D860"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151940.220</w:t>
            </w:r>
          </w:p>
        </w:tc>
        <w:tc>
          <w:tcPr>
            <w:tcW w:w="1001" w:type="dxa"/>
            <w:tcBorders>
              <w:top w:val="single" w:sz="8" w:space="0" w:color="152935"/>
              <w:left w:val="single" w:sz="8" w:space="0" w:color="E0E0E0"/>
              <w:bottom w:val="nil"/>
              <w:right w:val="single" w:sz="8" w:space="0" w:color="E0E0E0"/>
            </w:tcBorders>
            <w:shd w:val="clear" w:color="auto" w:fill="FFFFFF"/>
          </w:tcPr>
          <w:p w14:paraId="68B3D30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w:t>
            </w:r>
          </w:p>
        </w:tc>
        <w:tc>
          <w:tcPr>
            <w:tcW w:w="1374" w:type="dxa"/>
            <w:tcBorders>
              <w:top w:val="single" w:sz="8" w:space="0" w:color="152935"/>
              <w:left w:val="single" w:sz="8" w:space="0" w:color="E0E0E0"/>
              <w:bottom w:val="nil"/>
              <w:right w:val="single" w:sz="8" w:space="0" w:color="E0E0E0"/>
            </w:tcBorders>
            <w:shd w:val="clear" w:color="auto" w:fill="FFFFFF"/>
          </w:tcPr>
          <w:p w14:paraId="55B4CDC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151940.220</w:t>
            </w:r>
          </w:p>
        </w:tc>
        <w:tc>
          <w:tcPr>
            <w:tcW w:w="1061" w:type="dxa"/>
            <w:tcBorders>
              <w:top w:val="single" w:sz="8" w:space="0" w:color="152935"/>
              <w:left w:val="single" w:sz="8" w:space="0" w:color="E0E0E0"/>
              <w:bottom w:val="nil"/>
              <w:right w:val="single" w:sz="8" w:space="0" w:color="E0E0E0"/>
            </w:tcBorders>
            <w:shd w:val="clear" w:color="auto" w:fill="FFFFFF"/>
          </w:tcPr>
          <w:p w14:paraId="14471147"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1347.656</w:t>
            </w:r>
          </w:p>
        </w:tc>
        <w:tc>
          <w:tcPr>
            <w:tcW w:w="1001" w:type="dxa"/>
            <w:tcBorders>
              <w:top w:val="single" w:sz="8" w:space="0" w:color="152935"/>
              <w:left w:val="single" w:sz="8" w:space="0" w:color="E0E0E0"/>
              <w:bottom w:val="nil"/>
              <w:right w:val="nil"/>
            </w:tcBorders>
            <w:shd w:val="clear" w:color="auto" w:fill="FFFFFF"/>
          </w:tcPr>
          <w:p w14:paraId="056E9D4C"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.000</w:t>
            </w:r>
          </w:p>
        </w:tc>
      </w:tr>
      <w:tr w:rsidR="00A14C91" w:rsidRPr="00517162" w14:paraId="772E694E" w14:textId="77777777" w:rsidTr="0090224C">
        <w:trPr>
          <w:cantSplit/>
          <w:trHeight w:val="359"/>
        </w:trPr>
        <w:tc>
          <w:tcPr>
            <w:tcW w:w="1630" w:type="dxa"/>
            <w:vMerge/>
            <w:tcBorders>
              <w:top w:val="single" w:sz="8" w:space="0" w:color="152935"/>
              <w:left w:val="nil"/>
              <w:bottom w:val="nil"/>
              <w:right w:val="nil"/>
            </w:tcBorders>
            <w:shd w:val="clear" w:color="auto" w:fill="E0E0E0"/>
          </w:tcPr>
          <w:p w14:paraId="199A7F89"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2931" w:type="dxa"/>
            <w:gridSpan w:val="2"/>
            <w:tcBorders>
              <w:top w:val="single" w:sz="8" w:space="0" w:color="AEAEAE"/>
              <w:left w:val="nil"/>
              <w:bottom w:val="nil"/>
              <w:right w:val="nil"/>
            </w:tcBorders>
            <w:shd w:val="clear" w:color="auto" w:fill="E0E0E0"/>
          </w:tcPr>
          <w:p w14:paraId="571B5CBF"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Within Groups</w:t>
            </w:r>
          </w:p>
        </w:tc>
        <w:tc>
          <w:tcPr>
            <w:tcW w:w="1434" w:type="dxa"/>
            <w:tcBorders>
              <w:top w:val="single" w:sz="8" w:space="0" w:color="AEAEAE"/>
              <w:left w:val="nil"/>
              <w:bottom w:val="nil"/>
              <w:right w:val="single" w:sz="8" w:space="0" w:color="E0E0E0"/>
            </w:tcBorders>
            <w:shd w:val="clear" w:color="auto" w:fill="FFFFFF"/>
          </w:tcPr>
          <w:p w14:paraId="4FC1EB2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240257.637</w:t>
            </w:r>
          </w:p>
        </w:tc>
        <w:tc>
          <w:tcPr>
            <w:tcW w:w="1001" w:type="dxa"/>
            <w:tcBorders>
              <w:top w:val="single" w:sz="8" w:space="0" w:color="AEAEAE"/>
              <w:left w:val="single" w:sz="8" w:space="0" w:color="E0E0E0"/>
              <w:bottom w:val="nil"/>
              <w:right w:val="single" w:sz="8" w:space="0" w:color="E0E0E0"/>
            </w:tcBorders>
            <w:shd w:val="clear" w:color="auto" w:fill="FFFFFF"/>
          </w:tcPr>
          <w:p w14:paraId="5D66C98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2131</w:t>
            </w:r>
          </w:p>
        </w:tc>
        <w:tc>
          <w:tcPr>
            <w:tcW w:w="1374" w:type="dxa"/>
            <w:tcBorders>
              <w:top w:val="single" w:sz="8" w:space="0" w:color="AEAEAE"/>
              <w:left w:val="single" w:sz="8" w:space="0" w:color="E0E0E0"/>
              <w:bottom w:val="nil"/>
              <w:right w:val="single" w:sz="8" w:space="0" w:color="E0E0E0"/>
            </w:tcBorders>
            <w:shd w:val="clear" w:color="auto" w:fill="FFFFFF"/>
          </w:tcPr>
          <w:p w14:paraId="4B4E06C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112.744</w:t>
            </w:r>
          </w:p>
        </w:tc>
        <w:tc>
          <w:tcPr>
            <w:tcW w:w="1061" w:type="dxa"/>
            <w:tcBorders>
              <w:top w:val="single" w:sz="8" w:space="0" w:color="AEAEAE"/>
              <w:left w:val="single" w:sz="8" w:space="0" w:color="E0E0E0"/>
              <w:bottom w:val="nil"/>
              <w:right w:val="single" w:sz="8" w:space="0" w:color="E0E0E0"/>
            </w:tcBorders>
            <w:shd w:val="clear" w:color="auto" w:fill="FFFFFF"/>
            <w:vAlign w:val="center"/>
          </w:tcPr>
          <w:p w14:paraId="0B66C5C1"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01" w:type="dxa"/>
            <w:tcBorders>
              <w:top w:val="single" w:sz="8" w:space="0" w:color="AEAEAE"/>
              <w:left w:val="single" w:sz="8" w:space="0" w:color="E0E0E0"/>
              <w:bottom w:val="nil"/>
              <w:right w:val="nil"/>
            </w:tcBorders>
            <w:shd w:val="clear" w:color="auto" w:fill="FFFFFF"/>
            <w:vAlign w:val="center"/>
          </w:tcPr>
          <w:p w14:paraId="00BD3F34"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r w:rsidR="00A14C91" w:rsidRPr="00517162" w14:paraId="644A5F2C" w14:textId="77777777" w:rsidTr="0090224C">
        <w:trPr>
          <w:cantSplit/>
          <w:trHeight w:val="359"/>
        </w:trPr>
        <w:tc>
          <w:tcPr>
            <w:tcW w:w="1630" w:type="dxa"/>
            <w:vMerge/>
            <w:tcBorders>
              <w:top w:val="single" w:sz="8" w:space="0" w:color="152935"/>
              <w:left w:val="nil"/>
              <w:bottom w:val="nil"/>
              <w:right w:val="nil"/>
            </w:tcBorders>
            <w:shd w:val="clear" w:color="auto" w:fill="E0E0E0"/>
          </w:tcPr>
          <w:p w14:paraId="4A8AD71D"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2931" w:type="dxa"/>
            <w:gridSpan w:val="2"/>
            <w:tcBorders>
              <w:top w:val="single" w:sz="8" w:space="0" w:color="AEAEAE"/>
              <w:left w:val="nil"/>
              <w:bottom w:val="nil"/>
              <w:right w:val="nil"/>
            </w:tcBorders>
            <w:shd w:val="clear" w:color="auto" w:fill="E0E0E0"/>
          </w:tcPr>
          <w:p w14:paraId="4B6B49A1"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1434" w:type="dxa"/>
            <w:tcBorders>
              <w:top w:val="single" w:sz="8" w:space="0" w:color="AEAEAE"/>
              <w:left w:val="nil"/>
              <w:bottom w:val="nil"/>
              <w:right w:val="single" w:sz="8" w:space="0" w:color="E0E0E0"/>
            </w:tcBorders>
            <w:shd w:val="clear" w:color="auto" w:fill="FFFFFF"/>
          </w:tcPr>
          <w:p w14:paraId="6DF4740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392197.857</w:t>
            </w:r>
          </w:p>
        </w:tc>
        <w:tc>
          <w:tcPr>
            <w:tcW w:w="1001" w:type="dxa"/>
            <w:tcBorders>
              <w:top w:val="single" w:sz="8" w:space="0" w:color="AEAEAE"/>
              <w:left w:val="single" w:sz="8" w:space="0" w:color="E0E0E0"/>
              <w:bottom w:val="nil"/>
              <w:right w:val="single" w:sz="8" w:space="0" w:color="E0E0E0"/>
            </w:tcBorders>
            <w:shd w:val="clear" w:color="auto" w:fill="FFFFFF"/>
          </w:tcPr>
          <w:p w14:paraId="56137EB7"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2132</w:t>
            </w:r>
          </w:p>
        </w:tc>
        <w:tc>
          <w:tcPr>
            <w:tcW w:w="1374" w:type="dxa"/>
            <w:tcBorders>
              <w:top w:val="single" w:sz="8" w:space="0" w:color="AEAEAE"/>
              <w:left w:val="single" w:sz="8" w:space="0" w:color="E0E0E0"/>
              <w:bottom w:val="nil"/>
              <w:right w:val="single" w:sz="8" w:space="0" w:color="E0E0E0"/>
            </w:tcBorders>
            <w:shd w:val="clear" w:color="auto" w:fill="FFFFFF"/>
            <w:vAlign w:val="center"/>
          </w:tcPr>
          <w:p w14:paraId="44F11469"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61" w:type="dxa"/>
            <w:tcBorders>
              <w:top w:val="single" w:sz="8" w:space="0" w:color="AEAEAE"/>
              <w:left w:val="single" w:sz="8" w:space="0" w:color="E0E0E0"/>
              <w:bottom w:val="nil"/>
              <w:right w:val="single" w:sz="8" w:space="0" w:color="E0E0E0"/>
            </w:tcBorders>
            <w:shd w:val="clear" w:color="auto" w:fill="FFFFFF"/>
            <w:vAlign w:val="center"/>
          </w:tcPr>
          <w:p w14:paraId="6FA8E97E"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01" w:type="dxa"/>
            <w:tcBorders>
              <w:top w:val="single" w:sz="8" w:space="0" w:color="AEAEAE"/>
              <w:left w:val="single" w:sz="8" w:space="0" w:color="E0E0E0"/>
              <w:bottom w:val="nil"/>
              <w:right w:val="nil"/>
            </w:tcBorders>
            <w:shd w:val="clear" w:color="auto" w:fill="FFFFFF"/>
            <w:vAlign w:val="center"/>
          </w:tcPr>
          <w:p w14:paraId="3E126F73"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r w:rsidR="00A14C91" w:rsidRPr="00517162" w14:paraId="584D6D4A" w14:textId="77777777" w:rsidTr="0090224C">
        <w:trPr>
          <w:cantSplit/>
          <w:trHeight w:val="328"/>
        </w:trPr>
        <w:tc>
          <w:tcPr>
            <w:tcW w:w="1630" w:type="dxa"/>
            <w:vMerge w:val="restart"/>
            <w:tcBorders>
              <w:top w:val="single" w:sz="8" w:space="0" w:color="AEAEAE"/>
              <w:left w:val="nil"/>
              <w:bottom w:val="single" w:sz="8" w:space="0" w:color="152935"/>
              <w:right w:val="nil"/>
            </w:tcBorders>
            <w:shd w:val="clear" w:color="auto" w:fill="E0E0E0"/>
          </w:tcPr>
          <w:p w14:paraId="1432175E"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Posttest * Lunch</w:t>
            </w:r>
          </w:p>
        </w:tc>
        <w:tc>
          <w:tcPr>
            <w:tcW w:w="1660" w:type="dxa"/>
            <w:tcBorders>
              <w:top w:val="single" w:sz="8" w:space="0" w:color="AEAEAE"/>
              <w:left w:val="nil"/>
              <w:bottom w:val="nil"/>
              <w:right w:val="nil"/>
            </w:tcBorders>
            <w:shd w:val="clear" w:color="auto" w:fill="E0E0E0"/>
          </w:tcPr>
          <w:p w14:paraId="60B738B4"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Between Groups</w:t>
            </w:r>
          </w:p>
        </w:tc>
        <w:tc>
          <w:tcPr>
            <w:tcW w:w="1271" w:type="dxa"/>
            <w:tcBorders>
              <w:top w:val="single" w:sz="8" w:space="0" w:color="AEAEAE"/>
              <w:left w:val="nil"/>
              <w:bottom w:val="nil"/>
              <w:right w:val="nil"/>
            </w:tcBorders>
            <w:shd w:val="clear" w:color="auto" w:fill="E0E0E0"/>
          </w:tcPr>
          <w:p w14:paraId="70073D23"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(Combined)</w:t>
            </w:r>
          </w:p>
        </w:tc>
        <w:tc>
          <w:tcPr>
            <w:tcW w:w="1434" w:type="dxa"/>
            <w:tcBorders>
              <w:top w:val="single" w:sz="8" w:space="0" w:color="AEAEAE"/>
              <w:left w:val="nil"/>
              <w:bottom w:val="nil"/>
              <w:right w:val="single" w:sz="8" w:space="0" w:color="E0E0E0"/>
            </w:tcBorders>
            <w:shd w:val="clear" w:color="auto" w:fill="FFFFFF"/>
          </w:tcPr>
          <w:p w14:paraId="60C14932"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149335.888</w:t>
            </w:r>
          </w:p>
        </w:tc>
        <w:tc>
          <w:tcPr>
            <w:tcW w:w="1001" w:type="dxa"/>
            <w:tcBorders>
              <w:top w:val="single" w:sz="8" w:space="0" w:color="AEAEAE"/>
              <w:left w:val="single" w:sz="8" w:space="0" w:color="E0E0E0"/>
              <w:bottom w:val="nil"/>
              <w:right w:val="single" w:sz="8" w:space="0" w:color="E0E0E0"/>
            </w:tcBorders>
            <w:shd w:val="clear" w:color="auto" w:fill="FFFFFF"/>
          </w:tcPr>
          <w:p w14:paraId="7221E924"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w:t>
            </w:r>
          </w:p>
        </w:tc>
        <w:tc>
          <w:tcPr>
            <w:tcW w:w="1374" w:type="dxa"/>
            <w:tcBorders>
              <w:top w:val="single" w:sz="8" w:space="0" w:color="AEAEAE"/>
              <w:left w:val="single" w:sz="8" w:space="0" w:color="E0E0E0"/>
              <w:bottom w:val="nil"/>
              <w:right w:val="single" w:sz="8" w:space="0" w:color="E0E0E0"/>
            </w:tcBorders>
            <w:shd w:val="clear" w:color="auto" w:fill="FFFFFF"/>
          </w:tcPr>
          <w:p w14:paraId="19F9EC1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149335.888</w:t>
            </w:r>
          </w:p>
        </w:tc>
        <w:tc>
          <w:tcPr>
            <w:tcW w:w="1061" w:type="dxa"/>
            <w:tcBorders>
              <w:top w:val="single" w:sz="8" w:space="0" w:color="AEAEAE"/>
              <w:left w:val="single" w:sz="8" w:space="0" w:color="E0E0E0"/>
              <w:bottom w:val="nil"/>
              <w:right w:val="single" w:sz="8" w:space="0" w:color="E0E0E0"/>
            </w:tcBorders>
            <w:shd w:val="clear" w:color="auto" w:fill="FFFFFF"/>
          </w:tcPr>
          <w:p w14:paraId="23E2D1F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1188.562</w:t>
            </w:r>
          </w:p>
        </w:tc>
        <w:tc>
          <w:tcPr>
            <w:tcW w:w="1001" w:type="dxa"/>
            <w:tcBorders>
              <w:top w:val="single" w:sz="8" w:space="0" w:color="AEAEAE"/>
              <w:left w:val="single" w:sz="8" w:space="0" w:color="E0E0E0"/>
              <w:bottom w:val="nil"/>
              <w:right w:val="nil"/>
            </w:tcBorders>
            <w:shd w:val="clear" w:color="auto" w:fill="FFFFFF"/>
          </w:tcPr>
          <w:p w14:paraId="4F9D1578"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.000</w:t>
            </w:r>
          </w:p>
        </w:tc>
      </w:tr>
      <w:tr w:rsidR="00A14C91" w:rsidRPr="00517162" w14:paraId="540164E6" w14:textId="77777777" w:rsidTr="0090224C">
        <w:trPr>
          <w:cantSplit/>
          <w:trHeight w:val="359"/>
        </w:trPr>
        <w:tc>
          <w:tcPr>
            <w:tcW w:w="1630" w:type="dxa"/>
            <w:vMerge/>
            <w:tcBorders>
              <w:top w:val="single" w:sz="8" w:space="0" w:color="AEAEAE"/>
              <w:left w:val="nil"/>
              <w:bottom w:val="single" w:sz="8" w:space="0" w:color="152935"/>
              <w:right w:val="nil"/>
            </w:tcBorders>
            <w:shd w:val="clear" w:color="auto" w:fill="E0E0E0"/>
          </w:tcPr>
          <w:p w14:paraId="2D66A1C6"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2931" w:type="dxa"/>
            <w:gridSpan w:val="2"/>
            <w:tcBorders>
              <w:top w:val="single" w:sz="8" w:space="0" w:color="AEAEAE"/>
              <w:left w:val="nil"/>
              <w:bottom w:val="nil"/>
              <w:right w:val="nil"/>
            </w:tcBorders>
            <w:shd w:val="clear" w:color="auto" w:fill="E0E0E0"/>
          </w:tcPr>
          <w:p w14:paraId="5559065D"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Within Groups</w:t>
            </w:r>
          </w:p>
        </w:tc>
        <w:tc>
          <w:tcPr>
            <w:tcW w:w="1434" w:type="dxa"/>
            <w:tcBorders>
              <w:top w:val="single" w:sz="8" w:space="0" w:color="AEAEAE"/>
              <w:left w:val="nil"/>
              <w:bottom w:val="nil"/>
              <w:right w:val="single" w:sz="8" w:space="0" w:color="E0E0E0"/>
            </w:tcBorders>
            <w:shd w:val="clear" w:color="auto" w:fill="FFFFFF"/>
          </w:tcPr>
          <w:p w14:paraId="53560B08"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267747.832</w:t>
            </w:r>
          </w:p>
        </w:tc>
        <w:tc>
          <w:tcPr>
            <w:tcW w:w="1001" w:type="dxa"/>
            <w:tcBorders>
              <w:top w:val="single" w:sz="8" w:space="0" w:color="AEAEAE"/>
              <w:left w:val="single" w:sz="8" w:space="0" w:color="E0E0E0"/>
              <w:bottom w:val="nil"/>
              <w:right w:val="single" w:sz="8" w:space="0" w:color="E0E0E0"/>
            </w:tcBorders>
            <w:shd w:val="clear" w:color="auto" w:fill="FFFFFF"/>
          </w:tcPr>
          <w:p w14:paraId="26F2054E"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2131</w:t>
            </w:r>
          </w:p>
        </w:tc>
        <w:tc>
          <w:tcPr>
            <w:tcW w:w="1374" w:type="dxa"/>
            <w:tcBorders>
              <w:top w:val="single" w:sz="8" w:space="0" w:color="AEAEAE"/>
              <w:left w:val="single" w:sz="8" w:space="0" w:color="E0E0E0"/>
              <w:bottom w:val="nil"/>
              <w:right w:val="single" w:sz="8" w:space="0" w:color="E0E0E0"/>
            </w:tcBorders>
            <w:shd w:val="clear" w:color="auto" w:fill="FFFFFF"/>
          </w:tcPr>
          <w:p w14:paraId="2DC23B2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125.644</w:t>
            </w:r>
          </w:p>
        </w:tc>
        <w:tc>
          <w:tcPr>
            <w:tcW w:w="1061" w:type="dxa"/>
            <w:tcBorders>
              <w:top w:val="single" w:sz="8" w:space="0" w:color="AEAEAE"/>
              <w:left w:val="single" w:sz="8" w:space="0" w:color="E0E0E0"/>
              <w:bottom w:val="nil"/>
              <w:right w:val="single" w:sz="8" w:space="0" w:color="E0E0E0"/>
            </w:tcBorders>
            <w:shd w:val="clear" w:color="auto" w:fill="FFFFFF"/>
            <w:vAlign w:val="center"/>
          </w:tcPr>
          <w:p w14:paraId="0F65363F"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01" w:type="dxa"/>
            <w:tcBorders>
              <w:top w:val="single" w:sz="8" w:space="0" w:color="AEAEAE"/>
              <w:left w:val="single" w:sz="8" w:space="0" w:color="E0E0E0"/>
              <w:bottom w:val="nil"/>
              <w:right w:val="nil"/>
            </w:tcBorders>
            <w:shd w:val="clear" w:color="auto" w:fill="FFFFFF"/>
            <w:vAlign w:val="center"/>
          </w:tcPr>
          <w:p w14:paraId="38DEBCE5"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r w:rsidR="00A14C91" w:rsidRPr="00517162" w14:paraId="54A875A8" w14:textId="77777777" w:rsidTr="0090224C">
        <w:trPr>
          <w:cantSplit/>
          <w:trHeight w:val="359"/>
        </w:trPr>
        <w:tc>
          <w:tcPr>
            <w:tcW w:w="1630" w:type="dxa"/>
            <w:vMerge/>
            <w:tcBorders>
              <w:top w:val="single" w:sz="8" w:space="0" w:color="AEAEAE"/>
              <w:left w:val="nil"/>
              <w:bottom w:val="single" w:sz="8" w:space="0" w:color="152935"/>
              <w:right w:val="nil"/>
            </w:tcBorders>
            <w:shd w:val="clear" w:color="auto" w:fill="E0E0E0"/>
          </w:tcPr>
          <w:p w14:paraId="54889EE0"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2931" w:type="dxa"/>
            <w:gridSpan w:val="2"/>
            <w:tcBorders>
              <w:top w:val="single" w:sz="8" w:space="0" w:color="AEAEAE"/>
              <w:left w:val="nil"/>
              <w:bottom w:val="single" w:sz="8" w:space="0" w:color="152935"/>
              <w:right w:val="nil"/>
            </w:tcBorders>
            <w:shd w:val="clear" w:color="auto" w:fill="E0E0E0"/>
          </w:tcPr>
          <w:p w14:paraId="1843D09E"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Total</w:t>
            </w:r>
          </w:p>
        </w:tc>
        <w:tc>
          <w:tcPr>
            <w:tcW w:w="1434" w:type="dxa"/>
            <w:tcBorders>
              <w:top w:val="single" w:sz="8" w:space="0" w:color="AEAEAE"/>
              <w:left w:val="nil"/>
              <w:bottom w:val="single" w:sz="8" w:space="0" w:color="152935"/>
              <w:right w:val="single" w:sz="8" w:space="0" w:color="E0E0E0"/>
            </w:tcBorders>
            <w:shd w:val="clear" w:color="auto" w:fill="FFFFFF"/>
          </w:tcPr>
          <w:p w14:paraId="7CA6FDA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417083.720</w:t>
            </w:r>
          </w:p>
        </w:tc>
        <w:tc>
          <w:tcPr>
            <w:tcW w:w="1001" w:type="dxa"/>
            <w:tcBorders>
              <w:top w:val="single" w:sz="8" w:space="0" w:color="AEAEAE"/>
              <w:left w:val="single" w:sz="8" w:space="0" w:color="E0E0E0"/>
              <w:bottom w:val="single" w:sz="8" w:space="0" w:color="152935"/>
              <w:right w:val="single" w:sz="8" w:space="0" w:color="E0E0E0"/>
            </w:tcBorders>
            <w:shd w:val="clear" w:color="auto" w:fill="FFFFFF"/>
          </w:tcPr>
          <w:p w14:paraId="2D5F1CEF"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2132</w:t>
            </w:r>
          </w:p>
        </w:tc>
        <w:tc>
          <w:tcPr>
            <w:tcW w:w="137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4E5C821"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6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E3B6284"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1001" w:type="dxa"/>
            <w:tcBorders>
              <w:top w:val="single" w:sz="8" w:space="0" w:color="AEAEAE"/>
              <w:left w:val="single" w:sz="8" w:space="0" w:color="E0E0E0"/>
              <w:bottom w:val="single" w:sz="8" w:space="0" w:color="152935"/>
              <w:right w:val="nil"/>
            </w:tcBorders>
            <w:shd w:val="clear" w:color="auto" w:fill="FFFFFF"/>
            <w:vAlign w:val="center"/>
          </w:tcPr>
          <w:p w14:paraId="773F5B8F"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r>
    </w:tbl>
    <w:p w14:paraId="5DB69FD9"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421F1E4D" w14:textId="77777777" w:rsidR="00A14C91" w:rsidRPr="00517162" w:rsidRDefault="00A14C91" w:rsidP="00A14C91">
      <w:pPr>
        <w:autoSpaceDE w:val="0"/>
        <w:autoSpaceDN w:val="0"/>
        <w:adjustRightInd w:val="0"/>
        <w:spacing w:after="0" w:line="480" w:lineRule="auto"/>
        <w:ind w:firstLine="720"/>
        <w:jc w:val="both"/>
        <w:rPr>
          <w:rFonts w:ascii="Times New Roman" w:hAnsi="Times New Roman" w:cs="Times New Roman"/>
          <w:sz w:val="24"/>
          <w:szCs w:val="24"/>
        </w:rPr>
      </w:pPr>
      <w:r w:rsidRPr="00517162">
        <w:rPr>
          <w:rFonts w:ascii="Times New Roman" w:hAnsi="Times New Roman" w:cs="Times New Roman"/>
          <w:sz w:val="24"/>
          <w:szCs w:val="24"/>
        </w:rPr>
        <w:t xml:space="preserve">The significance level from the ANOVA results is &lt;0.05 hence we fail to reject the null hypothesis. Therefore, we can conclude that there is indeed a significant difference between the scores of the students in both the posttest and pretest. </w:t>
      </w:r>
    </w:p>
    <w:p w14:paraId="3EDA3AFA" w14:textId="77777777" w:rsidR="00A14C91" w:rsidRPr="00517162" w:rsidRDefault="00A14C91" w:rsidP="00A14C91">
      <w:pPr>
        <w:pStyle w:val="Heading1"/>
      </w:pPr>
      <w:r w:rsidRPr="00517162">
        <w:t>K-Means Clustering</w:t>
      </w:r>
    </w:p>
    <w:p w14:paraId="55155BD7" w14:textId="77777777" w:rsidR="00A14C91" w:rsidRPr="00517162" w:rsidRDefault="00A14C91" w:rsidP="00A14C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For the clustering of the students, the z scores of the variables pretest and posttest are first obtained. Thereafter, the cluster functionality in analyze tab in SPSS is used to create the clusters. Initially, the iterations are set to 10, but only 6 are used to achieve the final cluster centers. </w:t>
      </w:r>
      <w:r w:rsidRPr="00517162">
        <w:rPr>
          <w:rFonts w:ascii="Times New Roman" w:hAnsi="Times New Roman" w:cs="Times New Roman"/>
          <w:sz w:val="24"/>
          <w:szCs w:val="24"/>
        </w:rPr>
        <w:t xml:space="preserve">The following is the final cluster centers as completed by SPSS. The table below also shows the number </w:t>
      </w:r>
      <w:r w:rsidRPr="00517162">
        <w:rPr>
          <w:rFonts w:ascii="Times New Roman" w:hAnsi="Times New Roman" w:cs="Times New Roman"/>
          <w:sz w:val="24"/>
          <w:szCs w:val="24"/>
        </w:rPr>
        <w:lastRenderedPageBreak/>
        <w:t xml:space="preserve">of cases in each of the clusters according to the pretest and posttest scores. The first cluster has 993 students while the second has 1140 students. The bar graph below also illustrates the clusters created. </w:t>
      </w:r>
    </w:p>
    <w:p w14:paraId="2F712AD6"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p>
    <w:tbl>
      <w:tblPr>
        <w:tblW w:w="3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8"/>
        <w:gridCol w:w="1025"/>
        <w:gridCol w:w="1025"/>
      </w:tblGrid>
      <w:tr w:rsidR="00A14C91" w:rsidRPr="00517162" w14:paraId="45D6AE73" w14:textId="77777777" w:rsidTr="0090224C">
        <w:trPr>
          <w:cantSplit/>
        </w:trPr>
        <w:tc>
          <w:tcPr>
            <w:tcW w:w="3026" w:type="dxa"/>
            <w:gridSpan w:val="3"/>
            <w:tcBorders>
              <w:top w:val="nil"/>
              <w:left w:val="nil"/>
              <w:bottom w:val="nil"/>
              <w:right w:val="nil"/>
            </w:tcBorders>
            <w:shd w:val="clear" w:color="auto" w:fill="FFFFFF"/>
            <w:vAlign w:val="center"/>
          </w:tcPr>
          <w:p w14:paraId="23852484"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Final Cluster Centers</w:t>
            </w:r>
          </w:p>
        </w:tc>
      </w:tr>
      <w:tr w:rsidR="00A14C91" w:rsidRPr="00517162" w14:paraId="087FACB3" w14:textId="77777777" w:rsidTr="0090224C">
        <w:trPr>
          <w:cantSplit/>
        </w:trPr>
        <w:tc>
          <w:tcPr>
            <w:tcW w:w="978" w:type="dxa"/>
            <w:vMerge w:val="restart"/>
            <w:tcBorders>
              <w:top w:val="nil"/>
              <w:left w:val="nil"/>
              <w:bottom w:val="nil"/>
              <w:right w:val="nil"/>
            </w:tcBorders>
            <w:shd w:val="clear" w:color="auto" w:fill="FFFFFF"/>
            <w:vAlign w:val="bottom"/>
          </w:tcPr>
          <w:p w14:paraId="57EF4B17" w14:textId="77777777" w:rsidR="00A14C91" w:rsidRPr="00517162" w:rsidRDefault="00A14C91" w:rsidP="0090224C">
            <w:pPr>
              <w:autoSpaceDE w:val="0"/>
              <w:autoSpaceDN w:val="0"/>
              <w:adjustRightInd w:val="0"/>
              <w:spacing w:after="0" w:line="240" w:lineRule="auto"/>
              <w:rPr>
                <w:rFonts w:ascii="Times New Roman" w:hAnsi="Times New Roman" w:cs="Times New Roman"/>
                <w:sz w:val="24"/>
                <w:szCs w:val="24"/>
              </w:rPr>
            </w:pPr>
          </w:p>
        </w:tc>
        <w:tc>
          <w:tcPr>
            <w:tcW w:w="2048" w:type="dxa"/>
            <w:gridSpan w:val="2"/>
            <w:tcBorders>
              <w:top w:val="nil"/>
              <w:left w:val="nil"/>
              <w:bottom w:val="nil"/>
              <w:right w:val="nil"/>
            </w:tcBorders>
            <w:shd w:val="clear" w:color="auto" w:fill="FFFFFF"/>
            <w:vAlign w:val="bottom"/>
          </w:tcPr>
          <w:p w14:paraId="12209EFB"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Cluster</w:t>
            </w:r>
          </w:p>
        </w:tc>
      </w:tr>
      <w:tr w:rsidR="00A14C91" w:rsidRPr="00517162" w14:paraId="03268999" w14:textId="77777777" w:rsidTr="0090224C">
        <w:trPr>
          <w:cantSplit/>
        </w:trPr>
        <w:tc>
          <w:tcPr>
            <w:tcW w:w="978" w:type="dxa"/>
            <w:vMerge/>
            <w:tcBorders>
              <w:top w:val="nil"/>
              <w:left w:val="nil"/>
              <w:bottom w:val="nil"/>
              <w:right w:val="nil"/>
            </w:tcBorders>
            <w:shd w:val="clear" w:color="auto" w:fill="FFFFFF"/>
            <w:vAlign w:val="bottom"/>
          </w:tcPr>
          <w:p w14:paraId="2510F445"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1677B91C"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0A0529F0"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264A60"/>
                <w:sz w:val="18"/>
                <w:szCs w:val="18"/>
              </w:rPr>
            </w:pPr>
            <w:r w:rsidRPr="00517162">
              <w:rPr>
                <w:rFonts w:ascii="Times New Roman" w:hAnsi="Times New Roman" w:cs="Times New Roman"/>
                <w:color w:val="264A60"/>
                <w:sz w:val="18"/>
                <w:szCs w:val="18"/>
              </w:rPr>
              <w:t>2</w:t>
            </w:r>
          </w:p>
        </w:tc>
      </w:tr>
      <w:tr w:rsidR="00A14C91" w:rsidRPr="00517162" w14:paraId="5B6E31C4" w14:textId="77777777" w:rsidTr="0090224C">
        <w:trPr>
          <w:cantSplit/>
        </w:trPr>
        <w:tc>
          <w:tcPr>
            <w:tcW w:w="978" w:type="dxa"/>
            <w:tcBorders>
              <w:top w:val="single" w:sz="8" w:space="0" w:color="152935"/>
              <w:left w:val="nil"/>
              <w:bottom w:val="single" w:sz="8" w:space="0" w:color="AEAEAE"/>
              <w:right w:val="nil"/>
            </w:tcBorders>
            <w:shd w:val="clear" w:color="auto" w:fill="E0E0E0"/>
          </w:tcPr>
          <w:p w14:paraId="787968E7"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Pretest</w:t>
            </w:r>
          </w:p>
        </w:tc>
        <w:tc>
          <w:tcPr>
            <w:tcW w:w="1024" w:type="dxa"/>
            <w:tcBorders>
              <w:top w:val="single" w:sz="8" w:space="0" w:color="152935"/>
              <w:left w:val="nil"/>
              <w:bottom w:val="single" w:sz="8" w:space="0" w:color="AEAEAE"/>
              <w:right w:val="single" w:sz="8" w:space="0" w:color="E0E0E0"/>
            </w:tcBorders>
            <w:shd w:val="clear" w:color="auto" w:fill="FFFFFF"/>
          </w:tcPr>
          <w:p w14:paraId="64BA5A3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43</w:t>
            </w:r>
          </w:p>
        </w:tc>
        <w:tc>
          <w:tcPr>
            <w:tcW w:w="1024" w:type="dxa"/>
            <w:tcBorders>
              <w:top w:val="single" w:sz="8" w:space="0" w:color="152935"/>
              <w:left w:val="single" w:sz="8" w:space="0" w:color="E0E0E0"/>
              <w:bottom w:val="single" w:sz="8" w:space="0" w:color="AEAEAE"/>
              <w:right w:val="nil"/>
            </w:tcBorders>
            <w:shd w:val="clear" w:color="auto" w:fill="FFFFFF"/>
          </w:tcPr>
          <w:p w14:paraId="5C23909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65</w:t>
            </w:r>
          </w:p>
        </w:tc>
      </w:tr>
      <w:tr w:rsidR="00A14C91" w:rsidRPr="00517162" w14:paraId="604057F9" w14:textId="77777777" w:rsidTr="0090224C">
        <w:trPr>
          <w:cantSplit/>
        </w:trPr>
        <w:tc>
          <w:tcPr>
            <w:tcW w:w="978" w:type="dxa"/>
            <w:tcBorders>
              <w:top w:val="single" w:sz="8" w:space="0" w:color="AEAEAE"/>
              <w:left w:val="nil"/>
              <w:bottom w:val="single" w:sz="8" w:space="0" w:color="152935"/>
              <w:right w:val="nil"/>
            </w:tcBorders>
            <w:shd w:val="clear" w:color="auto" w:fill="E0E0E0"/>
          </w:tcPr>
          <w:p w14:paraId="2D78084B"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Posttest</w:t>
            </w:r>
          </w:p>
        </w:tc>
        <w:tc>
          <w:tcPr>
            <w:tcW w:w="1024" w:type="dxa"/>
            <w:tcBorders>
              <w:top w:val="single" w:sz="8" w:space="0" w:color="AEAEAE"/>
              <w:left w:val="nil"/>
              <w:bottom w:val="single" w:sz="8" w:space="0" w:color="152935"/>
              <w:right w:val="single" w:sz="8" w:space="0" w:color="E0E0E0"/>
            </w:tcBorders>
            <w:shd w:val="clear" w:color="auto" w:fill="FFFFFF"/>
          </w:tcPr>
          <w:p w14:paraId="70E2E1C9"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55</w:t>
            </w:r>
          </w:p>
        </w:tc>
        <w:tc>
          <w:tcPr>
            <w:tcW w:w="1024" w:type="dxa"/>
            <w:tcBorders>
              <w:top w:val="single" w:sz="8" w:space="0" w:color="AEAEAE"/>
              <w:left w:val="single" w:sz="8" w:space="0" w:color="E0E0E0"/>
              <w:bottom w:val="single" w:sz="8" w:space="0" w:color="152935"/>
              <w:right w:val="nil"/>
            </w:tcBorders>
            <w:shd w:val="clear" w:color="auto" w:fill="FFFFFF"/>
          </w:tcPr>
          <w:p w14:paraId="4AFCD33B"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78</w:t>
            </w:r>
          </w:p>
        </w:tc>
      </w:tr>
    </w:tbl>
    <w:p w14:paraId="1F7BC79F"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6AA5E245" w14:textId="77777777" w:rsidR="00A14C91" w:rsidRPr="00517162" w:rsidRDefault="00A14C91" w:rsidP="00A14C91">
      <w:pPr>
        <w:autoSpaceDE w:val="0"/>
        <w:autoSpaceDN w:val="0"/>
        <w:adjustRightInd w:val="0"/>
        <w:spacing w:after="0" w:line="400" w:lineRule="atLeast"/>
        <w:jc w:val="both"/>
        <w:rPr>
          <w:rFonts w:ascii="Times New Roman" w:hAnsi="Times New Roman" w:cs="Times New Roman"/>
          <w:sz w:val="24"/>
          <w:szCs w:val="24"/>
        </w:rPr>
      </w:pPr>
      <w:r w:rsidRPr="00517162">
        <w:rPr>
          <w:rFonts w:ascii="Times New Roman" w:hAnsi="Times New Roman" w:cs="Times New Roman"/>
          <w:sz w:val="24"/>
          <w:szCs w:val="24"/>
        </w:rPr>
        <w:t xml:space="preserve">The table below indicates that cluster one has 993 students while cluster two has 1140 students. This is according to their scores in the pretest and posttest. </w:t>
      </w:r>
    </w:p>
    <w:p w14:paraId="78E66427"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p>
    <w:tbl>
      <w:tblPr>
        <w:tblW w:w="27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A14C91" w:rsidRPr="00517162" w14:paraId="5DBC0A42" w14:textId="77777777" w:rsidTr="0090224C">
        <w:trPr>
          <w:cantSplit/>
        </w:trPr>
        <w:tc>
          <w:tcPr>
            <w:tcW w:w="2797" w:type="dxa"/>
            <w:gridSpan w:val="3"/>
            <w:tcBorders>
              <w:top w:val="nil"/>
              <w:left w:val="nil"/>
              <w:bottom w:val="nil"/>
              <w:right w:val="nil"/>
            </w:tcBorders>
            <w:shd w:val="clear" w:color="auto" w:fill="FFFFFF"/>
            <w:vAlign w:val="center"/>
          </w:tcPr>
          <w:p w14:paraId="399D2C5F" w14:textId="77777777" w:rsidR="00A14C91" w:rsidRPr="00517162" w:rsidRDefault="00A14C91" w:rsidP="0090224C">
            <w:pPr>
              <w:autoSpaceDE w:val="0"/>
              <w:autoSpaceDN w:val="0"/>
              <w:adjustRightInd w:val="0"/>
              <w:spacing w:after="0" w:line="320" w:lineRule="atLeast"/>
              <w:ind w:left="60" w:right="60"/>
              <w:jc w:val="center"/>
              <w:rPr>
                <w:rFonts w:ascii="Times New Roman" w:hAnsi="Times New Roman" w:cs="Times New Roman"/>
                <w:color w:val="010205"/>
              </w:rPr>
            </w:pPr>
            <w:r w:rsidRPr="00517162">
              <w:rPr>
                <w:rFonts w:ascii="Times New Roman" w:hAnsi="Times New Roman" w:cs="Times New Roman"/>
                <w:b/>
                <w:bCs/>
                <w:color w:val="010205"/>
              </w:rPr>
              <w:t>Number of Cases in each Cluster</w:t>
            </w:r>
          </w:p>
        </w:tc>
      </w:tr>
      <w:tr w:rsidR="00A14C91" w:rsidRPr="00517162" w14:paraId="6EA6A452" w14:textId="77777777" w:rsidTr="0090224C">
        <w:trPr>
          <w:cantSplit/>
        </w:trPr>
        <w:tc>
          <w:tcPr>
            <w:tcW w:w="927" w:type="dxa"/>
            <w:vMerge w:val="restart"/>
            <w:tcBorders>
              <w:top w:val="nil"/>
              <w:left w:val="nil"/>
              <w:bottom w:val="single" w:sz="8" w:space="0" w:color="AEAEAE"/>
              <w:right w:val="nil"/>
            </w:tcBorders>
            <w:shd w:val="clear" w:color="auto" w:fill="E0E0E0"/>
          </w:tcPr>
          <w:p w14:paraId="11E26656"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Cluster</w:t>
            </w:r>
          </w:p>
        </w:tc>
        <w:tc>
          <w:tcPr>
            <w:tcW w:w="754" w:type="dxa"/>
            <w:tcBorders>
              <w:top w:val="nil"/>
              <w:left w:val="nil"/>
              <w:bottom w:val="single" w:sz="8" w:space="0" w:color="AEAEAE"/>
              <w:right w:val="nil"/>
            </w:tcBorders>
            <w:shd w:val="clear" w:color="auto" w:fill="E0E0E0"/>
          </w:tcPr>
          <w:p w14:paraId="357CBB59"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1</w:t>
            </w:r>
          </w:p>
        </w:tc>
        <w:tc>
          <w:tcPr>
            <w:tcW w:w="1116" w:type="dxa"/>
            <w:tcBorders>
              <w:top w:val="nil"/>
              <w:left w:val="nil"/>
              <w:bottom w:val="single" w:sz="8" w:space="0" w:color="AEAEAE"/>
              <w:right w:val="nil"/>
            </w:tcBorders>
            <w:shd w:val="clear" w:color="auto" w:fill="FFFFFF"/>
          </w:tcPr>
          <w:p w14:paraId="0D2C1176"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993.000</w:t>
            </w:r>
          </w:p>
        </w:tc>
      </w:tr>
      <w:tr w:rsidR="00A14C91" w:rsidRPr="00517162" w14:paraId="6D7420CA" w14:textId="77777777" w:rsidTr="0090224C">
        <w:trPr>
          <w:cantSplit/>
        </w:trPr>
        <w:tc>
          <w:tcPr>
            <w:tcW w:w="927" w:type="dxa"/>
            <w:vMerge/>
            <w:tcBorders>
              <w:top w:val="nil"/>
              <w:left w:val="nil"/>
              <w:bottom w:val="single" w:sz="8" w:space="0" w:color="AEAEAE"/>
              <w:right w:val="nil"/>
            </w:tcBorders>
            <w:shd w:val="clear" w:color="auto" w:fill="E0E0E0"/>
          </w:tcPr>
          <w:p w14:paraId="09FAD06F" w14:textId="77777777" w:rsidR="00A14C91" w:rsidRPr="00517162" w:rsidRDefault="00A14C91" w:rsidP="0090224C">
            <w:pPr>
              <w:autoSpaceDE w:val="0"/>
              <w:autoSpaceDN w:val="0"/>
              <w:adjustRightInd w:val="0"/>
              <w:spacing w:after="0" w:line="240" w:lineRule="auto"/>
              <w:rPr>
                <w:rFonts w:ascii="Times New Roman" w:hAnsi="Times New Roman" w:cs="Times New Roman"/>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761AE280"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2</w:t>
            </w:r>
          </w:p>
        </w:tc>
        <w:tc>
          <w:tcPr>
            <w:tcW w:w="1116" w:type="dxa"/>
            <w:tcBorders>
              <w:top w:val="single" w:sz="8" w:space="0" w:color="AEAEAE"/>
              <w:left w:val="nil"/>
              <w:bottom w:val="single" w:sz="8" w:space="0" w:color="AEAEAE"/>
              <w:right w:val="nil"/>
            </w:tcBorders>
            <w:shd w:val="clear" w:color="auto" w:fill="FFFFFF"/>
          </w:tcPr>
          <w:p w14:paraId="007040D7"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1140.000</w:t>
            </w:r>
          </w:p>
        </w:tc>
      </w:tr>
      <w:tr w:rsidR="00A14C91" w:rsidRPr="00517162" w14:paraId="4A1B0C65" w14:textId="77777777" w:rsidTr="0090224C">
        <w:trPr>
          <w:cantSplit/>
        </w:trPr>
        <w:tc>
          <w:tcPr>
            <w:tcW w:w="1681" w:type="dxa"/>
            <w:gridSpan w:val="2"/>
            <w:tcBorders>
              <w:top w:val="single" w:sz="8" w:space="0" w:color="AEAEAE"/>
              <w:left w:val="nil"/>
              <w:bottom w:val="single" w:sz="8" w:space="0" w:color="AEAEAE"/>
              <w:right w:val="nil"/>
            </w:tcBorders>
            <w:shd w:val="clear" w:color="auto" w:fill="E0E0E0"/>
          </w:tcPr>
          <w:p w14:paraId="1B1AD76D"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Valid</w:t>
            </w:r>
          </w:p>
        </w:tc>
        <w:tc>
          <w:tcPr>
            <w:tcW w:w="1116" w:type="dxa"/>
            <w:tcBorders>
              <w:top w:val="single" w:sz="8" w:space="0" w:color="AEAEAE"/>
              <w:left w:val="nil"/>
              <w:bottom w:val="single" w:sz="8" w:space="0" w:color="AEAEAE"/>
              <w:right w:val="nil"/>
            </w:tcBorders>
            <w:shd w:val="clear" w:color="auto" w:fill="FFFFFF"/>
          </w:tcPr>
          <w:p w14:paraId="6FC74125"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2133.000</w:t>
            </w:r>
          </w:p>
        </w:tc>
      </w:tr>
      <w:tr w:rsidR="00A14C91" w:rsidRPr="00517162" w14:paraId="3D9FA629" w14:textId="77777777" w:rsidTr="0090224C">
        <w:trPr>
          <w:cantSplit/>
        </w:trPr>
        <w:tc>
          <w:tcPr>
            <w:tcW w:w="1681" w:type="dxa"/>
            <w:gridSpan w:val="2"/>
            <w:tcBorders>
              <w:top w:val="single" w:sz="8" w:space="0" w:color="AEAEAE"/>
              <w:left w:val="nil"/>
              <w:bottom w:val="single" w:sz="8" w:space="0" w:color="152935"/>
              <w:right w:val="nil"/>
            </w:tcBorders>
            <w:shd w:val="clear" w:color="auto" w:fill="E0E0E0"/>
          </w:tcPr>
          <w:p w14:paraId="0AB76486" w14:textId="77777777" w:rsidR="00A14C91" w:rsidRPr="00517162" w:rsidRDefault="00A14C91" w:rsidP="0090224C">
            <w:pPr>
              <w:autoSpaceDE w:val="0"/>
              <w:autoSpaceDN w:val="0"/>
              <w:adjustRightInd w:val="0"/>
              <w:spacing w:after="0" w:line="320" w:lineRule="atLeast"/>
              <w:ind w:left="60" w:right="60"/>
              <w:rPr>
                <w:rFonts w:ascii="Times New Roman" w:hAnsi="Times New Roman" w:cs="Times New Roman"/>
                <w:color w:val="264A60"/>
                <w:sz w:val="18"/>
                <w:szCs w:val="18"/>
              </w:rPr>
            </w:pPr>
            <w:r w:rsidRPr="00517162">
              <w:rPr>
                <w:rFonts w:ascii="Times New Roman" w:hAnsi="Times New Roman" w:cs="Times New Roman"/>
                <w:color w:val="264A60"/>
                <w:sz w:val="18"/>
                <w:szCs w:val="18"/>
              </w:rPr>
              <w:t>Missing</w:t>
            </w:r>
          </w:p>
        </w:tc>
        <w:tc>
          <w:tcPr>
            <w:tcW w:w="1116" w:type="dxa"/>
            <w:tcBorders>
              <w:top w:val="single" w:sz="8" w:space="0" w:color="AEAEAE"/>
              <w:left w:val="nil"/>
              <w:bottom w:val="single" w:sz="8" w:space="0" w:color="152935"/>
              <w:right w:val="nil"/>
            </w:tcBorders>
            <w:shd w:val="clear" w:color="auto" w:fill="FFFFFF"/>
          </w:tcPr>
          <w:p w14:paraId="38981663" w14:textId="77777777" w:rsidR="00A14C91" w:rsidRPr="00517162" w:rsidRDefault="00A14C91" w:rsidP="0090224C">
            <w:pPr>
              <w:autoSpaceDE w:val="0"/>
              <w:autoSpaceDN w:val="0"/>
              <w:adjustRightInd w:val="0"/>
              <w:spacing w:after="0" w:line="320" w:lineRule="atLeast"/>
              <w:ind w:left="60" w:right="60"/>
              <w:jc w:val="right"/>
              <w:rPr>
                <w:rFonts w:ascii="Times New Roman" w:hAnsi="Times New Roman" w:cs="Times New Roman"/>
                <w:color w:val="010205"/>
                <w:sz w:val="18"/>
                <w:szCs w:val="18"/>
              </w:rPr>
            </w:pPr>
            <w:r w:rsidRPr="00517162">
              <w:rPr>
                <w:rFonts w:ascii="Times New Roman" w:hAnsi="Times New Roman" w:cs="Times New Roman"/>
                <w:color w:val="010205"/>
                <w:sz w:val="18"/>
                <w:szCs w:val="18"/>
              </w:rPr>
              <w:t>.000</w:t>
            </w:r>
          </w:p>
        </w:tc>
      </w:tr>
    </w:tbl>
    <w:p w14:paraId="30B656B3"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5E28E8C4" w14:textId="77777777" w:rsidR="00A14C91" w:rsidRPr="00517162" w:rsidRDefault="00A14C91" w:rsidP="00A14C91">
      <w:pPr>
        <w:autoSpaceDE w:val="0"/>
        <w:autoSpaceDN w:val="0"/>
        <w:adjustRightInd w:val="0"/>
        <w:spacing w:after="0" w:line="400" w:lineRule="atLeast"/>
        <w:jc w:val="both"/>
        <w:rPr>
          <w:rFonts w:ascii="Times New Roman" w:hAnsi="Times New Roman" w:cs="Times New Roman"/>
          <w:sz w:val="24"/>
          <w:szCs w:val="24"/>
        </w:rPr>
      </w:pPr>
      <w:r w:rsidRPr="00517162">
        <w:rPr>
          <w:rFonts w:ascii="Times New Roman" w:hAnsi="Times New Roman" w:cs="Times New Roman"/>
          <w:sz w:val="24"/>
          <w:szCs w:val="24"/>
        </w:rPr>
        <w:t xml:space="preserve">The column chart below illustrates the two clusters created by SPSS. The clusters are grouped in terms of the performance of the students in the pretest and posttest. </w:t>
      </w:r>
      <w:r>
        <w:rPr>
          <w:rFonts w:ascii="Times New Roman" w:hAnsi="Times New Roman" w:cs="Times New Roman"/>
          <w:sz w:val="24"/>
          <w:szCs w:val="24"/>
        </w:rPr>
        <w:t xml:space="preserve">The data obtained in SPSS output is used to create this cluster bar charts as shown in the figure below. </w:t>
      </w:r>
    </w:p>
    <w:p w14:paraId="62769BF1"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noProof/>
          <w:sz w:val="24"/>
          <w:szCs w:val="24"/>
        </w:rPr>
        <w:lastRenderedPageBreak/>
        <w:drawing>
          <wp:inline distT="0" distB="0" distL="0" distR="0" wp14:anchorId="7F1C9357" wp14:editId="064D7336">
            <wp:extent cx="5943600" cy="3495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B49463D" w14:textId="77777777" w:rsidR="00A14C91" w:rsidRPr="00517162" w:rsidRDefault="00A14C91" w:rsidP="00A14C91">
      <w:pPr>
        <w:autoSpaceDE w:val="0"/>
        <w:autoSpaceDN w:val="0"/>
        <w:adjustRightInd w:val="0"/>
        <w:spacing w:after="0" w:line="240" w:lineRule="auto"/>
        <w:rPr>
          <w:rFonts w:ascii="Times New Roman" w:hAnsi="Times New Roman" w:cs="Times New Roman"/>
          <w:sz w:val="24"/>
          <w:szCs w:val="24"/>
        </w:rPr>
      </w:pPr>
      <w:r w:rsidRPr="00517162">
        <w:rPr>
          <w:rFonts w:ascii="Times New Roman" w:hAnsi="Times New Roman" w:cs="Times New Roman"/>
          <w:sz w:val="24"/>
          <w:szCs w:val="24"/>
        </w:rPr>
        <w:t xml:space="preserve">Figure. Graphical representation of clusters according to scores in the pretest and posttest </w:t>
      </w:r>
    </w:p>
    <w:p w14:paraId="45187C42"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5763D19B" w14:textId="77777777" w:rsidR="00A14C91" w:rsidRPr="00517162" w:rsidRDefault="00A14C91" w:rsidP="00A14C91">
      <w:pPr>
        <w:pStyle w:val="Heading1"/>
        <w:jc w:val="both"/>
        <w:rPr>
          <w:rFonts w:ascii="Times New Roman" w:hAnsi="Times New Roman" w:cs="Times New Roman"/>
          <w:b/>
          <w:bCs/>
          <w:color w:val="auto"/>
          <w:sz w:val="28"/>
          <w:szCs w:val="28"/>
        </w:rPr>
      </w:pPr>
      <w:r w:rsidRPr="00517162">
        <w:rPr>
          <w:rFonts w:ascii="Times New Roman" w:hAnsi="Times New Roman" w:cs="Times New Roman"/>
          <w:b/>
          <w:bCs/>
          <w:color w:val="auto"/>
          <w:sz w:val="28"/>
          <w:szCs w:val="28"/>
        </w:rPr>
        <w:t>Common Data Mining and Text Mining Methods Used in Contemporary Business</w:t>
      </w:r>
    </w:p>
    <w:p w14:paraId="2B6D1B26" w14:textId="77777777" w:rsidR="00A14C91" w:rsidRPr="00517162" w:rsidRDefault="00A14C91" w:rsidP="00A14C91">
      <w:pPr>
        <w:autoSpaceDE w:val="0"/>
        <w:autoSpaceDN w:val="0"/>
        <w:adjustRightInd w:val="0"/>
        <w:spacing w:after="0" w:line="400" w:lineRule="atLeast"/>
        <w:jc w:val="center"/>
        <w:rPr>
          <w:rFonts w:ascii="Times New Roman" w:hAnsi="Times New Roman" w:cs="Times New Roman"/>
          <w:sz w:val="24"/>
          <w:szCs w:val="24"/>
        </w:rPr>
      </w:pPr>
    </w:p>
    <w:p w14:paraId="13B7539A" w14:textId="77777777" w:rsidR="00A14C91" w:rsidRPr="00517162" w:rsidRDefault="00A14C91" w:rsidP="00A14C91">
      <w:pPr>
        <w:autoSpaceDE w:val="0"/>
        <w:autoSpaceDN w:val="0"/>
        <w:adjustRightInd w:val="0"/>
        <w:spacing w:after="0" w:line="360" w:lineRule="auto"/>
        <w:jc w:val="both"/>
        <w:rPr>
          <w:rFonts w:ascii="Times New Roman" w:hAnsi="Times New Roman" w:cs="Times New Roman"/>
          <w:sz w:val="24"/>
          <w:szCs w:val="24"/>
        </w:rPr>
      </w:pPr>
      <w:r w:rsidRPr="00517162">
        <w:rPr>
          <w:rFonts w:ascii="Times New Roman" w:hAnsi="Times New Roman" w:cs="Times New Roman"/>
          <w:sz w:val="24"/>
          <w:szCs w:val="24"/>
        </w:rPr>
        <w:t>Text mining is designed to creating a sense out of unstructured, creating patterns that can be useful as business intelligence. In this way, the text mining technology is set to restyle the manner in which business can obtain meaning insights from textual data that they have at hand. Some of the most common text mining methods and their applications are highlighted below;</w:t>
      </w:r>
    </w:p>
    <w:p w14:paraId="7B0F09C4" w14:textId="77777777" w:rsidR="00A14C91" w:rsidRPr="00517162" w:rsidRDefault="00A14C91" w:rsidP="00A14C91">
      <w:pPr>
        <w:autoSpaceDE w:val="0"/>
        <w:autoSpaceDN w:val="0"/>
        <w:adjustRightInd w:val="0"/>
        <w:spacing w:after="0" w:line="360" w:lineRule="auto"/>
        <w:jc w:val="both"/>
        <w:rPr>
          <w:rFonts w:ascii="Times New Roman" w:hAnsi="Times New Roman" w:cs="Times New Roman"/>
          <w:sz w:val="24"/>
          <w:szCs w:val="24"/>
        </w:rPr>
      </w:pPr>
      <w:r w:rsidRPr="00517162">
        <w:rPr>
          <w:rFonts w:ascii="Times New Roman" w:hAnsi="Times New Roman" w:cs="Times New Roman"/>
          <w:b/>
          <w:bCs/>
          <w:sz w:val="24"/>
          <w:szCs w:val="24"/>
        </w:rPr>
        <w:t>Text summarization</w:t>
      </w:r>
      <w:r w:rsidRPr="00517162">
        <w:rPr>
          <w:rFonts w:ascii="Times New Roman" w:hAnsi="Times New Roman" w:cs="Times New Roman"/>
          <w:sz w:val="24"/>
          <w:szCs w:val="24"/>
        </w:rPr>
        <w:t>- text summarization works by identifying the most important parts of a text; therefore, the entire content is reduced. Therefore, what is left is the most useful parts of the raw texts that can be use and helping reduced the length of the texts to useful details. In business, text summarization can be used to make a text brief for an organization that deals with numerous texts such as those that are found in search engines. For instance, WordNet is used to identify feedback from customers on specific products. Therefore, businesses can understand specific aspects of a product that customers liked or didn’t like (Hu &amp; Liu, 2004)</w:t>
      </w:r>
    </w:p>
    <w:p w14:paraId="0AF6A7B5" w14:textId="77777777" w:rsidR="00A14C91" w:rsidRPr="00517162" w:rsidRDefault="00A14C91" w:rsidP="00A14C91">
      <w:pPr>
        <w:autoSpaceDE w:val="0"/>
        <w:autoSpaceDN w:val="0"/>
        <w:adjustRightInd w:val="0"/>
        <w:spacing w:after="0" w:line="360" w:lineRule="auto"/>
        <w:jc w:val="both"/>
        <w:rPr>
          <w:rFonts w:ascii="Times New Roman" w:hAnsi="Times New Roman" w:cs="Times New Roman"/>
          <w:sz w:val="24"/>
          <w:szCs w:val="24"/>
        </w:rPr>
      </w:pPr>
      <w:r w:rsidRPr="00517162">
        <w:rPr>
          <w:rFonts w:ascii="Times New Roman" w:hAnsi="Times New Roman" w:cs="Times New Roman"/>
          <w:b/>
          <w:bCs/>
          <w:sz w:val="24"/>
          <w:szCs w:val="24"/>
        </w:rPr>
        <w:t>Clustering</w:t>
      </w:r>
      <w:r w:rsidRPr="00517162">
        <w:rPr>
          <w:rFonts w:ascii="Times New Roman" w:hAnsi="Times New Roman" w:cs="Times New Roman"/>
          <w:sz w:val="24"/>
          <w:szCs w:val="24"/>
        </w:rPr>
        <w:t xml:space="preserve">- clustering is an algorithm works by grouping documents that are considered to be highly related. In the end, similar documents are pooled together. Businesses find this text mining </w:t>
      </w:r>
      <w:r w:rsidRPr="00517162">
        <w:rPr>
          <w:rFonts w:ascii="Times New Roman" w:hAnsi="Times New Roman" w:cs="Times New Roman"/>
          <w:sz w:val="24"/>
          <w:szCs w:val="24"/>
        </w:rPr>
        <w:lastRenderedPageBreak/>
        <w:t>method useful for process effectiveness and cost reduction as clusters make it easy for them to identify documents that are relevant for their specific industries</w:t>
      </w:r>
    </w:p>
    <w:p w14:paraId="338C75D7" w14:textId="77777777" w:rsidR="00A14C91" w:rsidRPr="00517162" w:rsidRDefault="00A14C91" w:rsidP="00A14C91">
      <w:pPr>
        <w:autoSpaceDE w:val="0"/>
        <w:autoSpaceDN w:val="0"/>
        <w:adjustRightInd w:val="0"/>
        <w:spacing w:after="0" w:line="360" w:lineRule="auto"/>
        <w:jc w:val="both"/>
        <w:rPr>
          <w:rFonts w:ascii="Times New Roman" w:hAnsi="Times New Roman" w:cs="Times New Roman"/>
          <w:sz w:val="24"/>
          <w:szCs w:val="24"/>
        </w:rPr>
      </w:pPr>
      <w:r w:rsidRPr="00517162">
        <w:rPr>
          <w:rFonts w:ascii="Times New Roman" w:hAnsi="Times New Roman" w:cs="Times New Roman"/>
          <w:b/>
          <w:bCs/>
          <w:sz w:val="24"/>
          <w:szCs w:val="24"/>
        </w:rPr>
        <w:t>Association Rule</w:t>
      </w:r>
      <w:r w:rsidRPr="00517162">
        <w:rPr>
          <w:rFonts w:ascii="Times New Roman" w:hAnsi="Times New Roman" w:cs="Times New Roman"/>
          <w:sz w:val="24"/>
          <w:szCs w:val="24"/>
        </w:rPr>
        <w:t xml:space="preserve">- this text mining example is set so that it recognizes relationships between different variables (Netzer et al., 2012). in this way, the algorithm identifies entities that are highly correlated. Business can make use of this text mining option to single out what two products are commonly or popularly purchased together by consumers. Thereafter, the discovery can enable them increase sales and improve revenue. </w:t>
      </w:r>
    </w:p>
    <w:p w14:paraId="2E917D97" w14:textId="77777777" w:rsidR="00A14C91" w:rsidRPr="00517162" w:rsidRDefault="00A14C91" w:rsidP="00A14C91">
      <w:pPr>
        <w:autoSpaceDE w:val="0"/>
        <w:autoSpaceDN w:val="0"/>
        <w:adjustRightInd w:val="0"/>
        <w:spacing w:after="0" w:line="360" w:lineRule="auto"/>
        <w:jc w:val="both"/>
        <w:rPr>
          <w:rFonts w:ascii="Times New Roman" w:hAnsi="Times New Roman" w:cs="Times New Roman"/>
          <w:sz w:val="24"/>
          <w:szCs w:val="24"/>
        </w:rPr>
      </w:pPr>
      <w:r w:rsidRPr="00517162">
        <w:rPr>
          <w:rFonts w:ascii="Times New Roman" w:hAnsi="Times New Roman" w:cs="Times New Roman"/>
          <w:b/>
          <w:bCs/>
          <w:sz w:val="24"/>
          <w:szCs w:val="24"/>
        </w:rPr>
        <w:t>Categorization</w:t>
      </w:r>
      <w:r w:rsidRPr="00517162">
        <w:rPr>
          <w:rFonts w:ascii="Times New Roman" w:hAnsi="Times New Roman" w:cs="Times New Roman"/>
          <w:sz w:val="24"/>
          <w:szCs w:val="24"/>
        </w:rPr>
        <w:t>- this text mining method works through categorizing a document to specific main theme. The document is considered for placement in a wide variety of topics before settling on one. For example, term frequency identifies a likelihood of a document being placed in a specific theme. Categorization can be useful for businesses thanks to its profiling ability that offers demographic estimations. Businesses can then estimate a user’s profession, age or even gender (Ikeda et a., 2013)</w:t>
      </w:r>
    </w:p>
    <w:p w14:paraId="1E8BE472" w14:textId="77777777" w:rsidR="00A14C91" w:rsidRPr="00517162" w:rsidRDefault="00A14C91" w:rsidP="00A14C91">
      <w:pPr>
        <w:autoSpaceDE w:val="0"/>
        <w:autoSpaceDN w:val="0"/>
        <w:adjustRightInd w:val="0"/>
        <w:spacing w:after="0" w:line="360" w:lineRule="auto"/>
        <w:jc w:val="both"/>
        <w:rPr>
          <w:rFonts w:ascii="Times New Roman" w:hAnsi="Times New Roman" w:cs="Times New Roman"/>
          <w:sz w:val="24"/>
          <w:szCs w:val="24"/>
        </w:rPr>
      </w:pPr>
      <w:r w:rsidRPr="00517162">
        <w:rPr>
          <w:rFonts w:ascii="Times New Roman" w:hAnsi="Times New Roman" w:cs="Times New Roman"/>
          <w:b/>
          <w:bCs/>
          <w:sz w:val="24"/>
          <w:szCs w:val="24"/>
        </w:rPr>
        <w:t>Information retrieval and information extraction</w:t>
      </w:r>
      <w:r w:rsidRPr="00517162">
        <w:rPr>
          <w:rFonts w:ascii="Times New Roman" w:hAnsi="Times New Roman" w:cs="Times New Roman"/>
          <w:sz w:val="24"/>
          <w:szCs w:val="24"/>
        </w:rPr>
        <w:t xml:space="preserve">- information extraction gathers similar documents considered as useful in specific groups (Ikeda et a., 2013). This process minimizes working with documents that aren’t in any way relevant for use. On the other hand, information extraction follows information retrieval. It works by transform the unstructured document into structured document. This then allows for easy analysis of the document. Businesses can use this text mining process to improve customer experience by using the information extracted to recreate a superior customer experience. </w:t>
      </w:r>
    </w:p>
    <w:p w14:paraId="77C7B40A"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4352E08A"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r w:rsidRPr="00517162">
        <w:rPr>
          <w:rFonts w:ascii="Times New Roman" w:hAnsi="Times New Roman" w:cs="Times New Roman"/>
          <w:sz w:val="24"/>
          <w:szCs w:val="24"/>
        </w:rPr>
        <w:t xml:space="preserve">Data mining, much like text mining, is a useful process that businesses use to create meaningful patterns from specific raw data. The patterns are then used for decision making for the purpose of reducing business cost, improving efficiency at the workplace and eventually increasing revenue. The main types of data mining methods are; </w:t>
      </w:r>
    </w:p>
    <w:p w14:paraId="5D7CE02E"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r w:rsidRPr="00517162">
        <w:rPr>
          <w:rFonts w:ascii="Times New Roman" w:hAnsi="Times New Roman" w:cs="Times New Roman"/>
          <w:b/>
          <w:bCs/>
          <w:sz w:val="24"/>
          <w:szCs w:val="24"/>
        </w:rPr>
        <w:t>Outlier analysis</w:t>
      </w:r>
      <w:r w:rsidRPr="00517162">
        <w:rPr>
          <w:rFonts w:ascii="Times New Roman" w:hAnsi="Times New Roman" w:cs="Times New Roman"/>
          <w:sz w:val="24"/>
          <w:szCs w:val="24"/>
        </w:rPr>
        <w:t>; this is a data mining method that identifies data elements that can’t be placed in any of the groups. Businesses explore this method to study specific niches in the market hence reaching out to them to increase their outreach (Han &amp; Kamber, 2000)</w:t>
      </w:r>
    </w:p>
    <w:p w14:paraId="1AB11A95" w14:textId="77777777" w:rsidR="00A14C91" w:rsidRPr="00AD0632" w:rsidRDefault="00A14C91" w:rsidP="00A14C91">
      <w:pPr>
        <w:autoSpaceDE w:val="0"/>
        <w:autoSpaceDN w:val="0"/>
        <w:adjustRightInd w:val="0"/>
        <w:spacing w:after="0" w:line="400" w:lineRule="atLeast"/>
        <w:rPr>
          <w:rFonts w:ascii="Times New Roman" w:hAnsi="Times New Roman" w:cs="Times New Roman"/>
          <w:sz w:val="24"/>
          <w:szCs w:val="24"/>
        </w:rPr>
      </w:pPr>
      <w:r w:rsidRPr="00AD0632">
        <w:rPr>
          <w:rFonts w:ascii="Times New Roman" w:hAnsi="Times New Roman" w:cs="Times New Roman"/>
          <w:b/>
          <w:bCs/>
          <w:sz w:val="24"/>
          <w:szCs w:val="24"/>
        </w:rPr>
        <w:t>Evaluation and deviation analysis</w:t>
      </w:r>
      <w:r w:rsidRPr="00AD0632">
        <w:rPr>
          <w:rFonts w:ascii="Times New Roman" w:hAnsi="Times New Roman" w:cs="Times New Roman"/>
          <w:sz w:val="24"/>
          <w:szCs w:val="24"/>
        </w:rPr>
        <w:t xml:space="preserve">; this method works through analysis of time related data elements that form a pattern with time (Bhojani &amp; Bhatt, 2016, Liao et al., 2012). Trends are then created from this particular process. From this, businesses can detect the cause of specific </w:t>
      </w:r>
      <w:r w:rsidRPr="00AD0632">
        <w:rPr>
          <w:rFonts w:ascii="Times New Roman" w:hAnsi="Times New Roman" w:cs="Times New Roman"/>
          <w:sz w:val="24"/>
          <w:szCs w:val="24"/>
        </w:rPr>
        <w:lastRenderedPageBreak/>
        <w:t>deviations. For instance, change in stock prices can be identified making a stock-broker business ahead of the competition</w:t>
      </w:r>
    </w:p>
    <w:p w14:paraId="17557FC0" w14:textId="77777777" w:rsidR="00A14C91" w:rsidRPr="00AD0632" w:rsidRDefault="00A14C91" w:rsidP="00A14C91">
      <w:pPr>
        <w:autoSpaceDE w:val="0"/>
        <w:autoSpaceDN w:val="0"/>
        <w:adjustRightInd w:val="0"/>
        <w:spacing w:after="0" w:line="400" w:lineRule="atLeast"/>
        <w:rPr>
          <w:rFonts w:ascii="Times New Roman" w:hAnsi="Times New Roman" w:cs="Times New Roman"/>
          <w:sz w:val="24"/>
          <w:szCs w:val="24"/>
        </w:rPr>
      </w:pPr>
      <w:r w:rsidRPr="00AD0632">
        <w:rPr>
          <w:rFonts w:ascii="Times New Roman" w:hAnsi="Times New Roman" w:cs="Times New Roman"/>
          <w:b/>
          <w:bCs/>
          <w:sz w:val="24"/>
          <w:szCs w:val="24"/>
        </w:rPr>
        <w:t>Prediction</w:t>
      </w:r>
      <w:r w:rsidRPr="00AD0632">
        <w:rPr>
          <w:rFonts w:ascii="Times New Roman" w:hAnsi="Times New Roman" w:cs="Times New Roman"/>
          <w:sz w:val="24"/>
          <w:szCs w:val="24"/>
        </w:rPr>
        <w:t>- prediction works through using past data to detect patterns (Bhojani &amp; Bhatt, 2016). For instance, a business can mine for patterns in the stock market and use the obtained information to make forecasts about specific stocks of concern</w:t>
      </w:r>
    </w:p>
    <w:p w14:paraId="4612B660"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r w:rsidRPr="00517162">
        <w:rPr>
          <w:rFonts w:ascii="Times New Roman" w:hAnsi="Times New Roman" w:cs="Times New Roman"/>
          <w:b/>
          <w:bCs/>
          <w:sz w:val="24"/>
          <w:szCs w:val="24"/>
        </w:rPr>
        <w:t>Discrimination</w:t>
      </w:r>
      <w:r w:rsidRPr="00517162">
        <w:rPr>
          <w:rFonts w:ascii="Times New Roman" w:hAnsi="Times New Roman" w:cs="Times New Roman"/>
          <w:sz w:val="24"/>
          <w:szCs w:val="24"/>
        </w:rPr>
        <w:t>; data discrimination is a data mining process that works with discriminant rules. The process works to separate objects as either target class or contrasting class. Businesses can use it to compare traits of a customers who purchase several of their units and those that purchase a few of the same properties (Bhojani &amp; Bhatt, 2016). This creates a better understanding of a business’s clients</w:t>
      </w:r>
    </w:p>
    <w:p w14:paraId="56EB619B"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r w:rsidRPr="00517162">
        <w:rPr>
          <w:rFonts w:ascii="Times New Roman" w:hAnsi="Times New Roman" w:cs="Times New Roman"/>
          <w:b/>
          <w:bCs/>
          <w:sz w:val="24"/>
          <w:szCs w:val="24"/>
        </w:rPr>
        <w:t>Association analysis</w:t>
      </w:r>
      <w:r w:rsidRPr="00517162">
        <w:rPr>
          <w:rFonts w:ascii="Times New Roman" w:hAnsi="Times New Roman" w:cs="Times New Roman"/>
          <w:sz w:val="24"/>
          <w:szCs w:val="24"/>
        </w:rPr>
        <w:t>; this data mining method is useful for identifying sets of products that popularly go along together. A movie business can use it to understand sets of movies that are commonly purchased together (Bhojani &amp; Bhatt, 2016, Jun Lee &amp; Sisau, 2001)</w:t>
      </w:r>
    </w:p>
    <w:p w14:paraId="1F0C6442"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396EEF80" w14:textId="77777777" w:rsidR="00A14C91" w:rsidRDefault="00A14C91" w:rsidP="00A14C91">
      <w:pPr>
        <w:pStyle w:val="Heading1"/>
      </w:pPr>
      <w:r w:rsidRPr="00517162">
        <w:t xml:space="preserve">Advantages and Disadvantages of Using SPSS </w:t>
      </w:r>
    </w:p>
    <w:p w14:paraId="6FE6CBD4" w14:textId="77777777" w:rsidR="00A14C91" w:rsidRPr="002F185E" w:rsidRDefault="00A14C91" w:rsidP="00A14C91"/>
    <w:tbl>
      <w:tblPr>
        <w:tblStyle w:val="TableGrid"/>
        <w:tblW w:w="9632" w:type="dxa"/>
        <w:tblLook w:val="04A0" w:firstRow="1" w:lastRow="0" w:firstColumn="1" w:lastColumn="0" w:noHBand="0" w:noVBand="1"/>
      </w:tblPr>
      <w:tblGrid>
        <w:gridCol w:w="4816"/>
        <w:gridCol w:w="4816"/>
      </w:tblGrid>
      <w:tr w:rsidR="00A14C91" w:rsidRPr="00517162" w14:paraId="130E8233" w14:textId="77777777" w:rsidTr="0090224C">
        <w:trPr>
          <w:trHeight w:val="291"/>
        </w:trPr>
        <w:tc>
          <w:tcPr>
            <w:tcW w:w="4816" w:type="dxa"/>
          </w:tcPr>
          <w:p w14:paraId="0426650D" w14:textId="77777777" w:rsidR="00A14C91" w:rsidRPr="00517162" w:rsidRDefault="00A14C91" w:rsidP="0090224C">
            <w:pPr>
              <w:autoSpaceDE w:val="0"/>
              <w:autoSpaceDN w:val="0"/>
              <w:adjustRightInd w:val="0"/>
              <w:spacing w:line="400" w:lineRule="atLeast"/>
              <w:jc w:val="center"/>
              <w:rPr>
                <w:rFonts w:ascii="Times New Roman" w:hAnsi="Times New Roman" w:cs="Times New Roman"/>
                <w:b/>
                <w:bCs/>
                <w:sz w:val="24"/>
                <w:szCs w:val="24"/>
              </w:rPr>
            </w:pPr>
            <w:r w:rsidRPr="00517162">
              <w:rPr>
                <w:rFonts w:ascii="Times New Roman" w:hAnsi="Times New Roman" w:cs="Times New Roman"/>
                <w:b/>
                <w:bCs/>
                <w:sz w:val="24"/>
                <w:szCs w:val="24"/>
              </w:rPr>
              <w:t xml:space="preserve">Advantages </w:t>
            </w:r>
          </w:p>
        </w:tc>
        <w:tc>
          <w:tcPr>
            <w:tcW w:w="4816" w:type="dxa"/>
          </w:tcPr>
          <w:p w14:paraId="4FFF5FE4" w14:textId="77777777" w:rsidR="00A14C91" w:rsidRPr="00517162" w:rsidRDefault="00A14C91" w:rsidP="0090224C">
            <w:pPr>
              <w:autoSpaceDE w:val="0"/>
              <w:autoSpaceDN w:val="0"/>
              <w:adjustRightInd w:val="0"/>
              <w:spacing w:line="400" w:lineRule="atLeast"/>
              <w:jc w:val="center"/>
              <w:rPr>
                <w:rFonts w:ascii="Times New Roman" w:hAnsi="Times New Roman" w:cs="Times New Roman"/>
                <w:b/>
                <w:bCs/>
                <w:sz w:val="24"/>
                <w:szCs w:val="24"/>
              </w:rPr>
            </w:pPr>
            <w:r w:rsidRPr="00517162">
              <w:rPr>
                <w:rFonts w:ascii="Times New Roman" w:hAnsi="Times New Roman" w:cs="Times New Roman"/>
                <w:b/>
                <w:bCs/>
                <w:sz w:val="24"/>
                <w:szCs w:val="24"/>
              </w:rPr>
              <w:t xml:space="preserve">Disadvantages </w:t>
            </w:r>
          </w:p>
        </w:tc>
      </w:tr>
      <w:tr w:rsidR="00A14C91" w:rsidRPr="00517162" w14:paraId="74A19B23" w14:textId="77777777" w:rsidTr="0090224C">
        <w:trPr>
          <w:trHeight w:val="900"/>
        </w:trPr>
        <w:tc>
          <w:tcPr>
            <w:tcW w:w="4816" w:type="dxa"/>
          </w:tcPr>
          <w:p w14:paraId="2EA5A63C"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Integrates various data sources. Importation of different data sources such as excel, sas and stata</w:t>
            </w:r>
          </w:p>
        </w:tc>
        <w:tc>
          <w:tcPr>
            <w:tcW w:w="4816" w:type="dxa"/>
          </w:tcPr>
          <w:p w14:paraId="23E71F1F"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A powerful SPSS is highly expensive especially when one wants</w:t>
            </w:r>
            <w:r>
              <w:rPr>
                <w:rFonts w:ascii="Times New Roman" w:hAnsi="Times New Roman" w:cs="Times New Roman"/>
                <w:sz w:val="24"/>
                <w:szCs w:val="24"/>
              </w:rPr>
              <w:t xml:space="preserve"> to use the commercial editions. Other software come readily installed </w:t>
            </w:r>
          </w:p>
        </w:tc>
      </w:tr>
      <w:tr w:rsidR="00A14C91" w:rsidRPr="00517162" w14:paraId="7D6B2C7B" w14:textId="77777777" w:rsidTr="0090224C">
        <w:trPr>
          <w:trHeight w:val="595"/>
        </w:trPr>
        <w:tc>
          <w:tcPr>
            <w:tcW w:w="4816" w:type="dxa"/>
          </w:tcPr>
          <w:p w14:paraId="76C9745D"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Provides quality graphs and charts to work with</w:t>
            </w:r>
            <w:r>
              <w:rPr>
                <w:rFonts w:ascii="Times New Roman" w:hAnsi="Times New Roman" w:cs="Times New Roman"/>
                <w:sz w:val="24"/>
                <w:szCs w:val="24"/>
              </w:rPr>
              <w:t xml:space="preserve">. for instance, the graphics, charts and tables created </w:t>
            </w:r>
            <w:r w:rsidRPr="00517162">
              <w:rPr>
                <w:rFonts w:ascii="Times New Roman" w:hAnsi="Times New Roman" w:cs="Times New Roman"/>
                <w:sz w:val="24"/>
                <w:szCs w:val="24"/>
              </w:rPr>
              <w:t xml:space="preserve"> </w:t>
            </w:r>
          </w:p>
        </w:tc>
        <w:tc>
          <w:tcPr>
            <w:tcW w:w="4816" w:type="dxa"/>
          </w:tcPr>
          <w:p w14:paraId="29820E4B"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Requires a lot of tu</w:t>
            </w:r>
            <w:r>
              <w:rPr>
                <w:rFonts w:ascii="Times New Roman" w:hAnsi="Times New Roman" w:cs="Times New Roman"/>
                <w:sz w:val="24"/>
                <w:szCs w:val="24"/>
              </w:rPr>
              <w:t>torials to be able to work with. for instance, it takes long to complete lessons on SPSS</w:t>
            </w:r>
          </w:p>
        </w:tc>
      </w:tr>
      <w:tr w:rsidR="00A14C91" w:rsidRPr="00517162" w14:paraId="1B438B27" w14:textId="77777777" w:rsidTr="0090224C">
        <w:trPr>
          <w:trHeight w:val="888"/>
        </w:trPr>
        <w:tc>
          <w:tcPr>
            <w:tcW w:w="4816" w:type="dxa"/>
          </w:tcPr>
          <w:p w14:paraId="139677B4"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 xml:space="preserve">Requires limited programming skills for example, in comparison to R studio and python </w:t>
            </w:r>
          </w:p>
        </w:tc>
        <w:tc>
          <w:tcPr>
            <w:tcW w:w="4816" w:type="dxa"/>
          </w:tcPr>
          <w:p w14:paraId="0E7AE22D"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Lack useful statistical features contained in packages in software such as R studio</w:t>
            </w:r>
          </w:p>
        </w:tc>
      </w:tr>
      <w:tr w:rsidR="00A14C91" w:rsidRPr="00517162" w14:paraId="28F5FCE6" w14:textId="77777777" w:rsidTr="0090224C">
        <w:trPr>
          <w:trHeight w:val="291"/>
        </w:trPr>
        <w:tc>
          <w:tcPr>
            <w:tcW w:w="4816" w:type="dxa"/>
          </w:tcPr>
          <w:p w14:paraId="093E107E"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Contains 3D graphs unlike excel</w:t>
            </w:r>
          </w:p>
        </w:tc>
        <w:tc>
          <w:tcPr>
            <w:tcW w:w="4816" w:type="dxa"/>
          </w:tcPr>
          <w:p w14:paraId="2D0B6387" w14:textId="77777777" w:rsidR="00A14C91" w:rsidRPr="00517162" w:rsidRDefault="00A14C91" w:rsidP="0090224C">
            <w:pPr>
              <w:autoSpaceDE w:val="0"/>
              <w:autoSpaceDN w:val="0"/>
              <w:adjustRightInd w:val="0"/>
              <w:spacing w:line="400" w:lineRule="atLeast"/>
              <w:jc w:val="center"/>
              <w:rPr>
                <w:rFonts w:ascii="Times New Roman" w:hAnsi="Times New Roman" w:cs="Times New Roman"/>
                <w:sz w:val="24"/>
                <w:szCs w:val="24"/>
              </w:rPr>
            </w:pPr>
          </w:p>
        </w:tc>
      </w:tr>
    </w:tbl>
    <w:p w14:paraId="7FF3C8A3" w14:textId="77777777" w:rsidR="00A14C91" w:rsidRPr="00517162" w:rsidRDefault="00A14C91" w:rsidP="00A14C91">
      <w:pPr>
        <w:autoSpaceDE w:val="0"/>
        <w:autoSpaceDN w:val="0"/>
        <w:adjustRightInd w:val="0"/>
        <w:spacing w:after="0" w:line="400" w:lineRule="atLeast"/>
        <w:jc w:val="center"/>
        <w:rPr>
          <w:rFonts w:ascii="Times New Roman" w:hAnsi="Times New Roman" w:cs="Times New Roman"/>
          <w:sz w:val="24"/>
          <w:szCs w:val="24"/>
        </w:rPr>
      </w:pPr>
    </w:p>
    <w:p w14:paraId="46650130" w14:textId="77777777" w:rsidR="00A14C91" w:rsidRPr="00517162" w:rsidRDefault="00A14C91" w:rsidP="00A14C91">
      <w:pPr>
        <w:autoSpaceDE w:val="0"/>
        <w:autoSpaceDN w:val="0"/>
        <w:adjustRightInd w:val="0"/>
        <w:spacing w:after="0" w:line="400" w:lineRule="atLeast"/>
        <w:jc w:val="center"/>
        <w:rPr>
          <w:rFonts w:ascii="Times New Roman" w:hAnsi="Times New Roman" w:cs="Times New Roman"/>
          <w:sz w:val="24"/>
          <w:szCs w:val="24"/>
        </w:rPr>
      </w:pPr>
    </w:p>
    <w:p w14:paraId="2BEB5E8A" w14:textId="77777777" w:rsidR="00A14C91" w:rsidRPr="00517162" w:rsidRDefault="00A14C91" w:rsidP="00A14C91">
      <w:pPr>
        <w:pStyle w:val="Heading1"/>
      </w:pPr>
      <w:r w:rsidRPr="00517162">
        <w:lastRenderedPageBreak/>
        <w:t>Advantages and Disadvantages of Using Excel</w:t>
      </w:r>
    </w:p>
    <w:tbl>
      <w:tblPr>
        <w:tblStyle w:val="TableGrid"/>
        <w:tblW w:w="10098" w:type="dxa"/>
        <w:tblLook w:val="04A0" w:firstRow="1" w:lastRow="0" w:firstColumn="1" w:lastColumn="0" w:noHBand="0" w:noVBand="1"/>
      </w:tblPr>
      <w:tblGrid>
        <w:gridCol w:w="5049"/>
        <w:gridCol w:w="5049"/>
      </w:tblGrid>
      <w:tr w:rsidR="00A14C91" w:rsidRPr="00517162" w14:paraId="350202B4" w14:textId="77777777" w:rsidTr="0090224C">
        <w:trPr>
          <w:trHeight w:val="391"/>
        </w:trPr>
        <w:tc>
          <w:tcPr>
            <w:tcW w:w="5049" w:type="dxa"/>
          </w:tcPr>
          <w:p w14:paraId="7F968E46" w14:textId="77777777" w:rsidR="00A14C91" w:rsidRPr="00517162" w:rsidRDefault="00A14C91" w:rsidP="0090224C">
            <w:pPr>
              <w:autoSpaceDE w:val="0"/>
              <w:autoSpaceDN w:val="0"/>
              <w:adjustRightInd w:val="0"/>
              <w:spacing w:line="400" w:lineRule="atLeast"/>
              <w:jc w:val="center"/>
              <w:rPr>
                <w:rFonts w:ascii="Times New Roman" w:hAnsi="Times New Roman" w:cs="Times New Roman"/>
                <w:b/>
                <w:bCs/>
                <w:sz w:val="24"/>
                <w:szCs w:val="24"/>
              </w:rPr>
            </w:pPr>
            <w:r w:rsidRPr="00517162">
              <w:rPr>
                <w:rFonts w:ascii="Times New Roman" w:hAnsi="Times New Roman" w:cs="Times New Roman"/>
                <w:b/>
                <w:bCs/>
                <w:sz w:val="24"/>
                <w:szCs w:val="24"/>
              </w:rPr>
              <w:t xml:space="preserve">Advantages </w:t>
            </w:r>
          </w:p>
        </w:tc>
        <w:tc>
          <w:tcPr>
            <w:tcW w:w="5049" w:type="dxa"/>
          </w:tcPr>
          <w:p w14:paraId="4DDD11D5" w14:textId="77777777" w:rsidR="00A14C91" w:rsidRPr="00517162" w:rsidRDefault="00A14C91" w:rsidP="0090224C">
            <w:pPr>
              <w:autoSpaceDE w:val="0"/>
              <w:autoSpaceDN w:val="0"/>
              <w:adjustRightInd w:val="0"/>
              <w:spacing w:line="400" w:lineRule="atLeast"/>
              <w:jc w:val="center"/>
              <w:rPr>
                <w:rFonts w:ascii="Times New Roman" w:hAnsi="Times New Roman" w:cs="Times New Roman"/>
                <w:b/>
                <w:bCs/>
                <w:sz w:val="24"/>
                <w:szCs w:val="24"/>
              </w:rPr>
            </w:pPr>
            <w:r w:rsidRPr="00517162">
              <w:rPr>
                <w:rFonts w:ascii="Times New Roman" w:hAnsi="Times New Roman" w:cs="Times New Roman"/>
                <w:b/>
                <w:bCs/>
                <w:sz w:val="24"/>
                <w:szCs w:val="24"/>
              </w:rPr>
              <w:t xml:space="preserve">Disadvantages </w:t>
            </w:r>
          </w:p>
        </w:tc>
      </w:tr>
      <w:tr w:rsidR="00A14C91" w:rsidRPr="00517162" w14:paraId="7E2FA34D" w14:textId="77777777" w:rsidTr="0090224C">
        <w:trPr>
          <w:trHeight w:val="798"/>
        </w:trPr>
        <w:tc>
          <w:tcPr>
            <w:tcW w:w="5049" w:type="dxa"/>
          </w:tcPr>
          <w:p w14:paraId="292E8391"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Has an easy to work with user interface</w:t>
            </w:r>
            <w:r>
              <w:rPr>
                <w:rFonts w:ascii="Times New Roman" w:hAnsi="Times New Roman" w:cs="Times New Roman"/>
                <w:sz w:val="24"/>
                <w:szCs w:val="24"/>
              </w:rPr>
              <w:t>. Tabs on the excel window allow for easy usage</w:t>
            </w:r>
          </w:p>
        </w:tc>
        <w:tc>
          <w:tcPr>
            <w:tcW w:w="5049" w:type="dxa"/>
          </w:tcPr>
          <w:p w14:paraId="787A12C9"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Doesn’t provide highly useful statistical features</w:t>
            </w:r>
          </w:p>
        </w:tc>
      </w:tr>
      <w:tr w:rsidR="00A14C91" w:rsidRPr="00517162" w14:paraId="2AC13191" w14:textId="77777777" w:rsidTr="0090224C">
        <w:trPr>
          <w:trHeight w:val="798"/>
        </w:trPr>
        <w:tc>
          <w:tcPr>
            <w:tcW w:w="5049" w:type="dxa"/>
          </w:tcPr>
          <w:p w14:paraId="0498AB99"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Doesn’t require</w:t>
            </w:r>
            <w:r>
              <w:rPr>
                <w:rFonts w:ascii="Times New Roman" w:hAnsi="Times New Roman" w:cs="Times New Roman"/>
                <w:sz w:val="24"/>
                <w:szCs w:val="24"/>
              </w:rPr>
              <w:t xml:space="preserve"> a lot of programming knowledge. Unlike other software like python, matlab,</w:t>
            </w:r>
          </w:p>
        </w:tc>
        <w:tc>
          <w:tcPr>
            <w:tcW w:w="5049" w:type="dxa"/>
          </w:tcPr>
          <w:p w14:paraId="6FFBD256"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 xml:space="preserve">Used only for limited data for example the case of the school which had to switch to use of SPSS because of increase in data </w:t>
            </w:r>
          </w:p>
        </w:tc>
      </w:tr>
      <w:tr w:rsidR="00A14C91" w:rsidRPr="00517162" w14:paraId="4BBA2C78" w14:textId="77777777" w:rsidTr="0090224C">
        <w:trPr>
          <w:trHeight w:val="798"/>
        </w:trPr>
        <w:tc>
          <w:tcPr>
            <w:tcW w:w="5049" w:type="dxa"/>
          </w:tcPr>
          <w:p w14:paraId="5097591F"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Easily accessible because it is free</w:t>
            </w:r>
            <w:r>
              <w:rPr>
                <w:rFonts w:ascii="Times New Roman" w:hAnsi="Times New Roman" w:cs="Times New Roman"/>
                <w:sz w:val="24"/>
                <w:szCs w:val="24"/>
              </w:rPr>
              <w:t xml:space="preserve">. Comes readily installed in Microsoft office </w:t>
            </w:r>
          </w:p>
          <w:p w14:paraId="5942E51C" w14:textId="77777777" w:rsidR="00A14C91" w:rsidRPr="00517162" w:rsidRDefault="00A14C91" w:rsidP="0090224C">
            <w:pPr>
              <w:autoSpaceDE w:val="0"/>
              <w:autoSpaceDN w:val="0"/>
              <w:adjustRightInd w:val="0"/>
              <w:spacing w:line="400" w:lineRule="atLeast"/>
              <w:jc w:val="center"/>
              <w:rPr>
                <w:rFonts w:ascii="Times New Roman" w:hAnsi="Times New Roman" w:cs="Times New Roman"/>
                <w:sz w:val="24"/>
                <w:szCs w:val="24"/>
              </w:rPr>
            </w:pPr>
          </w:p>
        </w:tc>
        <w:tc>
          <w:tcPr>
            <w:tcW w:w="5049" w:type="dxa"/>
          </w:tcPr>
          <w:p w14:paraId="765C3DC2"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Lack useful statistical features contained in packages in software such as R studio</w:t>
            </w:r>
            <w:r>
              <w:rPr>
                <w:rFonts w:ascii="Times New Roman" w:hAnsi="Times New Roman" w:cs="Times New Roman"/>
                <w:sz w:val="24"/>
                <w:szCs w:val="24"/>
              </w:rPr>
              <w:t xml:space="preserve">. The features in excel are sort of limited </w:t>
            </w:r>
          </w:p>
        </w:tc>
      </w:tr>
      <w:tr w:rsidR="00A14C91" w:rsidRPr="00517162" w14:paraId="0A56BCD7" w14:textId="77777777" w:rsidTr="0090224C">
        <w:trPr>
          <w:trHeight w:val="798"/>
        </w:trPr>
        <w:tc>
          <w:tcPr>
            <w:tcW w:w="5049" w:type="dxa"/>
          </w:tcPr>
          <w:p w14:paraId="4048CE23"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Allows for use of useful formulas that are highly practical</w:t>
            </w:r>
            <w:r>
              <w:rPr>
                <w:rFonts w:ascii="Times New Roman" w:hAnsi="Times New Roman" w:cs="Times New Roman"/>
                <w:sz w:val="24"/>
                <w:szCs w:val="24"/>
              </w:rPr>
              <w:t>. Useful formulas like IF, VLOOKUP, XLOOKUP</w:t>
            </w:r>
          </w:p>
        </w:tc>
        <w:tc>
          <w:tcPr>
            <w:tcW w:w="5049" w:type="dxa"/>
          </w:tcPr>
          <w:p w14:paraId="4418E6B0" w14:textId="77777777" w:rsidR="00A14C91" w:rsidRPr="00517162" w:rsidRDefault="00A14C91" w:rsidP="0090224C">
            <w:pPr>
              <w:autoSpaceDE w:val="0"/>
              <w:autoSpaceDN w:val="0"/>
              <w:adjustRightInd w:val="0"/>
              <w:spacing w:line="400" w:lineRule="atLeast"/>
              <w:rPr>
                <w:rFonts w:ascii="Times New Roman" w:hAnsi="Times New Roman" w:cs="Times New Roman"/>
                <w:sz w:val="24"/>
                <w:szCs w:val="24"/>
              </w:rPr>
            </w:pPr>
            <w:r w:rsidRPr="00517162">
              <w:rPr>
                <w:rFonts w:ascii="Times New Roman" w:hAnsi="Times New Roman" w:cs="Times New Roman"/>
                <w:sz w:val="24"/>
                <w:szCs w:val="24"/>
              </w:rPr>
              <w:t>Lacks 3D graphs as available in SPSS</w:t>
            </w:r>
          </w:p>
        </w:tc>
      </w:tr>
    </w:tbl>
    <w:p w14:paraId="3C9741D9" w14:textId="77777777" w:rsidR="00A14C91" w:rsidRPr="00517162" w:rsidRDefault="00A14C91" w:rsidP="00A14C91">
      <w:pPr>
        <w:autoSpaceDE w:val="0"/>
        <w:autoSpaceDN w:val="0"/>
        <w:adjustRightInd w:val="0"/>
        <w:spacing w:after="0" w:line="400" w:lineRule="atLeast"/>
        <w:jc w:val="center"/>
        <w:rPr>
          <w:rFonts w:ascii="Times New Roman" w:hAnsi="Times New Roman" w:cs="Times New Roman"/>
          <w:sz w:val="24"/>
          <w:szCs w:val="24"/>
        </w:rPr>
      </w:pPr>
      <w:r w:rsidRPr="00517162">
        <w:rPr>
          <w:rFonts w:ascii="Times New Roman" w:hAnsi="Times New Roman" w:cs="Times New Roman"/>
          <w:sz w:val="24"/>
          <w:szCs w:val="24"/>
        </w:rPr>
        <w:t xml:space="preserve"> </w:t>
      </w:r>
    </w:p>
    <w:p w14:paraId="11C5EF16" w14:textId="77777777" w:rsidR="00A14C91" w:rsidRPr="00517162" w:rsidRDefault="00A14C91" w:rsidP="00A14C91">
      <w:pPr>
        <w:autoSpaceDE w:val="0"/>
        <w:autoSpaceDN w:val="0"/>
        <w:adjustRightInd w:val="0"/>
        <w:spacing w:after="0" w:line="400" w:lineRule="atLeast"/>
        <w:jc w:val="center"/>
        <w:rPr>
          <w:rFonts w:ascii="Times New Roman" w:hAnsi="Times New Roman" w:cs="Times New Roman"/>
          <w:sz w:val="24"/>
          <w:szCs w:val="24"/>
        </w:rPr>
      </w:pPr>
    </w:p>
    <w:p w14:paraId="7171DCE1"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3833A54A" w14:textId="77777777" w:rsidR="00A14C91" w:rsidRPr="00517162" w:rsidRDefault="00A14C91" w:rsidP="00A14C91">
      <w:pPr>
        <w:rPr>
          <w:rFonts w:ascii="Times New Roman" w:eastAsiaTheme="majorEastAsia" w:hAnsi="Times New Roman" w:cs="Times New Roman"/>
          <w:color w:val="2E74B5" w:themeColor="accent1" w:themeShade="BF"/>
          <w:sz w:val="32"/>
          <w:szCs w:val="32"/>
        </w:rPr>
      </w:pPr>
      <w:r w:rsidRPr="00517162">
        <w:rPr>
          <w:rFonts w:ascii="Times New Roman" w:hAnsi="Times New Roman" w:cs="Times New Roman"/>
        </w:rPr>
        <w:br w:type="page"/>
      </w:r>
    </w:p>
    <w:p w14:paraId="3058E3F9" w14:textId="77777777" w:rsidR="00A14C91" w:rsidRPr="00517162" w:rsidRDefault="00A14C91" w:rsidP="00A14C91">
      <w:pPr>
        <w:pStyle w:val="Heading1"/>
        <w:rPr>
          <w:rFonts w:ascii="Times New Roman" w:hAnsi="Times New Roman" w:cs="Times New Roman"/>
          <w:b/>
          <w:bCs/>
          <w:color w:val="auto"/>
        </w:rPr>
      </w:pPr>
      <w:r w:rsidRPr="00517162">
        <w:rPr>
          <w:rFonts w:ascii="Times New Roman" w:hAnsi="Times New Roman" w:cs="Times New Roman"/>
          <w:b/>
          <w:bCs/>
          <w:color w:val="auto"/>
        </w:rPr>
        <w:lastRenderedPageBreak/>
        <w:t xml:space="preserve">Reference List </w:t>
      </w:r>
    </w:p>
    <w:p w14:paraId="5D2E83FF" w14:textId="77777777" w:rsidR="00A14C91" w:rsidRPr="00517162" w:rsidRDefault="00A14C91" w:rsidP="00A14C91">
      <w:pPr>
        <w:autoSpaceDE w:val="0"/>
        <w:autoSpaceDN w:val="0"/>
        <w:adjustRightInd w:val="0"/>
        <w:spacing w:after="0" w:line="400" w:lineRule="atLeast"/>
        <w:jc w:val="both"/>
        <w:rPr>
          <w:rFonts w:ascii="Times New Roman" w:hAnsi="Times New Roman" w:cs="Times New Roman"/>
          <w:sz w:val="24"/>
          <w:szCs w:val="24"/>
        </w:rPr>
      </w:pPr>
      <w:r w:rsidRPr="00517162">
        <w:rPr>
          <w:rFonts w:ascii="Times New Roman" w:hAnsi="Times New Roman" w:cs="Times New Roman"/>
          <w:sz w:val="24"/>
          <w:szCs w:val="24"/>
        </w:rPr>
        <w:t>Bhojani, S. &amp; Bhatt, N. (2016). Data Mining Techniques and Trends – A Review.</w:t>
      </w:r>
    </w:p>
    <w:p w14:paraId="5C8AC4D9" w14:textId="77777777" w:rsidR="00A14C91" w:rsidRPr="00517162" w:rsidRDefault="00A14C91" w:rsidP="00A14C91">
      <w:pPr>
        <w:autoSpaceDE w:val="0"/>
        <w:autoSpaceDN w:val="0"/>
        <w:adjustRightInd w:val="0"/>
        <w:spacing w:after="0" w:line="400" w:lineRule="atLeast"/>
        <w:jc w:val="both"/>
        <w:rPr>
          <w:rFonts w:ascii="Times New Roman" w:hAnsi="Times New Roman" w:cs="Times New Roman"/>
          <w:sz w:val="24"/>
          <w:szCs w:val="24"/>
        </w:rPr>
      </w:pPr>
    </w:p>
    <w:p w14:paraId="52AE924C"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r w:rsidRPr="00517162">
        <w:rPr>
          <w:rFonts w:ascii="Times New Roman" w:hAnsi="Times New Roman" w:cs="Times New Roman"/>
          <w:sz w:val="24"/>
          <w:szCs w:val="24"/>
        </w:rPr>
        <w:t>Fuller, Christie, M., Biros, David, P., and Delen, Dursun. (2011). An investigation of data and text mining methods for real world deception detection. Expert Systems with Applications, 38. 2011. Pp. 8392-8398.</w:t>
      </w:r>
    </w:p>
    <w:p w14:paraId="0E2F42CE"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p>
    <w:p w14:paraId="4622A078"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r w:rsidRPr="00517162">
        <w:rPr>
          <w:rFonts w:ascii="Times New Roman" w:hAnsi="Times New Roman" w:cs="Times New Roman"/>
          <w:sz w:val="24"/>
          <w:szCs w:val="24"/>
        </w:rPr>
        <w:t>Hu, M., &amp; Liu, B. (2004). Mining and Summarizing Customer Reviews. KDD-04 Proceedings of the tenth ACM SIGKDD international conference on Knowledge discovery and data mining. August. 2004. Pp. 168-177.</w:t>
      </w:r>
    </w:p>
    <w:p w14:paraId="3972E7F2"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p>
    <w:p w14:paraId="08390C47"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r w:rsidRPr="00517162">
        <w:rPr>
          <w:rFonts w:ascii="Times New Roman" w:hAnsi="Times New Roman" w:cs="Times New Roman"/>
          <w:sz w:val="24"/>
          <w:szCs w:val="24"/>
        </w:rPr>
        <w:t>Ikeda, K., Hattori, G., Ono, C., Asoh, H., &amp; Higashino, T. (2013). Twitter user profiling based on text and community mining for market analysis. Knowledge-Based Systems, 51. Pp. 35-47.</w:t>
      </w:r>
    </w:p>
    <w:p w14:paraId="0F98BFB6"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p>
    <w:p w14:paraId="71FF5A44" w14:textId="77777777" w:rsidR="00A14C91" w:rsidRPr="00517162" w:rsidRDefault="00000000" w:rsidP="00A14C91">
      <w:pPr>
        <w:autoSpaceDE w:val="0"/>
        <w:autoSpaceDN w:val="0"/>
        <w:adjustRightInd w:val="0"/>
        <w:spacing w:after="0" w:line="240" w:lineRule="auto"/>
        <w:ind w:left="720" w:hanging="720"/>
        <w:jc w:val="both"/>
        <w:rPr>
          <w:rFonts w:ascii="Times New Roman" w:hAnsi="Times New Roman" w:cs="Times New Roman"/>
          <w:sz w:val="24"/>
          <w:szCs w:val="24"/>
        </w:rPr>
      </w:pPr>
      <w:hyperlink r:id="rId16" w:tooltip="Sang Jun Lee" w:history="1">
        <w:r w:rsidR="00A14C91" w:rsidRPr="00517162">
          <w:rPr>
            <w:rStyle w:val="Hyperlink"/>
            <w:rFonts w:ascii="Times New Roman" w:hAnsi="Times New Roman" w:cs="Times New Roman"/>
            <w:color w:val="auto"/>
            <w:sz w:val="24"/>
            <w:szCs w:val="24"/>
            <w:u w:val="none"/>
          </w:rPr>
          <w:t>Jun Lee, S.</w:t>
        </w:r>
      </w:hyperlink>
      <w:r w:rsidR="00A14C91" w:rsidRPr="00517162">
        <w:rPr>
          <w:rFonts w:ascii="Times New Roman" w:hAnsi="Times New Roman" w:cs="Times New Roman"/>
          <w:sz w:val="24"/>
          <w:szCs w:val="24"/>
        </w:rPr>
        <w:t> and </w:t>
      </w:r>
      <w:hyperlink r:id="rId17" w:tooltip="Keng Siau" w:history="1">
        <w:r w:rsidR="00A14C91" w:rsidRPr="00517162">
          <w:rPr>
            <w:rStyle w:val="Hyperlink"/>
            <w:rFonts w:ascii="Times New Roman" w:hAnsi="Times New Roman" w:cs="Times New Roman"/>
            <w:color w:val="auto"/>
            <w:sz w:val="24"/>
            <w:szCs w:val="24"/>
            <w:u w:val="none"/>
          </w:rPr>
          <w:t>Siau, K.</w:t>
        </w:r>
      </w:hyperlink>
      <w:r w:rsidR="00A14C91" w:rsidRPr="00517162">
        <w:rPr>
          <w:rFonts w:ascii="Times New Roman" w:hAnsi="Times New Roman" w:cs="Times New Roman"/>
          <w:sz w:val="24"/>
          <w:szCs w:val="24"/>
        </w:rPr>
        <w:t> (2001), "A review of data mining techniques", </w:t>
      </w:r>
      <w:hyperlink r:id="rId18" w:history="1">
        <w:r w:rsidR="00A14C91" w:rsidRPr="00517162">
          <w:rPr>
            <w:rStyle w:val="Hyperlink"/>
            <w:rFonts w:ascii="Times New Roman" w:hAnsi="Times New Roman" w:cs="Times New Roman"/>
            <w:i/>
            <w:iCs/>
            <w:color w:val="auto"/>
            <w:sz w:val="24"/>
            <w:szCs w:val="24"/>
            <w:u w:val="none"/>
          </w:rPr>
          <w:t>Industrial Management &amp; Data Systems</w:t>
        </w:r>
      </w:hyperlink>
      <w:r w:rsidR="00A14C91" w:rsidRPr="00517162">
        <w:rPr>
          <w:rFonts w:ascii="Times New Roman" w:hAnsi="Times New Roman" w:cs="Times New Roman"/>
          <w:sz w:val="24"/>
          <w:szCs w:val="24"/>
        </w:rPr>
        <w:t>, Vol. 101 No. 1, pp. 41-46. </w:t>
      </w:r>
      <w:hyperlink r:id="rId19" w:tooltip="DOI: https://doi.org/10.1108/02635570110365989" w:history="1">
        <w:r w:rsidR="00A14C91" w:rsidRPr="00517162">
          <w:rPr>
            <w:rStyle w:val="Hyperlink"/>
            <w:rFonts w:ascii="Times New Roman" w:hAnsi="Times New Roman" w:cs="Times New Roman"/>
            <w:color w:val="auto"/>
            <w:sz w:val="24"/>
            <w:szCs w:val="24"/>
            <w:u w:val="none"/>
          </w:rPr>
          <w:t>https://doi.org/10.1108/02635570110365989</w:t>
        </w:r>
      </w:hyperlink>
    </w:p>
    <w:p w14:paraId="6C36E8E6"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p>
    <w:p w14:paraId="1191A5AF"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r w:rsidRPr="00517162">
        <w:rPr>
          <w:rFonts w:ascii="Times New Roman" w:hAnsi="Times New Roman" w:cs="Times New Roman"/>
          <w:sz w:val="24"/>
          <w:szCs w:val="24"/>
        </w:rPr>
        <w:t>J. Han and M. Kamber. Data Mining: Concepts and Techniques. Morgan Kaufmann, 2000.</w:t>
      </w:r>
    </w:p>
    <w:p w14:paraId="1B8DF43B"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p>
    <w:p w14:paraId="2FDF441E"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r w:rsidRPr="00517162">
        <w:rPr>
          <w:rFonts w:ascii="Times New Roman" w:hAnsi="Times New Roman" w:cs="Times New Roman"/>
          <w:sz w:val="24"/>
          <w:szCs w:val="24"/>
        </w:rPr>
        <w:t>Liao, S., Chu, P., &amp; Hsiao, P. (2012). Data mining techniques and applications – A decade review from 2000 to 2011. </w:t>
      </w:r>
      <w:r w:rsidRPr="00517162">
        <w:rPr>
          <w:rFonts w:ascii="Times New Roman" w:hAnsi="Times New Roman" w:cs="Times New Roman"/>
          <w:i/>
          <w:iCs/>
          <w:sz w:val="24"/>
          <w:szCs w:val="24"/>
        </w:rPr>
        <w:t>Expert Systems with Applications</w:t>
      </w:r>
      <w:r w:rsidRPr="00517162">
        <w:rPr>
          <w:rFonts w:ascii="Times New Roman" w:hAnsi="Times New Roman" w:cs="Times New Roman"/>
          <w:sz w:val="24"/>
          <w:szCs w:val="24"/>
        </w:rPr>
        <w:t>, </w:t>
      </w:r>
      <w:r w:rsidRPr="00517162">
        <w:rPr>
          <w:rFonts w:ascii="Times New Roman" w:hAnsi="Times New Roman" w:cs="Times New Roman"/>
          <w:i/>
          <w:iCs/>
          <w:sz w:val="24"/>
          <w:szCs w:val="24"/>
        </w:rPr>
        <w:t>39</w:t>
      </w:r>
      <w:r w:rsidRPr="00517162">
        <w:rPr>
          <w:rFonts w:ascii="Times New Roman" w:hAnsi="Times New Roman" w:cs="Times New Roman"/>
          <w:sz w:val="24"/>
          <w:szCs w:val="24"/>
        </w:rPr>
        <w:t>(12), 11303-11311. </w:t>
      </w:r>
      <w:hyperlink r:id="rId20" w:history="1">
        <w:r w:rsidRPr="00517162">
          <w:rPr>
            <w:rStyle w:val="Hyperlink"/>
            <w:rFonts w:ascii="Times New Roman" w:hAnsi="Times New Roman" w:cs="Times New Roman"/>
            <w:sz w:val="24"/>
            <w:szCs w:val="24"/>
          </w:rPr>
          <w:t>https://doi.org/10.1016/j.eswa.2012.02.063</w:t>
        </w:r>
      </w:hyperlink>
    </w:p>
    <w:p w14:paraId="2344EDB8"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p>
    <w:p w14:paraId="266075E0" w14:textId="77777777" w:rsidR="00A14C91" w:rsidRPr="00517162" w:rsidRDefault="00A14C91" w:rsidP="00A14C91">
      <w:pPr>
        <w:autoSpaceDE w:val="0"/>
        <w:autoSpaceDN w:val="0"/>
        <w:adjustRightInd w:val="0"/>
        <w:spacing w:after="0" w:line="240" w:lineRule="auto"/>
        <w:ind w:left="720" w:hanging="720"/>
        <w:jc w:val="both"/>
        <w:rPr>
          <w:rFonts w:ascii="Times New Roman" w:hAnsi="Times New Roman" w:cs="Times New Roman"/>
          <w:sz w:val="24"/>
          <w:szCs w:val="24"/>
        </w:rPr>
      </w:pPr>
      <w:r w:rsidRPr="00517162">
        <w:rPr>
          <w:rFonts w:ascii="Times New Roman" w:hAnsi="Times New Roman" w:cs="Times New Roman"/>
          <w:sz w:val="24"/>
          <w:szCs w:val="24"/>
        </w:rPr>
        <w:t>Netzer, O., Feldman, R., Goldenberg, J., &amp; Fresko, Moshe. (2012). Mine Your Own Business: Market-Structure Surveillance Through Text Mining. Marketing Science, 31 (3). May-June, 2012. Pp. 521-543.</w:t>
      </w:r>
    </w:p>
    <w:p w14:paraId="5D96D788" w14:textId="77777777" w:rsidR="00A14C91" w:rsidRPr="00517162" w:rsidRDefault="00A14C91" w:rsidP="00A14C91">
      <w:pPr>
        <w:autoSpaceDE w:val="0"/>
        <w:autoSpaceDN w:val="0"/>
        <w:adjustRightInd w:val="0"/>
        <w:spacing w:after="0" w:line="400" w:lineRule="atLeast"/>
        <w:rPr>
          <w:rFonts w:ascii="Times New Roman" w:hAnsi="Times New Roman" w:cs="Times New Roman"/>
          <w:sz w:val="24"/>
          <w:szCs w:val="24"/>
        </w:rPr>
      </w:pPr>
    </w:p>
    <w:p w14:paraId="7ED76F58" w14:textId="77777777" w:rsidR="00A14C91" w:rsidRPr="00517162" w:rsidRDefault="00A14C91" w:rsidP="00A14C91">
      <w:pPr>
        <w:spacing w:line="480" w:lineRule="auto"/>
        <w:ind w:firstLine="720"/>
        <w:rPr>
          <w:rFonts w:ascii="Times New Roman" w:hAnsi="Times New Roman" w:cs="Times New Roman"/>
          <w:sz w:val="24"/>
          <w:szCs w:val="24"/>
        </w:rPr>
      </w:pPr>
    </w:p>
    <w:p w14:paraId="29D7753C" w14:textId="77777777" w:rsidR="00A14C91" w:rsidRPr="00517162" w:rsidRDefault="00A14C91" w:rsidP="00A14C91">
      <w:pPr>
        <w:spacing w:line="480" w:lineRule="auto"/>
        <w:ind w:firstLine="720"/>
        <w:rPr>
          <w:rFonts w:ascii="Times New Roman" w:hAnsi="Times New Roman" w:cs="Times New Roman"/>
          <w:sz w:val="24"/>
          <w:szCs w:val="24"/>
        </w:rPr>
      </w:pPr>
      <w:r w:rsidRPr="00517162">
        <w:rPr>
          <w:rFonts w:ascii="Times New Roman" w:hAnsi="Times New Roman" w:cs="Times New Roman"/>
          <w:sz w:val="24"/>
          <w:szCs w:val="24"/>
        </w:rPr>
        <w:t xml:space="preserve"> </w:t>
      </w:r>
    </w:p>
    <w:p w14:paraId="49B958C9" w14:textId="77777777" w:rsidR="00A14C91" w:rsidRPr="00517162" w:rsidRDefault="00A14C91" w:rsidP="00A14C91">
      <w:pPr>
        <w:rPr>
          <w:rFonts w:ascii="Times New Roman" w:hAnsi="Times New Roman" w:cs="Times New Roman"/>
        </w:rPr>
      </w:pPr>
    </w:p>
    <w:p w14:paraId="668FF6A0" w14:textId="77777777" w:rsidR="00A14C91" w:rsidRPr="00517162" w:rsidRDefault="00A14C91" w:rsidP="00A14C91">
      <w:pPr>
        <w:rPr>
          <w:rFonts w:ascii="Times New Roman" w:hAnsi="Times New Roman" w:cs="Times New Roman"/>
        </w:rPr>
      </w:pPr>
    </w:p>
    <w:p w14:paraId="3BF54FA3" w14:textId="77777777" w:rsidR="00A14C91" w:rsidRPr="00517162" w:rsidRDefault="00A14C91" w:rsidP="00A14C91">
      <w:pPr>
        <w:rPr>
          <w:rFonts w:ascii="Times New Roman" w:hAnsi="Times New Roman" w:cs="Times New Roman"/>
        </w:rPr>
      </w:pPr>
    </w:p>
    <w:p w14:paraId="4CFCEF30" w14:textId="77777777" w:rsidR="00A14C91" w:rsidRDefault="00A14C91" w:rsidP="00A14C91"/>
    <w:p w14:paraId="1E70EF83" w14:textId="77777777" w:rsidR="00475680" w:rsidRDefault="00475680"/>
    <w:sectPr w:rsidR="00475680">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8D84E" w14:textId="77777777" w:rsidR="00D516E8" w:rsidRDefault="00D516E8">
      <w:pPr>
        <w:spacing w:after="0" w:line="240" w:lineRule="auto"/>
      </w:pPr>
      <w:r>
        <w:separator/>
      </w:r>
    </w:p>
  </w:endnote>
  <w:endnote w:type="continuationSeparator" w:id="0">
    <w:p w14:paraId="08696509" w14:textId="77777777" w:rsidR="00D516E8" w:rsidRDefault="00D51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7EEDB" w14:textId="77777777" w:rsidR="00D516E8" w:rsidRDefault="00D516E8">
      <w:pPr>
        <w:spacing w:after="0" w:line="240" w:lineRule="auto"/>
      </w:pPr>
      <w:r>
        <w:separator/>
      </w:r>
    </w:p>
  </w:footnote>
  <w:footnote w:type="continuationSeparator" w:id="0">
    <w:p w14:paraId="3D3BBFAC" w14:textId="77777777" w:rsidR="00D516E8" w:rsidRDefault="00D51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66840128"/>
      <w:docPartObj>
        <w:docPartGallery w:val="Page Numbers (Top of Page)"/>
        <w:docPartUnique/>
      </w:docPartObj>
    </w:sdtPr>
    <w:sdtEndPr>
      <w:rPr>
        <w:noProof/>
      </w:rPr>
    </w:sdtEndPr>
    <w:sdtContent>
      <w:p w14:paraId="2AEBE10A" w14:textId="77777777" w:rsidR="00EA3937" w:rsidRPr="003F5F1E" w:rsidRDefault="00A14C91">
        <w:pPr>
          <w:pStyle w:val="Header"/>
          <w:jc w:val="right"/>
          <w:rPr>
            <w:rFonts w:ascii="Times New Roman" w:hAnsi="Times New Roman" w:cs="Times New Roman"/>
            <w:sz w:val="24"/>
            <w:szCs w:val="24"/>
          </w:rPr>
        </w:pPr>
        <w:r w:rsidRPr="003F5F1E">
          <w:rPr>
            <w:rFonts w:ascii="Times New Roman" w:hAnsi="Times New Roman" w:cs="Times New Roman"/>
            <w:sz w:val="24"/>
            <w:szCs w:val="24"/>
          </w:rPr>
          <w:fldChar w:fldCharType="begin"/>
        </w:r>
        <w:r w:rsidRPr="003F5F1E">
          <w:rPr>
            <w:rFonts w:ascii="Times New Roman" w:hAnsi="Times New Roman" w:cs="Times New Roman"/>
            <w:sz w:val="24"/>
            <w:szCs w:val="24"/>
          </w:rPr>
          <w:instrText xml:space="preserve"> PAGE   \* MERGEFORMAT </w:instrText>
        </w:r>
        <w:r w:rsidRPr="003F5F1E">
          <w:rPr>
            <w:rFonts w:ascii="Times New Roman" w:hAnsi="Times New Roman" w:cs="Times New Roman"/>
            <w:sz w:val="24"/>
            <w:szCs w:val="24"/>
          </w:rPr>
          <w:fldChar w:fldCharType="separate"/>
        </w:r>
        <w:r>
          <w:rPr>
            <w:rFonts w:ascii="Times New Roman" w:hAnsi="Times New Roman" w:cs="Times New Roman"/>
            <w:noProof/>
            <w:sz w:val="24"/>
            <w:szCs w:val="24"/>
          </w:rPr>
          <w:t>19</w:t>
        </w:r>
        <w:r w:rsidRPr="003F5F1E">
          <w:rPr>
            <w:rFonts w:ascii="Times New Roman" w:hAnsi="Times New Roman" w:cs="Times New Roman"/>
            <w:noProof/>
            <w:sz w:val="24"/>
            <w:szCs w:val="24"/>
          </w:rPr>
          <w:fldChar w:fldCharType="end"/>
        </w:r>
      </w:p>
    </w:sdtContent>
  </w:sdt>
  <w:p w14:paraId="3624FC79" w14:textId="77777777" w:rsidR="00EA3937" w:rsidRDefault="00EA39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C91"/>
    <w:rsid w:val="00475680"/>
    <w:rsid w:val="006B7F7C"/>
    <w:rsid w:val="00A14C91"/>
    <w:rsid w:val="00D516E8"/>
    <w:rsid w:val="00DF0D7D"/>
    <w:rsid w:val="00EA3937"/>
    <w:rsid w:val="00F241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AAB3"/>
  <w15:chartTrackingRefBased/>
  <w15:docId w15:val="{967EFE37-5015-4114-9AE9-6808608F5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C91"/>
  </w:style>
  <w:style w:type="paragraph" w:styleId="Heading1">
    <w:name w:val="heading 1"/>
    <w:basedOn w:val="Normal"/>
    <w:next w:val="Normal"/>
    <w:link w:val="Heading1Char"/>
    <w:uiPriority w:val="9"/>
    <w:qFormat/>
    <w:rsid w:val="00A14C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C91"/>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A14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4C91"/>
    <w:rPr>
      <w:color w:val="0563C1" w:themeColor="hyperlink"/>
      <w:u w:val="single"/>
    </w:rPr>
  </w:style>
  <w:style w:type="paragraph" w:styleId="Header">
    <w:name w:val="header"/>
    <w:basedOn w:val="Normal"/>
    <w:link w:val="HeaderChar"/>
    <w:uiPriority w:val="99"/>
    <w:unhideWhenUsed/>
    <w:rsid w:val="00A14C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4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2.png"/><Relationship Id="rId18" Type="http://schemas.openxmlformats.org/officeDocument/2006/relationships/hyperlink" Target="https://www.emerald.com/insight/publication/issn/0263-5577"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chart" Target="charts/chart2.xml"/><Relationship Id="rId12" Type="http://schemas.openxmlformats.org/officeDocument/2006/relationships/chart" Target="charts/chart6.xml"/><Relationship Id="rId17" Type="http://schemas.openxmlformats.org/officeDocument/2006/relationships/hyperlink" Target="https://www.emerald.com/insight/search?q=Keng%20Siau" TargetMode="External"/><Relationship Id="rId2" Type="http://schemas.openxmlformats.org/officeDocument/2006/relationships/settings" Target="settings.xml"/><Relationship Id="rId16" Type="http://schemas.openxmlformats.org/officeDocument/2006/relationships/hyperlink" Target="https://www.emerald.com/insight/search?q=Sang%20Jun%20Lee" TargetMode="External"/><Relationship Id="rId20" Type="http://schemas.openxmlformats.org/officeDocument/2006/relationships/hyperlink" Target="https://doi.org/10.1016/j.eswa.2012.02.063"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image" Target="media/image1.emf"/><Relationship Id="rId5"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chart" Target="charts/chart5.xml"/><Relationship Id="rId19" Type="http://schemas.openxmlformats.org/officeDocument/2006/relationships/hyperlink" Target="https://doi.org/10.1108/02635570110365989" TargetMode="Externa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image" Target="media/image3.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Hotel%20Reserva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Hotel%20Reserva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stu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Hotel%20Reservati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Hotel%20Reservatio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Hotel%20Reservation.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 Map of Annual</a:t>
            </a:r>
            <a:r>
              <a:rPr lang="en-US" baseline="0"/>
              <a:t> Average Price of Hotel Reservations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areaChart>
        <c:grouping val="standard"/>
        <c:varyColors val="0"/>
        <c:ser>
          <c:idx val="0"/>
          <c:order val="0"/>
          <c:tx>
            <c:strRef>
              <c:f>Sheet2!$B$3:$B$4</c:f>
              <c:strCache>
                <c:ptCount val="1"/>
                <c:pt idx="0">
                  <c:v>Total</c:v>
                </c:pt>
              </c:strCache>
            </c:strRef>
          </c:tx>
          <c:spPr>
            <a:solidFill>
              <a:schemeClr val="accent1"/>
            </a:solidFill>
            <a:ln>
              <a:noFill/>
            </a:ln>
            <a:effectLst/>
          </c:spPr>
          <c:cat>
            <c:strRef>
              <c:f>Sheet2!$A$5:$A$10</c:f>
              <c:strCache>
                <c:ptCount val="5"/>
                <c:pt idx="0">
                  <c:v>2017</c:v>
                </c:pt>
                <c:pt idx="1">
                  <c:v>2018</c:v>
                </c:pt>
                <c:pt idx="2">
                  <c:v>2019</c:v>
                </c:pt>
                <c:pt idx="3">
                  <c:v>2020</c:v>
                </c:pt>
                <c:pt idx="4">
                  <c:v>2021</c:v>
                </c:pt>
              </c:strCache>
            </c:strRef>
          </c:cat>
          <c:val>
            <c:numRef>
              <c:f>Sheet2!$B$5:$B$10</c:f>
              <c:numCache>
                <c:formatCode>General</c:formatCode>
                <c:ptCount val="5"/>
                <c:pt idx="0">
                  <c:v>90.043923797818422</c:v>
                </c:pt>
                <c:pt idx="1">
                  <c:v>106.35988303700191</c:v>
                </c:pt>
                <c:pt idx="2">
                  <c:v>70.963333333333324</c:v>
                </c:pt>
                <c:pt idx="3">
                  <c:v>81.400000000000006</c:v>
                </c:pt>
                <c:pt idx="4">
                  <c:v>105.33333333333333</c:v>
                </c:pt>
              </c:numCache>
            </c:numRef>
          </c:val>
          <c:extLst>
            <c:ext xmlns:c16="http://schemas.microsoft.com/office/drawing/2014/chart" uri="{C3380CC4-5D6E-409C-BE32-E72D297353CC}">
              <c16:uniqueId val="{00000000-0316-46B6-AF9C-466598EE5137}"/>
            </c:ext>
          </c:extLst>
        </c:ser>
        <c:dLbls>
          <c:showLegendKey val="0"/>
          <c:showVal val="0"/>
          <c:showCatName val="0"/>
          <c:showSerName val="0"/>
          <c:showPercent val="0"/>
          <c:showBubbleSize val="0"/>
        </c:dLbls>
        <c:axId val="1072813247"/>
        <c:axId val="1072824895"/>
      </c:areaChart>
      <c:catAx>
        <c:axId val="1072813247"/>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824895"/>
        <c:crosses val="autoZero"/>
        <c:auto val="1"/>
        <c:lblAlgn val="ctr"/>
        <c:lblOffset val="100"/>
        <c:noMultiLvlLbl val="0"/>
      </c:catAx>
      <c:valAx>
        <c:axId val="10728248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81324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Reservation.xlsx]Sheet3!PivotTable2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Adult number vs Average Price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pivotFmt>
      <c:pivotFmt>
        <c:idx val="3"/>
        <c:spPr>
          <a:solidFill>
            <a:schemeClr val="accent1"/>
          </a:solidFill>
          <a:ln w="28575" cap="rnd">
            <a:solidFill>
              <a:schemeClr val="accent1"/>
            </a:solidFill>
            <a:round/>
          </a:ln>
          <a:effectLst/>
        </c:spPr>
        <c:marker>
          <c:symbol val="none"/>
        </c:marker>
      </c:pivotFmt>
      <c:pivotFmt>
        <c:idx val="4"/>
        <c:spPr>
          <a:solidFill>
            <a:schemeClr val="accent1"/>
          </a:solidFill>
          <a:ln w="28575" cap="rnd">
            <a:solidFill>
              <a:schemeClr val="accent1"/>
            </a:solidFill>
            <a:round/>
          </a:ln>
          <a:effectLst/>
        </c:spPr>
        <c:marker>
          <c:symbol val="none"/>
        </c:marker>
      </c:pivotFmt>
      <c:pivotFmt>
        <c:idx val="5"/>
        <c:spPr>
          <a:solidFill>
            <a:schemeClr val="accent1"/>
          </a:solidFill>
          <a:ln w="28575" cap="rnd">
            <a:solidFill>
              <a:schemeClr val="accent1"/>
            </a:solidFill>
            <a:round/>
          </a:ln>
          <a:effectLst/>
        </c:spPr>
        <c:marker>
          <c:symbol val="none"/>
        </c:marker>
      </c:pivotFmt>
      <c:pivotFmt>
        <c:idx val="6"/>
        <c:spPr>
          <a:solidFill>
            <a:schemeClr val="accent1"/>
          </a:solidFill>
          <a:ln w="28575" cap="rnd">
            <a:solidFill>
              <a:schemeClr val="accent1"/>
            </a:solidFill>
            <a:round/>
          </a:ln>
          <a:effectLst/>
        </c:spPr>
        <c:marker>
          <c:symbol val="none"/>
        </c:marker>
      </c:pivotFmt>
      <c:pivotFmt>
        <c:idx val="7"/>
        <c:spPr>
          <a:solidFill>
            <a:schemeClr val="accent1"/>
          </a:solidFill>
          <a:ln w="28575" cap="rnd">
            <a:solidFill>
              <a:schemeClr val="accent1"/>
            </a:solidFill>
            <a:round/>
          </a:ln>
          <a:effectLst/>
        </c:spPr>
        <c:marker>
          <c:symbol val="none"/>
        </c:marker>
      </c:pivotFmt>
      <c:pivotFmt>
        <c:idx val="8"/>
        <c:spPr>
          <a:solidFill>
            <a:schemeClr val="accent1"/>
          </a:solidFill>
          <a:ln w="28575" cap="rnd">
            <a:solidFill>
              <a:schemeClr val="accent1"/>
            </a:solidFill>
            <a:round/>
          </a:ln>
          <a:effectLst/>
        </c:spPr>
        <c:marker>
          <c:symbol val="none"/>
        </c:marker>
      </c:pivotFmt>
      <c:pivotFmt>
        <c:idx val="9"/>
        <c:spPr>
          <a:solidFill>
            <a:schemeClr val="accent1"/>
          </a:solidFill>
          <a:ln w="28575" cap="rnd">
            <a:solidFill>
              <a:schemeClr val="accent1"/>
            </a:solidFill>
            <a:round/>
          </a:ln>
          <a:effectLst/>
        </c:spPr>
        <c:marker>
          <c:symbol val="none"/>
        </c:marker>
      </c:pivotFmt>
      <c:pivotFmt>
        <c:idx val="10"/>
        <c:spPr>
          <a:solidFill>
            <a:schemeClr val="accent1"/>
          </a:solidFill>
          <a:ln w="28575" cap="rnd">
            <a:solidFill>
              <a:schemeClr val="accent1"/>
            </a:solidFill>
            <a:round/>
          </a:ln>
          <a:effectLst/>
        </c:spPr>
        <c:marker>
          <c:symbol val="none"/>
        </c:marker>
      </c:pivotFmt>
      <c:pivotFmt>
        <c:idx val="11"/>
        <c:spPr>
          <a:solidFill>
            <a:schemeClr val="accent1"/>
          </a:solidFill>
          <a:ln w="28575" cap="rnd">
            <a:solidFill>
              <a:schemeClr val="accent1"/>
            </a:solidFill>
            <a:round/>
          </a:ln>
          <a:effectLst/>
        </c:spPr>
        <c:marker>
          <c:symbol val="none"/>
        </c:marker>
      </c:pivotFmt>
      <c:pivotFmt>
        <c:idx val="12"/>
        <c:spPr>
          <a:solidFill>
            <a:schemeClr val="accent1"/>
          </a:solidFill>
          <a:ln w="28575" cap="rnd">
            <a:solidFill>
              <a:schemeClr val="accent1"/>
            </a:solidFill>
            <a:round/>
          </a:ln>
          <a:effectLst/>
        </c:spPr>
        <c:marker>
          <c:symbol val="none"/>
        </c:marker>
      </c:pivotFmt>
      <c:pivotFmt>
        <c:idx val="13"/>
        <c:spPr>
          <a:solidFill>
            <a:schemeClr val="accent1"/>
          </a:solidFill>
          <a:ln w="28575" cap="rnd">
            <a:solidFill>
              <a:schemeClr val="accent1"/>
            </a:solidFill>
            <a:round/>
          </a:ln>
          <a:effectLst/>
        </c:spPr>
        <c:marker>
          <c:symbol val="none"/>
        </c:marker>
      </c:pivotFmt>
      <c:pivotFmt>
        <c:idx val="14"/>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Sheet3!$B$3:$B$4</c:f>
              <c:strCache>
                <c:ptCount val="1"/>
                <c:pt idx="0">
                  <c:v>2017</c:v>
                </c:pt>
              </c:strCache>
            </c:strRef>
          </c:tx>
          <c:spPr>
            <a:ln w="28575" cap="rnd">
              <a:solidFill>
                <a:schemeClr val="accent1"/>
              </a:solidFill>
              <a:round/>
            </a:ln>
            <a:effectLst/>
          </c:spPr>
          <c:marker>
            <c:symbol val="none"/>
          </c:marker>
          <c:cat>
            <c:strRef>
              <c:f>Sheet3!$A$5:$A$10</c:f>
              <c:strCache>
                <c:ptCount val="5"/>
                <c:pt idx="0">
                  <c:v>0</c:v>
                </c:pt>
                <c:pt idx="1">
                  <c:v>1</c:v>
                </c:pt>
                <c:pt idx="2">
                  <c:v>2</c:v>
                </c:pt>
                <c:pt idx="3">
                  <c:v>3</c:v>
                </c:pt>
                <c:pt idx="4">
                  <c:v>4</c:v>
                </c:pt>
              </c:strCache>
            </c:strRef>
          </c:cat>
          <c:val>
            <c:numRef>
              <c:f>Sheet3!$B$5:$B$10</c:f>
              <c:numCache>
                <c:formatCode>General</c:formatCode>
                <c:ptCount val="5"/>
                <c:pt idx="0">
                  <c:v>42.536999999999999</c:v>
                </c:pt>
                <c:pt idx="1">
                  <c:v>78.295754428833206</c:v>
                </c:pt>
                <c:pt idx="2">
                  <c:v>93.696984060402599</c:v>
                </c:pt>
                <c:pt idx="3">
                  <c:v>114.39531914893615</c:v>
                </c:pt>
              </c:numCache>
            </c:numRef>
          </c:val>
          <c:smooth val="0"/>
          <c:extLst>
            <c:ext xmlns:c16="http://schemas.microsoft.com/office/drawing/2014/chart" uri="{C3380CC4-5D6E-409C-BE32-E72D297353CC}">
              <c16:uniqueId val="{00000000-D071-4202-9FDF-4CA0D2BC3CAC}"/>
            </c:ext>
          </c:extLst>
        </c:ser>
        <c:ser>
          <c:idx val="1"/>
          <c:order val="1"/>
          <c:tx>
            <c:strRef>
              <c:f>Sheet3!$C$3:$C$4</c:f>
              <c:strCache>
                <c:ptCount val="1"/>
                <c:pt idx="0">
                  <c:v>2018</c:v>
                </c:pt>
              </c:strCache>
            </c:strRef>
          </c:tx>
          <c:spPr>
            <a:ln w="28575" cap="rnd">
              <a:solidFill>
                <a:schemeClr val="accent2"/>
              </a:solidFill>
              <a:round/>
            </a:ln>
            <a:effectLst/>
          </c:spPr>
          <c:marker>
            <c:symbol val="none"/>
          </c:marker>
          <c:cat>
            <c:strRef>
              <c:f>Sheet3!$A$5:$A$10</c:f>
              <c:strCache>
                <c:ptCount val="5"/>
                <c:pt idx="0">
                  <c:v>0</c:v>
                </c:pt>
                <c:pt idx="1">
                  <c:v>1</c:v>
                </c:pt>
                <c:pt idx="2">
                  <c:v>2</c:v>
                </c:pt>
                <c:pt idx="3">
                  <c:v>3</c:v>
                </c:pt>
                <c:pt idx="4">
                  <c:v>4</c:v>
                </c:pt>
              </c:strCache>
            </c:strRef>
          </c:cat>
          <c:val>
            <c:numRef>
              <c:f>Sheet3!$C$5:$C$10</c:f>
              <c:numCache>
                <c:formatCode>General</c:formatCode>
                <c:ptCount val="5"/>
                <c:pt idx="0">
                  <c:v>84.581007751937989</c:v>
                </c:pt>
                <c:pt idx="1">
                  <c:v>94.397499587118446</c:v>
                </c:pt>
                <c:pt idx="2">
                  <c:v>105.89979232103504</c:v>
                </c:pt>
                <c:pt idx="3">
                  <c:v>144.05062106210627</c:v>
                </c:pt>
                <c:pt idx="4">
                  <c:v>188.05250000000001</c:v>
                </c:pt>
              </c:numCache>
            </c:numRef>
          </c:val>
          <c:smooth val="0"/>
          <c:extLst>
            <c:ext xmlns:c16="http://schemas.microsoft.com/office/drawing/2014/chart" uri="{C3380CC4-5D6E-409C-BE32-E72D297353CC}">
              <c16:uniqueId val="{00000001-D071-4202-9FDF-4CA0D2BC3CAC}"/>
            </c:ext>
          </c:extLst>
        </c:ser>
        <c:ser>
          <c:idx val="2"/>
          <c:order val="2"/>
          <c:tx>
            <c:strRef>
              <c:f>Sheet3!$D$3:$D$4</c:f>
              <c:strCache>
                <c:ptCount val="1"/>
                <c:pt idx="0">
                  <c:v>2019</c:v>
                </c:pt>
              </c:strCache>
            </c:strRef>
          </c:tx>
          <c:spPr>
            <a:ln w="28575" cap="rnd">
              <a:solidFill>
                <a:schemeClr val="accent3"/>
              </a:solidFill>
              <a:round/>
            </a:ln>
            <a:effectLst/>
          </c:spPr>
          <c:marker>
            <c:symbol val="none"/>
          </c:marker>
          <c:cat>
            <c:strRef>
              <c:f>Sheet3!$A$5:$A$10</c:f>
              <c:strCache>
                <c:ptCount val="5"/>
                <c:pt idx="0">
                  <c:v>0</c:v>
                </c:pt>
                <c:pt idx="1">
                  <c:v>1</c:v>
                </c:pt>
                <c:pt idx="2">
                  <c:v>2</c:v>
                </c:pt>
                <c:pt idx="3">
                  <c:v>3</c:v>
                </c:pt>
                <c:pt idx="4">
                  <c:v>4</c:v>
                </c:pt>
              </c:strCache>
            </c:strRef>
          </c:cat>
          <c:val>
            <c:numRef>
              <c:f>Sheet3!$D$5:$D$10</c:f>
              <c:numCache>
                <c:formatCode>General</c:formatCode>
                <c:ptCount val="5"/>
                <c:pt idx="1">
                  <c:v>64.093333333333334</c:v>
                </c:pt>
                <c:pt idx="2">
                  <c:v>77.833333333333329</c:v>
                </c:pt>
              </c:numCache>
            </c:numRef>
          </c:val>
          <c:smooth val="0"/>
          <c:extLst>
            <c:ext xmlns:c16="http://schemas.microsoft.com/office/drawing/2014/chart" uri="{C3380CC4-5D6E-409C-BE32-E72D297353CC}">
              <c16:uniqueId val="{00000002-D071-4202-9FDF-4CA0D2BC3CAC}"/>
            </c:ext>
          </c:extLst>
        </c:ser>
        <c:ser>
          <c:idx val="3"/>
          <c:order val="3"/>
          <c:tx>
            <c:strRef>
              <c:f>Sheet3!$E$3:$E$4</c:f>
              <c:strCache>
                <c:ptCount val="1"/>
                <c:pt idx="0">
                  <c:v>2020</c:v>
                </c:pt>
              </c:strCache>
            </c:strRef>
          </c:tx>
          <c:spPr>
            <a:ln w="28575" cap="rnd">
              <a:solidFill>
                <a:schemeClr val="accent4"/>
              </a:solidFill>
              <a:round/>
            </a:ln>
            <a:effectLst/>
          </c:spPr>
          <c:marker>
            <c:symbol val="none"/>
          </c:marker>
          <c:cat>
            <c:strRef>
              <c:f>Sheet3!$A$5:$A$10</c:f>
              <c:strCache>
                <c:ptCount val="5"/>
                <c:pt idx="0">
                  <c:v>0</c:v>
                </c:pt>
                <c:pt idx="1">
                  <c:v>1</c:v>
                </c:pt>
                <c:pt idx="2">
                  <c:v>2</c:v>
                </c:pt>
                <c:pt idx="3">
                  <c:v>3</c:v>
                </c:pt>
                <c:pt idx="4">
                  <c:v>4</c:v>
                </c:pt>
              </c:strCache>
            </c:strRef>
          </c:cat>
          <c:val>
            <c:numRef>
              <c:f>Sheet3!$E$5:$E$10</c:f>
              <c:numCache>
                <c:formatCode>General</c:formatCode>
                <c:ptCount val="5"/>
                <c:pt idx="2">
                  <c:v>81.400000000000006</c:v>
                </c:pt>
              </c:numCache>
            </c:numRef>
          </c:val>
          <c:smooth val="0"/>
          <c:extLst>
            <c:ext xmlns:c16="http://schemas.microsoft.com/office/drawing/2014/chart" uri="{C3380CC4-5D6E-409C-BE32-E72D297353CC}">
              <c16:uniqueId val="{00000003-D071-4202-9FDF-4CA0D2BC3CAC}"/>
            </c:ext>
          </c:extLst>
        </c:ser>
        <c:ser>
          <c:idx val="4"/>
          <c:order val="4"/>
          <c:tx>
            <c:strRef>
              <c:f>Sheet3!$F$3:$F$4</c:f>
              <c:strCache>
                <c:ptCount val="1"/>
                <c:pt idx="0">
                  <c:v>2021</c:v>
                </c:pt>
              </c:strCache>
            </c:strRef>
          </c:tx>
          <c:spPr>
            <a:ln w="28575" cap="rnd">
              <a:solidFill>
                <a:schemeClr val="accent5"/>
              </a:solidFill>
              <a:round/>
            </a:ln>
            <a:effectLst/>
          </c:spPr>
          <c:marker>
            <c:symbol val="none"/>
          </c:marker>
          <c:cat>
            <c:strRef>
              <c:f>Sheet3!$A$5:$A$10</c:f>
              <c:strCache>
                <c:ptCount val="5"/>
                <c:pt idx="0">
                  <c:v>0</c:v>
                </c:pt>
                <c:pt idx="1">
                  <c:v>1</c:v>
                </c:pt>
                <c:pt idx="2">
                  <c:v>2</c:v>
                </c:pt>
                <c:pt idx="3">
                  <c:v>3</c:v>
                </c:pt>
                <c:pt idx="4">
                  <c:v>4</c:v>
                </c:pt>
              </c:strCache>
            </c:strRef>
          </c:cat>
          <c:val>
            <c:numRef>
              <c:f>Sheet3!$F$5:$F$10</c:f>
              <c:numCache>
                <c:formatCode>General</c:formatCode>
                <c:ptCount val="5"/>
                <c:pt idx="2">
                  <c:v>97.1</c:v>
                </c:pt>
                <c:pt idx="3">
                  <c:v>121.8</c:v>
                </c:pt>
              </c:numCache>
            </c:numRef>
          </c:val>
          <c:smooth val="0"/>
          <c:extLst>
            <c:ext xmlns:c16="http://schemas.microsoft.com/office/drawing/2014/chart" uri="{C3380CC4-5D6E-409C-BE32-E72D297353CC}">
              <c16:uniqueId val="{00000004-D071-4202-9FDF-4CA0D2BC3CAC}"/>
            </c:ext>
          </c:extLst>
        </c:ser>
        <c:dLbls>
          <c:showLegendKey val="0"/>
          <c:showVal val="0"/>
          <c:showCatName val="0"/>
          <c:showSerName val="0"/>
          <c:showPercent val="0"/>
          <c:showBubbleSize val="0"/>
        </c:dLbls>
        <c:smooth val="0"/>
        <c:axId val="1072826143"/>
        <c:axId val="1072810751"/>
      </c:lineChart>
      <c:catAx>
        <c:axId val="1072826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810751"/>
        <c:crosses val="autoZero"/>
        <c:auto val="1"/>
        <c:lblAlgn val="ctr"/>
        <c:lblOffset val="100"/>
        <c:noMultiLvlLbl val="0"/>
      </c:catAx>
      <c:valAx>
        <c:axId val="10728107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82614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[stu2.xlsx]children v average price!PivotTable1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a:t>
            </a:r>
            <a:r>
              <a:rPr lang="en-US" baseline="0"/>
              <a:t> of Children vs Average Price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
        <c:idx val="18"/>
        <c:spPr>
          <a:solidFill>
            <a:schemeClr val="accent1"/>
          </a:solidFill>
          <a:ln>
            <a:noFill/>
          </a:ln>
          <a:effectLst/>
        </c:spPr>
        <c:marker>
          <c:symbol val="none"/>
        </c:marker>
      </c:pivotFmt>
      <c:pivotFmt>
        <c:idx val="19"/>
        <c:spPr>
          <a:solidFill>
            <a:schemeClr val="accent1"/>
          </a:solidFill>
          <a:ln>
            <a:noFill/>
          </a:ln>
          <a:effectLst/>
        </c:spPr>
        <c:marker>
          <c:symbol val="none"/>
        </c:marker>
      </c:pivotFmt>
      <c:pivotFmt>
        <c:idx val="20"/>
        <c:spPr>
          <a:solidFill>
            <a:schemeClr val="accent1"/>
          </a:solidFill>
          <a:ln>
            <a:noFill/>
          </a:ln>
          <a:effectLst/>
        </c:spPr>
        <c:marker>
          <c:symbol val="none"/>
        </c:marker>
      </c:pivotFmt>
      <c:pivotFmt>
        <c:idx val="21"/>
        <c:spPr>
          <a:solidFill>
            <a:schemeClr val="accent1"/>
          </a:solidFill>
          <a:ln>
            <a:noFill/>
          </a:ln>
          <a:effectLst/>
        </c:spPr>
        <c:marker>
          <c:symbol val="none"/>
        </c:marker>
      </c:pivotFmt>
      <c:pivotFmt>
        <c:idx val="22"/>
        <c:spPr>
          <a:solidFill>
            <a:schemeClr val="accent1"/>
          </a:solidFill>
          <a:ln>
            <a:noFill/>
          </a:ln>
          <a:effectLst/>
        </c:spPr>
        <c:marker>
          <c:symbol val="none"/>
        </c:marker>
      </c:pivotFmt>
    </c:pivotFmts>
    <c:plotArea>
      <c:layout/>
      <c:barChart>
        <c:barDir val="col"/>
        <c:grouping val="clustered"/>
        <c:varyColors val="0"/>
        <c:ser>
          <c:idx val="0"/>
          <c:order val="0"/>
          <c:tx>
            <c:strRef>
              <c:f>'children v average price'!$B$3:$B$4</c:f>
              <c:strCache>
                <c:ptCount val="1"/>
                <c:pt idx="0">
                  <c:v>0</c:v>
                </c:pt>
              </c:strCache>
            </c:strRef>
          </c:tx>
          <c:spPr>
            <a:solidFill>
              <a:schemeClr val="accent1"/>
            </a:solidFill>
            <a:ln>
              <a:noFill/>
            </a:ln>
            <a:effectLst/>
          </c:spPr>
          <c:invertIfNegative val="0"/>
          <c:cat>
            <c:strRef>
              <c:f>'children v average price'!$A$5:$A$10</c:f>
              <c:strCache>
                <c:ptCount val="5"/>
                <c:pt idx="0">
                  <c:v>2017</c:v>
                </c:pt>
                <c:pt idx="1">
                  <c:v>2018</c:v>
                </c:pt>
                <c:pt idx="2">
                  <c:v>2019</c:v>
                </c:pt>
                <c:pt idx="3">
                  <c:v>2020</c:v>
                </c:pt>
                <c:pt idx="4">
                  <c:v>2021</c:v>
                </c:pt>
              </c:strCache>
            </c:strRef>
          </c:cat>
          <c:val>
            <c:numRef>
              <c:f>'children v average price'!$B$5:$B$10</c:f>
              <c:numCache>
                <c:formatCode>General</c:formatCode>
                <c:ptCount val="5"/>
                <c:pt idx="0">
                  <c:v>88.677512015379691</c:v>
                </c:pt>
                <c:pt idx="1">
                  <c:v>103.08582570821861</c:v>
                </c:pt>
                <c:pt idx="2">
                  <c:v>70.963333333333324</c:v>
                </c:pt>
                <c:pt idx="3">
                  <c:v>81.400000000000006</c:v>
                </c:pt>
                <c:pt idx="4">
                  <c:v>105.33333333333333</c:v>
                </c:pt>
              </c:numCache>
            </c:numRef>
          </c:val>
          <c:extLst>
            <c:ext xmlns:c16="http://schemas.microsoft.com/office/drawing/2014/chart" uri="{C3380CC4-5D6E-409C-BE32-E72D297353CC}">
              <c16:uniqueId val="{00000000-3FCD-4403-A955-F8E1721F8573}"/>
            </c:ext>
          </c:extLst>
        </c:ser>
        <c:ser>
          <c:idx val="1"/>
          <c:order val="1"/>
          <c:tx>
            <c:strRef>
              <c:f>'children v average price'!$C$3:$C$4</c:f>
              <c:strCache>
                <c:ptCount val="1"/>
                <c:pt idx="0">
                  <c:v>1</c:v>
                </c:pt>
              </c:strCache>
            </c:strRef>
          </c:tx>
          <c:spPr>
            <a:solidFill>
              <a:schemeClr val="accent2"/>
            </a:solidFill>
            <a:ln>
              <a:noFill/>
            </a:ln>
            <a:effectLst/>
          </c:spPr>
          <c:invertIfNegative val="0"/>
          <c:cat>
            <c:strRef>
              <c:f>'children v average price'!$A$5:$A$10</c:f>
              <c:strCache>
                <c:ptCount val="5"/>
                <c:pt idx="0">
                  <c:v>2017</c:v>
                </c:pt>
                <c:pt idx="1">
                  <c:v>2018</c:v>
                </c:pt>
                <c:pt idx="2">
                  <c:v>2019</c:v>
                </c:pt>
                <c:pt idx="3">
                  <c:v>2020</c:v>
                </c:pt>
                <c:pt idx="4">
                  <c:v>2021</c:v>
                </c:pt>
              </c:strCache>
            </c:strRef>
          </c:cat>
          <c:val>
            <c:numRef>
              <c:f>'children v average price'!$C$5:$C$10</c:f>
              <c:numCache>
                <c:formatCode>General</c:formatCode>
                <c:ptCount val="5"/>
                <c:pt idx="0">
                  <c:v>92.841507936507895</c:v>
                </c:pt>
                <c:pt idx="1">
                  <c:v>124.81570375335146</c:v>
                </c:pt>
              </c:numCache>
            </c:numRef>
          </c:val>
          <c:extLst>
            <c:ext xmlns:c16="http://schemas.microsoft.com/office/drawing/2014/chart" uri="{C3380CC4-5D6E-409C-BE32-E72D297353CC}">
              <c16:uniqueId val="{00000001-3FCD-4403-A955-F8E1721F8573}"/>
            </c:ext>
          </c:extLst>
        </c:ser>
        <c:ser>
          <c:idx val="2"/>
          <c:order val="2"/>
          <c:tx>
            <c:strRef>
              <c:f>'children v average price'!$D$3:$D$4</c:f>
              <c:strCache>
                <c:ptCount val="1"/>
                <c:pt idx="0">
                  <c:v>2</c:v>
                </c:pt>
              </c:strCache>
            </c:strRef>
          </c:tx>
          <c:spPr>
            <a:solidFill>
              <a:schemeClr val="accent3"/>
            </a:solidFill>
            <a:ln>
              <a:noFill/>
            </a:ln>
            <a:effectLst/>
          </c:spPr>
          <c:invertIfNegative val="0"/>
          <c:cat>
            <c:strRef>
              <c:f>'children v average price'!$A$5:$A$10</c:f>
              <c:strCache>
                <c:ptCount val="5"/>
                <c:pt idx="0">
                  <c:v>2017</c:v>
                </c:pt>
                <c:pt idx="1">
                  <c:v>2018</c:v>
                </c:pt>
                <c:pt idx="2">
                  <c:v>2019</c:v>
                </c:pt>
                <c:pt idx="3">
                  <c:v>2020</c:v>
                </c:pt>
                <c:pt idx="4">
                  <c:v>2021</c:v>
                </c:pt>
              </c:strCache>
            </c:strRef>
          </c:cat>
          <c:val>
            <c:numRef>
              <c:f>'children v average price'!$D$5:$D$10</c:f>
              <c:numCache>
                <c:formatCode>General</c:formatCode>
                <c:ptCount val="5"/>
                <c:pt idx="0">
                  <c:v>151.98563909774438</c:v>
                </c:pt>
                <c:pt idx="1">
                  <c:v>172.1677189189185</c:v>
                </c:pt>
              </c:numCache>
            </c:numRef>
          </c:val>
          <c:extLst>
            <c:ext xmlns:c16="http://schemas.microsoft.com/office/drawing/2014/chart" uri="{C3380CC4-5D6E-409C-BE32-E72D297353CC}">
              <c16:uniqueId val="{00000002-3FCD-4403-A955-F8E1721F8573}"/>
            </c:ext>
          </c:extLst>
        </c:ser>
        <c:ser>
          <c:idx val="3"/>
          <c:order val="3"/>
          <c:tx>
            <c:strRef>
              <c:f>'children v average price'!$E$3:$E$4</c:f>
              <c:strCache>
                <c:ptCount val="1"/>
                <c:pt idx="0">
                  <c:v>3</c:v>
                </c:pt>
              </c:strCache>
            </c:strRef>
          </c:tx>
          <c:spPr>
            <a:solidFill>
              <a:schemeClr val="accent4"/>
            </a:solidFill>
            <a:ln>
              <a:noFill/>
            </a:ln>
            <a:effectLst/>
          </c:spPr>
          <c:invertIfNegative val="0"/>
          <c:cat>
            <c:strRef>
              <c:f>'children v average price'!$A$5:$A$10</c:f>
              <c:strCache>
                <c:ptCount val="5"/>
                <c:pt idx="0">
                  <c:v>2017</c:v>
                </c:pt>
                <c:pt idx="1">
                  <c:v>2018</c:v>
                </c:pt>
                <c:pt idx="2">
                  <c:v>2019</c:v>
                </c:pt>
                <c:pt idx="3">
                  <c:v>2020</c:v>
                </c:pt>
                <c:pt idx="4">
                  <c:v>2021</c:v>
                </c:pt>
              </c:strCache>
            </c:strRef>
          </c:cat>
          <c:val>
            <c:numRef>
              <c:f>'children v average price'!$E$5:$E$10</c:f>
              <c:numCache>
                <c:formatCode>General</c:formatCode>
                <c:ptCount val="5"/>
                <c:pt idx="0">
                  <c:v>81.208333333333329</c:v>
                </c:pt>
                <c:pt idx="1">
                  <c:v>188.46538461538464</c:v>
                </c:pt>
              </c:numCache>
            </c:numRef>
          </c:val>
          <c:extLst>
            <c:ext xmlns:c16="http://schemas.microsoft.com/office/drawing/2014/chart" uri="{C3380CC4-5D6E-409C-BE32-E72D297353CC}">
              <c16:uniqueId val="{00000003-3FCD-4403-A955-F8E1721F8573}"/>
            </c:ext>
          </c:extLst>
        </c:ser>
        <c:ser>
          <c:idx val="4"/>
          <c:order val="4"/>
          <c:tx>
            <c:strRef>
              <c:f>'children v average price'!$F$3:$F$4</c:f>
              <c:strCache>
                <c:ptCount val="1"/>
                <c:pt idx="0">
                  <c:v>9</c:v>
                </c:pt>
              </c:strCache>
            </c:strRef>
          </c:tx>
          <c:spPr>
            <a:solidFill>
              <a:schemeClr val="accent5"/>
            </a:solidFill>
            <a:ln>
              <a:noFill/>
            </a:ln>
            <a:effectLst/>
          </c:spPr>
          <c:invertIfNegative val="0"/>
          <c:cat>
            <c:strRef>
              <c:f>'children v average price'!$A$5:$A$10</c:f>
              <c:strCache>
                <c:ptCount val="5"/>
                <c:pt idx="0">
                  <c:v>2017</c:v>
                </c:pt>
                <c:pt idx="1">
                  <c:v>2018</c:v>
                </c:pt>
                <c:pt idx="2">
                  <c:v>2019</c:v>
                </c:pt>
                <c:pt idx="3">
                  <c:v>2020</c:v>
                </c:pt>
                <c:pt idx="4">
                  <c:v>2021</c:v>
                </c:pt>
              </c:strCache>
            </c:strRef>
          </c:cat>
          <c:val>
            <c:numRef>
              <c:f>'children v average price'!$F$5:$F$10</c:f>
              <c:numCache>
                <c:formatCode>General</c:formatCode>
                <c:ptCount val="5"/>
                <c:pt idx="0">
                  <c:v>85.75</c:v>
                </c:pt>
              </c:numCache>
            </c:numRef>
          </c:val>
          <c:extLst>
            <c:ext xmlns:c16="http://schemas.microsoft.com/office/drawing/2014/chart" uri="{C3380CC4-5D6E-409C-BE32-E72D297353CC}">
              <c16:uniqueId val="{00000004-3FCD-4403-A955-F8E1721F8573}"/>
            </c:ext>
          </c:extLst>
        </c:ser>
        <c:ser>
          <c:idx val="5"/>
          <c:order val="5"/>
          <c:tx>
            <c:strRef>
              <c:f>'children v average price'!$G$3:$G$4</c:f>
              <c:strCache>
                <c:ptCount val="1"/>
                <c:pt idx="0">
                  <c:v>10</c:v>
                </c:pt>
              </c:strCache>
            </c:strRef>
          </c:tx>
          <c:spPr>
            <a:solidFill>
              <a:schemeClr val="accent6"/>
            </a:solidFill>
            <a:ln>
              <a:noFill/>
            </a:ln>
            <a:effectLst/>
          </c:spPr>
          <c:invertIfNegative val="0"/>
          <c:cat>
            <c:strRef>
              <c:f>'children v average price'!$A$5:$A$10</c:f>
              <c:strCache>
                <c:ptCount val="5"/>
                <c:pt idx="0">
                  <c:v>2017</c:v>
                </c:pt>
                <c:pt idx="1">
                  <c:v>2018</c:v>
                </c:pt>
                <c:pt idx="2">
                  <c:v>2019</c:v>
                </c:pt>
                <c:pt idx="3">
                  <c:v>2020</c:v>
                </c:pt>
                <c:pt idx="4">
                  <c:v>2021</c:v>
                </c:pt>
              </c:strCache>
            </c:strRef>
          </c:cat>
          <c:val>
            <c:numRef>
              <c:f>'children v average price'!$G$5:$G$10</c:f>
              <c:numCache>
                <c:formatCode>General</c:formatCode>
                <c:ptCount val="5"/>
                <c:pt idx="1">
                  <c:v>84.45</c:v>
                </c:pt>
              </c:numCache>
            </c:numRef>
          </c:val>
          <c:extLst>
            <c:ext xmlns:c16="http://schemas.microsoft.com/office/drawing/2014/chart" uri="{C3380CC4-5D6E-409C-BE32-E72D297353CC}">
              <c16:uniqueId val="{00000005-3FCD-4403-A955-F8E1721F8573}"/>
            </c:ext>
          </c:extLst>
        </c:ser>
        <c:dLbls>
          <c:showLegendKey val="0"/>
          <c:showVal val="0"/>
          <c:showCatName val="0"/>
          <c:showSerName val="0"/>
          <c:showPercent val="0"/>
          <c:showBubbleSize val="0"/>
        </c:dLbls>
        <c:gapWidth val="219"/>
        <c:overlap val="-27"/>
        <c:axId val="195082303"/>
        <c:axId val="195088959"/>
      </c:barChart>
      <c:catAx>
        <c:axId val="195082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088959"/>
        <c:crosses val="autoZero"/>
        <c:auto val="1"/>
        <c:lblAlgn val="ctr"/>
        <c:lblOffset val="100"/>
        <c:noMultiLvlLbl val="0"/>
      </c:catAx>
      <c:valAx>
        <c:axId val="1950889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08230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Reservation.xlsx]Sheet5!PivotTable4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monthly average</a:t>
            </a:r>
            <a:r>
              <a:rPr lang="en-US" baseline="0"/>
              <a:t> hotel booking price per year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pivotFmt>
      <c:pivotFmt>
        <c:idx val="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pivotFmt>
      <c:pivotFmt>
        <c:idx val="2"/>
        <c:spPr>
          <a:solidFill>
            <a:schemeClr val="accent1"/>
          </a:solidFill>
          <a:ln w="28575" cap="rnd">
            <a:solidFill>
              <a:schemeClr val="accent1"/>
            </a:solidFill>
            <a:round/>
          </a:ln>
          <a:effectLst/>
        </c:spPr>
        <c:marker>
          <c:symbol val="circle"/>
          <c:size val="5"/>
          <c:spPr>
            <a:solidFill>
              <a:schemeClr val="accent3"/>
            </a:solidFill>
            <a:ln w="9525">
              <a:solidFill>
                <a:schemeClr val="accent3"/>
              </a:solidFill>
            </a:ln>
            <a:effectLst/>
          </c:spPr>
        </c:marker>
      </c:pivotFmt>
      <c:pivotFmt>
        <c:idx val="3"/>
        <c:spPr>
          <a:solidFill>
            <a:schemeClr val="accent1"/>
          </a:solidFill>
          <a:ln w="28575" cap="rnd">
            <a:solidFill>
              <a:schemeClr val="accent1"/>
            </a:solidFill>
            <a:round/>
          </a:ln>
          <a:effectLst/>
        </c:spPr>
        <c:marker>
          <c:symbol val="circle"/>
          <c:size val="5"/>
          <c:spPr>
            <a:solidFill>
              <a:schemeClr val="accent4"/>
            </a:solidFill>
            <a:ln w="9525">
              <a:solidFill>
                <a:schemeClr val="accent4"/>
              </a:solidFill>
            </a:ln>
            <a:effectLst/>
          </c:spPr>
        </c:marker>
      </c:pivotFmt>
      <c:pivotFmt>
        <c:idx val="4"/>
        <c:spPr>
          <a:solidFill>
            <a:schemeClr val="accent1"/>
          </a:solidFill>
          <a:ln w="28575" cap="rnd">
            <a:solidFill>
              <a:schemeClr val="accent1"/>
            </a:solidFill>
            <a:round/>
          </a:ln>
          <a:effectLst/>
        </c:spPr>
        <c:marker>
          <c:symbol val="circle"/>
          <c:size val="5"/>
          <c:spPr>
            <a:solidFill>
              <a:schemeClr val="accent5"/>
            </a:solidFill>
            <a:ln w="9525">
              <a:solidFill>
                <a:schemeClr val="accent5"/>
              </a:solidFill>
            </a:ln>
            <a:effectLst/>
          </c:spPr>
        </c:marker>
      </c:pivotFmt>
      <c:pivotFmt>
        <c:idx val="5"/>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pivotFmt>
      <c:pivotFmt>
        <c:idx val="6"/>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pivotFmt>
      <c:pivotFmt>
        <c:idx val="7"/>
        <c:spPr>
          <a:solidFill>
            <a:schemeClr val="accent1"/>
          </a:solidFill>
          <a:ln w="28575" cap="rnd">
            <a:solidFill>
              <a:schemeClr val="accent1"/>
            </a:solidFill>
            <a:round/>
          </a:ln>
          <a:effectLst/>
        </c:spPr>
        <c:marker>
          <c:symbol val="circle"/>
          <c:size val="5"/>
          <c:spPr>
            <a:solidFill>
              <a:schemeClr val="accent3"/>
            </a:solidFill>
            <a:ln w="9525">
              <a:solidFill>
                <a:schemeClr val="accent3"/>
              </a:solidFill>
            </a:ln>
            <a:effectLst/>
          </c:spPr>
        </c:marker>
      </c:pivotFmt>
      <c:pivotFmt>
        <c:idx val="8"/>
        <c:spPr>
          <a:solidFill>
            <a:schemeClr val="accent1"/>
          </a:solidFill>
          <a:ln w="28575" cap="rnd">
            <a:solidFill>
              <a:schemeClr val="accent1"/>
            </a:solidFill>
            <a:round/>
          </a:ln>
          <a:effectLst/>
        </c:spPr>
        <c:marker>
          <c:symbol val="circle"/>
          <c:size val="5"/>
          <c:spPr>
            <a:solidFill>
              <a:schemeClr val="accent4"/>
            </a:solidFill>
            <a:ln w="9525">
              <a:solidFill>
                <a:schemeClr val="accent4"/>
              </a:solidFill>
            </a:ln>
            <a:effectLst/>
          </c:spPr>
        </c:marker>
      </c:pivotFmt>
      <c:pivotFmt>
        <c:idx val="9"/>
        <c:spPr>
          <a:solidFill>
            <a:schemeClr val="accent1"/>
          </a:solidFill>
          <a:ln w="28575" cap="rnd">
            <a:solidFill>
              <a:schemeClr val="accent1"/>
            </a:solidFill>
            <a:round/>
          </a:ln>
          <a:effectLst/>
        </c:spPr>
        <c:marker>
          <c:symbol val="circle"/>
          <c:size val="5"/>
          <c:spPr>
            <a:solidFill>
              <a:schemeClr val="accent5"/>
            </a:solidFill>
            <a:ln w="9525">
              <a:solidFill>
                <a:schemeClr val="accent5"/>
              </a:solidFill>
            </a:ln>
            <a:effectLst/>
          </c:spPr>
        </c:marker>
      </c:pivotFmt>
      <c:pivotFmt>
        <c:idx val="1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pivotFmt>
      <c:pivotFmt>
        <c:idx val="1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pivotFmt>
      <c:pivotFmt>
        <c:idx val="12"/>
        <c:spPr>
          <a:solidFill>
            <a:schemeClr val="accent1"/>
          </a:solidFill>
          <a:ln w="28575" cap="rnd">
            <a:solidFill>
              <a:schemeClr val="accent1"/>
            </a:solidFill>
            <a:round/>
          </a:ln>
          <a:effectLst/>
        </c:spPr>
        <c:marker>
          <c:symbol val="circle"/>
          <c:size val="5"/>
          <c:spPr>
            <a:solidFill>
              <a:schemeClr val="accent3"/>
            </a:solidFill>
            <a:ln w="9525">
              <a:solidFill>
                <a:schemeClr val="accent3"/>
              </a:solidFill>
            </a:ln>
            <a:effectLst/>
          </c:spPr>
        </c:marker>
      </c:pivotFmt>
      <c:pivotFmt>
        <c:idx val="13"/>
        <c:spPr>
          <a:solidFill>
            <a:schemeClr val="accent1"/>
          </a:solidFill>
          <a:ln w="28575" cap="rnd">
            <a:solidFill>
              <a:schemeClr val="accent1"/>
            </a:solidFill>
            <a:round/>
          </a:ln>
          <a:effectLst/>
        </c:spPr>
        <c:marker>
          <c:symbol val="circle"/>
          <c:size val="5"/>
          <c:spPr>
            <a:solidFill>
              <a:schemeClr val="accent4"/>
            </a:solidFill>
            <a:ln w="9525">
              <a:solidFill>
                <a:schemeClr val="accent4"/>
              </a:solidFill>
            </a:ln>
            <a:effectLst/>
          </c:spPr>
        </c:marker>
      </c:pivotFmt>
      <c:pivotFmt>
        <c:idx val="14"/>
        <c:spPr>
          <a:solidFill>
            <a:schemeClr val="accent1"/>
          </a:solidFill>
          <a:ln w="28575" cap="rnd">
            <a:solidFill>
              <a:schemeClr val="accent1"/>
            </a:solidFill>
            <a:round/>
          </a:ln>
          <a:effectLst/>
        </c:spPr>
        <c:marker>
          <c:symbol val="circle"/>
          <c:size val="5"/>
          <c:spPr>
            <a:solidFill>
              <a:schemeClr val="accent5"/>
            </a:solidFill>
            <a:ln w="9525">
              <a:solidFill>
                <a:schemeClr val="accent5"/>
              </a:solidFill>
            </a:ln>
            <a:effectLst/>
          </c:spPr>
        </c:marker>
      </c:pivotFmt>
    </c:pivotFmts>
    <c:plotArea>
      <c:layout/>
      <c:lineChart>
        <c:grouping val="standard"/>
        <c:varyColors val="0"/>
        <c:ser>
          <c:idx val="0"/>
          <c:order val="0"/>
          <c:tx>
            <c:strRef>
              <c:f>Sheet5!$B$3:$B$4</c:f>
              <c:strCache>
                <c:ptCount val="1"/>
                <c:pt idx="0">
                  <c:v>2017</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Sheet5!$A$5:$A$17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Sheet5!$B$5:$B$17</c:f>
              <c:numCache>
                <c:formatCode>General</c:formatCode>
                <c:ptCount val="12"/>
                <c:pt idx="6">
                  <c:v>84.890468319559218</c:v>
                </c:pt>
                <c:pt idx="7">
                  <c:v>91.091400394477304</c:v>
                </c:pt>
                <c:pt idx="8">
                  <c:v>103.33518496058223</c:v>
                </c:pt>
                <c:pt idx="9">
                  <c:v>92.054303664921505</c:v>
                </c:pt>
                <c:pt idx="10">
                  <c:v>72.393297213622247</c:v>
                </c:pt>
                <c:pt idx="11">
                  <c:v>75.430927723840327</c:v>
                </c:pt>
              </c:numCache>
            </c:numRef>
          </c:val>
          <c:smooth val="0"/>
          <c:extLst>
            <c:ext xmlns:c16="http://schemas.microsoft.com/office/drawing/2014/chart" uri="{C3380CC4-5D6E-409C-BE32-E72D297353CC}">
              <c16:uniqueId val="{00000000-7A1F-4818-8F99-28B0EB1C455E}"/>
            </c:ext>
          </c:extLst>
        </c:ser>
        <c:ser>
          <c:idx val="1"/>
          <c:order val="1"/>
          <c:tx>
            <c:strRef>
              <c:f>Sheet5!$C$3:$C$4</c:f>
              <c:strCache>
                <c:ptCount val="1"/>
                <c:pt idx="0">
                  <c:v>2018</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Sheet5!$A$5:$A$17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Sheet5!$C$5:$C$17</c:f>
              <c:numCache>
                <c:formatCode>General</c:formatCode>
                <c:ptCount val="12"/>
                <c:pt idx="0">
                  <c:v>74.754945705824369</c:v>
                </c:pt>
                <c:pt idx="1">
                  <c:v>80.73364436619741</c:v>
                </c:pt>
                <c:pt idx="2">
                  <c:v>91.883698049194066</c:v>
                </c:pt>
                <c:pt idx="3">
                  <c:v>101.98680321872661</c:v>
                </c:pt>
                <c:pt idx="4">
                  <c:v>113.82063534847872</c:v>
                </c:pt>
                <c:pt idx="5">
                  <c:v>111.96650015610335</c:v>
                </c:pt>
                <c:pt idx="6">
                  <c:v>115.44809151349233</c:v>
                </c:pt>
                <c:pt idx="7">
                  <c:v>121.21475884244347</c:v>
                </c:pt>
                <c:pt idx="8">
                  <c:v>122.90583051991898</c:v>
                </c:pt>
                <c:pt idx="9">
                  <c:v>111.4457226792006</c:v>
                </c:pt>
                <c:pt idx="10">
                  <c:v>96.564993559467794</c:v>
                </c:pt>
                <c:pt idx="11">
                  <c:v>94.947482083134176</c:v>
                </c:pt>
              </c:numCache>
            </c:numRef>
          </c:val>
          <c:smooth val="0"/>
          <c:extLst>
            <c:ext xmlns:c16="http://schemas.microsoft.com/office/drawing/2014/chart" uri="{C3380CC4-5D6E-409C-BE32-E72D297353CC}">
              <c16:uniqueId val="{00000001-7A1F-4818-8F99-28B0EB1C455E}"/>
            </c:ext>
          </c:extLst>
        </c:ser>
        <c:ser>
          <c:idx val="2"/>
          <c:order val="2"/>
          <c:tx>
            <c:strRef>
              <c:f>Sheet5!$D$3:$D$4</c:f>
              <c:strCache>
                <c:ptCount val="1"/>
                <c:pt idx="0">
                  <c:v>2019</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Sheet5!$A$5:$A$17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Sheet5!$D$5:$D$17</c:f>
              <c:numCache>
                <c:formatCode>General</c:formatCode>
                <c:ptCount val="12"/>
                <c:pt idx="4">
                  <c:v>87.95</c:v>
                </c:pt>
                <c:pt idx="9">
                  <c:v>77.833333333333329</c:v>
                </c:pt>
                <c:pt idx="10">
                  <c:v>52.164999999999999</c:v>
                </c:pt>
              </c:numCache>
            </c:numRef>
          </c:val>
          <c:smooth val="0"/>
          <c:extLst>
            <c:ext xmlns:c16="http://schemas.microsoft.com/office/drawing/2014/chart" uri="{C3380CC4-5D6E-409C-BE32-E72D297353CC}">
              <c16:uniqueId val="{00000002-7A1F-4818-8F99-28B0EB1C455E}"/>
            </c:ext>
          </c:extLst>
        </c:ser>
        <c:ser>
          <c:idx val="3"/>
          <c:order val="3"/>
          <c:tx>
            <c:strRef>
              <c:f>Sheet5!$E$3:$E$4</c:f>
              <c:strCache>
                <c:ptCount val="1"/>
                <c:pt idx="0">
                  <c:v>2020</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Sheet5!$A$5:$A$17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Sheet5!$E$5:$E$17</c:f>
              <c:numCache>
                <c:formatCode>General</c:formatCode>
                <c:ptCount val="12"/>
                <c:pt idx="0">
                  <c:v>69.5</c:v>
                </c:pt>
                <c:pt idx="10">
                  <c:v>90.55</c:v>
                </c:pt>
                <c:pt idx="11">
                  <c:v>75</c:v>
                </c:pt>
              </c:numCache>
            </c:numRef>
          </c:val>
          <c:smooth val="0"/>
          <c:extLst>
            <c:ext xmlns:c16="http://schemas.microsoft.com/office/drawing/2014/chart" uri="{C3380CC4-5D6E-409C-BE32-E72D297353CC}">
              <c16:uniqueId val="{00000003-7A1F-4818-8F99-28B0EB1C455E}"/>
            </c:ext>
          </c:extLst>
        </c:ser>
        <c:ser>
          <c:idx val="4"/>
          <c:order val="4"/>
          <c:tx>
            <c:strRef>
              <c:f>Sheet5!$F$3:$F$4</c:f>
              <c:strCache>
                <c:ptCount val="1"/>
                <c:pt idx="0">
                  <c:v>2021</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strRef>
              <c:f>Sheet5!$A$5:$A$17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Sheet5!$F$5:$F$17</c:f>
              <c:numCache>
                <c:formatCode>General</c:formatCode>
                <c:ptCount val="12"/>
                <c:pt idx="3">
                  <c:v>118.4</c:v>
                </c:pt>
                <c:pt idx="10">
                  <c:v>79.2</c:v>
                </c:pt>
              </c:numCache>
            </c:numRef>
          </c:val>
          <c:smooth val="0"/>
          <c:extLst>
            <c:ext xmlns:c16="http://schemas.microsoft.com/office/drawing/2014/chart" uri="{C3380CC4-5D6E-409C-BE32-E72D297353CC}">
              <c16:uniqueId val="{00000004-7A1F-4818-8F99-28B0EB1C455E}"/>
            </c:ext>
          </c:extLst>
        </c:ser>
        <c:dLbls>
          <c:showLegendKey val="0"/>
          <c:showVal val="0"/>
          <c:showCatName val="0"/>
          <c:showSerName val="0"/>
          <c:showPercent val="0"/>
          <c:showBubbleSize val="0"/>
        </c:dLbls>
        <c:marker val="1"/>
        <c:smooth val="0"/>
        <c:axId val="1182447519"/>
        <c:axId val="1182452095"/>
      </c:lineChart>
      <c:catAx>
        <c:axId val="11824475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452095"/>
        <c:crosses val="autoZero"/>
        <c:auto val="1"/>
        <c:lblAlgn val="ctr"/>
        <c:lblOffset val="100"/>
        <c:noMultiLvlLbl val="0"/>
      </c:catAx>
      <c:valAx>
        <c:axId val="11824520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44751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Reservation.xlsx]Sheet6!PivotTable5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Price vs Special requests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s>
    <c:plotArea>
      <c:layout/>
      <c:barChart>
        <c:barDir val="col"/>
        <c:grouping val="clustered"/>
        <c:varyColors val="0"/>
        <c:ser>
          <c:idx val="0"/>
          <c:order val="0"/>
          <c:tx>
            <c:strRef>
              <c:f>Sheet6!$B$3:$B$4</c:f>
              <c:strCache>
                <c:ptCount val="1"/>
                <c:pt idx="0">
                  <c:v>0</c:v>
                </c:pt>
              </c:strCache>
            </c:strRef>
          </c:tx>
          <c:spPr>
            <a:solidFill>
              <a:schemeClr val="accent1"/>
            </a:solidFill>
            <a:ln>
              <a:noFill/>
            </a:ln>
            <a:effectLst/>
          </c:spPr>
          <c:invertIfNegative val="0"/>
          <c:cat>
            <c:strRef>
              <c:f>Sheet6!$A$5:$A$10</c:f>
              <c:strCache>
                <c:ptCount val="5"/>
                <c:pt idx="0">
                  <c:v>2017</c:v>
                </c:pt>
                <c:pt idx="1">
                  <c:v>2018</c:v>
                </c:pt>
                <c:pt idx="2">
                  <c:v>2019</c:v>
                </c:pt>
                <c:pt idx="3">
                  <c:v>2020</c:v>
                </c:pt>
                <c:pt idx="4">
                  <c:v>2021</c:v>
                </c:pt>
              </c:strCache>
            </c:strRef>
          </c:cat>
          <c:val>
            <c:numRef>
              <c:f>Sheet6!$B$5:$B$10</c:f>
              <c:numCache>
                <c:formatCode>General</c:formatCode>
                <c:ptCount val="5"/>
                <c:pt idx="0">
                  <c:v>86.437265246853826</c:v>
                </c:pt>
                <c:pt idx="1">
                  <c:v>101.62393503420992</c:v>
                </c:pt>
                <c:pt idx="2">
                  <c:v>66.256</c:v>
                </c:pt>
                <c:pt idx="3">
                  <c:v>75</c:v>
                </c:pt>
              </c:numCache>
            </c:numRef>
          </c:val>
          <c:extLst>
            <c:ext xmlns:c16="http://schemas.microsoft.com/office/drawing/2014/chart" uri="{C3380CC4-5D6E-409C-BE32-E72D297353CC}">
              <c16:uniqueId val="{00000000-E591-4C54-92C2-E90025517350}"/>
            </c:ext>
          </c:extLst>
        </c:ser>
        <c:ser>
          <c:idx val="1"/>
          <c:order val="1"/>
          <c:tx>
            <c:strRef>
              <c:f>Sheet6!$C$3:$C$4</c:f>
              <c:strCache>
                <c:ptCount val="1"/>
                <c:pt idx="0">
                  <c:v>1</c:v>
                </c:pt>
              </c:strCache>
            </c:strRef>
          </c:tx>
          <c:spPr>
            <a:solidFill>
              <a:schemeClr val="accent2"/>
            </a:solidFill>
            <a:ln>
              <a:noFill/>
            </a:ln>
            <a:effectLst/>
          </c:spPr>
          <c:invertIfNegative val="0"/>
          <c:cat>
            <c:strRef>
              <c:f>Sheet6!$A$5:$A$10</c:f>
              <c:strCache>
                <c:ptCount val="5"/>
                <c:pt idx="0">
                  <c:v>2017</c:v>
                </c:pt>
                <c:pt idx="1">
                  <c:v>2018</c:v>
                </c:pt>
                <c:pt idx="2">
                  <c:v>2019</c:v>
                </c:pt>
                <c:pt idx="3">
                  <c:v>2020</c:v>
                </c:pt>
                <c:pt idx="4">
                  <c:v>2021</c:v>
                </c:pt>
              </c:strCache>
            </c:strRef>
          </c:cat>
          <c:val>
            <c:numRef>
              <c:f>Sheet6!$C$5:$C$10</c:f>
              <c:numCache>
                <c:formatCode>General</c:formatCode>
                <c:ptCount val="5"/>
                <c:pt idx="0">
                  <c:v>93.055348035837255</c:v>
                </c:pt>
                <c:pt idx="1">
                  <c:v>107.36526469698597</c:v>
                </c:pt>
                <c:pt idx="3">
                  <c:v>78.5</c:v>
                </c:pt>
                <c:pt idx="4">
                  <c:v>105.33333333333333</c:v>
                </c:pt>
              </c:numCache>
            </c:numRef>
          </c:val>
          <c:extLst>
            <c:ext xmlns:c16="http://schemas.microsoft.com/office/drawing/2014/chart" uri="{C3380CC4-5D6E-409C-BE32-E72D297353CC}">
              <c16:uniqueId val="{00000001-E591-4C54-92C2-E90025517350}"/>
            </c:ext>
          </c:extLst>
        </c:ser>
        <c:ser>
          <c:idx val="2"/>
          <c:order val="2"/>
          <c:tx>
            <c:strRef>
              <c:f>Sheet6!$D$3:$D$4</c:f>
              <c:strCache>
                <c:ptCount val="1"/>
                <c:pt idx="0">
                  <c:v>2</c:v>
                </c:pt>
              </c:strCache>
            </c:strRef>
          </c:tx>
          <c:spPr>
            <a:solidFill>
              <a:schemeClr val="accent3"/>
            </a:solidFill>
            <a:ln>
              <a:noFill/>
            </a:ln>
            <a:effectLst/>
          </c:spPr>
          <c:invertIfNegative val="0"/>
          <c:cat>
            <c:strRef>
              <c:f>Sheet6!$A$5:$A$10</c:f>
              <c:strCache>
                <c:ptCount val="5"/>
                <c:pt idx="0">
                  <c:v>2017</c:v>
                </c:pt>
                <c:pt idx="1">
                  <c:v>2018</c:v>
                </c:pt>
                <c:pt idx="2">
                  <c:v>2019</c:v>
                </c:pt>
                <c:pt idx="3">
                  <c:v>2020</c:v>
                </c:pt>
                <c:pt idx="4">
                  <c:v>2021</c:v>
                </c:pt>
              </c:strCache>
            </c:strRef>
          </c:cat>
          <c:val>
            <c:numRef>
              <c:f>Sheet6!$D$5:$D$10</c:f>
              <c:numCache>
                <c:formatCode>General</c:formatCode>
                <c:ptCount val="5"/>
                <c:pt idx="0">
                  <c:v>100.86237974683546</c:v>
                </c:pt>
                <c:pt idx="1">
                  <c:v>121.87543952967516</c:v>
                </c:pt>
                <c:pt idx="2">
                  <c:v>94.5</c:v>
                </c:pt>
                <c:pt idx="3">
                  <c:v>93.6</c:v>
                </c:pt>
              </c:numCache>
            </c:numRef>
          </c:val>
          <c:extLst>
            <c:ext xmlns:c16="http://schemas.microsoft.com/office/drawing/2014/chart" uri="{C3380CC4-5D6E-409C-BE32-E72D297353CC}">
              <c16:uniqueId val="{00000002-E591-4C54-92C2-E90025517350}"/>
            </c:ext>
          </c:extLst>
        </c:ser>
        <c:ser>
          <c:idx val="3"/>
          <c:order val="3"/>
          <c:tx>
            <c:strRef>
              <c:f>Sheet6!$E$3:$E$4</c:f>
              <c:strCache>
                <c:ptCount val="1"/>
                <c:pt idx="0">
                  <c:v>3</c:v>
                </c:pt>
              </c:strCache>
            </c:strRef>
          </c:tx>
          <c:spPr>
            <a:solidFill>
              <a:schemeClr val="accent4"/>
            </a:solidFill>
            <a:ln>
              <a:noFill/>
            </a:ln>
            <a:effectLst/>
          </c:spPr>
          <c:invertIfNegative val="0"/>
          <c:cat>
            <c:strRef>
              <c:f>Sheet6!$A$5:$A$10</c:f>
              <c:strCache>
                <c:ptCount val="5"/>
                <c:pt idx="0">
                  <c:v>2017</c:v>
                </c:pt>
                <c:pt idx="1">
                  <c:v>2018</c:v>
                </c:pt>
                <c:pt idx="2">
                  <c:v>2019</c:v>
                </c:pt>
                <c:pt idx="3">
                  <c:v>2020</c:v>
                </c:pt>
                <c:pt idx="4">
                  <c:v>2021</c:v>
                </c:pt>
              </c:strCache>
            </c:strRef>
          </c:cat>
          <c:val>
            <c:numRef>
              <c:f>Sheet6!$E$5:$E$10</c:f>
              <c:numCache>
                <c:formatCode>General</c:formatCode>
                <c:ptCount val="5"/>
                <c:pt idx="0">
                  <c:v>104.78928571428568</c:v>
                </c:pt>
                <c:pt idx="1">
                  <c:v>121.39712204007303</c:v>
                </c:pt>
              </c:numCache>
            </c:numRef>
          </c:val>
          <c:extLst>
            <c:ext xmlns:c16="http://schemas.microsoft.com/office/drawing/2014/chart" uri="{C3380CC4-5D6E-409C-BE32-E72D297353CC}">
              <c16:uniqueId val="{00000003-E591-4C54-92C2-E90025517350}"/>
            </c:ext>
          </c:extLst>
        </c:ser>
        <c:ser>
          <c:idx val="4"/>
          <c:order val="4"/>
          <c:tx>
            <c:strRef>
              <c:f>Sheet6!$F$3:$F$4</c:f>
              <c:strCache>
                <c:ptCount val="1"/>
                <c:pt idx="0">
                  <c:v>4</c:v>
                </c:pt>
              </c:strCache>
            </c:strRef>
          </c:tx>
          <c:spPr>
            <a:solidFill>
              <a:schemeClr val="accent5"/>
            </a:solidFill>
            <a:ln>
              <a:noFill/>
            </a:ln>
            <a:effectLst/>
          </c:spPr>
          <c:invertIfNegative val="0"/>
          <c:cat>
            <c:strRef>
              <c:f>Sheet6!$A$5:$A$10</c:f>
              <c:strCache>
                <c:ptCount val="5"/>
                <c:pt idx="0">
                  <c:v>2017</c:v>
                </c:pt>
                <c:pt idx="1">
                  <c:v>2018</c:v>
                </c:pt>
                <c:pt idx="2">
                  <c:v>2019</c:v>
                </c:pt>
                <c:pt idx="3">
                  <c:v>2020</c:v>
                </c:pt>
                <c:pt idx="4">
                  <c:v>2021</c:v>
                </c:pt>
              </c:strCache>
            </c:strRef>
          </c:cat>
          <c:val>
            <c:numRef>
              <c:f>Sheet6!$F$5:$F$10</c:f>
              <c:numCache>
                <c:formatCode>General</c:formatCode>
                <c:ptCount val="5"/>
                <c:pt idx="0">
                  <c:v>105.74000000000001</c:v>
                </c:pt>
                <c:pt idx="1">
                  <c:v>110.49802816901411</c:v>
                </c:pt>
              </c:numCache>
            </c:numRef>
          </c:val>
          <c:extLst>
            <c:ext xmlns:c16="http://schemas.microsoft.com/office/drawing/2014/chart" uri="{C3380CC4-5D6E-409C-BE32-E72D297353CC}">
              <c16:uniqueId val="{00000004-E591-4C54-92C2-E90025517350}"/>
            </c:ext>
          </c:extLst>
        </c:ser>
        <c:ser>
          <c:idx val="5"/>
          <c:order val="5"/>
          <c:tx>
            <c:strRef>
              <c:f>Sheet6!$G$3:$G$4</c:f>
              <c:strCache>
                <c:ptCount val="1"/>
                <c:pt idx="0">
                  <c:v>5</c:v>
                </c:pt>
              </c:strCache>
            </c:strRef>
          </c:tx>
          <c:spPr>
            <a:solidFill>
              <a:schemeClr val="accent6"/>
            </a:solidFill>
            <a:ln>
              <a:noFill/>
            </a:ln>
            <a:effectLst/>
          </c:spPr>
          <c:invertIfNegative val="0"/>
          <c:cat>
            <c:strRef>
              <c:f>Sheet6!$A$5:$A$10</c:f>
              <c:strCache>
                <c:ptCount val="5"/>
                <c:pt idx="0">
                  <c:v>2017</c:v>
                </c:pt>
                <c:pt idx="1">
                  <c:v>2018</c:v>
                </c:pt>
                <c:pt idx="2">
                  <c:v>2019</c:v>
                </c:pt>
                <c:pt idx="3">
                  <c:v>2020</c:v>
                </c:pt>
                <c:pt idx="4">
                  <c:v>2021</c:v>
                </c:pt>
              </c:strCache>
            </c:strRef>
          </c:cat>
          <c:val>
            <c:numRef>
              <c:f>Sheet6!$G$5:$G$10</c:f>
              <c:numCache>
                <c:formatCode>General</c:formatCode>
                <c:ptCount val="5"/>
                <c:pt idx="0">
                  <c:v>96.3</c:v>
                </c:pt>
                <c:pt idx="1">
                  <c:v>131.21999999999997</c:v>
                </c:pt>
              </c:numCache>
            </c:numRef>
          </c:val>
          <c:extLst>
            <c:ext xmlns:c16="http://schemas.microsoft.com/office/drawing/2014/chart" uri="{C3380CC4-5D6E-409C-BE32-E72D297353CC}">
              <c16:uniqueId val="{00000005-E591-4C54-92C2-E90025517350}"/>
            </c:ext>
          </c:extLst>
        </c:ser>
        <c:dLbls>
          <c:showLegendKey val="0"/>
          <c:showVal val="0"/>
          <c:showCatName val="0"/>
          <c:showSerName val="0"/>
          <c:showPercent val="0"/>
          <c:showBubbleSize val="0"/>
        </c:dLbls>
        <c:gapWidth val="219"/>
        <c:overlap val="-27"/>
        <c:axId val="1182452511"/>
        <c:axId val="1182439199"/>
      </c:barChart>
      <c:catAx>
        <c:axId val="11824525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439199"/>
        <c:crosses val="autoZero"/>
        <c:auto val="1"/>
        <c:lblAlgn val="ctr"/>
        <c:lblOffset val="100"/>
        <c:noMultiLvlLbl val="0"/>
      </c:catAx>
      <c:valAx>
        <c:axId val="1182439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4525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Reservation.xlsx]Sheet7!PivotTable6</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s>
    <c:plotArea>
      <c:layout/>
      <c:barChart>
        <c:barDir val="bar"/>
        <c:grouping val="clustered"/>
        <c:varyColors val="0"/>
        <c:ser>
          <c:idx val="0"/>
          <c:order val="0"/>
          <c:tx>
            <c:strRef>
              <c:f>Sheet7!$B$3:$B$4</c:f>
              <c:strCache>
                <c:ptCount val="1"/>
                <c:pt idx="0">
                  <c:v>Aviation</c:v>
                </c:pt>
              </c:strCache>
            </c:strRef>
          </c:tx>
          <c:spPr>
            <a:solidFill>
              <a:schemeClr val="accent1"/>
            </a:solidFill>
            <a:ln>
              <a:noFill/>
            </a:ln>
            <a:effectLst/>
          </c:spPr>
          <c:invertIfNegative val="0"/>
          <c:cat>
            <c:strRef>
              <c:f>Sheet7!$A$5:$A$10</c:f>
              <c:strCache>
                <c:ptCount val="5"/>
                <c:pt idx="0">
                  <c:v>2017</c:v>
                </c:pt>
                <c:pt idx="1">
                  <c:v>2018</c:v>
                </c:pt>
                <c:pt idx="2">
                  <c:v>2019</c:v>
                </c:pt>
                <c:pt idx="3">
                  <c:v>2020</c:v>
                </c:pt>
                <c:pt idx="4">
                  <c:v>2021</c:v>
                </c:pt>
              </c:strCache>
            </c:strRef>
          </c:cat>
          <c:val>
            <c:numRef>
              <c:f>Sheet7!$B$5:$B$10</c:f>
              <c:numCache>
                <c:formatCode>General</c:formatCode>
                <c:ptCount val="5"/>
                <c:pt idx="1">
                  <c:v>100.70399999999999</c:v>
                </c:pt>
              </c:numCache>
            </c:numRef>
          </c:val>
          <c:extLst>
            <c:ext xmlns:c16="http://schemas.microsoft.com/office/drawing/2014/chart" uri="{C3380CC4-5D6E-409C-BE32-E72D297353CC}">
              <c16:uniqueId val="{00000000-317C-4E3D-817F-3C021925D40A}"/>
            </c:ext>
          </c:extLst>
        </c:ser>
        <c:ser>
          <c:idx val="1"/>
          <c:order val="1"/>
          <c:tx>
            <c:strRef>
              <c:f>Sheet7!$C$3:$C$4</c:f>
              <c:strCache>
                <c:ptCount val="1"/>
                <c:pt idx="0">
                  <c:v>Complementary</c:v>
                </c:pt>
              </c:strCache>
            </c:strRef>
          </c:tx>
          <c:spPr>
            <a:solidFill>
              <a:schemeClr val="accent2"/>
            </a:solidFill>
            <a:ln>
              <a:noFill/>
            </a:ln>
            <a:effectLst/>
          </c:spPr>
          <c:invertIfNegative val="0"/>
          <c:cat>
            <c:strRef>
              <c:f>Sheet7!$A$5:$A$10</c:f>
              <c:strCache>
                <c:ptCount val="5"/>
                <c:pt idx="0">
                  <c:v>2017</c:v>
                </c:pt>
                <c:pt idx="1">
                  <c:v>2018</c:v>
                </c:pt>
                <c:pt idx="2">
                  <c:v>2019</c:v>
                </c:pt>
                <c:pt idx="3">
                  <c:v>2020</c:v>
                </c:pt>
                <c:pt idx="4">
                  <c:v>2021</c:v>
                </c:pt>
              </c:strCache>
            </c:strRef>
          </c:cat>
          <c:val>
            <c:numRef>
              <c:f>Sheet7!$C$5:$C$10</c:f>
              <c:numCache>
                <c:formatCode>General</c:formatCode>
                <c:ptCount val="5"/>
                <c:pt idx="0">
                  <c:v>2.4527338129496403</c:v>
                </c:pt>
                <c:pt idx="1">
                  <c:v>3.5218253968253967</c:v>
                </c:pt>
              </c:numCache>
            </c:numRef>
          </c:val>
          <c:extLst>
            <c:ext xmlns:c16="http://schemas.microsoft.com/office/drawing/2014/chart" uri="{C3380CC4-5D6E-409C-BE32-E72D297353CC}">
              <c16:uniqueId val="{00000001-317C-4E3D-817F-3C021925D40A}"/>
            </c:ext>
          </c:extLst>
        </c:ser>
        <c:ser>
          <c:idx val="2"/>
          <c:order val="2"/>
          <c:tx>
            <c:strRef>
              <c:f>Sheet7!$D$3:$D$4</c:f>
              <c:strCache>
                <c:ptCount val="1"/>
                <c:pt idx="0">
                  <c:v>Corporate</c:v>
                </c:pt>
              </c:strCache>
            </c:strRef>
          </c:tx>
          <c:spPr>
            <a:solidFill>
              <a:schemeClr val="accent3"/>
            </a:solidFill>
            <a:ln>
              <a:noFill/>
            </a:ln>
            <a:effectLst/>
          </c:spPr>
          <c:invertIfNegative val="0"/>
          <c:cat>
            <c:strRef>
              <c:f>Sheet7!$A$5:$A$10</c:f>
              <c:strCache>
                <c:ptCount val="5"/>
                <c:pt idx="0">
                  <c:v>2017</c:v>
                </c:pt>
                <c:pt idx="1">
                  <c:v>2018</c:v>
                </c:pt>
                <c:pt idx="2">
                  <c:v>2019</c:v>
                </c:pt>
                <c:pt idx="3">
                  <c:v>2020</c:v>
                </c:pt>
                <c:pt idx="4">
                  <c:v>2021</c:v>
                </c:pt>
              </c:strCache>
            </c:strRef>
          </c:cat>
          <c:val>
            <c:numRef>
              <c:f>Sheet7!$D$5:$D$10</c:f>
              <c:numCache>
                <c:formatCode>General</c:formatCode>
                <c:ptCount val="5"/>
                <c:pt idx="0">
                  <c:v>77.152891566265041</c:v>
                </c:pt>
                <c:pt idx="1">
                  <c:v>84.811488801054011</c:v>
                </c:pt>
                <c:pt idx="2">
                  <c:v>67</c:v>
                </c:pt>
              </c:numCache>
            </c:numRef>
          </c:val>
          <c:extLst>
            <c:ext xmlns:c16="http://schemas.microsoft.com/office/drawing/2014/chart" uri="{C3380CC4-5D6E-409C-BE32-E72D297353CC}">
              <c16:uniqueId val="{00000002-317C-4E3D-817F-3C021925D40A}"/>
            </c:ext>
          </c:extLst>
        </c:ser>
        <c:ser>
          <c:idx val="3"/>
          <c:order val="3"/>
          <c:tx>
            <c:strRef>
              <c:f>Sheet7!$E$3:$E$4</c:f>
              <c:strCache>
                <c:ptCount val="1"/>
                <c:pt idx="0">
                  <c:v>Offline</c:v>
                </c:pt>
              </c:strCache>
            </c:strRef>
          </c:tx>
          <c:spPr>
            <a:solidFill>
              <a:schemeClr val="accent4"/>
            </a:solidFill>
            <a:ln>
              <a:noFill/>
            </a:ln>
            <a:effectLst/>
          </c:spPr>
          <c:invertIfNegative val="0"/>
          <c:cat>
            <c:strRef>
              <c:f>Sheet7!$A$5:$A$10</c:f>
              <c:strCache>
                <c:ptCount val="5"/>
                <c:pt idx="0">
                  <c:v>2017</c:v>
                </c:pt>
                <c:pt idx="1">
                  <c:v>2018</c:v>
                </c:pt>
                <c:pt idx="2">
                  <c:v>2019</c:v>
                </c:pt>
                <c:pt idx="3">
                  <c:v>2020</c:v>
                </c:pt>
                <c:pt idx="4">
                  <c:v>2021</c:v>
                </c:pt>
              </c:strCache>
            </c:strRef>
          </c:cat>
          <c:val>
            <c:numRef>
              <c:f>Sheet7!$E$5:$E$10</c:f>
              <c:numCache>
                <c:formatCode>General</c:formatCode>
                <c:ptCount val="5"/>
                <c:pt idx="0">
                  <c:v>88.404468012316386</c:v>
                </c:pt>
                <c:pt idx="1">
                  <c:v>92.881949486977447</c:v>
                </c:pt>
                <c:pt idx="2">
                  <c:v>69.5</c:v>
                </c:pt>
                <c:pt idx="3">
                  <c:v>75</c:v>
                </c:pt>
              </c:numCache>
            </c:numRef>
          </c:val>
          <c:extLst>
            <c:ext xmlns:c16="http://schemas.microsoft.com/office/drawing/2014/chart" uri="{C3380CC4-5D6E-409C-BE32-E72D297353CC}">
              <c16:uniqueId val="{00000003-317C-4E3D-817F-3C021925D40A}"/>
            </c:ext>
          </c:extLst>
        </c:ser>
        <c:ser>
          <c:idx val="4"/>
          <c:order val="4"/>
          <c:tx>
            <c:strRef>
              <c:f>Sheet7!$F$3:$F$4</c:f>
              <c:strCache>
                <c:ptCount val="1"/>
                <c:pt idx="0">
                  <c:v>Online</c:v>
                </c:pt>
              </c:strCache>
            </c:strRef>
          </c:tx>
          <c:spPr>
            <a:solidFill>
              <a:schemeClr val="accent5"/>
            </a:solidFill>
            <a:ln>
              <a:noFill/>
            </a:ln>
            <a:effectLst/>
          </c:spPr>
          <c:invertIfNegative val="0"/>
          <c:cat>
            <c:strRef>
              <c:f>Sheet7!$A$5:$A$10</c:f>
              <c:strCache>
                <c:ptCount val="5"/>
                <c:pt idx="0">
                  <c:v>2017</c:v>
                </c:pt>
                <c:pt idx="1">
                  <c:v>2018</c:v>
                </c:pt>
                <c:pt idx="2">
                  <c:v>2019</c:v>
                </c:pt>
                <c:pt idx="3">
                  <c:v>2020</c:v>
                </c:pt>
                <c:pt idx="4">
                  <c:v>2021</c:v>
                </c:pt>
              </c:strCache>
            </c:strRef>
          </c:cat>
          <c:val>
            <c:numRef>
              <c:f>Sheet7!$F$5:$F$10</c:f>
              <c:numCache>
                <c:formatCode>General</c:formatCode>
                <c:ptCount val="5"/>
                <c:pt idx="0">
                  <c:v>97.974421837911166</c:v>
                </c:pt>
                <c:pt idx="1">
                  <c:v>114.34723933649261</c:v>
                </c:pt>
                <c:pt idx="2">
                  <c:v>73.259999999999991</c:v>
                </c:pt>
                <c:pt idx="3">
                  <c:v>83.533333333333331</c:v>
                </c:pt>
                <c:pt idx="4">
                  <c:v>105.33333333333333</c:v>
                </c:pt>
              </c:numCache>
            </c:numRef>
          </c:val>
          <c:extLst>
            <c:ext xmlns:c16="http://schemas.microsoft.com/office/drawing/2014/chart" uri="{C3380CC4-5D6E-409C-BE32-E72D297353CC}">
              <c16:uniqueId val="{00000004-317C-4E3D-817F-3C021925D40A}"/>
            </c:ext>
          </c:extLst>
        </c:ser>
        <c:dLbls>
          <c:showLegendKey val="0"/>
          <c:showVal val="0"/>
          <c:showCatName val="0"/>
          <c:showSerName val="0"/>
          <c:showPercent val="0"/>
          <c:showBubbleSize val="0"/>
        </c:dLbls>
        <c:gapWidth val="182"/>
        <c:axId val="1182440863"/>
        <c:axId val="1182450431"/>
      </c:barChart>
      <c:catAx>
        <c:axId val="11824408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450431"/>
        <c:crosses val="autoZero"/>
        <c:auto val="1"/>
        <c:lblAlgn val="ctr"/>
        <c:lblOffset val="100"/>
        <c:noMultiLvlLbl val="0"/>
      </c:catAx>
      <c:valAx>
        <c:axId val="11824504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44086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3210</Words>
  <Characters>18297</Characters>
  <Application>Microsoft Office Word</Application>
  <DocSecurity>0</DocSecurity>
  <Lines>152</Lines>
  <Paragraphs>42</Paragraphs>
  <ScaleCrop>false</ScaleCrop>
  <Company/>
  <LinksUpToDate>false</LinksUpToDate>
  <CharactersWithSpaces>21465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Constantin Marian Grigoras</cp:lastModifiedBy>
  <cp:revision>2</cp:revision>
  <dcterms:created xsi:type="dcterms:W3CDTF">2023-09-08T18:20:00Z</dcterms:created>
  <dcterms:modified xsi:type="dcterms:W3CDTF">2023-09-08T18:20:00Z</dcterms:modified>
</cp:coreProperties>
</file>