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E228A" w14:textId="26CF02A2" w:rsidR="00176B9E" w:rsidRDefault="00176B9E" w:rsidP="00176B9E">
      <w:pPr>
        <w:rPr>
          <w:rFonts w:ascii="Source Sans Pro" w:hAnsi="Source Sans Pro"/>
        </w:rPr>
      </w:pPr>
      <w:r>
        <w:rPr>
          <w:rFonts w:ascii="Source Sans Pro" w:hAnsi="Source Sans Pro"/>
        </w:rPr>
        <w:t>Neve Pule, 2219959</w:t>
      </w:r>
    </w:p>
    <w:p w14:paraId="3122CD8F" w14:textId="4A1DD44D" w:rsidR="00176B9E" w:rsidRDefault="00176B9E" w:rsidP="00A76DE6">
      <w:pPr>
        <w:rPr>
          <w:rFonts w:ascii="Source Sans Pro" w:hAnsi="Source Sans Pro"/>
        </w:rPr>
      </w:pPr>
      <w:r>
        <w:rPr>
          <w:rFonts w:ascii="Source Sans Pro" w:hAnsi="Source Sans Pro"/>
        </w:rPr>
        <w:t>Word count excl. footnotes and bibliography: 5166</w:t>
      </w:r>
    </w:p>
    <w:p w14:paraId="4075C2E0" w14:textId="17657C27" w:rsidR="00176B9E" w:rsidRDefault="00176B9E" w:rsidP="00A76DE6">
      <w:pPr>
        <w:rPr>
          <w:rFonts w:ascii="Source Sans Pro" w:hAnsi="Source Sans Pro"/>
        </w:rPr>
      </w:pPr>
      <w:r>
        <w:rPr>
          <w:rFonts w:ascii="Source Sans Pro" w:hAnsi="Source Sans Pro"/>
        </w:rPr>
        <w:t>Date submitted: 27.03.2025</w:t>
      </w:r>
    </w:p>
    <w:p w14:paraId="0419DFF3" w14:textId="6981A8BB" w:rsidR="00176B9E" w:rsidRPr="006D4143" w:rsidRDefault="006D4143" w:rsidP="00A76DE6">
      <w:pPr>
        <w:rPr>
          <w:rFonts w:ascii="Source Sans Pro" w:hAnsi="Source Sans Pro"/>
          <w:b/>
          <w:bCs/>
          <w:u w:val="single"/>
        </w:rPr>
      </w:pPr>
      <w:r w:rsidRPr="006D4143">
        <w:rPr>
          <w:rFonts w:ascii="Source Sans Pro" w:hAnsi="Source Sans Pro"/>
          <w:b/>
          <w:bCs/>
          <w:color w:val="1D2125"/>
          <w:sz w:val="14"/>
          <w:szCs w:val="14"/>
          <w:u w:val="single"/>
          <w:shd w:val="clear" w:color="auto" w:fill="FFFFFF"/>
        </w:rPr>
        <w:t> </w:t>
      </w:r>
      <w:r w:rsidRPr="006D4143">
        <w:rPr>
          <w:rFonts w:ascii="Source Sans Pro" w:hAnsi="Source Sans Pro" w:cs="Arial"/>
          <w:b/>
          <w:bCs/>
          <w:color w:val="1D2125"/>
          <w:u w:val="single"/>
          <w:shd w:val="clear" w:color="auto" w:fill="FFFFFF"/>
        </w:rPr>
        <w:t>According to J. W. Willis Bund: ‘a woman could never become a saint…a woman could never fill the office which certainly among the Welsh entitled a person to become a saint’. Is this a fair assessment of feminine sanctity in Wales? Analyse a range of extant sources that document the traditions associated with some of the female saints of Wales.</w:t>
      </w:r>
    </w:p>
    <w:p w14:paraId="2CE95A09" w14:textId="7098CDF9" w:rsidR="00C84DC3" w:rsidRDefault="00F46FD0" w:rsidP="00A76DE6">
      <w:pPr>
        <w:rPr>
          <w:rFonts w:ascii="Source Sans Pro" w:hAnsi="Source Sans Pro"/>
        </w:rPr>
      </w:pPr>
      <w:r>
        <w:rPr>
          <w:rFonts w:ascii="Source Sans Pro" w:hAnsi="Source Sans Pro"/>
        </w:rPr>
        <w:t>Determining who could be considered a saint in medieval Wales is less clear-cut than consulting papal canonisations, as in Wales and other Celtic countries at this time</w:t>
      </w:r>
      <w:r w:rsidR="00632420">
        <w:rPr>
          <w:rFonts w:ascii="Source Sans Pro" w:hAnsi="Source Sans Pro"/>
        </w:rPr>
        <w:t xml:space="preserve"> </w:t>
      </w:r>
      <w:r>
        <w:rPr>
          <w:rFonts w:ascii="Source Sans Pro" w:hAnsi="Source Sans Pro"/>
        </w:rPr>
        <w:t>sanctity was locally conferred</w:t>
      </w:r>
      <w:r w:rsidR="00A87E53">
        <w:rPr>
          <w:rFonts w:ascii="Source Sans Pro" w:hAnsi="Source Sans Pro"/>
        </w:rPr>
        <w:t xml:space="preserve"> </w:t>
      </w:r>
      <w:r>
        <w:rPr>
          <w:rFonts w:ascii="Source Sans Pro" w:hAnsi="Source Sans Pro"/>
        </w:rPr>
        <w:t>without any formal canonisation process.</w:t>
      </w:r>
      <w:r>
        <w:rPr>
          <w:rStyle w:val="FootnoteReference"/>
          <w:rFonts w:ascii="Source Sans Pro" w:hAnsi="Source Sans Pro"/>
        </w:rPr>
        <w:footnoteReference w:id="1"/>
      </w:r>
      <w:r>
        <w:rPr>
          <w:rFonts w:ascii="Source Sans Pro" w:hAnsi="Source Sans Pro"/>
        </w:rPr>
        <w:t xml:space="preserve"> Saints were proclaimed by popular opinion in their local community in recognition of their virtuous life and death and performance of miracles, and while there may have been local ceremonies to mark the occasion such as a procession with their relics, papal monopoly over the process of canonisation as established in the thirteenth century was never applied retroactively to those regarded as saints in the past, including the saints of Wales from between fifth century and the seventh century, in the so-called ‘Age of Saints’.</w:t>
      </w:r>
      <w:r>
        <w:rPr>
          <w:rStyle w:val="FootnoteReference"/>
          <w:rFonts w:ascii="Source Sans Pro" w:hAnsi="Source Sans Pro"/>
        </w:rPr>
        <w:footnoteReference w:id="2"/>
      </w:r>
      <w:r>
        <w:rPr>
          <w:rFonts w:ascii="Source Sans Pro" w:hAnsi="Source Sans Pro"/>
        </w:rPr>
        <w:t xml:space="preserve"> In his article surveying characteristics of Welsh and Irish saints, Willis-Bund puts forward several unconvincing statements on Welsh saints, asserting that Welsh saints did not necessarily perform miracles,</w:t>
      </w:r>
      <w:r>
        <w:rPr>
          <w:rStyle w:val="FootnoteReference"/>
          <w:rFonts w:ascii="Source Sans Pro" w:hAnsi="Source Sans Pro"/>
        </w:rPr>
        <w:footnoteReference w:id="3"/>
      </w:r>
      <w:r>
        <w:rPr>
          <w:rFonts w:ascii="Source Sans Pro" w:hAnsi="Source Sans Pro"/>
        </w:rPr>
        <w:t xml:space="preserve"> that sainthood was not dependent on personal holiness,</w:t>
      </w:r>
      <w:r>
        <w:rPr>
          <w:rStyle w:val="FootnoteReference"/>
          <w:rFonts w:ascii="Source Sans Pro" w:hAnsi="Source Sans Pro"/>
        </w:rPr>
        <w:footnoteReference w:id="4"/>
      </w:r>
      <w:r>
        <w:rPr>
          <w:rFonts w:ascii="Source Sans Pro" w:hAnsi="Source Sans Pro"/>
        </w:rPr>
        <w:t xml:space="preserve"> and that saintship was hereditary and confined to certain families.</w:t>
      </w:r>
      <w:r>
        <w:rPr>
          <w:rStyle w:val="FootnoteReference"/>
          <w:rFonts w:ascii="Source Sans Pro" w:hAnsi="Source Sans Pro"/>
        </w:rPr>
        <w:footnoteReference w:id="5"/>
      </w:r>
      <w:r w:rsidR="00AC30EB">
        <w:rPr>
          <w:rFonts w:ascii="Source Sans Pro" w:hAnsi="Source Sans Pro"/>
        </w:rPr>
        <w:t xml:space="preserve"> T</w:t>
      </w:r>
      <w:r w:rsidR="00280838">
        <w:rPr>
          <w:rFonts w:ascii="Source Sans Pro" w:hAnsi="Source Sans Pro"/>
        </w:rPr>
        <w:t>his essay will focus on his statement that “a woman could never fill the office which certainly among the Welsh entitled a person to become a saint”</w:t>
      </w:r>
      <w:r w:rsidR="00280838">
        <w:rPr>
          <w:rStyle w:val="FootnoteReference"/>
          <w:rFonts w:ascii="Source Sans Pro" w:hAnsi="Source Sans Pro"/>
        </w:rPr>
        <w:footnoteReference w:id="6"/>
      </w:r>
      <w:r w:rsidR="00280838">
        <w:rPr>
          <w:rFonts w:ascii="Source Sans Pro" w:hAnsi="Source Sans Pro"/>
        </w:rPr>
        <w:t xml:space="preserve"> and argue that his statement is an unfair assessment of female sanctity in Wales</w:t>
      </w:r>
      <w:r w:rsidR="00B3081C">
        <w:rPr>
          <w:rFonts w:ascii="Source Sans Pro" w:hAnsi="Source Sans Pro"/>
        </w:rPr>
        <w:t xml:space="preserve"> </w:t>
      </w:r>
      <w:r w:rsidR="00280838">
        <w:rPr>
          <w:rFonts w:ascii="Source Sans Pro" w:hAnsi="Source Sans Pro"/>
        </w:rPr>
        <w:t xml:space="preserve">in light of the extant </w:t>
      </w:r>
      <w:r w:rsidR="00620600">
        <w:rPr>
          <w:rFonts w:ascii="Source Sans Pro" w:hAnsi="Source Sans Pro"/>
        </w:rPr>
        <w:t xml:space="preserve">hagiographic </w:t>
      </w:r>
      <w:r w:rsidR="00280838">
        <w:rPr>
          <w:rFonts w:ascii="Source Sans Pro" w:hAnsi="Source Sans Pro"/>
        </w:rPr>
        <w:t>literature</w:t>
      </w:r>
      <w:r w:rsidR="00B3081C">
        <w:rPr>
          <w:rFonts w:ascii="Source Sans Pro" w:hAnsi="Source Sans Pro"/>
        </w:rPr>
        <w:t xml:space="preserve">, as there </w:t>
      </w:r>
      <w:r w:rsidR="00AC30EB">
        <w:rPr>
          <w:rFonts w:ascii="Source Sans Pro" w:hAnsi="Source Sans Pro"/>
        </w:rPr>
        <w:t xml:space="preserve">are several examples of women who fit the Welsh concept of sainthood including Saints Gwenfrewy, Melangell, Dwynwen, Ursula and the daughters of Brychan </w:t>
      </w:r>
      <w:r w:rsidR="00AC30EB">
        <w:rPr>
          <w:rFonts w:ascii="Source Sans Pro" w:hAnsi="Source Sans Pro"/>
        </w:rPr>
        <w:t>Brycheiniog</w:t>
      </w:r>
      <w:r w:rsidR="00B3081C">
        <w:rPr>
          <w:rFonts w:ascii="Source Sans Pro" w:hAnsi="Source Sans Pro"/>
        </w:rPr>
        <w:t>.</w:t>
      </w:r>
      <w:r w:rsidR="00A76DE6">
        <w:rPr>
          <w:rFonts w:ascii="Source Sans Pro" w:hAnsi="Source Sans Pro"/>
        </w:rPr>
        <w:t xml:space="preserve"> </w:t>
      </w:r>
      <w:r w:rsidR="00610C88">
        <w:rPr>
          <w:rFonts w:ascii="Source Sans Pro" w:hAnsi="Source Sans Pro"/>
        </w:rPr>
        <w:t>While the literature concerning these female saints do</w:t>
      </w:r>
      <w:r w:rsidR="00AA2DC5">
        <w:rPr>
          <w:rFonts w:ascii="Source Sans Pro" w:hAnsi="Source Sans Pro"/>
        </w:rPr>
        <w:t>es</w:t>
      </w:r>
      <w:r w:rsidR="00610C88">
        <w:rPr>
          <w:rFonts w:ascii="Source Sans Pro" w:hAnsi="Source Sans Pro"/>
        </w:rPr>
        <w:t xml:space="preserve"> not follow the exact same hagiographical patterns</w:t>
      </w:r>
      <w:r w:rsidR="00510354">
        <w:rPr>
          <w:rFonts w:ascii="Source Sans Pro" w:hAnsi="Source Sans Pro"/>
        </w:rPr>
        <w:t xml:space="preserve"> </w:t>
      </w:r>
      <w:r w:rsidR="00AA2DC5">
        <w:rPr>
          <w:rFonts w:ascii="Source Sans Pro" w:hAnsi="Source Sans Pro"/>
        </w:rPr>
        <w:t>traditionally followed by</w:t>
      </w:r>
      <w:r w:rsidR="00510354">
        <w:rPr>
          <w:rFonts w:ascii="Source Sans Pro" w:hAnsi="Source Sans Pro"/>
        </w:rPr>
        <w:t xml:space="preserve"> male saint</w:t>
      </w:r>
      <w:r w:rsidR="00AA2DC5">
        <w:rPr>
          <w:rFonts w:ascii="Source Sans Pro" w:hAnsi="Source Sans Pro"/>
        </w:rPr>
        <w:t>s as laid out by Elissa Henken,</w:t>
      </w:r>
      <w:r w:rsidR="00BC564E">
        <w:rPr>
          <w:rStyle w:val="FootnoteReference"/>
          <w:rFonts w:ascii="Source Sans Pro" w:hAnsi="Source Sans Pro"/>
        </w:rPr>
        <w:footnoteReference w:id="7"/>
      </w:r>
      <w:r w:rsidR="00AA2DC5">
        <w:rPr>
          <w:rFonts w:ascii="Source Sans Pro" w:hAnsi="Source Sans Pro"/>
        </w:rPr>
        <w:t xml:space="preserve"> </w:t>
      </w:r>
      <w:r w:rsidR="00F908F6">
        <w:rPr>
          <w:rFonts w:ascii="Source Sans Pro" w:hAnsi="Source Sans Pro"/>
        </w:rPr>
        <w:t xml:space="preserve">these patterns were altered slightly in the case of female saints to </w:t>
      </w:r>
      <w:r w:rsidR="00BC564E">
        <w:rPr>
          <w:rFonts w:ascii="Source Sans Pro" w:hAnsi="Source Sans Pro"/>
        </w:rPr>
        <w:t xml:space="preserve">make them appropriate in light of female roles in society at the time. </w:t>
      </w:r>
      <w:r w:rsidR="005D6AAD">
        <w:rPr>
          <w:rFonts w:ascii="Source Sans Pro" w:hAnsi="Source Sans Pro"/>
        </w:rPr>
        <w:t>To prove that women could fill the office of saint in Wales, the aspects of Welsh saints’ lives delineated by Henken and observed as occurring in extant literature of the female saints will be now analysed</w:t>
      </w:r>
      <w:r w:rsidR="00C84DC3">
        <w:rPr>
          <w:rFonts w:ascii="Source Sans Pro" w:hAnsi="Source Sans Pro"/>
        </w:rPr>
        <w:t xml:space="preserve">, analysing the role of women as miracle-workers, </w:t>
      </w:r>
      <w:r w:rsidR="00E212ED">
        <w:rPr>
          <w:rFonts w:ascii="Source Sans Pro" w:hAnsi="Source Sans Pro"/>
        </w:rPr>
        <w:t>virgin</w:t>
      </w:r>
      <w:r w:rsidR="00C93B3B">
        <w:rPr>
          <w:rFonts w:ascii="Source Sans Pro" w:hAnsi="Source Sans Pro"/>
        </w:rPr>
        <w:t xml:space="preserve"> </w:t>
      </w:r>
      <w:r w:rsidR="004E71E5">
        <w:rPr>
          <w:rFonts w:ascii="Source Sans Pro" w:hAnsi="Source Sans Pro"/>
        </w:rPr>
        <w:t xml:space="preserve">martyrs, foundresses and monastic leaders, and local heroes who were celebrated and venerated by </w:t>
      </w:r>
      <w:r w:rsidR="00D41F50">
        <w:rPr>
          <w:rFonts w:ascii="Source Sans Pro" w:hAnsi="Source Sans Pro"/>
        </w:rPr>
        <w:t xml:space="preserve">communities in their area of origin and beyond. </w:t>
      </w:r>
    </w:p>
    <w:p w14:paraId="19CBF2A8" w14:textId="67920C57" w:rsidR="00994185" w:rsidRDefault="00A43F2F" w:rsidP="005D6AAD">
      <w:pPr>
        <w:rPr>
          <w:rFonts w:ascii="Source Sans Pro" w:hAnsi="Source Sans Pro"/>
        </w:rPr>
      </w:pPr>
      <w:r>
        <w:rPr>
          <w:rFonts w:ascii="Source Sans Pro" w:hAnsi="Source Sans Pro"/>
        </w:rPr>
        <w:t>Hagiographical literature tend</w:t>
      </w:r>
      <w:r w:rsidR="00305857">
        <w:rPr>
          <w:rFonts w:ascii="Source Sans Pro" w:hAnsi="Source Sans Pro"/>
        </w:rPr>
        <w:t xml:space="preserve">s to </w:t>
      </w:r>
      <w:r w:rsidR="00F80870">
        <w:rPr>
          <w:rFonts w:ascii="Source Sans Pro" w:hAnsi="Source Sans Pro"/>
        </w:rPr>
        <w:t>describe saintly lives using formulaic stages, and</w:t>
      </w:r>
      <w:r w:rsidR="006A0258">
        <w:rPr>
          <w:rFonts w:ascii="Source Sans Pro" w:hAnsi="Source Sans Pro"/>
        </w:rPr>
        <w:t xml:space="preserve"> </w:t>
      </w:r>
      <w:r w:rsidR="00C84DC3">
        <w:rPr>
          <w:rFonts w:ascii="Source Sans Pro" w:hAnsi="Source Sans Pro"/>
        </w:rPr>
        <w:t xml:space="preserve">literature about the </w:t>
      </w:r>
      <w:r w:rsidR="00730ED3">
        <w:rPr>
          <w:rFonts w:ascii="Source Sans Pro" w:hAnsi="Source Sans Pro"/>
        </w:rPr>
        <w:t xml:space="preserve">Welsh saints </w:t>
      </w:r>
      <w:r w:rsidR="00C84DC3">
        <w:rPr>
          <w:rFonts w:ascii="Source Sans Pro" w:hAnsi="Source Sans Pro"/>
        </w:rPr>
        <w:t xml:space="preserve">is </w:t>
      </w:r>
      <w:r w:rsidR="00730ED3">
        <w:rPr>
          <w:rFonts w:ascii="Source Sans Pro" w:hAnsi="Source Sans Pro"/>
        </w:rPr>
        <w:t xml:space="preserve">no different; Elissa Henken’s </w:t>
      </w:r>
      <w:r w:rsidR="0078744B">
        <w:rPr>
          <w:rFonts w:ascii="Source Sans Pro" w:hAnsi="Source Sans Pro"/>
        </w:rPr>
        <w:t xml:space="preserve">extensive </w:t>
      </w:r>
      <w:r w:rsidR="00730ED3">
        <w:rPr>
          <w:rFonts w:ascii="Source Sans Pro" w:hAnsi="Source Sans Pro"/>
        </w:rPr>
        <w:t>work on the patterns in saintly lives</w:t>
      </w:r>
      <w:r w:rsidR="0078744B">
        <w:rPr>
          <w:rFonts w:ascii="Source Sans Pro" w:hAnsi="Source Sans Pro"/>
        </w:rPr>
        <w:t xml:space="preserve"> details the </w:t>
      </w:r>
      <w:r w:rsidR="000C7EBE">
        <w:rPr>
          <w:rFonts w:ascii="Source Sans Pro" w:hAnsi="Source Sans Pro"/>
        </w:rPr>
        <w:t>major stages of male saint’s lives</w:t>
      </w:r>
      <w:r w:rsidR="00450E39">
        <w:rPr>
          <w:rFonts w:ascii="Source Sans Pro" w:hAnsi="Source Sans Pro"/>
        </w:rPr>
        <w:t xml:space="preserve"> and draws comparison with the </w:t>
      </w:r>
      <w:r w:rsidR="009A2FDC">
        <w:rPr>
          <w:rFonts w:ascii="Source Sans Pro" w:hAnsi="Source Sans Pro"/>
        </w:rPr>
        <w:t>narrative patterns in the lives of secular folk heroes.</w:t>
      </w:r>
      <w:r w:rsidR="009A2FDC">
        <w:rPr>
          <w:rStyle w:val="FootnoteReference"/>
          <w:rFonts w:ascii="Source Sans Pro" w:hAnsi="Source Sans Pro"/>
        </w:rPr>
        <w:footnoteReference w:id="8"/>
      </w:r>
      <w:r w:rsidR="009A2FDC">
        <w:rPr>
          <w:rFonts w:ascii="Source Sans Pro" w:hAnsi="Source Sans Pro"/>
        </w:rPr>
        <w:t xml:space="preserve"> The major stages of saint’s life </w:t>
      </w:r>
      <w:r w:rsidR="00A76DE6">
        <w:rPr>
          <w:rFonts w:ascii="Source Sans Pro" w:hAnsi="Source Sans Pro"/>
        </w:rPr>
        <w:t>start with their unusual</w:t>
      </w:r>
      <w:r w:rsidR="000265E4">
        <w:rPr>
          <w:rFonts w:ascii="Source Sans Pro" w:hAnsi="Source Sans Pro"/>
        </w:rPr>
        <w:t xml:space="preserve"> </w:t>
      </w:r>
      <w:r w:rsidR="000265E4">
        <w:rPr>
          <w:rFonts w:ascii="Source Sans Pro" w:hAnsi="Source Sans Pro"/>
        </w:rPr>
        <w:lastRenderedPageBreak/>
        <w:t>conception and birth</w:t>
      </w:r>
      <w:r w:rsidR="00A76DE6">
        <w:rPr>
          <w:rFonts w:ascii="Source Sans Pro" w:hAnsi="Source Sans Pro"/>
        </w:rPr>
        <w:t xml:space="preserve"> which is often foretold by angelic visitation</w:t>
      </w:r>
      <w:r w:rsidR="000265E4">
        <w:rPr>
          <w:rFonts w:ascii="Source Sans Pro" w:hAnsi="Source Sans Pro"/>
        </w:rPr>
        <w:t>,</w:t>
      </w:r>
      <w:r w:rsidR="007A3FAF">
        <w:rPr>
          <w:rFonts w:ascii="Source Sans Pro" w:hAnsi="Source Sans Pro"/>
        </w:rPr>
        <w:t xml:space="preserve"> move on to descriptions of</w:t>
      </w:r>
      <w:r w:rsidR="000265E4">
        <w:rPr>
          <w:rFonts w:ascii="Source Sans Pro" w:hAnsi="Source Sans Pro"/>
        </w:rPr>
        <w:t xml:space="preserve"> the saint’s precocity </w:t>
      </w:r>
      <w:r w:rsidR="007A3FAF">
        <w:rPr>
          <w:rFonts w:ascii="Source Sans Pro" w:hAnsi="Source Sans Pro"/>
        </w:rPr>
        <w:t>during their</w:t>
      </w:r>
      <w:r w:rsidR="000265E4">
        <w:rPr>
          <w:rFonts w:ascii="Source Sans Pro" w:hAnsi="Source Sans Pro"/>
        </w:rPr>
        <w:t xml:space="preserve"> childhood </w:t>
      </w:r>
      <w:r w:rsidR="001B2420">
        <w:rPr>
          <w:rFonts w:ascii="Source Sans Pro" w:hAnsi="Source Sans Pro"/>
        </w:rPr>
        <w:t xml:space="preserve">which is then </w:t>
      </w:r>
      <w:r w:rsidR="007A3FAF">
        <w:rPr>
          <w:rFonts w:ascii="Source Sans Pro" w:hAnsi="Source Sans Pro"/>
        </w:rPr>
        <w:t xml:space="preserve">followed by their </w:t>
      </w:r>
      <w:r w:rsidR="000265E4">
        <w:rPr>
          <w:rFonts w:ascii="Source Sans Pro" w:hAnsi="Source Sans Pro"/>
        </w:rPr>
        <w:t>performance of a miracle that indicate</w:t>
      </w:r>
      <w:r w:rsidR="001B2420">
        <w:rPr>
          <w:rFonts w:ascii="Source Sans Pro" w:hAnsi="Source Sans Pro"/>
        </w:rPr>
        <w:t>s</w:t>
      </w:r>
      <w:r w:rsidR="000265E4">
        <w:rPr>
          <w:rFonts w:ascii="Source Sans Pro" w:hAnsi="Source Sans Pro"/>
        </w:rPr>
        <w:t xml:space="preserve"> spiritual maturity.</w:t>
      </w:r>
      <w:r w:rsidR="007800BA">
        <w:rPr>
          <w:rStyle w:val="FootnoteReference"/>
          <w:rFonts w:ascii="Source Sans Pro" w:hAnsi="Source Sans Pro"/>
        </w:rPr>
        <w:footnoteReference w:id="9"/>
      </w:r>
      <w:r w:rsidR="000265E4">
        <w:rPr>
          <w:rFonts w:ascii="Source Sans Pro" w:hAnsi="Source Sans Pro"/>
        </w:rPr>
        <w:t xml:space="preserve"> </w:t>
      </w:r>
      <w:r w:rsidR="00851728">
        <w:rPr>
          <w:rFonts w:ascii="Source Sans Pro" w:hAnsi="Source Sans Pro"/>
        </w:rPr>
        <w:t>After surpassing their mentor in holiness, the</w:t>
      </w:r>
      <w:r w:rsidR="001B2420">
        <w:rPr>
          <w:rFonts w:ascii="Source Sans Pro" w:hAnsi="Source Sans Pro"/>
        </w:rPr>
        <w:t xml:space="preserve"> saint </w:t>
      </w:r>
      <w:r w:rsidR="00E0794E">
        <w:rPr>
          <w:rFonts w:ascii="Source Sans Pro" w:hAnsi="Source Sans Pro"/>
        </w:rPr>
        <w:t>journey</w:t>
      </w:r>
      <w:r w:rsidR="008C42C5">
        <w:rPr>
          <w:rFonts w:ascii="Source Sans Pro" w:hAnsi="Source Sans Pro"/>
        </w:rPr>
        <w:t>s</w:t>
      </w:r>
      <w:r w:rsidR="00E0794E">
        <w:rPr>
          <w:rFonts w:ascii="Source Sans Pro" w:hAnsi="Source Sans Pro"/>
        </w:rPr>
        <w:t xml:space="preserve"> o</w:t>
      </w:r>
      <w:r w:rsidR="008C42C5">
        <w:rPr>
          <w:rFonts w:ascii="Source Sans Pro" w:hAnsi="Source Sans Pro"/>
        </w:rPr>
        <w:t>ut</w:t>
      </w:r>
      <w:r w:rsidR="00E0794E">
        <w:rPr>
          <w:rFonts w:ascii="Source Sans Pro" w:hAnsi="Source Sans Pro"/>
        </w:rPr>
        <w:t xml:space="preserve"> into the world,</w:t>
      </w:r>
      <w:r w:rsidR="008314F0">
        <w:rPr>
          <w:rFonts w:ascii="Source Sans Pro" w:hAnsi="Source Sans Pro"/>
        </w:rPr>
        <w:t xml:space="preserve"> performing </w:t>
      </w:r>
      <w:r w:rsidR="008C42C5">
        <w:rPr>
          <w:rFonts w:ascii="Source Sans Pro" w:hAnsi="Source Sans Pro"/>
        </w:rPr>
        <w:t xml:space="preserve">more </w:t>
      </w:r>
      <w:r w:rsidR="008314F0">
        <w:rPr>
          <w:rFonts w:ascii="Source Sans Pro" w:hAnsi="Source Sans Pro"/>
        </w:rPr>
        <w:t>miracles,</w:t>
      </w:r>
      <w:r w:rsidR="00E0794E">
        <w:rPr>
          <w:rFonts w:ascii="Source Sans Pro" w:hAnsi="Source Sans Pro"/>
        </w:rPr>
        <w:t xml:space="preserve"> founding churches and journeying as a missionary, before coming into conflict with secular powers.</w:t>
      </w:r>
      <w:r w:rsidR="007800BA">
        <w:rPr>
          <w:rStyle w:val="FootnoteReference"/>
          <w:rFonts w:ascii="Source Sans Pro" w:hAnsi="Source Sans Pro"/>
        </w:rPr>
        <w:footnoteReference w:id="10"/>
      </w:r>
      <w:r w:rsidR="00E0794E">
        <w:rPr>
          <w:rFonts w:ascii="Source Sans Pro" w:hAnsi="Source Sans Pro"/>
        </w:rPr>
        <w:t xml:space="preserve"> After conflict with </w:t>
      </w:r>
      <w:r w:rsidR="008314F0">
        <w:rPr>
          <w:rFonts w:ascii="Source Sans Pro" w:hAnsi="Source Sans Pro"/>
        </w:rPr>
        <w:t xml:space="preserve">pagan </w:t>
      </w:r>
      <w:r w:rsidR="004A12CD">
        <w:rPr>
          <w:rFonts w:ascii="Source Sans Pro" w:hAnsi="Source Sans Pro"/>
        </w:rPr>
        <w:t>or violent authorities</w:t>
      </w:r>
      <w:r w:rsidR="00E0794E">
        <w:rPr>
          <w:rFonts w:ascii="Source Sans Pro" w:hAnsi="Source Sans Pro"/>
        </w:rPr>
        <w:t>, the saint gain</w:t>
      </w:r>
      <w:r w:rsidR="008C42C5">
        <w:rPr>
          <w:rFonts w:ascii="Source Sans Pro" w:hAnsi="Source Sans Pro"/>
        </w:rPr>
        <w:t>s</w:t>
      </w:r>
      <w:r w:rsidR="00E0794E">
        <w:rPr>
          <w:rFonts w:ascii="Source Sans Pro" w:hAnsi="Source Sans Pro"/>
        </w:rPr>
        <w:t xml:space="preserve"> power over a territory and settle</w:t>
      </w:r>
      <w:r w:rsidR="008C42C5">
        <w:rPr>
          <w:rFonts w:ascii="Source Sans Pro" w:hAnsi="Source Sans Pro"/>
        </w:rPr>
        <w:t>s</w:t>
      </w:r>
      <w:r w:rsidR="00E0794E">
        <w:rPr>
          <w:rFonts w:ascii="Source Sans Pro" w:hAnsi="Source Sans Pro"/>
        </w:rPr>
        <w:t xml:space="preserve"> </w:t>
      </w:r>
      <w:r w:rsidR="008C42C5">
        <w:rPr>
          <w:rFonts w:ascii="Source Sans Pro" w:hAnsi="Source Sans Pro"/>
        </w:rPr>
        <w:t xml:space="preserve">onto their </w:t>
      </w:r>
      <w:r w:rsidR="00E0794E">
        <w:rPr>
          <w:rFonts w:ascii="Source Sans Pro" w:hAnsi="Source Sans Pro"/>
        </w:rPr>
        <w:t xml:space="preserve">land, </w:t>
      </w:r>
      <w:r w:rsidR="00F87BF3">
        <w:rPr>
          <w:rFonts w:ascii="Source Sans Pro" w:hAnsi="Source Sans Pro"/>
        </w:rPr>
        <w:t xml:space="preserve">where they live and then die, </w:t>
      </w:r>
      <w:r w:rsidR="008314F0">
        <w:rPr>
          <w:rFonts w:ascii="Source Sans Pro" w:hAnsi="Source Sans Pro"/>
        </w:rPr>
        <w:t>an event often foretold to the saint by an angel.</w:t>
      </w:r>
      <w:r w:rsidR="007800BA">
        <w:rPr>
          <w:rStyle w:val="FootnoteReference"/>
          <w:rFonts w:ascii="Source Sans Pro" w:hAnsi="Source Sans Pro"/>
        </w:rPr>
        <w:footnoteReference w:id="11"/>
      </w:r>
      <w:r w:rsidR="008314F0">
        <w:rPr>
          <w:rFonts w:ascii="Source Sans Pro" w:hAnsi="Source Sans Pro"/>
        </w:rPr>
        <w:t xml:space="preserve"> After their death</w:t>
      </w:r>
      <w:r w:rsidR="004A12CD">
        <w:rPr>
          <w:rFonts w:ascii="Source Sans Pro" w:hAnsi="Source Sans Pro"/>
        </w:rPr>
        <w:t xml:space="preserve">, they remain present in the land </w:t>
      </w:r>
      <w:r w:rsidR="008C42C5">
        <w:rPr>
          <w:rFonts w:ascii="Source Sans Pro" w:hAnsi="Source Sans Pro"/>
        </w:rPr>
        <w:t xml:space="preserve">to protect </w:t>
      </w:r>
      <w:r w:rsidR="004A12CD">
        <w:rPr>
          <w:rFonts w:ascii="Source Sans Pro" w:hAnsi="Source Sans Pro"/>
        </w:rPr>
        <w:t>they lived in and perform posthumous miracles.</w:t>
      </w:r>
      <w:r w:rsidR="007800BA">
        <w:rPr>
          <w:rStyle w:val="FootnoteReference"/>
          <w:rFonts w:ascii="Source Sans Pro" w:hAnsi="Source Sans Pro"/>
        </w:rPr>
        <w:footnoteReference w:id="12"/>
      </w:r>
      <w:r w:rsidR="00291F89">
        <w:rPr>
          <w:rFonts w:ascii="Source Sans Pro" w:hAnsi="Source Sans Pro"/>
        </w:rPr>
        <w:t xml:space="preserve"> </w:t>
      </w:r>
    </w:p>
    <w:p w14:paraId="16A91E31" w14:textId="7F6B6D88" w:rsidR="00B2001C" w:rsidRDefault="00291F89" w:rsidP="006E2C1E">
      <w:pPr>
        <w:rPr>
          <w:rFonts w:ascii="Source Sans Pro" w:hAnsi="Source Sans Pro"/>
        </w:rPr>
      </w:pPr>
      <w:r>
        <w:rPr>
          <w:rFonts w:ascii="Source Sans Pro" w:hAnsi="Source Sans Pro"/>
        </w:rPr>
        <w:t>In contrast with the elaborat</w:t>
      </w:r>
      <w:r w:rsidR="00023685">
        <w:rPr>
          <w:rFonts w:ascii="Source Sans Pro" w:hAnsi="Source Sans Pro"/>
        </w:rPr>
        <w:t xml:space="preserve">e stories of male saints’ early lives, the Welsh female saints </w:t>
      </w:r>
      <w:r w:rsidR="005A6EB5">
        <w:rPr>
          <w:rFonts w:ascii="Source Sans Pro" w:hAnsi="Source Sans Pro"/>
        </w:rPr>
        <w:t xml:space="preserve">are depicted with only a fragment of the full biographical pattern, and </w:t>
      </w:r>
      <w:r w:rsidR="000836EA">
        <w:rPr>
          <w:rFonts w:ascii="Source Sans Pro" w:hAnsi="Source Sans Pro"/>
        </w:rPr>
        <w:t>their early lives are</w:t>
      </w:r>
      <w:r w:rsidR="008B04EF">
        <w:rPr>
          <w:rFonts w:ascii="Source Sans Pro" w:hAnsi="Source Sans Pro"/>
        </w:rPr>
        <w:t xml:space="preserve"> typically</w:t>
      </w:r>
      <w:r w:rsidR="000836EA">
        <w:rPr>
          <w:rFonts w:ascii="Source Sans Pro" w:hAnsi="Source Sans Pro"/>
        </w:rPr>
        <w:t xml:space="preserve"> </w:t>
      </w:r>
      <w:r w:rsidR="00273398">
        <w:rPr>
          <w:rFonts w:ascii="Source Sans Pro" w:hAnsi="Source Sans Pro"/>
        </w:rPr>
        <w:t>neglected until they are confronted with male sexuality.</w:t>
      </w:r>
      <w:r w:rsidR="00273398">
        <w:rPr>
          <w:rStyle w:val="FootnoteReference"/>
          <w:rFonts w:ascii="Source Sans Pro" w:hAnsi="Source Sans Pro"/>
        </w:rPr>
        <w:footnoteReference w:id="13"/>
      </w:r>
      <w:r w:rsidR="00F31B43">
        <w:rPr>
          <w:rFonts w:ascii="Source Sans Pro" w:hAnsi="Source Sans Pro"/>
        </w:rPr>
        <w:t xml:space="preserve"> </w:t>
      </w:r>
      <w:r w:rsidR="00802DA2">
        <w:rPr>
          <w:rFonts w:ascii="Source Sans Pro" w:hAnsi="Source Sans Pro"/>
        </w:rPr>
        <w:t>Female textual Lives beg</w:t>
      </w:r>
      <w:r w:rsidR="00D41F50">
        <w:rPr>
          <w:rFonts w:ascii="Source Sans Pro" w:hAnsi="Source Sans Pro"/>
        </w:rPr>
        <w:t>i</w:t>
      </w:r>
      <w:r w:rsidR="007C7D4D">
        <w:rPr>
          <w:rFonts w:ascii="Source Sans Pro" w:hAnsi="Source Sans Pro"/>
        </w:rPr>
        <w:t>n</w:t>
      </w:r>
      <w:r w:rsidR="00802DA2">
        <w:rPr>
          <w:rFonts w:ascii="Source Sans Pro" w:hAnsi="Source Sans Pro"/>
        </w:rPr>
        <w:t xml:space="preserve"> </w:t>
      </w:r>
      <w:r w:rsidR="00E0091D">
        <w:rPr>
          <w:rFonts w:ascii="Source Sans Pro" w:hAnsi="Source Sans Pro"/>
        </w:rPr>
        <w:t>with the woman, frequently of noble lineage as was</w:t>
      </w:r>
      <w:r w:rsidR="00EF6B5A">
        <w:rPr>
          <w:rFonts w:ascii="Source Sans Pro" w:hAnsi="Source Sans Pro"/>
        </w:rPr>
        <w:t xml:space="preserve"> also the case with male saints,</w:t>
      </w:r>
      <w:r w:rsidR="00E0091D">
        <w:rPr>
          <w:rFonts w:ascii="Source Sans Pro" w:hAnsi="Source Sans Pro"/>
        </w:rPr>
        <w:t xml:space="preserve"> deciding to dedicate </w:t>
      </w:r>
      <w:r w:rsidR="00EF6B5A">
        <w:rPr>
          <w:rFonts w:ascii="Source Sans Pro" w:hAnsi="Source Sans Pro"/>
        </w:rPr>
        <w:t xml:space="preserve">her </w:t>
      </w:r>
      <w:r w:rsidR="00E0091D">
        <w:rPr>
          <w:rFonts w:ascii="Source Sans Pro" w:hAnsi="Source Sans Pro"/>
        </w:rPr>
        <w:t>virginity to Christ and refuse marriage</w:t>
      </w:r>
      <w:r w:rsidR="001B5E0E">
        <w:rPr>
          <w:rFonts w:ascii="Source Sans Pro" w:hAnsi="Source Sans Pro"/>
        </w:rPr>
        <w:t>;</w:t>
      </w:r>
      <w:r w:rsidR="00E1636F">
        <w:rPr>
          <w:rStyle w:val="FootnoteReference"/>
          <w:rFonts w:ascii="Source Sans Pro" w:hAnsi="Source Sans Pro"/>
        </w:rPr>
        <w:footnoteReference w:id="14"/>
      </w:r>
      <w:r w:rsidR="001B5E0E">
        <w:rPr>
          <w:rFonts w:ascii="Source Sans Pro" w:hAnsi="Source Sans Pro"/>
        </w:rPr>
        <w:t xml:space="preserve"> virginity can almost be considered a prerequisite for feminine sanctity, with the only detailed surviving account of a non-virginal </w:t>
      </w:r>
      <w:r w:rsidR="001515BA">
        <w:rPr>
          <w:rFonts w:ascii="Source Sans Pro" w:hAnsi="Source Sans Pro"/>
        </w:rPr>
        <w:t>female saint</w:t>
      </w:r>
      <w:r w:rsidR="007C7D4D">
        <w:rPr>
          <w:rFonts w:ascii="Source Sans Pro" w:hAnsi="Source Sans Pro"/>
        </w:rPr>
        <w:t xml:space="preserve"> from Wales</w:t>
      </w:r>
      <w:r w:rsidR="001515BA">
        <w:rPr>
          <w:rFonts w:ascii="Source Sans Pro" w:hAnsi="Source Sans Pro"/>
        </w:rPr>
        <w:t xml:space="preserve"> being the mother of Saint David, Non, who was raped to bring about his conception.</w:t>
      </w:r>
      <w:r w:rsidR="00E93A53">
        <w:rPr>
          <w:rStyle w:val="FootnoteReference"/>
          <w:rFonts w:ascii="Source Sans Pro" w:hAnsi="Source Sans Pro"/>
        </w:rPr>
        <w:footnoteReference w:id="15"/>
      </w:r>
      <w:r w:rsidR="00281498">
        <w:rPr>
          <w:rFonts w:ascii="Source Sans Pro" w:hAnsi="Source Sans Pro"/>
        </w:rPr>
        <w:t xml:space="preserve"> After being threatened with violent male sexuality and unwittingly becoming an object of male desire, they </w:t>
      </w:r>
      <w:r w:rsidR="008B04EF">
        <w:rPr>
          <w:rFonts w:ascii="Source Sans Pro" w:hAnsi="Source Sans Pro"/>
        </w:rPr>
        <w:t xml:space="preserve">seek </w:t>
      </w:r>
      <w:r w:rsidR="00281498">
        <w:rPr>
          <w:rFonts w:ascii="Source Sans Pro" w:hAnsi="Source Sans Pro"/>
        </w:rPr>
        <w:t xml:space="preserve">an ascetic lifestyle, and either </w:t>
      </w:r>
      <w:r w:rsidR="008B04EF">
        <w:rPr>
          <w:rFonts w:ascii="Source Sans Pro" w:hAnsi="Source Sans Pro"/>
        </w:rPr>
        <w:t xml:space="preserve">live </w:t>
      </w:r>
      <w:r w:rsidR="00281498">
        <w:rPr>
          <w:rFonts w:ascii="Source Sans Pro" w:hAnsi="Source Sans Pro"/>
        </w:rPr>
        <w:t>alone or establish a community of religious females.</w:t>
      </w:r>
      <w:r w:rsidR="00281498">
        <w:rPr>
          <w:rStyle w:val="FootnoteReference"/>
          <w:rFonts w:ascii="Source Sans Pro" w:hAnsi="Source Sans Pro"/>
        </w:rPr>
        <w:footnoteReference w:id="16"/>
      </w:r>
      <w:r w:rsidR="007F3A2B">
        <w:rPr>
          <w:rFonts w:ascii="Source Sans Pro" w:hAnsi="Source Sans Pro"/>
        </w:rPr>
        <w:t xml:space="preserve"> </w:t>
      </w:r>
      <w:r w:rsidR="00833621">
        <w:rPr>
          <w:rFonts w:ascii="Source Sans Pro" w:hAnsi="Source Sans Pro"/>
        </w:rPr>
        <w:t xml:space="preserve">Henken argues that literature about female saints was bound by a lack of well-established pattern of tradition for female folk heroes, and by social and religious conventions binding women </w:t>
      </w:r>
      <w:r w:rsidR="00707DB1">
        <w:rPr>
          <w:rFonts w:ascii="Source Sans Pro" w:hAnsi="Source Sans Pro"/>
        </w:rPr>
        <w:t>into stricter codes of behaviour.</w:t>
      </w:r>
      <w:r w:rsidR="00AB5B62">
        <w:rPr>
          <w:rStyle w:val="FootnoteReference"/>
          <w:rFonts w:ascii="Source Sans Pro" w:hAnsi="Source Sans Pro"/>
        </w:rPr>
        <w:footnoteReference w:id="17"/>
      </w:r>
      <w:r w:rsidR="00AB5B62">
        <w:rPr>
          <w:rFonts w:ascii="Source Sans Pro" w:hAnsi="Source Sans Pro"/>
        </w:rPr>
        <w:t xml:space="preserve"> For example, </w:t>
      </w:r>
      <w:r w:rsidR="0010673E">
        <w:rPr>
          <w:rFonts w:ascii="Source Sans Pro" w:hAnsi="Source Sans Pro"/>
        </w:rPr>
        <w:t>al</w:t>
      </w:r>
      <w:r w:rsidR="00AB5B62">
        <w:rPr>
          <w:rFonts w:ascii="Source Sans Pro" w:hAnsi="Source Sans Pro"/>
        </w:rPr>
        <w:t>though she might gain the rights to sanctuary, she could not acquire the powers of rulership, which was an integral motif in descriptions of male saints.</w:t>
      </w:r>
      <w:r w:rsidR="0010673E">
        <w:rPr>
          <w:rStyle w:val="FootnoteReference"/>
          <w:rFonts w:ascii="Source Sans Pro" w:hAnsi="Source Sans Pro"/>
        </w:rPr>
        <w:footnoteReference w:id="18"/>
      </w:r>
      <w:r w:rsidR="006A3740">
        <w:rPr>
          <w:rFonts w:ascii="Source Sans Pro" w:hAnsi="Source Sans Pro"/>
        </w:rPr>
        <w:t xml:space="preserve"> Female Welsh saints in the surviving literature do not do missionary work, but instead settle in one area</w:t>
      </w:r>
      <w:r w:rsidR="00DC2A9F">
        <w:rPr>
          <w:rFonts w:ascii="Source Sans Pro" w:hAnsi="Source Sans Pro"/>
        </w:rPr>
        <w:t>,</w:t>
      </w:r>
      <w:r w:rsidR="001A428C">
        <w:rPr>
          <w:rStyle w:val="FootnoteReference"/>
          <w:rFonts w:ascii="Source Sans Pro" w:hAnsi="Source Sans Pro"/>
        </w:rPr>
        <w:footnoteReference w:id="19"/>
      </w:r>
      <w:r w:rsidR="00DC2A9F">
        <w:rPr>
          <w:rFonts w:ascii="Source Sans Pro" w:hAnsi="Source Sans Pro"/>
        </w:rPr>
        <w:t xml:space="preserve"> and their miracles tend to reflect women’s roles with a domestic focus</w:t>
      </w:r>
      <w:r w:rsidR="00C86232">
        <w:rPr>
          <w:rFonts w:ascii="Source Sans Pro" w:hAnsi="Source Sans Pro"/>
        </w:rPr>
        <w:t>, for example weaving magical cloaks</w:t>
      </w:r>
      <w:r w:rsidR="00655137">
        <w:rPr>
          <w:rFonts w:ascii="Source Sans Pro" w:hAnsi="Source Sans Pro"/>
        </w:rPr>
        <w:t xml:space="preserve"> like</w:t>
      </w:r>
      <w:r w:rsidR="008B04EF">
        <w:rPr>
          <w:rFonts w:ascii="Source Sans Pro" w:hAnsi="Source Sans Pro"/>
        </w:rPr>
        <w:t xml:space="preserve"> Gwenfrewy</w:t>
      </w:r>
      <w:r w:rsidR="00C86232">
        <w:rPr>
          <w:rFonts w:ascii="Source Sans Pro" w:hAnsi="Source Sans Pro"/>
        </w:rPr>
        <w:t>, provide food to the masses</w:t>
      </w:r>
      <w:r w:rsidR="008B04EF">
        <w:rPr>
          <w:rFonts w:ascii="Source Sans Pro" w:hAnsi="Source Sans Pro"/>
        </w:rPr>
        <w:t xml:space="preserve"> like San Ffraid</w:t>
      </w:r>
      <w:r w:rsidR="00C86232">
        <w:rPr>
          <w:rFonts w:ascii="Source Sans Pro" w:hAnsi="Source Sans Pro"/>
        </w:rPr>
        <w:t>,</w:t>
      </w:r>
      <w:r w:rsidR="00655137">
        <w:rPr>
          <w:rFonts w:ascii="Source Sans Pro" w:hAnsi="Source Sans Pro"/>
        </w:rPr>
        <w:t xml:space="preserve"> protect small animals like Melangell, help lovers and give birth to saintly children like Non.</w:t>
      </w:r>
      <w:r w:rsidR="001A428C">
        <w:rPr>
          <w:rStyle w:val="FootnoteReference"/>
          <w:rFonts w:ascii="Source Sans Pro" w:hAnsi="Source Sans Pro"/>
        </w:rPr>
        <w:footnoteReference w:id="20"/>
      </w:r>
      <w:r w:rsidR="00477D36">
        <w:rPr>
          <w:rFonts w:ascii="Source Sans Pro" w:hAnsi="Source Sans Pro"/>
        </w:rPr>
        <w:t xml:space="preserve"> These differences, crucially to </w:t>
      </w:r>
      <w:r w:rsidR="00D300DA">
        <w:rPr>
          <w:rFonts w:ascii="Source Sans Pro" w:hAnsi="Source Sans Pro"/>
        </w:rPr>
        <w:t xml:space="preserve">critiquing Willis-Bund’s argument, do not </w:t>
      </w:r>
      <w:r w:rsidR="00C84AD1">
        <w:rPr>
          <w:rFonts w:ascii="Source Sans Pro" w:hAnsi="Source Sans Pro"/>
        </w:rPr>
        <w:t xml:space="preserve">however </w:t>
      </w:r>
      <w:r w:rsidR="00435059">
        <w:rPr>
          <w:rFonts w:ascii="Source Sans Pro" w:hAnsi="Source Sans Pro"/>
        </w:rPr>
        <w:t xml:space="preserve">complicate </w:t>
      </w:r>
      <w:r w:rsidR="00B24BF5">
        <w:rPr>
          <w:rFonts w:ascii="Source Sans Pro" w:hAnsi="Source Sans Pro"/>
        </w:rPr>
        <w:t xml:space="preserve">or disprove </w:t>
      </w:r>
      <w:r w:rsidR="00C84AD1">
        <w:rPr>
          <w:rFonts w:ascii="Source Sans Pro" w:hAnsi="Source Sans Pro"/>
        </w:rPr>
        <w:t>the women’s sanctity.</w:t>
      </w:r>
      <w:r w:rsidR="00435059">
        <w:rPr>
          <w:rFonts w:ascii="Source Sans Pro" w:hAnsi="Source Sans Pro"/>
        </w:rPr>
        <w:t xml:space="preserve"> </w:t>
      </w:r>
    </w:p>
    <w:p w14:paraId="0D701F9E" w14:textId="473C308A" w:rsidR="00D16D84" w:rsidRDefault="000948C4" w:rsidP="005C2F99">
      <w:pPr>
        <w:rPr>
          <w:rFonts w:ascii="Source Sans Pro" w:hAnsi="Source Sans Pro"/>
        </w:rPr>
      </w:pPr>
      <w:r>
        <w:rPr>
          <w:rFonts w:ascii="Source Sans Pro" w:hAnsi="Source Sans Pro"/>
        </w:rPr>
        <w:t>There was an influential school of thought in the medieval period that the ability to perform miracles alone demonstrated sanctity, and miracles were part of the Christian concept of sanctity since the earliest descriptions of sainthood</w:t>
      </w:r>
      <w:r w:rsidR="004C01EE">
        <w:rPr>
          <w:rFonts w:ascii="Source Sans Pro" w:hAnsi="Source Sans Pro"/>
        </w:rPr>
        <w:t>.</w:t>
      </w:r>
      <w:r w:rsidR="004C01EE">
        <w:rPr>
          <w:rStyle w:val="FootnoteReference"/>
          <w:rFonts w:ascii="Source Sans Pro" w:hAnsi="Source Sans Pro"/>
        </w:rPr>
        <w:footnoteReference w:id="21"/>
      </w:r>
      <w:r w:rsidR="005C2F99">
        <w:rPr>
          <w:rFonts w:ascii="Source Sans Pro" w:hAnsi="Source Sans Pro"/>
        </w:rPr>
        <w:t xml:space="preserve"> </w:t>
      </w:r>
      <w:r w:rsidR="00265760">
        <w:rPr>
          <w:rFonts w:ascii="Source Sans Pro" w:hAnsi="Source Sans Pro"/>
        </w:rPr>
        <w:t xml:space="preserve">Following this, there are several examples of Welsh </w:t>
      </w:r>
      <w:r w:rsidR="00265760">
        <w:rPr>
          <w:rFonts w:ascii="Source Sans Pro" w:hAnsi="Source Sans Pro"/>
        </w:rPr>
        <w:lastRenderedPageBreak/>
        <w:t>female saints who are able to perform a plethora of miracles</w:t>
      </w:r>
      <w:r w:rsidR="00265760">
        <w:rPr>
          <w:rFonts w:ascii="Source Sans Pro" w:hAnsi="Source Sans Pro"/>
        </w:rPr>
        <w:t xml:space="preserve">, including healing miracles. </w:t>
      </w:r>
      <w:r w:rsidR="00A47844">
        <w:rPr>
          <w:rFonts w:ascii="Source Sans Pro" w:hAnsi="Source Sans Pro"/>
        </w:rPr>
        <w:t xml:space="preserve">Healing was a primary </w:t>
      </w:r>
      <w:r w:rsidR="00D16D84">
        <w:rPr>
          <w:rFonts w:ascii="Source Sans Pro" w:hAnsi="Source Sans Pro"/>
        </w:rPr>
        <w:t>area of expertise for Welsh</w:t>
      </w:r>
      <w:r w:rsidR="00A47844">
        <w:rPr>
          <w:rFonts w:ascii="Source Sans Pro" w:hAnsi="Source Sans Pro"/>
        </w:rPr>
        <w:t xml:space="preserve"> saints and an important expression of their supernatural powers, </w:t>
      </w:r>
      <w:r w:rsidR="00574377">
        <w:rPr>
          <w:rFonts w:ascii="Source Sans Pro" w:hAnsi="Source Sans Pro"/>
        </w:rPr>
        <w:t>with saints recorded as curing blindness, deafness, lameness, dropsy, palsy, stones, worms and even resurrecting the dead.</w:t>
      </w:r>
      <w:r w:rsidR="00574377">
        <w:rPr>
          <w:rStyle w:val="FootnoteReference"/>
          <w:rFonts w:ascii="Source Sans Pro" w:hAnsi="Source Sans Pro"/>
        </w:rPr>
        <w:footnoteReference w:id="22"/>
      </w:r>
      <w:r w:rsidR="00596013">
        <w:rPr>
          <w:rFonts w:ascii="Source Sans Pro" w:hAnsi="Source Sans Pro"/>
        </w:rPr>
        <w:t xml:space="preserve"> To heal others, s</w:t>
      </w:r>
      <w:r w:rsidR="0004556B">
        <w:rPr>
          <w:rFonts w:ascii="Source Sans Pro" w:hAnsi="Source Sans Pro"/>
        </w:rPr>
        <w:t>aints often worked using intermediary agents, with wells and fountains being the best known and most commonly used</w:t>
      </w:r>
      <w:r w:rsidR="00584076">
        <w:rPr>
          <w:rFonts w:ascii="Source Sans Pro" w:hAnsi="Source Sans Pro"/>
        </w:rPr>
        <w:t>,</w:t>
      </w:r>
      <w:r w:rsidR="00596013">
        <w:rPr>
          <w:rFonts w:ascii="Source Sans Pro" w:hAnsi="Source Sans Pro"/>
        </w:rPr>
        <w:t xml:space="preserve"> particularly after their death,</w:t>
      </w:r>
      <w:r w:rsidR="00584076">
        <w:rPr>
          <w:rStyle w:val="FootnoteReference"/>
          <w:rFonts w:ascii="Source Sans Pro" w:hAnsi="Source Sans Pro"/>
        </w:rPr>
        <w:footnoteReference w:id="23"/>
      </w:r>
      <w:r w:rsidR="00584076">
        <w:rPr>
          <w:rFonts w:ascii="Source Sans Pro" w:hAnsi="Source Sans Pro"/>
        </w:rPr>
        <w:t xml:space="preserve"> and saints’ possessions and burial places were also effective for healing.</w:t>
      </w:r>
      <w:r w:rsidR="00596013">
        <w:rPr>
          <w:rStyle w:val="FootnoteReference"/>
          <w:rFonts w:ascii="Source Sans Pro" w:hAnsi="Source Sans Pro"/>
        </w:rPr>
        <w:footnoteReference w:id="24"/>
      </w:r>
      <w:r w:rsidR="0069586F">
        <w:rPr>
          <w:rFonts w:ascii="Source Sans Pro" w:hAnsi="Source Sans Pro"/>
        </w:rPr>
        <w:t xml:space="preserve"> </w:t>
      </w:r>
    </w:p>
    <w:p w14:paraId="458B1F3E" w14:textId="0846B59C" w:rsidR="002F750C" w:rsidRDefault="00D16D84" w:rsidP="00D16D84">
      <w:pPr>
        <w:rPr>
          <w:rFonts w:ascii="Source Sans Pro" w:hAnsi="Source Sans Pro"/>
        </w:rPr>
      </w:pPr>
      <w:r>
        <w:rPr>
          <w:rFonts w:ascii="Source Sans Pro" w:hAnsi="Source Sans Pro"/>
        </w:rPr>
        <w:t>Female saints were also involved with healing similarly to male saints, also using intermediary agents. For example t</w:t>
      </w:r>
      <w:r w:rsidR="00AF4A1C">
        <w:rPr>
          <w:rFonts w:ascii="Source Sans Pro" w:hAnsi="Source Sans Pro"/>
        </w:rPr>
        <w:t>h</w:t>
      </w:r>
      <w:r w:rsidR="00FD12D6">
        <w:rPr>
          <w:rFonts w:ascii="Source Sans Pro" w:hAnsi="Source Sans Pro"/>
        </w:rPr>
        <w:t xml:space="preserve">e </w:t>
      </w:r>
      <w:r w:rsidR="00AF4A1C">
        <w:rPr>
          <w:rFonts w:ascii="Source Sans Pro" w:hAnsi="Source Sans Pro"/>
        </w:rPr>
        <w:t>well that became best known even outside of Wales was ‘</w:t>
      </w:r>
      <w:proofErr w:type="spellStart"/>
      <w:r w:rsidR="00AF4A1C">
        <w:rPr>
          <w:rFonts w:ascii="Source Sans Pro" w:hAnsi="Source Sans Pro"/>
        </w:rPr>
        <w:t>Ffynnon</w:t>
      </w:r>
      <w:proofErr w:type="spellEnd"/>
      <w:r w:rsidR="00AF4A1C">
        <w:rPr>
          <w:rFonts w:ascii="Source Sans Pro" w:hAnsi="Source Sans Pro"/>
        </w:rPr>
        <w:t xml:space="preserve"> </w:t>
      </w:r>
      <w:proofErr w:type="spellStart"/>
      <w:r w:rsidR="00AF4A1C">
        <w:rPr>
          <w:rFonts w:ascii="Source Sans Pro" w:hAnsi="Source Sans Pro"/>
        </w:rPr>
        <w:t>Wenfrewi</w:t>
      </w:r>
      <w:proofErr w:type="spellEnd"/>
      <w:r w:rsidR="00AF4A1C">
        <w:rPr>
          <w:rFonts w:ascii="Source Sans Pro" w:hAnsi="Source Sans Pro"/>
        </w:rPr>
        <w:t xml:space="preserve">’ </w:t>
      </w:r>
      <w:r w:rsidR="007F6FA1">
        <w:rPr>
          <w:rFonts w:ascii="Source Sans Pro" w:hAnsi="Source Sans Pro"/>
        </w:rPr>
        <w:t xml:space="preserve">(Gwenfrewy’s well) </w:t>
      </w:r>
      <w:r w:rsidR="00AF4A1C">
        <w:rPr>
          <w:rFonts w:ascii="Source Sans Pro" w:hAnsi="Source Sans Pro"/>
        </w:rPr>
        <w:t>at Holywell</w:t>
      </w:r>
      <w:r w:rsidR="003521CD">
        <w:rPr>
          <w:rFonts w:ascii="Source Sans Pro" w:hAnsi="Source Sans Pro"/>
        </w:rPr>
        <w:t xml:space="preserve">, a well inextricably linked with Saint </w:t>
      </w:r>
      <w:r w:rsidR="007F6FA1">
        <w:rPr>
          <w:rFonts w:ascii="Source Sans Pro" w:hAnsi="Source Sans Pro"/>
        </w:rPr>
        <w:t xml:space="preserve">Gwenfrewy </w:t>
      </w:r>
      <w:r w:rsidR="003521CD">
        <w:rPr>
          <w:rFonts w:ascii="Source Sans Pro" w:hAnsi="Source Sans Pro"/>
        </w:rPr>
        <w:t>and h</w:t>
      </w:r>
      <w:r w:rsidR="00C0610A">
        <w:rPr>
          <w:rFonts w:ascii="Source Sans Pro" w:hAnsi="Source Sans Pro"/>
        </w:rPr>
        <w:t>er martyrdom.</w:t>
      </w:r>
      <w:r w:rsidR="00C0610A">
        <w:rPr>
          <w:rStyle w:val="FootnoteReference"/>
          <w:rFonts w:ascii="Source Sans Pro" w:hAnsi="Source Sans Pro"/>
        </w:rPr>
        <w:footnoteReference w:id="25"/>
      </w:r>
      <w:r w:rsidR="007F6FA1">
        <w:rPr>
          <w:rFonts w:ascii="Source Sans Pro" w:hAnsi="Source Sans Pro"/>
        </w:rPr>
        <w:t xml:space="preserve"> Gwenfrewy’s well </w:t>
      </w:r>
      <w:r w:rsidR="008451FA">
        <w:rPr>
          <w:rFonts w:ascii="Source Sans Pro" w:hAnsi="Source Sans Pro"/>
        </w:rPr>
        <w:t xml:space="preserve">was used by pilgrims to </w:t>
      </w:r>
      <w:r w:rsidR="00B65806">
        <w:rPr>
          <w:rFonts w:ascii="Source Sans Pro" w:hAnsi="Source Sans Pro"/>
        </w:rPr>
        <w:t xml:space="preserve">cure ailments by bathing in </w:t>
      </w:r>
      <w:r w:rsidR="00CA2268">
        <w:rPr>
          <w:rFonts w:ascii="Source Sans Pro" w:hAnsi="Source Sans Pro"/>
        </w:rPr>
        <w:t>her</w:t>
      </w:r>
      <w:r w:rsidR="00B65806">
        <w:rPr>
          <w:rFonts w:ascii="Source Sans Pro" w:hAnsi="Source Sans Pro"/>
        </w:rPr>
        <w:t xml:space="preserve"> spring</w:t>
      </w:r>
      <w:r w:rsidR="00CA2268">
        <w:rPr>
          <w:rFonts w:ascii="Source Sans Pro" w:hAnsi="Source Sans Pro"/>
        </w:rPr>
        <w:t xml:space="preserve">, and in the anonymous Life this practice is described in the healing of a rich man who gave all of his possessions to the church and poor, washed himself in the spring three times, and </w:t>
      </w:r>
      <w:r w:rsidR="00271C04">
        <w:rPr>
          <w:rFonts w:ascii="Source Sans Pro" w:hAnsi="Source Sans Pro"/>
        </w:rPr>
        <w:t>prayed for three nights in her church, his “feet and legs and arms, which previously hideously curved and contracted to the buttocks from birth now extended their bones to right position of the limbs.”</w:t>
      </w:r>
      <w:r w:rsidR="00271C04">
        <w:rPr>
          <w:rStyle w:val="FootnoteReference"/>
          <w:rFonts w:ascii="Source Sans Pro" w:hAnsi="Source Sans Pro"/>
        </w:rPr>
        <w:footnoteReference w:id="26"/>
      </w:r>
      <w:r w:rsidR="00FF47D7">
        <w:rPr>
          <w:rFonts w:ascii="Source Sans Pro" w:hAnsi="Source Sans Pro"/>
        </w:rPr>
        <w:t xml:space="preserve"> Gwenfrewy’s anonymous Life describes her </w:t>
      </w:r>
      <w:r w:rsidR="009606E9">
        <w:rPr>
          <w:rFonts w:ascii="Source Sans Pro" w:hAnsi="Source Sans Pro"/>
        </w:rPr>
        <w:t>aiding “all sick, diseased, ailing folk, gripped by any sort of infirmity,”</w:t>
      </w:r>
      <w:r w:rsidR="009606E9">
        <w:rPr>
          <w:rStyle w:val="FootnoteReference"/>
          <w:rFonts w:ascii="Source Sans Pro" w:hAnsi="Source Sans Pro"/>
        </w:rPr>
        <w:footnoteReference w:id="27"/>
      </w:r>
      <w:r w:rsidR="009606E9">
        <w:rPr>
          <w:rFonts w:ascii="Source Sans Pro" w:hAnsi="Source Sans Pro"/>
        </w:rPr>
        <w:t xml:space="preserve"> with a particular passion for curing epilepsy, “for none is more destructive than this.”</w:t>
      </w:r>
      <w:r w:rsidR="009606E9">
        <w:rPr>
          <w:rStyle w:val="FootnoteReference"/>
          <w:rFonts w:ascii="Source Sans Pro" w:hAnsi="Source Sans Pro"/>
        </w:rPr>
        <w:footnoteReference w:id="28"/>
      </w:r>
      <w:r w:rsidR="002F750C">
        <w:rPr>
          <w:rFonts w:ascii="Source Sans Pro" w:hAnsi="Source Sans Pro"/>
        </w:rPr>
        <w:t xml:space="preserve"> Saint Gwenfrewy therefore shows the ability of female saints to perform the crucial saintly role of healing the sick and injured. </w:t>
      </w:r>
    </w:p>
    <w:p w14:paraId="69296B66" w14:textId="3C8EE446" w:rsidR="00B35EFE" w:rsidRDefault="004A7B33" w:rsidP="00D16D84">
      <w:pPr>
        <w:rPr>
          <w:rFonts w:ascii="Source Sans Pro" w:hAnsi="Source Sans Pro"/>
        </w:rPr>
      </w:pPr>
      <w:r>
        <w:rPr>
          <w:rFonts w:ascii="Source Sans Pro" w:hAnsi="Source Sans Pro"/>
        </w:rPr>
        <w:t>In the Welsh traditions of sainthood, saints are quick to anger and ferocious in defending God’s honour and the sanctity of their lands, frequently blinding their enemies, or paralysing either one part of their arm or their whole body</w:t>
      </w:r>
      <w:r w:rsidR="007D62DE">
        <w:rPr>
          <w:rFonts w:ascii="Source Sans Pro" w:hAnsi="Source Sans Pro"/>
        </w:rPr>
        <w:t>,</w:t>
      </w:r>
      <w:r>
        <w:rPr>
          <w:rStyle w:val="FootnoteReference"/>
          <w:rFonts w:ascii="Source Sans Pro" w:hAnsi="Source Sans Pro"/>
        </w:rPr>
        <w:footnoteReference w:id="29"/>
      </w:r>
      <w:r>
        <w:rPr>
          <w:rFonts w:ascii="Source Sans Pro" w:hAnsi="Source Sans Pro"/>
        </w:rPr>
        <w:t xml:space="preserve"> </w:t>
      </w:r>
      <w:r w:rsidR="007D62DE">
        <w:rPr>
          <w:rFonts w:ascii="Source Sans Pro" w:hAnsi="Source Sans Pro"/>
        </w:rPr>
        <w:t>and a</w:t>
      </w:r>
      <w:r w:rsidR="007D62DE">
        <w:rPr>
          <w:rFonts w:ascii="Source Sans Pro" w:hAnsi="Source Sans Pro"/>
        </w:rPr>
        <w:t xml:space="preserve">s well as matching the abilities of male saints in healings, Saint Gwenfrewy </w:t>
      </w:r>
      <w:r w:rsidR="007D62DE">
        <w:rPr>
          <w:rFonts w:ascii="Source Sans Pro" w:hAnsi="Source Sans Pro"/>
        </w:rPr>
        <w:t xml:space="preserve">was </w:t>
      </w:r>
      <w:r w:rsidR="007D62DE">
        <w:rPr>
          <w:rFonts w:ascii="Source Sans Pro" w:hAnsi="Source Sans Pro"/>
        </w:rPr>
        <w:t xml:space="preserve">equally powerful in her curses. </w:t>
      </w:r>
      <w:r w:rsidR="000F2E3F">
        <w:rPr>
          <w:rFonts w:ascii="Source Sans Pro" w:hAnsi="Source Sans Pro"/>
        </w:rPr>
        <w:t>Variations of punishing curses exist in the Lives of male and female saints; i</w:t>
      </w:r>
      <w:r w:rsidR="00C12117">
        <w:rPr>
          <w:rFonts w:ascii="Source Sans Pro" w:hAnsi="Source Sans Pro"/>
        </w:rPr>
        <w:t>n the Welsh Life of Gwenfrewy, the earth swallow</w:t>
      </w:r>
      <w:r w:rsidR="000F2E3F">
        <w:rPr>
          <w:rFonts w:ascii="Source Sans Pro" w:hAnsi="Source Sans Pro"/>
        </w:rPr>
        <w:t xml:space="preserve">s </w:t>
      </w:r>
      <w:r w:rsidR="00C12117">
        <w:rPr>
          <w:rFonts w:ascii="Source Sans Pro" w:hAnsi="Source Sans Pro"/>
        </w:rPr>
        <w:t>Caradog as a punishment for beheading Gwenfrewy, and in her Latin lives, he melt</w:t>
      </w:r>
      <w:r w:rsidR="000F2E3F">
        <w:rPr>
          <w:rFonts w:ascii="Source Sans Pro" w:hAnsi="Source Sans Pro"/>
        </w:rPr>
        <w:t>s</w:t>
      </w:r>
      <w:r w:rsidR="00C12117">
        <w:rPr>
          <w:rFonts w:ascii="Source Sans Pro" w:hAnsi="Source Sans Pro"/>
        </w:rPr>
        <w:t xml:space="preserve"> away like wax in front of a fire.</w:t>
      </w:r>
      <w:r w:rsidR="00C12117">
        <w:rPr>
          <w:rStyle w:val="FootnoteReference"/>
          <w:rFonts w:ascii="Source Sans Pro" w:hAnsi="Source Sans Pro"/>
        </w:rPr>
        <w:footnoteReference w:id="30"/>
      </w:r>
      <w:r w:rsidR="0014677B">
        <w:rPr>
          <w:rFonts w:ascii="Source Sans Pro" w:hAnsi="Source Sans Pro"/>
        </w:rPr>
        <w:t xml:space="preserve"> Along with bringing about the deaths of their enemies, saintly power over death was often shown through foreknowledge of their own deaths, with Gildas, David, </w:t>
      </w:r>
      <w:proofErr w:type="spellStart"/>
      <w:r w:rsidR="0014677B">
        <w:rPr>
          <w:rFonts w:ascii="Source Sans Pro" w:hAnsi="Source Sans Pro"/>
        </w:rPr>
        <w:t>Lleuddad</w:t>
      </w:r>
      <w:proofErr w:type="spellEnd"/>
      <w:r w:rsidR="0014677B">
        <w:rPr>
          <w:rFonts w:ascii="Source Sans Pro" w:hAnsi="Source Sans Pro"/>
        </w:rPr>
        <w:t xml:space="preserve"> and Gwenfrewy all advised in advance of their incoming deaths and dying in their beds according to this prophecy.</w:t>
      </w:r>
      <w:r w:rsidR="0014677B">
        <w:rPr>
          <w:rStyle w:val="FootnoteReference"/>
          <w:rFonts w:ascii="Source Sans Pro" w:hAnsi="Source Sans Pro"/>
        </w:rPr>
        <w:footnoteReference w:id="31"/>
      </w:r>
      <w:r w:rsidR="0014677B">
        <w:rPr>
          <w:rFonts w:ascii="Source Sans Pro" w:hAnsi="Source Sans Pro"/>
        </w:rPr>
        <w:t xml:space="preserve"> </w:t>
      </w:r>
      <w:r w:rsidR="00B35EFE">
        <w:rPr>
          <w:rFonts w:ascii="Source Sans Pro" w:hAnsi="Source Sans Pro"/>
        </w:rPr>
        <w:t xml:space="preserve">However, </w:t>
      </w:r>
      <w:r w:rsidR="00132FB5">
        <w:rPr>
          <w:rFonts w:ascii="Source Sans Pro" w:hAnsi="Source Sans Pro"/>
        </w:rPr>
        <w:t>t</w:t>
      </w:r>
      <w:r w:rsidR="00B35EFE">
        <w:rPr>
          <w:rFonts w:ascii="Source Sans Pro" w:hAnsi="Source Sans Pro"/>
        </w:rPr>
        <w:t xml:space="preserve">he </w:t>
      </w:r>
      <w:r w:rsidR="00132FB5">
        <w:rPr>
          <w:rFonts w:ascii="Source Sans Pro" w:hAnsi="Source Sans Pro"/>
        </w:rPr>
        <w:t xml:space="preserve">strongest possibly statement of </w:t>
      </w:r>
      <w:r w:rsidR="0014677B">
        <w:rPr>
          <w:rFonts w:ascii="Source Sans Pro" w:hAnsi="Source Sans Pro"/>
        </w:rPr>
        <w:t>supernatural powers</w:t>
      </w:r>
      <w:r w:rsidR="00132FB5">
        <w:rPr>
          <w:rFonts w:ascii="Source Sans Pro" w:hAnsi="Source Sans Pro"/>
        </w:rPr>
        <w:t xml:space="preserve"> was the</w:t>
      </w:r>
      <w:r w:rsidR="00B35EFE">
        <w:rPr>
          <w:rFonts w:ascii="Source Sans Pro" w:hAnsi="Source Sans Pro"/>
        </w:rPr>
        <w:t xml:space="preserve"> resurrection of the dead,</w:t>
      </w:r>
      <w:r w:rsidR="00132FB5">
        <w:rPr>
          <w:rStyle w:val="FootnoteReference"/>
          <w:rFonts w:ascii="Source Sans Pro" w:hAnsi="Source Sans Pro"/>
        </w:rPr>
        <w:footnoteReference w:id="32"/>
      </w:r>
      <w:r w:rsidR="00B35EFE">
        <w:rPr>
          <w:rFonts w:ascii="Source Sans Pro" w:hAnsi="Source Sans Pro"/>
        </w:rPr>
        <w:t xml:space="preserve"> and Gwenfrewy herself is raised from the dead after her decapitation by Saint Beuno, </w:t>
      </w:r>
      <w:r w:rsidR="00132FB5">
        <w:rPr>
          <w:rFonts w:ascii="Source Sans Pro" w:hAnsi="Source Sans Pro"/>
        </w:rPr>
        <w:t>where she is left with only a thin line around her neck as proof of her experience and thereafter commits her entire life to God.</w:t>
      </w:r>
      <w:r w:rsidR="004360E0">
        <w:rPr>
          <w:rStyle w:val="FootnoteReference"/>
          <w:rFonts w:ascii="Source Sans Pro" w:hAnsi="Source Sans Pro"/>
        </w:rPr>
        <w:footnoteReference w:id="33"/>
      </w:r>
      <w:r w:rsidR="0014677B">
        <w:rPr>
          <w:rFonts w:ascii="Source Sans Pro" w:hAnsi="Source Sans Pro"/>
        </w:rPr>
        <w:t xml:space="preserve"> Gwenfrewy follows in the footsteps of her mentor </w:t>
      </w:r>
      <w:r w:rsidR="007D62DE">
        <w:rPr>
          <w:rFonts w:ascii="Source Sans Pro" w:hAnsi="Source Sans Pro"/>
        </w:rPr>
        <w:t xml:space="preserve">and shows her power over life and death </w:t>
      </w:r>
      <w:r w:rsidR="004D7ADA">
        <w:rPr>
          <w:rFonts w:ascii="Source Sans Pro" w:hAnsi="Source Sans Pro"/>
        </w:rPr>
        <w:t>by resurrecting a dead girls placed in her church over night for burial the next day, when she was found in the morning she was “lacking every sign of death</w:t>
      </w:r>
      <w:r w:rsidR="00CF129A">
        <w:rPr>
          <w:rFonts w:ascii="Source Sans Pro" w:hAnsi="Source Sans Pro"/>
        </w:rPr>
        <w:t xml:space="preserve">”, with </w:t>
      </w:r>
      <w:r w:rsidR="00CF129A">
        <w:rPr>
          <w:rFonts w:ascii="Source Sans Pro" w:hAnsi="Source Sans Pro"/>
        </w:rPr>
        <w:lastRenderedPageBreak/>
        <w:t>her power attributed to her own experience of resurrection: “What wonder that she recalls the dead to life by her prayer, who herself dead have lived anew?”</w:t>
      </w:r>
      <w:r w:rsidR="00CF129A">
        <w:rPr>
          <w:rStyle w:val="FootnoteReference"/>
          <w:rFonts w:ascii="Source Sans Pro" w:hAnsi="Source Sans Pro"/>
        </w:rPr>
        <w:footnoteReference w:id="34"/>
      </w:r>
      <w:r w:rsidR="00CF129A">
        <w:rPr>
          <w:rFonts w:ascii="Source Sans Pro" w:hAnsi="Source Sans Pro"/>
        </w:rPr>
        <w:t xml:space="preserve"> </w:t>
      </w:r>
      <w:r w:rsidR="004360E0">
        <w:rPr>
          <w:rFonts w:ascii="Source Sans Pro" w:hAnsi="Source Sans Pro"/>
        </w:rPr>
        <w:t xml:space="preserve">In their working of miracles, saints like Gwenfrewy demonstrate how female religious figures could fill the office of sainthood in Wales with their supernatural abilities as intercessors between the divine and the human, with the power to both heal and curse. </w:t>
      </w:r>
    </w:p>
    <w:p w14:paraId="035FD7E5" w14:textId="12E47738" w:rsidR="00682A00" w:rsidRPr="004360E0" w:rsidRDefault="004360E0" w:rsidP="004360E0">
      <w:pPr>
        <w:rPr>
          <w:rFonts w:ascii="Source Sans Pro" w:hAnsi="Source Sans Pro"/>
          <w:u w:val="single"/>
        </w:rPr>
      </w:pPr>
      <w:r>
        <w:rPr>
          <w:rFonts w:ascii="Source Sans Pro" w:hAnsi="Source Sans Pro"/>
        </w:rPr>
        <w:t xml:space="preserve">Despite female saints also expressing their power over death, they are more often victims of violence and martyred than being resurrected like Gwenfrewy. </w:t>
      </w:r>
      <w:r w:rsidR="00320CDF">
        <w:rPr>
          <w:rFonts w:ascii="Source Sans Pro" w:hAnsi="Source Sans Pro"/>
        </w:rPr>
        <w:t>While Willis-Bund argued th</w:t>
      </w:r>
      <w:r w:rsidR="00D537CF">
        <w:rPr>
          <w:rFonts w:ascii="Source Sans Pro" w:hAnsi="Source Sans Pro"/>
        </w:rPr>
        <w:t>a</w:t>
      </w:r>
      <w:r w:rsidR="00320CDF">
        <w:rPr>
          <w:rFonts w:ascii="Source Sans Pro" w:hAnsi="Source Sans Pro"/>
        </w:rPr>
        <w:t>t Welsh saints were rarely martyred,</w:t>
      </w:r>
      <w:r w:rsidR="00320CDF">
        <w:rPr>
          <w:rStyle w:val="FootnoteReference"/>
          <w:rFonts w:ascii="Source Sans Pro" w:hAnsi="Source Sans Pro"/>
        </w:rPr>
        <w:footnoteReference w:id="35"/>
      </w:r>
      <w:r w:rsidR="00D537CF">
        <w:rPr>
          <w:rFonts w:ascii="Source Sans Pro" w:hAnsi="Source Sans Pro"/>
        </w:rPr>
        <w:t xml:space="preserve"> this </w:t>
      </w:r>
      <w:r w:rsidR="002C74CB">
        <w:rPr>
          <w:rFonts w:ascii="Source Sans Pro" w:hAnsi="Source Sans Pro"/>
        </w:rPr>
        <w:t xml:space="preserve">is an observation based solely on literature about the male saints, as a number of Welsh female saints are described as having been martyred, including </w:t>
      </w:r>
      <w:proofErr w:type="spellStart"/>
      <w:r w:rsidR="002C74CB">
        <w:rPr>
          <w:rFonts w:ascii="Source Sans Pro" w:hAnsi="Source Sans Pro"/>
        </w:rPr>
        <w:t>Dunod</w:t>
      </w:r>
      <w:proofErr w:type="spellEnd"/>
      <w:r w:rsidR="002C74CB">
        <w:rPr>
          <w:rFonts w:ascii="Source Sans Pro" w:hAnsi="Source Sans Pro"/>
        </w:rPr>
        <w:t xml:space="preserve">, Tudful, Tybie, </w:t>
      </w:r>
      <w:proofErr w:type="spellStart"/>
      <w:r w:rsidR="002C74CB">
        <w:rPr>
          <w:rFonts w:ascii="Source Sans Pro" w:hAnsi="Source Sans Pro"/>
        </w:rPr>
        <w:t>Enfail</w:t>
      </w:r>
      <w:proofErr w:type="spellEnd"/>
      <w:r w:rsidR="002C74CB">
        <w:rPr>
          <w:rFonts w:ascii="Source Sans Pro" w:hAnsi="Source Sans Pro"/>
        </w:rPr>
        <w:t xml:space="preserve"> and </w:t>
      </w:r>
      <w:proofErr w:type="spellStart"/>
      <w:r w:rsidR="002C74CB">
        <w:rPr>
          <w:rFonts w:ascii="Source Sans Pro" w:hAnsi="Source Sans Pro"/>
        </w:rPr>
        <w:t>Maches</w:t>
      </w:r>
      <w:proofErr w:type="spellEnd"/>
      <w:r w:rsidR="002C74CB">
        <w:rPr>
          <w:rFonts w:ascii="Source Sans Pro" w:hAnsi="Source Sans Pro"/>
        </w:rPr>
        <w:t>.</w:t>
      </w:r>
      <w:r w:rsidR="002C74CB">
        <w:rPr>
          <w:rStyle w:val="FootnoteReference"/>
          <w:rFonts w:ascii="Source Sans Pro" w:hAnsi="Source Sans Pro"/>
        </w:rPr>
        <w:footnoteReference w:id="36"/>
      </w:r>
      <w:r w:rsidR="00C63BE2">
        <w:rPr>
          <w:rFonts w:ascii="Source Sans Pro" w:hAnsi="Source Sans Pro"/>
        </w:rPr>
        <w:t xml:space="preserve"> </w:t>
      </w:r>
      <w:r w:rsidR="00E36DAA">
        <w:rPr>
          <w:rFonts w:ascii="Source Sans Pro" w:hAnsi="Source Sans Pro"/>
        </w:rPr>
        <w:t xml:space="preserve">Recorded in the Life of Saint David, </w:t>
      </w:r>
      <w:proofErr w:type="spellStart"/>
      <w:r w:rsidR="00E36DAA">
        <w:rPr>
          <w:rFonts w:ascii="Source Sans Pro" w:hAnsi="Source Sans Pro"/>
        </w:rPr>
        <w:t>Dunod</w:t>
      </w:r>
      <w:proofErr w:type="spellEnd"/>
      <w:r w:rsidR="00E36DAA">
        <w:rPr>
          <w:rFonts w:ascii="Source Sans Pro" w:hAnsi="Source Sans Pro"/>
        </w:rPr>
        <w:t xml:space="preserve"> was beheaded by her stepmother </w:t>
      </w:r>
      <w:proofErr w:type="spellStart"/>
      <w:r w:rsidR="00E36DAA">
        <w:rPr>
          <w:rFonts w:ascii="Source Sans Pro" w:hAnsi="Source Sans Pro"/>
        </w:rPr>
        <w:t>Satrapa</w:t>
      </w:r>
      <w:proofErr w:type="spellEnd"/>
      <w:r w:rsidR="00E36DAA">
        <w:rPr>
          <w:rFonts w:ascii="Source Sans Pro" w:hAnsi="Source Sans Pro"/>
        </w:rPr>
        <w:t>, and a holy well sprung from where her blood split that granted healing to many people.</w:t>
      </w:r>
      <w:r w:rsidR="00E36DAA">
        <w:rPr>
          <w:rStyle w:val="FootnoteReference"/>
          <w:rFonts w:ascii="Source Sans Pro" w:hAnsi="Source Sans Pro"/>
        </w:rPr>
        <w:footnoteReference w:id="37"/>
      </w:r>
      <w:r w:rsidR="00E36DAA">
        <w:rPr>
          <w:rFonts w:ascii="Source Sans Pro" w:hAnsi="Source Sans Pro"/>
        </w:rPr>
        <w:t xml:space="preserve"> </w:t>
      </w:r>
      <w:r w:rsidR="00EA60BD">
        <w:rPr>
          <w:rFonts w:ascii="Source Sans Pro" w:hAnsi="Source Sans Pro"/>
        </w:rPr>
        <w:t xml:space="preserve"> </w:t>
      </w:r>
      <w:r w:rsidR="00665FDB">
        <w:rPr>
          <w:rFonts w:ascii="Source Sans Pro" w:hAnsi="Source Sans Pro"/>
        </w:rPr>
        <w:t>According to Iolo Morganwg, four of Brychan Brycheiniog’s daughters were killed by pagan Saxons</w:t>
      </w:r>
      <w:r w:rsidR="001B203A">
        <w:rPr>
          <w:rFonts w:ascii="Source Sans Pro" w:hAnsi="Source Sans Pro"/>
        </w:rPr>
        <w:t xml:space="preserve"> (those being Tybie, Tudful, Gwen and </w:t>
      </w:r>
      <w:proofErr w:type="spellStart"/>
      <w:r w:rsidR="001B203A">
        <w:rPr>
          <w:rFonts w:ascii="Source Sans Pro" w:hAnsi="Source Sans Pro"/>
        </w:rPr>
        <w:t>Enfail</w:t>
      </w:r>
      <w:proofErr w:type="spellEnd"/>
      <w:r w:rsidR="001B203A">
        <w:rPr>
          <w:rFonts w:ascii="Source Sans Pro" w:hAnsi="Source Sans Pro"/>
        </w:rPr>
        <w:t xml:space="preserve">), with some detail given to describe Tudful’s death at the hands of </w:t>
      </w:r>
      <w:r w:rsidR="00682A00">
        <w:rPr>
          <w:rFonts w:ascii="Source Sans Pro" w:hAnsi="Source Sans Pro"/>
        </w:rPr>
        <w:t>pagans on her visit to her aging father.</w:t>
      </w:r>
      <w:r w:rsidR="00682A00">
        <w:rPr>
          <w:rStyle w:val="FootnoteReference"/>
          <w:rFonts w:ascii="Source Sans Pro" w:hAnsi="Source Sans Pro"/>
        </w:rPr>
        <w:footnoteReference w:id="38"/>
      </w:r>
      <w:r w:rsidR="00682A00">
        <w:rPr>
          <w:rFonts w:ascii="Source Sans Pro" w:hAnsi="Source Sans Pro"/>
        </w:rPr>
        <w:t xml:space="preserve"> In this description, Morganwg draws a genealogical link between saints</w:t>
      </w:r>
      <w:r w:rsidR="00750BE1">
        <w:rPr>
          <w:rFonts w:ascii="Source Sans Pro" w:hAnsi="Source Sans Pro"/>
        </w:rPr>
        <w:t xml:space="preserve"> as was common tradition in Welsh hagiography to give credence and prestige to saints,</w:t>
      </w:r>
      <w:r w:rsidR="00682A00">
        <w:rPr>
          <w:rFonts w:ascii="Source Sans Pro" w:hAnsi="Source Sans Pro"/>
        </w:rPr>
        <w:t xml:space="preserve"> describing Tudful of Glamorgan as the mother of </w:t>
      </w:r>
      <w:proofErr w:type="spellStart"/>
      <w:r w:rsidR="00682A00">
        <w:rPr>
          <w:rFonts w:ascii="Source Sans Pro" w:hAnsi="Source Sans Pro"/>
        </w:rPr>
        <w:t>Brochfal</w:t>
      </w:r>
      <w:proofErr w:type="spellEnd"/>
      <w:r w:rsidR="00682A00">
        <w:rPr>
          <w:rFonts w:ascii="Source Sans Pro" w:hAnsi="Source Sans Pro"/>
        </w:rPr>
        <w:t>, the prince who encountered Melangell and gave her sanctuary lands.</w:t>
      </w:r>
      <w:r w:rsidR="00682A00">
        <w:rPr>
          <w:rStyle w:val="FootnoteReference"/>
          <w:rFonts w:ascii="Source Sans Pro" w:hAnsi="Source Sans Pro"/>
        </w:rPr>
        <w:footnoteReference w:id="39"/>
      </w:r>
      <w:r w:rsidR="00682A00">
        <w:rPr>
          <w:rFonts w:ascii="Source Sans Pro" w:hAnsi="Source Sans Pro"/>
        </w:rPr>
        <w:t xml:space="preserve"> For </w:t>
      </w:r>
      <w:proofErr w:type="spellStart"/>
      <w:r w:rsidR="00682A00">
        <w:rPr>
          <w:rFonts w:ascii="Source Sans Pro" w:hAnsi="Source Sans Pro"/>
        </w:rPr>
        <w:t>Maches</w:t>
      </w:r>
      <w:proofErr w:type="spellEnd"/>
      <w:r w:rsidR="00682A00">
        <w:rPr>
          <w:rFonts w:ascii="Source Sans Pro" w:hAnsi="Source Sans Pro"/>
        </w:rPr>
        <w:t xml:space="preserve">, along with Iolo Morganwg’s description of her being stabbed by a pagan disguised as a beggar, the twelfth century </w:t>
      </w:r>
      <w:r w:rsidR="001E54D7">
        <w:rPr>
          <w:rFonts w:ascii="Source Sans Pro" w:hAnsi="Source Sans Pro"/>
        </w:rPr>
        <w:t>Latin Life of Saint Tathan describes her beheading by thieves who want to steal from her flock of shee</w:t>
      </w:r>
      <w:r w:rsidR="00D6119B">
        <w:rPr>
          <w:rFonts w:ascii="Source Sans Pro" w:hAnsi="Source Sans Pro"/>
        </w:rPr>
        <w:t>p and how Tathan founded a church at the site of her murder.</w:t>
      </w:r>
      <w:r w:rsidR="00D6119B">
        <w:rPr>
          <w:rStyle w:val="FootnoteReference"/>
          <w:rFonts w:ascii="Source Sans Pro" w:hAnsi="Source Sans Pro"/>
        </w:rPr>
        <w:footnoteReference w:id="40"/>
      </w:r>
      <w:r w:rsidR="00D6119B">
        <w:rPr>
          <w:rFonts w:ascii="Source Sans Pro" w:hAnsi="Source Sans Pro"/>
        </w:rPr>
        <w:t xml:space="preserve"> </w:t>
      </w:r>
      <w:r w:rsidR="00682A00">
        <w:rPr>
          <w:rFonts w:ascii="Source Sans Pro" w:hAnsi="Source Sans Pro"/>
        </w:rPr>
        <w:t xml:space="preserve">These examples highlight the commonality of martyrdom among female Welsh saints, events which are often linked to </w:t>
      </w:r>
      <w:r w:rsidR="00A05829">
        <w:rPr>
          <w:rFonts w:ascii="Source Sans Pro" w:hAnsi="Source Sans Pro"/>
        </w:rPr>
        <w:t xml:space="preserve">maintenance of their virginity, as only in death could female saints truly be free from the risk of violation. </w:t>
      </w:r>
      <w:r w:rsidR="00E72BAF">
        <w:rPr>
          <w:rFonts w:ascii="Source Sans Pro" w:hAnsi="Source Sans Pro"/>
        </w:rPr>
        <w:t>While Welsh male saints tend</w:t>
      </w:r>
      <w:r w:rsidR="009275B6">
        <w:rPr>
          <w:rFonts w:ascii="Source Sans Pro" w:hAnsi="Source Sans Pro"/>
        </w:rPr>
        <w:t>ed</w:t>
      </w:r>
      <w:r w:rsidR="00E72BAF">
        <w:rPr>
          <w:rFonts w:ascii="Source Sans Pro" w:hAnsi="Source Sans Pro"/>
        </w:rPr>
        <w:t xml:space="preserve"> to follow the holy abbot hagiographical model rather than the male martyr</w:t>
      </w:r>
      <w:r w:rsidR="001E54D7">
        <w:rPr>
          <w:rFonts w:ascii="Source Sans Pro" w:hAnsi="Source Sans Pro"/>
        </w:rPr>
        <w:t xml:space="preserve"> </w:t>
      </w:r>
      <w:r w:rsidR="00E72BAF">
        <w:rPr>
          <w:rFonts w:ascii="Source Sans Pro" w:hAnsi="Source Sans Pro"/>
        </w:rPr>
        <w:t xml:space="preserve">pattern more popular in English Lives and </w:t>
      </w:r>
      <w:r w:rsidR="0034704E">
        <w:rPr>
          <w:rFonts w:ascii="Source Sans Pro" w:hAnsi="Source Sans Pro"/>
        </w:rPr>
        <w:t xml:space="preserve">other Lives from Europe, female saints from Wales </w:t>
      </w:r>
      <w:r w:rsidR="005754B1">
        <w:rPr>
          <w:rFonts w:ascii="Source Sans Pro" w:hAnsi="Source Sans Pro"/>
        </w:rPr>
        <w:t xml:space="preserve">most often </w:t>
      </w:r>
      <w:r w:rsidR="0057327C">
        <w:rPr>
          <w:rFonts w:ascii="Source Sans Pro" w:hAnsi="Source Sans Pro"/>
        </w:rPr>
        <w:t xml:space="preserve">fit within </w:t>
      </w:r>
      <w:r w:rsidR="0034704E">
        <w:rPr>
          <w:rFonts w:ascii="Source Sans Pro" w:hAnsi="Source Sans Pro"/>
        </w:rPr>
        <w:t>the virgin martyr</w:t>
      </w:r>
      <w:r w:rsidR="0057327C">
        <w:rPr>
          <w:rFonts w:ascii="Source Sans Pro" w:hAnsi="Source Sans Pro"/>
        </w:rPr>
        <w:t xml:space="preserve"> hagiographical type</w:t>
      </w:r>
      <w:r w:rsidR="005754B1">
        <w:rPr>
          <w:rFonts w:ascii="Source Sans Pro" w:hAnsi="Source Sans Pro"/>
        </w:rPr>
        <w:t xml:space="preserve">, and </w:t>
      </w:r>
      <w:r w:rsidR="0057327C">
        <w:rPr>
          <w:rFonts w:ascii="Source Sans Pro" w:hAnsi="Source Sans Pro"/>
        </w:rPr>
        <w:t>as martyrs, the</w:t>
      </w:r>
      <w:r w:rsidR="005754B1">
        <w:rPr>
          <w:rFonts w:ascii="Source Sans Pro" w:hAnsi="Source Sans Pro"/>
        </w:rPr>
        <w:t xml:space="preserve"> </w:t>
      </w:r>
      <w:r w:rsidR="0057327C">
        <w:rPr>
          <w:rFonts w:ascii="Source Sans Pro" w:hAnsi="Source Sans Pro"/>
        </w:rPr>
        <w:t xml:space="preserve">female Welsh saints adhere more to the general concept of Christian sainthood than male Welsh saints. </w:t>
      </w:r>
      <w:r w:rsidR="0087347C">
        <w:rPr>
          <w:rFonts w:ascii="Source Sans Pro" w:hAnsi="Source Sans Pro"/>
        </w:rPr>
        <w:t>The virgin martyr subcategory of female saints’ Lives</w:t>
      </w:r>
      <w:r w:rsidR="00341E48">
        <w:rPr>
          <w:rFonts w:ascii="Source Sans Pro" w:hAnsi="Source Sans Pro"/>
        </w:rPr>
        <w:t xml:space="preserve"> </w:t>
      </w:r>
      <w:r w:rsidR="000A0F4B">
        <w:rPr>
          <w:rFonts w:ascii="Source Sans Pro" w:hAnsi="Source Sans Pro"/>
        </w:rPr>
        <w:t>was perhaps the most popular type of all by the later medieval period</w:t>
      </w:r>
      <w:r w:rsidR="000533B7">
        <w:rPr>
          <w:rFonts w:ascii="Source Sans Pro" w:hAnsi="Source Sans Pro"/>
        </w:rPr>
        <w:t>,</w:t>
      </w:r>
      <w:r w:rsidR="000A0F4B">
        <w:rPr>
          <w:rStyle w:val="FootnoteReference"/>
          <w:rFonts w:ascii="Source Sans Pro" w:hAnsi="Source Sans Pro"/>
        </w:rPr>
        <w:footnoteReference w:id="41"/>
      </w:r>
      <w:r w:rsidR="000533B7">
        <w:rPr>
          <w:rFonts w:ascii="Source Sans Pro" w:hAnsi="Source Sans Pro"/>
        </w:rPr>
        <w:t xml:space="preserve"> and </w:t>
      </w:r>
      <w:r w:rsidR="00824F9B">
        <w:rPr>
          <w:rFonts w:ascii="Source Sans Pro" w:hAnsi="Source Sans Pro"/>
        </w:rPr>
        <w:t>followed for the formula of a beautiful woman deciding to reject marriage to preserve her virginity from devotion to God, leading to t</w:t>
      </w:r>
      <w:r w:rsidR="00567433">
        <w:rPr>
          <w:rFonts w:ascii="Source Sans Pro" w:hAnsi="Source Sans Pro"/>
        </w:rPr>
        <w:t xml:space="preserve">orture </w:t>
      </w:r>
      <w:r w:rsidR="00824F9B">
        <w:rPr>
          <w:rFonts w:ascii="Source Sans Pro" w:hAnsi="Source Sans Pro"/>
        </w:rPr>
        <w:t>violence from her persecutors</w:t>
      </w:r>
      <w:r w:rsidR="00567433">
        <w:rPr>
          <w:rFonts w:ascii="Source Sans Pro" w:hAnsi="Source Sans Pro"/>
        </w:rPr>
        <w:t>, during which signs of God’s favour are shown to the woman, before she is martyred for her faith but is rewarded in heaven.</w:t>
      </w:r>
      <w:r w:rsidR="00567433">
        <w:rPr>
          <w:rStyle w:val="FootnoteReference"/>
          <w:rFonts w:ascii="Source Sans Pro" w:hAnsi="Source Sans Pro"/>
        </w:rPr>
        <w:footnoteReference w:id="42"/>
      </w:r>
    </w:p>
    <w:p w14:paraId="4F42F0C3" w14:textId="1EA7A143" w:rsidR="009275B6" w:rsidRDefault="005B7B41" w:rsidP="009275B6">
      <w:pPr>
        <w:rPr>
          <w:rFonts w:ascii="Source Sans Pro" w:hAnsi="Source Sans Pro"/>
        </w:rPr>
      </w:pPr>
      <w:r>
        <w:rPr>
          <w:rFonts w:ascii="Source Sans Pro" w:hAnsi="Source Sans Pro"/>
        </w:rPr>
        <w:t>Male Welsh saints do face challenges to their celibac</w:t>
      </w:r>
      <w:r w:rsidR="00F703CA">
        <w:rPr>
          <w:rFonts w:ascii="Source Sans Pro" w:hAnsi="Source Sans Pro"/>
        </w:rPr>
        <w:t>y, for example</w:t>
      </w:r>
      <w:r w:rsidR="00723B0C">
        <w:rPr>
          <w:rFonts w:ascii="Source Sans Pro" w:hAnsi="Source Sans Pro"/>
        </w:rPr>
        <w:t xml:space="preserve"> in </w:t>
      </w:r>
      <w:proofErr w:type="spellStart"/>
      <w:r w:rsidR="00723B0C">
        <w:rPr>
          <w:rFonts w:ascii="Source Sans Pro" w:hAnsi="Source Sans Pro"/>
        </w:rPr>
        <w:t>Rhygyrfarch’s</w:t>
      </w:r>
      <w:proofErr w:type="spellEnd"/>
      <w:r w:rsidR="00723B0C">
        <w:rPr>
          <w:rFonts w:ascii="Source Sans Pro" w:hAnsi="Source Sans Pro"/>
        </w:rPr>
        <w:t xml:space="preserve"> Life of Saint David, Baia’s wife is described as sending her handmaidens to tempt David and his companions, ordering them to “Go to the river called Alun and bare your bodies,” </w:t>
      </w:r>
      <w:r w:rsidR="00CD2229">
        <w:rPr>
          <w:rFonts w:ascii="Source Sans Pro" w:hAnsi="Source Sans Pro"/>
        </w:rPr>
        <w:t xml:space="preserve">which they do, “imitating </w:t>
      </w:r>
      <w:r w:rsidR="00CD2229">
        <w:rPr>
          <w:rFonts w:ascii="Source Sans Pro" w:hAnsi="Source Sans Pro"/>
        </w:rPr>
        <w:lastRenderedPageBreak/>
        <w:t>sexual intercourse and displaying love’s seductive embraces.”</w:t>
      </w:r>
      <w:r w:rsidR="00427973">
        <w:rPr>
          <w:rStyle w:val="FootnoteReference"/>
          <w:rFonts w:ascii="Source Sans Pro" w:hAnsi="Source Sans Pro"/>
        </w:rPr>
        <w:footnoteReference w:id="43"/>
      </w:r>
      <w:r w:rsidR="00F27D8D">
        <w:rPr>
          <w:rFonts w:ascii="Source Sans Pro" w:hAnsi="Source Sans Pro"/>
        </w:rPr>
        <w:t xml:space="preserve"> David is further described as suppressing lustful urges, a </w:t>
      </w:r>
      <w:r w:rsidR="00CC5837">
        <w:rPr>
          <w:rFonts w:ascii="Source Sans Pro" w:hAnsi="Source Sans Pro"/>
        </w:rPr>
        <w:t xml:space="preserve">method </w:t>
      </w:r>
      <w:r w:rsidR="00F27D8D">
        <w:rPr>
          <w:rFonts w:ascii="Source Sans Pro" w:hAnsi="Source Sans Pro"/>
        </w:rPr>
        <w:t>frequently</w:t>
      </w:r>
      <w:r w:rsidR="00CC5837">
        <w:rPr>
          <w:rFonts w:ascii="Source Sans Pro" w:hAnsi="Source Sans Pro"/>
        </w:rPr>
        <w:t xml:space="preserve"> attributed to male Celtic saints,</w:t>
      </w:r>
      <w:r w:rsidR="00CC5837">
        <w:rPr>
          <w:rStyle w:val="FootnoteReference"/>
          <w:rFonts w:ascii="Source Sans Pro" w:hAnsi="Source Sans Pro"/>
        </w:rPr>
        <w:footnoteReference w:id="44"/>
      </w:r>
      <w:r w:rsidR="00CC5837">
        <w:rPr>
          <w:rFonts w:ascii="Source Sans Pro" w:hAnsi="Source Sans Pro"/>
        </w:rPr>
        <w:t xml:space="preserve"> but his and other male saints’ Lives do not centre on their virginity and struggle to maintain it. </w:t>
      </w:r>
      <w:r w:rsidR="00684FFC">
        <w:rPr>
          <w:rFonts w:ascii="Source Sans Pro" w:hAnsi="Source Sans Pro"/>
        </w:rPr>
        <w:t>Clement of Alexandria described the male ideal as being “not to experience desire at all”,</w:t>
      </w:r>
      <w:r w:rsidR="00E908EE">
        <w:rPr>
          <w:rStyle w:val="FootnoteReference"/>
          <w:rFonts w:ascii="Source Sans Pro" w:hAnsi="Source Sans Pro"/>
        </w:rPr>
        <w:footnoteReference w:id="45"/>
      </w:r>
      <w:r w:rsidR="00E908EE">
        <w:rPr>
          <w:rFonts w:ascii="Source Sans Pro" w:hAnsi="Source Sans Pro"/>
        </w:rPr>
        <w:t xml:space="preserve"> </w:t>
      </w:r>
      <w:r w:rsidR="00684FFC">
        <w:rPr>
          <w:rFonts w:ascii="Source Sans Pro" w:hAnsi="Source Sans Pro"/>
        </w:rPr>
        <w:t xml:space="preserve">and this is </w:t>
      </w:r>
      <w:r w:rsidR="00E908EE">
        <w:rPr>
          <w:rFonts w:ascii="Source Sans Pro" w:hAnsi="Source Sans Pro"/>
        </w:rPr>
        <w:t xml:space="preserve">followed by the male saints through them </w:t>
      </w:r>
      <w:r w:rsidR="00684FFC">
        <w:rPr>
          <w:rFonts w:ascii="Source Sans Pro" w:hAnsi="Source Sans Pro"/>
        </w:rPr>
        <w:t>resisting sexual temptation</w:t>
      </w:r>
      <w:r w:rsidR="00E908EE">
        <w:rPr>
          <w:rFonts w:ascii="Source Sans Pro" w:hAnsi="Source Sans Pro"/>
        </w:rPr>
        <w:t xml:space="preserve">, whereas for female saints this entails the physical resistance to the violent threat of sexual assault </w:t>
      </w:r>
      <w:r w:rsidR="005D7578">
        <w:rPr>
          <w:rFonts w:ascii="Source Sans Pro" w:hAnsi="Source Sans Pro"/>
        </w:rPr>
        <w:t xml:space="preserve">or forced marriage </w:t>
      </w:r>
      <w:r w:rsidR="00E908EE">
        <w:rPr>
          <w:rFonts w:ascii="Source Sans Pro" w:hAnsi="Source Sans Pro"/>
        </w:rPr>
        <w:t xml:space="preserve">rather than controlling their own sexual appetites. </w:t>
      </w:r>
    </w:p>
    <w:p w14:paraId="414D12C7" w14:textId="23C582B1" w:rsidR="001A78C1" w:rsidRDefault="008A7674" w:rsidP="00320CDF">
      <w:pPr>
        <w:rPr>
          <w:rFonts w:ascii="Source Sans Pro" w:hAnsi="Source Sans Pro"/>
        </w:rPr>
      </w:pPr>
      <w:r>
        <w:rPr>
          <w:rFonts w:ascii="Source Sans Pro" w:hAnsi="Source Sans Pro"/>
        </w:rPr>
        <w:t xml:space="preserve">For example, San Ffraid, a composite saint of Saint Bridget of Ireland and Birgitta of Sweden in Welsh tradition, </w:t>
      </w:r>
      <w:r w:rsidR="00296B4B">
        <w:rPr>
          <w:rFonts w:ascii="Source Sans Pro" w:hAnsi="Source Sans Pro"/>
        </w:rPr>
        <w:t>prayed to God for assistance had one eye pop out of her head when her father tried to forc</w:t>
      </w:r>
      <w:r w:rsidR="00215E58">
        <w:rPr>
          <w:rFonts w:ascii="Source Sans Pro" w:hAnsi="Source Sans Pro"/>
        </w:rPr>
        <w:t>e</w:t>
      </w:r>
      <w:r w:rsidR="00296B4B">
        <w:rPr>
          <w:rFonts w:ascii="Source Sans Pro" w:hAnsi="Source Sans Pro"/>
        </w:rPr>
        <w:t xml:space="preserve"> her to marry</w:t>
      </w:r>
      <w:r w:rsidR="001E4590">
        <w:rPr>
          <w:rFonts w:ascii="Source Sans Pro" w:hAnsi="Source Sans Pro"/>
        </w:rPr>
        <w:t>.</w:t>
      </w:r>
      <w:r w:rsidR="001E4590">
        <w:rPr>
          <w:rStyle w:val="FootnoteReference"/>
          <w:rFonts w:ascii="Source Sans Pro" w:hAnsi="Source Sans Pro"/>
        </w:rPr>
        <w:footnoteReference w:id="46"/>
      </w:r>
      <w:r w:rsidR="001E4590">
        <w:rPr>
          <w:rFonts w:ascii="Source Sans Pro" w:hAnsi="Source Sans Pro"/>
        </w:rPr>
        <w:t xml:space="preserve"> </w:t>
      </w:r>
      <w:r w:rsidR="00DE1A62">
        <w:rPr>
          <w:rFonts w:ascii="Source Sans Pro" w:hAnsi="Source Sans Pro"/>
        </w:rPr>
        <w:t>Furthermore</w:t>
      </w:r>
      <w:r w:rsidR="00B84EC2">
        <w:rPr>
          <w:rFonts w:ascii="Source Sans Pro" w:hAnsi="Source Sans Pro"/>
        </w:rPr>
        <w:t>,</w:t>
      </w:r>
      <w:r w:rsidR="00DE1A62">
        <w:rPr>
          <w:rFonts w:ascii="Source Sans Pro" w:hAnsi="Source Sans Pro"/>
        </w:rPr>
        <w:t xml:space="preserve"> </w:t>
      </w:r>
      <w:r w:rsidR="009275B6">
        <w:rPr>
          <w:rFonts w:ascii="Source Sans Pro" w:hAnsi="Source Sans Pro"/>
        </w:rPr>
        <w:t xml:space="preserve">Saint Ursula and her 11,000 virgin companions, in the Welsh tradition setting sail from the </w:t>
      </w:r>
      <w:proofErr w:type="spellStart"/>
      <w:r w:rsidR="009275B6">
        <w:rPr>
          <w:rFonts w:ascii="Source Sans Pro" w:hAnsi="Source Sans Pro"/>
        </w:rPr>
        <w:t>Llangwryf</w:t>
      </w:r>
      <w:r w:rsidR="00DE1A62">
        <w:rPr>
          <w:rFonts w:ascii="Source Sans Pro" w:hAnsi="Source Sans Pro"/>
        </w:rPr>
        <w:t>ron</w:t>
      </w:r>
      <w:proofErr w:type="spellEnd"/>
      <w:r w:rsidR="00DE1A62">
        <w:rPr>
          <w:rFonts w:ascii="Source Sans Pro" w:hAnsi="Source Sans Pro"/>
        </w:rPr>
        <w:t xml:space="preserve"> (the church of the virgins), travelled on final pilgrimage before her marriage and were martyred at Cologne.</w:t>
      </w:r>
      <w:r w:rsidR="00DE1A62">
        <w:rPr>
          <w:rStyle w:val="FootnoteReference"/>
          <w:rFonts w:ascii="Source Sans Pro" w:hAnsi="Source Sans Pro"/>
        </w:rPr>
        <w:footnoteReference w:id="47"/>
      </w:r>
      <w:r w:rsidR="00DE1A62">
        <w:rPr>
          <w:rFonts w:ascii="Source Sans Pro" w:hAnsi="Source Sans Pro"/>
        </w:rPr>
        <w:t xml:space="preserve"> In </w:t>
      </w:r>
      <w:r w:rsidR="00B84EC2">
        <w:rPr>
          <w:rFonts w:ascii="Source Sans Pro" w:hAnsi="Source Sans Pro"/>
        </w:rPr>
        <w:t xml:space="preserve">her </w:t>
      </w:r>
      <w:r w:rsidR="00DE1A62">
        <w:rPr>
          <w:rFonts w:ascii="Source Sans Pro" w:hAnsi="Source Sans Pro"/>
        </w:rPr>
        <w:t xml:space="preserve">story’s translation </w:t>
      </w:r>
      <w:r w:rsidR="00B84EC2">
        <w:rPr>
          <w:rFonts w:ascii="Source Sans Pro" w:hAnsi="Source Sans Pro"/>
        </w:rPr>
        <w:t>‘</w:t>
      </w:r>
      <w:proofErr w:type="spellStart"/>
      <w:r w:rsidR="00B84EC2">
        <w:rPr>
          <w:rFonts w:ascii="Source Sans Pro" w:hAnsi="Source Sans Pro"/>
        </w:rPr>
        <w:t>Hystoria</w:t>
      </w:r>
      <w:proofErr w:type="spellEnd"/>
      <w:r w:rsidR="00B84EC2">
        <w:rPr>
          <w:rFonts w:ascii="Source Sans Pro" w:hAnsi="Source Sans Pro"/>
        </w:rPr>
        <w:t xml:space="preserve"> </w:t>
      </w:r>
      <w:proofErr w:type="spellStart"/>
      <w:r w:rsidR="00B84EC2">
        <w:rPr>
          <w:rFonts w:ascii="Source Sans Pro" w:hAnsi="Source Sans Pro"/>
        </w:rPr>
        <w:t>Gweryddon</w:t>
      </w:r>
      <w:proofErr w:type="spellEnd"/>
      <w:r w:rsidR="00B84EC2">
        <w:rPr>
          <w:rFonts w:ascii="Source Sans Pro" w:hAnsi="Source Sans Pro"/>
        </w:rPr>
        <w:t xml:space="preserve"> yr </w:t>
      </w:r>
      <w:proofErr w:type="spellStart"/>
      <w:r w:rsidR="00B84EC2">
        <w:rPr>
          <w:rFonts w:ascii="Source Sans Pro" w:hAnsi="Source Sans Pro"/>
        </w:rPr>
        <w:t>Alemaen</w:t>
      </w:r>
      <w:proofErr w:type="spellEnd"/>
      <w:r w:rsidR="00B84EC2">
        <w:rPr>
          <w:rFonts w:ascii="Source Sans Pro" w:hAnsi="Source Sans Pro"/>
        </w:rPr>
        <w:t>’, Ursula and her companions returned to Cologne on their voyage home after pilgrimage to Rome and found the city under siege, with all of the virgins brutally killed. When the pagan prince who carried out the slaughter saw Ursula’s beauty he asked her to marry him, and when she refused his offer he shot her with a bow and arrow.</w:t>
      </w:r>
      <w:r w:rsidR="00B84EC2">
        <w:rPr>
          <w:rStyle w:val="FootnoteReference"/>
          <w:rFonts w:ascii="Source Sans Pro" w:hAnsi="Source Sans Pro"/>
        </w:rPr>
        <w:footnoteReference w:id="48"/>
      </w:r>
      <w:r w:rsidR="00B84EC2">
        <w:rPr>
          <w:rFonts w:ascii="Source Sans Pro" w:hAnsi="Source Sans Pro"/>
        </w:rPr>
        <w:t xml:space="preserve"> Both of these examples underscore the violent means by which female saints resist </w:t>
      </w:r>
      <w:r w:rsidR="00330843">
        <w:rPr>
          <w:rFonts w:ascii="Source Sans Pro" w:hAnsi="Source Sans Pro"/>
        </w:rPr>
        <w:t xml:space="preserve">marriage, and the suffering they willingly undergo to avoid violation of their chastity. </w:t>
      </w:r>
    </w:p>
    <w:p w14:paraId="0FB302D5" w14:textId="57653AEA" w:rsidR="00EE03D2" w:rsidRDefault="006A42A7" w:rsidP="00D26038">
      <w:pPr>
        <w:rPr>
          <w:rFonts w:ascii="Source Sans Pro" w:hAnsi="Source Sans Pro"/>
        </w:rPr>
      </w:pPr>
      <w:r>
        <w:rPr>
          <w:rFonts w:ascii="Source Sans Pro" w:hAnsi="Source Sans Pro"/>
        </w:rPr>
        <w:t xml:space="preserve">Even in </w:t>
      </w:r>
      <w:r w:rsidR="00EE03D2">
        <w:rPr>
          <w:rFonts w:ascii="Source Sans Pro" w:hAnsi="Source Sans Pro"/>
        </w:rPr>
        <w:t xml:space="preserve">texts where the women </w:t>
      </w:r>
      <w:r w:rsidR="00213C09">
        <w:rPr>
          <w:rFonts w:ascii="Source Sans Pro" w:hAnsi="Source Sans Pro"/>
        </w:rPr>
        <w:t xml:space="preserve">saints </w:t>
      </w:r>
      <w:r w:rsidR="00EE03D2">
        <w:rPr>
          <w:rFonts w:ascii="Source Sans Pro" w:hAnsi="Source Sans Pro"/>
        </w:rPr>
        <w:t>do not face violence, they flee to avoid marriage</w:t>
      </w:r>
      <w:r w:rsidR="00213C09">
        <w:rPr>
          <w:rFonts w:ascii="Source Sans Pro" w:hAnsi="Source Sans Pro"/>
        </w:rPr>
        <w:t xml:space="preserve">, sometimes retreating into isolated communities. </w:t>
      </w:r>
      <w:r w:rsidR="00EE03D2">
        <w:rPr>
          <w:rFonts w:ascii="Source Sans Pro" w:hAnsi="Source Sans Pro"/>
        </w:rPr>
        <w:t>I</w:t>
      </w:r>
      <w:r w:rsidR="00DE4D70">
        <w:rPr>
          <w:rFonts w:ascii="Source Sans Pro" w:hAnsi="Source Sans Pro"/>
        </w:rPr>
        <w:t xml:space="preserve">n the sixteenth century, Latin prayers invoking Saint Dwynwen were added to the 1494 </w:t>
      </w:r>
      <w:r w:rsidR="00EE03D2">
        <w:rPr>
          <w:rFonts w:ascii="Source Sans Pro" w:hAnsi="Source Sans Pro"/>
        </w:rPr>
        <w:t>Bangor missal</w:t>
      </w:r>
      <w:r w:rsidR="004F614A">
        <w:rPr>
          <w:rFonts w:ascii="Source Sans Pro" w:hAnsi="Source Sans Pro"/>
        </w:rPr>
        <w:t xml:space="preserve">, </w:t>
      </w:r>
      <w:r w:rsidR="00401C53">
        <w:rPr>
          <w:rFonts w:ascii="Source Sans Pro" w:hAnsi="Source Sans Pro"/>
        </w:rPr>
        <w:t xml:space="preserve">recording her flight across the sea to escape </w:t>
      </w:r>
      <w:proofErr w:type="spellStart"/>
      <w:r w:rsidR="00401C53">
        <w:rPr>
          <w:rFonts w:ascii="Source Sans Pro" w:hAnsi="Source Sans Pro"/>
        </w:rPr>
        <w:t>Maelgwen</w:t>
      </w:r>
      <w:proofErr w:type="spellEnd"/>
      <w:r w:rsidR="00401C53">
        <w:rPr>
          <w:rFonts w:ascii="Source Sans Pro" w:hAnsi="Source Sans Pro"/>
        </w:rPr>
        <w:t xml:space="preserve">, the dominant Welsh ruler for the first half of the sixteenth century who was often </w:t>
      </w:r>
      <w:r w:rsidR="00CB6E00">
        <w:rPr>
          <w:rFonts w:ascii="Source Sans Pro" w:hAnsi="Source Sans Pro"/>
        </w:rPr>
        <w:t>portrayed as an adversary to the Welsh saints.</w:t>
      </w:r>
      <w:r w:rsidR="00CB6E00">
        <w:rPr>
          <w:rStyle w:val="FootnoteReference"/>
          <w:rFonts w:ascii="Source Sans Pro" w:hAnsi="Source Sans Pro"/>
        </w:rPr>
        <w:footnoteReference w:id="49"/>
      </w:r>
      <w:r w:rsidR="00CB6E00">
        <w:rPr>
          <w:rFonts w:ascii="Source Sans Pro" w:hAnsi="Source Sans Pro"/>
        </w:rPr>
        <w:t xml:space="preserve"> Iolo Morganwg’s account of Dwynwen’s</w:t>
      </w:r>
      <w:r w:rsidR="00F5239F">
        <w:rPr>
          <w:rFonts w:ascii="Source Sans Pro" w:hAnsi="Source Sans Pro"/>
        </w:rPr>
        <w:t xml:space="preserve"> love Maelon </w:t>
      </w:r>
      <w:proofErr w:type="spellStart"/>
      <w:r w:rsidR="00F5239F">
        <w:rPr>
          <w:rFonts w:ascii="Source Sans Pro" w:hAnsi="Source Sans Pro"/>
        </w:rPr>
        <w:t>Dafodrill</w:t>
      </w:r>
      <w:proofErr w:type="spellEnd"/>
      <w:r w:rsidR="00F5239F">
        <w:rPr>
          <w:rFonts w:ascii="Source Sans Pro" w:hAnsi="Source Sans Pro"/>
        </w:rPr>
        <w:t xml:space="preserve"> being turned to ice by God and the granting of Dwynwen’s ability to hear the prayers of those suffering unrequited love have made Dwynwen </w:t>
      </w:r>
      <w:r w:rsidR="00222B00">
        <w:rPr>
          <w:rFonts w:ascii="Source Sans Pro" w:hAnsi="Source Sans Pro"/>
        </w:rPr>
        <w:t>the patron saint of lovers in Wales,</w:t>
      </w:r>
      <w:r w:rsidR="002C4558">
        <w:rPr>
          <w:rStyle w:val="FootnoteReference"/>
          <w:rFonts w:ascii="Source Sans Pro" w:hAnsi="Source Sans Pro"/>
        </w:rPr>
        <w:footnoteReference w:id="50"/>
      </w:r>
      <w:r w:rsidR="00222B00">
        <w:rPr>
          <w:rFonts w:ascii="Source Sans Pro" w:hAnsi="Source Sans Pro"/>
        </w:rPr>
        <w:t xml:space="preserve"> despite issues with Iolo Morganwg’s credibility after many of his documents were uncovered as forgeries.</w:t>
      </w:r>
      <w:r w:rsidR="00222B00">
        <w:rPr>
          <w:rStyle w:val="FootnoteReference"/>
          <w:rFonts w:ascii="Source Sans Pro" w:hAnsi="Source Sans Pro"/>
        </w:rPr>
        <w:footnoteReference w:id="51"/>
      </w:r>
      <w:r w:rsidR="002C4558">
        <w:rPr>
          <w:rFonts w:ascii="Source Sans Pro" w:hAnsi="Source Sans Pro"/>
        </w:rPr>
        <w:t xml:space="preserve"> Considering the earlier document as more credible due to its dating from the sixteenth century and describing Dwynwen for use in church services, Saint Dwynwen can be linked to the motif of female saints fleeing to escape male threats</w:t>
      </w:r>
      <w:r w:rsidR="00E06AC3">
        <w:rPr>
          <w:rFonts w:ascii="Source Sans Pro" w:hAnsi="Source Sans Pro"/>
        </w:rPr>
        <w:t>. Another prominent example is Saint Melangell</w:t>
      </w:r>
      <w:r w:rsidR="006674E3">
        <w:rPr>
          <w:rFonts w:ascii="Source Sans Pro" w:hAnsi="Source Sans Pro"/>
        </w:rPr>
        <w:t xml:space="preserve">, who is described in the Legend of St </w:t>
      </w:r>
      <w:proofErr w:type="spellStart"/>
      <w:r w:rsidR="006674E3">
        <w:rPr>
          <w:rFonts w:ascii="Source Sans Pro" w:hAnsi="Source Sans Pro"/>
        </w:rPr>
        <w:t>Monacella</w:t>
      </w:r>
      <w:proofErr w:type="spellEnd"/>
      <w:r w:rsidR="006674E3">
        <w:rPr>
          <w:rFonts w:ascii="Source Sans Pro" w:hAnsi="Source Sans Pro"/>
        </w:rPr>
        <w:t xml:space="preserve"> </w:t>
      </w:r>
      <w:r w:rsidR="001D6488">
        <w:rPr>
          <w:rFonts w:ascii="Source Sans Pro" w:hAnsi="Source Sans Pro"/>
        </w:rPr>
        <w:t xml:space="preserve">from 1640 as the daughter of an Irish king </w:t>
      </w:r>
      <w:proofErr w:type="spellStart"/>
      <w:r w:rsidR="001D6488">
        <w:rPr>
          <w:rFonts w:ascii="Source Sans Pro" w:hAnsi="Source Sans Pro"/>
        </w:rPr>
        <w:t>Jowchel</w:t>
      </w:r>
      <w:proofErr w:type="spellEnd"/>
      <w:r w:rsidR="001D6488">
        <w:rPr>
          <w:rFonts w:ascii="Source Sans Pro" w:hAnsi="Source Sans Pro"/>
        </w:rPr>
        <w:t xml:space="preserve"> who fled her home in Ireland </w:t>
      </w:r>
      <w:r w:rsidR="003858C3">
        <w:rPr>
          <w:rFonts w:ascii="Source Sans Pro" w:hAnsi="Source Sans Pro"/>
        </w:rPr>
        <w:t xml:space="preserve">to avoid a marriage her father had arranged for her, “in order that I might serve God and the spotless Virgin with my heart and a chaste body until I </w:t>
      </w:r>
      <w:r w:rsidR="003858C3">
        <w:rPr>
          <w:rFonts w:ascii="Source Sans Pro" w:hAnsi="Source Sans Pro"/>
        </w:rPr>
        <w:lastRenderedPageBreak/>
        <w:t>should die.”</w:t>
      </w:r>
      <w:r w:rsidR="003858C3">
        <w:rPr>
          <w:rStyle w:val="FootnoteReference"/>
          <w:rFonts w:ascii="Source Sans Pro" w:hAnsi="Source Sans Pro"/>
        </w:rPr>
        <w:footnoteReference w:id="52"/>
      </w:r>
      <w:r w:rsidR="0099255D">
        <w:rPr>
          <w:rFonts w:ascii="Source Sans Pro" w:hAnsi="Source Sans Pro"/>
        </w:rPr>
        <w:t xml:space="preserve"> </w:t>
      </w:r>
      <w:r w:rsidR="00213C09">
        <w:rPr>
          <w:rFonts w:ascii="Source Sans Pro" w:hAnsi="Source Sans Pro"/>
        </w:rPr>
        <w:t xml:space="preserve">Melangell lived alone in solitude in </w:t>
      </w:r>
      <w:r w:rsidR="00264526">
        <w:rPr>
          <w:rFonts w:ascii="Source Sans Pro" w:hAnsi="Source Sans Pro"/>
        </w:rPr>
        <w:t>a remote area of lands owned by the prince of Powys for fifteen years, during which “she had never in any way seen the face of man”</w:t>
      </w:r>
      <w:r w:rsidR="002C7120">
        <w:rPr>
          <w:rFonts w:ascii="Source Sans Pro" w:hAnsi="Source Sans Pro"/>
        </w:rPr>
        <w:t>;</w:t>
      </w:r>
      <w:r w:rsidR="002C7120">
        <w:rPr>
          <w:rStyle w:val="FootnoteReference"/>
          <w:rFonts w:ascii="Source Sans Pro" w:hAnsi="Source Sans Pro"/>
        </w:rPr>
        <w:footnoteReference w:id="53"/>
      </w:r>
      <w:r w:rsidR="002C7120">
        <w:rPr>
          <w:rFonts w:ascii="Source Sans Pro" w:hAnsi="Source Sans Pro"/>
        </w:rPr>
        <w:t xml:space="preserve"> this isolation removing her from </w:t>
      </w:r>
      <w:r w:rsidR="00D24FC4">
        <w:rPr>
          <w:rFonts w:ascii="Source Sans Pro" w:hAnsi="Source Sans Pro"/>
        </w:rPr>
        <w:t xml:space="preserve">men </w:t>
      </w:r>
      <w:r w:rsidR="002C7120">
        <w:rPr>
          <w:rFonts w:ascii="Source Sans Pro" w:hAnsi="Source Sans Pro"/>
        </w:rPr>
        <w:t>entirely can be linked to the</w:t>
      </w:r>
      <w:r w:rsidR="00D24FC4">
        <w:rPr>
          <w:rFonts w:ascii="Source Sans Pro" w:hAnsi="Source Sans Pro"/>
        </w:rPr>
        <w:t xml:space="preserve"> power of the male gaze in the stories of the female saints. Confrontations with male sexuality are often described as starting with the man </w:t>
      </w:r>
      <w:r w:rsidR="00A77379">
        <w:rPr>
          <w:rFonts w:ascii="Source Sans Pro" w:hAnsi="Source Sans Pro"/>
        </w:rPr>
        <w:t>staring at the saint’s beauty,</w:t>
      </w:r>
      <w:r w:rsidR="00A77379">
        <w:rPr>
          <w:rStyle w:val="FootnoteReference"/>
          <w:rFonts w:ascii="Source Sans Pro" w:hAnsi="Source Sans Pro"/>
        </w:rPr>
        <w:footnoteReference w:id="54"/>
      </w:r>
      <w:r w:rsidR="00A77379">
        <w:rPr>
          <w:rFonts w:ascii="Source Sans Pro" w:hAnsi="Source Sans Pro"/>
        </w:rPr>
        <w:t xml:space="preserve"> and</w:t>
      </w:r>
      <w:r w:rsidR="001642BA">
        <w:rPr>
          <w:rFonts w:ascii="Source Sans Pro" w:hAnsi="Source Sans Pro"/>
        </w:rPr>
        <w:t xml:space="preserve"> the Church fathers placed a great deal of emphasis on the power of looking on virginity, arguing “since desire is engendered by, and indeed consists in, a look, a virgin, seen, is no longer a virgin.”</w:t>
      </w:r>
      <w:r w:rsidR="001642BA">
        <w:rPr>
          <w:rStyle w:val="FootnoteReference"/>
          <w:rFonts w:ascii="Source Sans Pro" w:hAnsi="Source Sans Pro"/>
        </w:rPr>
        <w:footnoteReference w:id="55"/>
      </w:r>
      <w:r w:rsidR="001642BA">
        <w:rPr>
          <w:rFonts w:ascii="Source Sans Pro" w:hAnsi="Source Sans Pro"/>
        </w:rPr>
        <w:t xml:space="preserve"> </w:t>
      </w:r>
      <w:r w:rsidR="00F328F3">
        <w:rPr>
          <w:rFonts w:ascii="Source Sans Pro" w:hAnsi="Source Sans Pro"/>
        </w:rPr>
        <w:t xml:space="preserve">As the female saints’ sanctity is almost always inextricably tied to her virginal status, narratively to maintain their virginity the Welsh female saints must retreat to secluded areas, either alone or with other women, as they could not live in communities with men and still be unseen and undesired. </w:t>
      </w:r>
      <w:r w:rsidR="0029551F">
        <w:rPr>
          <w:rFonts w:ascii="Source Sans Pro" w:hAnsi="Source Sans Pro"/>
        </w:rPr>
        <w:t xml:space="preserve">This can explain some of the </w:t>
      </w:r>
      <w:r w:rsidR="000F2439">
        <w:rPr>
          <w:rFonts w:ascii="Source Sans Pro" w:hAnsi="Source Sans Pro"/>
        </w:rPr>
        <w:t>disparities</w:t>
      </w:r>
      <w:r w:rsidR="0029551F">
        <w:rPr>
          <w:rFonts w:ascii="Source Sans Pro" w:hAnsi="Source Sans Pro"/>
        </w:rPr>
        <w:t xml:space="preserve"> </w:t>
      </w:r>
      <w:r w:rsidR="000F2439">
        <w:rPr>
          <w:rFonts w:ascii="Source Sans Pro" w:hAnsi="Source Sans Pro"/>
        </w:rPr>
        <w:t xml:space="preserve">between the male and female Life patterns </w:t>
      </w:r>
      <w:r w:rsidR="0029551F">
        <w:rPr>
          <w:rFonts w:ascii="Source Sans Pro" w:hAnsi="Source Sans Pro"/>
        </w:rPr>
        <w:t xml:space="preserve">– female saints </w:t>
      </w:r>
      <w:r w:rsidR="000F2439">
        <w:rPr>
          <w:rFonts w:ascii="Source Sans Pro" w:hAnsi="Source Sans Pro"/>
        </w:rPr>
        <w:t xml:space="preserve">could not </w:t>
      </w:r>
      <w:r w:rsidR="0029551F">
        <w:rPr>
          <w:rFonts w:ascii="Source Sans Pro" w:hAnsi="Source Sans Pro"/>
        </w:rPr>
        <w:t>engage in the same activities as male saints such as missionary work</w:t>
      </w:r>
      <w:r w:rsidR="000F2439">
        <w:rPr>
          <w:rFonts w:ascii="Source Sans Pro" w:hAnsi="Source Sans Pro"/>
        </w:rPr>
        <w:t xml:space="preserve"> without placing their chastity in danger. </w:t>
      </w:r>
    </w:p>
    <w:p w14:paraId="406BB6CB" w14:textId="640921C0" w:rsidR="00A63717" w:rsidRDefault="00E06AC3" w:rsidP="008E6A6F">
      <w:pPr>
        <w:rPr>
          <w:rFonts w:ascii="Source Sans Pro" w:hAnsi="Source Sans Pro"/>
        </w:rPr>
      </w:pPr>
      <w:r>
        <w:rPr>
          <w:rFonts w:ascii="Source Sans Pro" w:hAnsi="Source Sans Pro"/>
        </w:rPr>
        <w:t xml:space="preserve">The most famous example of a </w:t>
      </w:r>
      <w:r w:rsidR="00567433">
        <w:rPr>
          <w:rFonts w:ascii="Source Sans Pro" w:hAnsi="Source Sans Pro"/>
        </w:rPr>
        <w:t xml:space="preserve">Welsh </w:t>
      </w:r>
      <w:r>
        <w:rPr>
          <w:rFonts w:ascii="Source Sans Pro" w:hAnsi="Source Sans Pro"/>
        </w:rPr>
        <w:t>virgin saint’s female confrontation with male sexuality</w:t>
      </w:r>
      <w:r w:rsidR="001E54D7">
        <w:rPr>
          <w:rFonts w:ascii="Source Sans Pro" w:hAnsi="Source Sans Pro"/>
        </w:rPr>
        <w:t xml:space="preserve"> </w:t>
      </w:r>
      <w:r w:rsidR="00B2001C">
        <w:rPr>
          <w:rFonts w:ascii="Source Sans Pro" w:hAnsi="Source Sans Pro"/>
        </w:rPr>
        <w:t xml:space="preserve">is the story of </w:t>
      </w:r>
      <w:r w:rsidR="001E54D7">
        <w:rPr>
          <w:rFonts w:ascii="Source Sans Pro" w:hAnsi="Source Sans Pro"/>
        </w:rPr>
        <w:t>Saint Gwenfrew</w:t>
      </w:r>
      <w:r w:rsidR="00750BE1">
        <w:rPr>
          <w:rFonts w:ascii="Source Sans Pro" w:hAnsi="Source Sans Pro"/>
        </w:rPr>
        <w:t>y</w:t>
      </w:r>
      <w:r w:rsidR="001E54D7">
        <w:rPr>
          <w:rFonts w:ascii="Source Sans Pro" w:hAnsi="Source Sans Pro"/>
        </w:rPr>
        <w:t xml:space="preserve">, </w:t>
      </w:r>
      <w:r w:rsidR="0073085F">
        <w:rPr>
          <w:rFonts w:ascii="Source Sans Pro" w:hAnsi="Source Sans Pro"/>
        </w:rPr>
        <w:t>who was resu</w:t>
      </w:r>
      <w:r w:rsidR="00567433">
        <w:rPr>
          <w:rFonts w:ascii="Source Sans Pro" w:hAnsi="Source Sans Pro"/>
        </w:rPr>
        <w:t xml:space="preserve">rrected by the famous Welsh saint Beuno after her decapitation by Prince Caradog </w:t>
      </w:r>
      <w:r w:rsidR="0056016B">
        <w:rPr>
          <w:rFonts w:ascii="Source Sans Pro" w:hAnsi="Source Sans Pro"/>
        </w:rPr>
        <w:t>due to her rejection of his sexual advances.</w:t>
      </w:r>
      <w:r w:rsidR="00FC2E1F">
        <w:rPr>
          <w:rStyle w:val="FootnoteReference"/>
          <w:rFonts w:ascii="Source Sans Pro" w:hAnsi="Source Sans Pro"/>
        </w:rPr>
        <w:footnoteReference w:id="56"/>
      </w:r>
      <w:r w:rsidR="00F0320E">
        <w:rPr>
          <w:rFonts w:ascii="Source Sans Pro" w:hAnsi="Source Sans Pro"/>
        </w:rPr>
        <w:t xml:space="preserve"> </w:t>
      </w:r>
      <w:r w:rsidR="00567433">
        <w:rPr>
          <w:rFonts w:ascii="Source Sans Pro" w:hAnsi="Source Sans Pro"/>
        </w:rPr>
        <w:t>Gwenfrew</w:t>
      </w:r>
      <w:r w:rsidR="00750BE1">
        <w:rPr>
          <w:rFonts w:ascii="Source Sans Pro" w:hAnsi="Source Sans Pro"/>
        </w:rPr>
        <w:t>y</w:t>
      </w:r>
      <w:r w:rsidR="00567433">
        <w:rPr>
          <w:rFonts w:ascii="Source Sans Pro" w:hAnsi="Source Sans Pro"/>
        </w:rPr>
        <w:t xml:space="preserve"> is unique in that she does</w:t>
      </w:r>
      <w:r w:rsidR="0056016B">
        <w:rPr>
          <w:rFonts w:ascii="Source Sans Pro" w:hAnsi="Source Sans Pro"/>
        </w:rPr>
        <w:t xml:space="preserve"> not fit the virgin martyr figure exactly, being martyred but then </w:t>
      </w:r>
      <w:r w:rsidR="00B025CF">
        <w:rPr>
          <w:rFonts w:ascii="Source Sans Pro" w:hAnsi="Source Sans Pro"/>
        </w:rPr>
        <w:t>brought back to life to live a second life as a nun and abbess, which adds her to the category of foundress saints who establish and rule over religious houses.</w:t>
      </w:r>
      <w:r w:rsidR="00B025CF">
        <w:rPr>
          <w:rStyle w:val="FootnoteReference"/>
          <w:rFonts w:ascii="Source Sans Pro" w:hAnsi="Source Sans Pro"/>
        </w:rPr>
        <w:footnoteReference w:id="57"/>
      </w:r>
      <w:r w:rsidR="00B025CF">
        <w:rPr>
          <w:rFonts w:ascii="Source Sans Pro" w:hAnsi="Source Sans Pro"/>
        </w:rPr>
        <w:t xml:space="preserve"> </w:t>
      </w:r>
      <w:r w:rsidR="000B69E5">
        <w:rPr>
          <w:rFonts w:ascii="Source Sans Pro" w:hAnsi="Source Sans Pro"/>
        </w:rPr>
        <w:t xml:space="preserve">Foundress saints are describes as models of sanctity and governance, and these qualities are used to justify their relics </w:t>
      </w:r>
      <w:r w:rsidR="00A63717">
        <w:rPr>
          <w:rFonts w:ascii="Source Sans Pro" w:hAnsi="Source Sans Pro"/>
        </w:rPr>
        <w:t xml:space="preserve">being </w:t>
      </w:r>
      <w:r w:rsidR="000B69E5">
        <w:rPr>
          <w:rFonts w:ascii="Source Sans Pro" w:hAnsi="Source Sans Pro"/>
        </w:rPr>
        <w:t>used by religious foundations to draw legitimacy and authority</w:t>
      </w:r>
      <w:r w:rsidR="00A63717">
        <w:rPr>
          <w:rFonts w:ascii="Source Sans Pro" w:hAnsi="Source Sans Pro"/>
        </w:rPr>
        <w:t>,</w:t>
      </w:r>
      <w:r w:rsidR="00A63717">
        <w:rPr>
          <w:rStyle w:val="FootnoteReference"/>
          <w:rFonts w:ascii="Source Sans Pro" w:hAnsi="Source Sans Pro"/>
        </w:rPr>
        <w:footnoteReference w:id="58"/>
      </w:r>
      <w:r w:rsidR="00A63717">
        <w:rPr>
          <w:rFonts w:ascii="Source Sans Pro" w:hAnsi="Source Sans Pro"/>
        </w:rPr>
        <w:t xml:space="preserve"> as Gwenfrew</w:t>
      </w:r>
      <w:r w:rsidR="00750BE1">
        <w:rPr>
          <w:rFonts w:ascii="Source Sans Pro" w:hAnsi="Source Sans Pro"/>
        </w:rPr>
        <w:t>y</w:t>
      </w:r>
      <w:r w:rsidR="00A63717">
        <w:rPr>
          <w:rFonts w:ascii="Source Sans Pro" w:hAnsi="Source Sans Pro"/>
        </w:rPr>
        <w:t>’s were by Prior Robert of Shrewsbury, who led an expedition to remove her relics from her resting place at Gwytherin and move them to Shrewsbury Abbey to legitimise the establishment and grant them a saintly patroness.</w:t>
      </w:r>
      <w:r w:rsidR="00774269">
        <w:rPr>
          <w:rStyle w:val="FootnoteReference"/>
          <w:rFonts w:ascii="Source Sans Pro" w:hAnsi="Source Sans Pro"/>
        </w:rPr>
        <w:footnoteReference w:id="59"/>
      </w:r>
      <w:r w:rsidR="008E6A6F">
        <w:rPr>
          <w:rFonts w:ascii="Source Sans Pro" w:hAnsi="Source Sans Pro"/>
        </w:rPr>
        <w:t xml:space="preserve"> </w:t>
      </w:r>
      <w:r w:rsidR="00A63717">
        <w:rPr>
          <w:rFonts w:ascii="Source Sans Pro" w:hAnsi="Source Sans Pro"/>
        </w:rPr>
        <w:t>In this way, Gwenfrew</w:t>
      </w:r>
      <w:r w:rsidR="00750BE1">
        <w:rPr>
          <w:rFonts w:ascii="Source Sans Pro" w:hAnsi="Source Sans Pro"/>
        </w:rPr>
        <w:t>y</w:t>
      </w:r>
      <w:r w:rsidR="00A63717">
        <w:rPr>
          <w:rFonts w:ascii="Source Sans Pro" w:hAnsi="Source Sans Pro"/>
        </w:rPr>
        <w:t xml:space="preserve"> </w:t>
      </w:r>
      <w:r w:rsidR="00F0320E">
        <w:rPr>
          <w:rFonts w:ascii="Source Sans Pro" w:hAnsi="Source Sans Pro"/>
        </w:rPr>
        <w:t xml:space="preserve">shows how Welsh female saints were considered worthy patronesses for religious establishments, just as male saints were, and so supports the hypothesis that women could and did fill the office of a saint in Wales, in more ways than one. Female saints fit both into the category of virgin martyr legends, a popular hagiographical motif used across Christendom, and into the role of foundress of religious institutions. </w:t>
      </w:r>
    </w:p>
    <w:p w14:paraId="3FBB9808" w14:textId="10B14CD2" w:rsidR="005D228C" w:rsidRDefault="00A37131" w:rsidP="004360E0">
      <w:pPr>
        <w:rPr>
          <w:rFonts w:ascii="Source Sans Pro" w:hAnsi="Source Sans Pro"/>
        </w:rPr>
      </w:pPr>
      <w:r>
        <w:rPr>
          <w:rFonts w:ascii="Source Sans Pro" w:hAnsi="Source Sans Pro"/>
        </w:rPr>
        <w:t>The anonymous Life ab</w:t>
      </w:r>
      <w:r w:rsidR="00B2001C">
        <w:rPr>
          <w:rFonts w:ascii="Source Sans Pro" w:hAnsi="Source Sans Pro"/>
        </w:rPr>
        <w:t>o</w:t>
      </w:r>
      <w:r>
        <w:rPr>
          <w:rFonts w:ascii="Source Sans Pro" w:hAnsi="Source Sans Pro"/>
        </w:rPr>
        <w:t>ut Gwenfrew</w:t>
      </w:r>
      <w:r w:rsidR="00750BE1">
        <w:rPr>
          <w:rFonts w:ascii="Source Sans Pro" w:hAnsi="Source Sans Pro"/>
        </w:rPr>
        <w:t>y</w:t>
      </w:r>
      <w:r>
        <w:rPr>
          <w:rFonts w:ascii="Source Sans Pro" w:hAnsi="Source Sans Pro"/>
        </w:rPr>
        <w:t xml:space="preserve"> gives a positive picture of her abilities as abbess, </w:t>
      </w:r>
      <w:r w:rsidR="00C64A39">
        <w:rPr>
          <w:rFonts w:ascii="Source Sans Pro" w:hAnsi="Source Sans Pro"/>
        </w:rPr>
        <w:t>justifying her actions by describing her attending a Synod in which it was agreed that saints who had previously lived in solitude should assemble in groups and live together.</w:t>
      </w:r>
      <w:r w:rsidR="00C64A39">
        <w:rPr>
          <w:rStyle w:val="FootnoteReference"/>
          <w:rFonts w:ascii="Source Sans Pro" w:hAnsi="Source Sans Pro"/>
        </w:rPr>
        <w:footnoteReference w:id="60"/>
      </w:r>
      <w:r w:rsidR="00C64A39">
        <w:rPr>
          <w:rFonts w:ascii="Source Sans Pro" w:hAnsi="Source Sans Pro"/>
        </w:rPr>
        <w:t xml:space="preserve"> Gwenfrewi was then chosen to preside over eleven virgins, to provide them “an example of life and holy conversation” and settles them at Gwytherin, in the foothills of Eryri.</w:t>
      </w:r>
      <w:r w:rsidR="00C64A39">
        <w:rPr>
          <w:rStyle w:val="FootnoteReference"/>
          <w:rFonts w:ascii="Source Sans Pro" w:hAnsi="Source Sans Pro"/>
        </w:rPr>
        <w:footnoteReference w:id="61"/>
      </w:r>
      <w:r w:rsidR="00C64A39">
        <w:rPr>
          <w:rFonts w:ascii="Source Sans Pro" w:hAnsi="Source Sans Pro"/>
        </w:rPr>
        <w:t xml:space="preserve"> Prior Robert’s Life </w:t>
      </w:r>
      <w:r w:rsidR="0000451F">
        <w:rPr>
          <w:rFonts w:ascii="Source Sans Pro" w:hAnsi="Source Sans Pro"/>
        </w:rPr>
        <w:t>portrays</w:t>
      </w:r>
      <w:r w:rsidR="00C64A39">
        <w:rPr>
          <w:rFonts w:ascii="Source Sans Pro" w:hAnsi="Source Sans Pro"/>
        </w:rPr>
        <w:t xml:space="preserve"> her experience as </w:t>
      </w:r>
      <w:r w:rsidR="005660FA">
        <w:rPr>
          <w:rFonts w:ascii="Source Sans Pro" w:hAnsi="Source Sans Pro"/>
        </w:rPr>
        <w:t xml:space="preserve">a nun </w:t>
      </w:r>
      <w:r w:rsidR="00C64A39">
        <w:rPr>
          <w:rFonts w:ascii="Source Sans Pro" w:hAnsi="Source Sans Pro"/>
        </w:rPr>
        <w:t>slightly differen</w:t>
      </w:r>
      <w:r w:rsidR="0000451F">
        <w:rPr>
          <w:rFonts w:ascii="Source Sans Pro" w:hAnsi="Source Sans Pro"/>
        </w:rPr>
        <w:t>tly, describing how she taught</w:t>
      </w:r>
      <w:r w:rsidR="005660FA">
        <w:rPr>
          <w:rFonts w:ascii="Source Sans Pro" w:hAnsi="Source Sans Pro"/>
        </w:rPr>
        <w:t xml:space="preserve"> noble daughters in Holywell during her </w:t>
      </w:r>
      <w:r w:rsidR="005660FA">
        <w:rPr>
          <w:rFonts w:ascii="Source Sans Pro" w:hAnsi="Source Sans Pro"/>
        </w:rPr>
        <w:lastRenderedPageBreak/>
        <w:t>time there to “love chastity”, “submit their necks to the light yoke of Christ”, and sharing with them “the rule of monastic life”, ruling over them as a “good shepherd.”</w:t>
      </w:r>
      <w:r w:rsidR="005660FA">
        <w:rPr>
          <w:rStyle w:val="FootnoteReference"/>
          <w:rFonts w:ascii="Source Sans Pro" w:hAnsi="Source Sans Pro"/>
        </w:rPr>
        <w:footnoteReference w:id="62"/>
      </w:r>
      <w:r w:rsidR="005660FA">
        <w:rPr>
          <w:rFonts w:ascii="Source Sans Pro" w:hAnsi="Source Sans Pro"/>
        </w:rPr>
        <w:t xml:space="preserve"> </w:t>
      </w:r>
      <w:r w:rsidR="008D7CDF">
        <w:rPr>
          <w:rFonts w:ascii="Source Sans Pro" w:hAnsi="Source Sans Pro"/>
        </w:rPr>
        <w:t xml:space="preserve">Following Beuno’s instruction, she left Holywell after residing there for seven years, and went to live in Saint </w:t>
      </w:r>
      <w:proofErr w:type="spellStart"/>
      <w:r w:rsidR="008D7CDF">
        <w:rPr>
          <w:rFonts w:ascii="Source Sans Pro" w:hAnsi="Source Sans Pro"/>
        </w:rPr>
        <w:t>Elerius</w:t>
      </w:r>
      <w:proofErr w:type="spellEnd"/>
      <w:r w:rsidR="008D7CDF">
        <w:rPr>
          <w:rFonts w:ascii="Source Sans Pro" w:hAnsi="Source Sans Pro"/>
        </w:rPr>
        <w:t xml:space="preserve">’ double-house at Gwytherin, </w:t>
      </w:r>
      <w:r w:rsidR="00113904">
        <w:rPr>
          <w:rFonts w:ascii="Source Sans Pro" w:hAnsi="Source Sans Pro"/>
        </w:rPr>
        <w:t>taking over the role of abbess from his mother after she dies.</w:t>
      </w:r>
      <w:r w:rsidR="00113904">
        <w:rPr>
          <w:rStyle w:val="FootnoteReference"/>
          <w:rFonts w:ascii="Source Sans Pro" w:hAnsi="Source Sans Pro"/>
        </w:rPr>
        <w:footnoteReference w:id="63"/>
      </w:r>
      <w:r w:rsidR="00113904">
        <w:rPr>
          <w:rFonts w:ascii="Source Sans Pro" w:hAnsi="Source Sans Pro"/>
        </w:rPr>
        <w:t xml:space="preserve"> </w:t>
      </w:r>
      <w:r w:rsidR="00393A8D">
        <w:rPr>
          <w:rFonts w:ascii="Source Sans Pro" w:hAnsi="Source Sans Pro"/>
        </w:rPr>
        <w:t>Despite the differences in location, however, both Lives intimately link Gwenfrewi with religious orders and describe her ruling over women in religious orders, with the Latin used describing her as ‘</w:t>
      </w:r>
      <w:proofErr w:type="spellStart"/>
      <w:r w:rsidR="00393A8D">
        <w:rPr>
          <w:rFonts w:ascii="Source Sans Pro" w:hAnsi="Source Sans Pro"/>
        </w:rPr>
        <w:t>sanctimonialibus</w:t>
      </w:r>
      <w:proofErr w:type="spellEnd"/>
      <w:r w:rsidR="00393A8D">
        <w:rPr>
          <w:rFonts w:ascii="Source Sans Pro" w:hAnsi="Source Sans Pro"/>
        </w:rPr>
        <w:t xml:space="preserve"> </w:t>
      </w:r>
      <w:proofErr w:type="spellStart"/>
      <w:r w:rsidR="00393A8D">
        <w:rPr>
          <w:rFonts w:ascii="Source Sans Pro" w:hAnsi="Source Sans Pro"/>
        </w:rPr>
        <w:t>praelata</w:t>
      </w:r>
      <w:proofErr w:type="spellEnd"/>
      <w:r w:rsidR="00393A8D">
        <w:rPr>
          <w:rFonts w:ascii="Source Sans Pro" w:hAnsi="Source Sans Pro"/>
        </w:rPr>
        <w:t xml:space="preserve">’ (the superior nun), and living in the ‘claustra </w:t>
      </w:r>
      <w:proofErr w:type="spellStart"/>
      <w:r w:rsidR="00393A8D">
        <w:rPr>
          <w:rFonts w:ascii="Source Sans Pro" w:hAnsi="Source Sans Pro"/>
        </w:rPr>
        <w:t>sanctimonialium</w:t>
      </w:r>
      <w:proofErr w:type="spellEnd"/>
      <w:r w:rsidR="00393A8D">
        <w:rPr>
          <w:rFonts w:ascii="Source Sans Pro" w:hAnsi="Source Sans Pro"/>
        </w:rPr>
        <w:t>’ (nuns’ cloister).</w:t>
      </w:r>
      <w:r w:rsidR="00393A8D">
        <w:rPr>
          <w:rStyle w:val="FootnoteReference"/>
          <w:rFonts w:ascii="Source Sans Pro" w:hAnsi="Source Sans Pro"/>
        </w:rPr>
        <w:footnoteReference w:id="64"/>
      </w:r>
      <w:r w:rsidR="00BF33FA">
        <w:rPr>
          <w:rFonts w:ascii="Source Sans Pro" w:hAnsi="Source Sans Pro"/>
        </w:rPr>
        <w:t xml:space="preserve"> </w:t>
      </w:r>
      <w:r w:rsidR="00006753">
        <w:rPr>
          <w:rFonts w:ascii="Source Sans Pro" w:hAnsi="Source Sans Pro"/>
        </w:rPr>
        <w:t>Her descriptions as a role model and superior nun at a convent</w:t>
      </w:r>
      <w:r w:rsidR="005D228C">
        <w:rPr>
          <w:rFonts w:ascii="Source Sans Pro" w:hAnsi="Source Sans Pro"/>
        </w:rPr>
        <w:t xml:space="preserve"> shows Gwenfrewy </w:t>
      </w:r>
      <w:r w:rsidR="00006753">
        <w:rPr>
          <w:rFonts w:ascii="Source Sans Pro" w:hAnsi="Source Sans Pro"/>
        </w:rPr>
        <w:t xml:space="preserve">fits into the monastic leader role of Welsh saints. </w:t>
      </w:r>
    </w:p>
    <w:p w14:paraId="2ED81E7E" w14:textId="41527C7F" w:rsidR="00EF24C6" w:rsidRPr="005D228C" w:rsidRDefault="00124C70" w:rsidP="00D16B93">
      <w:pPr>
        <w:rPr>
          <w:rFonts w:ascii="Source Sans Pro" w:hAnsi="Source Sans Pro"/>
        </w:rPr>
      </w:pPr>
      <w:r>
        <w:rPr>
          <w:rFonts w:ascii="Source Sans Pro" w:hAnsi="Source Sans Pro"/>
        </w:rPr>
        <w:t xml:space="preserve">Saint Melangell can also be interpreted as running a religious community, as after </w:t>
      </w:r>
      <w:r w:rsidR="006C5599">
        <w:rPr>
          <w:rFonts w:ascii="Source Sans Pro" w:hAnsi="Source Sans Pro"/>
        </w:rPr>
        <w:t>Prince Brochwel gifts her a portion of his lands as a sanctuary, she is described as living i</w:t>
      </w:r>
      <w:r w:rsidR="003D2646">
        <w:rPr>
          <w:rFonts w:ascii="Source Sans Pro" w:hAnsi="Source Sans Pro"/>
        </w:rPr>
        <w:t>n those lands for next thirty five years, and working diligently to “appoint and instruct certain virgins” so they “might persevere and live holily and modestly in the love of God”, and “pass their lives in the service of God, doing nothing else day and night.”</w:t>
      </w:r>
      <w:r w:rsidR="003D2646">
        <w:rPr>
          <w:rStyle w:val="FootnoteReference"/>
          <w:rFonts w:ascii="Source Sans Pro" w:hAnsi="Source Sans Pro"/>
        </w:rPr>
        <w:footnoteReference w:id="65"/>
      </w:r>
      <w:r w:rsidR="00355BAC">
        <w:rPr>
          <w:rFonts w:ascii="Source Sans Pro" w:hAnsi="Source Sans Pro"/>
        </w:rPr>
        <w:t xml:space="preserve"> While </w:t>
      </w:r>
      <w:r w:rsidR="00D307BD">
        <w:rPr>
          <w:rFonts w:ascii="Source Sans Pro" w:hAnsi="Source Sans Pro"/>
        </w:rPr>
        <w:t xml:space="preserve">Melangell </w:t>
      </w:r>
      <w:r w:rsidR="00355BAC">
        <w:rPr>
          <w:rFonts w:ascii="Source Sans Pro" w:hAnsi="Source Sans Pro"/>
        </w:rPr>
        <w:t xml:space="preserve">does not fit the male saint </w:t>
      </w:r>
      <w:r w:rsidR="00D307BD">
        <w:rPr>
          <w:rFonts w:ascii="Source Sans Pro" w:hAnsi="Source Sans Pro"/>
        </w:rPr>
        <w:t xml:space="preserve">category of holy abbot by establishing a monastery, this can be explained by the nature of female monasticism in Wales at this time. Female monastic life in Wales was land-poor and impoverished, and </w:t>
      </w:r>
      <w:r w:rsidR="00F6107E">
        <w:rPr>
          <w:rFonts w:ascii="Source Sans Pro" w:hAnsi="Source Sans Pro"/>
        </w:rPr>
        <w:t>hagiographical tradition of high medieval texts show this, with a clear vision of female monasticism as very small groups of women gathered together far from society.</w:t>
      </w:r>
      <w:r w:rsidR="00F6107E">
        <w:rPr>
          <w:rStyle w:val="FootnoteReference"/>
          <w:rFonts w:ascii="Source Sans Pro" w:hAnsi="Source Sans Pro"/>
        </w:rPr>
        <w:footnoteReference w:id="66"/>
      </w:r>
      <w:r w:rsidR="00E061C8">
        <w:rPr>
          <w:rFonts w:ascii="Source Sans Pro" w:hAnsi="Source Sans Pro"/>
        </w:rPr>
        <w:t xml:space="preserve"> </w:t>
      </w:r>
      <w:r w:rsidR="002C516E">
        <w:rPr>
          <w:rFonts w:ascii="Source Sans Pro" w:hAnsi="Source Sans Pro"/>
        </w:rPr>
        <w:t>In contrast with male saints, who may have spent some time as hermits but would return to their monastic community, the female saints “went to their retreats, potentially with a few fellow nuns, and there they stayed.”</w:t>
      </w:r>
      <w:r w:rsidR="002C516E">
        <w:rPr>
          <w:rStyle w:val="FootnoteReference"/>
          <w:rFonts w:ascii="Source Sans Pro" w:hAnsi="Source Sans Pro"/>
        </w:rPr>
        <w:footnoteReference w:id="67"/>
      </w:r>
      <w:r w:rsidR="002C516E">
        <w:rPr>
          <w:rFonts w:ascii="Source Sans Pro" w:hAnsi="Source Sans Pro"/>
        </w:rPr>
        <w:t xml:space="preserve"> </w:t>
      </w:r>
      <w:r w:rsidR="00F16BA9">
        <w:rPr>
          <w:rFonts w:ascii="Source Sans Pro" w:hAnsi="Source Sans Pro"/>
        </w:rPr>
        <w:t>Understanding the differences in medieval Welsh religious orders for men and women helps disprove the argument that women could not be saints in Wales due to not being heads of monastic establishments, which Willis-Bund defined as a distinct characteristic of Celtic saints.</w:t>
      </w:r>
      <w:r w:rsidR="00F16BA9">
        <w:rPr>
          <w:rStyle w:val="FootnoteReference"/>
          <w:rFonts w:ascii="Source Sans Pro" w:hAnsi="Source Sans Pro"/>
        </w:rPr>
        <w:footnoteReference w:id="68"/>
      </w:r>
      <w:r w:rsidR="00F16BA9">
        <w:rPr>
          <w:rFonts w:ascii="Source Sans Pro" w:hAnsi="Source Sans Pro"/>
        </w:rPr>
        <w:t xml:space="preserve"> </w:t>
      </w:r>
      <w:r w:rsidR="00F01977">
        <w:rPr>
          <w:rFonts w:ascii="Source Sans Pro" w:hAnsi="Source Sans Pro"/>
        </w:rPr>
        <w:t>Female saints such as Gwenfrewi and Melangell both established religious orders where they guided and instructed young women to follow a devout lifestyle,</w:t>
      </w:r>
      <w:r w:rsidR="00BD7168">
        <w:rPr>
          <w:rFonts w:ascii="Source Sans Pro" w:hAnsi="Source Sans Pro"/>
        </w:rPr>
        <w:t xml:space="preserve"> and so</w:t>
      </w:r>
      <w:r w:rsidR="00F01977">
        <w:rPr>
          <w:rFonts w:ascii="Source Sans Pro" w:hAnsi="Source Sans Pro"/>
        </w:rPr>
        <w:t xml:space="preserve"> the </w:t>
      </w:r>
      <w:r w:rsidR="00EF0EDB">
        <w:rPr>
          <w:rFonts w:ascii="Source Sans Pro" w:hAnsi="Source Sans Pro"/>
        </w:rPr>
        <w:t>definition of female monasticism in Wales simply must be widened to acknowledge the differing funding and scope of institutions made to accommodate female members of religious orders</w:t>
      </w:r>
      <w:r w:rsidR="00D16B93">
        <w:rPr>
          <w:rFonts w:ascii="Source Sans Pro" w:hAnsi="Source Sans Pro"/>
        </w:rPr>
        <w:t xml:space="preserve">. In light of this reevaluated definition, female Welsh saints could fill the office of foundress of religious institutions despite not necessarily running a </w:t>
      </w:r>
      <w:r w:rsidR="00202A52">
        <w:rPr>
          <w:rFonts w:ascii="Source Sans Pro" w:hAnsi="Source Sans Pro"/>
        </w:rPr>
        <w:t>large-scale</w:t>
      </w:r>
      <w:r w:rsidR="00D16B93">
        <w:rPr>
          <w:rFonts w:ascii="Source Sans Pro" w:hAnsi="Source Sans Pro"/>
        </w:rPr>
        <w:t xml:space="preserve"> institution and </w:t>
      </w:r>
      <w:r w:rsidR="004360E0">
        <w:rPr>
          <w:rFonts w:ascii="Source Sans Pro" w:hAnsi="Source Sans Pro"/>
        </w:rPr>
        <w:t>thus could fit the office of saint in Wales</w:t>
      </w:r>
      <w:r w:rsidR="00AD4D97">
        <w:rPr>
          <w:rFonts w:ascii="Source Sans Pro" w:hAnsi="Source Sans Pro"/>
        </w:rPr>
        <w:t>,</w:t>
      </w:r>
      <w:r w:rsidR="004360E0">
        <w:rPr>
          <w:rFonts w:ascii="Source Sans Pro" w:hAnsi="Source Sans Pro"/>
        </w:rPr>
        <w:t xml:space="preserve"> </w:t>
      </w:r>
      <w:r w:rsidR="00AD4D97">
        <w:rPr>
          <w:rFonts w:ascii="Source Sans Pro" w:hAnsi="Source Sans Pro"/>
        </w:rPr>
        <w:t>which</w:t>
      </w:r>
      <w:r w:rsidR="004360E0">
        <w:rPr>
          <w:rFonts w:ascii="Source Sans Pro" w:hAnsi="Source Sans Pro"/>
        </w:rPr>
        <w:t xml:space="preserve"> </w:t>
      </w:r>
      <w:r w:rsidR="00D16B93">
        <w:rPr>
          <w:rFonts w:ascii="Source Sans Pro" w:hAnsi="Source Sans Pro"/>
        </w:rPr>
        <w:t xml:space="preserve">regularly </w:t>
      </w:r>
      <w:r w:rsidR="00AD4D97">
        <w:rPr>
          <w:rFonts w:ascii="Source Sans Pro" w:hAnsi="Source Sans Pro"/>
        </w:rPr>
        <w:t xml:space="preserve">incorporated the role of monastic leader into saintly identity. </w:t>
      </w:r>
    </w:p>
    <w:p w14:paraId="3A6D379A" w14:textId="77777777" w:rsidR="00A242E1" w:rsidRDefault="00AA3B2F" w:rsidP="00AD4D97">
      <w:pPr>
        <w:rPr>
          <w:rFonts w:ascii="Source Sans Pro" w:hAnsi="Source Sans Pro"/>
        </w:rPr>
      </w:pPr>
      <w:r>
        <w:rPr>
          <w:rFonts w:ascii="Source Sans Pro" w:hAnsi="Source Sans Pro"/>
        </w:rPr>
        <w:t xml:space="preserve">Exploring the relationship between </w:t>
      </w:r>
      <w:r w:rsidR="009C03AD">
        <w:rPr>
          <w:rFonts w:ascii="Source Sans Pro" w:hAnsi="Source Sans Pro"/>
        </w:rPr>
        <w:t>saints and their local area, Henken describes Welsh saints as generally “local heroes, whose cults did not extend far beyo</w:t>
      </w:r>
      <w:r w:rsidR="001A745A">
        <w:rPr>
          <w:rFonts w:ascii="Source Sans Pro" w:hAnsi="Source Sans Pro"/>
        </w:rPr>
        <w:t>nd their own immediate territories”,</w:t>
      </w:r>
      <w:r w:rsidR="00106EAA">
        <w:rPr>
          <w:rStyle w:val="FootnoteReference"/>
          <w:rFonts w:ascii="Source Sans Pro" w:hAnsi="Source Sans Pro"/>
        </w:rPr>
        <w:footnoteReference w:id="69"/>
      </w:r>
      <w:r w:rsidR="001A745A">
        <w:rPr>
          <w:rFonts w:ascii="Source Sans Pro" w:hAnsi="Source Sans Pro"/>
        </w:rPr>
        <w:t xml:space="preserve"> and while there are exceptions with immensely popular saints such as Saint David and Saint </w:t>
      </w:r>
      <w:r w:rsidR="001A745A">
        <w:rPr>
          <w:rFonts w:ascii="Source Sans Pro" w:hAnsi="Source Sans Pro"/>
        </w:rPr>
        <w:lastRenderedPageBreak/>
        <w:t xml:space="preserve">Gwenfrewi whose cults and worship spread outside of Wales, Henken </w:t>
      </w:r>
      <w:r w:rsidR="00F178C4">
        <w:rPr>
          <w:rFonts w:ascii="Source Sans Pro" w:hAnsi="Source Sans Pro"/>
        </w:rPr>
        <w:t>draws a comparison between the saint’s role in the local community and the roles of secular rulers at the time.</w:t>
      </w:r>
      <w:r w:rsidR="00F178C4">
        <w:rPr>
          <w:rStyle w:val="FootnoteReference"/>
          <w:rFonts w:ascii="Source Sans Pro" w:hAnsi="Source Sans Pro"/>
        </w:rPr>
        <w:footnoteReference w:id="70"/>
      </w:r>
      <w:r w:rsidR="0080440C">
        <w:rPr>
          <w:rFonts w:ascii="Source Sans Pro" w:hAnsi="Source Sans Pro"/>
        </w:rPr>
        <w:t xml:space="preserve"> As patrons of their area, saints took on attributes </w:t>
      </w:r>
      <w:r w:rsidR="006171C4">
        <w:rPr>
          <w:rFonts w:ascii="Source Sans Pro" w:hAnsi="Source Sans Pro"/>
        </w:rPr>
        <w:t>of kingship and were seen as guardians of their land.</w:t>
      </w:r>
      <w:r w:rsidR="006171C4">
        <w:rPr>
          <w:rStyle w:val="FootnoteReference"/>
          <w:rFonts w:ascii="Source Sans Pro" w:hAnsi="Source Sans Pro"/>
        </w:rPr>
        <w:footnoteReference w:id="71"/>
      </w:r>
      <w:r w:rsidR="00C12F96">
        <w:rPr>
          <w:rFonts w:ascii="Source Sans Pro" w:hAnsi="Source Sans Pro"/>
        </w:rPr>
        <w:t xml:space="preserve"> In line with this, saints were expected to defend their land from threats as well as being responsible for providing food, </w:t>
      </w:r>
      <w:r w:rsidR="00106EAA">
        <w:rPr>
          <w:rFonts w:ascii="Source Sans Pro" w:hAnsi="Source Sans Pro"/>
        </w:rPr>
        <w:t>good weather, peace and justice.</w:t>
      </w:r>
      <w:r w:rsidR="00106EAA">
        <w:rPr>
          <w:rStyle w:val="FootnoteReference"/>
          <w:rFonts w:ascii="Source Sans Pro" w:hAnsi="Source Sans Pro"/>
        </w:rPr>
        <w:footnoteReference w:id="72"/>
      </w:r>
      <w:r w:rsidR="00543B53">
        <w:rPr>
          <w:rFonts w:ascii="Source Sans Pro" w:hAnsi="Source Sans Pro"/>
        </w:rPr>
        <w:t xml:space="preserve"> </w:t>
      </w:r>
    </w:p>
    <w:p w14:paraId="76A0763B" w14:textId="17C67F60" w:rsidR="00774FCB" w:rsidRDefault="00A242E1" w:rsidP="00AD4D97">
      <w:pPr>
        <w:rPr>
          <w:rFonts w:ascii="Source Sans Pro" w:hAnsi="Source Sans Pro"/>
        </w:rPr>
      </w:pPr>
      <w:r>
        <w:rPr>
          <w:rFonts w:ascii="Source Sans Pro" w:hAnsi="Source Sans Pro"/>
        </w:rPr>
        <w:t xml:space="preserve">When assessing </w:t>
      </w:r>
      <w:r w:rsidR="00DF67F9">
        <w:rPr>
          <w:rFonts w:ascii="Source Sans Pro" w:hAnsi="Source Sans Pro"/>
        </w:rPr>
        <w:t>h</w:t>
      </w:r>
      <w:r w:rsidR="0027355D">
        <w:rPr>
          <w:rFonts w:ascii="Source Sans Pro" w:hAnsi="Source Sans Pro"/>
        </w:rPr>
        <w:t xml:space="preserve">ow well female saints of Wales fit into this category as protector of their lands, Saint Gwenfrewi acts as a good example, with </w:t>
      </w:r>
      <w:r w:rsidR="00F15FE4">
        <w:rPr>
          <w:rFonts w:ascii="Source Sans Pro" w:hAnsi="Source Sans Pro"/>
        </w:rPr>
        <w:t xml:space="preserve">an extensive description of her posthumous miracles in the anonymous Life showcasing her </w:t>
      </w:r>
      <w:r w:rsidR="008E71F2">
        <w:rPr>
          <w:rFonts w:ascii="Source Sans Pro" w:hAnsi="Source Sans Pro"/>
        </w:rPr>
        <w:t xml:space="preserve">intervention on behalf of her chapel and lands, and the people in the area she protected. </w:t>
      </w:r>
      <w:r w:rsidR="00382ADD">
        <w:rPr>
          <w:rFonts w:ascii="Source Sans Pro" w:hAnsi="Source Sans Pro"/>
        </w:rPr>
        <w:t>Gwenfrewy</w:t>
      </w:r>
      <w:r w:rsidR="00E734EC">
        <w:rPr>
          <w:rFonts w:ascii="Source Sans Pro" w:hAnsi="Source Sans Pro"/>
        </w:rPr>
        <w:t xml:space="preserve">’s curses </w:t>
      </w:r>
      <w:r>
        <w:rPr>
          <w:rFonts w:ascii="Source Sans Pro" w:hAnsi="Source Sans Pro"/>
        </w:rPr>
        <w:t xml:space="preserve">for example </w:t>
      </w:r>
      <w:r w:rsidR="00E734EC">
        <w:rPr>
          <w:rFonts w:ascii="Source Sans Pro" w:hAnsi="Source Sans Pro"/>
        </w:rPr>
        <w:t xml:space="preserve">are primarily focused on the defence of her lands and people and the sacred aspects of her cult. </w:t>
      </w:r>
      <w:r>
        <w:rPr>
          <w:rFonts w:ascii="Source Sans Pro" w:hAnsi="Source Sans Pro"/>
        </w:rPr>
        <w:t xml:space="preserve">She </w:t>
      </w:r>
      <w:r w:rsidR="003D6CBF">
        <w:rPr>
          <w:rFonts w:ascii="Source Sans Pro" w:hAnsi="Source Sans Pro"/>
        </w:rPr>
        <w:t>protect</w:t>
      </w:r>
      <w:r w:rsidR="00895C05">
        <w:rPr>
          <w:rFonts w:ascii="Source Sans Pro" w:hAnsi="Source Sans Pro"/>
        </w:rPr>
        <w:t>ed</w:t>
      </w:r>
      <w:r w:rsidR="003D6CBF">
        <w:rPr>
          <w:rFonts w:ascii="Source Sans Pro" w:hAnsi="Source Sans Pro"/>
        </w:rPr>
        <w:t xml:space="preserve"> Beuno’s sacred stone from being moved by a Norman knight, rendering him lame when he kicked the stone,</w:t>
      </w:r>
      <w:r w:rsidR="003D6CBF">
        <w:rPr>
          <w:rStyle w:val="FootnoteReference"/>
          <w:rFonts w:ascii="Source Sans Pro" w:hAnsi="Source Sans Pro"/>
        </w:rPr>
        <w:footnoteReference w:id="73"/>
      </w:r>
      <w:r w:rsidR="00895C05">
        <w:rPr>
          <w:rFonts w:ascii="Source Sans Pro" w:hAnsi="Source Sans Pro"/>
        </w:rPr>
        <w:t xml:space="preserve"> and when robbers from Gwynedd ravaged the area of Tegeingl and sent eight thieves to rob her church and village, </w:t>
      </w:r>
      <w:r w:rsidR="00A81863">
        <w:rPr>
          <w:rFonts w:ascii="Source Sans Pro" w:hAnsi="Source Sans Pro"/>
        </w:rPr>
        <w:t>each died horribly, and the people who ordered the attack were also struck dead within a year.</w:t>
      </w:r>
      <w:r w:rsidR="00A81863">
        <w:rPr>
          <w:rStyle w:val="FootnoteReference"/>
          <w:rFonts w:ascii="Source Sans Pro" w:hAnsi="Source Sans Pro"/>
        </w:rPr>
        <w:footnoteReference w:id="74"/>
      </w:r>
    </w:p>
    <w:p w14:paraId="14AF6B66" w14:textId="27CE2814" w:rsidR="007E1633" w:rsidRDefault="00E734EC" w:rsidP="007D0BD2">
      <w:pPr>
        <w:rPr>
          <w:rFonts w:ascii="Source Sans Pro" w:hAnsi="Source Sans Pro"/>
        </w:rPr>
      </w:pPr>
      <w:r>
        <w:rPr>
          <w:rFonts w:ascii="Source Sans Pro" w:hAnsi="Source Sans Pro"/>
        </w:rPr>
        <w:t xml:space="preserve">Her relics, as her </w:t>
      </w:r>
      <w:r w:rsidR="001C296E">
        <w:rPr>
          <w:rFonts w:ascii="Source Sans Pro" w:hAnsi="Source Sans Pro"/>
        </w:rPr>
        <w:t xml:space="preserve">major miracles </w:t>
      </w:r>
      <w:r>
        <w:rPr>
          <w:rFonts w:ascii="Source Sans Pro" w:hAnsi="Source Sans Pro"/>
        </w:rPr>
        <w:t xml:space="preserve">are performed posthumously, </w:t>
      </w:r>
      <w:r w:rsidR="00A242E1">
        <w:rPr>
          <w:rFonts w:ascii="Source Sans Pro" w:hAnsi="Source Sans Pro"/>
        </w:rPr>
        <w:t xml:space="preserve">also </w:t>
      </w:r>
      <w:r>
        <w:rPr>
          <w:rFonts w:ascii="Source Sans Pro" w:hAnsi="Source Sans Pro"/>
        </w:rPr>
        <w:t xml:space="preserve">help maintain social order and justice by revealing a goat thief by miraculously making the goat bleat </w:t>
      </w:r>
      <w:r w:rsidR="009E4406">
        <w:rPr>
          <w:rFonts w:ascii="Source Sans Pro" w:hAnsi="Source Sans Pro"/>
        </w:rPr>
        <w:t>from the man’s stomach after being eaten, alerting the townspeople to his crime.</w:t>
      </w:r>
      <w:r w:rsidR="009E4406">
        <w:rPr>
          <w:rStyle w:val="FootnoteReference"/>
          <w:rFonts w:ascii="Source Sans Pro" w:hAnsi="Source Sans Pro"/>
        </w:rPr>
        <w:footnoteReference w:id="75"/>
      </w:r>
      <w:r w:rsidR="001C296E">
        <w:rPr>
          <w:rFonts w:ascii="Source Sans Pro" w:hAnsi="Source Sans Pro"/>
        </w:rPr>
        <w:t xml:space="preserve"> </w:t>
      </w:r>
      <w:r w:rsidR="00920313">
        <w:rPr>
          <w:rFonts w:ascii="Source Sans Pro" w:hAnsi="Source Sans Pro"/>
        </w:rPr>
        <w:t xml:space="preserve">This motif is </w:t>
      </w:r>
      <w:r w:rsidR="004263F1">
        <w:rPr>
          <w:rFonts w:ascii="Source Sans Pro" w:hAnsi="Source Sans Pro"/>
        </w:rPr>
        <w:t>described as pattern in the lives of Welsh saints by Elissa Henken, who argues that saints often, as a power behind secular authority, defend the law themselves, with their relics being used for taking oaths and disclosing perjurers.</w:t>
      </w:r>
      <w:r w:rsidR="004263F1">
        <w:rPr>
          <w:rStyle w:val="FootnoteReference"/>
          <w:rFonts w:ascii="Source Sans Pro" w:hAnsi="Source Sans Pro"/>
        </w:rPr>
        <w:footnoteReference w:id="76"/>
      </w:r>
      <w:r w:rsidR="00A97586">
        <w:rPr>
          <w:rFonts w:ascii="Source Sans Pro" w:hAnsi="Source Sans Pro"/>
        </w:rPr>
        <w:t xml:space="preserve"> </w:t>
      </w:r>
      <w:r w:rsidR="00E44313">
        <w:rPr>
          <w:rFonts w:ascii="Source Sans Pro" w:hAnsi="Source Sans Pro"/>
        </w:rPr>
        <w:t>There is also a political dimension to the miracles attributed to Saint Gwenfrewy, whose well is described as providing milk rather than water in celebration after the expulsion of Normans from Wales, and thus her miracles are linked to the will of her people and their freedom.</w:t>
      </w:r>
      <w:r w:rsidR="00E44313">
        <w:rPr>
          <w:rStyle w:val="FootnoteReference"/>
          <w:rFonts w:ascii="Source Sans Pro" w:hAnsi="Source Sans Pro"/>
        </w:rPr>
        <w:footnoteReference w:id="77"/>
      </w:r>
      <w:r w:rsidR="007D0BD2">
        <w:rPr>
          <w:rFonts w:ascii="Source Sans Pro" w:hAnsi="Source Sans Pro"/>
        </w:rPr>
        <w:t xml:space="preserve"> </w:t>
      </w:r>
      <w:r w:rsidR="007E1633">
        <w:rPr>
          <w:rFonts w:ascii="Source Sans Pro" w:hAnsi="Source Sans Pro"/>
        </w:rPr>
        <w:t xml:space="preserve">Similarly, Saint Melangell is described as </w:t>
      </w:r>
      <w:r w:rsidR="004A088E">
        <w:rPr>
          <w:rFonts w:ascii="Source Sans Pro" w:hAnsi="Source Sans Pro"/>
        </w:rPr>
        <w:t>protecting the virgins in her sanctuary after her death by striking down the evil Elisse, who wanted to assault the women, and</w:t>
      </w:r>
      <w:r w:rsidR="007635FB">
        <w:rPr>
          <w:rFonts w:ascii="Source Sans Pro" w:hAnsi="Source Sans Pro"/>
        </w:rPr>
        <w:t xml:space="preserve"> in the account of her Life in </w:t>
      </w:r>
      <w:r w:rsidR="007635FB" w:rsidRPr="007D0BD2">
        <w:rPr>
          <w:rFonts w:ascii="Source Sans Pro" w:hAnsi="Source Sans Pro"/>
          <w:i/>
          <w:iCs/>
        </w:rPr>
        <w:t xml:space="preserve">Historia Divae </w:t>
      </w:r>
      <w:proofErr w:type="spellStart"/>
      <w:r w:rsidR="007635FB" w:rsidRPr="007D0BD2">
        <w:rPr>
          <w:rFonts w:ascii="Source Sans Pro" w:hAnsi="Source Sans Pro"/>
          <w:i/>
          <w:iCs/>
        </w:rPr>
        <w:t>Monacellae</w:t>
      </w:r>
      <w:proofErr w:type="spellEnd"/>
      <w:r w:rsidR="007635FB">
        <w:rPr>
          <w:rFonts w:ascii="Source Sans Pro" w:hAnsi="Source Sans Pro"/>
        </w:rPr>
        <w:t>, it is stated “Whoever has violated the above mentioned liberty and sanctity of the said virgin, has been rarely seen to escape divine wrath on this account, as may be daily perceived.”</w:t>
      </w:r>
      <w:r w:rsidR="005C785C">
        <w:rPr>
          <w:rStyle w:val="FootnoteReference"/>
          <w:rFonts w:ascii="Source Sans Pro" w:hAnsi="Source Sans Pro"/>
        </w:rPr>
        <w:footnoteReference w:id="78"/>
      </w:r>
      <w:r w:rsidR="005C785C">
        <w:rPr>
          <w:rFonts w:ascii="Source Sans Pro" w:hAnsi="Source Sans Pro"/>
        </w:rPr>
        <w:t xml:space="preserve"> </w:t>
      </w:r>
      <w:r w:rsidR="00944B8B">
        <w:rPr>
          <w:rFonts w:ascii="Source Sans Pro" w:hAnsi="Source Sans Pro"/>
        </w:rPr>
        <w:t>As fierce protectors of their lands, the female Welsh saints follow the male Welsh saint model as echoing secular rulers,</w:t>
      </w:r>
      <w:r w:rsidR="00944B8B">
        <w:rPr>
          <w:rStyle w:val="FootnoteReference"/>
          <w:rFonts w:ascii="Source Sans Pro" w:hAnsi="Source Sans Pro"/>
        </w:rPr>
        <w:footnoteReference w:id="79"/>
      </w:r>
      <w:r w:rsidR="00944B8B">
        <w:rPr>
          <w:rFonts w:ascii="Source Sans Pro" w:hAnsi="Source Sans Pro"/>
        </w:rPr>
        <w:t xml:space="preserve"> </w:t>
      </w:r>
      <w:r w:rsidR="007D0BD2">
        <w:rPr>
          <w:rFonts w:ascii="Source Sans Pro" w:hAnsi="Source Sans Pro"/>
        </w:rPr>
        <w:t>taking on responsibilities of kingship by protecting their people and maintaining both peace and justice.</w:t>
      </w:r>
      <w:r w:rsidR="007D0BD2">
        <w:rPr>
          <w:rStyle w:val="FootnoteReference"/>
          <w:rFonts w:ascii="Source Sans Pro" w:hAnsi="Source Sans Pro"/>
        </w:rPr>
        <w:footnoteReference w:id="80"/>
      </w:r>
    </w:p>
    <w:p w14:paraId="25E3A4BB" w14:textId="2F36ADD1" w:rsidR="007F23B1" w:rsidRDefault="00A97586" w:rsidP="007F23B1">
      <w:pPr>
        <w:rPr>
          <w:rFonts w:ascii="Source Sans Pro" w:hAnsi="Source Sans Pro"/>
        </w:rPr>
      </w:pPr>
      <w:r>
        <w:rPr>
          <w:rFonts w:ascii="Source Sans Pro" w:hAnsi="Source Sans Pro"/>
        </w:rPr>
        <w:t>A</w:t>
      </w:r>
      <w:r w:rsidR="00DF53BC">
        <w:rPr>
          <w:rFonts w:ascii="Source Sans Pro" w:hAnsi="Source Sans Pro"/>
        </w:rPr>
        <w:t>nother</w:t>
      </w:r>
      <w:r>
        <w:rPr>
          <w:rFonts w:ascii="Source Sans Pro" w:hAnsi="Source Sans Pro"/>
        </w:rPr>
        <w:t xml:space="preserve"> crucial aspect of Welsh saints’ connection to their land is the power of sanctuary granted to them by secular rulers, a right defended fiercely by male Welsh saints and often gained through conflict or miraculous means. For example, </w:t>
      </w:r>
      <w:r w:rsidR="001E3392">
        <w:rPr>
          <w:rFonts w:ascii="Source Sans Pro" w:hAnsi="Source Sans Pro"/>
        </w:rPr>
        <w:t xml:space="preserve">Saint Cadog comes into conflict with King Arthur for </w:t>
      </w:r>
      <w:r w:rsidR="001E3392">
        <w:rPr>
          <w:rFonts w:ascii="Source Sans Pro" w:hAnsi="Source Sans Pro"/>
        </w:rPr>
        <w:lastRenderedPageBreak/>
        <w:t>harbouring a fugitive, but King Arthur is forced by mediators to extend Cadog’s right of sanctuary.</w:t>
      </w:r>
      <w:r w:rsidR="00731FEB">
        <w:rPr>
          <w:rStyle w:val="FootnoteReference"/>
          <w:rFonts w:ascii="Source Sans Pro" w:hAnsi="Source Sans Pro"/>
        </w:rPr>
        <w:footnoteReference w:id="81"/>
      </w:r>
      <w:r w:rsidR="001E3392">
        <w:rPr>
          <w:rFonts w:ascii="Source Sans Pro" w:hAnsi="Source Sans Pro"/>
        </w:rPr>
        <w:t xml:space="preserve"> The right of sanctuary thus serves as a way for saints to </w:t>
      </w:r>
      <w:r w:rsidR="00731FEB">
        <w:rPr>
          <w:rFonts w:ascii="Source Sans Pro" w:hAnsi="Source Sans Pro"/>
        </w:rPr>
        <w:t xml:space="preserve">ascend beyond the limits of secular authority and jurisdiction by gaining lands that cannot be controlled by kings. The question of sanctuary often arises from </w:t>
      </w:r>
      <w:r w:rsidR="00DE676D">
        <w:rPr>
          <w:rFonts w:ascii="Source Sans Pro" w:hAnsi="Source Sans Pro"/>
        </w:rPr>
        <w:t xml:space="preserve">an animal which seeks refuge from the king’s hunt at the feet of the saint, as in the case of Saint Cybi, who refused to release to Maelgwn a goat that had hidden </w:t>
      </w:r>
      <w:proofErr w:type="spellStart"/>
      <w:r w:rsidR="00DE676D">
        <w:rPr>
          <w:rFonts w:ascii="Source Sans Pro" w:hAnsi="Source Sans Pro"/>
        </w:rPr>
        <w:t>ith</w:t>
      </w:r>
      <w:proofErr w:type="spellEnd"/>
      <w:r w:rsidR="00DE676D">
        <w:rPr>
          <w:rFonts w:ascii="Source Sans Pro" w:hAnsi="Source Sans Pro"/>
        </w:rPr>
        <w:t xml:space="preserve"> him for protection,</w:t>
      </w:r>
      <w:r w:rsidR="00DE676D">
        <w:rPr>
          <w:rStyle w:val="FootnoteReference"/>
          <w:rFonts w:ascii="Source Sans Pro" w:hAnsi="Source Sans Pro"/>
        </w:rPr>
        <w:footnoteReference w:id="82"/>
      </w:r>
      <w:r w:rsidR="00DE676D">
        <w:rPr>
          <w:rFonts w:ascii="Source Sans Pro" w:hAnsi="Source Sans Pro"/>
        </w:rPr>
        <w:t xml:space="preserve"> and then agreed to let it go if he could have the land crossed by the goat while being chased by Maelgwn’s dog.</w:t>
      </w:r>
      <w:r w:rsidR="00DE676D">
        <w:rPr>
          <w:rStyle w:val="FootnoteReference"/>
          <w:rFonts w:ascii="Source Sans Pro" w:hAnsi="Source Sans Pro"/>
        </w:rPr>
        <w:footnoteReference w:id="83"/>
      </w:r>
      <w:r w:rsidR="00DE676D">
        <w:rPr>
          <w:rFonts w:ascii="Source Sans Pro" w:hAnsi="Source Sans Pro"/>
        </w:rPr>
        <w:t xml:space="preserve"> The goat </w:t>
      </w:r>
      <w:r w:rsidR="00A73A0F">
        <w:rPr>
          <w:rFonts w:ascii="Source Sans Pro" w:hAnsi="Source Sans Pro"/>
        </w:rPr>
        <w:t>wins Cybi a large swathe of land and then returns to him, unharmed.</w:t>
      </w:r>
      <w:r w:rsidR="00A73A0F">
        <w:rPr>
          <w:rStyle w:val="FootnoteReference"/>
          <w:rFonts w:ascii="Source Sans Pro" w:hAnsi="Source Sans Pro"/>
        </w:rPr>
        <w:footnoteReference w:id="84"/>
      </w:r>
      <w:r w:rsidR="00A73A0F">
        <w:rPr>
          <w:rFonts w:ascii="Source Sans Pro" w:hAnsi="Source Sans Pro"/>
        </w:rPr>
        <w:t xml:space="preserve"> </w:t>
      </w:r>
      <w:r w:rsidR="007F23B1">
        <w:rPr>
          <w:rFonts w:ascii="Source Sans Pro" w:hAnsi="Source Sans Pro"/>
        </w:rPr>
        <w:t xml:space="preserve">This motif applies </w:t>
      </w:r>
      <w:r w:rsidR="00C23546">
        <w:rPr>
          <w:rFonts w:ascii="Source Sans Pro" w:hAnsi="Source Sans Pro"/>
        </w:rPr>
        <w:t xml:space="preserve">as well </w:t>
      </w:r>
      <w:r w:rsidR="007F23B1">
        <w:rPr>
          <w:rFonts w:ascii="Source Sans Pro" w:hAnsi="Source Sans Pro"/>
        </w:rPr>
        <w:t xml:space="preserve">to Saint </w:t>
      </w:r>
      <w:proofErr w:type="spellStart"/>
      <w:r w:rsidR="007F23B1">
        <w:rPr>
          <w:rFonts w:ascii="Source Sans Pro" w:hAnsi="Source Sans Pro"/>
        </w:rPr>
        <w:t>Oudoceus</w:t>
      </w:r>
      <w:proofErr w:type="spellEnd"/>
      <w:r w:rsidR="007F23B1">
        <w:rPr>
          <w:rFonts w:ascii="Source Sans Pro" w:hAnsi="Source Sans Pro"/>
        </w:rPr>
        <w:t>, and, relevant for this essay’s discussion of female sanctity in Wales, Saint Melangell also gain</w:t>
      </w:r>
      <w:r w:rsidR="003F4A18">
        <w:rPr>
          <w:rFonts w:ascii="Source Sans Pro" w:hAnsi="Source Sans Pro"/>
        </w:rPr>
        <w:t>ed the</w:t>
      </w:r>
      <w:r w:rsidR="007F23B1">
        <w:rPr>
          <w:rFonts w:ascii="Source Sans Pro" w:hAnsi="Source Sans Pro"/>
        </w:rPr>
        <w:t xml:space="preserve"> rights of sanctuary through a</w:t>
      </w:r>
      <w:r w:rsidR="003F4A18">
        <w:rPr>
          <w:rFonts w:ascii="Source Sans Pro" w:hAnsi="Source Sans Pro"/>
        </w:rPr>
        <w:t xml:space="preserve"> hare </w:t>
      </w:r>
      <w:r w:rsidR="007F23B1">
        <w:rPr>
          <w:rFonts w:ascii="Source Sans Pro" w:hAnsi="Source Sans Pro"/>
        </w:rPr>
        <w:t>fleeing to her for safety</w:t>
      </w:r>
      <w:r w:rsidR="003F4A18">
        <w:rPr>
          <w:rFonts w:ascii="Source Sans Pro" w:hAnsi="Source Sans Pro"/>
        </w:rPr>
        <w:t xml:space="preserve"> from Brochwel </w:t>
      </w:r>
      <w:proofErr w:type="spellStart"/>
      <w:r w:rsidR="003F4A18">
        <w:rPr>
          <w:rFonts w:ascii="Source Sans Pro" w:hAnsi="Source Sans Pro"/>
        </w:rPr>
        <w:t>Ysgithrog’s</w:t>
      </w:r>
      <w:proofErr w:type="spellEnd"/>
      <w:r w:rsidR="003F4A18">
        <w:rPr>
          <w:rFonts w:ascii="Source Sans Pro" w:hAnsi="Source Sans Pro"/>
        </w:rPr>
        <w:t xml:space="preserve"> dogs</w:t>
      </w:r>
      <w:r w:rsidR="007F23B1">
        <w:rPr>
          <w:rFonts w:ascii="Source Sans Pro" w:hAnsi="Source Sans Pro"/>
        </w:rPr>
        <w:t>.</w:t>
      </w:r>
      <w:r w:rsidR="007F23B1">
        <w:rPr>
          <w:rStyle w:val="FootnoteReference"/>
          <w:rFonts w:ascii="Source Sans Pro" w:hAnsi="Source Sans Pro"/>
        </w:rPr>
        <w:footnoteReference w:id="85"/>
      </w:r>
      <w:r w:rsidR="003F4A18">
        <w:rPr>
          <w:rFonts w:ascii="Source Sans Pro" w:hAnsi="Source Sans Pro"/>
        </w:rPr>
        <w:t xml:space="preserve"> Brochwel gav</w:t>
      </w:r>
      <w:r w:rsidR="0014682A">
        <w:rPr>
          <w:rFonts w:ascii="Source Sans Pro" w:hAnsi="Source Sans Pro"/>
        </w:rPr>
        <w:t xml:space="preserve">e her the lands so “they may be a perpetual asylum, refuge, and defence”, and “let neither King nor Prince </w:t>
      </w:r>
      <w:r w:rsidR="009B494E">
        <w:rPr>
          <w:rFonts w:ascii="Source Sans Pro" w:hAnsi="Source Sans Pro"/>
        </w:rPr>
        <w:t xml:space="preserve">dare to be so rash or bold towards God as that any man or woman fleeing hither </w:t>
      </w:r>
      <w:r w:rsidR="0014682A">
        <w:rPr>
          <w:rFonts w:ascii="Source Sans Pro" w:hAnsi="Source Sans Pro"/>
        </w:rPr>
        <w:t xml:space="preserve">[…] </w:t>
      </w:r>
      <w:r w:rsidR="009B494E">
        <w:rPr>
          <w:rFonts w:ascii="Source Sans Pro" w:hAnsi="Source Sans Pro"/>
        </w:rPr>
        <w:t xml:space="preserve">should he </w:t>
      </w:r>
      <w:r w:rsidR="0014682A">
        <w:rPr>
          <w:rFonts w:ascii="Source Sans Pro" w:hAnsi="Source Sans Pro"/>
        </w:rPr>
        <w:t>presume to dra</w:t>
      </w:r>
      <w:r w:rsidR="009B494E">
        <w:rPr>
          <w:rFonts w:ascii="Source Sans Pro" w:hAnsi="Source Sans Pro"/>
        </w:rPr>
        <w:t>g</w:t>
      </w:r>
      <w:r w:rsidR="0014682A">
        <w:rPr>
          <w:rFonts w:ascii="Source Sans Pro" w:hAnsi="Source Sans Pro"/>
        </w:rPr>
        <w:t xml:space="preserve"> forth</w:t>
      </w:r>
      <w:r w:rsidR="009B494E">
        <w:rPr>
          <w:rFonts w:ascii="Source Sans Pro" w:hAnsi="Source Sans Pro"/>
        </w:rPr>
        <w:t>.”</w:t>
      </w:r>
      <w:r w:rsidR="009B494E">
        <w:rPr>
          <w:rStyle w:val="FootnoteReference"/>
          <w:rFonts w:ascii="Source Sans Pro" w:hAnsi="Source Sans Pro"/>
        </w:rPr>
        <w:footnoteReference w:id="86"/>
      </w:r>
      <w:r w:rsidR="009B494E">
        <w:rPr>
          <w:rFonts w:ascii="Source Sans Pro" w:hAnsi="Source Sans Pro"/>
        </w:rPr>
        <w:t xml:space="preserve"> </w:t>
      </w:r>
      <w:r w:rsidR="004564DF">
        <w:rPr>
          <w:rFonts w:ascii="Source Sans Pro" w:hAnsi="Source Sans Pro"/>
        </w:rPr>
        <w:t>The text also highlights that Brochwel’s descendants continued to honour Pennant as a perpetual sanctuary, and Pickering points to a</w:t>
      </w:r>
      <w:r w:rsidR="00EA13CB">
        <w:rPr>
          <w:rFonts w:ascii="Source Sans Pro" w:hAnsi="Source Sans Pro"/>
        </w:rPr>
        <w:t xml:space="preserve"> story from Pennant of a stone in the churchyard with a figure of an armed man on it once covering the eldest son of Owen </w:t>
      </w:r>
      <w:proofErr w:type="spellStart"/>
      <w:r w:rsidR="00EA13CB">
        <w:rPr>
          <w:rFonts w:ascii="Source Sans Pro" w:hAnsi="Source Sans Pro"/>
        </w:rPr>
        <w:t>Gynedd</w:t>
      </w:r>
      <w:proofErr w:type="spellEnd"/>
      <w:r w:rsidR="00EA13CB">
        <w:rPr>
          <w:rFonts w:ascii="Source Sans Pro" w:hAnsi="Source Sans Pro"/>
        </w:rPr>
        <w:t xml:space="preserve"> who was put aside of the succession and fled to </w:t>
      </w:r>
      <w:proofErr w:type="spellStart"/>
      <w:r w:rsidR="00EA13CB">
        <w:rPr>
          <w:rFonts w:ascii="Source Sans Pro" w:hAnsi="Source Sans Pro"/>
        </w:rPr>
        <w:t>Melangell’s</w:t>
      </w:r>
      <w:proofErr w:type="spellEnd"/>
      <w:r w:rsidR="00EA13CB">
        <w:rPr>
          <w:rFonts w:ascii="Source Sans Pro" w:hAnsi="Source Sans Pro"/>
        </w:rPr>
        <w:t xml:space="preserve"> </w:t>
      </w:r>
      <w:r w:rsidR="007F5852">
        <w:rPr>
          <w:rFonts w:ascii="Source Sans Pro" w:hAnsi="Source Sans Pro"/>
        </w:rPr>
        <w:t xml:space="preserve">famous </w:t>
      </w:r>
      <w:r w:rsidR="00EA13CB">
        <w:rPr>
          <w:rFonts w:ascii="Source Sans Pro" w:hAnsi="Source Sans Pro"/>
        </w:rPr>
        <w:t>sanctuary at Pennant for refuge from his cruel brother Dafydd ap Owen Gwynedd</w:t>
      </w:r>
      <w:r w:rsidR="007F5852">
        <w:rPr>
          <w:rFonts w:ascii="Source Sans Pro" w:hAnsi="Source Sans Pro"/>
        </w:rPr>
        <w:t>.</w:t>
      </w:r>
      <w:r w:rsidR="007F5852">
        <w:rPr>
          <w:rStyle w:val="FootnoteReference"/>
          <w:rFonts w:ascii="Source Sans Pro" w:hAnsi="Source Sans Pro"/>
        </w:rPr>
        <w:footnoteReference w:id="87"/>
      </w:r>
      <w:r w:rsidR="007F5852">
        <w:rPr>
          <w:rFonts w:ascii="Source Sans Pro" w:hAnsi="Source Sans Pro"/>
        </w:rPr>
        <w:t xml:space="preserve"> </w:t>
      </w:r>
      <w:proofErr w:type="spellStart"/>
      <w:r w:rsidR="007F5852">
        <w:rPr>
          <w:rFonts w:ascii="Source Sans Pro" w:hAnsi="Source Sans Pro"/>
        </w:rPr>
        <w:t>Melangell’s</w:t>
      </w:r>
      <w:proofErr w:type="spellEnd"/>
      <w:r w:rsidR="007F5852">
        <w:rPr>
          <w:rFonts w:ascii="Source Sans Pro" w:hAnsi="Source Sans Pro"/>
        </w:rPr>
        <w:t xml:space="preserve"> sanctuary was therefore considered as sacred as the lands of male Welsh saints, and </w:t>
      </w:r>
      <w:r w:rsidR="0003356A">
        <w:rPr>
          <w:rFonts w:ascii="Source Sans Pro" w:hAnsi="Source Sans Pro"/>
        </w:rPr>
        <w:t>her protection over her land held strong over time, with her role as the patroness of hares meaning superstition in the area that up until the eighteenth century was so strong that people would not kill hares in the parish.</w:t>
      </w:r>
      <w:r w:rsidR="0003356A">
        <w:rPr>
          <w:rStyle w:val="FootnoteReference"/>
          <w:rFonts w:ascii="Source Sans Pro" w:hAnsi="Source Sans Pro"/>
        </w:rPr>
        <w:footnoteReference w:id="88"/>
      </w:r>
      <w:r w:rsidR="0003356A">
        <w:rPr>
          <w:rFonts w:ascii="Source Sans Pro" w:hAnsi="Source Sans Pro"/>
        </w:rPr>
        <w:t xml:space="preserve"> Reverence for their patron saint in Pennant </w:t>
      </w:r>
      <w:r w:rsidR="004063FC">
        <w:rPr>
          <w:rFonts w:ascii="Source Sans Pro" w:hAnsi="Source Sans Pro"/>
        </w:rPr>
        <w:t xml:space="preserve">can be seen in their treatment of hares, and </w:t>
      </w:r>
      <w:r w:rsidR="00DF53BC">
        <w:rPr>
          <w:rFonts w:ascii="Source Sans Pro" w:hAnsi="Source Sans Pro"/>
        </w:rPr>
        <w:t xml:space="preserve">likewise </w:t>
      </w:r>
      <w:r w:rsidR="004063FC">
        <w:rPr>
          <w:rFonts w:ascii="Source Sans Pro" w:hAnsi="Source Sans Pro"/>
        </w:rPr>
        <w:t xml:space="preserve">veneration of other female saints highlights their cultural importance and shows </w:t>
      </w:r>
      <w:r w:rsidR="00DF53BC">
        <w:rPr>
          <w:rFonts w:ascii="Source Sans Pro" w:hAnsi="Source Sans Pro"/>
        </w:rPr>
        <w:t xml:space="preserve">that </w:t>
      </w:r>
      <w:r w:rsidR="004063FC">
        <w:rPr>
          <w:rFonts w:ascii="Source Sans Pro" w:hAnsi="Source Sans Pro"/>
        </w:rPr>
        <w:t>their communities</w:t>
      </w:r>
      <w:r w:rsidR="00DF53BC">
        <w:rPr>
          <w:rFonts w:ascii="Source Sans Pro" w:hAnsi="Source Sans Pro"/>
        </w:rPr>
        <w:t xml:space="preserve"> indeed</w:t>
      </w:r>
      <w:r w:rsidR="004063FC">
        <w:rPr>
          <w:rFonts w:ascii="Source Sans Pro" w:hAnsi="Source Sans Pro"/>
        </w:rPr>
        <w:t xml:space="preserve"> worshipped the</w:t>
      </w:r>
      <w:r w:rsidR="00DF53BC">
        <w:rPr>
          <w:rFonts w:ascii="Source Sans Pro" w:hAnsi="Source Sans Pro"/>
        </w:rPr>
        <w:t>se women</w:t>
      </w:r>
      <w:r w:rsidR="004063FC">
        <w:rPr>
          <w:rFonts w:ascii="Source Sans Pro" w:hAnsi="Source Sans Pro"/>
        </w:rPr>
        <w:t xml:space="preserve"> as saints. </w:t>
      </w:r>
    </w:p>
    <w:p w14:paraId="0A0832D9" w14:textId="77777777" w:rsidR="00DF53BC" w:rsidRDefault="007615D5" w:rsidP="00DF086C">
      <w:pPr>
        <w:rPr>
          <w:rFonts w:ascii="Source Sans Pro" w:hAnsi="Source Sans Pro"/>
        </w:rPr>
      </w:pPr>
      <w:r>
        <w:rPr>
          <w:rFonts w:ascii="Source Sans Pro" w:hAnsi="Source Sans Pro"/>
        </w:rPr>
        <w:t xml:space="preserve">To understand the extent to which female Welsh religious figures were considered saints, examining their veneration in their communities uncovers the popular view towards them and shows how they were viewed as sacred intercessors between the divine and human. As Saint Gwenfrewy was the most popular saint in Wales and the one with the largest evidence of her cult, her veneration throughout the medieval period highlights </w:t>
      </w:r>
      <w:r w:rsidR="00410BEF">
        <w:rPr>
          <w:rFonts w:ascii="Source Sans Pro" w:hAnsi="Source Sans Pro"/>
        </w:rPr>
        <w:t xml:space="preserve">the </w:t>
      </w:r>
      <w:r>
        <w:rPr>
          <w:rFonts w:ascii="Source Sans Pro" w:hAnsi="Source Sans Pro"/>
        </w:rPr>
        <w:t>spiritual importance</w:t>
      </w:r>
      <w:r w:rsidR="00410BEF">
        <w:rPr>
          <w:rFonts w:ascii="Source Sans Pro" w:hAnsi="Source Sans Pro"/>
        </w:rPr>
        <w:t xml:space="preserve"> </w:t>
      </w:r>
      <w:r w:rsidR="00AD324C">
        <w:rPr>
          <w:rFonts w:ascii="Source Sans Pro" w:hAnsi="Source Sans Pro"/>
        </w:rPr>
        <w:t>given to female saints</w:t>
      </w:r>
      <w:r>
        <w:rPr>
          <w:rFonts w:ascii="Source Sans Pro" w:hAnsi="Source Sans Pro"/>
        </w:rPr>
        <w:t xml:space="preserve">. </w:t>
      </w:r>
      <w:r w:rsidR="007C7C9B">
        <w:rPr>
          <w:rFonts w:ascii="Source Sans Pro" w:hAnsi="Source Sans Pro"/>
        </w:rPr>
        <w:t>By the fourteenth century, Gwenfrewy was one of the major shrines visited by pilgrims travelling in Britain,</w:t>
      </w:r>
      <w:r w:rsidR="007C7C9B">
        <w:rPr>
          <w:rStyle w:val="FootnoteReference"/>
          <w:rFonts w:ascii="Source Sans Pro" w:hAnsi="Source Sans Pro"/>
        </w:rPr>
        <w:footnoteReference w:id="89"/>
      </w:r>
      <w:r w:rsidR="007C7C9B">
        <w:rPr>
          <w:rFonts w:ascii="Source Sans Pro" w:hAnsi="Source Sans Pro"/>
        </w:rPr>
        <w:t xml:space="preserve"> and her spiritual importance is shown by the licensing of the abbot of Basingwerk being licensed to give out indulgences for ten years beginning in 1427, giving remission to penitents who donated to the chapel and visited the well at Holywell.</w:t>
      </w:r>
      <w:r w:rsidR="007C7C9B">
        <w:rPr>
          <w:rStyle w:val="FootnoteReference"/>
          <w:rFonts w:ascii="Source Sans Pro" w:hAnsi="Source Sans Pro"/>
        </w:rPr>
        <w:footnoteReference w:id="90"/>
      </w:r>
      <w:r w:rsidR="007C7C9B">
        <w:rPr>
          <w:rFonts w:ascii="Source Sans Pro" w:hAnsi="Source Sans Pro"/>
        </w:rPr>
        <w:t xml:space="preserve"> Her popularity expanded from local cults at Holywell and at a lesser event </w:t>
      </w:r>
      <w:r w:rsidR="00E83E17">
        <w:rPr>
          <w:rFonts w:ascii="Source Sans Pro" w:hAnsi="Source Sans Pro"/>
        </w:rPr>
        <w:t xml:space="preserve">in Gwytherin </w:t>
      </w:r>
      <w:r w:rsidR="007C7C9B">
        <w:rPr>
          <w:rFonts w:ascii="Source Sans Pro" w:hAnsi="Source Sans Pro"/>
        </w:rPr>
        <w:t>to also having a Shrewsbury shrine after Prior Robert moved her relics</w:t>
      </w:r>
      <w:r w:rsidR="00E83E17">
        <w:rPr>
          <w:rFonts w:ascii="Source Sans Pro" w:hAnsi="Source Sans Pro"/>
        </w:rPr>
        <w:t xml:space="preserve"> there.</w:t>
      </w:r>
      <w:r w:rsidR="00BD1CFB">
        <w:rPr>
          <w:rStyle w:val="FootnoteReference"/>
          <w:rFonts w:ascii="Source Sans Pro" w:hAnsi="Source Sans Pro"/>
        </w:rPr>
        <w:footnoteReference w:id="91"/>
      </w:r>
      <w:r w:rsidR="00BD1CFB">
        <w:rPr>
          <w:rFonts w:ascii="Source Sans Pro" w:hAnsi="Source Sans Pro"/>
        </w:rPr>
        <w:t xml:space="preserve"> As her cult grew in popularity, </w:t>
      </w:r>
      <w:r w:rsidR="00BD1CFB">
        <w:rPr>
          <w:rFonts w:ascii="Source Sans Pro" w:hAnsi="Source Sans Pro"/>
        </w:rPr>
        <w:lastRenderedPageBreak/>
        <w:t>Gwenfrewy’s shrine in Holywell was visited by English royalty including King Richard II in 1398,</w:t>
      </w:r>
      <w:r w:rsidR="00B200CF">
        <w:rPr>
          <w:rStyle w:val="FootnoteReference"/>
          <w:rFonts w:ascii="Source Sans Pro" w:hAnsi="Source Sans Pro"/>
        </w:rPr>
        <w:footnoteReference w:id="92"/>
      </w:r>
      <w:r w:rsidR="00BD1CFB">
        <w:rPr>
          <w:rFonts w:ascii="Source Sans Pro" w:hAnsi="Source Sans Pro"/>
        </w:rPr>
        <w:t xml:space="preserve"> and </w:t>
      </w:r>
      <w:r w:rsidR="00DF086C">
        <w:rPr>
          <w:rFonts w:ascii="Source Sans Pro" w:hAnsi="Source Sans Pro"/>
        </w:rPr>
        <w:t xml:space="preserve">her shrine at Holywell received gifts from wealthy </w:t>
      </w:r>
      <w:r w:rsidR="00B200CF">
        <w:rPr>
          <w:rFonts w:ascii="Source Sans Pro" w:hAnsi="Source Sans Pro"/>
        </w:rPr>
        <w:t>patrons</w:t>
      </w:r>
      <w:r w:rsidR="00DF086C">
        <w:rPr>
          <w:rFonts w:ascii="Source Sans Pro" w:hAnsi="Source Sans Pro"/>
        </w:rPr>
        <w:t xml:space="preserve"> such as a velvet dress given by Isabella the Countess of Warwick in 1439, used to dress the image of Gwenfrewy on feast days.</w:t>
      </w:r>
      <w:r w:rsidR="00DF086C">
        <w:rPr>
          <w:rStyle w:val="FootnoteReference"/>
          <w:rFonts w:ascii="Source Sans Pro" w:hAnsi="Source Sans Pro"/>
        </w:rPr>
        <w:footnoteReference w:id="93"/>
      </w:r>
      <w:r w:rsidR="00B200CF">
        <w:rPr>
          <w:rFonts w:ascii="Source Sans Pro" w:hAnsi="Source Sans Pro"/>
        </w:rPr>
        <w:t xml:space="preserve"> Gwenfrewy’s popularity among the  Welsh </w:t>
      </w:r>
      <w:r w:rsidR="00FF1469">
        <w:rPr>
          <w:rFonts w:ascii="Source Sans Pro" w:hAnsi="Source Sans Pro"/>
        </w:rPr>
        <w:t xml:space="preserve">can be seen in the Welsh devotional poetry written to her, with numerous examples from Ieuan </w:t>
      </w:r>
      <w:proofErr w:type="spellStart"/>
      <w:r w:rsidR="00FF1469">
        <w:rPr>
          <w:rFonts w:ascii="Source Sans Pro" w:hAnsi="Source Sans Pro"/>
        </w:rPr>
        <w:t>Brydydd</w:t>
      </w:r>
      <w:proofErr w:type="spellEnd"/>
      <w:r w:rsidR="00FF1469">
        <w:rPr>
          <w:rFonts w:ascii="Source Sans Pro" w:hAnsi="Source Sans Pro"/>
        </w:rPr>
        <w:t xml:space="preserve"> Hir </w:t>
      </w:r>
      <w:proofErr w:type="spellStart"/>
      <w:r w:rsidR="00FF1469">
        <w:rPr>
          <w:rFonts w:ascii="Source Sans Pro" w:hAnsi="Source Sans Pro"/>
        </w:rPr>
        <w:t>Hynaf</w:t>
      </w:r>
      <w:proofErr w:type="spellEnd"/>
      <w:r w:rsidR="00FF1469">
        <w:rPr>
          <w:rFonts w:ascii="Source Sans Pro" w:hAnsi="Source Sans Pro"/>
        </w:rPr>
        <w:t xml:space="preserve"> at the end of the fifteenth century,</w:t>
      </w:r>
      <w:r w:rsidR="005E4F04">
        <w:rPr>
          <w:rStyle w:val="FootnoteReference"/>
          <w:rFonts w:ascii="Source Sans Pro" w:hAnsi="Source Sans Pro"/>
        </w:rPr>
        <w:footnoteReference w:id="94"/>
      </w:r>
      <w:r w:rsidR="00FF1469">
        <w:rPr>
          <w:rFonts w:ascii="Source Sans Pro" w:hAnsi="Source Sans Pro"/>
        </w:rPr>
        <w:t xml:space="preserve"> </w:t>
      </w:r>
      <w:proofErr w:type="spellStart"/>
      <w:r w:rsidR="00FF1469">
        <w:rPr>
          <w:rFonts w:ascii="Source Sans Pro" w:hAnsi="Source Sans Pro"/>
        </w:rPr>
        <w:t>Siop</w:t>
      </w:r>
      <w:proofErr w:type="spellEnd"/>
      <w:r w:rsidR="00FF1469">
        <w:rPr>
          <w:rFonts w:ascii="Source Sans Pro" w:hAnsi="Source Sans Pro"/>
        </w:rPr>
        <w:t xml:space="preserve"> ap Hywel </w:t>
      </w:r>
      <w:proofErr w:type="spellStart"/>
      <w:r w:rsidR="00FF1469">
        <w:rPr>
          <w:rFonts w:ascii="Source Sans Pro" w:hAnsi="Source Sans Pro"/>
        </w:rPr>
        <w:t>Fychan’s</w:t>
      </w:r>
      <w:proofErr w:type="spellEnd"/>
      <w:r w:rsidR="00FF1469">
        <w:rPr>
          <w:rFonts w:ascii="Source Sans Pro" w:hAnsi="Source Sans Pro"/>
        </w:rPr>
        <w:t xml:space="preserve"> awdl to Gwenfrewy in 1512,</w:t>
      </w:r>
      <w:r w:rsidR="005E4F04">
        <w:rPr>
          <w:rStyle w:val="FootnoteReference"/>
          <w:rFonts w:ascii="Source Sans Pro" w:hAnsi="Source Sans Pro"/>
        </w:rPr>
        <w:footnoteReference w:id="95"/>
      </w:r>
      <w:r w:rsidR="00FF1469">
        <w:rPr>
          <w:rFonts w:ascii="Source Sans Pro" w:hAnsi="Source Sans Pro"/>
        </w:rPr>
        <w:t xml:space="preserve"> and Tudur Aled’s </w:t>
      </w:r>
      <w:r w:rsidR="005E4F04">
        <w:rPr>
          <w:rFonts w:ascii="Source Sans Pro" w:hAnsi="Source Sans Pro"/>
        </w:rPr>
        <w:t>poem describing a hundred people lighting candles at the well and praising Gwenfrewy as an intercessor allowing for the curing of all illnesses, describing how leading men of the realm, the king, nobility and courtiers travelled to the well.</w:t>
      </w:r>
      <w:r w:rsidR="005E4F04">
        <w:rPr>
          <w:rStyle w:val="FootnoteReference"/>
          <w:rFonts w:ascii="Source Sans Pro" w:hAnsi="Source Sans Pro"/>
        </w:rPr>
        <w:footnoteReference w:id="96"/>
      </w:r>
      <w:r w:rsidR="005E4F04">
        <w:rPr>
          <w:rFonts w:ascii="Source Sans Pro" w:hAnsi="Source Sans Pro"/>
        </w:rPr>
        <w:t xml:space="preserve"> </w:t>
      </w:r>
      <w:r w:rsidR="008225FC">
        <w:rPr>
          <w:rFonts w:ascii="Source Sans Pro" w:hAnsi="Source Sans Pro"/>
        </w:rPr>
        <w:t>Gwenfrewy’s well at Holywell remains an active site of Catholic pilgrimage in the modern era,</w:t>
      </w:r>
      <w:r w:rsidR="008225FC">
        <w:rPr>
          <w:rStyle w:val="FootnoteReference"/>
          <w:rFonts w:ascii="Source Sans Pro" w:hAnsi="Source Sans Pro"/>
        </w:rPr>
        <w:footnoteReference w:id="97"/>
      </w:r>
      <w:r w:rsidR="008225FC">
        <w:rPr>
          <w:rFonts w:ascii="Source Sans Pro" w:hAnsi="Source Sans Pro"/>
        </w:rPr>
        <w:t xml:space="preserve"> and e</w:t>
      </w:r>
      <w:r w:rsidR="00400241">
        <w:rPr>
          <w:rFonts w:ascii="Source Sans Pro" w:hAnsi="Source Sans Pro"/>
        </w:rPr>
        <w:t>vidence for the survival of Gwenfrewy’s reliquary shrine (Arch Gwenfrewy), and the grave chapel dedicated to her (Capel Gwenf</w:t>
      </w:r>
      <w:r w:rsidR="00976C2B">
        <w:rPr>
          <w:rFonts w:ascii="Source Sans Pro" w:hAnsi="Source Sans Pro"/>
        </w:rPr>
        <w:t>rewy) at Gwytherin in the early eighteenth century shows the continuing popularity of her Welsh cult for centuries after the removal of her relics.</w:t>
      </w:r>
      <w:r w:rsidR="00976C2B">
        <w:rPr>
          <w:rStyle w:val="FootnoteReference"/>
          <w:rFonts w:ascii="Source Sans Pro" w:hAnsi="Source Sans Pro"/>
        </w:rPr>
        <w:footnoteReference w:id="98"/>
      </w:r>
      <w:r w:rsidR="008225FC">
        <w:rPr>
          <w:rFonts w:ascii="Source Sans Pro" w:hAnsi="Source Sans Pro"/>
        </w:rPr>
        <w:t xml:space="preserve"> </w:t>
      </w:r>
    </w:p>
    <w:p w14:paraId="61F6CDD6" w14:textId="7BD8690B" w:rsidR="007E68FF" w:rsidRDefault="008D2690" w:rsidP="00DF086C">
      <w:pPr>
        <w:rPr>
          <w:rFonts w:ascii="Source Sans Pro" w:hAnsi="Source Sans Pro"/>
        </w:rPr>
      </w:pPr>
      <w:r>
        <w:rPr>
          <w:rFonts w:ascii="Source Sans Pro" w:hAnsi="Source Sans Pro"/>
        </w:rPr>
        <w:t>Furthermore, the Welsh opposition recorded by Prior Robert when removing her relics from Gwytheri</w:t>
      </w:r>
      <w:r w:rsidR="00195EFA">
        <w:rPr>
          <w:rFonts w:ascii="Source Sans Pro" w:hAnsi="Source Sans Pro"/>
        </w:rPr>
        <w:t xml:space="preserve">n borders </w:t>
      </w:r>
      <w:r w:rsidR="003436F1">
        <w:rPr>
          <w:rFonts w:ascii="Source Sans Pro" w:hAnsi="Source Sans Pro"/>
        </w:rPr>
        <w:t xml:space="preserve">was virulent </w:t>
      </w:r>
      <w:r w:rsidR="00195EFA">
        <w:rPr>
          <w:rFonts w:ascii="Source Sans Pro" w:hAnsi="Source Sans Pro"/>
        </w:rPr>
        <w:t xml:space="preserve">despite his efforts to underline the </w:t>
      </w:r>
      <w:r w:rsidR="00E84DBF">
        <w:rPr>
          <w:rFonts w:ascii="Source Sans Pro" w:hAnsi="Source Sans Pro"/>
        </w:rPr>
        <w:t>welcome permission he gained from the leaders and nobles of Wales,</w:t>
      </w:r>
      <w:r w:rsidR="00E84DBF">
        <w:rPr>
          <w:rStyle w:val="FootnoteReference"/>
          <w:rFonts w:ascii="Source Sans Pro" w:hAnsi="Source Sans Pro"/>
        </w:rPr>
        <w:footnoteReference w:id="99"/>
      </w:r>
      <w:r w:rsidR="00E84DBF">
        <w:rPr>
          <w:rFonts w:ascii="Source Sans Pro" w:hAnsi="Source Sans Pro"/>
        </w:rPr>
        <w:t xml:space="preserve"> with </w:t>
      </w:r>
      <w:r w:rsidR="00843090">
        <w:rPr>
          <w:rFonts w:ascii="Source Sans Pro" w:hAnsi="Source Sans Pro"/>
        </w:rPr>
        <w:t>a man from Gwytherin arguing “it was not right that saints be torn away from their native soil”,</w:t>
      </w:r>
      <w:r w:rsidR="00843090">
        <w:rPr>
          <w:rStyle w:val="FootnoteReference"/>
          <w:rFonts w:ascii="Source Sans Pro" w:hAnsi="Source Sans Pro"/>
        </w:rPr>
        <w:footnoteReference w:id="100"/>
      </w:r>
      <w:r w:rsidR="00843090">
        <w:rPr>
          <w:rFonts w:ascii="Source Sans Pro" w:hAnsi="Source Sans Pro"/>
        </w:rPr>
        <w:t xml:space="preserve"> and a local telling Prior Robert and his companions that the people of Gwytherin were angry with them because they wanted to “carry off the bodies of saints kept in their possession, to which they and all their own are entrusted.”</w:t>
      </w:r>
      <w:r w:rsidR="00843090">
        <w:rPr>
          <w:rStyle w:val="FootnoteReference"/>
          <w:rFonts w:ascii="Source Sans Pro" w:hAnsi="Source Sans Pro"/>
        </w:rPr>
        <w:footnoteReference w:id="101"/>
      </w:r>
      <w:r w:rsidR="00FE717A">
        <w:rPr>
          <w:rFonts w:ascii="Source Sans Pro" w:hAnsi="Source Sans Pro"/>
        </w:rPr>
        <w:t xml:space="preserve"> Gregory argues convincingly that the angry opposition faced by Prior Robert at Gwytherin </w:t>
      </w:r>
      <w:r w:rsidR="00BA5907">
        <w:rPr>
          <w:rFonts w:ascii="Source Sans Pro" w:hAnsi="Source Sans Pro"/>
        </w:rPr>
        <w:t>seems to reveal a genuine expression of Welsh attitudes toward the reverence due to the saints in their communities.</w:t>
      </w:r>
      <w:r w:rsidR="00BA5907">
        <w:rPr>
          <w:rStyle w:val="FootnoteReference"/>
          <w:rFonts w:ascii="Source Sans Pro" w:hAnsi="Source Sans Pro"/>
        </w:rPr>
        <w:footnoteReference w:id="102"/>
      </w:r>
    </w:p>
    <w:p w14:paraId="337FF8DD" w14:textId="53FF1706" w:rsidR="00EF0EDB" w:rsidRDefault="008F0F1C" w:rsidP="00F5580A">
      <w:pPr>
        <w:rPr>
          <w:rFonts w:ascii="Source Sans Pro" w:hAnsi="Source Sans Pro"/>
        </w:rPr>
      </w:pPr>
      <w:r>
        <w:rPr>
          <w:rFonts w:ascii="Source Sans Pro" w:hAnsi="Source Sans Pro"/>
        </w:rPr>
        <w:t xml:space="preserve">Further evidence of the veneration of female saints in Wales comes from literature about Saint Dwynwen, for whom although a written Life does not survive, </w:t>
      </w:r>
      <w:r w:rsidR="00D22BAB">
        <w:rPr>
          <w:rFonts w:ascii="Source Sans Pro" w:hAnsi="Source Sans Pro"/>
        </w:rPr>
        <w:t xml:space="preserve">evidence from the Bangor missal, the </w:t>
      </w:r>
      <w:proofErr w:type="spellStart"/>
      <w:r w:rsidR="00D22BAB">
        <w:rPr>
          <w:rFonts w:ascii="Source Sans Pro" w:hAnsi="Source Sans Pro"/>
        </w:rPr>
        <w:t>Llanbeblig</w:t>
      </w:r>
      <w:proofErr w:type="spellEnd"/>
      <w:r w:rsidR="00D22BAB">
        <w:rPr>
          <w:rFonts w:ascii="Source Sans Pro" w:hAnsi="Source Sans Pro"/>
        </w:rPr>
        <w:t xml:space="preserve"> books and the poem </w:t>
      </w:r>
      <w:r w:rsidR="00F17D59">
        <w:rPr>
          <w:rFonts w:ascii="Source Sans Pro" w:hAnsi="Source Sans Pro"/>
        </w:rPr>
        <w:t>‘</w:t>
      </w:r>
      <w:proofErr w:type="spellStart"/>
      <w:r w:rsidR="00F17D59">
        <w:rPr>
          <w:rFonts w:ascii="Source Sans Pro" w:hAnsi="Source Sans Pro"/>
        </w:rPr>
        <w:t>Galw</w:t>
      </w:r>
      <w:proofErr w:type="spellEnd"/>
      <w:r w:rsidR="00F17D59">
        <w:rPr>
          <w:rFonts w:ascii="Source Sans Pro" w:hAnsi="Source Sans Pro"/>
        </w:rPr>
        <w:t xml:space="preserve"> </w:t>
      </w:r>
      <w:proofErr w:type="spellStart"/>
      <w:r w:rsidR="00F17D59">
        <w:rPr>
          <w:rFonts w:ascii="Source Sans Pro" w:hAnsi="Source Sans Pro"/>
        </w:rPr>
        <w:t>ar</w:t>
      </w:r>
      <w:proofErr w:type="spellEnd"/>
      <w:r w:rsidR="00F17D59">
        <w:rPr>
          <w:rFonts w:ascii="Source Sans Pro" w:hAnsi="Source Sans Pro"/>
        </w:rPr>
        <w:t xml:space="preserve"> </w:t>
      </w:r>
      <w:proofErr w:type="spellStart"/>
      <w:r w:rsidR="00F17D59">
        <w:rPr>
          <w:rFonts w:ascii="Source Sans Pro" w:hAnsi="Source Sans Pro"/>
        </w:rPr>
        <w:t>Ddywnwen</w:t>
      </w:r>
      <w:proofErr w:type="spellEnd"/>
      <w:r w:rsidR="00F17D59">
        <w:rPr>
          <w:rFonts w:ascii="Source Sans Pro" w:hAnsi="Source Sans Pro"/>
        </w:rPr>
        <w:t>’ (Appealing to Dwynwen) by Dafydd ap Gwilym all suggest that there was widespread devotion to her.</w:t>
      </w:r>
      <w:r w:rsidR="00F17D59">
        <w:rPr>
          <w:rStyle w:val="FootnoteReference"/>
          <w:rFonts w:ascii="Source Sans Pro" w:hAnsi="Source Sans Pro"/>
        </w:rPr>
        <w:footnoteReference w:id="103"/>
      </w:r>
      <w:r w:rsidR="00F17D59">
        <w:rPr>
          <w:rFonts w:ascii="Source Sans Pro" w:hAnsi="Source Sans Pro"/>
        </w:rPr>
        <w:t xml:space="preserve"> </w:t>
      </w:r>
      <w:r w:rsidR="000C7810">
        <w:rPr>
          <w:rFonts w:ascii="Source Sans Pro" w:hAnsi="Source Sans Pro"/>
        </w:rPr>
        <w:t xml:space="preserve">Dafydd ap Gwilym’s poem written in the mid-fourteenth century references her gold icon and candle-lit choir at her church, the ruins of which can be seen on </w:t>
      </w:r>
      <w:proofErr w:type="spellStart"/>
      <w:r w:rsidR="000C7810">
        <w:rPr>
          <w:rFonts w:ascii="Source Sans Pro" w:hAnsi="Source Sans Pro"/>
        </w:rPr>
        <w:t>Llanddwyn</w:t>
      </w:r>
      <w:proofErr w:type="spellEnd"/>
      <w:r w:rsidR="000C7810">
        <w:rPr>
          <w:rFonts w:ascii="Source Sans Pro" w:hAnsi="Source Sans Pro"/>
        </w:rPr>
        <w:t xml:space="preserve"> island at the southern tip of Anglesey</w:t>
      </w:r>
      <w:r w:rsidR="007B1784">
        <w:rPr>
          <w:rFonts w:ascii="Source Sans Pro" w:hAnsi="Source Sans Pro"/>
        </w:rPr>
        <w:t>.</w:t>
      </w:r>
      <w:r w:rsidR="007B1784">
        <w:rPr>
          <w:rStyle w:val="FootnoteReference"/>
          <w:rFonts w:ascii="Source Sans Pro" w:hAnsi="Source Sans Pro"/>
        </w:rPr>
        <w:footnoteReference w:id="104"/>
      </w:r>
      <w:r w:rsidR="007B1784">
        <w:rPr>
          <w:rFonts w:ascii="Source Sans Pro" w:hAnsi="Source Sans Pro"/>
        </w:rPr>
        <w:t xml:space="preserve">  </w:t>
      </w:r>
      <w:r w:rsidR="005F314C">
        <w:rPr>
          <w:rFonts w:ascii="Source Sans Pro" w:hAnsi="Source Sans Pro"/>
        </w:rPr>
        <w:t xml:space="preserve">While no record of her </w:t>
      </w:r>
      <w:r w:rsidR="00E62094">
        <w:rPr>
          <w:rFonts w:ascii="Source Sans Pro" w:hAnsi="Source Sans Pro"/>
        </w:rPr>
        <w:t xml:space="preserve">mass or office at her feast day celebration has been known to survive, </w:t>
      </w:r>
      <w:r w:rsidR="001C470F">
        <w:rPr>
          <w:rFonts w:ascii="Source Sans Pro" w:hAnsi="Source Sans Pro"/>
        </w:rPr>
        <w:t xml:space="preserve">the poetic description by </w:t>
      </w:r>
      <w:r w:rsidR="004C5020">
        <w:rPr>
          <w:rFonts w:ascii="Source Sans Pro" w:hAnsi="Source Sans Pro"/>
        </w:rPr>
        <w:t xml:space="preserve">Dafydd ap Gwilym of her “devotion”, “resplendent maidenhood”, her “chastity of the fair captive flesh”, </w:t>
      </w:r>
      <w:r w:rsidR="00F86046">
        <w:rPr>
          <w:rFonts w:ascii="Source Sans Pro" w:hAnsi="Source Sans Pro"/>
        </w:rPr>
        <w:t xml:space="preserve">and the reference to “Brychan </w:t>
      </w:r>
      <w:proofErr w:type="spellStart"/>
      <w:r w:rsidR="00F86046">
        <w:rPr>
          <w:rFonts w:ascii="Source Sans Pro" w:hAnsi="Source Sans Pro"/>
        </w:rPr>
        <w:t>Yrth</w:t>
      </w:r>
      <w:proofErr w:type="spellEnd"/>
      <w:r w:rsidR="00F86046">
        <w:rPr>
          <w:rFonts w:ascii="Source Sans Pro" w:hAnsi="Source Sans Pro"/>
        </w:rPr>
        <w:t xml:space="preserve">” (mighty Brychan) uncovers her nature as a virgin saint </w:t>
      </w:r>
      <w:r w:rsidR="00F86046">
        <w:rPr>
          <w:rFonts w:ascii="Source Sans Pro" w:hAnsi="Source Sans Pro"/>
        </w:rPr>
        <w:lastRenderedPageBreak/>
        <w:t>and potentially one of the daughters of Brychan Brycheiniog.</w:t>
      </w:r>
      <w:r w:rsidR="00F86046">
        <w:rPr>
          <w:rStyle w:val="FootnoteReference"/>
          <w:rFonts w:ascii="Source Sans Pro" w:hAnsi="Source Sans Pro"/>
        </w:rPr>
        <w:footnoteReference w:id="105"/>
      </w:r>
      <w:r w:rsidR="007B1784">
        <w:rPr>
          <w:rFonts w:ascii="Source Sans Pro" w:hAnsi="Source Sans Pro"/>
        </w:rPr>
        <w:t xml:space="preserve"> In the late Middle Ages, evidence suggests that </w:t>
      </w:r>
      <w:proofErr w:type="spellStart"/>
      <w:r w:rsidR="007B1784">
        <w:rPr>
          <w:rFonts w:ascii="Source Sans Pro" w:hAnsi="Source Sans Pro"/>
        </w:rPr>
        <w:t>Llanddwyn</w:t>
      </w:r>
      <w:proofErr w:type="spellEnd"/>
      <w:r w:rsidR="007B1784">
        <w:rPr>
          <w:rFonts w:ascii="Source Sans Pro" w:hAnsi="Source Sans Pro"/>
        </w:rPr>
        <w:t xml:space="preserve"> island was rich, with its rector Dean Richard </w:t>
      </w:r>
      <w:proofErr w:type="spellStart"/>
      <w:r w:rsidR="007B1784">
        <w:rPr>
          <w:rFonts w:ascii="Source Sans Pro" w:hAnsi="Source Sans Pro"/>
        </w:rPr>
        <w:t>Kyffin</w:t>
      </w:r>
      <w:proofErr w:type="spellEnd"/>
      <w:r w:rsidR="007B1784">
        <w:rPr>
          <w:rFonts w:ascii="Source Sans Pro" w:hAnsi="Source Sans Pro"/>
        </w:rPr>
        <w:t xml:space="preserve"> having a stained glass window for Saint Dwynwen placed in the choir of Bangor cathedral</w:t>
      </w:r>
      <w:r w:rsidR="00DD6E98">
        <w:rPr>
          <w:rFonts w:ascii="Source Sans Pro" w:hAnsi="Source Sans Pro"/>
        </w:rPr>
        <w:t>,</w:t>
      </w:r>
      <w:r w:rsidR="007B1784">
        <w:rPr>
          <w:rStyle w:val="FootnoteReference"/>
          <w:rFonts w:ascii="Source Sans Pro" w:hAnsi="Source Sans Pro"/>
        </w:rPr>
        <w:footnoteReference w:id="106"/>
      </w:r>
      <w:r w:rsidR="00DD6E98">
        <w:rPr>
          <w:rFonts w:ascii="Source Sans Pro" w:hAnsi="Source Sans Pro"/>
        </w:rPr>
        <w:t xml:space="preserve"> and thus Dwynwen</w:t>
      </w:r>
      <w:r w:rsidR="00F5580A">
        <w:rPr>
          <w:rFonts w:ascii="Source Sans Pro" w:hAnsi="Source Sans Pro"/>
        </w:rPr>
        <w:t xml:space="preserve"> must have been well-known enough for her site to be a major place of pilgrimage that drew wealth and recognition in the local area. </w:t>
      </w:r>
      <w:r w:rsidR="00AD324C">
        <w:rPr>
          <w:rFonts w:ascii="Source Sans Pro" w:hAnsi="Source Sans Pro"/>
        </w:rPr>
        <w:t>This evidence of the veneration of Gwenfrewy</w:t>
      </w:r>
      <w:r w:rsidR="007E68FF">
        <w:rPr>
          <w:rFonts w:ascii="Source Sans Pro" w:hAnsi="Source Sans Pro"/>
        </w:rPr>
        <w:t xml:space="preserve"> and Dwynwen</w:t>
      </w:r>
      <w:r w:rsidR="00AD324C">
        <w:rPr>
          <w:rFonts w:ascii="Source Sans Pro" w:hAnsi="Source Sans Pro"/>
        </w:rPr>
        <w:t xml:space="preserve">, along with the fact that the Lives of international female saints such as Katherine of Alexandria, Margaret of Antioch and Mary Magdalene were all translated into middle Welsh and copied into Welsh manuscripts in the early fourteenth century, shows that female saints were popular subjects of devotion in medieval Wales, and thus women were considered able to fill the office of saint in Wales. </w:t>
      </w:r>
    </w:p>
    <w:p w14:paraId="5BC1107C" w14:textId="18B7CB96" w:rsidR="00273BA8" w:rsidRDefault="00531687" w:rsidP="00273BA8">
      <w:pPr>
        <w:rPr>
          <w:rFonts w:ascii="Source Sans Pro" w:hAnsi="Source Sans Pro"/>
        </w:rPr>
      </w:pPr>
      <w:r>
        <w:rPr>
          <w:rFonts w:ascii="Source Sans Pro" w:hAnsi="Source Sans Pro"/>
        </w:rPr>
        <w:t>To conclude, while male and female saints’ stories and treatment differ in Wales, Willis-Bund’s argument that women could not fill the office in Wales is entirely unconvincing. The variations in their Lives and descriptions do not disprove the women’s sanctity</w:t>
      </w:r>
      <w:r w:rsidR="00CD0897">
        <w:rPr>
          <w:rFonts w:ascii="Source Sans Pro" w:hAnsi="Source Sans Pro"/>
        </w:rPr>
        <w:t xml:space="preserve"> </w:t>
      </w:r>
      <w:r>
        <w:rPr>
          <w:rFonts w:ascii="Source Sans Pro" w:hAnsi="Source Sans Pro"/>
        </w:rPr>
        <w:t xml:space="preserve">as shown by the various examples from extant literature explored in this essay such as </w:t>
      </w:r>
      <w:r w:rsidR="00513716">
        <w:rPr>
          <w:rFonts w:ascii="Source Sans Pro" w:hAnsi="Source Sans Pro"/>
        </w:rPr>
        <w:t>s</w:t>
      </w:r>
      <w:r>
        <w:rPr>
          <w:rFonts w:ascii="Source Sans Pro" w:hAnsi="Source Sans Pro"/>
        </w:rPr>
        <w:t>aint</w:t>
      </w:r>
      <w:r w:rsidR="00513716">
        <w:rPr>
          <w:rFonts w:ascii="Source Sans Pro" w:hAnsi="Source Sans Pro"/>
        </w:rPr>
        <w:t>s</w:t>
      </w:r>
      <w:r>
        <w:rPr>
          <w:rFonts w:ascii="Source Sans Pro" w:hAnsi="Source Sans Pro"/>
        </w:rPr>
        <w:t xml:space="preserve"> Gwenfrewy,</w:t>
      </w:r>
      <w:r w:rsidR="00513716">
        <w:rPr>
          <w:rFonts w:ascii="Source Sans Pro" w:hAnsi="Source Sans Pro"/>
        </w:rPr>
        <w:t xml:space="preserve"> Melangell, Dwynwen and Ursula. Female Welsh saints fill the various roles given to saints </w:t>
      </w:r>
      <w:r w:rsidR="00F5402A">
        <w:rPr>
          <w:rFonts w:ascii="Source Sans Pro" w:hAnsi="Source Sans Pro"/>
        </w:rPr>
        <w:t xml:space="preserve">in the medieval era, as miracle workers, martyrs, foundresses and monastic leaders, and venerated local heroes who both protect their communities and act as intercessors between humanity and the divine. </w:t>
      </w:r>
      <w:r w:rsidR="00685FCF">
        <w:rPr>
          <w:rFonts w:ascii="Source Sans Pro" w:hAnsi="Source Sans Pro"/>
        </w:rPr>
        <w:t xml:space="preserve">As women, the female saints of Wales </w:t>
      </w:r>
      <w:r w:rsidR="00273BA8">
        <w:rPr>
          <w:rFonts w:ascii="Source Sans Pro" w:hAnsi="Source Sans Pro"/>
        </w:rPr>
        <w:t xml:space="preserve">opened the door for narrative examples of female monasticism in this period, and the popularity of female saints like Gwenfrewy in Wales </w:t>
      </w:r>
      <w:r w:rsidR="00744FEF">
        <w:rPr>
          <w:rFonts w:ascii="Source Sans Pro" w:hAnsi="Source Sans Pro"/>
        </w:rPr>
        <w:t xml:space="preserve">and beyond </w:t>
      </w:r>
      <w:r w:rsidR="00273BA8">
        <w:rPr>
          <w:rFonts w:ascii="Source Sans Pro" w:hAnsi="Source Sans Pro"/>
        </w:rPr>
        <w:t xml:space="preserve">clearly </w:t>
      </w:r>
      <w:r w:rsidR="00744FEF">
        <w:rPr>
          <w:rFonts w:ascii="Source Sans Pro" w:hAnsi="Source Sans Pro"/>
        </w:rPr>
        <w:t xml:space="preserve">demonstrates </w:t>
      </w:r>
      <w:r w:rsidR="00273BA8">
        <w:rPr>
          <w:rFonts w:ascii="Source Sans Pro" w:hAnsi="Source Sans Pro"/>
        </w:rPr>
        <w:t>that women were both accepted and venerated as saintly figures</w:t>
      </w:r>
      <w:r w:rsidR="00744FEF">
        <w:rPr>
          <w:rFonts w:ascii="Source Sans Pro" w:hAnsi="Source Sans Pro"/>
        </w:rPr>
        <w:t xml:space="preserve"> in medieval Wales.</w:t>
      </w:r>
    </w:p>
    <w:p w14:paraId="6E215CB9" w14:textId="77777777" w:rsidR="002964C7" w:rsidRDefault="002964C7" w:rsidP="00273BA8">
      <w:pPr>
        <w:rPr>
          <w:rFonts w:ascii="Source Sans Pro" w:hAnsi="Source Sans Pro"/>
        </w:rPr>
      </w:pPr>
    </w:p>
    <w:p w14:paraId="40A088B8" w14:textId="77777777" w:rsidR="002964C7" w:rsidRDefault="002964C7" w:rsidP="00273BA8">
      <w:pPr>
        <w:rPr>
          <w:rFonts w:ascii="Source Sans Pro" w:hAnsi="Source Sans Pro"/>
        </w:rPr>
      </w:pPr>
    </w:p>
    <w:p w14:paraId="353C9922" w14:textId="77777777" w:rsidR="002964C7" w:rsidRDefault="002964C7" w:rsidP="00273BA8">
      <w:pPr>
        <w:rPr>
          <w:rFonts w:ascii="Source Sans Pro" w:hAnsi="Source Sans Pro"/>
        </w:rPr>
      </w:pPr>
    </w:p>
    <w:p w14:paraId="48DDADB1" w14:textId="77777777" w:rsidR="002964C7" w:rsidRDefault="002964C7" w:rsidP="00273BA8">
      <w:pPr>
        <w:rPr>
          <w:rFonts w:ascii="Source Sans Pro" w:hAnsi="Source Sans Pro"/>
        </w:rPr>
      </w:pPr>
    </w:p>
    <w:p w14:paraId="4209EFE3" w14:textId="77777777" w:rsidR="002964C7" w:rsidRDefault="002964C7" w:rsidP="00273BA8">
      <w:pPr>
        <w:rPr>
          <w:rFonts w:ascii="Source Sans Pro" w:hAnsi="Source Sans Pro"/>
        </w:rPr>
      </w:pPr>
    </w:p>
    <w:p w14:paraId="72CB328E" w14:textId="77777777" w:rsidR="002964C7" w:rsidRDefault="002964C7" w:rsidP="00273BA8">
      <w:pPr>
        <w:rPr>
          <w:rFonts w:ascii="Source Sans Pro" w:hAnsi="Source Sans Pro"/>
        </w:rPr>
      </w:pPr>
    </w:p>
    <w:p w14:paraId="7CE88ECE" w14:textId="77777777" w:rsidR="002964C7" w:rsidRDefault="002964C7" w:rsidP="00273BA8">
      <w:pPr>
        <w:rPr>
          <w:rFonts w:ascii="Source Sans Pro" w:hAnsi="Source Sans Pro"/>
        </w:rPr>
      </w:pPr>
    </w:p>
    <w:p w14:paraId="30582B78" w14:textId="77777777" w:rsidR="002964C7" w:rsidRDefault="002964C7" w:rsidP="00273BA8">
      <w:pPr>
        <w:rPr>
          <w:rFonts w:ascii="Source Sans Pro" w:hAnsi="Source Sans Pro"/>
        </w:rPr>
      </w:pPr>
    </w:p>
    <w:p w14:paraId="2AF602DA" w14:textId="77777777" w:rsidR="002964C7" w:rsidRDefault="002964C7" w:rsidP="00273BA8">
      <w:pPr>
        <w:rPr>
          <w:rFonts w:ascii="Source Sans Pro" w:hAnsi="Source Sans Pro"/>
        </w:rPr>
      </w:pPr>
    </w:p>
    <w:p w14:paraId="1402B8F0" w14:textId="77777777" w:rsidR="002964C7" w:rsidRDefault="002964C7" w:rsidP="00273BA8">
      <w:pPr>
        <w:rPr>
          <w:rFonts w:ascii="Source Sans Pro" w:hAnsi="Source Sans Pro"/>
        </w:rPr>
      </w:pPr>
    </w:p>
    <w:p w14:paraId="35B9DD8B" w14:textId="77777777" w:rsidR="002964C7" w:rsidRDefault="002964C7" w:rsidP="00273BA8">
      <w:pPr>
        <w:rPr>
          <w:rFonts w:ascii="Source Sans Pro" w:hAnsi="Source Sans Pro"/>
        </w:rPr>
      </w:pPr>
    </w:p>
    <w:p w14:paraId="3D02B54A" w14:textId="77777777" w:rsidR="002964C7" w:rsidRDefault="002964C7" w:rsidP="00273BA8">
      <w:pPr>
        <w:rPr>
          <w:rFonts w:ascii="Source Sans Pro" w:hAnsi="Source Sans Pro"/>
        </w:rPr>
      </w:pPr>
    </w:p>
    <w:p w14:paraId="0EC9BB59" w14:textId="77777777" w:rsidR="002964C7" w:rsidRDefault="002964C7" w:rsidP="00273BA8">
      <w:pPr>
        <w:rPr>
          <w:rFonts w:ascii="Source Sans Pro" w:hAnsi="Source Sans Pro"/>
        </w:rPr>
      </w:pPr>
    </w:p>
    <w:p w14:paraId="55697FB2" w14:textId="77777777" w:rsidR="002964C7" w:rsidRPr="002964C7" w:rsidRDefault="002964C7" w:rsidP="00E42788">
      <w:pPr>
        <w:spacing w:after="240" w:line="276" w:lineRule="auto"/>
        <w:outlineLvl w:val="0"/>
        <w:rPr>
          <w:rFonts w:ascii="Calibri" w:eastAsia="Times New Roman" w:hAnsi="Calibri" w:cs="Calibri"/>
          <w:b/>
          <w:bCs/>
          <w:kern w:val="36"/>
          <w:sz w:val="36"/>
          <w:szCs w:val="36"/>
          <w:lang w:eastAsia="en-GB" w:bidi="he-IL"/>
          <w14:ligatures w14:val="none"/>
        </w:rPr>
      </w:pPr>
      <w:r w:rsidRPr="002964C7">
        <w:rPr>
          <w:rFonts w:ascii="Calibri" w:eastAsia="Times New Roman" w:hAnsi="Calibri" w:cs="Calibri"/>
          <w:b/>
          <w:bCs/>
          <w:kern w:val="36"/>
          <w:sz w:val="36"/>
          <w:szCs w:val="36"/>
          <w:lang w:eastAsia="en-GB" w:bidi="he-IL"/>
          <w14:ligatures w14:val="none"/>
        </w:rPr>
        <w:lastRenderedPageBreak/>
        <w:t>Bibliography</w:t>
      </w:r>
    </w:p>
    <w:p w14:paraId="4B54BDE2"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Bartlett, Robert, </w:t>
      </w:r>
      <w:r w:rsidRPr="002964C7">
        <w:rPr>
          <w:rFonts w:ascii="Calibri" w:eastAsia="Times New Roman" w:hAnsi="Calibri" w:cs="Calibri"/>
          <w:i/>
          <w:iCs/>
          <w:kern w:val="0"/>
          <w:sz w:val="24"/>
          <w:szCs w:val="24"/>
          <w:lang w:eastAsia="en-GB" w:bidi="he-IL"/>
          <w14:ligatures w14:val="none"/>
        </w:rPr>
        <w:t>Why Can the Dead Do Such Great Things</w:t>
      </w:r>
      <w:proofErr w:type="gramStart"/>
      <w:r w:rsidRPr="002964C7">
        <w:rPr>
          <w:rFonts w:ascii="Calibri" w:eastAsia="Times New Roman" w:hAnsi="Calibri" w:cs="Calibri"/>
          <w:i/>
          <w:iCs/>
          <w:kern w:val="0"/>
          <w:sz w:val="24"/>
          <w:szCs w:val="24"/>
          <w:lang w:eastAsia="en-GB" w:bidi="he-IL"/>
          <w14:ligatures w14:val="none"/>
        </w:rPr>
        <w:t>? :</w:t>
      </w:r>
      <w:proofErr w:type="gramEnd"/>
      <w:r w:rsidRPr="002964C7">
        <w:rPr>
          <w:rFonts w:ascii="Calibri" w:eastAsia="Times New Roman" w:hAnsi="Calibri" w:cs="Calibri"/>
          <w:i/>
          <w:iCs/>
          <w:kern w:val="0"/>
          <w:sz w:val="24"/>
          <w:szCs w:val="24"/>
          <w:lang w:eastAsia="en-GB" w:bidi="he-IL"/>
          <w14:ligatures w14:val="none"/>
        </w:rPr>
        <w:t xml:space="preserve"> Saints and Worshippers from the Martyrs to the Reformation</w:t>
      </w:r>
      <w:r w:rsidRPr="002964C7">
        <w:rPr>
          <w:rFonts w:ascii="Calibri" w:eastAsia="Times New Roman" w:hAnsi="Calibri" w:cs="Calibri"/>
          <w:kern w:val="0"/>
          <w:sz w:val="24"/>
          <w:szCs w:val="24"/>
          <w:lang w:eastAsia="en-GB" w:bidi="he-IL"/>
          <w14:ligatures w14:val="none"/>
        </w:rPr>
        <w:t xml:space="preserve"> (Princeton, Nj: Princeton University Press, Cop, 2013)</w:t>
      </w:r>
    </w:p>
    <w:p w14:paraId="0D05685D"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Bloch, R. Howard, ‘Chaucer’s Maiden Head: “the Physician’s Tale” and the Poetics of Virginity’, </w:t>
      </w:r>
      <w:r w:rsidRPr="002964C7">
        <w:rPr>
          <w:rFonts w:ascii="Calibri" w:eastAsia="Times New Roman" w:hAnsi="Calibri" w:cs="Calibri"/>
          <w:i/>
          <w:iCs/>
          <w:kern w:val="0"/>
          <w:sz w:val="24"/>
          <w:szCs w:val="24"/>
          <w:lang w:eastAsia="en-GB" w:bidi="he-IL"/>
          <w14:ligatures w14:val="none"/>
        </w:rPr>
        <w:t>Representations</w:t>
      </w:r>
      <w:r w:rsidRPr="002964C7">
        <w:rPr>
          <w:rFonts w:ascii="Calibri" w:eastAsia="Times New Roman" w:hAnsi="Calibri" w:cs="Calibri"/>
          <w:kern w:val="0"/>
          <w:sz w:val="24"/>
          <w:szCs w:val="24"/>
          <w:lang w:eastAsia="en-GB" w:bidi="he-IL"/>
          <w14:ligatures w14:val="none"/>
        </w:rPr>
        <w:t>, 28 (1989), 113–34</w:t>
      </w:r>
    </w:p>
    <w:p w14:paraId="2381626C"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Carradice, Phil, ‘BBC - Wales History: Iolo Morganwg: Scholar, Antiquarian and Forger’, </w:t>
      </w:r>
      <w:r w:rsidRPr="002964C7">
        <w:rPr>
          <w:rFonts w:ascii="Calibri" w:eastAsia="Times New Roman" w:hAnsi="Calibri" w:cs="Calibri"/>
          <w:i/>
          <w:iCs/>
          <w:kern w:val="0"/>
          <w:sz w:val="24"/>
          <w:szCs w:val="24"/>
          <w:lang w:eastAsia="en-GB" w:bidi="he-IL"/>
          <w14:ligatures w14:val="none"/>
        </w:rPr>
        <w:t>BBC</w:t>
      </w:r>
      <w:r w:rsidRPr="002964C7">
        <w:rPr>
          <w:rFonts w:ascii="Calibri" w:eastAsia="Times New Roman" w:hAnsi="Calibri" w:cs="Calibri"/>
          <w:kern w:val="0"/>
          <w:sz w:val="24"/>
          <w:szCs w:val="24"/>
          <w:lang w:eastAsia="en-GB" w:bidi="he-IL"/>
          <w14:ligatures w14:val="none"/>
        </w:rPr>
        <w:t>, 2025 &lt;https://www.bbc.co.uk/blogs/waleshistory/2011/03/iolo_morganwg_scholar_antiquarian_forger.html&gt; [accessed 11 March 2025]</w:t>
      </w:r>
    </w:p>
    <w:p w14:paraId="35A98A46"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Cartwright, Jane, ‘Dead Virgins: Feminine Sanctity in Medieval Wales’, in </w:t>
      </w:r>
      <w:r w:rsidRPr="002964C7">
        <w:rPr>
          <w:rFonts w:ascii="Calibri" w:eastAsia="Times New Roman" w:hAnsi="Calibri" w:cs="Calibri"/>
          <w:i/>
          <w:iCs/>
          <w:kern w:val="0"/>
          <w:sz w:val="24"/>
          <w:szCs w:val="24"/>
          <w:lang w:eastAsia="en-GB" w:bidi="he-IL"/>
          <w14:ligatures w14:val="none"/>
        </w:rPr>
        <w:t>Feminine Sanctity and Spirituality in Medieval Wales</w:t>
      </w:r>
      <w:r w:rsidRPr="002964C7">
        <w:rPr>
          <w:rFonts w:ascii="Calibri" w:eastAsia="Times New Roman" w:hAnsi="Calibri" w:cs="Calibri"/>
          <w:kern w:val="0"/>
          <w:sz w:val="24"/>
          <w:szCs w:val="24"/>
          <w:lang w:eastAsia="en-GB" w:bidi="he-IL"/>
          <w14:ligatures w14:val="none"/>
        </w:rPr>
        <w:t xml:space="preserve"> (Cardiff: University Of Wales Press, 2008), pp. 67–94</w:t>
      </w:r>
    </w:p>
    <w:p w14:paraId="442A6C62"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 ‘The Cult of St Non: Rape, Sanctity and Motherhood in Welsh and Breton Hagiography’, in </w:t>
      </w:r>
      <w:r w:rsidRPr="002964C7">
        <w:rPr>
          <w:rFonts w:ascii="Calibri" w:eastAsia="Times New Roman" w:hAnsi="Calibri" w:cs="Calibri"/>
          <w:i/>
          <w:iCs/>
          <w:kern w:val="0"/>
          <w:sz w:val="24"/>
          <w:szCs w:val="24"/>
          <w:lang w:eastAsia="en-GB" w:bidi="he-IL"/>
          <w14:ligatures w14:val="none"/>
        </w:rPr>
        <w:t>St. David of Wales: Cult, Church, and Nation</w:t>
      </w:r>
      <w:r w:rsidRPr="002964C7">
        <w:rPr>
          <w:rFonts w:ascii="Calibri" w:eastAsia="Times New Roman" w:hAnsi="Calibri" w:cs="Calibri"/>
          <w:kern w:val="0"/>
          <w:sz w:val="24"/>
          <w:szCs w:val="24"/>
          <w:lang w:eastAsia="en-GB" w:bidi="he-IL"/>
          <w14:ligatures w14:val="none"/>
        </w:rPr>
        <w:t xml:space="preserve"> (Woodbridge, </w:t>
      </w:r>
      <w:proofErr w:type="gramStart"/>
      <w:r w:rsidRPr="002964C7">
        <w:rPr>
          <w:rFonts w:ascii="Calibri" w:eastAsia="Times New Roman" w:hAnsi="Calibri" w:cs="Calibri"/>
          <w:kern w:val="0"/>
          <w:sz w:val="24"/>
          <w:szCs w:val="24"/>
          <w:lang w:eastAsia="en-GB" w:bidi="he-IL"/>
          <w14:ligatures w14:val="none"/>
        </w:rPr>
        <w:t>Uk ;</w:t>
      </w:r>
      <w:proofErr w:type="gramEnd"/>
      <w:r w:rsidRPr="002964C7">
        <w:rPr>
          <w:rFonts w:ascii="Calibri" w:eastAsia="Times New Roman" w:hAnsi="Calibri" w:cs="Calibri"/>
          <w:kern w:val="0"/>
          <w:sz w:val="24"/>
          <w:szCs w:val="24"/>
          <w:lang w:eastAsia="en-GB" w:bidi="he-IL"/>
          <w14:ligatures w14:val="none"/>
        </w:rPr>
        <w:t xml:space="preserve"> Rochester, Ny: Boydell Press, 2007), pp. 182–206</w:t>
      </w:r>
    </w:p>
    <w:p w14:paraId="2A8CB3FC"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 </w:t>
      </w:r>
      <w:r w:rsidRPr="002964C7">
        <w:rPr>
          <w:rFonts w:ascii="Calibri" w:eastAsia="Times New Roman" w:hAnsi="Calibri" w:cs="Calibri"/>
          <w:i/>
          <w:iCs/>
          <w:kern w:val="0"/>
          <w:sz w:val="24"/>
          <w:szCs w:val="24"/>
          <w:lang w:eastAsia="en-GB" w:bidi="he-IL"/>
          <w14:ligatures w14:val="none"/>
        </w:rPr>
        <w:t>The Cult of St Ursula and the 11,000 Virgins</w:t>
      </w:r>
      <w:r w:rsidRPr="002964C7">
        <w:rPr>
          <w:rFonts w:ascii="Calibri" w:eastAsia="Times New Roman" w:hAnsi="Calibri" w:cs="Calibri"/>
          <w:kern w:val="0"/>
          <w:sz w:val="24"/>
          <w:szCs w:val="24"/>
          <w:lang w:eastAsia="en-GB" w:bidi="he-IL"/>
          <w14:ligatures w14:val="none"/>
        </w:rPr>
        <w:t xml:space="preserve"> (University of Wales Press, 2016)</w:t>
      </w:r>
    </w:p>
    <w:p w14:paraId="72E18FDA"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Digital Humanities at Swansea University, ‘English Translation: 48 - </w:t>
      </w:r>
      <w:proofErr w:type="spellStart"/>
      <w:r w:rsidRPr="002964C7">
        <w:rPr>
          <w:rFonts w:ascii="Calibri" w:eastAsia="Times New Roman" w:hAnsi="Calibri" w:cs="Calibri"/>
          <w:kern w:val="0"/>
          <w:sz w:val="24"/>
          <w:szCs w:val="24"/>
          <w:lang w:eastAsia="en-GB" w:bidi="he-IL"/>
          <w14:ligatures w14:val="none"/>
        </w:rPr>
        <w:t>Galw</w:t>
      </w:r>
      <w:proofErr w:type="spellEnd"/>
      <w:r w:rsidRPr="002964C7">
        <w:rPr>
          <w:rFonts w:ascii="Calibri" w:eastAsia="Times New Roman" w:hAnsi="Calibri" w:cs="Calibri"/>
          <w:kern w:val="0"/>
          <w:sz w:val="24"/>
          <w:szCs w:val="24"/>
          <w:lang w:eastAsia="en-GB" w:bidi="he-IL"/>
          <w14:ligatures w14:val="none"/>
        </w:rPr>
        <w:t xml:space="preserve"> </w:t>
      </w:r>
      <w:proofErr w:type="spellStart"/>
      <w:r w:rsidRPr="002964C7">
        <w:rPr>
          <w:rFonts w:ascii="Calibri" w:eastAsia="Times New Roman" w:hAnsi="Calibri" w:cs="Calibri"/>
          <w:kern w:val="0"/>
          <w:sz w:val="24"/>
          <w:szCs w:val="24"/>
          <w:lang w:eastAsia="en-GB" w:bidi="he-IL"/>
          <w14:ligatures w14:val="none"/>
        </w:rPr>
        <w:t>Ar</w:t>
      </w:r>
      <w:proofErr w:type="spellEnd"/>
      <w:r w:rsidRPr="002964C7">
        <w:rPr>
          <w:rFonts w:ascii="Calibri" w:eastAsia="Times New Roman" w:hAnsi="Calibri" w:cs="Calibri"/>
          <w:kern w:val="0"/>
          <w:sz w:val="24"/>
          <w:szCs w:val="24"/>
          <w:lang w:eastAsia="en-GB" w:bidi="he-IL"/>
          <w14:ligatures w14:val="none"/>
        </w:rPr>
        <w:t xml:space="preserve"> </w:t>
      </w:r>
      <w:proofErr w:type="spellStart"/>
      <w:r w:rsidRPr="002964C7">
        <w:rPr>
          <w:rFonts w:ascii="Calibri" w:eastAsia="Times New Roman" w:hAnsi="Calibri" w:cs="Calibri"/>
          <w:kern w:val="0"/>
          <w:sz w:val="24"/>
          <w:szCs w:val="24"/>
          <w:lang w:eastAsia="en-GB" w:bidi="he-IL"/>
          <w14:ligatures w14:val="none"/>
        </w:rPr>
        <w:t>Ddwynwen</w:t>
      </w:r>
      <w:proofErr w:type="spellEnd"/>
      <w:r w:rsidRPr="002964C7">
        <w:rPr>
          <w:rFonts w:ascii="Calibri" w:eastAsia="Times New Roman" w:hAnsi="Calibri" w:cs="Calibri"/>
          <w:kern w:val="0"/>
          <w:sz w:val="24"/>
          <w:szCs w:val="24"/>
          <w:lang w:eastAsia="en-GB" w:bidi="he-IL"/>
          <w14:ligatures w14:val="none"/>
        </w:rPr>
        <w:t xml:space="preserve">’, </w:t>
      </w:r>
      <w:r w:rsidRPr="002964C7">
        <w:rPr>
          <w:rFonts w:ascii="Calibri" w:eastAsia="Times New Roman" w:hAnsi="Calibri" w:cs="Calibri"/>
          <w:i/>
          <w:iCs/>
          <w:kern w:val="0"/>
          <w:sz w:val="24"/>
          <w:szCs w:val="24"/>
          <w:lang w:eastAsia="en-GB" w:bidi="he-IL"/>
          <w14:ligatures w14:val="none"/>
        </w:rPr>
        <w:t>Dafyddapgwilym.net</w:t>
      </w:r>
      <w:r w:rsidRPr="002964C7">
        <w:rPr>
          <w:rFonts w:ascii="Calibri" w:eastAsia="Times New Roman" w:hAnsi="Calibri" w:cs="Calibri"/>
          <w:kern w:val="0"/>
          <w:sz w:val="24"/>
          <w:szCs w:val="24"/>
          <w:lang w:eastAsia="en-GB" w:bidi="he-IL"/>
          <w14:ligatures w14:val="none"/>
        </w:rPr>
        <w:t xml:space="preserve"> &lt;https://dafyddapgwilym.net/AnaServer?dafydd+99060+compareSimpleEng.anv+edEl=98786&amp;localEl=99060&amp;titleEl=98774&gt; [accessed 19 March 2025]</w:t>
      </w:r>
    </w:p>
    <w:p w14:paraId="52589F12"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Garland, Lisa Margaret, ‘Aspects of Welsh Saints’ Cults and Pilgrimage C. 1066-1530’ (unpublished PhD, 2005), pp. 1–315</w:t>
      </w:r>
    </w:p>
    <w:p w14:paraId="2CDB5F90"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Gregory, </w:t>
      </w:r>
      <w:proofErr w:type="gramStart"/>
      <w:r w:rsidRPr="002964C7">
        <w:rPr>
          <w:rFonts w:ascii="Calibri" w:eastAsia="Times New Roman" w:hAnsi="Calibri" w:cs="Calibri"/>
          <w:kern w:val="0"/>
          <w:sz w:val="24"/>
          <w:szCs w:val="24"/>
          <w:lang w:eastAsia="en-GB" w:bidi="he-IL"/>
          <w14:ligatures w14:val="none"/>
        </w:rPr>
        <w:t>James ,</w:t>
      </w:r>
      <w:proofErr w:type="gramEnd"/>
      <w:r w:rsidRPr="002964C7">
        <w:rPr>
          <w:rFonts w:ascii="Calibri" w:eastAsia="Times New Roman" w:hAnsi="Calibri" w:cs="Calibri"/>
          <w:kern w:val="0"/>
          <w:sz w:val="24"/>
          <w:szCs w:val="24"/>
          <w:lang w:eastAsia="en-GB" w:bidi="he-IL"/>
          <w14:ligatures w14:val="none"/>
        </w:rPr>
        <w:t xml:space="preserve"> ‘A Welsh Saint in England: Translation, Orality, and National Identity in the Cult of St. Gwenfrewy, 1138-1512’ (unpublished PHD thesis, 2012), pp. 1–421</w:t>
      </w:r>
    </w:p>
    <w:p w14:paraId="76EDF1F9"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Gregory, James Ryan, ‘The Life of St. Winifred: The Vita S. </w:t>
      </w:r>
      <w:proofErr w:type="spellStart"/>
      <w:r w:rsidRPr="002964C7">
        <w:rPr>
          <w:rFonts w:ascii="Calibri" w:eastAsia="Times New Roman" w:hAnsi="Calibri" w:cs="Calibri"/>
          <w:kern w:val="0"/>
          <w:sz w:val="24"/>
          <w:szCs w:val="24"/>
          <w:lang w:eastAsia="en-GB" w:bidi="he-IL"/>
          <w14:ligatures w14:val="none"/>
        </w:rPr>
        <w:t>Wenefrede</w:t>
      </w:r>
      <w:proofErr w:type="spellEnd"/>
      <w:r w:rsidRPr="002964C7">
        <w:rPr>
          <w:rFonts w:ascii="Calibri" w:eastAsia="Times New Roman" w:hAnsi="Calibri" w:cs="Calibri"/>
          <w:kern w:val="0"/>
          <w:sz w:val="24"/>
          <w:szCs w:val="24"/>
          <w:lang w:eastAsia="en-GB" w:bidi="he-IL"/>
          <w14:ligatures w14:val="none"/>
        </w:rPr>
        <w:t xml:space="preserve"> from BL Lansdowne MS 436’, </w:t>
      </w:r>
      <w:r w:rsidRPr="002964C7">
        <w:rPr>
          <w:rFonts w:ascii="Calibri" w:eastAsia="Times New Roman" w:hAnsi="Calibri" w:cs="Calibri"/>
          <w:i/>
          <w:iCs/>
          <w:kern w:val="0"/>
          <w:sz w:val="24"/>
          <w:szCs w:val="24"/>
          <w:lang w:eastAsia="en-GB" w:bidi="he-IL"/>
          <w14:ligatures w14:val="none"/>
        </w:rPr>
        <w:t xml:space="preserve">MFF </w:t>
      </w:r>
      <w:proofErr w:type="spellStart"/>
      <w:r w:rsidRPr="002964C7">
        <w:rPr>
          <w:rFonts w:ascii="Calibri" w:eastAsia="Times New Roman" w:hAnsi="Calibri" w:cs="Calibri"/>
          <w:i/>
          <w:iCs/>
          <w:kern w:val="0"/>
          <w:sz w:val="24"/>
          <w:szCs w:val="24"/>
          <w:lang w:eastAsia="en-GB" w:bidi="he-IL"/>
          <w14:ligatures w14:val="none"/>
        </w:rPr>
        <w:t>Subsidia</w:t>
      </w:r>
      <w:proofErr w:type="spellEnd"/>
      <w:r w:rsidRPr="002964C7">
        <w:rPr>
          <w:rFonts w:ascii="Calibri" w:eastAsia="Times New Roman" w:hAnsi="Calibri" w:cs="Calibri"/>
          <w:kern w:val="0"/>
          <w:sz w:val="24"/>
          <w:szCs w:val="24"/>
          <w:lang w:eastAsia="en-GB" w:bidi="he-IL"/>
          <w14:ligatures w14:val="none"/>
        </w:rPr>
        <w:t>, 4 (2016), 1–39</w:t>
      </w:r>
    </w:p>
    <w:p w14:paraId="2168D56B"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Hamaker, Catherine, </w:t>
      </w:r>
      <w:r w:rsidRPr="002964C7">
        <w:rPr>
          <w:rFonts w:ascii="Calibri" w:eastAsia="Times New Roman" w:hAnsi="Calibri" w:cs="Calibri"/>
          <w:i/>
          <w:iCs/>
          <w:kern w:val="0"/>
          <w:sz w:val="24"/>
          <w:szCs w:val="24"/>
          <w:lang w:eastAsia="en-GB" w:bidi="he-IL"/>
          <w14:ligatures w14:val="none"/>
        </w:rPr>
        <w:t>Two Mediaeval Lives of Saint Winefride</w:t>
      </w:r>
      <w:r w:rsidRPr="002964C7">
        <w:rPr>
          <w:rFonts w:ascii="Calibri" w:eastAsia="Times New Roman" w:hAnsi="Calibri" w:cs="Calibri"/>
          <w:kern w:val="0"/>
          <w:sz w:val="24"/>
          <w:szCs w:val="24"/>
          <w:lang w:eastAsia="en-GB" w:bidi="he-IL"/>
          <w14:ligatures w14:val="none"/>
        </w:rPr>
        <w:t xml:space="preserve"> (Wipf and Stock Publishers, 2011)</w:t>
      </w:r>
    </w:p>
    <w:p w14:paraId="4DD03C5E"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Henken, Elissa, ‘The Saint as Secular Ruler: Aspects of Welsh Hagiography’, </w:t>
      </w:r>
      <w:r w:rsidRPr="002964C7">
        <w:rPr>
          <w:rFonts w:ascii="Calibri" w:eastAsia="Times New Roman" w:hAnsi="Calibri" w:cs="Calibri"/>
          <w:i/>
          <w:iCs/>
          <w:kern w:val="0"/>
          <w:sz w:val="24"/>
          <w:szCs w:val="24"/>
          <w:lang w:eastAsia="en-GB" w:bidi="he-IL"/>
          <w14:ligatures w14:val="none"/>
        </w:rPr>
        <w:t>Folklore</w:t>
      </w:r>
      <w:r w:rsidRPr="002964C7">
        <w:rPr>
          <w:rFonts w:ascii="Calibri" w:eastAsia="Times New Roman" w:hAnsi="Calibri" w:cs="Calibri"/>
          <w:kern w:val="0"/>
          <w:sz w:val="24"/>
          <w:szCs w:val="24"/>
          <w:lang w:eastAsia="en-GB" w:bidi="he-IL"/>
          <w14:ligatures w14:val="none"/>
        </w:rPr>
        <w:t>, 98.2 (1987), 226–32</w:t>
      </w:r>
    </w:p>
    <w:p w14:paraId="48A8BB76"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 ‘Welsh Hagiography and the Nationalist Impulse’, in </w:t>
      </w:r>
      <w:r w:rsidRPr="002964C7">
        <w:rPr>
          <w:rFonts w:ascii="Calibri" w:eastAsia="Times New Roman" w:hAnsi="Calibri" w:cs="Calibri"/>
          <w:i/>
          <w:iCs/>
          <w:kern w:val="0"/>
          <w:sz w:val="24"/>
          <w:szCs w:val="24"/>
          <w:lang w:eastAsia="en-GB" w:bidi="he-IL"/>
          <w14:ligatures w14:val="none"/>
        </w:rPr>
        <w:t>Celtic Hagiography and Saints’ Cults</w:t>
      </w:r>
      <w:r w:rsidRPr="002964C7">
        <w:rPr>
          <w:rFonts w:ascii="Calibri" w:eastAsia="Times New Roman" w:hAnsi="Calibri" w:cs="Calibri"/>
          <w:kern w:val="0"/>
          <w:sz w:val="24"/>
          <w:szCs w:val="24"/>
          <w:lang w:eastAsia="en-GB" w:bidi="he-IL"/>
          <w14:ligatures w14:val="none"/>
        </w:rPr>
        <w:t xml:space="preserve"> (Cardiff: University of Wales Press, 2003), pp. 26–44</w:t>
      </w:r>
    </w:p>
    <w:p w14:paraId="0C2C8B7E"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Henken, Elissa R, </w:t>
      </w:r>
      <w:r w:rsidRPr="002964C7">
        <w:rPr>
          <w:rFonts w:ascii="Calibri" w:eastAsia="Times New Roman" w:hAnsi="Calibri" w:cs="Calibri"/>
          <w:i/>
          <w:iCs/>
          <w:kern w:val="0"/>
          <w:sz w:val="24"/>
          <w:szCs w:val="24"/>
          <w:lang w:eastAsia="en-GB" w:bidi="he-IL"/>
          <w14:ligatures w14:val="none"/>
        </w:rPr>
        <w:t>The Welsh Saints: A Study in Patterned Lives</w:t>
      </w:r>
      <w:r w:rsidRPr="002964C7">
        <w:rPr>
          <w:rFonts w:ascii="Calibri" w:eastAsia="Times New Roman" w:hAnsi="Calibri" w:cs="Calibri"/>
          <w:kern w:val="0"/>
          <w:sz w:val="24"/>
          <w:szCs w:val="24"/>
          <w:lang w:eastAsia="en-GB" w:bidi="he-IL"/>
          <w14:ligatures w14:val="none"/>
        </w:rPr>
        <w:t xml:space="preserve"> (Ds Brewer, 1991)</w:t>
      </w:r>
    </w:p>
    <w:p w14:paraId="23F00A49"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lastRenderedPageBreak/>
        <w:t xml:space="preserve">Huws, Daniel, ‘The Earliest Bangor Missal’, </w:t>
      </w:r>
      <w:r w:rsidRPr="002964C7">
        <w:rPr>
          <w:rFonts w:ascii="Calibri" w:eastAsia="Times New Roman" w:hAnsi="Calibri" w:cs="Calibri"/>
          <w:i/>
          <w:iCs/>
          <w:kern w:val="0"/>
          <w:sz w:val="24"/>
          <w:szCs w:val="24"/>
          <w:lang w:eastAsia="en-GB" w:bidi="he-IL"/>
          <w14:ligatures w14:val="none"/>
        </w:rPr>
        <w:t>National Library of Wales Journal</w:t>
      </w:r>
      <w:r w:rsidRPr="002964C7">
        <w:rPr>
          <w:rFonts w:ascii="Calibri" w:eastAsia="Times New Roman" w:hAnsi="Calibri" w:cs="Calibri"/>
          <w:kern w:val="0"/>
          <w:sz w:val="24"/>
          <w:szCs w:val="24"/>
          <w:lang w:eastAsia="en-GB" w:bidi="he-IL"/>
          <w14:ligatures w14:val="none"/>
        </w:rPr>
        <w:t>, 27.2 (1991), 113–30</w:t>
      </w:r>
    </w:p>
    <w:p w14:paraId="4AC75E1F"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Morgan, G. J, ‘“Then She Went to a Mountain Solitude”: Searching for Nuns in the Bushes of Medieval Welsh Hagiography’, </w:t>
      </w:r>
      <w:proofErr w:type="spellStart"/>
      <w:r w:rsidRPr="002964C7">
        <w:rPr>
          <w:rFonts w:ascii="Calibri" w:eastAsia="Times New Roman" w:hAnsi="Calibri" w:cs="Calibri"/>
          <w:i/>
          <w:iCs/>
          <w:kern w:val="0"/>
          <w:sz w:val="24"/>
          <w:szCs w:val="24"/>
          <w:lang w:eastAsia="en-GB" w:bidi="he-IL"/>
          <w14:ligatures w14:val="none"/>
        </w:rPr>
        <w:t>Peritia</w:t>
      </w:r>
      <w:proofErr w:type="spellEnd"/>
      <w:r w:rsidRPr="002964C7">
        <w:rPr>
          <w:rFonts w:ascii="Calibri" w:eastAsia="Times New Roman" w:hAnsi="Calibri" w:cs="Calibri"/>
          <w:kern w:val="0"/>
          <w:sz w:val="24"/>
          <w:szCs w:val="24"/>
          <w:lang w:eastAsia="en-GB" w:bidi="he-IL"/>
          <w14:ligatures w14:val="none"/>
        </w:rPr>
        <w:t>, 33 (2022), 213–26 &lt;https://doi.org/10.1484/j.perit.5.131905&gt;</w:t>
      </w:r>
    </w:p>
    <w:p w14:paraId="5D72AFAA"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Pickering, W, ‘Pennant Melangell, Montgomeryshire’, </w:t>
      </w:r>
      <w:r w:rsidRPr="002964C7">
        <w:rPr>
          <w:rFonts w:ascii="Calibri" w:eastAsia="Times New Roman" w:hAnsi="Calibri" w:cs="Calibri"/>
          <w:i/>
          <w:iCs/>
          <w:kern w:val="0"/>
          <w:sz w:val="24"/>
          <w:szCs w:val="24"/>
          <w:lang w:eastAsia="en-GB" w:bidi="he-IL"/>
          <w14:ligatures w14:val="none"/>
        </w:rPr>
        <w:t xml:space="preserve">Archaeologica </w:t>
      </w:r>
      <w:proofErr w:type="spellStart"/>
      <w:r w:rsidRPr="002964C7">
        <w:rPr>
          <w:rFonts w:ascii="Calibri" w:eastAsia="Times New Roman" w:hAnsi="Calibri" w:cs="Calibri"/>
          <w:i/>
          <w:iCs/>
          <w:kern w:val="0"/>
          <w:sz w:val="24"/>
          <w:szCs w:val="24"/>
          <w:lang w:eastAsia="en-GB" w:bidi="he-IL"/>
          <w14:ligatures w14:val="none"/>
        </w:rPr>
        <w:t>Cambrensis</w:t>
      </w:r>
      <w:proofErr w:type="spellEnd"/>
      <w:r w:rsidRPr="002964C7">
        <w:rPr>
          <w:rFonts w:ascii="Calibri" w:eastAsia="Times New Roman" w:hAnsi="Calibri" w:cs="Calibri"/>
          <w:kern w:val="0"/>
          <w:sz w:val="24"/>
          <w:szCs w:val="24"/>
          <w:lang w:eastAsia="en-GB" w:bidi="he-IL"/>
          <w14:ligatures w14:val="none"/>
        </w:rPr>
        <w:t>, 2.1 (1847)</w:t>
      </w:r>
    </w:p>
    <w:p w14:paraId="13C9F5E3"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Pritchard, T. W., </w:t>
      </w:r>
      <w:r w:rsidRPr="002964C7">
        <w:rPr>
          <w:rFonts w:ascii="Calibri" w:eastAsia="Times New Roman" w:hAnsi="Calibri" w:cs="Calibri"/>
          <w:i/>
          <w:iCs/>
          <w:kern w:val="0"/>
          <w:sz w:val="24"/>
          <w:szCs w:val="24"/>
          <w:lang w:eastAsia="en-GB" w:bidi="he-IL"/>
          <w14:ligatures w14:val="none"/>
        </w:rPr>
        <w:t>St. Winefride, Her Holy Well and the Jesuit Mission, C. 650-1930</w:t>
      </w:r>
      <w:r w:rsidRPr="002964C7">
        <w:rPr>
          <w:rFonts w:ascii="Calibri" w:eastAsia="Times New Roman" w:hAnsi="Calibri" w:cs="Calibri"/>
          <w:kern w:val="0"/>
          <w:sz w:val="24"/>
          <w:szCs w:val="24"/>
          <w:lang w:eastAsia="en-GB" w:bidi="he-IL"/>
          <w14:ligatures w14:val="none"/>
        </w:rPr>
        <w:t xml:space="preserve"> (Cambridge University Press, 2009)</w:t>
      </w:r>
    </w:p>
    <w:p w14:paraId="45EAB2DF"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Sharpe, Richard, and John Reuben Davies, ‘</w:t>
      </w:r>
      <w:proofErr w:type="spellStart"/>
      <w:r w:rsidRPr="002964C7">
        <w:rPr>
          <w:rFonts w:ascii="Calibri" w:eastAsia="Times New Roman" w:hAnsi="Calibri" w:cs="Calibri"/>
          <w:kern w:val="0"/>
          <w:sz w:val="24"/>
          <w:szCs w:val="24"/>
          <w:lang w:eastAsia="en-GB" w:bidi="he-IL"/>
          <w14:ligatures w14:val="none"/>
        </w:rPr>
        <w:t>Rhygyfarch’s</w:t>
      </w:r>
      <w:proofErr w:type="spellEnd"/>
      <w:r w:rsidRPr="002964C7">
        <w:rPr>
          <w:rFonts w:ascii="Calibri" w:eastAsia="Times New Roman" w:hAnsi="Calibri" w:cs="Calibri"/>
          <w:kern w:val="0"/>
          <w:sz w:val="24"/>
          <w:szCs w:val="24"/>
          <w:lang w:eastAsia="en-GB" w:bidi="he-IL"/>
          <w14:ligatures w14:val="none"/>
        </w:rPr>
        <w:t xml:space="preserve"> Life of Saint David’, in </w:t>
      </w:r>
      <w:r w:rsidRPr="002964C7">
        <w:rPr>
          <w:rFonts w:ascii="Calibri" w:eastAsia="Times New Roman" w:hAnsi="Calibri" w:cs="Calibri"/>
          <w:i/>
          <w:iCs/>
          <w:kern w:val="0"/>
          <w:sz w:val="24"/>
          <w:szCs w:val="24"/>
          <w:lang w:eastAsia="en-GB" w:bidi="he-IL"/>
          <w14:ligatures w14:val="none"/>
        </w:rPr>
        <w:t>St. David of Wales: Cult, Church, and Nation</w:t>
      </w:r>
      <w:r w:rsidRPr="002964C7">
        <w:rPr>
          <w:rFonts w:ascii="Calibri" w:eastAsia="Times New Roman" w:hAnsi="Calibri" w:cs="Calibri"/>
          <w:kern w:val="0"/>
          <w:sz w:val="24"/>
          <w:szCs w:val="24"/>
          <w:lang w:eastAsia="en-GB" w:bidi="he-IL"/>
          <w14:ligatures w14:val="none"/>
        </w:rPr>
        <w:t xml:space="preserve"> (Woodbridge, UK; Rochester, Ny: Boydell Press, 2007), pp. 107–55</w:t>
      </w:r>
    </w:p>
    <w:p w14:paraId="57DCF1B2"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Wade-Evans, A.W., ‘The Life of St. </w:t>
      </w:r>
      <w:proofErr w:type="spellStart"/>
      <w:r w:rsidRPr="002964C7">
        <w:rPr>
          <w:rFonts w:ascii="Calibri" w:eastAsia="Times New Roman" w:hAnsi="Calibri" w:cs="Calibri"/>
          <w:kern w:val="0"/>
          <w:sz w:val="24"/>
          <w:szCs w:val="24"/>
          <w:lang w:eastAsia="en-GB" w:bidi="he-IL"/>
          <w14:ligatures w14:val="none"/>
        </w:rPr>
        <w:t>Wenefred</w:t>
      </w:r>
      <w:proofErr w:type="spellEnd"/>
      <w:r w:rsidRPr="002964C7">
        <w:rPr>
          <w:rFonts w:ascii="Calibri" w:eastAsia="Times New Roman" w:hAnsi="Calibri" w:cs="Calibri"/>
          <w:kern w:val="0"/>
          <w:sz w:val="24"/>
          <w:szCs w:val="24"/>
          <w:lang w:eastAsia="en-GB" w:bidi="he-IL"/>
          <w14:ligatures w14:val="none"/>
        </w:rPr>
        <w:t xml:space="preserve">’, in </w:t>
      </w:r>
      <w:r w:rsidRPr="002964C7">
        <w:rPr>
          <w:rFonts w:ascii="Calibri" w:eastAsia="Times New Roman" w:hAnsi="Calibri" w:cs="Calibri"/>
          <w:i/>
          <w:iCs/>
          <w:kern w:val="0"/>
          <w:sz w:val="24"/>
          <w:szCs w:val="24"/>
          <w:lang w:eastAsia="en-GB" w:bidi="he-IL"/>
          <w14:ligatures w14:val="none"/>
        </w:rPr>
        <w:t xml:space="preserve">Vitae Sanctorum Britanniae et </w:t>
      </w:r>
      <w:proofErr w:type="spellStart"/>
      <w:r w:rsidRPr="002964C7">
        <w:rPr>
          <w:rFonts w:ascii="Calibri" w:eastAsia="Times New Roman" w:hAnsi="Calibri" w:cs="Calibri"/>
          <w:i/>
          <w:iCs/>
          <w:kern w:val="0"/>
          <w:sz w:val="24"/>
          <w:szCs w:val="24"/>
          <w:lang w:eastAsia="en-GB" w:bidi="he-IL"/>
          <w14:ligatures w14:val="none"/>
        </w:rPr>
        <w:t>Genelogiae</w:t>
      </w:r>
      <w:proofErr w:type="spellEnd"/>
      <w:r w:rsidRPr="002964C7">
        <w:rPr>
          <w:rFonts w:ascii="Calibri" w:eastAsia="Times New Roman" w:hAnsi="Calibri" w:cs="Calibri"/>
          <w:kern w:val="0"/>
          <w:sz w:val="24"/>
          <w:szCs w:val="24"/>
          <w:lang w:eastAsia="en-GB" w:bidi="he-IL"/>
          <w14:ligatures w14:val="none"/>
        </w:rPr>
        <w:t xml:space="preserve"> (University Press of Wales, 2013)</w:t>
      </w:r>
    </w:p>
    <w:p w14:paraId="52312DF4"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Willis-Bund, </w:t>
      </w:r>
      <w:proofErr w:type="gramStart"/>
      <w:r w:rsidRPr="002964C7">
        <w:rPr>
          <w:rFonts w:ascii="Calibri" w:eastAsia="Times New Roman" w:hAnsi="Calibri" w:cs="Calibri"/>
          <w:kern w:val="0"/>
          <w:sz w:val="24"/>
          <w:szCs w:val="24"/>
          <w:lang w:eastAsia="en-GB" w:bidi="he-IL"/>
          <w14:ligatures w14:val="none"/>
        </w:rPr>
        <w:t>J.W. ,</w:t>
      </w:r>
      <w:proofErr w:type="gramEnd"/>
      <w:r w:rsidRPr="002964C7">
        <w:rPr>
          <w:rFonts w:ascii="Calibri" w:eastAsia="Times New Roman" w:hAnsi="Calibri" w:cs="Calibri"/>
          <w:kern w:val="0"/>
          <w:sz w:val="24"/>
          <w:szCs w:val="24"/>
          <w:lang w:eastAsia="en-GB" w:bidi="he-IL"/>
          <w14:ligatures w14:val="none"/>
        </w:rPr>
        <w:t xml:space="preserve"> ‘Some Characteristics of Welsh and Irish Saints’, </w:t>
      </w:r>
      <w:r w:rsidRPr="002964C7">
        <w:rPr>
          <w:rFonts w:ascii="Calibri" w:eastAsia="Times New Roman" w:hAnsi="Calibri" w:cs="Calibri"/>
          <w:i/>
          <w:iCs/>
          <w:kern w:val="0"/>
          <w:sz w:val="24"/>
          <w:szCs w:val="24"/>
          <w:lang w:eastAsia="en-GB" w:bidi="he-IL"/>
          <w14:ligatures w14:val="none"/>
        </w:rPr>
        <w:t xml:space="preserve">Archaeologica </w:t>
      </w:r>
      <w:proofErr w:type="spellStart"/>
      <w:r w:rsidRPr="002964C7">
        <w:rPr>
          <w:rFonts w:ascii="Calibri" w:eastAsia="Times New Roman" w:hAnsi="Calibri" w:cs="Calibri"/>
          <w:i/>
          <w:iCs/>
          <w:kern w:val="0"/>
          <w:sz w:val="24"/>
          <w:szCs w:val="24"/>
          <w:lang w:eastAsia="en-GB" w:bidi="he-IL"/>
          <w14:ligatures w14:val="none"/>
        </w:rPr>
        <w:t>Cambrensis</w:t>
      </w:r>
      <w:proofErr w:type="spellEnd"/>
      <w:r w:rsidRPr="002964C7">
        <w:rPr>
          <w:rFonts w:ascii="Calibri" w:eastAsia="Times New Roman" w:hAnsi="Calibri" w:cs="Calibri"/>
          <w:kern w:val="0"/>
          <w:sz w:val="24"/>
          <w:szCs w:val="24"/>
          <w:lang w:eastAsia="en-GB" w:bidi="he-IL"/>
          <w14:ligatures w14:val="none"/>
        </w:rPr>
        <w:t>, 1894, 276–91</w:t>
      </w:r>
    </w:p>
    <w:p w14:paraId="43BCBFE2" w14:textId="77777777" w:rsidR="002964C7" w:rsidRPr="002964C7" w:rsidRDefault="002964C7" w:rsidP="00E42788">
      <w:pPr>
        <w:spacing w:after="240" w:line="276" w:lineRule="auto"/>
        <w:ind w:hanging="720"/>
        <w:rPr>
          <w:rFonts w:ascii="Calibri" w:eastAsia="Times New Roman" w:hAnsi="Calibri" w:cs="Calibri"/>
          <w:kern w:val="0"/>
          <w:sz w:val="24"/>
          <w:szCs w:val="24"/>
          <w:lang w:eastAsia="en-GB" w:bidi="he-IL"/>
          <w14:ligatures w14:val="none"/>
        </w:rPr>
      </w:pPr>
      <w:r w:rsidRPr="002964C7">
        <w:rPr>
          <w:rFonts w:ascii="Calibri" w:eastAsia="Times New Roman" w:hAnsi="Calibri" w:cs="Calibri"/>
          <w:kern w:val="0"/>
          <w:sz w:val="24"/>
          <w:szCs w:val="24"/>
          <w:lang w:eastAsia="en-GB" w:bidi="he-IL"/>
          <w14:ligatures w14:val="none"/>
        </w:rPr>
        <w:t xml:space="preserve">Winward, Fiona, ‘The Lives of St. </w:t>
      </w:r>
      <w:proofErr w:type="spellStart"/>
      <w:r w:rsidRPr="002964C7">
        <w:rPr>
          <w:rFonts w:ascii="Calibri" w:eastAsia="Times New Roman" w:hAnsi="Calibri" w:cs="Calibri"/>
          <w:kern w:val="0"/>
          <w:sz w:val="24"/>
          <w:szCs w:val="24"/>
          <w:lang w:eastAsia="en-GB" w:bidi="he-IL"/>
          <w14:ligatures w14:val="none"/>
        </w:rPr>
        <w:t>Wenefred</w:t>
      </w:r>
      <w:proofErr w:type="spellEnd"/>
      <w:r w:rsidRPr="002964C7">
        <w:rPr>
          <w:rFonts w:ascii="Calibri" w:eastAsia="Times New Roman" w:hAnsi="Calibri" w:cs="Calibri"/>
          <w:kern w:val="0"/>
          <w:sz w:val="24"/>
          <w:szCs w:val="24"/>
          <w:lang w:eastAsia="en-GB" w:bidi="he-IL"/>
          <w14:ligatures w14:val="none"/>
        </w:rPr>
        <w:t xml:space="preserve"> (BHL 8847-51)’, </w:t>
      </w:r>
      <w:r w:rsidRPr="002964C7">
        <w:rPr>
          <w:rFonts w:ascii="Calibri" w:eastAsia="Times New Roman" w:hAnsi="Calibri" w:cs="Calibri"/>
          <w:i/>
          <w:iCs/>
          <w:kern w:val="0"/>
          <w:sz w:val="24"/>
          <w:szCs w:val="24"/>
          <w:lang w:eastAsia="en-GB" w:bidi="he-IL"/>
          <w14:ligatures w14:val="none"/>
        </w:rPr>
        <w:t xml:space="preserve">Analecta </w:t>
      </w:r>
      <w:proofErr w:type="spellStart"/>
      <w:r w:rsidRPr="002964C7">
        <w:rPr>
          <w:rFonts w:ascii="Calibri" w:eastAsia="Times New Roman" w:hAnsi="Calibri" w:cs="Calibri"/>
          <w:i/>
          <w:iCs/>
          <w:kern w:val="0"/>
          <w:sz w:val="24"/>
          <w:szCs w:val="24"/>
          <w:lang w:eastAsia="en-GB" w:bidi="he-IL"/>
          <w14:ligatures w14:val="none"/>
        </w:rPr>
        <w:t>Bollandiana</w:t>
      </w:r>
      <w:proofErr w:type="spellEnd"/>
      <w:r w:rsidRPr="002964C7">
        <w:rPr>
          <w:rFonts w:ascii="Calibri" w:eastAsia="Times New Roman" w:hAnsi="Calibri" w:cs="Calibri"/>
          <w:kern w:val="0"/>
          <w:sz w:val="24"/>
          <w:szCs w:val="24"/>
          <w:lang w:eastAsia="en-GB" w:bidi="he-IL"/>
          <w14:ligatures w14:val="none"/>
        </w:rPr>
        <w:t>, 117 (1999), 89–132</w:t>
      </w:r>
    </w:p>
    <w:p w14:paraId="553AEB7B" w14:textId="77777777" w:rsidR="002964C7" w:rsidRPr="004601F4" w:rsidRDefault="002964C7" w:rsidP="00E42788">
      <w:pPr>
        <w:spacing w:line="276" w:lineRule="auto"/>
        <w:rPr>
          <w:rFonts w:ascii="Source Sans Pro" w:hAnsi="Source Sans Pro"/>
        </w:rPr>
      </w:pPr>
    </w:p>
    <w:sectPr w:rsidR="002964C7" w:rsidRPr="00460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35E45" w14:textId="77777777" w:rsidR="00D2192E" w:rsidRDefault="00D2192E" w:rsidP="00F46FD0">
      <w:pPr>
        <w:spacing w:after="0" w:line="240" w:lineRule="auto"/>
      </w:pPr>
      <w:r>
        <w:separator/>
      </w:r>
    </w:p>
  </w:endnote>
  <w:endnote w:type="continuationSeparator" w:id="0">
    <w:p w14:paraId="5548F721" w14:textId="77777777" w:rsidR="00D2192E" w:rsidRDefault="00D2192E" w:rsidP="00F46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58F30" w14:textId="77777777" w:rsidR="00D2192E" w:rsidRDefault="00D2192E" w:rsidP="00F46FD0">
      <w:pPr>
        <w:spacing w:after="0" w:line="240" w:lineRule="auto"/>
      </w:pPr>
      <w:r>
        <w:separator/>
      </w:r>
    </w:p>
  </w:footnote>
  <w:footnote w:type="continuationSeparator" w:id="0">
    <w:p w14:paraId="497C6DB3" w14:textId="77777777" w:rsidR="00D2192E" w:rsidRDefault="00D2192E" w:rsidP="00F46FD0">
      <w:pPr>
        <w:spacing w:after="0" w:line="240" w:lineRule="auto"/>
      </w:pPr>
      <w:r>
        <w:continuationSeparator/>
      </w:r>
    </w:p>
  </w:footnote>
  <w:footnote w:id="1">
    <w:p w14:paraId="3D3CBA75" w14:textId="60AE8556" w:rsidR="00F46FD0" w:rsidRPr="00C4693C" w:rsidRDefault="00F46FD0" w:rsidP="00C4693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4693C" w:rsidRPr="001765E9">
        <w:rPr>
          <w:rFonts w:ascii="Source Sans Pro" w:eastAsia="Times New Roman" w:hAnsi="Source Sans Pro" w:cs="Times New Roman"/>
          <w:kern w:val="0"/>
          <w:sz w:val="20"/>
          <w:szCs w:val="20"/>
          <w:lang w:eastAsia="en-GB" w:bidi="he-IL"/>
          <w14:ligatures w14:val="none"/>
        </w:rPr>
        <w:t>Lisa Margaret Garland, ‘Aspects of Welsh Saints’ Cults and Pilgrimage C. 1066-1530’ (unpublished PhD, 2005), p</w:t>
      </w:r>
      <w:r w:rsidR="00C4693C">
        <w:rPr>
          <w:rFonts w:ascii="Source Sans Pro" w:eastAsia="Times New Roman" w:hAnsi="Source Sans Pro" w:cs="Times New Roman"/>
          <w:kern w:val="0"/>
          <w:sz w:val="20"/>
          <w:szCs w:val="20"/>
          <w:lang w:eastAsia="en-GB" w:bidi="he-IL"/>
          <w14:ligatures w14:val="none"/>
        </w:rPr>
        <w:t>. 16.</w:t>
      </w:r>
    </w:p>
  </w:footnote>
  <w:footnote w:id="2">
    <w:p w14:paraId="59A2834C" w14:textId="11912121" w:rsidR="00F46FD0" w:rsidRPr="0011609F" w:rsidRDefault="00F46FD0" w:rsidP="0011609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11609F" w:rsidRPr="001765E9">
        <w:rPr>
          <w:rFonts w:ascii="Source Sans Pro" w:eastAsia="Times New Roman" w:hAnsi="Source Sans Pro" w:cs="Times New Roman"/>
          <w:kern w:val="0"/>
          <w:sz w:val="20"/>
          <w:szCs w:val="20"/>
          <w:lang w:eastAsia="en-GB" w:bidi="he-IL"/>
          <w14:ligatures w14:val="none"/>
        </w:rPr>
        <w:t>Garland, ‘Aspects of Welsh Saints’ Cults and Pilgrimage C. 1066-1530’ p</w:t>
      </w:r>
      <w:r w:rsidR="0011609F">
        <w:rPr>
          <w:rFonts w:ascii="Source Sans Pro" w:eastAsia="Times New Roman" w:hAnsi="Source Sans Pro" w:cs="Times New Roman"/>
          <w:kern w:val="0"/>
          <w:sz w:val="20"/>
          <w:szCs w:val="20"/>
          <w:lang w:eastAsia="en-GB" w:bidi="he-IL"/>
          <w14:ligatures w14:val="none"/>
        </w:rPr>
        <w:t xml:space="preserve">. </w:t>
      </w:r>
      <w:r w:rsidR="0011609F">
        <w:rPr>
          <w:rFonts w:ascii="Source Sans Pro" w:eastAsia="Times New Roman" w:hAnsi="Source Sans Pro" w:cs="Times New Roman"/>
          <w:kern w:val="0"/>
          <w:sz w:val="20"/>
          <w:szCs w:val="20"/>
          <w:lang w:eastAsia="en-GB" w:bidi="he-IL"/>
          <w14:ligatures w14:val="none"/>
        </w:rPr>
        <w:t xml:space="preserve">17. </w:t>
      </w:r>
    </w:p>
  </w:footnote>
  <w:footnote w:id="3">
    <w:p w14:paraId="7DC0B2E9" w14:textId="6B84956C" w:rsidR="00F46FD0" w:rsidRPr="005E2451" w:rsidRDefault="00F46FD0" w:rsidP="005E245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E2451" w:rsidRPr="001765E9">
        <w:rPr>
          <w:rFonts w:ascii="Source Sans Pro" w:eastAsia="Times New Roman" w:hAnsi="Source Sans Pro" w:cs="Times New Roman"/>
          <w:kern w:val="0"/>
          <w:sz w:val="20"/>
          <w:szCs w:val="20"/>
          <w:lang w:eastAsia="en-GB" w:bidi="he-IL"/>
          <w14:ligatures w14:val="none"/>
        </w:rPr>
        <w:t xml:space="preserve">J.W. Willis-Bund, ‘Some Characteristics of Welsh and Irish Saints’, </w:t>
      </w:r>
      <w:r w:rsidR="005E2451" w:rsidRPr="001765E9">
        <w:rPr>
          <w:rFonts w:ascii="Source Sans Pro" w:eastAsia="Times New Roman" w:hAnsi="Source Sans Pro" w:cs="Times New Roman"/>
          <w:i/>
          <w:iCs/>
          <w:kern w:val="0"/>
          <w:sz w:val="20"/>
          <w:szCs w:val="20"/>
          <w:lang w:eastAsia="en-GB" w:bidi="he-IL"/>
          <w14:ligatures w14:val="none"/>
        </w:rPr>
        <w:t xml:space="preserve">Archaeologica </w:t>
      </w:r>
      <w:proofErr w:type="spellStart"/>
      <w:r w:rsidR="005E2451" w:rsidRPr="001765E9">
        <w:rPr>
          <w:rFonts w:ascii="Source Sans Pro" w:eastAsia="Times New Roman" w:hAnsi="Source Sans Pro" w:cs="Times New Roman"/>
          <w:i/>
          <w:iCs/>
          <w:kern w:val="0"/>
          <w:sz w:val="20"/>
          <w:szCs w:val="20"/>
          <w:lang w:eastAsia="en-GB" w:bidi="he-IL"/>
          <w14:ligatures w14:val="none"/>
        </w:rPr>
        <w:t>Cambrensis</w:t>
      </w:r>
      <w:proofErr w:type="spellEnd"/>
      <w:r w:rsidR="005E2451" w:rsidRPr="001765E9">
        <w:rPr>
          <w:rFonts w:ascii="Source Sans Pro" w:eastAsia="Times New Roman" w:hAnsi="Source Sans Pro" w:cs="Times New Roman"/>
          <w:kern w:val="0"/>
          <w:sz w:val="20"/>
          <w:szCs w:val="20"/>
          <w:lang w:eastAsia="en-GB" w:bidi="he-IL"/>
          <w14:ligatures w14:val="none"/>
        </w:rPr>
        <w:t xml:space="preserve">, 1894, </w:t>
      </w:r>
      <w:r w:rsidR="005E2451">
        <w:rPr>
          <w:rFonts w:ascii="Source Sans Pro" w:eastAsia="Times New Roman" w:hAnsi="Source Sans Pro" w:cs="Times New Roman"/>
          <w:kern w:val="0"/>
          <w:sz w:val="20"/>
          <w:szCs w:val="20"/>
          <w:lang w:eastAsia="en-GB" w:bidi="he-IL"/>
          <w14:ligatures w14:val="none"/>
        </w:rPr>
        <w:t xml:space="preserve">p. </w:t>
      </w:r>
      <w:r w:rsidR="005E2451">
        <w:rPr>
          <w:rFonts w:ascii="Source Sans Pro" w:eastAsia="Times New Roman" w:hAnsi="Source Sans Pro" w:cs="Times New Roman"/>
          <w:kern w:val="0"/>
          <w:sz w:val="20"/>
          <w:szCs w:val="20"/>
          <w:lang w:eastAsia="en-GB" w:bidi="he-IL"/>
          <w14:ligatures w14:val="none"/>
        </w:rPr>
        <w:t>285.</w:t>
      </w:r>
    </w:p>
  </w:footnote>
  <w:footnote w:id="4">
    <w:p w14:paraId="3383461D" w14:textId="56097D3B" w:rsidR="00F46FD0" w:rsidRPr="008C0A04" w:rsidRDefault="00F46FD0" w:rsidP="008C0A04">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8C0A04" w:rsidRPr="001765E9">
        <w:rPr>
          <w:rFonts w:ascii="Source Sans Pro" w:eastAsia="Times New Roman" w:hAnsi="Source Sans Pro" w:cs="Times New Roman"/>
          <w:kern w:val="0"/>
          <w:sz w:val="20"/>
          <w:szCs w:val="20"/>
          <w:lang w:eastAsia="en-GB" w:bidi="he-IL"/>
          <w14:ligatures w14:val="none"/>
        </w:rPr>
        <w:t>Willis-Bund, ‘Some Characteristics of Welsh and Irish Saints’</w:t>
      </w:r>
      <w:r w:rsidR="008C0A04">
        <w:rPr>
          <w:rFonts w:ascii="Source Sans Pro" w:eastAsia="Times New Roman" w:hAnsi="Source Sans Pro" w:cs="Times New Roman"/>
          <w:kern w:val="0"/>
          <w:sz w:val="20"/>
          <w:szCs w:val="20"/>
          <w:lang w:eastAsia="en-GB" w:bidi="he-IL"/>
          <w14:ligatures w14:val="none"/>
        </w:rPr>
        <w:t xml:space="preserve">, p. </w:t>
      </w:r>
      <w:r w:rsidR="008C0A04">
        <w:rPr>
          <w:rFonts w:ascii="Source Sans Pro" w:eastAsia="Times New Roman" w:hAnsi="Source Sans Pro" w:cs="Times New Roman"/>
          <w:kern w:val="0"/>
          <w:sz w:val="20"/>
          <w:szCs w:val="20"/>
          <w:lang w:eastAsia="en-GB" w:bidi="he-IL"/>
          <w14:ligatures w14:val="none"/>
        </w:rPr>
        <w:t>285.</w:t>
      </w:r>
    </w:p>
  </w:footnote>
  <w:footnote w:id="5">
    <w:p w14:paraId="43B2C98B" w14:textId="3B382E4C" w:rsidR="00F46FD0" w:rsidRPr="005955F1" w:rsidRDefault="00F46FD0" w:rsidP="005955F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955F1">
        <w:rPr>
          <w:rFonts w:ascii="Source Sans Pro" w:eastAsia="Times New Roman" w:hAnsi="Source Sans Pro" w:cs="Times New Roman"/>
          <w:kern w:val="0"/>
          <w:sz w:val="20"/>
          <w:szCs w:val="20"/>
          <w:lang w:eastAsia="en-GB" w:bidi="he-IL"/>
          <w14:ligatures w14:val="none"/>
        </w:rPr>
        <w:t xml:space="preserve">Ibid., </w:t>
      </w:r>
      <w:r w:rsidR="005955F1">
        <w:rPr>
          <w:rFonts w:ascii="Source Sans Pro" w:eastAsia="Times New Roman" w:hAnsi="Source Sans Pro" w:cs="Times New Roman"/>
          <w:kern w:val="0"/>
          <w:sz w:val="20"/>
          <w:szCs w:val="20"/>
          <w:lang w:eastAsia="en-GB" w:bidi="he-IL"/>
          <w14:ligatures w14:val="none"/>
        </w:rPr>
        <w:t>p. 285.</w:t>
      </w:r>
    </w:p>
  </w:footnote>
  <w:footnote w:id="6">
    <w:p w14:paraId="126EBE28" w14:textId="1AC45F75" w:rsidR="00280838" w:rsidRPr="005955F1" w:rsidRDefault="00280838" w:rsidP="005955F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955F1">
        <w:rPr>
          <w:rFonts w:ascii="Source Sans Pro" w:eastAsia="Times New Roman" w:hAnsi="Source Sans Pro" w:cs="Times New Roman"/>
          <w:kern w:val="0"/>
          <w:sz w:val="20"/>
          <w:szCs w:val="20"/>
          <w:lang w:eastAsia="en-GB" w:bidi="he-IL"/>
          <w14:ligatures w14:val="none"/>
        </w:rPr>
        <w:t xml:space="preserve">Ibid., </w:t>
      </w:r>
      <w:r w:rsidR="005955F1">
        <w:rPr>
          <w:rFonts w:ascii="Source Sans Pro" w:eastAsia="Times New Roman" w:hAnsi="Source Sans Pro" w:cs="Times New Roman"/>
          <w:kern w:val="0"/>
          <w:sz w:val="20"/>
          <w:szCs w:val="20"/>
          <w:lang w:eastAsia="en-GB" w:bidi="he-IL"/>
          <w14:ligatures w14:val="none"/>
        </w:rPr>
        <w:t>p. 280.</w:t>
      </w:r>
    </w:p>
  </w:footnote>
  <w:footnote w:id="7">
    <w:p w14:paraId="7A0A2525" w14:textId="024CD8CC" w:rsidR="00BC564E" w:rsidRPr="00E57389" w:rsidRDefault="00BC564E" w:rsidP="00E5738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57389" w:rsidRPr="001765E9">
        <w:rPr>
          <w:rFonts w:ascii="Source Sans Pro" w:eastAsia="Times New Roman" w:hAnsi="Source Sans Pro" w:cs="Times New Roman"/>
          <w:kern w:val="0"/>
          <w:sz w:val="20"/>
          <w:szCs w:val="20"/>
          <w:lang w:eastAsia="en-GB" w:bidi="he-IL"/>
          <w14:ligatures w14:val="none"/>
        </w:rPr>
        <w:t xml:space="preserve">Elissa R Henken, </w:t>
      </w:r>
      <w:r w:rsidR="00E57389"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E57389" w:rsidRPr="001765E9">
        <w:rPr>
          <w:rFonts w:ascii="Source Sans Pro" w:eastAsia="Times New Roman" w:hAnsi="Source Sans Pro" w:cs="Times New Roman"/>
          <w:kern w:val="0"/>
          <w:sz w:val="20"/>
          <w:szCs w:val="20"/>
          <w:lang w:eastAsia="en-GB" w:bidi="he-IL"/>
          <w14:ligatures w14:val="none"/>
        </w:rPr>
        <w:t xml:space="preserve"> (Ds Brewer, 1991)</w:t>
      </w:r>
      <w:r w:rsidR="00E57389">
        <w:rPr>
          <w:rFonts w:ascii="Source Sans Pro" w:eastAsia="Times New Roman" w:hAnsi="Source Sans Pro" w:cs="Times New Roman"/>
          <w:kern w:val="0"/>
          <w:sz w:val="20"/>
          <w:szCs w:val="20"/>
          <w:lang w:eastAsia="en-GB" w:bidi="he-IL"/>
          <w14:ligatures w14:val="none"/>
        </w:rPr>
        <w:t>.</w:t>
      </w:r>
    </w:p>
  </w:footnote>
  <w:footnote w:id="8">
    <w:p w14:paraId="2AF8D0B6" w14:textId="35F2CAD5" w:rsidR="009A2FDC" w:rsidRPr="00881A7A" w:rsidRDefault="009A2FDC" w:rsidP="003448E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3448E6">
        <w:rPr>
          <w:rFonts w:ascii="Source Sans Pro" w:eastAsia="Times New Roman" w:hAnsi="Source Sans Pro" w:cs="Times New Roman"/>
          <w:kern w:val="0"/>
          <w:sz w:val="20"/>
          <w:szCs w:val="20"/>
          <w:lang w:eastAsia="en-GB" w:bidi="he-IL"/>
          <w14:ligatures w14:val="none"/>
        </w:rPr>
        <w:t xml:space="preserve"> </w:t>
      </w:r>
      <w:r w:rsidR="003448E6">
        <w:rPr>
          <w:rFonts w:ascii="Source Sans Pro" w:eastAsia="Times New Roman" w:hAnsi="Source Sans Pro" w:cs="Times New Roman"/>
          <w:kern w:val="0"/>
          <w:sz w:val="20"/>
          <w:szCs w:val="20"/>
          <w:lang w:eastAsia="en-GB" w:bidi="he-IL"/>
          <w14:ligatures w14:val="none"/>
        </w:rPr>
        <w:t>Ibid.</w:t>
      </w:r>
      <w:r w:rsidR="00881A7A">
        <w:rPr>
          <w:rFonts w:ascii="Source Sans Pro" w:eastAsia="Times New Roman" w:hAnsi="Source Sans Pro" w:cs="Times New Roman"/>
          <w:i/>
          <w:iCs/>
          <w:kern w:val="0"/>
          <w:sz w:val="20"/>
          <w:szCs w:val="20"/>
          <w:lang w:eastAsia="en-GB" w:bidi="he-IL"/>
          <w14:ligatures w14:val="none"/>
        </w:rPr>
        <w:t xml:space="preserve">, </w:t>
      </w:r>
      <w:r w:rsidR="00881A7A">
        <w:rPr>
          <w:rFonts w:ascii="Source Sans Pro" w:eastAsia="Times New Roman" w:hAnsi="Source Sans Pro" w:cs="Times New Roman"/>
          <w:kern w:val="0"/>
          <w:sz w:val="20"/>
          <w:szCs w:val="20"/>
          <w:lang w:eastAsia="en-GB" w:bidi="he-IL"/>
          <w14:ligatures w14:val="none"/>
        </w:rPr>
        <w:t xml:space="preserve">p. </w:t>
      </w:r>
      <w:r w:rsidR="00881A7A">
        <w:rPr>
          <w:rFonts w:ascii="Source Sans Pro" w:eastAsia="Times New Roman" w:hAnsi="Source Sans Pro" w:cs="Times New Roman"/>
          <w:kern w:val="0"/>
          <w:sz w:val="20"/>
          <w:szCs w:val="20"/>
          <w:lang w:eastAsia="en-GB" w:bidi="he-IL"/>
          <w14:ligatures w14:val="none"/>
        </w:rPr>
        <w:t>1.</w:t>
      </w:r>
    </w:p>
  </w:footnote>
  <w:footnote w:id="9">
    <w:p w14:paraId="63C585FB" w14:textId="4C2BC4A9" w:rsidR="007800BA" w:rsidRPr="00D3119A" w:rsidRDefault="007800BA" w:rsidP="00D3119A">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D3119A" w:rsidRPr="001765E9">
        <w:rPr>
          <w:rFonts w:ascii="Source Sans Pro" w:eastAsia="Times New Roman" w:hAnsi="Source Sans Pro" w:cs="Times New Roman"/>
          <w:kern w:val="0"/>
          <w:sz w:val="20"/>
          <w:szCs w:val="20"/>
          <w:lang w:eastAsia="en-GB" w:bidi="he-IL"/>
          <w14:ligatures w14:val="none"/>
        </w:rPr>
        <w:t xml:space="preserve">Henken, </w:t>
      </w:r>
      <w:r w:rsidR="00D3119A"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D3119A">
        <w:rPr>
          <w:rFonts w:ascii="Source Sans Pro" w:eastAsia="Times New Roman" w:hAnsi="Source Sans Pro" w:cs="Times New Roman"/>
          <w:i/>
          <w:iCs/>
          <w:kern w:val="0"/>
          <w:sz w:val="20"/>
          <w:szCs w:val="20"/>
          <w:lang w:eastAsia="en-GB" w:bidi="he-IL"/>
          <w14:ligatures w14:val="none"/>
        </w:rPr>
        <w:t xml:space="preserve">, </w:t>
      </w:r>
      <w:r w:rsidR="00D3119A">
        <w:rPr>
          <w:rFonts w:ascii="Source Sans Pro" w:eastAsia="Times New Roman" w:hAnsi="Source Sans Pro" w:cs="Times New Roman"/>
          <w:kern w:val="0"/>
          <w:sz w:val="20"/>
          <w:szCs w:val="20"/>
          <w:lang w:eastAsia="en-GB" w:bidi="he-IL"/>
          <w14:ligatures w14:val="none"/>
        </w:rPr>
        <w:t xml:space="preserve">p. </w:t>
      </w:r>
      <w:r w:rsidR="00D3119A">
        <w:rPr>
          <w:rFonts w:ascii="Source Sans Pro" w:eastAsia="Times New Roman" w:hAnsi="Source Sans Pro" w:cs="Times New Roman"/>
          <w:kern w:val="0"/>
          <w:sz w:val="20"/>
          <w:szCs w:val="20"/>
          <w:lang w:eastAsia="en-GB" w:bidi="he-IL"/>
          <w14:ligatures w14:val="none"/>
        </w:rPr>
        <w:t>2.</w:t>
      </w:r>
    </w:p>
  </w:footnote>
  <w:footnote w:id="10">
    <w:p w14:paraId="37E075C1" w14:textId="5AD602BF" w:rsidR="007800BA" w:rsidRPr="00442A9C" w:rsidRDefault="007800BA" w:rsidP="00442A9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42A9C">
        <w:rPr>
          <w:rFonts w:ascii="Source Sans Pro" w:eastAsia="Times New Roman" w:hAnsi="Source Sans Pro" w:cs="Times New Roman"/>
          <w:kern w:val="0"/>
          <w:sz w:val="20"/>
          <w:szCs w:val="20"/>
          <w:lang w:eastAsia="en-GB" w:bidi="he-IL"/>
          <w14:ligatures w14:val="none"/>
        </w:rPr>
        <w:t xml:space="preserve">Ibid., </w:t>
      </w:r>
      <w:r w:rsidR="00442A9C">
        <w:rPr>
          <w:rFonts w:ascii="Source Sans Pro" w:eastAsia="Times New Roman" w:hAnsi="Source Sans Pro" w:cs="Times New Roman"/>
          <w:kern w:val="0"/>
          <w:sz w:val="20"/>
          <w:szCs w:val="20"/>
          <w:lang w:eastAsia="en-GB" w:bidi="he-IL"/>
          <w14:ligatures w14:val="none"/>
        </w:rPr>
        <w:t>p. 2.</w:t>
      </w:r>
    </w:p>
  </w:footnote>
  <w:footnote w:id="11">
    <w:p w14:paraId="588AF5C0" w14:textId="2DDB02D5" w:rsidR="007800BA" w:rsidRPr="00442A9C" w:rsidRDefault="007800BA" w:rsidP="00442A9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42A9C">
        <w:rPr>
          <w:rFonts w:ascii="Source Sans Pro" w:eastAsia="Times New Roman" w:hAnsi="Source Sans Pro" w:cs="Times New Roman"/>
          <w:kern w:val="0"/>
          <w:sz w:val="20"/>
          <w:szCs w:val="20"/>
          <w:lang w:eastAsia="en-GB" w:bidi="he-IL"/>
          <w14:ligatures w14:val="none"/>
        </w:rPr>
        <w:t xml:space="preserve">Ibid., </w:t>
      </w:r>
      <w:r w:rsidR="00442A9C">
        <w:rPr>
          <w:rFonts w:ascii="Source Sans Pro" w:eastAsia="Times New Roman" w:hAnsi="Source Sans Pro" w:cs="Times New Roman"/>
          <w:kern w:val="0"/>
          <w:sz w:val="20"/>
          <w:szCs w:val="20"/>
          <w:lang w:eastAsia="en-GB" w:bidi="he-IL"/>
          <w14:ligatures w14:val="none"/>
        </w:rPr>
        <w:t>p. 2.</w:t>
      </w:r>
    </w:p>
  </w:footnote>
  <w:footnote w:id="12">
    <w:p w14:paraId="13481B16" w14:textId="0979A15C" w:rsidR="007800BA" w:rsidRPr="00442A9C" w:rsidRDefault="007800BA" w:rsidP="00442A9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42A9C">
        <w:rPr>
          <w:rFonts w:ascii="Source Sans Pro" w:eastAsia="Times New Roman" w:hAnsi="Source Sans Pro" w:cs="Times New Roman"/>
          <w:kern w:val="0"/>
          <w:sz w:val="20"/>
          <w:szCs w:val="20"/>
          <w:lang w:eastAsia="en-GB" w:bidi="he-IL"/>
          <w14:ligatures w14:val="none"/>
        </w:rPr>
        <w:t xml:space="preserve">Ibid., </w:t>
      </w:r>
      <w:r w:rsidR="00442A9C">
        <w:rPr>
          <w:rFonts w:ascii="Source Sans Pro" w:eastAsia="Times New Roman" w:hAnsi="Source Sans Pro" w:cs="Times New Roman"/>
          <w:kern w:val="0"/>
          <w:sz w:val="20"/>
          <w:szCs w:val="20"/>
          <w:lang w:eastAsia="en-GB" w:bidi="he-IL"/>
          <w14:ligatures w14:val="none"/>
        </w:rPr>
        <w:t>p. 2.</w:t>
      </w:r>
    </w:p>
  </w:footnote>
  <w:footnote w:id="13">
    <w:p w14:paraId="293773E8" w14:textId="2A19B776" w:rsidR="00273398" w:rsidRPr="00442A9C" w:rsidRDefault="00273398" w:rsidP="00442A9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42A9C">
        <w:rPr>
          <w:rFonts w:ascii="Source Sans Pro" w:eastAsia="Times New Roman" w:hAnsi="Source Sans Pro" w:cs="Times New Roman"/>
          <w:kern w:val="0"/>
          <w:sz w:val="20"/>
          <w:szCs w:val="20"/>
          <w:lang w:eastAsia="en-GB" w:bidi="he-IL"/>
          <w14:ligatures w14:val="none"/>
        </w:rPr>
        <w:t xml:space="preserve">Ibid., </w:t>
      </w:r>
      <w:r w:rsidR="00442A9C">
        <w:rPr>
          <w:rFonts w:ascii="Source Sans Pro" w:eastAsia="Times New Roman" w:hAnsi="Source Sans Pro" w:cs="Times New Roman"/>
          <w:kern w:val="0"/>
          <w:sz w:val="20"/>
          <w:szCs w:val="20"/>
          <w:lang w:eastAsia="en-GB" w:bidi="he-IL"/>
          <w14:ligatures w14:val="none"/>
        </w:rPr>
        <w:t>p. 6.</w:t>
      </w:r>
    </w:p>
  </w:footnote>
  <w:footnote w:id="14">
    <w:p w14:paraId="4933686D" w14:textId="4F7EEE73" w:rsidR="00E1636F" w:rsidRPr="00F06627" w:rsidRDefault="00E1636F" w:rsidP="00F0662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F06627" w:rsidRPr="001765E9">
        <w:rPr>
          <w:rFonts w:ascii="Source Sans Pro" w:eastAsia="Times New Roman" w:hAnsi="Source Sans Pro" w:cs="Times New Roman"/>
          <w:kern w:val="0"/>
          <w:sz w:val="20"/>
          <w:szCs w:val="20"/>
          <w:lang w:eastAsia="en-GB" w:bidi="he-IL"/>
          <w14:ligatures w14:val="none"/>
        </w:rPr>
        <w:t xml:space="preserve">Jane Cartwright, ‘Dead Virgins: Feminine Sanctity in Medieval Wales’, in </w:t>
      </w:r>
      <w:r w:rsidR="00F06627" w:rsidRPr="001765E9">
        <w:rPr>
          <w:rFonts w:ascii="Source Sans Pro" w:eastAsia="Times New Roman" w:hAnsi="Source Sans Pro" w:cs="Times New Roman"/>
          <w:i/>
          <w:iCs/>
          <w:kern w:val="0"/>
          <w:sz w:val="20"/>
          <w:szCs w:val="20"/>
          <w:lang w:eastAsia="en-GB" w:bidi="he-IL"/>
          <w14:ligatures w14:val="none"/>
        </w:rPr>
        <w:t>Feminine Sanctity and Spirituality in Medieval Wales</w:t>
      </w:r>
      <w:r w:rsidR="00F06627" w:rsidRPr="001765E9">
        <w:rPr>
          <w:rFonts w:ascii="Source Sans Pro" w:eastAsia="Times New Roman" w:hAnsi="Source Sans Pro" w:cs="Times New Roman"/>
          <w:kern w:val="0"/>
          <w:sz w:val="20"/>
          <w:szCs w:val="20"/>
          <w:lang w:eastAsia="en-GB" w:bidi="he-IL"/>
          <w14:ligatures w14:val="none"/>
        </w:rPr>
        <w:t xml:space="preserve"> (Cardiff: University Of Wales Press, 2008), </w:t>
      </w:r>
      <w:r w:rsidR="00F06627">
        <w:rPr>
          <w:rFonts w:ascii="Source Sans Pro" w:eastAsia="Times New Roman" w:hAnsi="Source Sans Pro" w:cs="Times New Roman"/>
          <w:kern w:val="0"/>
          <w:sz w:val="20"/>
          <w:szCs w:val="20"/>
          <w:lang w:eastAsia="en-GB" w:bidi="he-IL"/>
          <w14:ligatures w14:val="none"/>
        </w:rPr>
        <w:t xml:space="preserve">p. </w:t>
      </w:r>
      <w:r w:rsidR="00F06627">
        <w:rPr>
          <w:rFonts w:ascii="Source Sans Pro" w:eastAsia="Times New Roman" w:hAnsi="Source Sans Pro" w:cs="Times New Roman"/>
          <w:kern w:val="0"/>
          <w:sz w:val="20"/>
          <w:szCs w:val="20"/>
          <w:lang w:eastAsia="en-GB" w:bidi="he-IL"/>
          <w14:ligatures w14:val="none"/>
        </w:rPr>
        <w:t>86.</w:t>
      </w:r>
    </w:p>
  </w:footnote>
  <w:footnote w:id="15">
    <w:p w14:paraId="32941161" w14:textId="549E4980" w:rsidR="00E93A53" w:rsidRPr="00CE6F9E" w:rsidRDefault="00E93A53" w:rsidP="00CE6F9E">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E6F9E" w:rsidRPr="00242460">
        <w:rPr>
          <w:rFonts w:ascii="Source Sans Pro" w:eastAsia="Times New Roman" w:hAnsi="Source Sans Pro" w:cs="Times New Roman"/>
          <w:kern w:val="0"/>
          <w:sz w:val="20"/>
          <w:szCs w:val="20"/>
          <w:lang w:eastAsia="en-GB" w:bidi="he-IL"/>
          <w14:ligatures w14:val="none"/>
        </w:rPr>
        <w:t xml:space="preserve">Jane Cartwright, ‘The Cult of St Non: Rape, Sanctity and Motherhood in Welsh and Breton Hagiography’, in </w:t>
      </w:r>
      <w:r w:rsidR="00CE6F9E" w:rsidRPr="00242460">
        <w:rPr>
          <w:rFonts w:ascii="Source Sans Pro" w:eastAsia="Times New Roman" w:hAnsi="Source Sans Pro" w:cs="Times New Roman"/>
          <w:i/>
          <w:iCs/>
          <w:kern w:val="0"/>
          <w:sz w:val="20"/>
          <w:szCs w:val="20"/>
          <w:lang w:eastAsia="en-GB" w:bidi="he-IL"/>
          <w14:ligatures w14:val="none"/>
        </w:rPr>
        <w:t>St. David of Wales: Cult, Church, and Nation</w:t>
      </w:r>
      <w:r w:rsidR="00CE6F9E" w:rsidRPr="00242460">
        <w:rPr>
          <w:rFonts w:ascii="Source Sans Pro" w:eastAsia="Times New Roman" w:hAnsi="Source Sans Pro" w:cs="Times New Roman"/>
          <w:kern w:val="0"/>
          <w:sz w:val="20"/>
          <w:szCs w:val="20"/>
          <w:lang w:eastAsia="en-GB" w:bidi="he-IL"/>
          <w14:ligatures w14:val="none"/>
        </w:rPr>
        <w:t xml:space="preserve"> (Woodbridge, U</w:t>
      </w:r>
      <w:r w:rsidR="00173E9A">
        <w:rPr>
          <w:rFonts w:ascii="Source Sans Pro" w:eastAsia="Times New Roman" w:hAnsi="Source Sans Pro" w:cs="Times New Roman"/>
          <w:kern w:val="0"/>
          <w:sz w:val="20"/>
          <w:szCs w:val="20"/>
          <w:lang w:eastAsia="en-GB" w:bidi="he-IL"/>
          <w14:ligatures w14:val="none"/>
        </w:rPr>
        <w:t>K</w:t>
      </w:r>
      <w:r w:rsidR="00CE6F9E" w:rsidRPr="00242460">
        <w:rPr>
          <w:rFonts w:ascii="Source Sans Pro" w:eastAsia="Times New Roman" w:hAnsi="Source Sans Pro" w:cs="Times New Roman"/>
          <w:kern w:val="0"/>
          <w:sz w:val="20"/>
          <w:szCs w:val="20"/>
          <w:lang w:eastAsia="en-GB" w:bidi="he-IL"/>
          <w14:ligatures w14:val="none"/>
        </w:rPr>
        <w:t>; Rochester, Ny: Boydell Press, 2007), p</w:t>
      </w:r>
      <w:r w:rsidR="00CE6F9E">
        <w:rPr>
          <w:rFonts w:ascii="Source Sans Pro" w:eastAsia="Times New Roman" w:hAnsi="Source Sans Pro" w:cs="Times New Roman"/>
          <w:kern w:val="0"/>
          <w:sz w:val="20"/>
          <w:szCs w:val="20"/>
          <w:lang w:eastAsia="en-GB" w:bidi="he-IL"/>
          <w14:ligatures w14:val="none"/>
        </w:rPr>
        <w:t>.</w:t>
      </w:r>
      <w:r w:rsidR="00CE6F9E">
        <w:rPr>
          <w:rFonts w:ascii="Source Sans Pro" w:eastAsia="Times New Roman" w:hAnsi="Source Sans Pro" w:cs="Times New Roman"/>
          <w:kern w:val="0"/>
          <w:sz w:val="20"/>
          <w:szCs w:val="20"/>
          <w:lang w:eastAsia="en-GB" w:bidi="he-IL"/>
          <w14:ligatures w14:val="none"/>
        </w:rPr>
        <w:t xml:space="preserve"> 182.</w:t>
      </w:r>
    </w:p>
  </w:footnote>
  <w:footnote w:id="16">
    <w:p w14:paraId="1DAA0823" w14:textId="37367BBE" w:rsidR="00281498" w:rsidRPr="00173E9A" w:rsidRDefault="00281498" w:rsidP="00173E9A">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173E9A">
        <w:rPr>
          <w:rFonts w:ascii="Source Sans Pro" w:eastAsia="Times New Roman" w:hAnsi="Source Sans Pro" w:cs="Times New Roman"/>
          <w:kern w:val="0"/>
          <w:sz w:val="20"/>
          <w:szCs w:val="20"/>
          <w:lang w:eastAsia="en-GB" w:bidi="he-IL"/>
          <w14:ligatures w14:val="none"/>
        </w:rPr>
        <w:t>Cartwright, ‘</w:t>
      </w:r>
      <w:r w:rsidR="00173E9A" w:rsidRPr="001765E9">
        <w:rPr>
          <w:rFonts w:ascii="Source Sans Pro" w:eastAsia="Times New Roman" w:hAnsi="Source Sans Pro" w:cs="Times New Roman"/>
          <w:kern w:val="0"/>
          <w:sz w:val="20"/>
          <w:szCs w:val="20"/>
          <w:lang w:eastAsia="en-GB" w:bidi="he-IL"/>
          <w14:ligatures w14:val="none"/>
        </w:rPr>
        <w:t>Dead Virgins: Feminine Sanctity in Medieval Wales’</w:t>
      </w:r>
      <w:r w:rsidR="00173E9A">
        <w:rPr>
          <w:rFonts w:ascii="Source Sans Pro" w:eastAsia="Times New Roman" w:hAnsi="Source Sans Pro" w:cs="Times New Roman"/>
          <w:kern w:val="0"/>
          <w:sz w:val="20"/>
          <w:szCs w:val="20"/>
          <w:lang w:eastAsia="en-GB" w:bidi="he-IL"/>
          <w14:ligatures w14:val="none"/>
        </w:rPr>
        <w:t xml:space="preserve">, p. </w:t>
      </w:r>
      <w:r w:rsidR="00173E9A">
        <w:rPr>
          <w:rFonts w:ascii="Source Sans Pro" w:eastAsia="Times New Roman" w:hAnsi="Source Sans Pro" w:cs="Times New Roman"/>
          <w:kern w:val="0"/>
          <w:sz w:val="20"/>
          <w:szCs w:val="20"/>
          <w:lang w:eastAsia="en-GB" w:bidi="he-IL"/>
          <w14:ligatures w14:val="none"/>
        </w:rPr>
        <w:t>86.</w:t>
      </w:r>
    </w:p>
  </w:footnote>
  <w:footnote w:id="17">
    <w:p w14:paraId="387149DC" w14:textId="2B5ADC59" w:rsidR="00AB5B62" w:rsidRPr="005B75B1" w:rsidRDefault="00AB5B62" w:rsidP="005B75B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B75B1" w:rsidRPr="001765E9">
        <w:rPr>
          <w:rFonts w:ascii="Source Sans Pro" w:eastAsia="Times New Roman" w:hAnsi="Source Sans Pro" w:cs="Times New Roman"/>
          <w:kern w:val="0"/>
          <w:sz w:val="20"/>
          <w:szCs w:val="20"/>
          <w:lang w:eastAsia="en-GB" w:bidi="he-IL"/>
          <w14:ligatures w14:val="none"/>
        </w:rPr>
        <w:t xml:space="preserve">Henken, </w:t>
      </w:r>
      <w:r w:rsidR="005B75B1"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5B75B1">
        <w:rPr>
          <w:rFonts w:ascii="Source Sans Pro" w:eastAsia="Times New Roman" w:hAnsi="Source Sans Pro" w:cs="Times New Roman"/>
          <w:i/>
          <w:iCs/>
          <w:kern w:val="0"/>
          <w:sz w:val="20"/>
          <w:szCs w:val="20"/>
          <w:lang w:eastAsia="en-GB" w:bidi="he-IL"/>
          <w14:ligatures w14:val="none"/>
        </w:rPr>
        <w:t xml:space="preserve">, </w:t>
      </w:r>
      <w:r w:rsidR="005B75B1">
        <w:rPr>
          <w:rFonts w:ascii="Source Sans Pro" w:eastAsia="Times New Roman" w:hAnsi="Source Sans Pro" w:cs="Times New Roman"/>
          <w:kern w:val="0"/>
          <w:sz w:val="20"/>
          <w:szCs w:val="20"/>
          <w:lang w:eastAsia="en-GB" w:bidi="he-IL"/>
          <w14:ligatures w14:val="none"/>
        </w:rPr>
        <w:t xml:space="preserve">p. </w:t>
      </w:r>
      <w:r w:rsidR="005B75B1">
        <w:rPr>
          <w:rFonts w:ascii="Source Sans Pro" w:eastAsia="Times New Roman" w:hAnsi="Source Sans Pro" w:cs="Times New Roman"/>
          <w:kern w:val="0"/>
          <w:sz w:val="20"/>
          <w:szCs w:val="20"/>
          <w:lang w:eastAsia="en-GB" w:bidi="he-IL"/>
          <w14:ligatures w14:val="none"/>
        </w:rPr>
        <w:t>7.</w:t>
      </w:r>
    </w:p>
  </w:footnote>
  <w:footnote w:id="18">
    <w:p w14:paraId="2C6F0D8B" w14:textId="55BF77F3" w:rsidR="0010673E" w:rsidRPr="00C975C7" w:rsidRDefault="0010673E" w:rsidP="00C975C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975C7">
        <w:rPr>
          <w:rFonts w:ascii="Source Sans Pro" w:eastAsia="Times New Roman" w:hAnsi="Source Sans Pro" w:cs="Times New Roman"/>
          <w:kern w:val="0"/>
          <w:sz w:val="20"/>
          <w:szCs w:val="20"/>
          <w:lang w:eastAsia="en-GB" w:bidi="he-IL"/>
          <w14:ligatures w14:val="none"/>
        </w:rPr>
        <w:t xml:space="preserve">Ibid., </w:t>
      </w:r>
      <w:r w:rsidR="00C975C7">
        <w:rPr>
          <w:rFonts w:ascii="Source Sans Pro" w:eastAsia="Times New Roman" w:hAnsi="Source Sans Pro" w:cs="Times New Roman"/>
          <w:kern w:val="0"/>
          <w:sz w:val="20"/>
          <w:szCs w:val="20"/>
          <w:lang w:eastAsia="en-GB" w:bidi="he-IL"/>
          <w14:ligatures w14:val="none"/>
        </w:rPr>
        <w:t>p. 7.</w:t>
      </w:r>
    </w:p>
  </w:footnote>
  <w:footnote w:id="19">
    <w:p w14:paraId="70B6F580" w14:textId="32C701CA" w:rsidR="001A428C" w:rsidRPr="00C975C7" w:rsidRDefault="001A428C" w:rsidP="00C975C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975C7">
        <w:rPr>
          <w:rFonts w:ascii="Source Sans Pro" w:eastAsia="Times New Roman" w:hAnsi="Source Sans Pro" w:cs="Times New Roman"/>
          <w:kern w:val="0"/>
          <w:sz w:val="20"/>
          <w:szCs w:val="20"/>
          <w:lang w:eastAsia="en-GB" w:bidi="he-IL"/>
          <w14:ligatures w14:val="none"/>
        </w:rPr>
        <w:t xml:space="preserve">Ibid., </w:t>
      </w:r>
      <w:r w:rsidR="00C975C7">
        <w:rPr>
          <w:rFonts w:ascii="Source Sans Pro" w:eastAsia="Times New Roman" w:hAnsi="Source Sans Pro" w:cs="Times New Roman"/>
          <w:kern w:val="0"/>
          <w:sz w:val="20"/>
          <w:szCs w:val="20"/>
          <w:lang w:eastAsia="en-GB" w:bidi="he-IL"/>
          <w14:ligatures w14:val="none"/>
        </w:rPr>
        <w:t>p. 8.</w:t>
      </w:r>
    </w:p>
  </w:footnote>
  <w:footnote w:id="20">
    <w:p w14:paraId="464C0856" w14:textId="361DC103" w:rsidR="001A428C" w:rsidRPr="00C975C7" w:rsidRDefault="001A428C" w:rsidP="00C975C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975C7">
        <w:rPr>
          <w:rFonts w:ascii="Source Sans Pro" w:eastAsia="Times New Roman" w:hAnsi="Source Sans Pro" w:cs="Times New Roman"/>
          <w:kern w:val="0"/>
          <w:sz w:val="20"/>
          <w:szCs w:val="20"/>
          <w:lang w:eastAsia="en-GB" w:bidi="he-IL"/>
          <w14:ligatures w14:val="none"/>
        </w:rPr>
        <w:t xml:space="preserve">Ibid., </w:t>
      </w:r>
      <w:r w:rsidR="00C975C7">
        <w:rPr>
          <w:rFonts w:ascii="Source Sans Pro" w:eastAsia="Times New Roman" w:hAnsi="Source Sans Pro" w:cs="Times New Roman"/>
          <w:kern w:val="0"/>
          <w:sz w:val="20"/>
          <w:szCs w:val="20"/>
          <w:lang w:eastAsia="en-GB" w:bidi="he-IL"/>
          <w14:ligatures w14:val="none"/>
        </w:rPr>
        <w:t>p. 10.</w:t>
      </w:r>
    </w:p>
  </w:footnote>
  <w:footnote w:id="21">
    <w:p w14:paraId="1EBFA039" w14:textId="6D945699" w:rsidR="004C01EE" w:rsidRPr="00802AFA" w:rsidRDefault="004C01EE" w:rsidP="00802AFA">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802AFA" w:rsidRPr="001765E9">
        <w:rPr>
          <w:rFonts w:ascii="Source Sans Pro" w:eastAsia="Times New Roman" w:hAnsi="Source Sans Pro" w:cs="Times New Roman"/>
          <w:kern w:val="0"/>
          <w:sz w:val="20"/>
          <w:szCs w:val="20"/>
          <w:lang w:eastAsia="en-GB" w:bidi="he-IL"/>
          <w14:ligatures w14:val="none"/>
        </w:rPr>
        <w:t xml:space="preserve">Robert Bartlett, </w:t>
      </w:r>
      <w:r w:rsidR="00802AFA" w:rsidRPr="001765E9">
        <w:rPr>
          <w:rFonts w:ascii="Source Sans Pro" w:eastAsia="Times New Roman" w:hAnsi="Source Sans Pro" w:cs="Times New Roman"/>
          <w:i/>
          <w:iCs/>
          <w:kern w:val="0"/>
          <w:sz w:val="20"/>
          <w:szCs w:val="20"/>
          <w:lang w:eastAsia="en-GB" w:bidi="he-IL"/>
          <w14:ligatures w14:val="none"/>
        </w:rPr>
        <w:t>Why Can the Dead Do Such Great Things?: Saints and Worshippers from the Martyrs to the Reformation</w:t>
      </w:r>
      <w:r w:rsidR="00802AFA" w:rsidRPr="001765E9">
        <w:rPr>
          <w:rFonts w:ascii="Source Sans Pro" w:eastAsia="Times New Roman" w:hAnsi="Source Sans Pro" w:cs="Times New Roman"/>
          <w:kern w:val="0"/>
          <w:sz w:val="20"/>
          <w:szCs w:val="20"/>
          <w:lang w:eastAsia="en-GB" w:bidi="he-IL"/>
          <w14:ligatures w14:val="none"/>
        </w:rPr>
        <w:t xml:space="preserve"> (Princeton, Nj: Princeton University Press, Cop, 2013)</w:t>
      </w:r>
      <w:r w:rsidR="00802AFA">
        <w:rPr>
          <w:rFonts w:ascii="Source Sans Pro" w:eastAsia="Times New Roman" w:hAnsi="Source Sans Pro" w:cs="Times New Roman"/>
          <w:kern w:val="0"/>
          <w:sz w:val="20"/>
          <w:szCs w:val="20"/>
          <w:lang w:eastAsia="en-GB" w:bidi="he-IL"/>
          <w14:ligatures w14:val="none"/>
        </w:rPr>
        <w:t>, p. 336.</w:t>
      </w:r>
    </w:p>
  </w:footnote>
  <w:footnote w:id="22">
    <w:p w14:paraId="6BF15B08" w14:textId="5EF78AD8" w:rsidR="00574377" w:rsidRPr="0052570C" w:rsidRDefault="00574377" w:rsidP="0052570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2570C" w:rsidRPr="001765E9">
        <w:rPr>
          <w:rFonts w:ascii="Source Sans Pro" w:eastAsia="Times New Roman" w:hAnsi="Source Sans Pro" w:cs="Times New Roman"/>
          <w:kern w:val="0"/>
          <w:sz w:val="20"/>
          <w:szCs w:val="20"/>
          <w:lang w:eastAsia="en-GB" w:bidi="he-IL"/>
          <w14:ligatures w14:val="none"/>
        </w:rPr>
        <w:t xml:space="preserve">Henken, </w:t>
      </w:r>
      <w:r w:rsidR="0052570C"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52570C">
        <w:rPr>
          <w:rFonts w:ascii="Source Sans Pro" w:eastAsia="Times New Roman" w:hAnsi="Source Sans Pro" w:cs="Times New Roman"/>
          <w:i/>
          <w:iCs/>
          <w:kern w:val="0"/>
          <w:sz w:val="20"/>
          <w:szCs w:val="20"/>
          <w:lang w:eastAsia="en-GB" w:bidi="he-IL"/>
          <w14:ligatures w14:val="none"/>
        </w:rPr>
        <w:t xml:space="preserve">, </w:t>
      </w:r>
      <w:r w:rsidR="0052570C">
        <w:rPr>
          <w:rFonts w:ascii="Source Sans Pro" w:eastAsia="Times New Roman" w:hAnsi="Source Sans Pro" w:cs="Times New Roman"/>
          <w:kern w:val="0"/>
          <w:sz w:val="20"/>
          <w:szCs w:val="20"/>
          <w:lang w:eastAsia="en-GB" w:bidi="he-IL"/>
          <w14:ligatures w14:val="none"/>
        </w:rPr>
        <w:t xml:space="preserve">p. </w:t>
      </w:r>
      <w:r w:rsidR="0052570C">
        <w:rPr>
          <w:rFonts w:ascii="Source Sans Pro" w:eastAsia="Times New Roman" w:hAnsi="Source Sans Pro" w:cs="Times New Roman"/>
          <w:kern w:val="0"/>
          <w:sz w:val="20"/>
          <w:szCs w:val="20"/>
          <w:lang w:eastAsia="en-GB" w:bidi="he-IL"/>
          <w14:ligatures w14:val="none"/>
        </w:rPr>
        <w:t>49.</w:t>
      </w:r>
    </w:p>
  </w:footnote>
  <w:footnote w:id="23">
    <w:p w14:paraId="20AC5DF4" w14:textId="5BAB98E0" w:rsidR="00584076" w:rsidRPr="000807DF" w:rsidRDefault="00584076" w:rsidP="000807D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0807DF">
        <w:rPr>
          <w:rFonts w:ascii="Source Sans Pro" w:eastAsia="Times New Roman" w:hAnsi="Source Sans Pro" w:cs="Times New Roman"/>
          <w:kern w:val="0"/>
          <w:sz w:val="20"/>
          <w:szCs w:val="20"/>
          <w:lang w:eastAsia="en-GB" w:bidi="he-IL"/>
          <w14:ligatures w14:val="none"/>
        </w:rPr>
        <w:t xml:space="preserve">Ibid., </w:t>
      </w:r>
      <w:r w:rsidR="000807DF">
        <w:rPr>
          <w:rFonts w:ascii="Source Sans Pro" w:eastAsia="Times New Roman" w:hAnsi="Source Sans Pro" w:cs="Times New Roman"/>
          <w:kern w:val="0"/>
          <w:sz w:val="20"/>
          <w:szCs w:val="20"/>
          <w:lang w:eastAsia="en-GB" w:bidi="he-IL"/>
          <w14:ligatures w14:val="none"/>
        </w:rPr>
        <w:t>p. 54.</w:t>
      </w:r>
    </w:p>
  </w:footnote>
  <w:footnote w:id="24">
    <w:p w14:paraId="71674B86" w14:textId="50C143E8" w:rsidR="00596013" w:rsidRPr="000807DF" w:rsidRDefault="00596013" w:rsidP="000807D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0807DF">
        <w:rPr>
          <w:rFonts w:ascii="Source Sans Pro" w:eastAsia="Times New Roman" w:hAnsi="Source Sans Pro" w:cs="Times New Roman"/>
          <w:kern w:val="0"/>
          <w:sz w:val="20"/>
          <w:szCs w:val="20"/>
          <w:lang w:eastAsia="en-GB" w:bidi="he-IL"/>
          <w14:ligatures w14:val="none"/>
        </w:rPr>
        <w:t xml:space="preserve">Ibid., </w:t>
      </w:r>
      <w:r w:rsidR="000807DF">
        <w:rPr>
          <w:rFonts w:ascii="Source Sans Pro" w:eastAsia="Times New Roman" w:hAnsi="Source Sans Pro" w:cs="Times New Roman"/>
          <w:kern w:val="0"/>
          <w:sz w:val="20"/>
          <w:szCs w:val="20"/>
          <w:lang w:eastAsia="en-GB" w:bidi="he-IL"/>
          <w14:ligatures w14:val="none"/>
        </w:rPr>
        <w:t>p. 55.</w:t>
      </w:r>
    </w:p>
  </w:footnote>
  <w:footnote w:id="25">
    <w:p w14:paraId="5129FDFD" w14:textId="2F2133C2" w:rsidR="00C0610A" w:rsidRPr="000807DF" w:rsidRDefault="00C0610A" w:rsidP="000807D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0807DF">
        <w:rPr>
          <w:rFonts w:ascii="Source Sans Pro" w:eastAsia="Times New Roman" w:hAnsi="Source Sans Pro" w:cs="Times New Roman"/>
          <w:kern w:val="0"/>
          <w:sz w:val="20"/>
          <w:szCs w:val="20"/>
          <w:lang w:eastAsia="en-GB" w:bidi="he-IL"/>
          <w14:ligatures w14:val="none"/>
        </w:rPr>
        <w:t xml:space="preserve">Ibid., </w:t>
      </w:r>
      <w:r w:rsidR="000807DF">
        <w:rPr>
          <w:rFonts w:ascii="Source Sans Pro" w:eastAsia="Times New Roman" w:hAnsi="Source Sans Pro" w:cs="Times New Roman"/>
          <w:kern w:val="0"/>
          <w:sz w:val="20"/>
          <w:szCs w:val="20"/>
          <w:lang w:eastAsia="en-GB" w:bidi="he-IL"/>
          <w14:ligatures w14:val="none"/>
        </w:rPr>
        <w:t>p. 54.</w:t>
      </w:r>
    </w:p>
  </w:footnote>
  <w:footnote w:id="26">
    <w:p w14:paraId="5F97C962" w14:textId="4772D72A" w:rsidR="00271C04" w:rsidRPr="00F3641B" w:rsidRDefault="00271C04" w:rsidP="00F3641B">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3641B" w:rsidRPr="001765E9">
        <w:rPr>
          <w:rFonts w:ascii="Source Sans Pro" w:eastAsia="Times New Roman" w:hAnsi="Source Sans Pro" w:cs="Times New Roman"/>
          <w:kern w:val="0"/>
          <w:sz w:val="20"/>
          <w:szCs w:val="20"/>
          <w:lang w:eastAsia="en-GB" w:bidi="he-IL"/>
          <w14:ligatures w14:val="none"/>
        </w:rPr>
        <w:t>A.W.</w:t>
      </w:r>
      <w:r w:rsidR="00F3641B">
        <w:rPr>
          <w:rFonts w:ascii="Source Sans Pro" w:eastAsia="Times New Roman" w:hAnsi="Source Sans Pro" w:cs="Times New Roman"/>
          <w:kern w:val="0"/>
          <w:sz w:val="20"/>
          <w:szCs w:val="20"/>
          <w:lang w:eastAsia="en-GB" w:bidi="he-IL"/>
          <w14:ligatures w14:val="none"/>
        </w:rPr>
        <w:t xml:space="preserve"> </w:t>
      </w:r>
      <w:r w:rsidR="00F3641B" w:rsidRPr="001765E9">
        <w:rPr>
          <w:rFonts w:ascii="Source Sans Pro" w:eastAsia="Times New Roman" w:hAnsi="Source Sans Pro" w:cs="Times New Roman"/>
          <w:kern w:val="0"/>
          <w:sz w:val="20"/>
          <w:szCs w:val="20"/>
          <w:lang w:eastAsia="en-GB" w:bidi="he-IL"/>
          <w14:ligatures w14:val="none"/>
        </w:rPr>
        <w:t xml:space="preserve">Wade-Evans, ‘The Life of St. </w:t>
      </w:r>
      <w:proofErr w:type="spellStart"/>
      <w:r w:rsidR="00F3641B" w:rsidRPr="001765E9">
        <w:rPr>
          <w:rFonts w:ascii="Source Sans Pro" w:eastAsia="Times New Roman" w:hAnsi="Source Sans Pro" w:cs="Times New Roman"/>
          <w:kern w:val="0"/>
          <w:sz w:val="20"/>
          <w:szCs w:val="20"/>
          <w:lang w:eastAsia="en-GB" w:bidi="he-IL"/>
          <w14:ligatures w14:val="none"/>
        </w:rPr>
        <w:t>Wenefred</w:t>
      </w:r>
      <w:proofErr w:type="spellEnd"/>
      <w:r w:rsidR="00F3641B" w:rsidRPr="001765E9">
        <w:rPr>
          <w:rFonts w:ascii="Source Sans Pro" w:eastAsia="Times New Roman" w:hAnsi="Source Sans Pro" w:cs="Times New Roman"/>
          <w:kern w:val="0"/>
          <w:sz w:val="20"/>
          <w:szCs w:val="20"/>
          <w:lang w:eastAsia="en-GB" w:bidi="he-IL"/>
          <w14:ligatures w14:val="none"/>
        </w:rPr>
        <w:t xml:space="preserve">’, in </w:t>
      </w:r>
      <w:r w:rsidR="00F3641B" w:rsidRPr="001765E9">
        <w:rPr>
          <w:rFonts w:ascii="Source Sans Pro" w:eastAsia="Times New Roman" w:hAnsi="Source Sans Pro" w:cs="Times New Roman"/>
          <w:i/>
          <w:iCs/>
          <w:kern w:val="0"/>
          <w:sz w:val="20"/>
          <w:szCs w:val="20"/>
          <w:lang w:eastAsia="en-GB" w:bidi="he-IL"/>
          <w14:ligatures w14:val="none"/>
        </w:rPr>
        <w:t xml:space="preserve">Vitae Sanctorum Britanniae et </w:t>
      </w:r>
      <w:proofErr w:type="spellStart"/>
      <w:r w:rsidR="00F3641B" w:rsidRPr="001765E9">
        <w:rPr>
          <w:rFonts w:ascii="Source Sans Pro" w:eastAsia="Times New Roman" w:hAnsi="Source Sans Pro" w:cs="Times New Roman"/>
          <w:i/>
          <w:iCs/>
          <w:kern w:val="0"/>
          <w:sz w:val="20"/>
          <w:szCs w:val="20"/>
          <w:lang w:eastAsia="en-GB" w:bidi="he-IL"/>
          <w14:ligatures w14:val="none"/>
        </w:rPr>
        <w:t>Genelogiae</w:t>
      </w:r>
      <w:proofErr w:type="spellEnd"/>
      <w:r w:rsidR="00F3641B" w:rsidRPr="001765E9">
        <w:rPr>
          <w:rFonts w:ascii="Source Sans Pro" w:eastAsia="Times New Roman" w:hAnsi="Source Sans Pro" w:cs="Times New Roman"/>
          <w:kern w:val="0"/>
          <w:sz w:val="20"/>
          <w:szCs w:val="20"/>
          <w:lang w:eastAsia="en-GB" w:bidi="he-IL"/>
          <w14:ligatures w14:val="none"/>
        </w:rPr>
        <w:t xml:space="preserve"> (University Press of Wales, 2013)</w:t>
      </w:r>
      <w:r w:rsidR="00F3641B">
        <w:rPr>
          <w:rFonts w:ascii="Source Sans Pro" w:eastAsia="Times New Roman" w:hAnsi="Source Sans Pro" w:cs="Times New Roman"/>
          <w:kern w:val="0"/>
          <w:sz w:val="20"/>
          <w:szCs w:val="20"/>
          <w:lang w:eastAsia="en-GB" w:bidi="he-IL"/>
          <w14:ligatures w14:val="none"/>
        </w:rPr>
        <w:t xml:space="preserve">, p. </w:t>
      </w:r>
      <w:r w:rsidR="00F3641B">
        <w:rPr>
          <w:rFonts w:ascii="Source Sans Pro" w:eastAsia="Times New Roman" w:hAnsi="Source Sans Pro" w:cs="Times New Roman"/>
          <w:kern w:val="0"/>
          <w:sz w:val="20"/>
          <w:szCs w:val="20"/>
          <w:lang w:eastAsia="en-GB" w:bidi="he-IL"/>
          <w14:ligatures w14:val="none"/>
        </w:rPr>
        <w:t>301.</w:t>
      </w:r>
    </w:p>
  </w:footnote>
  <w:footnote w:id="27">
    <w:p w14:paraId="3E6103AF" w14:textId="3A7C7D09" w:rsidR="009606E9" w:rsidRPr="00041D62" w:rsidRDefault="009606E9" w:rsidP="00041D6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041D62">
        <w:rPr>
          <w:rFonts w:ascii="Source Sans Pro" w:eastAsia="Times New Roman" w:hAnsi="Source Sans Pro" w:cs="Times New Roman"/>
          <w:kern w:val="0"/>
          <w:sz w:val="20"/>
          <w:szCs w:val="20"/>
          <w:lang w:eastAsia="en-GB" w:bidi="he-IL"/>
          <w14:ligatures w14:val="none"/>
        </w:rPr>
        <w:t xml:space="preserve">Ibid., </w:t>
      </w:r>
      <w:r w:rsidR="00041D62">
        <w:rPr>
          <w:rFonts w:ascii="Source Sans Pro" w:eastAsia="Times New Roman" w:hAnsi="Source Sans Pro" w:cs="Times New Roman"/>
          <w:kern w:val="0"/>
          <w:sz w:val="20"/>
          <w:szCs w:val="20"/>
          <w:lang w:eastAsia="en-GB" w:bidi="he-IL"/>
          <w14:ligatures w14:val="none"/>
        </w:rPr>
        <w:t>p. 305.</w:t>
      </w:r>
    </w:p>
  </w:footnote>
  <w:footnote w:id="28">
    <w:p w14:paraId="1D7BA8D3" w14:textId="3F7B8C6F" w:rsidR="009606E9" w:rsidRPr="00041D62" w:rsidRDefault="009606E9" w:rsidP="00041D6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3A7BF2">
        <w:t xml:space="preserve"> </w:t>
      </w:r>
      <w:r w:rsidR="00041D62">
        <w:rPr>
          <w:rFonts w:ascii="Source Sans Pro" w:eastAsia="Times New Roman" w:hAnsi="Source Sans Pro" w:cs="Times New Roman"/>
          <w:kern w:val="0"/>
          <w:sz w:val="20"/>
          <w:szCs w:val="20"/>
          <w:lang w:eastAsia="en-GB" w:bidi="he-IL"/>
          <w14:ligatures w14:val="none"/>
        </w:rPr>
        <w:t xml:space="preserve">Ibid., </w:t>
      </w:r>
      <w:r w:rsidR="00041D62">
        <w:rPr>
          <w:rFonts w:ascii="Source Sans Pro" w:eastAsia="Times New Roman" w:hAnsi="Source Sans Pro" w:cs="Times New Roman"/>
          <w:kern w:val="0"/>
          <w:sz w:val="20"/>
          <w:szCs w:val="20"/>
          <w:lang w:eastAsia="en-GB" w:bidi="he-IL"/>
          <w14:ligatures w14:val="none"/>
        </w:rPr>
        <w:t>p. 303.</w:t>
      </w:r>
    </w:p>
  </w:footnote>
  <w:footnote w:id="29">
    <w:p w14:paraId="42AFE69C" w14:textId="0AF9826C" w:rsidR="004A7B33" w:rsidRPr="00862F0D" w:rsidRDefault="004A7B33" w:rsidP="00862F0D">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862F0D" w:rsidRPr="001765E9">
        <w:rPr>
          <w:rFonts w:ascii="Source Sans Pro" w:eastAsia="Times New Roman" w:hAnsi="Source Sans Pro" w:cs="Times New Roman"/>
          <w:kern w:val="0"/>
          <w:sz w:val="20"/>
          <w:szCs w:val="20"/>
          <w:lang w:eastAsia="en-GB" w:bidi="he-IL"/>
          <w14:ligatures w14:val="none"/>
        </w:rPr>
        <w:t xml:space="preserve">Henken, </w:t>
      </w:r>
      <w:r w:rsidR="00862F0D"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862F0D">
        <w:rPr>
          <w:rFonts w:ascii="Source Sans Pro" w:eastAsia="Times New Roman" w:hAnsi="Source Sans Pro" w:cs="Times New Roman"/>
          <w:i/>
          <w:iCs/>
          <w:kern w:val="0"/>
          <w:sz w:val="20"/>
          <w:szCs w:val="20"/>
          <w:lang w:eastAsia="en-GB" w:bidi="he-IL"/>
          <w14:ligatures w14:val="none"/>
        </w:rPr>
        <w:t xml:space="preserve">, </w:t>
      </w:r>
      <w:r w:rsidR="00862F0D">
        <w:rPr>
          <w:rFonts w:ascii="Source Sans Pro" w:eastAsia="Times New Roman" w:hAnsi="Source Sans Pro" w:cs="Times New Roman"/>
          <w:kern w:val="0"/>
          <w:sz w:val="20"/>
          <w:szCs w:val="20"/>
          <w:lang w:eastAsia="en-GB" w:bidi="he-IL"/>
          <w14:ligatures w14:val="none"/>
        </w:rPr>
        <w:t xml:space="preserve">p. </w:t>
      </w:r>
      <w:r w:rsidR="00862F0D">
        <w:rPr>
          <w:rFonts w:ascii="Source Sans Pro" w:eastAsia="Times New Roman" w:hAnsi="Source Sans Pro" w:cs="Times New Roman"/>
          <w:kern w:val="0"/>
          <w:sz w:val="20"/>
          <w:szCs w:val="20"/>
          <w:lang w:eastAsia="en-GB" w:bidi="he-IL"/>
          <w14:ligatures w14:val="none"/>
        </w:rPr>
        <w:t>38.</w:t>
      </w:r>
    </w:p>
  </w:footnote>
  <w:footnote w:id="30">
    <w:p w14:paraId="63E1DBC3" w14:textId="20ABCD33" w:rsidR="00C12117" w:rsidRPr="00A011A2" w:rsidRDefault="00C12117" w:rsidP="00A011A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011A2">
        <w:rPr>
          <w:rFonts w:ascii="Source Sans Pro" w:eastAsia="Times New Roman" w:hAnsi="Source Sans Pro" w:cs="Times New Roman"/>
          <w:kern w:val="0"/>
          <w:sz w:val="20"/>
          <w:szCs w:val="20"/>
          <w:lang w:eastAsia="en-GB" w:bidi="he-IL"/>
          <w14:ligatures w14:val="none"/>
        </w:rPr>
        <w:t xml:space="preserve">Ibid., </w:t>
      </w:r>
      <w:r w:rsidR="00A011A2">
        <w:rPr>
          <w:rFonts w:ascii="Source Sans Pro" w:eastAsia="Times New Roman" w:hAnsi="Source Sans Pro" w:cs="Times New Roman"/>
          <w:kern w:val="0"/>
          <w:sz w:val="20"/>
          <w:szCs w:val="20"/>
          <w:lang w:eastAsia="en-GB" w:bidi="he-IL"/>
          <w14:ligatures w14:val="none"/>
        </w:rPr>
        <w:t>p. 42.</w:t>
      </w:r>
    </w:p>
  </w:footnote>
  <w:footnote w:id="31">
    <w:p w14:paraId="777435F3" w14:textId="38F5C232" w:rsidR="0014677B" w:rsidRPr="00A011A2" w:rsidRDefault="0014677B" w:rsidP="00A011A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011A2">
        <w:rPr>
          <w:rFonts w:ascii="Source Sans Pro" w:eastAsia="Times New Roman" w:hAnsi="Source Sans Pro" w:cs="Times New Roman"/>
          <w:kern w:val="0"/>
          <w:sz w:val="20"/>
          <w:szCs w:val="20"/>
          <w:lang w:eastAsia="en-GB" w:bidi="he-IL"/>
          <w14:ligatures w14:val="none"/>
        </w:rPr>
        <w:t xml:space="preserve">Ibid., </w:t>
      </w:r>
      <w:r w:rsidR="00A011A2">
        <w:rPr>
          <w:rFonts w:ascii="Source Sans Pro" w:eastAsia="Times New Roman" w:hAnsi="Source Sans Pro" w:cs="Times New Roman"/>
          <w:kern w:val="0"/>
          <w:sz w:val="20"/>
          <w:szCs w:val="20"/>
          <w:lang w:eastAsia="en-GB" w:bidi="he-IL"/>
          <w14:ligatures w14:val="none"/>
        </w:rPr>
        <w:t xml:space="preserve">p. 120. </w:t>
      </w:r>
    </w:p>
  </w:footnote>
  <w:footnote w:id="32">
    <w:p w14:paraId="57ADF547" w14:textId="60BD933D" w:rsidR="00132FB5" w:rsidRPr="00A011A2" w:rsidRDefault="00132FB5" w:rsidP="00A011A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011A2">
        <w:rPr>
          <w:rFonts w:ascii="Source Sans Pro" w:eastAsia="Times New Roman" w:hAnsi="Source Sans Pro" w:cs="Times New Roman"/>
          <w:kern w:val="0"/>
          <w:sz w:val="20"/>
          <w:szCs w:val="20"/>
          <w:lang w:eastAsia="en-GB" w:bidi="he-IL"/>
          <w14:ligatures w14:val="none"/>
        </w:rPr>
        <w:t xml:space="preserve">Ibid., </w:t>
      </w:r>
      <w:r w:rsidR="00A011A2">
        <w:rPr>
          <w:rFonts w:ascii="Source Sans Pro" w:eastAsia="Times New Roman" w:hAnsi="Source Sans Pro" w:cs="Times New Roman"/>
          <w:kern w:val="0"/>
          <w:sz w:val="20"/>
          <w:szCs w:val="20"/>
          <w:lang w:eastAsia="en-GB" w:bidi="he-IL"/>
          <w14:ligatures w14:val="none"/>
        </w:rPr>
        <w:t>p. 56.</w:t>
      </w:r>
    </w:p>
  </w:footnote>
  <w:footnote w:id="33">
    <w:p w14:paraId="4C096AFA" w14:textId="08F346DC" w:rsidR="004360E0" w:rsidRPr="00A011A2" w:rsidRDefault="004360E0" w:rsidP="00A011A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011A2">
        <w:rPr>
          <w:rFonts w:ascii="Source Sans Pro" w:eastAsia="Times New Roman" w:hAnsi="Source Sans Pro" w:cs="Times New Roman"/>
          <w:kern w:val="0"/>
          <w:sz w:val="20"/>
          <w:szCs w:val="20"/>
          <w:lang w:eastAsia="en-GB" w:bidi="he-IL"/>
          <w14:ligatures w14:val="none"/>
        </w:rPr>
        <w:t xml:space="preserve">Ibid., </w:t>
      </w:r>
      <w:r w:rsidR="00A011A2">
        <w:rPr>
          <w:rFonts w:ascii="Source Sans Pro" w:eastAsia="Times New Roman" w:hAnsi="Source Sans Pro" w:cs="Times New Roman"/>
          <w:kern w:val="0"/>
          <w:sz w:val="20"/>
          <w:szCs w:val="20"/>
          <w:lang w:eastAsia="en-GB" w:bidi="he-IL"/>
          <w14:ligatures w14:val="none"/>
        </w:rPr>
        <w:t>p. 56.</w:t>
      </w:r>
    </w:p>
  </w:footnote>
  <w:footnote w:id="34">
    <w:p w14:paraId="0D22ECF3" w14:textId="13A509E1" w:rsidR="00CF129A" w:rsidRPr="006C3C25" w:rsidRDefault="00CF129A" w:rsidP="006C3C25">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6C3C25" w:rsidRPr="001765E9">
        <w:rPr>
          <w:rFonts w:ascii="Source Sans Pro" w:eastAsia="Times New Roman" w:hAnsi="Source Sans Pro" w:cs="Times New Roman"/>
          <w:kern w:val="0"/>
          <w:sz w:val="20"/>
          <w:szCs w:val="20"/>
          <w:lang w:eastAsia="en-GB" w:bidi="he-IL"/>
          <w14:ligatures w14:val="none"/>
        </w:rPr>
        <w:t xml:space="preserve">Wade-Evans, ‘The Life of St. </w:t>
      </w:r>
      <w:proofErr w:type="spellStart"/>
      <w:r w:rsidR="006C3C25" w:rsidRPr="001765E9">
        <w:rPr>
          <w:rFonts w:ascii="Source Sans Pro" w:eastAsia="Times New Roman" w:hAnsi="Source Sans Pro" w:cs="Times New Roman"/>
          <w:kern w:val="0"/>
          <w:sz w:val="20"/>
          <w:szCs w:val="20"/>
          <w:lang w:eastAsia="en-GB" w:bidi="he-IL"/>
          <w14:ligatures w14:val="none"/>
        </w:rPr>
        <w:t>Wenefred</w:t>
      </w:r>
      <w:proofErr w:type="spellEnd"/>
      <w:r w:rsidR="006C3C25" w:rsidRPr="001765E9">
        <w:rPr>
          <w:rFonts w:ascii="Source Sans Pro" w:eastAsia="Times New Roman" w:hAnsi="Source Sans Pro" w:cs="Times New Roman"/>
          <w:kern w:val="0"/>
          <w:sz w:val="20"/>
          <w:szCs w:val="20"/>
          <w:lang w:eastAsia="en-GB" w:bidi="he-IL"/>
          <w14:ligatures w14:val="none"/>
        </w:rPr>
        <w:t>’,</w:t>
      </w:r>
      <w:r w:rsidR="006C3C25">
        <w:rPr>
          <w:rFonts w:ascii="Source Sans Pro" w:eastAsia="Times New Roman" w:hAnsi="Source Sans Pro" w:cs="Times New Roman"/>
          <w:kern w:val="0"/>
          <w:sz w:val="20"/>
          <w:szCs w:val="20"/>
          <w:lang w:eastAsia="en-GB" w:bidi="he-IL"/>
          <w14:ligatures w14:val="none"/>
        </w:rPr>
        <w:t xml:space="preserve"> p.</w:t>
      </w:r>
      <w:r w:rsidR="006C3C25">
        <w:rPr>
          <w:rFonts w:ascii="Source Sans Pro" w:eastAsia="Times New Roman" w:hAnsi="Source Sans Pro" w:cs="Times New Roman"/>
          <w:kern w:val="0"/>
          <w:sz w:val="20"/>
          <w:szCs w:val="20"/>
          <w:lang w:eastAsia="en-GB" w:bidi="he-IL"/>
          <w14:ligatures w14:val="none"/>
        </w:rPr>
        <w:t xml:space="preserve"> 306.</w:t>
      </w:r>
    </w:p>
  </w:footnote>
  <w:footnote w:id="35">
    <w:p w14:paraId="61A6DC6E" w14:textId="60E632A6" w:rsidR="00320CDF" w:rsidRPr="00A61DB3" w:rsidRDefault="00320CDF" w:rsidP="00A61DB3">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61DB3" w:rsidRPr="001765E9">
        <w:rPr>
          <w:rFonts w:ascii="Source Sans Pro" w:eastAsia="Times New Roman" w:hAnsi="Source Sans Pro" w:cs="Times New Roman"/>
          <w:kern w:val="0"/>
          <w:sz w:val="20"/>
          <w:szCs w:val="20"/>
          <w:lang w:eastAsia="en-GB" w:bidi="he-IL"/>
          <w14:ligatures w14:val="none"/>
        </w:rPr>
        <w:t>Willis-Bund, ‘Some Characteristics of Welsh and Irish Saints’</w:t>
      </w:r>
      <w:r w:rsidR="00A61DB3">
        <w:rPr>
          <w:rFonts w:ascii="Source Sans Pro" w:eastAsia="Times New Roman" w:hAnsi="Source Sans Pro" w:cs="Times New Roman"/>
          <w:kern w:val="0"/>
          <w:sz w:val="20"/>
          <w:szCs w:val="20"/>
          <w:lang w:eastAsia="en-GB" w:bidi="he-IL"/>
          <w14:ligatures w14:val="none"/>
        </w:rPr>
        <w:t xml:space="preserve">, p. </w:t>
      </w:r>
      <w:r w:rsidR="00A61DB3">
        <w:rPr>
          <w:rFonts w:ascii="Source Sans Pro" w:eastAsia="Times New Roman" w:hAnsi="Source Sans Pro" w:cs="Times New Roman"/>
          <w:kern w:val="0"/>
          <w:sz w:val="20"/>
          <w:szCs w:val="20"/>
          <w:lang w:eastAsia="en-GB" w:bidi="he-IL"/>
          <w14:ligatures w14:val="none"/>
        </w:rPr>
        <w:t>285.</w:t>
      </w:r>
    </w:p>
  </w:footnote>
  <w:footnote w:id="36">
    <w:p w14:paraId="7B9FDAB5" w14:textId="0FBD5395" w:rsidR="002C74CB" w:rsidRPr="00FA6407" w:rsidRDefault="002C74CB" w:rsidP="00FA640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A6407">
        <w:rPr>
          <w:rFonts w:ascii="Source Sans Pro" w:eastAsia="Times New Roman" w:hAnsi="Source Sans Pro" w:cs="Times New Roman"/>
          <w:kern w:val="0"/>
          <w:sz w:val="20"/>
          <w:szCs w:val="20"/>
          <w:lang w:eastAsia="en-GB" w:bidi="he-IL"/>
          <w14:ligatures w14:val="none"/>
        </w:rPr>
        <w:t>Cartwright, ‘</w:t>
      </w:r>
      <w:r w:rsidR="00FA6407" w:rsidRPr="001765E9">
        <w:rPr>
          <w:rFonts w:ascii="Source Sans Pro" w:eastAsia="Times New Roman" w:hAnsi="Source Sans Pro" w:cs="Times New Roman"/>
          <w:kern w:val="0"/>
          <w:sz w:val="20"/>
          <w:szCs w:val="20"/>
          <w:lang w:eastAsia="en-GB" w:bidi="he-IL"/>
          <w14:ligatures w14:val="none"/>
        </w:rPr>
        <w:t>Dead Virgins: Feminine Sanctity in Medieval Wales’</w:t>
      </w:r>
      <w:r w:rsidR="00FA6407">
        <w:rPr>
          <w:rFonts w:ascii="Source Sans Pro" w:eastAsia="Times New Roman" w:hAnsi="Source Sans Pro" w:cs="Times New Roman"/>
          <w:kern w:val="0"/>
          <w:sz w:val="20"/>
          <w:szCs w:val="20"/>
          <w:lang w:eastAsia="en-GB" w:bidi="he-IL"/>
          <w14:ligatures w14:val="none"/>
        </w:rPr>
        <w:t xml:space="preserve">, p. </w:t>
      </w:r>
      <w:r w:rsidR="00FA6407">
        <w:rPr>
          <w:rFonts w:ascii="Source Sans Pro" w:eastAsia="Times New Roman" w:hAnsi="Source Sans Pro" w:cs="Times New Roman"/>
          <w:kern w:val="0"/>
          <w:sz w:val="20"/>
          <w:szCs w:val="20"/>
          <w:lang w:eastAsia="en-GB" w:bidi="he-IL"/>
          <w14:ligatures w14:val="none"/>
        </w:rPr>
        <w:t>78.</w:t>
      </w:r>
    </w:p>
  </w:footnote>
  <w:footnote w:id="37">
    <w:p w14:paraId="6F5689C1" w14:textId="7FBCF733" w:rsidR="00E36DAA" w:rsidRPr="00B54AE3" w:rsidRDefault="00E36DAA" w:rsidP="00B54AE3">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B54AE3">
        <w:rPr>
          <w:rFonts w:ascii="Source Sans Pro" w:eastAsia="Times New Roman" w:hAnsi="Source Sans Pro" w:cs="Times New Roman"/>
          <w:kern w:val="0"/>
          <w:sz w:val="20"/>
          <w:szCs w:val="20"/>
          <w:lang w:eastAsia="en-GB" w:bidi="he-IL"/>
          <w14:ligatures w14:val="none"/>
        </w:rPr>
        <w:t xml:space="preserve">Ibid., </w:t>
      </w:r>
      <w:r w:rsidR="00B54AE3">
        <w:rPr>
          <w:rFonts w:ascii="Source Sans Pro" w:eastAsia="Times New Roman" w:hAnsi="Source Sans Pro" w:cs="Times New Roman"/>
          <w:kern w:val="0"/>
          <w:sz w:val="20"/>
          <w:szCs w:val="20"/>
          <w:lang w:eastAsia="en-GB" w:bidi="he-IL"/>
          <w14:ligatures w14:val="none"/>
        </w:rPr>
        <w:t>p. 79.</w:t>
      </w:r>
    </w:p>
  </w:footnote>
  <w:footnote w:id="38">
    <w:p w14:paraId="25134BD0" w14:textId="5ED819F1" w:rsidR="00682A00" w:rsidRDefault="00682A00">
      <w:pPr>
        <w:pStyle w:val="FootnoteText"/>
      </w:pPr>
      <w:r>
        <w:rPr>
          <w:rStyle w:val="FootnoteReference"/>
        </w:rPr>
        <w:footnoteRef/>
      </w:r>
      <w:r>
        <w:t xml:space="preserve"> </w:t>
      </w:r>
      <w:r w:rsidR="00B54AE3">
        <w:rPr>
          <w:rFonts w:ascii="Source Sans Pro" w:eastAsia="Times New Roman" w:hAnsi="Source Sans Pro" w:cs="Times New Roman"/>
          <w:kern w:val="0"/>
          <w:lang w:eastAsia="en-GB" w:bidi="he-IL"/>
          <w14:ligatures w14:val="none"/>
        </w:rPr>
        <w:t>Ibid., p. 79.</w:t>
      </w:r>
    </w:p>
  </w:footnote>
  <w:footnote w:id="39">
    <w:p w14:paraId="1F1A7970" w14:textId="07B78E50" w:rsidR="00682A00" w:rsidRDefault="00682A00">
      <w:pPr>
        <w:pStyle w:val="FootnoteText"/>
      </w:pPr>
      <w:r>
        <w:rPr>
          <w:rStyle w:val="FootnoteReference"/>
        </w:rPr>
        <w:footnoteRef/>
      </w:r>
      <w:r>
        <w:t xml:space="preserve"> </w:t>
      </w:r>
      <w:r w:rsidR="00B54AE3">
        <w:rPr>
          <w:rFonts w:ascii="Source Sans Pro" w:eastAsia="Times New Roman" w:hAnsi="Source Sans Pro" w:cs="Times New Roman"/>
          <w:kern w:val="0"/>
          <w:lang w:eastAsia="en-GB" w:bidi="he-IL"/>
          <w14:ligatures w14:val="none"/>
        </w:rPr>
        <w:t>Ibid., p. 79.</w:t>
      </w:r>
    </w:p>
  </w:footnote>
  <w:footnote w:id="40">
    <w:p w14:paraId="70E5C6C0" w14:textId="7A83FFDC" w:rsidR="00D6119B" w:rsidRDefault="00D6119B">
      <w:pPr>
        <w:pStyle w:val="FootnoteText"/>
      </w:pPr>
      <w:r>
        <w:rPr>
          <w:rStyle w:val="FootnoteReference"/>
        </w:rPr>
        <w:footnoteRef/>
      </w:r>
      <w:r>
        <w:t xml:space="preserve"> </w:t>
      </w:r>
      <w:r w:rsidR="00B54AE3">
        <w:rPr>
          <w:rFonts w:ascii="Source Sans Pro" w:eastAsia="Times New Roman" w:hAnsi="Source Sans Pro" w:cs="Times New Roman"/>
          <w:kern w:val="0"/>
          <w:lang w:eastAsia="en-GB" w:bidi="he-IL"/>
          <w14:ligatures w14:val="none"/>
        </w:rPr>
        <w:t xml:space="preserve">Ibid., p. </w:t>
      </w:r>
      <w:r w:rsidR="00B54AE3">
        <w:rPr>
          <w:rFonts w:ascii="Source Sans Pro" w:eastAsia="Times New Roman" w:hAnsi="Source Sans Pro" w:cs="Times New Roman"/>
          <w:kern w:val="0"/>
          <w:lang w:eastAsia="en-GB" w:bidi="he-IL"/>
          <w14:ligatures w14:val="none"/>
        </w:rPr>
        <w:t>80.</w:t>
      </w:r>
    </w:p>
  </w:footnote>
  <w:footnote w:id="41">
    <w:p w14:paraId="5ED9BFA1" w14:textId="43EF8B37" w:rsidR="000A0F4B" w:rsidRPr="00EB6490" w:rsidRDefault="000A0F4B" w:rsidP="00EB6490">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B6490" w:rsidRPr="001765E9">
        <w:rPr>
          <w:rFonts w:ascii="Source Sans Pro" w:eastAsia="Times New Roman" w:hAnsi="Source Sans Pro" w:cs="Times New Roman"/>
          <w:kern w:val="0"/>
          <w:sz w:val="20"/>
          <w:szCs w:val="20"/>
          <w:lang w:eastAsia="en-GB" w:bidi="he-IL"/>
          <w14:ligatures w14:val="none"/>
        </w:rPr>
        <w:t xml:space="preserve">James Ryan Gregory, ‘The Life of St. Winifred: The Vita S. </w:t>
      </w:r>
      <w:proofErr w:type="spellStart"/>
      <w:r w:rsidR="00EB6490" w:rsidRPr="001765E9">
        <w:rPr>
          <w:rFonts w:ascii="Source Sans Pro" w:eastAsia="Times New Roman" w:hAnsi="Source Sans Pro" w:cs="Times New Roman"/>
          <w:kern w:val="0"/>
          <w:sz w:val="20"/>
          <w:szCs w:val="20"/>
          <w:lang w:eastAsia="en-GB" w:bidi="he-IL"/>
          <w14:ligatures w14:val="none"/>
        </w:rPr>
        <w:t>Wenefrede</w:t>
      </w:r>
      <w:proofErr w:type="spellEnd"/>
      <w:r w:rsidR="00EB6490" w:rsidRPr="001765E9">
        <w:rPr>
          <w:rFonts w:ascii="Source Sans Pro" w:eastAsia="Times New Roman" w:hAnsi="Source Sans Pro" w:cs="Times New Roman"/>
          <w:kern w:val="0"/>
          <w:sz w:val="20"/>
          <w:szCs w:val="20"/>
          <w:lang w:eastAsia="en-GB" w:bidi="he-IL"/>
          <w14:ligatures w14:val="none"/>
        </w:rPr>
        <w:t xml:space="preserve"> from BL Lansdowne MS 436’, </w:t>
      </w:r>
      <w:r w:rsidR="00EB6490" w:rsidRPr="001765E9">
        <w:rPr>
          <w:rFonts w:ascii="Source Sans Pro" w:eastAsia="Times New Roman" w:hAnsi="Source Sans Pro" w:cs="Times New Roman"/>
          <w:i/>
          <w:iCs/>
          <w:kern w:val="0"/>
          <w:sz w:val="20"/>
          <w:szCs w:val="20"/>
          <w:lang w:eastAsia="en-GB" w:bidi="he-IL"/>
          <w14:ligatures w14:val="none"/>
        </w:rPr>
        <w:t xml:space="preserve">MFF </w:t>
      </w:r>
      <w:proofErr w:type="spellStart"/>
      <w:r w:rsidR="00EB6490" w:rsidRPr="001765E9">
        <w:rPr>
          <w:rFonts w:ascii="Source Sans Pro" w:eastAsia="Times New Roman" w:hAnsi="Source Sans Pro" w:cs="Times New Roman"/>
          <w:i/>
          <w:iCs/>
          <w:kern w:val="0"/>
          <w:sz w:val="20"/>
          <w:szCs w:val="20"/>
          <w:lang w:eastAsia="en-GB" w:bidi="he-IL"/>
          <w14:ligatures w14:val="none"/>
        </w:rPr>
        <w:t>Subsidia</w:t>
      </w:r>
      <w:proofErr w:type="spellEnd"/>
      <w:r w:rsidR="00EB6490" w:rsidRPr="001765E9">
        <w:rPr>
          <w:rFonts w:ascii="Source Sans Pro" w:eastAsia="Times New Roman" w:hAnsi="Source Sans Pro" w:cs="Times New Roman"/>
          <w:kern w:val="0"/>
          <w:sz w:val="20"/>
          <w:szCs w:val="20"/>
          <w:lang w:eastAsia="en-GB" w:bidi="he-IL"/>
          <w14:ligatures w14:val="none"/>
        </w:rPr>
        <w:t xml:space="preserve">, 4 (2016), </w:t>
      </w:r>
      <w:r w:rsidR="00EB6490">
        <w:rPr>
          <w:rFonts w:ascii="Source Sans Pro" w:eastAsia="Times New Roman" w:hAnsi="Source Sans Pro" w:cs="Times New Roman"/>
          <w:kern w:val="0"/>
          <w:sz w:val="20"/>
          <w:szCs w:val="20"/>
          <w:lang w:eastAsia="en-GB" w:bidi="he-IL"/>
          <w14:ligatures w14:val="none"/>
        </w:rPr>
        <w:t xml:space="preserve">p. </w:t>
      </w:r>
      <w:r w:rsidR="00EB6490">
        <w:rPr>
          <w:rFonts w:ascii="Source Sans Pro" w:eastAsia="Times New Roman" w:hAnsi="Source Sans Pro" w:cs="Times New Roman"/>
          <w:kern w:val="0"/>
          <w:sz w:val="20"/>
          <w:szCs w:val="20"/>
          <w:lang w:eastAsia="en-GB" w:bidi="he-IL"/>
          <w14:ligatures w14:val="none"/>
        </w:rPr>
        <w:t>6.</w:t>
      </w:r>
    </w:p>
  </w:footnote>
  <w:footnote w:id="42">
    <w:p w14:paraId="4BDE85A9" w14:textId="01584F6A" w:rsidR="00567433" w:rsidRPr="00CA4012" w:rsidRDefault="00567433" w:rsidP="00CA401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A4012">
        <w:rPr>
          <w:rFonts w:ascii="Source Sans Pro" w:eastAsia="Times New Roman" w:hAnsi="Source Sans Pro" w:cs="Times New Roman"/>
          <w:kern w:val="0"/>
          <w:sz w:val="20"/>
          <w:szCs w:val="20"/>
          <w:lang w:eastAsia="en-GB" w:bidi="he-IL"/>
          <w14:ligatures w14:val="none"/>
        </w:rPr>
        <w:t xml:space="preserve">Ibid., </w:t>
      </w:r>
      <w:r w:rsidR="00CA4012">
        <w:rPr>
          <w:rFonts w:ascii="Source Sans Pro" w:eastAsia="Times New Roman" w:hAnsi="Source Sans Pro" w:cs="Times New Roman"/>
          <w:kern w:val="0"/>
          <w:sz w:val="20"/>
          <w:szCs w:val="20"/>
          <w:lang w:eastAsia="en-GB" w:bidi="he-IL"/>
          <w14:ligatures w14:val="none"/>
        </w:rPr>
        <w:t>p. 6.</w:t>
      </w:r>
    </w:p>
  </w:footnote>
  <w:footnote w:id="43">
    <w:p w14:paraId="1B1CE6A2" w14:textId="2F087878" w:rsidR="00427973" w:rsidRPr="00DF70D8" w:rsidRDefault="00427973" w:rsidP="00DF70D8">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DF70D8" w:rsidRPr="0038536C">
        <w:rPr>
          <w:rFonts w:ascii="Source Sans Pro" w:eastAsia="Times New Roman" w:hAnsi="Source Sans Pro" w:cs="Times New Roman"/>
          <w:kern w:val="0"/>
          <w:sz w:val="20"/>
          <w:szCs w:val="20"/>
          <w:lang w:eastAsia="en-GB" w:bidi="he-IL"/>
          <w14:ligatures w14:val="none"/>
        </w:rPr>
        <w:t>Richard Sharpe and John Reuben Davies, ‘</w:t>
      </w:r>
      <w:proofErr w:type="spellStart"/>
      <w:r w:rsidR="00DF70D8" w:rsidRPr="0038536C">
        <w:rPr>
          <w:rFonts w:ascii="Source Sans Pro" w:eastAsia="Times New Roman" w:hAnsi="Source Sans Pro" w:cs="Times New Roman"/>
          <w:kern w:val="0"/>
          <w:sz w:val="20"/>
          <w:szCs w:val="20"/>
          <w:lang w:eastAsia="en-GB" w:bidi="he-IL"/>
          <w14:ligatures w14:val="none"/>
        </w:rPr>
        <w:t>Rhygyfarch’s</w:t>
      </w:r>
      <w:proofErr w:type="spellEnd"/>
      <w:r w:rsidR="00DF70D8" w:rsidRPr="0038536C">
        <w:rPr>
          <w:rFonts w:ascii="Source Sans Pro" w:eastAsia="Times New Roman" w:hAnsi="Source Sans Pro" w:cs="Times New Roman"/>
          <w:kern w:val="0"/>
          <w:sz w:val="20"/>
          <w:szCs w:val="20"/>
          <w:lang w:eastAsia="en-GB" w:bidi="he-IL"/>
          <w14:ligatures w14:val="none"/>
        </w:rPr>
        <w:t xml:space="preserve"> Life of Saint David’, in </w:t>
      </w:r>
      <w:r w:rsidR="00DF70D8" w:rsidRPr="0038536C">
        <w:rPr>
          <w:rFonts w:ascii="Source Sans Pro" w:eastAsia="Times New Roman" w:hAnsi="Source Sans Pro" w:cs="Times New Roman"/>
          <w:i/>
          <w:iCs/>
          <w:kern w:val="0"/>
          <w:sz w:val="20"/>
          <w:szCs w:val="20"/>
          <w:lang w:eastAsia="en-GB" w:bidi="he-IL"/>
          <w14:ligatures w14:val="none"/>
        </w:rPr>
        <w:t>St. David of Wales: Cult, Church, and Nation</w:t>
      </w:r>
      <w:r w:rsidR="00DF70D8" w:rsidRPr="0038536C">
        <w:rPr>
          <w:rFonts w:ascii="Source Sans Pro" w:eastAsia="Times New Roman" w:hAnsi="Source Sans Pro" w:cs="Times New Roman"/>
          <w:kern w:val="0"/>
          <w:sz w:val="20"/>
          <w:szCs w:val="20"/>
          <w:lang w:eastAsia="en-GB" w:bidi="he-IL"/>
          <w14:ligatures w14:val="none"/>
        </w:rPr>
        <w:t xml:space="preserve"> (Woodbridge, UK; Rochester, Ny: Boydell Press, 2007), p. 1</w:t>
      </w:r>
      <w:r w:rsidR="00DF70D8">
        <w:rPr>
          <w:rFonts w:ascii="Source Sans Pro" w:eastAsia="Times New Roman" w:hAnsi="Source Sans Pro" w:cs="Times New Roman"/>
          <w:kern w:val="0"/>
          <w:sz w:val="20"/>
          <w:szCs w:val="20"/>
          <w:lang w:eastAsia="en-GB" w:bidi="he-IL"/>
          <w14:ligatures w14:val="none"/>
        </w:rPr>
        <w:t>23.</w:t>
      </w:r>
    </w:p>
  </w:footnote>
  <w:footnote w:id="44">
    <w:p w14:paraId="5081E847" w14:textId="253D50EF" w:rsidR="00CC5837" w:rsidRPr="00F322D9" w:rsidRDefault="00CC5837" w:rsidP="00F322D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322D9">
        <w:rPr>
          <w:rFonts w:ascii="Source Sans Pro" w:eastAsia="Times New Roman" w:hAnsi="Source Sans Pro" w:cs="Times New Roman"/>
          <w:kern w:val="0"/>
          <w:sz w:val="20"/>
          <w:szCs w:val="20"/>
          <w:lang w:eastAsia="en-GB" w:bidi="he-IL"/>
          <w14:ligatures w14:val="none"/>
        </w:rPr>
        <w:t>Cartwright, ‘</w:t>
      </w:r>
      <w:r w:rsidR="00F322D9" w:rsidRPr="001765E9">
        <w:rPr>
          <w:rFonts w:ascii="Source Sans Pro" w:eastAsia="Times New Roman" w:hAnsi="Source Sans Pro" w:cs="Times New Roman"/>
          <w:kern w:val="0"/>
          <w:sz w:val="20"/>
          <w:szCs w:val="20"/>
          <w:lang w:eastAsia="en-GB" w:bidi="he-IL"/>
          <w14:ligatures w14:val="none"/>
        </w:rPr>
        <w:t>Dead Virgins: Feminine Sanctity in Medieval Wales’</w:t>
      </w:r>
      <w:r w:rsidR="00F322D9">
        <w:rPr>
          <w:rFonts w:ascii="Source Sans Pro" w:eastAsia="Times New Roman" w:hAnsi="Source Sans Pro" w:cs="Times New Roman"/>
          <w:kern w:val="0"/>
          <w:sz w:val="20"/>
          <w:szCs w:val="20"/>
          <w:lang w:eastAsia="en-GB" w:bidi="he-IL"/>
          <w14:ligatures w14:val="none"/>
        </w:rPr>
        <w:t xml:space="preserve">, p. </w:t>
      </w:r>
      <w:r w:rsidR="00F322D9">
        <w:rPr>
          <w:rFonts w:ascii="Source Sans Pro" w:eastAsia="Times New Roman" w:hAnsi="Source Sans Pro" w:cs="Times New Roman"/>
          <w:kern w:val="0"/>
          <w:sz w:val="20"/>
          <w:szCs w:val="20"/>
          <w:lang w:eastAsia="en-GB" w:bidi="he-IL"/>
          <w14:ligatures w14:val="none"/>
        </w:rPr>
        <w:t>93.</w:t>
      </w:r>
    </w:p>
  </w:footnote>
  <w:footnote w:id="45">
    <w:p w14:paraId="2A94766B" w14:textId="5CF1F192" w:rsidR="00E908EE" w:rsidRPr="00985C1F" w:rsidRDefault="00E908EE" w:rsidP="00985C1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985C1F" w:rsidRPr="0038536C">
        <w:rPr>
          <w:rFonts w:ascii="Source Sans Pro" w:eastAsia="Times New Roman" w:hAnsi="Source Sans Pro" w:cs="Times New Roman"/>
          <w:kern w:val="0"/>
          <w:sz w:val="20"/>
          <w:szCs w:val="20"/>
          <w:lang w:eastAsia="en-GB" w:bidi="he-IL"/>
          <w14:ligatures w14:val="none"/>
        </w:rPr>
        <w:t xml:space="preserve">R. Howard Bloch, ‘Chaucer’s Maiden Head: “the Physician’s Tale” and the Poetics of Virginity’, </w:t>
      </w:r>
      <w:r w:rsidR="00985C1F" w:rsidRPr="0038536C">
        <w:rPr>
          <w:rFonts w:ascii="Source Sans Pro" w:eastAsia="Times New Roman" w:hAnsi="Source Sans Pro" w:cs="Times New Roman"/>
          <w:i/>
          <w:iCs/>
          <w:kern w:val="0"/>
          <w:sz w:val="20"/>
          <w:szCs w:val="20"/>
          <w:lang w:eastAsia="en-GB" w:bidi="he-IL"/>
          <w14:ligatures w14:val="none"/>
        </w:rPr>
        <w:t>Representations</w:t>
      </w:r>
      <w:r w:rsidR="00985C1F" w:rsidRPr="0038536C">
        <w:rPr>
          <w:rFonts w:ascii="Source Sans Pro" w:eastAsia="Times New Roman" w:hAnsi="Source Sans Pro" w:cs="Times New Roman"/>
          <w:kern w:val="0"/>
          <w:sz w:val="20"/>
          <w:szCs w:val="20"/>
          <w:lang w:eastAsia="en-GB" w:bidi="he-IL"/>
          <w14:ligatures w14:val="none"/>
        </w:rPr>
        <w:t xml:space="preserve">, 28 (1989), </w:t>
      </w:r>
      <w:r w:rsidR="00985C1F">
        <w:rPr>
          <w:rFonts w:ascii="Source Sans Pro" w:eastAsia="Times New Roman" w:hAnsi="Source Sans Pro" w:cs="Times New Roman"/>
          <w:kern w:val="0"/>
          <w:sz w:val="20"/>
          <w:szCs w:val="20"/>
          <w:lang w:eastAsia="en-GB" w:bidi="he-IL"/>
          <w14:ligatures w14:val="none"/>
        </w:rPr>
        <w:t>p.</w:t>
      </w:r>
      <w:r w:rsidR="00985C1F">
        <w:rPr>
          <w:rFonts w:ascii="Source Sans Pro" w:eastAsia="Times New Roman" w:hAnsi="Source Sans Pro" w:cs="Times New Roman"/>
          <w:kern w:val="0"/>
          <w:sz w:val="20"/>
          <w:szCs w:val="20"/>
          <w:lang w:eastAsia="en-GB" w:bidi="he-IL"/>
          <w14:ligatures w14:val="none"/>
        </w:rPr>
        <w:t xml:space="preserve"> 120. </w:t>
      </w:r>
    </w:p>
  </w:footnote>
  <w:footnote w:id="46">
    <w:p w14:paraId="669DF13B" w14:textId="55DACE25" w:rsidR="001E4590" w:rsidRDefault="001E4590">
      <w:pPr>
        <w:pStyle w:val="FootnoteText"/>
      </w:pPr>
      <w:r>
        <w:rPr>
          <w:rStyle w:val="FootnoteReference"/>
        </w:rPr>
        <w:footnoteRef/>
      </w:r>
      <w:r>
        <w:t xml:space="preserve"> </w:t>
      </w:r>
      <w:r w:rsidR="00764D51">
        <w:rPr>
          <w:rFonts w:ascii="Source Sans Pro" w:eastAsia="Times New Roman" w:hAnsi="Source Sans Pro" w:cs="Times New Roman"/>
          <w:kern w:val="0"/>
          <w:lang w:eastAsia="en-GB" w:bidi="he-IL"/>
          <w14:ligatures w14:val="none"/>
        </w:rPr>
        <w:t>Cartwright, ‘</w:t>
      </w:r>
      <w:r w:rsidR="00764D51" w:rsidRPr="001765E9">
        <w:rPr>
          <w:rFonts w:ascii="Source Sans Pro" w:eastAsia="Times New Roman" w:hAnsi="Source Sans Pro" w:cs="Times New Roman"/>
          <w:kern w:val="0"/>
          <w:lang w:eastAsia="en-GB" w:bidi="he-IL"/>
          <w14:ligatures w14:val="none"/>
        </w:rPr>
        <w:t>Dead Virgins: Feminine Sanctity in Medieval Wales’</w:t>
      </w:r>
      <w:r w:rsidR="00764D51">
        <w:rPr>
          <w:rFonts w:ascii="Source Sans Pro" w:eastAsia="Times New Roman" w:hAnsi="Source Sans Pro" w:cs="Times New Roman"/>
          <w:kern w:val="0"/>
          <w:lang w:eastAsia="en-GB" w:bidi="he-IL"/>
          <w14:ligatures w14:val="none"/>
        </w:rPr>
        <w:t>, p.</w:t>
      </w:r>
      <w:r w:rsidR="00764D51">
        <w:rPr>
          <w:rFonts w:ascii="Source Sans Pro" w:eastAsia="Times New Roman" w:hAnsi="Source Sans Pro" w:cs="Times New Roman"/>
          <w:kern w:val="0"/>
          <w:lang w:eastAsia="en-GB" w:bidi="he-IL"/>
          <w14:ligatures w14:val="none"/>
        </w:rPr>
        <w:t xml:space="preserve"> 88.</w:t>
      </w:r>
    </w:p>
  </w:footnote>
  <w:footnote w:id="47">
    <w:p w14:paraId="46C5A943" w14:textId="57A0526C" w:rsidR="00DE1A62" w:rsidRPr="008C5F03" w:rsidRDefault="00DE1A62" w:rsidP="008C5F03">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8C5F03">
        <w:rPr>
          <w:rFonts w:ascii="Source Sans Pro" w:eastAsia="Times New Roman" w:hAnsi="Source Sans Pro" w:cs="Times New Roman"/>
          <w:kern w:val="0"/>
          <w:sz w:val="20"/>
          <w:szCs w:val="20"/>
          <w:lang w:eastAsia="en-GB" w:bidi="he-IL"/>
          <w14:ligatures w14:val="none"/>
        </w:rPr>
        <w:t xml:space="preserve">Ibid., </w:t>
      </w:r>
      <w:r w:rsidR="008C5F03">
        <w:rPr>
          <w:rFonts w:ascii="Source Sans Pro" w:eastAsia="Times New Roman" w:hAnsi="Source Sans Pro" w:cs="Times New Roman"/>
          <w:kern w:val="0"/>
          <w:sz w:val="20"/>
          <w:szCs w:val="20"/>
          <w:lang w:eastAsia="en-GB" w:bidi="he-IL"/>
          <w14:ligatures w14:val="none"/>
        </w:rPr>
        <w:t>p. 84.</w:t>
      </w:r>
    </w:p>
  </w:footnote>
  <w:footnote w:id="48">
    <w:p w14:paraId="7D9D2892" w14:textId="0FFBFD72" w:rsidR="00B84EC2" w:rsidRDefault="00B84EC2">
      <w:pPr>
        <w:pStyle w:val="FootnoteText"/>
      </w:pPr>
      <w:r>
        <w:rPr>
          <w:rStyle w:val="FootnoteReference"/>
        </w:rPr>
        <w:footnoteRef/>
      </w:r>
      <w:r>
        <w:t xml:space="preserve"> </w:t>
      </w:r>
      <w:r w:rsidR="008C5F03">
        <w:rPr>
          <w:rFonts w:ascii="Source Sans Pro" w:eastAsia="Times New Roman" w:hAnsi="Source Sans Pro" w:cs="Times New Roman"/>
          <w:kern w:val="0"/>
          <w:lang w:eastAsia="en-GB" w:bidi="he-IL"/>
          <w14:ligatures w14:val="none"/>
        </w:rPr>
        <w:t>Ibid., p. 84.</w:t>
      </w:r>
    </w:p>
  </w:footnote>
  <w:footnote w:id="49">
    <w:p w14:paraId="766DA76E" w14:textId="19BF940C" w:rsidR="00CB6E00" w:rsidRPr="005D3256" w:rsidRDefault="00CB6E00" w:rsidP="005D325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D3256" w:rsidRPr="0038536C">
        <w:rPr>
          <w:rFonts w:ascii="Source Sans Pro" w:eastAsia="Times New Roman" w:hAnsi="Source Sans Pro" w:cs="Times New Roman"/>
          <w:kern w:val="0"/>
          <w:sz w:val="20"/>
          <w:szCs w:val="20"/>
          <w:lang w:eastAsia="en-GB" w:bidi="he-IL"/>
          <w14:ligatures w14:val="none"/>
        </w:rPr>
        <w:t xml:space="preserve">Daniel Huws, ‘The Earliest Bangor Missal’, </w:t>
      </w:r>
      <w:r w:rsidR="005D3256" w:rsidRPr="0038536C">
        <w:rPr>
          <w:rFonts w:ascii="Source Sans Pro" w:eastAsia="Times New Roman" w:hAnsi="Source Sans Pro" w:cs="Times New Roman"/>
          <w:i/>
          <w:iCs/>
          <w:kern w:val="0"/>
          <w:sz w:val="20"/>
          <w:szCs w:val="20"/>
          <w:lang w:eastAsia="en-GB" w:bidi="he-IL"/>
          <w14:ligatures w14:val="none"/>
        </w:rPr>
        <w:t>National Library of Wales Journal</w:t>
      </w:r>
      <w:r w:rsidR="005D3256" w:rsidRPr="0038536C">
        <w:rPr>
          <w:rFonts w:ascii="Source Sans Pro" w:eastAsia="Times New Roman" w:hAnsi="Source Sans Pro" w:cs="Times New Roman"/>
          <w:kern w:val="0"/>
          <w:sz w:val="20"/>
          <w:szCs w:val="20"/>
          <w:lang w:eastAsia="en-GB" w:bidi="he-IL"/>
          <w14:ligatures w14:val="none"/>
        </w:rPr>
        <w:t xml:space="preserve">, 27.2 (1991), </w:t>
      </w:r>
      <w:r w:rsidR="005D3256">
        <w:rPr>
          <w:rFonts w:ascii="Source Sans Pro" w:eastAsia="Times New Roman" w:hAnsi="Source Sans Pro" w:cs="Times New Roman"/>
          <w:kern w:val="0"/>
          <w:sz w:val="20"/>
          <w:szCs w:val="20"/>
          <w:lang w:eastAsia="en-GB" w:bidi="he-IL"/>
          <w14:ligatures w14:val="none"/>
        </w:rPr>
        <w:t xml:space="preserve">p. </w:t>
      </w:r>
      <w:r w:rsidR="005D3256">
        <w:rPr>
          <w:rFonts w:ascii="Source Sans Pro" w:eastAsia="Times New Roman" w:hAnsi="Source Sans Pro" w:cs="Times New Roman"/>
          <w:kern w:val="0"/>
          <w:sz w:val="20"/>
          <w:szCs w:val="20"/>
          <w:lang w:eastAsia="en-GB" w:bidi="he-IL"/>
          <w14:ligatures w14:val="none"/>
        </w:rPr>
        <w:t>122.</w:t>
      </w:r>
    </w:p>
  </w:footnote>
  <w:footnote w:id="50">
    <w:p w14:paraId="2F279C94" w14:textId="0E8035CF" w:rsidR="002C4558" w:rsidRDefault="002C4558">
      <w:pPr>
        <w:pStyle w:val="FootnoteText"/>
      </w:pPr>
      <w:r>
        <w:rPr>
          <w:rStyle w:val="FootnoteReference"/>
        </w:rPr>
        <w:footnoteRef/>
      </w:r>
      <w:r>
        <w:t xml:space="preserve"> </w:t>
      </w:r>
      <w:r w:rsidR="004A245C">
        <w:rPr>
          <w:rFonts w:ascii="Source Sans Pro" w:eastAsia="Times New Roman" w:hAnsi="Source Sans Pro" w:cs="Times New Roman"/>
          <w:kern w:val="0"/>
          <w:lang w:eastAsia="en-GB" w:bidi="he-IL"/>
          <w14:ligatures w14:val="none"/>
        </w:rPr>
        <w:t>Cartwright, ‘</w:t>
      </w:r>
      <w:r w:rsidR="004A245C" w:rsidRPr="001765E9">
        <w:rPr>
          <w:rFonts w:ascii="Source Sans Pro" w:eastAsia="Times New Roman" w:hAnsi="Source Sans Pro" w:cs="Times New Roman"/>
          <w:kern w:val="0"/>
          <w:lang w:eastAsia="en-GB" w:bidi="he-IL"/>
          <w14:ligatures w14:val="none"/>
        </w:rPr>
        <w:t>Dead Virgins: Feminine Sanctity in Medieval Wales’</w:t>
      </w:r>
      <w:r w:rsidR="004A245C">
        <w:rPr>
          <w:rFonts w:ascii="Source Sans Pro" w:eastAsia="Times New Roman" w:hAnsi="Source Sans Pro" w:cs="Times New Roman"/>
          <w:kern w:val="0"/>
          <w:lang w:eastAsia="en-GB" w:bidi="he-IL"/>
          <w14:ligatures w14:val="none"/>
        </w:rPr>
        <w:t>, p.</w:t>
      </w:r>
      <w:r w:rsidR="004A245C">
        <w:rPr>
          <w:rFonts w:ascii="Source Sans Pro" w:eastAsia="Times New Roman" w:hAnsi="Source Sans Pro" w:cs="Times New Roman"/>
          <w:kern w:val="0"/>
          <w:lang w:eastAsia="en-GB" w:bidi="he-IL"/>
          <w14:ligatures w14:val="none"/>
        </w:rPr>
        <w:t xml:space="preserve"> 89.</w:t>
      </w:r>
    </w:p>
  </w:footnote>
  <w:footnote w:id="51">
    <w:p w14:paraId="01884B66" w14:textId="73315813" w:rsidR="00222B00" w:rsidRPr="0041063F" w:rsidRDefault="00222B00" w:rsidP="0041063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1063F" w:rsidRPr="001765E9">
        <w:rPr>
          <w:rFonts w:ascii="Source Sans Pro" w:eastAsia="Times New Roman" w:hAnsi="Source Sans Pro" w:cs="Times New Roman"/>
          <w:kern w:val="0"/>
          <w:sz w:val="20"/>
          <w:szCs w:val="20"/>
          <w:lang w:eastAsia="en-GB" w:bidi="he-IL"/>
          <w14:ligatures w14:val="none"/>
        </w:rPr>
        <w:t xml:space="preserve">Phil Carradice, ‘BBC - Wales History: Iolo Morganwg: Scholar, Antiquarian and Forger’, </w:t>
      </w:r>
      <w:r w:rsidR="0041063F" w:rsidRPr="001765E9">
        <w:rPr>
          <w:rFonts w:ascii="Source Sans Pro" w:eastAsia="Times New Roman" w:hAnsi="Source Sans Pro" w:cs="Times New Roman"/>
          <w:i/>
          <w:iCs/>
          <w:kern w:val="0"/>
          <w:sz w:val="20"/>
          <w:szCs w:val="20"/>
          <w:lang w:eastAsia="en-GB" w:bidi="he-IL"/>
          <w14:ligatures w14:val="none"/>
        </w:rPr>
        <w:t>BBC</w:t>
      </w:r>
      <w:r w:rsidR="0041063F" w:rsidRPr="001765E9">
        <w:rPr>
          <w:rFonts w:ascii="Source Sans Pro" w:eastAsia="Times New Roman" w:hAnsi="Source Sans Pro" w:cs="Times New Roman"/>
          <w:kern w:val="0"/>
          <w:sz w:val="20"/>
          <w:szCs w:val="20"/>
          <w:lang w:eastAsia="en-GB" w:bidi="he-IL"/>
          <w14:ligatures w14:val="none"/>
        </w:rPr>
        <w:t>, 2025 &lt;</w:t>
      </w:r>
      <w:hyperlink r:id="rId1" w:history="1">
        <w:r w:rsidR="0041063F" w:rsidRPr="001765E9">
          <w:rPr>
            <w:rFonts w:ascii="Source Sans Pro" w:eastAsia="Times New Roman" w:hAnsi="Source Sans Pro" w:cs="Times New Roman"/>
            <w:color w:val="0000FF"/>
            <w:kern w:val="0"/>
            <w:sz w:val="20"/>
            <w:szCs w:val="20"/>
            <w:u w:val="single"/>
            <w:lang w:eastAsia="en-GB" w:bidi="he-IL"/>
            <w14:ligatures w14:val="none"/>
          </w:rPr>
          <w:t>https://www.bbc.co.uk/blogs/waleshistory/2011/03/iolo_morganwg_scholar_antiquarian_forger.html</w:t>
        </w:r>
      </w:hyperlink>
      <w:r w:rsidR="0041063F" w:rsidRPr="001765E9">
        <w:rPr>
          <w:rFonts w:ascii="Source Sans Pro" w:eastAsia="Times New Roman" w:hAnsi="Source Sans Pro" w:cs="Times New Roman"/>
          <w:kern w:val="0"/>
          <w:sz w:val="20"/>
          <w:szCs w:val="20"/>
          <w:lang w:eastAsia="en-GB" w:bidi="he-IL"/>
          <w14:ligatures w14:val="none"/>
        </w:rPr>
        <w:t>&gt; [accessed 11 March 2025].</w:t>
      </w:r>
    </w:p>
  </w:footnote>
  <w:footnote w:id="52">
    <w:p w14:paraId="4D2C4CDC" w14:textId="6525349E" w:rsidR="003858C3" w:rsidRPr="00D22868" w:rsidRDefault="003858C3" w:rsidP="00D22868">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D22868" w:rsidRPr="001765E9">
        <w:rPr>
          <w:rFonts w:ascii="Source Sans Pro" w:eastAsia="Times New Roman" w:hAnsi="Source Sans Pro" w:cs="Times New Roman"/>
          <w:kern w:val="0"/>
          <w:sz w:val="20"/>
          <w:szCs w:val="20"/>
          <w:lang w:eastAsia="en-GB" w:bidi="he-IL"/>
          <w14:ligatures w14:val="none"/>
        </w:rPr>
        <w:t xml:space="preserve">W Pickering, ‘Pennant Melangell, Montgomeryshire’, </w:t>
      </w:r>
      <w:r w:rsidR="00D22868" w:rsidRPr="001765E9">
        <w:rPr>
          <w:rFonts w:ascii="Source Sans Pro" w:eastAsia="Times New Roman" w:hAnsi="Source Sans Pro" w:cs="Times New Roman"/>
          <w:i/>
          <w:iCs/>
          <w:kern w:val="0"/>
          <w:sz w:val="20"/>
          <w:szCs w:val="20"/>
          <w:lang w:eastAsia="en-GB" w:bidi="he-IL"/>
          <w14:ligatures w14:val="none"/>
        </w:rPr>
        <w:t xml:space="preserve">Archaeologica </w:t>
      </w:r>
      <w:proofErr w:type="spellStart"/>
      <w:r w:rsidR="00D22868" w:rsidRPr="001765E9">
        <w:rPr>
          <w:rFonts w:ascii="Source Sans Pro" w:eastAsia="Times New Roman" w:hAnsi="Source Sans Pro" w:cs="Times New Roman"/>
          <w:i/>
          <w:iCs/>
          <w:kern w:val="0"/>
          <w:sz w:val="20"/>
          <w:szCs w:val="20"/>
          <w:lang w:eastAsia="en-GB" w:bidi="he-IL"/>
          <w14:ligatures w14:val="none"/>
        </w:rPr>
        <w:t>Cambrensis</w:t>
      </w:r>
      <w:proofErr w:type="spellEnd"/>
      <w:r w:rsidR="00D22868" w:rsidRPr="001765E9">
        <w:rPr>
          <w:rFonts w:ascii="Source Sans Pro" w:eastAsia="Times New Roman" w:hAnsi="Source Sans Pro" w:cs="Times New Roman"/>
          <w:kern w:val="0"/>
          <w:sz w:val="20"/>
          <w:szCs w:val="20"/>
          <w:lang w:eastAsia="en-GB" w:bidi="he-IL"/>
          <w14:ligatures w14:val="none"/>
        </w:rPr>
        <w:t>, 2.1 (1847)</w:t>
      </w:r>
      <w:r w:rsidR="00D22868">
        <w:rPr>
          <w:rFonts w:ascii="Source Sans Pro" w:eastAsia="Times New Roman" w:hAnsi="Source Sans Pro" w:cs="Times New Roman"/>
          <w:kern w:val="0"/>
          <w:sz w:val="20"/>
          <w:szCs w:val="20"/>
          <w:lang w:eastAsia="en-GB" w:bidi="he-IL"/>
          <w14:ligatures w14:val="none"/>
        </w:rPr>
        <w:t xml:space="preserve">, p. </w:t>
      </w:r>
      <w:r w:rsidR="00D22868">
        <w:rPr>
          <w:rFonts w:ascii="Source Sans Pro" w:eastAsia="Times New Roman" w:hAnsi="Source Sans Pro" w:cs="Times New Roman"/>
          <w:kern w:val="0"/>
          <w:sz w:val="20"/>
          <w:szCs w:val="20"/>
          <w:lang w:eastAsia="en-GB" w:bidi="he-IL"/>
          <w14:ligatures w14:val="none"/>
        </w:rPr>
        <w:t>140.</w:t>
      </w:r>
    </w:p>
  </w:footnote>
  <w:footnote w:id="53">
    <w:p w14:paraId="30B27FDD" w14:textId="09043AF6" w:rsidR="002C7120" w:rsidRPr="00EF4BAD" w:rsidRDefault="002C7120" w:rsidP="00EF4BAD">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F4BAD" w:rsidRPr="001765E9">
        <w:rPr>
          <w:rFonts w:ascii="Source Sans Pro" w:eastAsia="Times New Roman" w:hAnsi="Source Sans Pro" w:cs="Times New Roman"/>
          <w:kern w:val="0"/>
          <w:sz w:val="20"/>
          <w:szCs w:val="20"/>
          <w:lang w:eastAsia="en-GB" w:bidi="he-IL"/>
          <w14:ligatures w14:val="none"/>
        </w:rPr>
        <w:t>Pickering, ‘Pennant Melangell, Montgomeryshire’</w:t>
      </w:r>
      <w:r w:rsidR="00EF4BAD">
        <w:rPr>
          <w:rFonts w:ascii="Source Sans Pro" w:eastAsia="Times New Roman" w:hAnsi="Source Sans Pro" w:cs="Times New Roman"/>
          <w:kern w:val="0"/>
          <w:sz w:val="20"/>
          <w:szCs w:val="20"/>
          <w:lang w:eastAsia="en-GB" w:bidi="he-IL"/>
          <w14:ligatures w14:val="none"/>
        </w:rPr>
        <w:t xml:space="preserve">, p. </w:t>
      </w:r>
      <w:r w:rsidR="00EF4BAD">
        <w:rPr>
          <w:rFonts w:ascii="Source Sans Pro" w:eastAsia="Times New Roman" w:hAnsi="Source Sans Pro" w:cs="Times New Roman"/>
          <w:kern w:val="0"/>
          <w:sz w:val="20"/>
          <w:szCs w:val="20"/>
          <w:lang w:eastAsia="en-GB" w:bidi="he-IL"/>
          <w14:ligatures w14:val="none"/>
        </w:rPr>
        <w:t xml:space="preserve">140. </w:t>
      </w:r>
    </w:p>
  </w:footnote>
  <w:footnote w:id="54">
    <w:p w14:paraId="08A99486" w14:textId="7C788B54" w:rsidR="00A77379" w:rsidRPr="00E9408F" w:rsidRDefault="00A77379" w:rsidP="00E9408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9408F">
        <w:rPr>
          <w:rFonts w:ascii="Source Sans Pro" w:eastAsia="Times New Roman" w:hAnsi="Source Sans Pro" w:cs="Times New Roman"/>
          <w:kern w:val="0"/>
          <w:sz w:val="20"/>
          <w:szCs w:val="20"/>
          <w:lang w:eastAsia="en-GB" w:bidi="he-IL"/>
          <w14:ligatures w14:val="none"/>
        </w:rPr>
        <w:t>Cartwright, ‘</w:t>
      </w:r>
      <w:r w:rsidR="00E9408F" w:rsidRPr="001765E9">
        <w:rPr>
          <w:rFonts w:ascii="Source Sans Pro" w:eastAsia="Times New Roman" w:hAnsi="Source Sans Pro" w:cs="Times New Roman"/>
          <w:kern w:val="0"/>
          <w:sz w:val="20"/>
          <w:szCs w:val="20"/>
          <w:lang w:eastAsia="en-GB" w:bidi="he-IL"/>
          <w14:ligatures w14:val="none"/>
        </w:rPr>
        <w:t>Dead Virgins: Feminine Sanctity in Medieval Wales’</w:t>
      </w:r>
      <w:r w:rsidR="00E9408F">
        <w:rPr>
          <w:rFonts w:ascii="Source Sans Pro" w:eastAsia="Times New Roman" w:hAnsi="Source Sans Pro" w:cs="Times New Roman"/>
          <w:kern w:val="0"/>
          <w:sz w:val="20"/>
          <w:szCs w:val="20"/>
          <w:lang w:eastAsia="en-GB" w:bidi="he-IL"/>
          <w14:ligatures w14:val="none"/>
        </w:rPr>
        <w:t xml:space="preserve">, p. </w:t>
      </w:r>
      <w:r w:rsidR="00E9408F">
        <w:rPr>
          <w:rFonts w:ascii="Source Sans Pro" w:eastAsia="Times New Roman" w:hAnsi="Source Sans Pro" w:cs="Times New Roman"/>
          <w:kern w:val="0"/>
          <w:sz w:val="20"/>
          <w:szCs w:val="20"/>
          <w:lang w:eastAsia="en-GB" w:bidi="he-IL"/>
          <w14:ligatures w14:val="none"/>
        </w:rPr>
        <w:t>87.</w:t>
      </w:r>
    </w:p>
  </w:footnote>
  <w:footnote w:id="55">
    <w:p w14:paraId="5F9B63DF" w14:textId="470EFC23" w:rsidR="001642BA" w:rsidRPr="00D258B6" w:rsidRDefault="001642BA" w:rsidP="00D258B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D258B6" w:rsidRPr="0038536C">
        <w:rPr>
          <w:rFonts w:ascii="Source Sans Pro" w:eastAsia="Times New Roman" w:hAnsi="Source Sans Pro" w:cs="Times New Roman"/>
          <w:kern w:val="0"/>
          <w:sz w:val="20"/>
          <w:szCs w:val="20"/>
          <w:lang w:eastAsia="en-GB" w:bidi="he-IL"/>
          <w14:ligatures w14:val="none"/>
        </w:rPr>
        <w:t>Bloch, ‘Chaucer’s Maiden Head: “the Physician’s Tale” and the Poetics of Virginity’</w:t>
      </w:r>
      <w:r w:rsidR="00D258B6">
        <w:rPr>
          <w:rFonts w:ascii="Source Sans Pro" w:eastAsia="Times New Roman" w:hAnsi="Source Sans Pro" w:cs="Times New Roman"/>
          <w:kern w:val="0"/>
          <w:sz w:val="20"/>
          <w:szCs w:val="20"/>
          <w:lang w:eastAsia="en-GB" w:bidi="he-IL"/>
          <w14:ligatures w14:val="none"/>
        </w:rPr>
        <w:t xml:space="preserve">, p. </w:t>
      </w:r>
      <w:r w:rsidR="00D258B6">
        <w:rPr>
          <w:rFonts w:ascii="Source Sans Pro" w:eastAsia="Times New Roman" w:hAnsi="Source Sans Pro" w:cs="Times New Roman"/>
          <w:kern w:val="0"/>
          <w:sz w:val="20"/>
          <w:szCs w:val="20"/>
          <w:lang w:eastAsia="en-GB" w:bidi="he-IL"/>
          <w14:ligatures w14:val="none"/>
        </w:rPr>
        <w:t>117.</w:t>
      </w:r>
    </w:p>
  </w:footnote>
  <w:footnote w:id="56">
    <w:p w14:paraId="43ADAB7E" w14:textId="2696962D" w:rsidR="00FC2E1F" w:rsidRPr="0078593B" w:rsidRDefault="00FC2E1F" w:rsidP="0078593B">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78593B" w:rsidRPr="008F1D6C">
        <w:rPr>
          <w:rFonts w:ascii="Source Sans Pro" w:eastAsia="Times New Roman" w:hAnsi="Source Sans Pro" w:cs="Times New Roman"/>
          <w:kern w:val="0"/>
          <w:sz w:val="20"/>
          <w:szCs w:val="20"/>
          <w:lang w:eastAsia="en-GB" w:bidi="he-IL"/>
          <w14:ligatures w14:val="none"/>
        </w:rPr>
        <w:t xml:space="preserve">Catherine Hamaker, </w:t>
      </w:r>
      <w:r w:rsidR="0078593B" w:rsidRPr="008F1D6C">
        <w:rPr>
          <w:rFonts w:ascii="Source Sans Pro" w:eastAsia="Times New Roman" w:hAnsi="Source Sans Pro" w:cs="Times New Roman"/>
          <w:i/>
          <w:iCs/>
          <w:kern w:val="0"/>
          <w:sz w:val="20"/>
          <w:szCs w:val="20"/>
          <w:lang w:eastAsia="en-GB" w:bidi="he-IL"/>
          <w14:ligatures w14:val="none"/>
        </w:rPr>
        <w:t>Two Mediaeval Lives of Saint Winefride</w:t>
      </w:r>
      <w:r w:rsidR="0078593B" w:rsidRPr="008F1D6C">
        <w:rPr>
          <w:rFonts w:ascii="Source Sans Pro" w:eastAsia="Times New Roman" w:hAnsi="Source Sans Pro" w:cs="Times New Roman"/>
          <w:kern w:val="0"/>
          <w:sz w:val="20"/>
          <w:szCs w:val="20"/>
          <w:lang w:eastAsia="en-GB" w:bidi="he-IL"/>
          <w14:ligatures w14:val="none"/>
        </w:rPr>
        <w:t xml:space="preserve"> (Wipf and Stock Publishers, 2011)</w:t>
      </w:r>
      <w:r w:rsidR="0078593B">
        <w:rPr>
          <w:rFonts w:ascii="Source Sans Pro" w:eastAsia="Times New Roman" w:hAnsi="Source Sans Pro" w:cs="Times New Roman"/>
          <w:kern w:val="0"/>
          <w:sz w:val="20"/>
          <w:szCs w:val="20"/>
          <w:lang w:eastAsia="en-GB" w:bidi="he-IL"/>
          <w14:ligatures w14:val="none"/>
        </w:rPr>
        <w:t>, pp. 34-38.</w:t>
      </w:r>
    </w:p>
  </w:footnote>
  <w:footnote w:id="57">
    <w:p w14:paraId="1CB1C86A" w14:textId="5E87D193" w:rsidR="00B025CF" w:rsidRPr="00895A0E" w:rsidRDefault="00B025CF" w:rsidP="00895A0E">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895A0E" w:rsidRPr="001765E9">
        <w:rPr>
          <w:rFonts w:ascii="Source Sans Pro" w:eastAsia="Times New Roman" w:hAnsi="Source Sans Pro" w:cs="Times New Roman"/>
          <w:kern w:val="0"/>
          <w:sz w:val="20"/>
          <w:szCs w:val="20"/>
          <w:lang w:eastAsia="en-GB" w:bidi="he-IL"/>
          <w14:ligatures w14:val="none"/>
        </w:rPr>
        <w:t xml:space="preserve">Gregory, ‘The Life of St. Winifred: The Vita S. </w:t>
      </w:r>
      <w:proofErr w:type="spellStart"/>
      <w:r w:rsidR="00895A0E" w:rsidRPr="001765E9">
        <w:rPr>
          <w:rFonts w:ascii="Source Sans Pro" w:eastAsia="Times New Roman" w:hAnsi="Source Sans Pro" w:cs="Times New Roman"/>
          <w:kern w:val="0"/>
          <w:sz w:val="20"/>
          <w:szCs w:val="20"/>
          <w:lang w:eastAsia="en-GB" w:bidi="he-IL"/>
          <w14:ligatures w14:val="none"/>
        </w:rPr>
        <w:t>Wenefrede</w:t>
      </w:r>
      <w:proofErr w:type="spellEnd"/>
      <w:r w:rsidR="00895A0E" w:rsidRPr="001765E9">
        <w:rPr>
          <w:rFonts w:ascii="Source Sans Pro" w:eastAsia="Times New Roman" w:hAnsi="Source Sans Pro" w:cs="Times New Roman"/>
          <w:kern w:val="0"/>
          <w:sz w:val="20"/>
          <w:szCs w:val="20"/>
          <w:lang w:eastAsia="en-GB" w:bidi="he-IL"/>
          <w14:ligatures w14:val="none"/>
        </w:rPr>
        <w:t xml:space="preserve"> from BL Lansdowne MS 436</w:t>
      </w:r>
      <w:r w:rsidR="00895A0E">
        <w:rPr>
          <w:rFonts w:ascii="Source Sans Pro" w:eastAsia="Times New Roman" w:hAnsi="Source Sans Pro" w:cs="Times New Roman"/>
          <w:kern w:val="0"/>
          <w:sz w:val="20"/>
          <w:szCs w:val="20"/>
          <w:lang w:eastAsia="en-GB" w:bidi="he-IL"/>
          <w14:ligatures w14:val="none"/>
        </w:rPr>
        <w:t>’, p.</w:t>
      </w:r>
      <w:r w:rsidR="00895A0E">
        <w:rPr>
          <w:rFonts w:ascii="Source Sans Pro" w:eastAsia="Times New Roman" w:hAnsi="Source Sans Pro" w:cs="Times New Roman"/>
          <w:kern w:val="0"/>
          <w:sz w:val="20"/>
          <w:szCs w:val="20"/>
          <w:lang w:eastAsia="en-GB" w:bidi="he-IL"/>
          <w14:ligatures w14:val="none"/>
        </w:rPr>
        <w:t xml:space="preserve"> 7.</w:t>
      </w:r>
    </w:p>
  </w:footnote>
  <w:footnote w:id="58">
    <w:p w14:paraId="4D81F999" w14:textId="03EF29D2" w:rsidR="00A63717" w:rsidRPr="001D3A4C" w:rsidRDefault="00A63717" w:rsidP="001D3A4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1D3A4C">
        <w:rPr>
          <w:rFonts w:ascii="Source Sans Pro" w:eastAsia="Times New Roman" w:hAnsi="Source Sans Pro" w:cs="Times New Roman"/>
          <w:kern w:val="0"/>
          <w:sz w:val="20"/>
          <w:szCs w:val="20"/>
          <w:lang w:eastAsia="en-GB" w:bidi="he-IL"/>
          <w14:ligatures w14:val="none"/>
        </w:rPr>
        <w:t xml:space="preserve">Ibid., </w:t>
      </w:r>
      <w:r w:rsidR="001D3A4C">
        <w:rPr>
          <w:rFonts w:ascii="Source Sans Pro" w:eastAsia="Times New Roman" w:hAnsi="Source Sans Pro" w:cs="Times New Roman"/>
          <w:kern w:val="0"/>
          <w:sz w:val="20"/>
          <w:szCs w:val="20"/>
          <w:lang w:eastAsia="en-GB" w:bidi="he-IL"/>
          <w14:ligatures w14:val="none"/>
        </w:rPr>
        <w:t>p. 7.</w:t>
      </w:r>
    </w:p>
  </w:footnote>
  <w:footnote w:id="59">
    <w:p w14:paraId="435D88AE" w14:textId="28BDDF7D" w:rsidR="00774269" w:rsidRPr="001D3A4C" w:rsidRDefault="00774269" w:rsidP="001D3A4C">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1D3A4C">
        <w:rPr>
          <w:rFonts w:ascii="Source Sans Pro" w:eastAsia="Times New Roman" w:hAnsi="Source Sans Pro" w:cs="Times New Roman"/>
          <w:kern w:val="0"/>
          <w:sz w:val="20"/>
          <w:szCs w:val="20"/>
          <w:lang w:eastAsia="en-GB" w:bidi="he-IL"/>
          <w14:ligatures w14:val="none"/>
        </w:rPr>
        <w:t xml:space="preserve">Ibid., </w:t>
      </w:r>
      <w:r w:rsidR="001D3A4C">
        <w:rPr>
          <w:rFonts w:ascii="Source Sans Pro" w:eastAsia="Times New Roman" w:hAnsi="Source Sans Pro" w:cs="Times New Roman"/>
          <w:kern w:val="0"/>
          <w:sz w:val="20"/>
          <w:szCs w:val="20"/>
          <w:lang w:eastAsia="en-GB" w:bidi="he-IL"/>
          <w14:ligatures w14:val="none"/>
        </w:rPr>
        <w:t>p. 3.</w:t>
      </w:r>
    </w:p>
  </w:footnote>
  <w:footnote w:id="60">
    <w:p w14:paraId="7F9D4CF4" w14:textId="01967D84" w:rsidR="00C64A39" w:rsidRPr="007B3899" w:rsidRDefault="00C64A39" w:rsidP="007B3899">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7B3899" w:rsidRPr="001765E9">
        <w:rPr>
          <w:rFonts w:ascii="Source Sans Pro" w:eastAsia="Times New Roman" w:hAnsi="Source Sans Pro" w:cs="Times New Roman"/>
          <w:kern w:val="0"/>
          <w:sz w:val="20"/>
          <w:szCs w:val="20"/>
          <w:lang w:eastAsia="en-GB" w:bidi="he-IL"/>
          <w14:ligatures w14:val="none"/>
        </w:rPr>
        <w:t>Morgan, ‘“Then She Went to a Mountain Solitude”: Searching for Nuns in the Bushes of Medieval Welsh Hagiography’</w:t>
      </w:r>
      <w:r w:rsidR="007B3899">
        <w:rPr>
          <w:rFonts w:ascii="Source Sans Pro" w:eastAsia="Times New Roman" w:hAnsi="Source Sans Pro" w:cs="Times New Roman"/>
          <w:kern w:val="0"/>
          <w:sz w:val="20"/>
          <w:szCs w:val="20"/>
          <w:lang w:eastAsia="en-GB" w:bidi="he-IL"/>
          <w14:ligatures w14:val="none"/>
        </w:rPr>
        <w:t xml:space="preserve">, p. </w:t>
      </w:r>
      <w:r w:rsidR="007B3899">
        <w:rPr>
          <w:rFonts w:ascii="Source Sans Pro" w:eastAsia="Times New Roman" w:hAnsi="Source Sans Pro" w:cs="Times New Roman"/>
          <w:kern w:val="0"/>
          <w:sz w:val="20"/>
          <w:szCs w:val="20"/>
          <w:lang w:eastAsia="en-GB" w:bidi="he-IL"/>
          <w14:ligatures w14:val="none"/>
        </w:rPr>
        <w:t>220.</w:t>
      </w:r>
    </w:p>
  </w:footnote>
  <w:footnote w:id="61">
    <w:p w14:paraId="1D4BBD52" w14:textId="596AEA1B" w:rsidR="00C64A39" w:rsidRPr="00EB1BD1" w:rsidRDefault="00C64A39" w:rsidP="00EB1BD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B1BD1">
        <w:rPr>
          <w:rFonts w:ascii="Source Sans Pro" w:eastAsia="Times New Roman" w:hAnsi="Source Sans Pro" w:cs="Times New Roman"/>
          <w:kern w:val="0"/>
          <w:sz w:val="20"/>
          <w:szCs w:val="20"/>
          <w:lang w:eastAsia="en-GB" w:bidi="he-IL"/>
          <w14:ligatures w14:val="none"/>
        </w:rPr>
        <w:t xml:space="preserve">Ibid., </w:t>
      </w:r>
      <w:r w:rsidR="00EB1BD1">
        <w:rPr>
          <w:rFonts w:ascii="Source Sans Pro" w:eastAsia="Times New Roman" w:hAnsi="Source Sans Pro" w:cs="Times New Roman"/>
          <w:kern w:val="0"/>
          <w:sz w:val="20"/>
          <w:szCs w:val="20"/>
          <w:lang w:eastAsia="en-GB" w:bidi="he-IL"/>
          <w14:ligatures w14:val="none"/>
        </w:rPr>
        <w:t>p. 220.</w:t>
      </w:r>
    </w:p>
  </w:footnote>
  <w:footnote w:id="62">
    <w:p w14:paraId="7A907E80" w14:textId="21E6DD6C" w:rsidR="005660FA" w:rsidRPr="002E1333" w:rsidRDefault="005660FA" w:rsidP="002E1333">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2E1333" w:rsidRPr="001765E9">
        <w:rPr>
          <w:rFonts w:ascii="Source Sans Pro" w:eastAsia="Times New Roman" w:hAnsi="Source Sans Pro" w:cs="Times New Roman"/>
          <w:kern w:val="0"/>
          <w:sz w:val="20"/>
          <w:szCs w:val="20"/>
          <w:lang w:eastAsia="en-GB" w:bidi="he-IL"/>
          <w14:ligatures w14:val="none"/>
        </w:rPr>
        <w:t>Morgan, ‘“Then She Went to a Mountain Solitude”: Searching for Nuns in the Bushes of Medieval Welsh Hagiography’</w:t>
      </w:r>
      <w:r w:rsidR="002E1333">
        <w:rPr>
          <w:rFonts w:ascii="Source Sans Pro" w:eastAsia="Times New Roman" w:hAnsi="Source Sans Pro" w:cs="Times New Roman"/>
          <w:kern w:val="0"/>
          <w:sz w:val="20"/>
          <w:szCs w:val="20"/>
          <w:lang w:eastAsia="en-GB" w:bidi="he-IL"/>
          <w14:ligatures w14:val="none"/>
        </w:rPr>
        <w:t xml:space="preserve">, p. </w:t>
      </w:r>
      <w:r w:rsidR="002E1333">
        <w:rPr>
          <w:rFonts w:ascii="Source Sans Pro" w:eastAsia="Times New Roman" w:hAnsi="Source Sans Pro" w:cs="Times New Roman"/>
          <w:kern w:val="0"/>
          <w:sz w:val="20"/>
          <w:szCs w:val="20"/>
          <w:lang w:eastAsia="en-GB" w:bidi="he-IL"/>
          <w14:ligatures w14:val="none"/>
        </w:rPr>
        <w:t>220.</w:t>
      </w:r>
    </w:p>
  </w:footnote>
  <w:footnote w:id="63">
    <w:p w14:paraId="21EF8846" w14:textId="7999807E" w:rsidR="00113904" w:rsidRPr="005D1408" w:rsidRDefault="00113904" w:rsidP="005D1408">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5D1408">
        <w:t xml:space="preserve"> </w:t>
      </w:r>
      <w:r w:rsidR="005D1408">
        <w:rPr>
          <w:rFonts w:ascii="Source Sans Pro" w:eastAsia="Times New Roman" w:hAnsi="Source Sans Pro" w:cs="Times New Roman"/>
          <w:kern w:val="0"/>
          <w:sz w:val="20"/>
          <w:szCs w:val="20"/>
          <w:lang w:eastAsia="en-GB" w:bidi="he-IL"/>
          <w14:ligatures w14:val="none"/>
        </w:rPr>
        <w:t xml:space="preserve">Ibid., </w:t>
      </w:r>
      <w:r w:rsidR="005D1408">
        <w:rPr>
          <w:rFonts w:ascii="Source Sans Pro" w:eastAsia="Times New Roman" w:hAnsi="Source Sans Pro" w:cs="Times New Roman"/>
          <w:kern w:val="0"/>
          <w:sz w:val="20"/>
          <w:szCs w:val="20"/>
          <w:lang w:eastAsia="en-GB" w:bidi="he-IL"/>
          <w14:ligatures w14:val="none"/>
        </w:rPr>
        <w:t>p. 220.</w:t>
      </w:r>
      <w:r>
        <w:t xml:space="preserve"> </w:t>
      </w:r>
    </w:p>
  </w:footnote>
  <w:footnote w:id="64">
    <w:p w14:paraId="58B68EA5" w14:textId="7D944C3A" w:rsidR="00393A8D" w:rsidRDefault="00393A8D">
      <w:pPr>
        <w:pStyle w:val="FootnoteText"/>
      </w:pPr>
      <w:r>
        <w:rPr>
          <w:rStyle w:val="FootnoteReference"/>
        </w:rPr>
        <w:footnoteRef/>
      </w:r>
      <w:r>
        <w:t xml:space="preserve"> </w:t>
      </w:r>
      <w:r w:rsidR="005D1408">
        <w:rPr>
          <w:rFonts w:ascii="Source Sans Pro" w:eastAsia="Times New Roman" w:hAnsi="Source Sans Pro" w:cs="Times New Roman"/>
          <w:kern w:val="0"/>
          <w:lang w:eastAsia="en-GB" w:bidi="he-IL"/>
          <w14:ligatures w14:val="none"/>
        </w:rPr>
        <w:t>Ibid., p. 220.</w:t>
      </w:r>
    </w:p>
  </w:footnote>
  <w:footnote w:id="65">
    <w:p w14:paraId="744D6FD5" w14:textId="765D83B4" w:rsidR="003D2646" w:rsidRPr="008723D5" w:rsidRDefault="003D2646" w:rsidP="008723D5">
      <w:pPr>
        <w:rPr>
          <w:rFonts w:ascii="Source Sans Pro" w:eastAsia="Times New Roman" w:hAnsi="Source Sans Pro" w:cs="Times New Roman"/>
          <w:kern w:val="0"/>
          <w:sz w:val="20"/>
          <w:szCs w:val="20"/>
          <w:lang w:eastAsia="en-GB" w:bidi="he-IL"/>
          <w14:ligatures w14:val="none"/>
        </w:rPr>
      </w:pPr>
      <w:r>
        <w:rPr>
          <w:rStyle w:val="FootnoteReference"/>
        </w:rPr>
        <w:footnoteRef/>
      </w:r>
      <w:r w:rsidR="008723D5">
        <w:rPr>
          <w:rFonts w:ascii="Source Sans Pro" w:eastAsia="Times New Roman" w:hAnsi="Source Sans Pro" w:cs="Times New Roman"/>
          <w:kern w:val="0"/>
          <w:sz w:val="20"/>
          <w:szCs w:val="20"/>
          <w:lang w:eastAsia="en-GB" w:bidi="he-IL"/>
          <w14:ligatures w14:val="none"/>
        </w:rPr>
        <w:t xml:space="preserve"> </w:t>
      </w:r>
      <w:r w:rsidR="008723D5" w:rsidRPr="001765E9">
        <w:rPr>
          <w:rFonts w:ascii="Source Sans Pro" w:eastAsia="Times New Roman" w:hAnsi="Source Sans Pro" w:cs="Times New Roman"/>
          <w:kern w:val="0"/>
          <w:sz w:val="20"/>
          <w:szCs w:val="20"/>
          <w:lang w:eastAsia="en-GB" w:bidi="he-IL"/>
          <w14:ligatures w14:val="none"/>
        </w:rPr>
        <w:t>Pickering, ‘Pennant Melangell, Montgomeryshire’</w:t>
      </w:r>
      <w:r w:rsidR="008723D5">
        <w:rPr>
          <w:rFonts w:ascii="Source Sans Pro" w:eastAsia="Times New Roman" w:hAnsi="Source Sans Pro" w:cs="Times New Roman"/>
          <w:kern w:val="0"/>
          <w:sz w:val="20"/>
          <w:szCs w:val="20"/>
          <w:lang w:eastAsia="en-GB" w:bidi="he-IL"/>
          <w14:ligatures w14:val="none"/>
        </w:rPr>
        <w:t>, p.</w:t>
      </w:r>
      <w:r w:rsidR="008723D5">
        <w:rPr>
          <w:rFonts w:ascii="Source Sans Pro" w:eastAsia="Times New Roman" w:hAnsi="Source Sans Pro" w:cs="Times New Roman"/>
          <w:kern w:val="0"/>
          <w:sz w:val="20"/>
          <w:szCs w:val="20"/>
          <w:lang w:eastAsia="en-GB" w:bidi="he-IL"/>
          <w14:ligatures w14:val="none"/>
        </w:rPr>
        <w:t xml:space="preserve"> 142.</w:t>
      </w:r>
      <w:r>
        <w:t xml:space="preserve"> </w:t>
      </w:r>
    </w:p>
  </w:footnote>
  <w:footnote w:id="66">
    <w:p w14:paraId="7D646750" w14:textId="4C532F55" w:rsidR="00F6107E" w:rsidRPr="00B1059B" w:rsidRDefault="00F6107E" w:rsidP="00B1059B">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B1059B" w:rsidRPr="001765E9">
        <w:rPr>
          <w:rFonts w:ascii="Source Sans Pro" w:eastAsia="Times New Roman" w:hAnsi="Source Sans Pro" w:cs="Times New Roman"/>
          <w:kern w:val="0"/>
          <w:sz w:val="20"/>
          <w:szCs w:val="20"/>
          <w:lang w:eastAsia="en-GB" w:bidi="he-IL"/>
          <w14:ligatures w14:val="none"/>
        </w:rPr>
        <w:t>Morgan, ‘“Then She Went to a Mountain Solitude”: Searching for Nuns in the Bushes of Medieval Welsh Hagiography’</w:t>
      </w:r>
      <w:r w:rsidR="00B1059B">
        <w:rPr>
          <w:rFonts w:ascii="Source Sans Pro" w:eastAsia="Times New Roman" w:hAnsi="Source Sans Pro" w:cs="Times New Roman"/>
          <w:kern w:val="0"/>
          <w:sz w:val="20"/>
          <w:szCs w:val="20"/>
          <w:lang w:eastAsia="en-GB" w:bidi="he-IL"/>
          <w14:ligatures w14:val="none"/>
        </w:rPr>
        <w:t xml:space="preserve">, p. </w:t>
      </w:r>
      <w:r w:rsidR="00B1059B">
        <w:rPr>
          <w:rFonts w:ascii="Source Sans Pro" w:eastAsia="Times New Roman" w:hAnsi="Source Sans Pro" w:cs="Times New Roman"/>
          <w:kern w:val="0"/>
          <w:sz w:val="20"/>
          <w:szCs w:val="20"/>
          <w:lang w:eastAsia="en-GB" w:bidi="he-IL"/>
          <w14:ligatures w14:val="none"/>
        </w:rPr>
        <w:t>2223.</w:t>
      </w:r>
    </w:p>
  </w:footnote>
  <w:footnote w:id="67">
    <w:p w14:paraId="5301F517" w14:textId="3A4EE1EC" w:rsidR="002C516E" w:rsidRPr="00A025E6" w:rsidRDefault="002C516E" w:rsidP="00A025E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025E6">
        <w:rPr>
          <w:rFonts w:ascii="Source Sans Pro" w:eastAsia="Times New Roman" w:hAnsi="Source Sans Pro" w:cs="Times New Roman"/>
          <w:kern w:val="0"/>
          <w:sz w:val="20"/>
          <w:szCs w:val="20"/>
          <w:lang w:eastAsia="en-GB" w:bidi="he-IL"/>
          <w14:ligatures w14:val="none"/>
        </w:rPr>
        <w:t xml:space="preserve">Ibid., </w:t>
      </w:r>
      <w:r w:rsidR="00A025E6">
        <w:rPr>
          <w:rFonts w:ascii="Source Sans Pro" w:eastAsia="Times New Roman" w:hAnsi="Source Sans Pro" w:cs="Times New Roman"/>
          <w:kern w:val="0"/>
          <w:sz w:val="20"/>
          <w:szCs w:val="20"/>
          <w:lang w:eastAsia="en-GB" w:bidi="he-IL"/>
          <w14:ligatures w14:val="none"/>
        </w:rPr>
        <w:t>p. 226.</w:t>
      </w:r>
      <w:r>
        <w:t xml:space="preserve"> </w:t>
      </w:r>
    </w:p>
  </w:footnote>
  <w:footnote w:id="68">
    <w:p w14:paraId="27CA1C43" w14:textId="0BAE80CB" w:rsidR="00F16BA9" w:rsidRDefault="00F16BA9">
      <w:pPr>
        <w:pStyle w:val="FootnoteText"/>
      </w:pPr>
      <w:r>
        <w:rPr>
          <w:rStyle w:val="FootnoteReference"/>
        </w:rPr>
        <w:footnoteRef/>
      </w:r>
      <w:r>
        <w:t xml:space="preserve"> </w:t>
      </w:r>
      <w:r w:rsidR="000F2BBE" w:rsidRPr="001765E9">
        <w:rPr>
          <w:rFonts w:ascii="Source Sans Pro" w:eastAsia="Times New Roman" w:hAnsi="Source Sans Pro" w:cs="Times New Roman"/>
          <w:kern w:val="0"/>
          <w:lang w:eastAsia="en-GB" w:bidi="he-IL"/>
          <w14:ligatures w14:val="none"/>
        </w:rPr>
        <w:t>Willis-Bund, ‘Some Characteristics of Welsh and Irish Saints’</w:t>
      </w:r>
      <w:r w:rsidR="000F2BBE">
        <w:rPr>
          <w:rFonts w:ascii="Source Sans Pro" w:eastAsia="Times New Roman" w:hAnsi="Source Sans Pro" w:cs="Times New Roman"/>
          <w:kern w:val="0"/>
          <w:lang w:eastAsia="en-GB" w:bidi="he-IL"/>
          <w14:ligatures w14:val="none"/>
        </w:rPr>
        <w:t>, p.</w:t>
      </w:r>
      <w:r w:rsidR="000F2BBE">
        <w:rPr>
          <w:rFonts w:ascii="Source Sans Pro" w:eastAsia="Times New Roman" w:hAnsi="Source Sans Pro" w:cs="Times New Roman"/>
          <w:kern w:val="0"/>
          <w:lang w:eastAsia="en-GB" w:bidi="he-IL"/>
          <w14:ligatures w14:val="none"/>
        </w:rPr>
        <w:t xml:space="preserve"> 285.</w:t>
      </w:r>
    </w:p>
  </w:footnote>
  <w:footnote w:id="69">
    <w:p w14:paraId="536E4E01" w14:textId="3932E3E0" w:rsidR="00106EAA" w:rsidRPr="007C6C09" w:rsidRDefault="00106EAA" w:rsidP="007C6C0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7C6C09" w:rsidRPr="008F1D6C">
        <w:rPr>
          <w:rFonts w:ascii="Source Sans Pro" w:eastAsia="Times New Roman" w:hAnsi="Source Sans Pro" w:cs="Times New Roman"/>
          <w:kern w:val="0"/>
          <w:sz w:val="20"/>
          <w:szCs w:val="20"/>
          <w:lang w:eastAsia="en-GB" w:bidi="he-IL"/>
          <w14:ligatures w14:val="none"/>
        </w:rPr>
        <w:t xml:space="preserve">Elissa Henken, ‘Welsh Hagiography and the Nationalist Impulse’, in </w:t>
      </w:r>
      <w:r w:rsidR="007C6C09" w:rsidRPr="008F1D6C">
        <w:rPr>
          <w:rFonts w:ascii="Source Sans Pro" w:eastAsia="Times New Roman" w:hAnsi="Source Sans Pro" w:cs="Times New Roman"/>
          <w:i/>
          <w:iCs/>
          <w:kern w:val="0"/>
          <w:sz w:val="20"/>
          <w:szCs w:val="20"/>
          <w:lang w:eastAsia="en-GB" w:bidi="he-IL"/>
          <w14:ligatures w14:val="none"/>
        </w:rPr>
        <w:t>Celtic Hagiography and Saints’ Cults</w:t>
      </w:r>
      <w:r w:rsidR="007C6C09" w:rsidRPr="008F1D6C">
        <w:rPr>
          <w:rFonts w:ascii="Source Sans Pro" w:eastAsia="Times New Roman" w:hAnsi="Source Sans Pro" w:cs="Times New Roman"/>
          <w:kern w:val="0"/>
          <w:sz w:val="20"/>
          <w:szCs w:val="20"/>
          <w:lang w:eastAsia="en-GB" w:bidi="he-IL"/>
          <w14:ligatures w14:val="none"/>
        </w:rPr>
        <w:t xml:space="preserve"> (Cardiff: University of Wales Press, 2003), p. 26</w:t>
      </w:r>
      <w:r w:rsidR="007C6C09">
        <w:rPr>
          <w:rFonts w:ascii="Source Sans Pro" w:eastAsia="Times New Roman" w:hAnsi="Source Sans Pro" w:cs="Times New Roman"/>
          <w:kern w:val="0"/>
          <w:sz w:val="20"/>
          <w:szCs w:val="20"/>
          <w:lang w:eastAsia="en-GB" w:bidi="he-IL"/>
          <w14:ligatures w14:val="none"/>
        </w:rPr>
        <w:t>.</w:t>
      </w:r>
    </w:p>
  </w:footnote>
  <w:footnote w:id="70">
    <w:p w14:paraId="593E05BB" w14:textId="5F0BE0B2" w:rsidR="00F178C4" w:rsidRPr="00E86F6B" w:rsidRDefault="00F178C4" w:rsidP="00E86F6B">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86F6B" w:rsidRPr="001765E9">
        <w:rPr>
          <w:rFonts w:ascii="Source Sans Pro" w:eastAsia="Times New Roman" w:hAnsi="Source Sans Pro" w:cs="Times New Roman"/>
          <w:kern w:val="0"/>
          <w:sz w:val="20"/>
          <w:szCs w:val="20"/>
          <w:lang w:eastAsia="en-GB" w:bidi="he-IL"/>
          <w14:ligatures w14:val="none"/>
        </w:rPr>
        <w:t xml:space="preserve">Elissa Henken, ‘The Saint as Secular Ruler: Aspects of Welsh Hagiography’, </w:t>
      </w:r>
      <w:r w:rsidR="00E86F6B" w:rsidRPr="001765E9">
        <w:rPr>
          <w:rFonts w:ascii="Source Sans Pro" w:eastAsia="Times New Roman" w:hAnsi="Source Sans Pro" w:cs="Times New Roman"/>
          <w:i/>
          <w:iCs/>
          <w:kern w:val="0"/>
          <w:sz w:val="20"/>
          <w:szCs w:val="20"/>
          <w:lang w:eastAsia="en-GB" w:bidi="he-IL"/>
          <w14:ligatures w14:val="none"/>
        </w:rPr>
        <w:t>Folklore</w:t>
      </w:r>
      <w:r w:rsidR="00E86F6B" w:rsidRPr="001765E9">
        <w:rPr>
          <w:rFonts w:ascii="Source Sans Pro" w:eastAsia="Times New Roman" w:hAnsi="Source Sans Pro" w:cs="Times New Roman"/>
          <w:kern w:val="0"/>
          <w:sz w:val="20"/>
          <w:szCs w:val="20"/>
          <w:lang w:eastAsia="en-GB" w:bidi="he-IL"/>
          <w14:ligatures w14:val="none"/>
        </w:rPr>
        <w:t xml:space="preserve">, 98.2 (1987), p. </w:t>
      </w:r>
      <w:r w:rsidR="00E86F6B">
        <w:rPr>
          <w:rFonts w:ascii="Source Sans Pro" w:eastAsia="Times New Roman" w:hAnsi="Source Sans Pro" w:cs="Times New Roman"/>
          <w:kern w:val="0"/>
          <w:sz w:val="20"/>
          <w:szCs w:val="20"/>
          <w:lang w:eastAsia="en-GB" w:bidi="he-IL"/>
          <w14:ligatures w14:val="none"/>
        </w:rPr>
        <w:t>226.</w:t>
      </w:r>
    </w:p>
  </w:footnote>
  <w:footnote w:id="71">
    <w:p w14:paraId="2CBF914B" w14:textId="678796CE" w:rsidR="006171C4" w:rsidRPr="00B66C31" w:rsidRDefault="006171C4" w:rsidP="00B66C3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B66C31" w:rsidRPr="008F1D6C">
        <w:rPr>
          <w:rFonts w:ascii="Source Sans Pro" w:eastAsia="Times New Roman" w:hAnsi="Source Sans Pro" w:cs="Times New Roman"/>
          <w:kern w:val="0"/>
          <w:sz w:val="20"/>
          <w:szCs w:val="20"/>
          <w:lang w:eastAsia="en-GB" w:bidi="he-IL"/>
          <w14:ligatures w14:val="none"/>
        </w:rPr>
        <w:t>Henken, ‘Welsh Hagiography and the Nationalist Impulse’</w:t>
      </w:r>
      <w:r w:rsidR="00B66C31">
        <w:rPr>
          <w:rFonts w:ascii="Source Sans Pro" w:eastAsia="Times New Roman" w:hAnsi="Source Sans Pro" w:cs="Times New Roman"/>
          <w:kern w:val="0"/>
          <w:sz w:val="20"/>
          <w:szCs w:val="20"/>
          <w:lang w:eastAsia="en-GB" w:bidi="he-IL"/>
          <w14:ligatures w14:val="none"/>
        </w:rPr>
        <w:t xml:space="preserve">, p. </w:t>
      </w:r>
      <w:r w:rsidR="00B66C31">
        <w:rPr>
          <w:rFonts w:ascii="Source Sans Pro" w:eastAsia="Times New Roman" w:hAnsi="Source Sans Pro" w:cs="Times New Roman"/>
          <w:kern w:val="0"/>
          <w:sz w:val="20"/>
          <w:szCs w:val="20"/>
          <w:lang w:eastAsia="en-GB" w:bidi="he-IL"/>
          <w14:ligatures w14:val="none"/>
        </w:rPr>
        <w:t>28.</w:t>
      </w:r>
    </w:p>
  </w:footnote>
  <w:footnote w:id="72">
    <w:p w14:paraId="05479F31" w14:textId="38FB5B95" w:rsidR="00106EAA" w:rsidRPr="00E32E02" w:rsidRDefault="00106EAA" w:rsidP="00E32E02">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32E02" w:rsidRPr="001765E9">
        <w:rPr>
          <w:rFonts w:ascii="Source Sans Pro" w:eastAsia="Times New Roman" w:hAnsi="Source Sans Pro" w:cs="Times New Roman"/>
          <w:kern w:val="0"/>
          <w:sz w:val="20"/>
          <w:szCs w:val="20"/>
          <w:lang w:eastAsia="en-GB" w:bidi="he-IL"/>
          <w14:ligatures w14:val="none"/>
        </w:rPr>
        <w:t>Henken, ‘The Saint as Secular Ruler: Aspects of Welsh Hagiography’</w:t>
      </w:r>
      <w:r w:rsidR="00E32E02">
        <w:rPr>
          <w:rFonts w:ascii="Source Sans Pro" w:eastAsia="Times New Roman" w:hAnsi="Source Sans Pro" w:cs="Times New Roman"/>
          <w:kern w:val="0"/>
          <w:sz w:val="20"/>
          <w:szCs w:val="20"/>
          <w:lang w:eastAsia="en-GB" w:bidi="he-IL"/>
          <w14:ligatures w14:val="none"/>
        </w:rPr>
        <w:t xml:space="preserve">, p. </w:t>
      </w:r>
      <w:r w:rsidR="00E32E02">
        <w:rPr>
          <w:rFonts w:ascii="Source Sans Pro" w:eastAsia="Times New Roman" w:hAnsi="Source Sans Pro" w:cs="Times New Roman"/>
          <w:kern w:val="0"/>
          <w:sz w:val="20"/>
          <w:szCs w:val="20"/>
          <w:lang w:eastAsia="en-GB" w:bidi="he-IL"/>
          <w14:ligatures w14:val="none"/>
        </w:rPr>
        <w:t>226.</w:t>
      </w:r>
      <w:r>
        <w:t xml:space="preserve"> </w:t>
      </w:r>
    </w:p>
  </w:footnote>
  <w:footnote w:id="73">
    <w:p w14:paraId="41CB26D7" w14:textId="11F37573" w:rsidR="003D6CBF" w:rsidRDefault="003D6CBF">
      <w:pPr>
        <w:pStyle w:val="FootnoteText"/>
      </w:pPr>
      <w:r>
        <w:rPr>
          <w:rStyle w:val="FootnoteReference"/>
        </w:rPr>
        <w:footnoteRef/>
      </w:r>
      <w:r>
        <w:t xml:space="preserve"> </w:t>
      </w:r>
      <w:r w:rsidR="00DD0CCA" w:rsidRPr="001765E9">
        <w:rPr>
          <w:rFonts w:ascii="Source Sans Pro" w:eastAsia="Times New Roman" w:hAnsi="Source Sans Pro" w:cs="Times New Roman"/>
          <w:kern w:val="0"/>
          <w:lang w:eastAsia="en-GB" w:bidi="he-IL"/>
          <w14:ligatures w14:val="none"/>
        </w:rPr>
        <w:t xml:space="preserve">Wade-Evans, ‘The Life of St. </w:t>
      </w:r>
      <w:proofErr w:type="spellStart"/>
      <w:r w:rsidR="00DD0CCA" w:rsidRPr="001765E9">
        <w:rPr>
          <w:rFonts w:ascii="Source Sans Pro" w:eastAsia="Times New Roman" w:hAnsi="Source Sans Pro" w:cs="Times New Roman"/>
          <w:kern w:val="0"/>
          <w:lang w:eastAsia="en-GB" w:bidi="he-IL"/>
          <w14:ligatures w14:val="none"/>
        </w:rPr>
        <w:t>Wenefred</w:t>
      </w:r>
      <w:proofErr w:type="spellEnd"/>
      <w:r w:rsidR="00DD0CCA" w:rsidRPr="001765E9">
        <w:rPr>
          <w:rFonts w:ascii="Source Sans Pro" w:eastAsia="Times New Roman" w:hAnsi="Source Sans Pro" w:cs="Times New Roman"/>
          <w:kern w:val="0"/>
          <w:lang w:eastAsia="en-GB" w:bidi="he-IL"/>
          <w14:ligatures w14:val="none"/>
        </w:rPr>
        <w:t>’,</w:t>
      </w:r>
      <w:r w:rsidR="00DD0CCA">
        <w:rPr>
          <w:rFonts w:ascii="Source Sans Pro" w:eastAsia="Times New Roman" w:hAnsi="Source Sans Pro" w:cs="Times New Roman"/>
          <w:kern w:val="0"/>
          <w:lang w:eastAsia="en-GB" w:bidi="he-IL"/>
          <w14:ligatures w14:val="none"/>
        </w:rPr>
        <w:t xml:space="preserve"> p.</w:t>
      </w:r>
      <w:r w:rsidR="00DD0CCA">
        <w:rPr>
          <w:rFonts w:ascii="Source Sans Pro" w:eastAsia="Times New Roman" w:hAnsi="Source Sans Pro" w:cs="Times New Roman"/>
          <w:kern w:val="0"/>
          <w:lang w:eastAsia="en-GB" w:bidi="he-IL"/>
          <w14:ligatures w14:val="none"/>
        </w:rPr>
        <w:t xml:space="preserve"> 299-301.</w:t>
      </w:r>
    </w:p>
  </w:footnote>
  <w:footnote w:id="74">
    <w:p w14:paraId="6C6D733D" w14:textId="63003584" w:rsidR="00A81863" w:rsidRPr="006842C4" w:rsidRDefault="00A81863" w:rsidP="006842C4">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6842C4">
        <w:rPr>
          <w:rFonts w:ascii="Source Sans Pro" w:eastAsia="Times New Roman" w:hAnsi="Source Sans Pro" w:cs="Times New Roman"/>
          <w:kern w:val="0"/>
          <w:sz w:val="20"/>
          <w:szCs w:val="20"/>
          <w:lang w:eastAsia="en-GB" w:bidi="he-IL"/>
          <w14:ligatures w14:val="none"/>
        </w:rPr>
        <w:t xml:space="preserve">Ibid., </w:t>
      </w:r>
      <w:r w:rsidR="006842C4">
        <w:rPr>
          <w:rFonts w:ascii="Source Sans Pro" w:eastAsia="Times New Roman" w:hAnsi="Source Sans Pro" w:cs="Times New Roman"/>
          <w:kern w:val="0"/>
          <w:sz w:val="20"/>
          <w:szCs w:val="20"/>
          <w:lang w:eastAsia="en-GB" w:bidi="he-IL"/>
          <w14:ligatures w14:val="none"/>
        </w:rPr>
        <w:t>p. 299.</w:t>
      </w:r>
    </w:p>
  </w:footnote>
  <w:footnote w:id="75">
    <w:p w14:paraId="0D01C7C2" w14:textId="3805A017" w:rsidR="009E4406" w:rsidRDefault="009E4406">
      <w:pPr>
        <w:pStyle w:val="FootnoteText"/>
      </w:pPr>
      <w:r>
        <w:rPr>
          <w:rStyle w:val="FootnoteReference"/>
        </w:rPr>
        <w:footnoteRef/>
      </w:r>
      <w:r>
        <w:t xml:space="preserve"> </w:t>
      </w:r>
      <w:r w:rsidR="006842C4">
        <w:rPr>
          <w:rFonts w:ascii="Source Sans Pro" w:eastAsia="Times New Roman" w:hAnsi="Source Sans Pro" w:cs="Times New Roman"/>
          <w:kern w:val="0"/>
          <w:lang w:eastAsia="en-GB" w:bidi="he-IL"/>
          <w14:ligatures w14:val="none"/>
        </w:rPr>
        <w:t>Ibid., p. 2</w:t>
      </w:r>
      <w:r w:rsidR="006842C4">
        <w:rPr>
          <w:rFonts w:ascii="Source Sans Pro" w:eastAsia="Times New Roman" w:hAnsi="Source Sans Pro" w:cs="Times New Roman"/>
          <w:kern w:val="0"/>
          <w:lang w:eastAsia="en-GB" w:bidi="he-IL"/>
          <w14:ligatures w14:val="none"/>
        </w:rPr>
        <w:t>97.</w:t>
      </w:r>
    </w:p>
  </w:footnote>
  <w:footnote w:id="76">
    <w:p w14:paraId="6B16CD8A" w14:textId="57765D07" w:rsidR="004263F1" w:rsidRPr="008E07E3" w:rsidRDefault="004263F1" w:rsidP="008E07E3">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8E07E3" w:rsidRPr="001765E9">
        <w:rPr>
          <w:rFonts w:ascii="Source Sans Pro" w:eastAsia="Times New Roman" w:hAnsi="Source Sans Pro" w:cs="Times New Roman"/>
          <w:kern w:val="0"/>
          <w:sz w:val="20"/>
          <w:szCs w:val="20"/>
          <w:lang w:eastAsia="en-GB" w:bidi="he-IL"/>
          <w14:ligatures w14:val="none"/>
        </w:rPr>
        <w:t xml:space="preserve">Henken, </w:t>
      </w:r>
      <w:r w:rsidR="008E07E3" w:rsidRPr="001765E9">
        <w:rPr>
          <w:rFonts w:ascii="Source Sans Pro" w:eastAsia="Times New Roman" w:hAnsi="Source Sans Pro" w:cs="Times New Roman"/>
          <w:i/>
          <w:iCs/>
          <w:kern w:val="0"/>
          <w:sz w:val="20"/>
          <w:szCs w:val="20"/>
          <w:lang w:eastAsia="en-GB" w:bidi="he-IL"/>
          <w14:ligatures w14:val="none"/>
        </w:rPr>
        <w:t>The Welsh Saints: A Study in Patterned Lives</w:t>
      </w:r>
      <w:r w:rsidR="008E07E3">
        <w:rPr>
          <w:rFonts w:ascii="Source Sans Pro" w:eastAsia="Times New Roman" w:hAnsi="Source Sans Pro" w:cs="Times New Roman"/>
          <w:i/>
          <w:iCs/>
          <w:kern w:val="0"/>
          <w:sz w:val="20"/>
          <w:szCs w:val="20"/>
          <w:lang w:eastAsia="en-GB" w:bidi="he-IL"/>
          <w14:ligatures w14:val="none"/>
        </w:rPr>
        <w:t xml:space="preserve">, </w:t>
      </w:r>
      <w:r w:rsidR="008E07E3">
        <w:rPr>
          <w:rFonts w:ascii="Source Sans Pro" w:eastAsia="Times New Roman" w:hAnsi="Source Sans Pro" w:cs="Times New Roman"/>
          <w:kern w:val="0"/>
          <w:sz w:val="20"/>
          <w:szCs w:val="20"/>
          <w:lang w:eastAsia="en-GB" w:bidi="he-IL"/>
          <w14:ligatures w14:val="none"/>
        </w:rPr>
        <w:t xml:space="preserve">p. </w:t>
      </w:r>
      <w:r w:rsidR="008E07E3">
        <w:rPr>
          <w:rFonts w:ascii="Source Sans Pro" w:eastAsia="Times New Roman" w:hAnsi="Source Sans Pro" w:cs="Times New Roman"/>
          <w:kern w:val="0"/>
          <w:sz w:val="20"/>
          <w:szCs w:val="20"/>
          <w:lang w:eastAsia="en-GB" w:bidi="he-IL"/>
          <w14:ligatures w14:val="none"/>
        </w:rPr>
        <w:t>47.</w:t>
      </w:r>
    </w:p>
  </w:footnote>
  <w:footnote w:id="77">
    <w:p w14:paraId="3D9AB7FB" w14:textId="5CE1B5A6" w:rsidR="00E44313" w:rsidRPr="00300A9F" w:rsidRDefault="00E44313" w:rsidP="00300A9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300A9F" w:rsidRPr="001765E9">
        <w:rPr>
          <w:rFonts w:ascii="Source Sans Pro" w:eastAsia="Times New Roman" w:hAnsi="Source Sans Pro" w:cs="Times New Roman"/>
          <w:kern w:val="0"/>
          <w:sz w:val="20"/>
          <w:szCs w:val="20"/>
          <w:lang w:eastAsia="en-GB" w:bidi="he-IL"/>
          <w14:ligatures w14:val="none"/>
        </w:rPr>
        <w:t xml:space="preserve">Wade-Evans, ‘The Life of St. </w:t>
      </w:r>
      <w:proofErr w:type="spellStart"/>
      <w:r w:rsidR="00300A9F" w:rsidRPr="001765E9">
        <w:rPr>
          <w:rFonts w:ascii="Source Sans Pro" w:eastAsia="Times New Roman" w:hAnsi="Source Sans Pro" w:cs="Times New Roman"/>
          <w:kern w:val="0"/>
          <w:sz w:val="20"/>
          <w:szCs w:val="20"/>
          <w:lang w:eastAsia="en-GB" w:bidi="he-IL"/>
          <w14:ligatures w14:val="none"/>
        </w:rPr>
        <w:t>Wenefred</w:t>
      </w:r>
      <w:proofErr w:type="spellEnd"/>
      <w:r w:rsidR="00300A9F" w:rsidRPr="001765E9">
        <w:rPr>
          <w:rFonts w:ascii="Source Sans Pro" w:eastAsia="Times New Roman" w:hAnsi="Source Sans Pro" w:cs="Times New Roman"/>
          <w:kern w:val="0"/>
          <w:sz w:val="20"/>
          <w:szCs w:val="20"/>
          <w:lang w:eastAsia="en-GB" w:bidi="he-IL"/>
          <w14:ligatures w14:val="none"/>
        </w:rPr>
        <w:t>’,</w:t>
      </w:r>
      <w:r w:rsidR="00300A9F">
        <w:rPr>
          <w:rFonts w:ascii="Source Sans Pro" w:eastAsia="Times New Roman" w:hAnsi="Source Sans Pro" w:cs="Times New Roman"/>
          <w:kern w:val="0"/>
          <w:sz w:val="20"/>
          <w:szCs w:val="20"/>
          <w:lang w:eastAsia="en-GB" w:bidi="he-IL"/>
          <w14:ligatures w14:val="none"/>
        </w:rPr>
        <w:t xml:space="preserve"> p.</w:t>
      </w:r>
      <w:r w:rsidR="00300A9F">
        <w:rPr>
          <w:rFonts w:ascii="Source Sans Pro" w:eastAsia="Times New Roman" w:hAnsi="Source Sans Pro" w:cs="Times New Roman"/>
          <w:kern w:val="0"/>
          <w:sz w:val="20"/>
          <w:szCs w:val="20"/>
          <w:lang w:eastAsia="en-GB" w:bidi="he-IL"/>
          <w14:ligatures w14:val="none"/>
        </w:rPr>
        <w:t xml:space="preserve"> 307.</w:t>
      </w:r>
    </w:p>
  </w:footnote>
  <w:footnote w:id="78">
    <w:p w14:paraId="21DF8D2B" w14:textId="3A37561F" w:rsidR="005C785C" w:rsidRPr="002F4806" w:rsidRDefault="005C785C" w:rsidP="002F4806">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2F4806" w:rsidRPr="001765E9">
        <w:rPr>
          <w:rFonts w:ascii="Source Sans Pro" w:eastAsia="Times New Roman" w:hAnsi="Source Sans Pro" w:cs="Times New Roman"/>
          <w:kern w:val="0"/>
          <w:sz w:val="20"/>
          <w:szCs w:val="20"/>
          <w:lang w:eastAsia="en-GB" w:bidi="he-IL"/>
          <w14:ligatures w14:val="none"/>
        </w:rPr>
        <w:t>Pickering, ‘Pennant Melangell, Montgomeryshire’</w:t>
      </w:r>
      <w:r w:rsidR="002F4806">
        <w:rPr>
          <w:rFonts w:ascii="Source Sans Pro" w:eastAsia="Times New Roman" w:hAnsi="Source Sans Pro" w:cs="Times New Roman"/>
          <w:kern w:val="0"/>
          <w:sz w:val="20"/>
          <w:szCs w:val="20"/>
          <w:lang w:eastAsia="en-GB" w:bidi="he-IL"/>
          <w14:ligatures w14:val="none"/>
        </w:rPr>
        <w:t xml:space="preserve">, p. </w:t>
      </w:r>
      <w:r w:rsidR="002F4806">
        <w:rPr>
          <w:rFonts w:ascii="Source Sans Pro" w:eastAsia="Times New Roman" w:hAnsi="Source Sans Pro" w:cs="Times New Roman"/>
          <w:kern w:val="0"/>
          <w:sz w:val="20"/>
          <w:szCs w:val="20"/>
          <w:lang w:eastAsia="en-GB" w:bidi="he-IL"/>
          <w14:ligatures w14:val="none"/>
        </w:rPr>
        <w:t>142.</w:t>
      </w:r>
    </w:p>
  </w:footnote>
  <w:footnote w:id="79">
    <w:p w14:paraId="18F8746E" w14:textId="40875F58" w:rsidR="00944B8B" w:rsidRPr="002869F1" w:rsidRDefault="00944B8B" w:rsidP="002869F1">
      <w:pPr>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2869F1" w:rsidRPr="001765E9">
        <w:rPr>
          <w:rFonts w:ascii="Source Sans Pro" w:eastAsia="Times New Roman" w:hAnsi="Source Sans Pro" w:cs="Times New Roman"/>
          <w:kern w:val="0"/>
          <w:sz w:val="20"/>
          <w:szCs w:val="20"/>
          <w:lang w:eastAsia="en-GB" w:bidi="he-IL"/>
          <w14:ligatures w14:val="none"/>
        </w:rPr>
        <w:t>Henken, ‘The Saint as Secular Ruler: Aspects of Welsh Hagiography’</w:t>
      </w:r>
      <w:r w:rsidR="002869F1">
        <w:rPr>
          <w:rFonts w:ascii="Source Sans Pro" w:eastAsia="Times New Roman" w:hAnsi="Source Sans Pro" w:cs="Times New Roman"/>
          <w:kern w:val="0"/>
          <w:sz w:val="20"/>
          <w:szCs w:val="20"/>
          <w:lang w:eastAsia="en-GB" w:bidi="he-IL"/>
          <w14:ligatures w14:val="none"/>
        </w:rPr>
        <w:t xml:space="preserve">, p. </w:t>
      </w:r>
      <w:r w:rsidR="002869F1">
        <w:rPr>
          <w:rFonts w:ascii="Source Sans Pro" w:eastAsia="Times New Roman" w:hAnsi="Source Sans Pro" w:cs="Times New Roman"/>
          <w:kern w:val="0"/>
          <w:sz w:val="20"/>
          <w:szCs w:val="20"/>
          <w:lang w:eastAsia="en-GB" w:bidi="he-IL"/>
          <w14:ligatures w14:val="none"/>
        </w:rPr>
        <w:t>226.</w:t>
      </w:r>
    </w:p>
  </w:footnote>
  <w:footnote w:id="80">
    <w:p w14:paraId="0678A1DD" w14:textId="5F4F94F5" w:rsidR="007D0BD2" w:rsidRPr="00411E56" w:rsidRDefault="007D0BD2" w:rsidP="00411E5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411E56">
        <w:rPr>
          <w:rFonts w:ascii="Source Sans Pro" w:eastAsia="Times New Roman" w:hAnsi="Source Sans Pro" w:cs="Times New Roman"/>
          <w:kern w:val="0"/>
          <w:sz w:val="20"/>
          <w:szCs w:val="20"/>
          <w:lang w:eastAsia="en-GB" w:bidi="he-IL"/>
          <w14:ligatures w14:val="none"/>
        </w:rPr>
        <w:t xml:space="preserve">Ibid., </w:t>
      </w:r>
      <w:r w:rsidR="00411E56">
        <w:rPr>
          <w:rFonts w:ascii="Source Sans Pro" w:eastAsia="Times New Roman" w:hAnsi="Source Sans Pro" w:cs="Times New Roman"/>
          <w:kern w:val="0"/>
          <w:sz w:val="20"/>
          <w:szCs w:val="20"/>
          <w:lang w:eastAsia="en-GB" w:bidi="he-IL"/>
          <w14:ligatures w14:val="none"/>
        </w:rPr>
        <w:t>p. 227.</w:t>
      </w:r>
    </w:p>
  </w:footnote>
  <w:footnote w:id="81">
    <w:p w14:paraId="714A05E9" w14:textId="4DBF51EA" w:rsidR="00731FEB" w:rsidRPr="002A7DC2" w:rsidRDefault="00731FEB" w:rsidP="002A7DC2">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2A7DC2" w:rsidRPr="001765E9">
        <w:rPr>
          <w:rFonts w:ascii="Source Sans Pro" w:eastAsia="Times New Roman" w:hAnsi="Source Sans Pro" w:cs="Times New Roman"/>
          <w:kern w:val="0"/>
          <w:sz w:val="20"/>
          <w:szCs w:val="20"/>
          <w:lang w:eastAsia="en-GB" w:bidi="he-IL"/>
          <w14:ligatures w14:val="none"/>
        </w:rPr>
        <w:t>Henken, ‘The Saint as Secular Ruler: Aspects of Welsh Hagiography’</w:t>
      </w:r>
      <w:r w:rsidR="002A7DC2">
        <w:rPr>
          <w:rFonts w:ascii="Source Sans Pro" w:eastAsia="Times New Roman" w:hAnsi="Source Sans Pro" w:cs="Times New Roman"/>
          <w:kern w:val="0"/>
          <w:sz w:val="20"/>
          <w:szCs w:val="20"/>
          <w:lang w:eastAsia="en-GB" w:bidi="he-IL"/>
          <w14:ligatures w14:val="none"/>
        </w:rPr>
        <w:t xml:space="preserve">, p. </w:t>
      </w:r>
      <w:r w:rsidR="002A7DC2">
        <w:rPr>
          <w:rFonts w:ascii="Source Sans Pro" w:eastAsia="Times New Roman" w:hAnsi="Source Sans Pro" w:cs="Times New Roman"/>
          <w:kern w:val="0"/>
          <w:sz w:val="20"/>
          <w:szCs w:val="20"/>
          <w:lang w:eastAsia="en-GB" w:bidi="he-IL"/>
          <w14:ligatures w14:val="none"/>
        </w:rPr>
        <w:t>228.</w:t>
      </w:r>
    </w:p>
  </w:footnote>
  <w:footnote w:id="82">
    <w:p w14:paraId="2B356858" w14:textId="67BA11AD" w:rsidR="00DE676D" w:rsidRPr="00C76EB9" w:rsidRDefault="00DE676D" w:rsidP="00C76EB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C76EB9">
        <w:rPr>
          <w:rFonts w:ascii="Source Sans Pro" w:eastAsia="Times New Roman" w:hAnsi="Source Sans Pro" w:cs="Times New Roman"/>
          <w:kern w:val="0"/>
          <w:sz w:val="20"/>
          <w:szCs w:val="20"/>
          <w:lang w:eastAsia="en-GB" w:bidi="he-IL"/>
          <w14:ligatures w14:val="none"/>
        </w:rPr>
        <w:t xml:space="preserve">Ibid., </w:t>
      </w:r>
      <w:r w:rsidR="00C76EB9">
        <w:rPr>
          <w:rFonts w:ascii="Source Sans Pro" w:eastAsia="Times New Roman" w:hAnsi="Source Sans Pro" w:cs="Times New Roman"/>
          <w:kern w:val="0"/>
          <w:sz w:val="20"/>
          <w:szCs w:val="20"/>
          <w:lang w:eastAsia="en-GB" w:bidi="he-IL"/>
          <w14:ligatures w14:val="none"/>
        </w:rPr>
        <w:t>p. 228.</w:t>
      </w:r>
    </w:p>
  </w:footnote>
  <w:footnote w:id="83">
    <w:p w14:paraId="3C0FD857" w14:textId="46D6FC43" w:rsidR="00DE676D" w:rsidRDefault="00DE676D">
      <w:pPr>
        <w:pStyle w:val="FootnoteText"/>
      </w:pPr>
      <w:r>
        <w:rPr>
          <w:rStyle w:val="FootnoteReference"/>
        </w:rPr>
        <w:footnoteRef/>
      </w:r>
      <w:r>
        <w:t xml:space="preserve"> </w:t>
      </w:r>
      <w:r w:rsidR="00C76EB9">
        <w:rPr>
          <w:rFonts w:ascii="Source Sans Pro" w:eastAsia="Times New Roman" w:hAnsi="Source Sans Pro" w:cs="Times New Roman"/>
          <w:kern w:val="0"/>
          <w:lang w:eastAsia="en-GB" w:bidi="he-IL"/>
          <w14:ligatures w14:val="none"/>
        </w:rPr>
        <w:t>Ibid., p. 22</w:t>
      </w:r>
      <w:r w:rsidR="00C76EB9">
        <w:rPr>
          <w:rFonts w:ascii="Source Sans Pro" w:eastAsia="Times New Roman" w:hAnsi="Source Sans Pro" w:cs="Times New Roman"/>
          <w:kern w:val="0"/>
          <w:lang w:eastAsia="en-GB" w:bidi="he-IL"/>
          <w14:ligatures w14:val="none"/>
        </w:rPr>
        <w:t>9.</w:t>
      </w:r>
    </w:p>
  </w:footnote>
  <w:footnote w:id="84">
    <w:p w14:paraId="60384267" w14:textId="04243EDF" w:rsidR="00A73A0F" w:rsidRDefault="00A73A0F">
      <w:pPr>
        <w:pStyle w:val="FootnoteText"/>
      </w:pPr>
      <w:r>
        <w:rPr>
          <w:rStyle w:val="FootnoteReference"/>
        </w:rPr>
        <w:footnoteRef/>
      </w:r>
      <w:r>
        <w:t xml:space="preserve"> </w:t>
      </w:r>
      <w:r w:rsidR="00C76EB9">
        <w:rPr>
          <w:rFonts w:ascii="Source Sans Pro" w:eastAsia="Times New Roman" w:hAnsi="Source Sans Pro" w:cs="Times New Roman"/>
          <w:kern w:val="0"/>
          <w:lang w:eastAsia="en-GB" w:bidi="he-IL"/>
          <w14:ligatures w14:val="none"/>
        </w:rPr>
        <w:t>Ibid., p. 22</w:t>
      </w:r>
      <w:r w:rsidR="00C76EB9">
        <w:rPr>
          <w:rFonts w:ascii="Source Sans Pro" w:eastAsia="Times New Roman" w:hAnsi="Source Sans Pro" w:cs="Times New Roman"/>
          <w:kern w:val="0"/>
          <w:lang w:eastAsia="en-GB" w:bidi="he-IL"/>
          <w14:ligatures w14:val="none"/>
        </w:rPr>
        <w:t>9.</w:t>
      </w:r>
    </w:p>
  </w:footnote>
  <w:footnote w:id="85">
    <w:p w14:paraId="014FEC46" w14:textId="43137837" w:rsidR="007F23B1" w:rsidRDefault="007F23B1">
      <w:pPr>
        <w:pStyle w:val="FootnoteText"/>
      </w:pPr>
      <w:r>
        <w:rPr>
          <w:rStyle w:val="FootnoteReference"/>
        </w:rPr>
        <w:footnoteRef/>
      </w:r>
      <w:r>
        <w:t xml:space="preserve"> </w:t>
      </w:r>
      <w:r w:rsidR="00C76EB9">
        <w:rPr>
          <w:rFonts w:ascii="Source Sans Pro" w:eastAsia="Times New Roman" w:hAnsi="Source Sans Pro" w:cs="Times New Roman"/>
          <w:kern w:val="0"/>
          <w:lang w:eastAsia="en-GB" w:bidi="he-IL"/>
          <w14:ligatures w14:val="none"/>
        </w:rPr>
        <w:t>Ibid., p. 22</w:t>
      </w:r>
      <w:r w:rsidR="00C76EB9">
        <w:rPr>
          <w:rFonts w:ascii="Source Sans Pro" w:eastAsia="Times New Roman" w:hAnsi="Source Sans Pro" w:cs="Times New Roman"/>
          <w:kern w:val="0"/>
          <w:lang w:eastAsia="en-GB" w:bidi="he-IL"/>
          <w14:ligatures w14:val="none"/>
        </w:rPr>
        <w:t>9.</w:t>
      </w:r>
    </w:p>
  </w:footnote>
  <w:footnote w:id="86">
    <w:p w14:paraId="20F451D1" w14:textId="373922B8" w:rsidR="009B494E" w:rsidRDefault="009B494E">
      <w:pPr>
        <w:pStyle w:val="FootnoteText"/>
      </w:pPr>
      <w:r>
        <w:rPr>
          <w:rStyle w:val="FootnoteReference"/>
        </w:rPr>
        <w:footnoteRef/>
      </w:r>
      <w:r>
        <w:t xml:space="preserve"> </w:t>
      </w:r>
      <w:r w:rsidR="00CA0F5E" w:rsidRPr="001765E9">
        <w:rPr>
          <w:rFonts w:ascii="Source Sans Pro" w:eastAsia="Times New Roman" w:hAnsi="Source Sans Pro" w:cs="Times New Roman"/>
          <w:kern w:val="0"/>
          <w:lang w:eastAsia="en-GB" w:bidi="he-IL"/>
          <w14:ligatures w14:val="none"/>
        </w:rPr>
        <w:t>Pickering, ‘Pennant Melangell, Montgomeryshire’</w:t>
      </w:r>
      <w:r w:rsidR="00CA0F5E">
        <w:rPr>
          <w:rFonts w:ascii="Source Sans Pro" w:eastAsia="Times New Roman" w:hAnsi="Source Sans Pro" w:cs="Times New Roman"/>
          <w:kern w:val="0"/>
          <w:lang w:eastAsia="en-GB" w:bidi="he-IL"/>
          <w14:ligatures w14:val="none"/>
        </w:rPr>
        <w:t>, p.</w:t>
      </w:r>
      <w:r w:rsidR="00CA0F5E">
        <w:rPr>
          <w:rFonts w:ascii="Source Sans Pro" w:eastAsia="Times New Roman" w:hAnsi="Source Sans Pro" w:cs="Times New Roman"/>
          <w:kern w:val="0"/>
          <w:lang w:eastAsia="en-GB" w:bidi="he-IL"/>
          <w14:ligatures w14:val="none"/>
        </w:rPr>
        <w:t xml:space="preserve"> 141.</w:t>
      </w:r>
    </w:p>
  </w:footnote>
  <w:footnote w:id="87">
    <w:p w14:paraId="53192AA7" w14:textId="71AA14EE" w:rsidR="007F5852" w:rsidRPr="00137039" w:rsidRDefault="007F5852" w:rsidP="0013703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137039">
        <w:rPr>
          <w:rFonts w:ascii="Source Sans Pro" w:eastAsia="Times New Roman" w:hAnsi="Source Sans Pro" w:cs="Times New Roman"/>
          <w:kern w:val="0"/>
          <w:sz w:val="20"/>
          <w:szCs w:val="20"/>
          <w:lang w:eastAsia="en-GB" w:bidi="he-IL"/>
          <w14:ligatures w14:val="none"/>
        </w:rPr>
        <w:t xml:space="preserve">Ibid., </w:t>
      </w:r>
      <w:r w:rsidR="00137039">
        <w:rPr>
          <w:rFonts w:ascii="Source Sans Pro" w:eastAsia="Times New Roman" w:hAnsi="Source Sans Pro" w:cs="Times New Roman"/>
          <w:kern w:val="0"/>
          <w:sz w:val="20"/>
          <w:szCs w:val="20"/>
          <w:lang w:eastAsia="en-GB" w:bidi="he-IL"/>
          <w14:ligatures w14:val="none"/>
        </w:rPr>
        <w:t>p. 138.</w:t>
      </w:r>
    </w:p>
  </w:footnote>
  <w:footnote w:id="88">
    <w:p w14:paraId="352EA8E5" w14:textId="7D4B9FBD" w:rsidR="0003356A" w:rsidRDefault="0003356A">
      <w:pPr>
        <w:pStyle w:val="FootnoteText"/>
      </w:pPr>
      <w:r>
        <w:rPr>
          <w:rStyle w:val="FootnoteReference"/>
        </w:rPr>
        <w:footnoteRef/>
      </w:r>
      <w:r>
        <w:t xml:space="preserve"> </w:t>
      </w:r>
      <w:r w:rsidR="00137039">
        <w:rPr>
          <w:rFonts w:ascii="Source Sans Pro" w:eastAsia="Times New Roman" w:hAnsi="Source Sans Pro" w:cs="Times New Roman"/>
          <w:kern w:val="0"/>
          <w:lang w:eastAsia="en-GB" w:bidi="he-IL"/>
          <w14:ligatures w14:val="none"/>
        </w:rPr>
        <w:t>Ibid., p. 138.</w:t>
      </w:r>
    </w:p>
  </w:footnote>
  <w:footnote w:id="89">
    <w:p w14:paraId="7B303DCF" w14:textId="6CB8F169" w:rsidR="007C7C9B" w:rsidRPr="00A64800" w:rsidRDefault="007C7C9B" w:rsidP="00A64800">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64800" w:rsidRPr="001765E9">
        <w:rPr>
          <w:rFonts w:ascii="Source Sans Pro" w:eastAsia="Times New Roman" w:hAnsi="Source Sans Pro" w:cs="Times New Roman"/>
          <w:kern w:val="0"/>
          <w:sz w:val="20"/>
          <w:szCs w:val="20"/>
          <w:lang w:eastAsia="en-GB" w:bidi="he-IL"/>
          <w14:ligatures w14:val="none"/>
        </w:rPr>
        <w:t xml:space="preserve">T. W. Pritchard, </w:t>
      </w:r>
      <w:r w:rsidR="00A64800" w:rsidRPr="001765E9">
        <w:rPr>
          <w:rFonts w:ascii="Source Sans Pro" w:eastAsia="Times New Roman" w:hAnsi="Source Sans Pro" w:cs="Times New Roman"/>
          <w:i/>
          <w:iCs/>
          <w:kern w:val="0"/>
          <w:sz w:val="20"/>
          <w:szCs w:val="20"/>
          <w:lang w:eastAsia="en-GB" w:bidi="he-IL"/>
          <w14:ligatures w14:val="none"/>
        </w:rPr>
        <w:t>St. Winefride, Her Holy Well and the Jesuit Mission, C. 650-1930</w:t>
      </w:r>
      <w:r w:rsidR="00A64800" w:rsidRPr="001765E9">
        <w:rPr>
          <w:rFonts w:ascii="Source Sans Pro" w:eastAsia="Times New Roman" w:hAnsi="Source Sans Pro" w:cs="Times New Roman"/>
          <w:kern w:val="0"/>
          <w:sz w:val="20"/>
          <w:szCs w:val="20"/>
          <w:lang w:eastAsia="en-GB" w:bidi="he-IL"/>
          <w14:ligatures w14:val="none"/>
        </w:rPr>
        <w:t xml:space="preserve"> (Cambridge University Press, 2009)</w:t>
      </w:r>
      <w:r w:rsidR="00A64800">
        <w:rPr>
          <w:rFonts w:ascii="Source Sans Pro" w:eastAsia="Times New Roman" w:hAnsi="Source Sans Pro" w:cs="Times New Roman"/>
          <w:kern w:val="0"/>
          <w:sz w:val="20"/>
          <w:szCs w:val="20"/>
          <w:lang w:eastAsia="en-GB" w:bidi="he-IL"/>
          <w14:ligatures w14:val="none"/>
        </w:rPr>
        <w:t xml:space="preserve">, p. </w:t>
      </w:r>
      <w:r w:rsidR="00A64800">
        <w:rPr>
          <w:rFonts w:ascii="Source Sans Pro" w:eastAsia="Times New Roman" w:hAnsi="Source Sans Pro" w:cs="Times New Roman"/>
          <w:kern w:val="0"/>
          <w:sz w:val="20"/>
          <w:szCs w:val="20"/>
          <w:lang w:eastAsia="en-GB" w:bidi="he-IL"/>
          <w14:ligatures w14:val="none"/>
        </w:rPr>
        <w:t>57.</w:t>
      </w:r>
    </w:p>
  </w:footnote>
  <w:footnote w:id="90">
    <w:p w14:paraId="45D5FD0B" w14:textId="0FC5064F" w:rsidR="007C7C9B" w:rsidRPr="00F14B11" w:rsidRDefault="007C7C9B" w:rsidP="00F14B1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14B11" w:rsidRPr="001765E9">
        <w:rPr>
          <w:rFonts w:ascii="Source Sans Pro" w:eastAsia="Times New Roman" w:hAnsi="Source Sans Pro" w:cs="Times New Roman"/>
          <w:kern w:val="0"/>
          <w:sz w:val="20"/>
          <w:szCs w:val="20"/>
          <w:lang w:eastAsia="en-GB" w:bidi="he-IL"/>
          <w14:ligatures w14:val="none"/>
        </w:rPr>
        <w:t xml:space="preserve">Pritchard, </w:t>
      </w:r>
      <w:r w:rsidR="00F14B11" w:rsidRPr="001765E9">
        <w:rPr>
          <w:rFonts w:ascii="Source Sans Pro" w:eastAsia="Times New Roman" w:hAnsi="Source Sans Pro" w:cs="Times New Roman"/>
          <w:i/>
          <w:iCs/>
          <w:kern w:val="0"/>
          <w:sz w:val="20"/>
          <w:szCs w:val="20"/>
          <w:lang w:eastAsia="en-GB" w:bidi="he-IL"/>
          <w14:ligatures w14:val="none"/>
        </w:rPr>
        <w:t>St. Winefride, Her Holy Well and the Jesuit Mission</w:t>
      </w:r>
      <w:r w:rsidR="00F14B11">
        <w:rPr>
          <w:rFonts w:ascii="Source Sans Pro" w:eastAsia="Times New Roman" w:hAnsi="Source Sans Pro" w:cs="Times New Roman"/>
          <w:i/>
          <w:iCs/>
          <w:kern w:val="0"/>
          <w:sz w:val="20"/>
          <w:szCs w:val="20"/>
          <w:lang w:eastAsia="en-GB" w:bidi="he-IL"/>
          <w14:ligatures w14:val="none"/>
        </w:rPr>
        <w:t xml:space="preserve">, </w:t>
      </w:r>
      <w:r w:rsidR="00F14B11">
        <w:rPr>
          <w:rFonts w:ascii="Source Sans Pro" w:eastAsia="Times New Roman" w:hAnsi="Source Sans Pro" w:cs="Times New Roman"/>
          <w:kern w:val="0"/>
          <w:sz w:val="20"/>
          <w:szCs w:val="20"/>
          <w:lang w:eastAsia="en-GB" w:bidi="he-IL"/>
          <w14:ligatures w14:val="none"/>
        </w:rPr>
        <w:t xml:space="preserve">p. </w:t>
      </w:r>
      <w:r w:rsidR="00F14B11">
        <w:rPr>
          <w:rFonts w:ascii="Source Sans Pro" w:eastAsia="Times New Roman" w:hAnsi="Source Sans Pro" w:cs="Times New Roman"/>
          <w:kern w:val="0"/>
          <w:sz w:val="20"/>
          <w:szCs w:val="20"/>
          <w:lang w:eastAsia="en-GB" w:bidi="he-IL"/>
          <w14:ligatures w14:val="none"/>
        </w:rPr>
        <w:t>58.</w:t>
      </w:r>
    </w:p>
  </w:footnote>
  <w:footnote w:id="91">
    <w:p w14:paraId="7DB92FDB" w14:textId="3C3883B9" w:rsidR="00BD1CFB" w:rsidRPr="00F14B11" w:rsidRDefault="00BD1CFB" w:rsidP="00F14B1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14B11" w:rsidRPr="001765E9">
        <w:rPr>
          <w:rFonts w:ascii="Source Sans Pro" w:eastAsia="Times New Roman" w:hAnsi="Source Sans Pro" w:cs="Times New Roman"/>
          <w:kern w:val="0"/>
          <w:sz w:val="20"/>
          <w:szCs w:val="20"/>
          <w:lang w:eastAsia="en-GB" w:bidi="he-IL"/>
          <w14:ligatures w14:val="none"/>
        </w:rPr>
        <w:t xml:space="preserve">Pritchard, </w:t>
      </w:r>
      <w:r w:rsidR="00F14B11" w:rsidRPr="001765E9">
        <w:rPr>
          <w:rFonts w:ascii="Source Sans Pro" w:eastAsia="Times New Roman" w:hAnsi="Source Sans Pro" w:cs="Times New Roman"/>
          <w:i/>
          <w:iCs/>
          <w:kern w:val="0"/>
          <w:sz w:val="20"/>
          <w:szCs w:val="20"/>
          <w:lang w:eastAsia="en-GB" w:bidi="he-IL"/>
          <w14:ligatures w14:val="none"/>
        </w:rPr>
        <w:t>St. Winefride, Her Holy Well and the Jesuit Mission</w:t>
      </w:r>
      <w:r w:rsidR="00F14B11">
        <w:rPr>
          <w:rFonts w:ascii="Source Sans Pro" w:eastAsia="Times New Roman" w:hAnsi="Source Sans Pro" w:cs="Times New Roman"/>
          <w:i/>
          <w:iCs/>
          <w:kern w:val="0"/>
          <w:sz w:val="20"/>
          <w:szCs w:val="20"/>
          <w:lang w:eastAsia="en-GB" w:bidi="he-IL"/>
          <w14:ligatures w14:val="none"/>
        </w:rPr>
        <w:t xml:space="preserve">, </w:t>
      </w:r>
      <w:r w:rsidR="00F14B11">
        <w:rPr>
          <w:rFonts w:ascii="Source Sans Pro" w:eastAsia="Times New Roman" w:hAnsi="Source Sans Pro" w:cs="Times New Roman"/>
          <w:kern w:val="0"/>
          <w:sz w:val="20"/>
          <w:szCs w:val="20"/>
          <w:lang w:eastAsia="en-GB" w:bidi="he-IL"/>
          <w14:ligatures w14:val="none"/>
        </w:rPr>
        <w:t xml:space="preserve">p. </w:t>
      </w:r>
      <w:r w:rsidR="00F14B11">
        <w:rPr>
          <w:rFonts w:ascii="Source Sans Pro" w:eastAsia="Times New Roman" w:hAnsi="Source Sans Pro" w:cs="Times New Roman"/>
          <w:kern w:val="0"/>
          <w:sz w:val="20"/>
          <w:szCs w:val="20"/>
          <w:lang w:eastAsia="en-GB" w:bidi="he-IL"/>
          <w14:ligatures w14:val="none"/>
        </w:rPr>
        <w:t>45.</w:t>
      </w:r>
    </w:p>
  </w:footnote>
  <w:footnote w:id="92">
    <w:p w14:paraId="7728FE51" w14:textId="44FFF075" w:rsidR="00B200CF" w:rsidRPr="00FF02FD" w:rsidRDefault="00B200CF" w:rsidP="00FF02FD">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FF02FD" w:rsidRPr="001765E9">
        <w:rPr>
          <w:rFonts w:ascii="Source Sans Pro" w:eastAsia="Times New Roman" w:hAnsi="Source Sans Pro" w:cs="Times New Roman"/>
          <w:kern w:val="0"/>
          <w:sz w:val="20"/>
          <w:szCs w:val="20"/>
          <w:lang w:eastAsia="en-GB" w:bidi="he-IL"/>
          <w14:ligatures w14:val="none"/>
        </w:rPr>
        <w:t xml:space="preserve">Pritchard, </w:t>
      </w:r>
      <w:r w:rsidR="00FF02FD" w:rsidRPr="001765E9">
        <w:rPr>
          <w:rFonts w:ascii="Source Sans Pro" w:eastAsia="Times New Roman" w:hAnsi="Source Sans Pro" w:cs="Times New Roman"/>
          <w:i/>
          <w:iCs/>
          <w:kern w:val="0"/>
          <w:sz w:val="20"/>
          <w:szCs w:val="20"/>
          <w:lang w:eastAsia="en-GB" w:bidi="he-IL"/>
          <w14:ligatures w14:val="none"/>
        </w:rPr>
        <w:t>St. Winefride, Her Holy Well and the Jesuit Mission</w:t>
      </w:r>
      <w:r w:rsidR="00FF02FD">
        <w:rPr>
          <w:rFonts w:ascii="Source Sans Pro" w:eastAsia="Times New Roman" w:hAnsi="Source Sans Pro" w:cs="Times New Roman"/>
          <w:i/>
          <w:iCs/>
          <w:kern w:val="0"/>
          <w:sz w:val="20"/>
          <w:szCs w:val="20"/>
          <w:lang w:eastAsia="en-GB" w:bidi="he-IL"/>
          <w14:ligatures w14:val="none"/>
        </w:rPr>
        <w:t xml:space="preserve">, </w:t>
      </w:r>
      <w:r w:rsidR="00FF02FD">
        <w:rPr>
          <w:rFonts w:ascii="Source Sans Pro" w:eastAsia="Times New Roman" w:hAnsi="Source Sans Pro" w:cs="Times New Roman"/>
          <w:kern w:val="0"/>
          <w:sz w:val="20"/>
          <w:szCs w:val="20"/>
          <w:lang w:eastAsia="en-GB" w:bidi="he-IL"/>
          <w14:ligatures w14:val="none"/>
        </w:rPr>
        <w:t xml:space="preserve">p. </w:t>
      </w:r>
      <w:r w:rsidR="00FF02FD">
        <w:rPr>
          <w:rFonts w:ascii="Source Sans Pro" w:eastAsia="Times New Roman" w:hAnsi="Source Sans Pro" w:cs="Times New Roman"/>
          <w:kern w:val="0"/>
          <w:sz w:val="20"/>
          <w:szCs w:val="20"/>
          <w:lang w:eastAsia="en-GB" w:bidi="he-IL"/>
          <w14:ligatures w14:val="none"/>
        </w:rPr>
        <w:t>59.</w:t>
      </w:r>
    </w:p>
  </w:footnote>
  <w:footnote w:id="93">
    <w:p w14:paraId="58298680" w14:textId="402D56BB" w:rsidR="00DF086C" w:rsidRPr="007B6A0E" w:rsidRDefault="00DF086C" w:rsidP="007B6A0E">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7B6A0E">
        <w:rPr>
          <w:rFonts w:ascii="Source Sans Pro" w:eastAsia="Times New Roman" w:hAnsi="Source Sans Pro" w:cs="Times New Roman"/>
          <w:kern w:val="0"/>
          <w:sz w:val="20"/>
          <w:szCs w:val="20"/>
          <w:lang w:eastAsia="en-GB" w:bidi="he-IL"/>
          <w14:ligatures w14:val="none"/>
        </w:rPr>
        <w:t xml:space="preserve">Ibid., </w:t>
      </w:r>
      <w:r w:rsidR="007B6A0E">
        <w:rPr>
          <w:rFonts w:ascii="Source Sans Pro" w:eastAsia="Times New Roman" w:hAnsi="Source Sans Pro" w:cs="Times New Roman"/>
          <w:kern w:val="0"/>
          <w:sz w:val="20"/>
          <w:szCs w:val="20"/>
          <w:lang w:eastAsia="en-GB" w:bidi="he-IL"/>
          <w14:ligatures w14:val="none"/>
        </w:rPr>
        <w:t>p. 62.</w:t>
      </w:r>
    </w:p>
  </w:footnote>
  <w:footnote w:id="94">
    <w:p w14:paraId="1125DA27" w14:textId="67824B3A" w:rsidR="005E4F04" w:rsidRDefault="005E4F04">
      <w:pPr>
        <w:pStyle w:val="FootnoteText"/>
      </w:pPr>
      <w:r>
        <w:rPr>
          <w:rStyle w:val="FootnoteReference"/>
        </w:rPr>
        <w:footnoteRef/>
      </w:r>
      <w:r>
        <w:t xml:space="preserve"> </w:t>
      </w:r>
      <w:r w:rsidR="007B6A0E">
        <w:rPr>
          <w:rFonts w:ascii="Source Sans Pro" w:eastAsia="Times New Roman" w:hAnsi="Source Sans Pro" w:cs="Times New Roman"/>
          <w:kern w:val="0"/>
          <w:lang w:eastAsia="en-GB" w:bidi="he-IL"/>
          <w14:ligatures w14:val="none"/>
        </w:rPr>
        <w:t xml:space="preserve">Ibid., p. </w:t>
      </w:r>
      <w:r w:rsidR="007B6A0E">
        <w:rPr>
          <w:rFonts w:ascii="Source Sans Pro" w:eastAsia="Times New Roman" w:hAnsi="Source Sans Pro" w:cs="Times New Roman"/>
          <w:kern w:val="0"/>
          <w:lang w:eastAsia="en-GB" w:bidi="he-IL"/>
          <w14:ligatures w14:val="none"/>
        </w:rPr>
        <w:t>72.</w:t>
      </w:r>
    </w:p>
  </w:footnote>
  <w:footnote w:id="95">
    <w:p w14:paraId="47BB05FC" w14:textId="11206584" w:rsidR="005E4F04" w:rsidRDefault="005E4F04">
      <w:pPr>
        <w:pStyle w:val="FootnoteText"/>
      </w:pPr>
      <w:r>
        <w:rPr>
          <w:rStyle w:val="FootnoteReference"/>
        </w:rPr>
        <w:footnoteRef/>
      </w:r>
      <w:r>
        <w:t xml:space="preserve"> </w:t>
      </w:r>
      <w:r w:rsidR="007B6A0E">
        <w:rPr>
          <w:rFonts w:ascii="Source Sans Pro" w:eastAsia="Times New Roman" w:hAnsi="Source Sans Pro" w:cs="Times New Roman"/>
          <w:kern w:val="0"/>
          <w:lang w:eastAsia="en-GB" w:bidi="he-IL"/>
          <w14:ligatures w14:val="none"/>
        </w:rPr>
        <w:t xml:space="preserve">Ibid., p. </w:t>
      </w:r>
      <w:r w:rsidR="007B6A0E">
        <w:rPr>
          <w:rFonts w:ascii="Source Sans Pro" w:eastAsia="Times New Roman" w:hAnsi="Source Sans Pro" w:cs="Times New Roman"/>
          <w:kern w:val="0"/>
          <w:lang w:eastAsia="en-GB" w:bidi="he-IL"/>
          <w14:ligatures w14:val="none"/>
        </w:rPr>
        <w:t>73.</w:t>
      </w:r>
    </w:p>
  </w:footnote>
  <w:footnote w:id="96">
    <w:p w14:paraId="2A7D0CDA" w14:textId="485AB235" w:rsidR="005E4F04" w:rsidRDefault="005E4F04">
      <w:pPr>
        <w:pStyle w:val="FootnoteText"/>
      </w:pPr>
      <w:r>
        <w:rPr>
          <w:rStyle w:val="FootnoteReference"/>
        </w:rPr>
        <w:footnoteRef/>
      </w:r>
      <w:r>
        <w:t xml:space="preserve"> </w:t>
      </w:r>
      <w:r w:rsidR="007B6A0E">
        <w:rPr>
          <w:rFonts w:ascii="Source Sans Pro" w:eastAsia="Times New Roman" w:hAnsi="Source Sans Pro" w:cs="Times New Roman"/>
          <w:kern w:val="0"/>
          <w:lang w:eastAsia="en-GB" w:bidi="he-IL"/>
          <w14:ligatures w14:val="none"/>
        </w:rPr>
        <w:t xml:space="preserve">Ibid., p. </w:t>
      </w:r>
      <w:r w:rsidR="007B6A0E">
        <w:rPr>
          <w:rFonts w:ascii="Source Sans Pro" w:eastAsia="Times New Roman" w:hAnsi="Source Sans Pro" w:cs="Times New Roman"/>
          <w:kern w:val="0"/>
          <w:lang w:eastAsia="en-GB" w:bidi="he-IL"/>
          <w14:ligatures w14:val="none"/>
        </w:rPr>
        <w:t>77.</w:t>
      </w:r>
    </w:p>
  </w:footnote>
  <w:footnote w:id="97">
    <w:p w14:paraId="2ECA4A1C" w14:textId="24FC7B92" w:rsidR="008225FC" w:rsidRPr="004F5A65" w:rsidRDefault="008225FC" w:rsidP="004F5A65">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4F5A65" w:rsidRPr="00CD74E8">
        <w:rPr>
          <w:rFonts w:ascii="Source Sans Pro" w:eastAsia="Times New Roman" w:hAnsi="Source Sans Pro" w:cs="Times New Roman"/>
          <w:kern w:val="0"/>
          <w:sz w:val="20"/>
          <w:szCs w:val="20"/>
          <w:lang w:eastAsia="en-GB" w:bidi="he-IL"/>
          <w14:ligatures w14:val="none"/>
        </w:rPr>
        <w:t>James Gregory, ‘A Welsh Saint in England: Translation, Orality, and National Identity in the Cult of St. Gwenfrewy, 1138-1512’ (unpublished PHD thesis, 2012), p</w:t>
      </w:r>
      <w:r w:rsidR="004F5A65">
        <w:rPr>
          <w:rFonts w:ascii="Source Sans Pro" w:eastAsia="Times New Roman" w:hAnsi="Source Sans Pro" w:cs="Times New Roman"/>
          <w:kern w:val="0"/>
          <w:sz w:val="20"/>
          <w:szCs w:val="20"/>
          <w:lang w:eastAsia="en-GB" w:bidi="he-IL"/>
          <w14:ligatures w14:val="none"/>
        </w:rPr>
        <w:t xml:space="preserve">. </w:t>
      </w:r>
      <w:r w:rsidR="004F5A65">
        <w:rPr>
          <w:rFonts w:ascii="Source Sans Pro" w:eastAsia="Times New Roman" w:hAnsi="Source Sans Pro" w:cs="Times New Roman"/>
          <w:kern w:val="0"/>
          <w:sz w:val="20"/>
          <w:szCs w:val="20"/>
          <w:lang w:eastAsia="en-GB" w:bidi="he-IL"/>
          <w14:ligatures w14:val="none"/>
        </w:rPr>
        <w:t>4.</w:t>
      </w:r>
    </w:p>
  </w:footnote>
  <w:footnote w:id="98">
    <w:p w14:paraId="5766645F" w14:textId="10FD31F6" w:rsidR="00976C2B" w:rsidRPr="0049039B" w:rsidRDefault="00976C2B" w:rsidP="005227A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5227A1">
        <w:rPr>
          <w:rFonts w:ascii="Source Sans Pro" w:eastAsia="Times New Roman" w:hAnsi="Source Sans Pro" w:cs="Times New Roman"/>
          <w:kern w:val="0"/>
          <w:sz w:val="20"/>
          <w:szCs w:val="20"/>
          <w:lang w:eastAsia="en-GB" w:bidi="he-IL"/>
          <w14:ligatures w14:val="none"/>
        </w:rPr>
        <w:t xml:space="preserve">Ibid., </w:t>
      </w:r>
      <w:r w:rsidR="0049039B">
        <w:rPr>
          <w:rFonts w:ascii="Source Sans Pro" w:eastAsia="Times New Roman" w:hAnsi="Source Sans Pro" w:cs="Times New Roman"/>
          <w:kern w:val="0"/>
          <w:sz w:val="20"/>
          <w:szCs w:val="20"/>
          <w:lang w:eastAsia="en-GB" w:bidi="he-IL"/>
          <w14:ligatures w14:val="none"/>
        </w:rPr>
        <w:t>p.</w:t>
      </w:r>
      <w:r w:rsidR="0049039B">
        <w:rPr>
          <w:rFonts w:ascii="Source Sans Pro" w:eastAsia="Times New Roman" w:hAnsi="Source Sans Pro" w:cs="Times New Roman"/>
          <w:kern w:val="0"/>
          <w:sz w:val="20"/>
          <w:szCs w:val="20"/>
          <w:lang w:eastAsia="en-GB" w:bidi="he-IL"/>
          <w14:ligatures w14:val="none"/>
        </w:rPr>
        <w:t xml:space="preserve"> 6.</w:t>
      </w:r>
    </w:p>
  </w:footnote>
  <w:footnote w:id="99">
    <w:p w14:paraId="08F58FFE" w14:textId="58BC270A" w:rsidR="00E84DBF" w:rsidRDefault="00E84DBF">
      <w:pPr>
        <w:pStyle w:val="FootnoteText"/>
      </w:pPr>
      <w:r>
        <w:rPr>
          <w:rStyle w:val="FootnoteReference"/>
        </w:rPr>
        <w:footnoteRef/>
      </w:r>
      <w:r>
        <w:t xml:space="preserve"> </w:t>
      </w:r>
      <w:r w:rsidR="005227A1">
        <w:rPr>
          <w:rFonts w:ascii="Source Sans Pro" w:eastAsia="Times New Roman" w:hAnsi="Source Sans Pro" w:cs="Times New Roman"/>
          <w:kern w:val="0"/>
          <w:lang w:eastAsia="en-GB" w:bidi="he-IL"/>
          <w14:ligatures w14:val="none"/>
        </w:rPr>
        <w:t>Ibid., p. 6</w:t>
      </w:r>
      <w:r w:rsidR="005227A1">
        <w:rPr>
          <w:rFonts w:ascii="Source Sans Pro" w:eastAsia="Times New Roman" w:hAnsi="Source Sans Pro" w:cs="Times New Roman"/>
          <w:kern w:val="0"/>
          <w:lang w:eastAsia="en-GB" w:bidi="he-IL"/>
          <w14:ligatures w14:val="none"/>
        </w:rPr>
        <w:t>3.</w:t>
      </w:r>
    </w:p>
  </w:footnote>
  <w:footnote w:id="100">
    <w:p w14:paraId="56462558" w14:textId="50ED8205" w:rsidR="00843090" w:rsidRPr="00DA5D89" w:rsidRDefault="00843090" w:rsidP="00DA5D89">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DA5D89" w:rsidRPr="008F1D6C">
        <w:rPr>
          <w:rFonts w:ascii="Source Sans Pro" w:eastAsia="Times New Roman" w:hAnsi="Source Sans Pro" w:cs="Times New Roman"/>
          <w:kern w:val="0"/>
          <w:sz w:val="20"/>
          <w:szCs w:val="20"/>
          <w:lang w:eastAsia="en-GB" w:bidi="he-IL"/>
          <w14:ligatures w14:val="none"/>
        </w:rPr>
        <w:t xml:space="preserve">Hamaker, </w:t>
      </w:r>
      <w:r w:rsidR="00DA5D89" w:rsidRPr="008F1D6C">
        <w:rPr>
          <w:rFonts w:ascii="Source Sans Pro" w:eastAsia="Times New Roman" w:hAnsi="Source Sans Pro" w:cs="Times New Roman"/>
          <w:i/>
          <w:iCs/>
          <w:kern w:val="0"/>
          <w:sz w:val="20"/>
          <w:szCs w:val="20"/>
          <w:lang w:eastAsia="en-GB" w:bidi="he-IL"/>
          <w14:ligatures w14:val="none"/>
        </w:rPr>
        <w:t>Two Mediaeval Lives of Saint Winefride</w:t>
      </w:r>
      <w:r w:rsidR="00DA5D89">
        <w:rPr>
          <w:rFonts w:ascii="Source Sans Pro" w:eastAsia="Times New Roman" w:hAnsi="Source Sans Pro" w:cs="Times New Roman"/>
          <w:i/>
          <w:iCs/>
          <w:kern w:val="0"/>
          <w:sz w:val="20"/>
          <w:szCs w:val="20"/>
          <w:lang w:eastAsia="en-GB" w:bidi="he-IL"/>
          <w14:ligatures w14:val="none"/>
        </w:rPr>
        <w:t xml:space="preserve">, </w:t>
      </w:r>
      <w:r w:rsidR="00DA5D89">
        <w:rPr>
          <w:rFonts w:ascii="Source Sans Pro" w:eastAsia="Times New Roman" w:hAnsi="Source Sans Pro" w:cs="Times New Roman"/>
          <w:kern w:val="0"/>
          <w:sz w:val="20"/>
          <w:szCs w:val="20"/>
          <w:lang w:eastAsia="en-GB" w:bidi="he-IL"/>
          <w14:ligatures w14:val="none"/>
        </w:rPr>
        <w:t xml:space="preserve">p. </w:t>
      </w:r>
      <w:r w:rsidR="00DA5D89">
        <w:rPr>
          <w:rFonts w:ascii="Source Sans Pro" w:eastAsia="Times New Roman" w:hAnsi="Source Sans Pro" w:cs="Times New Roman"/>
          <w:kern w:val="0"/>
          <w:sz w:val="20"/>
          <w:szCs w:val="20"/>
          <w:lang w:eastAsia="en-GB" w:bidi="he-IL"/>
          <w14:ligatures w14:val="none"/>
        </w:rPr>
        <w:t>86.</w:t>
      </w:r>
    </w:p>
  </w:footnote>
  <w:footnote w:id="101">
    <w:p w14:paraId="329D473D" w14:textId="510505F8" w:rsidR="00843090" w:rsidRPr="00E10CE1" w:rsidRDefault="00843090" w:rsidP="00E10CE1">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rsidR="00E10CE1">
        <w:t xml:space="preserve"> </w:t>
      </w:r>
      <w:r w:rsidR="00E10CE1">
        <w:rPr>
          <w:rFonts w:ascii="Source Sans Pro" w:eastAsia="Times New Roman" w:hAnsi="Source Sans Pro" w:cs="Times New Roman"/>
          <w:kern w:val="0"/>
          <w:sz w:val="20"/>
          <w:szCs w:val="20"/>
          <w:lang w:eastAsia="en-GB" w:bidi="he-IL"/>
          <w14:ligatures w14:val="none"/>
        </w:rPr>
        <w:t xml:space="preserve">Ibid., </w:t>
      </w:r>
      <w:r w:rsidR="00E10CE1">
        <w:rPr>
          <w:rFonts w:ascii="Source Sans Pro" w:eastAsia="Times New Roman" w:hAnsi="Source Sans Pro" w:cs="Times New Roman"/>
          <w:kern w:val="0"/>
          <w:sz w:val="20"/>
          <w:szCs w:val="20"/>
          <w:lang w:eastAsia="en-GB" w:bidi="he-IL"/>
          <w14:ligatures w14:val="none"/>
        </w:rPr>
        <w:t>p. 82</w:t>
      </w:r>
      <w:r>
        <w:t xml:space="preserve">. </w:t>
      </w:r>
    </w:p>
  </w:footnote>
  <w:footnote w:id="102">
    <w:p w14:paraId="420D9482" w14:textId="23602BA5" w:rsidR="00BA5907" w:rsidRPr="00A34B4E" w:rsidRDefault="00BA5907" w:rsidP="00A34B4E">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34B4E" w:rsidRPr="00CD74E8">
        <w:rPr>
          <w:rFonts w:ascii="Source Sans Pro" w:eastAsia="Times New Roman" w:hAnsi="Source Sans Pro" w:cs="Times New Roman"/>
          <w:kern w:val="0"/>
          <w:sz w:val="20"/>
          <w:szCs w:val="20"/>
          <w:lang w:eastAsia="en-GB" w:bidi="he-IL"/>
          <w14:ligatures w14:val="none"/>
        </w:rPr>
        <w:t>Gregory, ‘A Welsh Saint in England: Translation, Orality, and National Identity in the Cult of St. Gwenfrewy, 1138-1512’</w:t>
      </w:r>
      <w:r w:rsidR="00A34B4E">
        <w:rPr>
          <w:rFonts w:ascii="Source Sans Pro" w:eastAsia="Times New Roman" w:hAnsi="Source Sans Pro" w:cs="Times New Roman"/>
          <w:kern w:val="0"/>
          <w:sz w:val="20"/>
          <w:szCs w:val="20"/>
          <w:lang w:eastAsia="en-GB" w:bidi="he-IL"/>
          <w14:ligatures w14:val="none"/>
        </w:rPr>
        <w:t xml:space="preserve">, p. </w:t>
      </w:r>
      <w:r w:rsidR="00A34B4E">
        <w:rPr>
          <w:rFonts w:ascii="Source Sans Pro" w:eastAsia="Times New Roman" w:hAnsi="Source Sans Pro" w:cs="Times New Roman"/>
          <w:kern w:val="0"/>
          <w:sz w:val="20"/>
          <w:szCs w:val="20"/>
          <w:lang w:eastAsia="en-GB" w:bidi="he-IL"/>
          <w14:ligatures w14:val="none"/>
        </w:rPr>
        <w:t>72.</w:t>
      </w:r>
    </w:p>
  </w:footnote>
  <w:footnote w:id="103">
    <w:p w14:paraId="3BEF385D" w14:textId="364164F2" w:rsidR="00F17D59" w:rsidRDefault="00F17D59">
      <w:pPr>
        <w:pStyle w:val="FootnoteText"/>
      </w:pPr>
      <w:r>
        <w:rPr>
          <w:rStyle w:val="FootnoteReference"/>
        </w:rPr>
        <w:footnoteRef/>
      </w:r>
      <w:r>
        <w:t xml:space="preserve"> </w:t>
      </w:r>
      <w:r w:rsidR="00236AD1" w:rsidRPr="0038536C">
        <w:rPr>
          <w:rFonts w:ascii="Source Sans Pro" w:eastAsia="Times New Roman" w:hAnsi="Source Sans Pro" w:cs="Times New Roman"/>
          <w:kern w:val="0"/>
          <w:lang w:eastAsia="en-GB" w:bidi="he-IL"/>
          <w14:ligatures w14:val="none"/>
        </w:rPr>
        <w:t>Huws, ‘The Earliest Bangor Missal’</w:t>
      </w:r>
      <w:r w:rsidR="00236AD1">
        <w:rPr>
          <w:rFonts w:ascii="Source Sans Pro" w:eastAsia="Times New Roman" w:hAnsi="Source Sans Pro" w:cs="Times New Roman"/>
          <w:kern w:val="0"/>
          <w:lang w:eastAsia="en-GB" w:bidi="he-IL"/>
          <w14:ligatures w14:val="none"/>
        </w:rPr>
        <w:t>, p.</w:t>
      </w:r>
      <w:r w:rsidR="00236AD1">
        <w:rPr>
          <w:rFonts w:ascii="Source Sans Pro" w:eastAsia="Times New Roman" w:hAnsi="Source Sans Pro" w:cs="Times New Roman"/>
          <w:kern w:val="0"/>
          <w:lang w:eastAsia="en-GB" w:bidi="he-IL"/>
          <w14:ligatures w14:val="none"/>
        </w:rPr>
        <w:t xml:space="preserve"> 122.</w:t>
      </w:r>
    </w:p>
  </w:footnote>
  <w:footnote w:id="104">
    <w:p w14:paraId="7A94E647" w14:textId="0A80008C" w:rsidR="007B1784" w:rsidRPr="00383576" w:rsidRDefault="007B1784" w:rsidP="00383576">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383576">
        <w:rPr>
          <w:rFonts w:ascii="Source Sans Pro" w:eastAsia="Times New Roman" w:hAnsi="Source Sans Pro" w:cs="Times New Roman"/>
          <w:kern w:val="0"/>
          <w:sz w:val="20"/>
          <w:szCs w:val="20"/>
          <w:lang w:eastAsia="en-GB" w:bidi="he-IL"/>
          <w14:ligatures w14:val="none"/>
        </w:rPr>
        <w:t xml:space="preserve">Ibid., </w:t>
      </w:r>
      <w:r w:rsidR="00383576">
        <w:rPr>
          <w:rFonts w:ascii="Source Sans Pro" w:eastAsia="Times New Roman" w:hAnsi="Source Sans Pro" w:cs="Times New Roman"/>
          <w:kern w:val="0"/>
          <w:sz w:val="20"/>
          <w:szCs w:val="20"/>
          <w:lang w:eastAsia="en-GB" w:bidi="he-IL"/>
          <w14:ligatures w14:val="none"/>
        </w:rPr>
        <w:t>p. 122.</w:t>
      </w:r>
    </w:p>
  </w:footnote>
  <w:footnote w:id="105">
    <w:p w14:paraId="53690024" w14:textId="41FDDDE4" w:rsidR="00F86046" w:rsidRPr="00EB48DF" w:rsidRDefault="00F86046" w:rsidP="00EB48DF">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EB48DF" w:rsidRPr="001765E9">
        <w:rPr>
          <w:rFonts w:ascii="Source Sans Pro" w:eastAsia="Times New Roman" w:hAnsi="Source Sans Pro" w:cs="Times New Roman"/>
          <w:kern w:val="0"/>
          <w:sz w:val="20"/>
          <w:szCs w:val="20"/>
          <w:lang w:eastAsia="en-GB" w:bidi="he-IL"/>
          <w14:ligatures w14:val="none"/>
        </w:rPr>
        <w:t xml:space="preserve">Digital Humanities at Swansea University, ‘English Translation: 48 - </w:t>
      </w:r>
      <w:proofErr w:type="spellStart"/>
      <w:r w:rsidR="00EB48DF" w:rsidRPr="001765E9">
        <w:rPr>
          <w:rFonts w:ascii="Source Sans Pro" w:eastAsia="Times New Roman" w:hAnsi="Source Sans Pro" w:cs="Times New Roman"/>
          <w:kern w:val="0"/>
          <w:sz w:val="20"/>
          <w:szCs w:val="20"/>
          <w:lang w:eastAsia="en-GB" w:bidi="he-IL"/>
          <w14:ligatures w14:val="none"/>
        </w:rPr>
        <w:t>Galw</w:t>
      </w:r>
      <w:proofErr w:type="spellEnd"/>
      <w:r w:rsidR="00EB48DF" w:rsidRPr="001765E9">
        <w:rPr>
          <w:rFonts w:ascii="Source Sans Pro" w:eastAsia="Times New Roman" w:hAnsi="Source Sans Pro" w:cs="Times New Roman"/>
          <w:kern w:val="0"/>
          <w:sz w:val="20"/>
          <w:szCs w:val="20"/>
          <w:lang w:eastAsia="en-GB" w:bidi="he-IL"/>
          <w14:ligatures w14:val="none"/>
        </w:rPr>
        <w:t xml:space="preserve"> </w:t>
      </w:r>
      <w:proofErr w:type="spellStart"/>
      <w:r w:rsidR="00EB48DF" w:rsidRPr="001765E9">
        <w:rPr>
          <w:rFonts w:ascii="Source Sans Pro" w:eastAsia="Times New Roman" w:hAnsi="Source Sans Pro" w:cs="Times New Roman"/>
          <w:kern w:val="0"/>
          <w:sz w:val="20"/>
          <w:szCs w:val="20"/>
          <w:lang w:eastAsia="en-GB" w:bidi="he-IL"/>
          <w14:ligatures w14:val="none"/>
        </w:rPr>
        <w:t>Ar</w:t>
      </w:r>
      <w:proofErr w:type="spellEnd"/>
      <w:r w:rsidR="00EB48DF" w:rsidRPr="001765E9">
        <w:rPr>
          <w:rFonts w:ascii="Source Sans Pro" w:eastAsia="Times New Roman" w:hAnsi="Source Sans Pro" w:cs="Times New Roman"/>
          <w:kern w:val="0"/>
          <w:sz w:val="20"/>
          <w:szCs w:val="20"/>
          <w:lang w:eastAsia="en-GB" w:bidi="he-IL"/>
          <w14:ligatures w14:val="none"/>
        </w:rPr>
        <w:t xml:space="preserve"> </w:t>
      </w:r>
      <w:proofErr w:type="spellStart"/>
      <w:r w:rsidR="00EB48DF" w:rsidRPr="001765E9">
        <w:rPr>
          <w:rFonts w:ascii="Source Sans Pro" w:eastAsia="Times New Roman" w:hAnsi="Source Sans Pro" w:cs="Times New Roman"/>
          <w:kern w:val="0"/>
          <w:sz w:val="20"/>
          <w:szCs w:val="20"/>
          <w:lang w:eastAsia="en-GB" w:bidi="he-IL"/>
          <w14:ligatures w14:val="none"/>
        </w:rPr>
        <w:t>Ddwynwen</w:t>
      </w:r>
      <w:proofErr w:type="spellEnd"/>
      <w:r w:rsidR="00EB48DF" w:rsidRPr="001765E9">
        <w:rPr>
          <w:rFonts w:ascii="Source Sans Pro" w:eastAsia="Times New Roman" w:hAnsi="Source Sans Pro" w:cs="Times New Roman"/>
          <w:kern w:val="0"/>
          <w:sz w:val="20"/>
          <w:szCs w:val="20"/>
          <w:lang w:eastAsia="en-GB" w:bidi="he-IL"/>
          <w14:ligatures w14:val="none"/>
        </w:rPr>
        <w:t xml:space="preserve">’, </w:t>
      </w:r>
      <w:r w:rsidR="00EB48DF" w:rsidRPr="001765E9">
        <w:rPr>
          <w:rFonts w:ascii="Source Sans Pro" w:eastAsia="Times New Roman" w:hAnsi="Source Sans Pro" w:cs="Times New Roman"/>
          <w:i/>
          <w:iCs/>
          <w:kern w:val="0"/>
          <w:sz w:val="20"/>
          <w:szCs w:val="20"/>
          <w:lang w:eastAsia="en-GB" w:bidi="he-IL"/>
          <w14:ligatures w14:val="none"/>
        </w:rPr>
        <w:t>Dafyddapgwilym.net</w:t>
      </w:r>
      <w:r w:rsidR="00EB48DF" w:rsidRPr="001765E9">
        <w:rPr>
          <w:rFonts w:ascii="Source Sans Pro" w:eastAsia="Times New Roman" w:hAnsi="Source Sans Pro" w:cs="Times New Roman"/>
          <w:kern w:val="0"/>
          <w:sz w:val="20"/>
          <w:szCs w:val="20"/>
          <w:lang w:eastAsia="en-GB" w:bidi="he-IL"/>
          <w14:ligatures w14:val="none"/>
        </w:rPr>
        <w:t xml:space="preserve"> &lt;</w:t>
      </w:r>
      <w:hyperlink r:id="rId2" w:history="1">
        <w:r w:rsidR="00EB48DF" w:rsidRPr="001765E9">
          <w:rPr>
            <w:rFonts w:ascii="Source Sans Pro" w:eastAsia="Times New Roman" w:hAnsi="Source Sans Pro" w:cs="Times New Roman"/>
            <w:color w:val="0000FF"/>
            <w:kern w:val="0"/>
            <w:sz w:val="20"/>
            <w:szCs w:val="20"/>
            <w:u w:val="single"/>
            <w:lang w:eastAsia="en-GB" w:bidi="he-IL"/>
            <w14:ligatures w14:val="none"/>
          </w:rPr>
          <w:t>https://dafyddapgwilym.net/AnaServer?dafydd+99060+compareSimpleEng.anv+edEl=98786&amp;localEl=99060&amp;titleEl=98774</w:t>
        </w:r>
      </w:hyperlink>
      <w:r w:rsidR="00EB48DF" w:rsidRPr="001765E9">
        <w:rPr>
          <w:rFonts w:ascii="Source Sans Pro" w:eastAsia="Times New Roman" w:hAnsi="Source Sans Pro" w:cs="Times New Roman"/>
          <w:kern w:val="0"/>
          <w:sz w:val="20"/>
          <w:szCs w:val="20"/>
          <w:lang w:eastAsia="en-GB" w:bidi="he-IL"/>
          <w14:ligatures w14:val="none"/>
        </w:rPr>
        <w:t>&gt; [accessed 19 March 2025].</w:t>
      </w:r>
    </w:p>
  </w:footnote>
  <w:footnote w:id="106">
    <w:p w14:paraId="7F387125" w14:textId="57F13C0D" w:rsidR="007B1784" w:rsidRPr="00A333A7" w:rsidRDefault="007B1784" w:rsidP="00A333A7">
      <w:pPr>
        <w:spacing w:after="0" w:line="240" w:lineRule="auto"/>
        <w:rPr>
          <w:rFonts w:ascii="Source Sans Pro" w:eastAsia="Times New Roman" w:hAnsi="Source Sans Pro" w:cs="Times New Roman"/>
          <w:kern w:val="0"/>
          <w:sz w:val="20"/>
          <w:szCs w:val="20"/>
          <w:lang w:eastAsia="en-GB" w:bidi="he-IL"/>
          <w14:ligatures w14:val="none"/>
        </w:rPr>
      </w:pPr>
      <w:r>
        <w:rPr>
          <w:rStyle w:val="FootnoteReference"/>
        </w:rPr>
        <w:footnoteRef/>
      </w:r>
      <w:r>
        <w:t xml:space="preserve"> </w:t>
      </w:r>
      <w:r w:rsidR="00A333A7" w:rsidRPr="0038536C">
        <w:rPr>
          <w:rFonts w:ascii="Source Sans Pro" w:eastAsia="Times New Roman" w:hAnsi="Source Sans Pro" w:cs="Times New Roman"/>
          <w:kern w:val="0"/>
          <w:sz w:val="20"/>
          <w:szCs w:val="20"/>
          <w:lang w:eastAsia="en-GB" w:bidi="he-IL"/>
          <w14:ligatures w14:val="none"/>
        </w:rPr>
        <w:t>Huws, ‘The Earliest Bangor Missal’</w:t>
      </w:r>
      <w:r w:rsidR="00A333A7">
        <w:rPr>
          <w:rFonts w:ascii="Source Sans Pro" w:eastAsia="Times New Roman" w:hAnsi="Source Sans Pro" w:cs="Times New Roman"/>
          <w:kern w:val="0"/>
          <w:sz w:val="20"/>
          <w:szCs w:val="20"/>
          <w:lang w:eastAsia="en-GB" w:bidi="he-IL"/>
          <w14:ligatures w14:val="none"/>
        </w:rPr>
        <w:t xml:space="preserve">, p. </w:t>
      </w:r>
      <w:r w:rsidR="00A333A7">
        <w:rPr>
          <w:rFonts w:ascii="Source Sans Pro" w:eastAsia="Times New Roman" w:hAnsi="Source Sans Pro" w:cs="Times New Roman"/>
          <w:kern w:val="0"/>
          <w:sz w:val="20"/>
          <w:szCs w:val="20"/>
          <w:lang w:eastAsia="en-GB" w:bidi="he-IL"/>
          <w14:ligatures w14:val="none"/>
        </w:rPr>
        <w:t>122.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U0MDU1N7U0NjA0MzVT0lEKTi0uzszPAykwrQUAY2kC1CwAAAA="/>
  </w:docVars>
  <w:rsids>
    <w:rsidRoot w:val="00F46FD0"/>
    <w:rsid w:val="0000451F"/>
    <w:rsid w:val="00006753"/>
    <w:rsid w:val="00012FFF"/>
    <w:rsid w:val="00023685"/>
    <w:rsid w:val="000265E4"/>
    <w:rsid w:val="0003356A"/>
    <w:rsid w:val="00041D62"/>
    <w:rsid w:val="0004556B"/>
    <w:rsid w:val="000533B7"/>
    <w:rsid w:val="000807DF"/>
    <w:rsid w:val="000836EA"/>
    <w:rsid w:val="000851AC"/>
    <w:rsid w:val="000948C4"/>
    <w:rsid w:val="000A0F4B"/>
    <w:rsid w:val="000B69E5"/>
    <w:rsid w:val="000C7810"/>
    <w:rsid w:val="000C7EBE"/>
    <w:rsid w:val="000F2439"/>
    <w:rsid w:val="000F2BBE"/>
    <w:rsid w:val="000F2E3F"/>
    <w:rsid w:val="0010673E"/>
    <w:rsid w:val="00106EAA"/>
    <w:rsid w:val="00113904"/>
    <w:rsid w:val="0011609F"/>
    <w:rsid w:val="00124C70"/>
    <w:rsid w:val="00132FB5"/>
    <w:rsid w:val="00137039"/>
    <w:rsid w:val="00144FC4"/>
    <w:rsid w:val="0014677B"/>
    <w:rsid w:val="0014682A"/>
    <w:rsid w:val="001515BA"/>
    <w:rsid w:val="001642BA"/>
    <w:rsid w:val="00173E9A"/>
    <w:rsid w:val="00176B9E"/>
    <w:rsid w:val="00182342"/>
    <w:rsid w:val="00195EFA"/>
    <w:rsid w:val="00197CE3"/>
    <w:rsid w:val="001A428C"/>
    <w:rsid w:val="001A44A2"/>
    <w:rsid w:val="001A745A"/>
    <w:rsid w:val="001A78C1"/>
    <w:rsid w:val="001B203A"/>
    <w:rsid w:val="001B2420"/>
    <w:rsid w:val="001B5E0E"/>
    <w:rsid w:val="001C296E"/>
    <w:rsid w:val="001C470F"/>
    <w:rsid w:val="001C6338"/>
    <w:rsid w:val="001D3A4C"/>
    <w:rsid w:val="001D6488"/>
    <w:rsid w:val="001E3392"/>
    <w:rsid w:val="001E4590"/>
    <w:rsid w:val="001E54D7"/>
    <w:rsid w:val="00202A52"/>
    <w:rsid w:val="00205618"/>
    <w:rsid w:val="00212047"/>
    <w:rsid w:val="00213C09"/>
    <w:rsid w:val="00215E58"/>
    <w:rsid w:val="00222B00"/>
    <w:rsid w:val="00236AD1"/>
    <w:rsid w:val="00264526"/>
    <w:rsid w:val="00265760"/>
    <w:rsid w:val="00271C04"/>
    <w:rsid w:val="00273398"/>
    <w:rsid w:val="0027355D"/>
    <w:rsid w:val="00273BA8"/>
    <w:rsid w:val="00280838"/>
    <w:rsid w:val="00281498"/>
    <w:rsid w:val="002869F1"/>
    <w:rsid w:val="00287A5C"/>
    <w:rsid w:val="00291F89"/>
    <w:rsid w:val="0029551F"/>
    <w:rsid w:val="002964C7"/>
    <w:rsid w:val="00296B4B"/>
    <w:rsid w:val="002A76F9"/>
    <w:rsid w:val="002A7D7C"/>
    <w:rsid w:val="002A7DC2"/>
    <w:rsid w:val="002C4558"/>
    <w:rsid w:val="002C516E"/>
    <w:rsid w:val="002C7120"/>
    <w:rsid w:val="002C74CB"/>
    <w:rsid w:val="002D0F2A"/>
    <w:rsid w:val="002E1333"/>
    <w:rsid w:val="002E5966"/>
    <w:rsid w:val="002F4806"/>
    <w:rsid w:val="002F750C"/>
    <w:rsid w:val="00300A9F"/>
    <w:rsid w:val="00301377"/>
    <w:rsid w:val="00305857"/>
    <w:rsid w:val="00320CDF"/>
    <w:rsid w:val="00330843"/>
    <w:rsid w:val="00331492"/>
    <w:rsid w:val="00341E48"/>
    <w:rsid w:val="003436F1"/>
    <w:rsid w:val="003448E6"/>
    <w:rsid w:val="0034704E"/>
    <w:rsid w:val="003521CD"/>
    <w:rsid w:val="00355BAC"/>
    <w:rsid w:val="00362036"/>
    <w:rsid w:val="00367938"/>
    <w:rsid w:val="00382ADD"/>
    <w:rsid w:val="00383576"/>
    <w:rsid w:val="003858C3"/>
    <w:rsid w:val="00393A8D"/>
    <w:rsid w:val="003A7302"/>
    <w:rsid w:val="003A782B"/>
    <w:rsid w:val="003A7BF2"/>
    <w:rsid w:val="003D2646"/>
    <w:rsid w:val="003D6CBF"/>
    <w:rsid w:val="003D7FF1"/>
    <w:rsid w:val="003F4A18"/>
    <w:rsid w:val="00400241"/>
    <w:rsid w:val="00401C53"/>
    <w:rsid w:val="004063FC"/>
    <w:rsid w:val="0041063F"/>
    <w:rsid w:val="00410BEF"/>
    <w:rsid w:val="00411E56"/>
    <w:rsid w:val="0042297B"/>
    <w:rsid w:val="004263F1"/>
    <w:rsid w:val="00427973"/>
    <w:rsid w:val="00435059"/>
    <w:rsid w:val="004360E0"/>
    <w:rsid w:val="00442A9C"/>
    <w:rsid w:val="00450E39"/>
    <w:rsid w:val="004564DF"/>
    <w:rsid w:val="004601F4"/>
    <w:rsid w:val="00477D36"/>
    <w:rsid w:val="0049039B"/>
    <w:rsid w:val="004A088E"/>
    <w:rsid w:val="004A12CD"/>
    <w:rsid w:val="004A245C"/>
    <w:rsid w:val="004A6A1B"/>
    <w:rsid w:val="004A7B33"/>
    <w:rsid w:val="004C01EE"/>
    <w:rsid w:val="004C5020"/>
    <w:rsid w:val="004D7ADA"/>
    <w:rsid w:val="004E57F4"/>
    <w:rsid w:val="004E71E5"/>
    <w:rsid w:val="004F5A65"/>
    <w:rsid w:val="004F614A"/>
    <w:rsid w:val="00501F3A"/>
    <w:rsid w:val="00510354"/>
    <w:rsid w:val="00511EFA"/>
    <w:rsid w:val="00513716"/>
    <w:rsid w:val="005227A1"/>
    <w:rsid w:val="0052570C"/>
    <w:rsid w:val="00531687"/>
    <w:rsid w:val="00543B53"/>
    <w:rsid w:val="00556E7B"/>
    <w:rsid w:val="0056016B"/>
    <w:rsid w:val="005660FA"/>
    <w:rsid w:val="00567433"/>
    <w:rsid w:val="00567CF0"/>
    <w:rsid w:val="0057327C"/>
    <w:rsid w:val="00574377"/>
    <w:rsid w:val="00574461"/>
    <w:rsid w:val="005754B1"/>
    <w:rsid w:val="00584076"/>
    <w:rsid w:val="005955F1"/>
    <w:rsid w:val="00596013"/>
    <w:rsid w:val="005A6EB5"/>
    <w:rsid w:val="005B75B1"/>
    <w:rsid w:val="005B7B41"/>
    <w:rsid w:val="005C2F99"/>
    <w:rsid w:val="005C785C"/>
    <w:rsid w:val="005D1408"/>
    <w:rsid w:val="005D228C"/>
    <w:rsid w:val="005D2AE6"/>
    <w:rsid w:val="005D3256"/>
    <w:rsid w:val="005D6AAD"/>
    <w:rsid w:val="005D7578"/>
    <w:rsid w:val="005E2451"/>
    <w:rsid w:val="005E4F04"/>
    <w:rsid w:val="005F314C"/>
    <w:rsid w:val="005F5D73"/>
    <w:rsid w:val="00604A3B"/>
    <w:rsid w:val="00610C88"/>
    <w:rsid w:val="006171C4"/>
    <w:rsid w:val="00620600"/>
    <w:rsid w:val="00632420"/>
    <w:rsid w:val="00655137"/>
    <w:rsid w:val="00665FDB"/>
    <w:rsid w:val="006674E3"/>
    <w:rsid w:val="00682A00"/>
    <w:rsid w:val="006842C4"/>
    <w:rsid w:val="00684FFC"/>
    <w:rsid w:val="00685FCF"/>
    <w:rsid w:val="006906F1"/>
    <w:rsid w:val="0069586F"/>
    <w:rsid w:val="00696F98"/>
    <w:rsid w:val="006A0258"/>
    <w:rsid w:val="006A1818"/>
    <w:rsid w:val="006A3740"/>
    <w:rsid w:val="006A42A7"/>
    <w:rsid w:val="006C3C25"/>
    <w:rsid w:val="006C5599"/>
    <w:rsid w:val="006C62D1"/>
    <w:rsid w:val="006D4143"/>
    <w:rsid w:val="006E2C1E"/>
    <w:rsid w:val="007075FA"/>
    <w:rsid w:val="00707DB1"/>
    <w:rsid w:val="00723B0C"/>
    <w:rsid w:val="0073085F"/>
    <w:rsid w:val="00730ED3"/>
    <w:rsid w:val="00731FEB"/>
    <w:rsid w:val="00744FEF"/>
    <w:rsid w:val="00750BE1"/>
    <w:rsid w:val="007615D5"/>
    <w:rsid w:val="007635FB"/>
    <w:rsid w:val="00764D51"/>
    <w:rsid w:val="00765ADC"/>
    <w:rsid w:val="00770371"/>
    <w:rsid w:val="00774269"/>
    <w:rsid w:val="00774FCB"/>
    <w:rsid w:val="007800BA"/>
    <w:rsid w:val="0078593B"/>
    <w:rsid w:val="0078744B"/>
    <w:rsid w:val="007A3FAF"/>
    <w:rsid w:val="007B1784"/>
    <w:rsid w:val="007B3899"/>
    <w:rsid w:val="007B6A0E"/>
    <w:rsid w:val="007C6C09"/>
    <w:rsid w:val="007C7C9B"/>
    <w:rsid w:val="007C7D4D"/>
    <w:rsid w:val="007D0BD2"/>
    <w:rsid w:val="007D62DE"/>
    <w:rsid w:val="007E1633"/>
    <w:rsid w:val="007E68FF"/>
    <w:rsid w:val="007F23B1"/>
    <w:rsid w:val="007F3A2B"/>
    <w:rsid w:val="007F5852"/>
    <w:rsid w:val="007F6FA1"/>
    <w:rsid w:val="00802AFA"/>
    <w:rsid w:val="00802DA2"/>
    <w:rsid w:val="0080440C"/>
    <w:rsid w:val="008225FC"/>
    <w:rsid w:val="00824F9B"/>
    <w:rsid w:val="008314F0"/>
    <w:rsid w:val="00833621"/>
    <w:rsid w:val="00843090"/>
    <w:rsid w:val="008451FA"/>
    <w:rsid w:val="00851728"/>
    <w:rsid w:val="00852060"/>
    <w:rsid w:val="00862F0D"/>
    <w:rsid w:val="008723D5"/>
    <w:rsid w:val="0087347C"/>
    <w:rsid w:val="00881A7A"/>
    <w:rsid w:val="00881FD3"/>
    <w:rsid w:val="00895A0E"/>
    <w:rsid w:val="00895C05"/>
    <w:rsid w:val="008A7674"/>
    <w:rsid w:val="008B04EF"/>
    <w:rsid w:val="008B609B"/>
    <w:rsid w:val="008C0A04"/>
    <w:rsid w:val="008C42C5"/>
    <w:rsid w:val="008C5F03"/>
    <w:rsid w:val="008D2690"/>
    <w:rsid w:val="008D63CF"/>
    <w:rsid w:val="008D7CDF"/>
    <w:rsid w:val="008E07E3"/>
    <w:rsid w:val="008E3CE3"/>
    <w:rsid w:val="008E6A6F"/>
    <w:rsid w:val="008E71F2"/>
    <w:rsid w:val="008F0F1C"/>
    <w:rsid w:val="008F1E13"/>
    <w:rsid w:val="00920313"/>
    <w:rsid w:val="0092193A"/>
    <w:rsid w:val="009275B6"/>
    <w:rsid w:val="00944B8B"/>
    <w:rsid w:val="009454CA"/>
    <w:rsid w:val="009567BA"/>
    <w:rsid w:val="009606E9"/>
    <w:rsid w:val="00976C2B"/>
    <w:rsid w:val="00984164"/>
    <w:rsid w:val="00985C1F"/>
    <w:rsid w:val="0099255D"/>
    <w:rsid w:val="00994185"/>
    <w:rsid w:val="009A2FDC"/>
    <w:rsid w:val="009B494E"/>
    <w:rsid w:val="009C03AD"/>
    <w:rsid w:val="009E4406"/>
    <w:rsid w:val="009E6EAF"/>
    <w:rsid w:val="00A00E2E"/>
    <w:rsid w:val="00A011A2"/>
    <w:rsid w:val="00A025E6"/>
    <w:rsid w:val="00A05829"/>
    <w:rsid w:val="00A242E1"/>
    <w:rsid w:val="00A333A7"/>
    <w:rsid w:val="00A33904"/>
    <w:rsid w:val="00A34B4E"/>
    <w:rsid w:val="00A37131"/>
    <w:rsid w:val="00A43F2F"/>
    <w:rsid w:val="00A47844"/>
    <w:rsid w:val="00A61DB3"/>
    <w:rsid w:val="00A63203"/>
    <w:rsid w:val="00A63717"/>
    <w:rsid w:val="00A64800"/>
    <w:rsid w:val="00A73A0F"/>
    <w:rsid w:val="00A73C3E"/>
    <w:rsid w:val="00A74382"/>
    <w:rsid w:val="00A76DE6"/>
    <w:rsid w:val="00A77379"/>
    <w:rsid w:val="00A81863"/>
    <w:rsid w:val="00A86E48"/>
    <w:rsid w:val="00A87E53"/>
    <w:rsid w:val="00A97586"/>
    <w:rsid w:val="00AA2DC5"/>
    <w:rsid w:val="00AA3B2F"/>
    <w:rsid w:val="00AB5B62"/>
    <w:rsid w:val="00AC30EB"/>
    <w:rsid w:val="00AD324C"/>
    <w:rsid w:val="00AD4D97"/>
    <w:rsid w:val="00AF4A1C"/>
    <w:rsid w:val="00B025CF"/>
    <w:rsid w:val="00B1059B"/>
    <w:rsid w:val="00B1155C"/>
    <w:rsid w:val="00B2001C"/>
    <w:rsid w:val="00B200CF"/>
    <w:rsid w:val="00B24BF5"/>
    <w:rsid w:val="00B3081C"/>
    <w:rsid w:val="00B35EFE"/>
    <w:rsid w:val="00B54AE3"/>
    <w:rsid w:val="00B65806"/>
    <w:rsid w:val="00B66C31"/>
    <w:rsid w:val="00B752EB"/>
    <w:rsid w:val="00B84EC2"/>
    <w:rsid w:val="00BA5907"/>
    <w:rsid w:val="00BA72B6"/>
    <w:rsid w:val="00BC564E"/>
    <w:rsid w:val="00BD1CFB"/>
    <w:rsid w:val="00BD7168"/>
    <w:rsid w:val="00BF33FA"/>
    <w:rsid w:val="00C0610A"/>
    <w:rsid w:val="00C10A27"/>
    <w:rsid w:val="00C10E23"/>
    <w:rsid w:val="00C12117"/>
    <w:rsid w:val="00C12F96"/>
    <w:rsid w:val="00C16B89"/>
    <w:rsid w:val="00C23546"/>
    <w:rsid w:val="00C32B91"/>
    <w:rsid w:val="00C4693C"/>
    <w:rsid w:val="00C63BE2"/>
    <w:rsid w:val="00C64A39"/>
    <w:rsid w:val="00C76EB9"/>
    <w:rsid w:val="00C84AD1"/>
    <w:rsid w:val="00C84DC3"/>
    <w:rsid w:val="00C86232"/>
    <w:rsid w:val="00C93B3B"/>
    <w:rsid w:val="00C975C7"/>
    <w:rsid w:val="00CA096F"/>
    <w:rsid w:val="00CA0F5E"/>
    <w:rsid w:val="00CA2268"/>
    <w:rsid w:val="00CA4012"/>
    <w:rsid w:val="00CB6E00"/>
    <w:rsid w:val="00CC5837"/>
    <w:rsid w:val="00CD0897"/>
    <w:rsid w:val="00CD2229"/>
    <w:rsid w:val="00CD29AE"/>
    <w:rsid w:val="00CE5E97"/>
    <w:rsid w:val="00CE6F9E"/>
    <w:rsid w:val="00CF129A"/>
    <w:rsid w:val="00D16B93"/>
    <w:rsid w:val="00D16D84"/>
    <w:rsid w:val="00D2192E"/>
    <w:rsid w:val="00D22868"/>
    <w:rsid w:val="00D22BAB"/>
    <w:rsid w:val="00D24FC4"/>
    <w:rsid w:val="00D258B6"/>
    <w:rsid w:val="00D26038"/>
    <w:rsid w:val="00D300DA"/>
    <w:rsid w:val="00D307BD"/>
    <w:rsid w:val="00D3119A"/>
    <w:rsid w:val="00D41F50"/>
    <w:rsid w:val="00D537CF"/>
    <w:rsid w:val="00D6119B"/>
    <w:rsid w:val="00DA5D89"/>
    <w:rsid w:val="00DB694C"/>
    <w:rsid w:val="00DC2A9F"/>
    <w:rsid w:val="00DD0CCA"/>
    <w:rsid w:val="00DD6E98"/>
    <w:rsid w:val="00DE1A62"/>
    <w:rsid w:val="00DE245D"/>
    <w:rsid w:val="00DE4D70"/>
    <w:rsid w:val="00DE676D"/>
    <w:rsid w:val="00DF086C"/>
    <w:rsid w:val="00DF53BC"/>
    <w:rsid w:val="00DF67F9"/>
    <w:rsid w:val="00DF70D8"/>
    <w:rsid w:val="00E0091D"/>
    <w:rsid w:val="00E061C8"/>
    <w:rsid w:val="00E06AC3"/>
    <w:rsid w:val="00E0794E"/>
    <w:rsid w:val="00E10CE1"/>
    <w:rsid w:val="00E1636F"/>
    <w:rsid w:val="00E212ED"/>
    <w:rsid w:val="00E32E02"/>
    <w:rsid w:val="00E36DAA"/>
    <w:rsid w:val="00E42788"/>
    <w:rsid w:val="00E44313"/>
    <w:rsid w:val="00E57389"/>
    <w:rsid w:val="00E62094"/>
    <w:rsid w:val="00E72BAF"/>
    <w:rsid w:val="00E734EC"/>
    <w:rsid w:val="00E83E17"/>
    <w:rsid w:val="00E84DBF"/>
    <w:rsid w:val="00E86F6B"/>
    <w:rsid w:val="00E908EE"/>
    <w:rsid w:val="00E93A53"/>
    <w:rsid w:val="00E9408F"/>
    <w:rsid w:val="00EA13CB"/>
    <w:rsid w:val="00EA1757"/>
    <w:rsid w:val="00EA60BD"/>
    <w:rsid w:val="00EB1BD1"/>
    <w:rsid w:val="00EB48DF"/>
    <w:rsid w:val="00EB6490"/>
    <w:rsid w:val="00ED1A36"/>
    <w:rsid w:val="00EE03D2"/>
    <w:rsid w:val="00EE70F3"/>
    <w:rsid w:val="00EF0EDB"/>
    <w:rsid w:val="00EF24C6"/>
    <w:rsid w:val="00EF4BAD"/>
    <w:rsid w:val="00EF6B5A"/>
    <w:rsid w:val="00F01977"/>
    <w:rsid w:val="00F0320E"/>
    <w:rsid w:val="00F06627"/>
    <w:rsid w:val="00F14B11"/>
    <w:rsid w:val="00F15FE4"/>
    <w:rsid w:val="00F16607"/>
    <w:rsid w:val="00F16BA9"/>
    <w:rsid w:val="00F178C4"/>
    <w:rsid w:val="00F17D59"/>
    <w:rsid w:val="00F27D8D"/>
    <w:rsid w:val="00F3077A"/>
    <w:rsid w:val="00F31B43"/>
    <w:rsid w:val="00F322D9"/>
    <w:rsid w:val="00F328F3"/>
    <w:rsid w:val="00F332CB"/>
    <w:rsid w:val="00F345B6"/>
    <w:rsid w:val="00F3641B"/>
    <w:rsid w:val="00F36D3B"/>
    <w:rsid w:val="00F46FD0"/>
    <w:rsid w:val="00F5239F"/>
    <w:rsid w:val="00F5402A"/>
    <w:rsid w:val="00F5580A"/>
    <w:rsid w:val="00F600E9"/>
    <w:rsid w:val="00F6107E"/>
    <w:rsid w:val="00F703CA"/>
    <w:rsid w:val="00F80870"/>
    <w:rsid w:val="00F86046"/>
    <w:rsid w:val="00F87BF3"/>
    <w:rsid w:val="00F908F6"/>
    <w:rsid w:val="00F9180A"/>
    <w:rsid w:val="00F95B47"/>
    <w:rsid w:val="00F96378"/>
    <w:rsid w:val="00FA6407"/>
    <w:rsid w:val="00FB326E"/>
    <w:rsid w:val="00FC2E1F"/>
    <w:rsid w:val="00FD12D6"/>
    <w:rsid w:val="00FE717A"/>
    <w:rsid w:val="00FF02FD"/>
    <w:rsid w:val="00FF1469"/>
    <w:rsid w:val="00FF47D7"/>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53BA97"/>
  <w15:chartTrackingRefBased/>
  <w15:docId w15:val="{F0A1914E-4DA0-49A0-B340-EEF4CB3C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E0E"/>
  </w:style>
  <w:style w:type="paragraph" w:styleId="Heading1">
    <w:name w:val="heading 1"/>
    <w:basedOn w:val="Normal"/>
    <w:next w:val="Normal"/>
    <w:link w:val="Heading1Char"/>
    <w:uiPriority w:val="9"/>
    <w:qFormat/>
    <w:rsid w:val="00F46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F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F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F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F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FD0"/>
    <w:rPr>
      <w:rFonts w:eastAsiaTheme="majorEastAsia" w:cstheme="majorBidi"/>
      <w:color w:val="272727" w:themeColor="text1" w:themeTint="D8"/>
    </w:rPr>
  </w:style>
  <w:style w:type="paragraph" w:styleId="Title">
    <w:name w:val="Title"/>
    <w:basedOn w:val="Normal"/>
    <w:next w:val="Normal"/>
    <w:link w:val="TitleChar"/>
    <w:uiPriority w:val="10"/>
    <w:qFormat/>
    <w:rsid w:val="00F46F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FD0"/>
    <w:pPr>
      <w:spacing w:before="160"/>
      <w:jc w:val="center"/>
    </w:pPr>
    <w:rPr>
      <w:i/>
      <w:iCs/>
      <w:color w:val="404040" w:themeColor="text1" w:themeTint="BF"/>
    </w:rPr>
  </w:style>
  <w:style w:type="character" w:customStyle="1" w:styleId="QuoteChar">
    <w:name w:val="Quote Char"/>
    <w:basedOn w:val="DefaultParagraphFont"/>
    <w:link w:val="Quote"/>
    <w:uiPriority w:val="29"/>
    <w:rsid w:val="00F46FD0"/>
    <w:rPr>
      <w:i/>
      <w:iCs/>
      <w:color w:val="404040" w:themeColor="text1" w:themeTint="BF"/>
    </w:rPr>
  </w:style>
  <w:style w:type="paragraph" w:styleId="ListParagraph">
    <w:name w:val="List Paragraph"/>
    <w:basedOn w:val="Normal"/>
    <w:uiPriority w:val="34"/>
    <w:qFormat/>
    <w:rsid w:val="00F46FD0"/>
    <w:pPr>
      <w:ind w:left="720"/>
      <w:contextualSpacing/>
    </w:pPr>
  </w:style>
  <w:style w:type="character" w:styleId="IntenseEmphasis">
    <w:name w:val="Intense Emphasis"/>
    <w:basedOn w:val="DefaultParagraphFont"/>
    <w:uiPriority w:val="21"/>
    <w:qFormat/>
    <w:rsid w:val="00F46FD0"/>
    <w:rPr>
      <w:i/>
      <w:iCs/>
      <w:color w:val="0F4761" w:themeColor="accent1" w:themeShade="BF"/>
    </w:rPr>
  </w:style>
  <w:style w:type="paragraph" w:styleId="IntenseQuote">
    <w:name w:val="Intense Quote"/>
    <w:basedOn w:val="Normal"/>
    <w:next w:val="Normal"/>
    <w:link w:val="IntenseQuoteChar"/>
    <w:uiPriority w:val="30"/>
    <w:qFormat/>
    <w:rsid w:val="00F46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FD0"/>
    <w:rPr>
      <w:i/>
      <w:iCs/>
      <w:color w:val="0F4761" w:themeColor="accent1" w:themeShade="BF"/>
    </w:rPr>
  </w:style>
  <w:style w:type="character" w:styleId="IntenseReference">
    <w:name w:val="Intense Reference"/>
    <w:basedOn w:val="DefaultParagraphFont"/>
    <w:uiPriority w:val="32"/>
    <w:qFormat/>
    <w:rsid w:val="00F46FD0"/>
    <w:rPr>
      <w:b/>
      <w:bCs/>
      <w:smallCaps/>
      <w:color w:val="0F4761" w:themeColor="accent1" w:themeShade="BF"/>
      <w:spacing w:val="5"/>
    </w:rPr>
  </w:style>
  <w:style w:type="paragraph" w:styleId="FootnoteText">
    <w:name w:val="footnote text"/>
    <w:basedOn w:val="Normal"/>
    <w:link w:val="FootnoteTextChar"/>
    <w:uiPriority w:val="99"/>
    <w:semiHidden/>
    <w:unhideWhenUsed/>
    <w:rsid w:val="00F46F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6FD0"/>
    <w:rPr>
      <w:sz w:val="20"/>
      <w:szCs w:val="20"/>
    </w:rPr>
  </w:style>
  <w:style w:type="character" w:styleId="FootnoteReference">
    <w:name w:val="footnote reference"/>
    <w:basedOn w:val="DefaultParagraphFont"/>
    <w:uiPriority w:val="99"/>
    <w:semiHidden/>
    <w:unhideWhenUsed/>
    <w:rsid w:val="00F46FD0"/>
    <w:rPr>
      <w:vertAlign w:val="superscript"/>
    </w:rPr>
  </w:style>
  <w:style w:type="paragraph" w:styleId="Header">
    <w:name w:val="header"/>
    <w:basedOn w:val="Normal"/>
    <w:link w:val="HeaderChar"/>
    <w:uiPriority w:val="99"/>
    <w:unhideWhenUsed/>
    <w:rsid w:val="007F6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FA1"/>
  </w:style>
  <w:style w:type="paragraph" w:styleId="Footer">
    <w:name w:val="footer"/>
    <w:basedOn w:val="Normal"/>
    <w:link w:val="FooterChar"/>
    <w:uiPriority w:val="99"/>
    <w:unhideWhenUsed/>
    <w:rsid w:val="007F6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FA1"/>
  </w:style>
  <w:style w:type="character" w:styleId="Hyperlink">
    <w:name w:val="Hyperlink"/>
    <w:basedOn w:val="DefaultParagraphFont"/>
    <w:uiPriority w:val="99"/>
    <w:semiHidden/>
    <w:unhideWhenUsed/>
    <w:rsid w:val="00F86046"/>
    <w:rPr>
      <w:color w:val="0000FF"/>
      <w:u w:val="single"/>
    </w:rPr>
  </w:style>
  <w:style w:type="paragraph" w:styleId="NormalWeb">
    <w:name w:val="Normal (Web)"/>
    <w:basedOn w:val="Normal"/>
    <w:uiPriority w:val="99"/>
    <w:semiHidden/>
    <w:unhideWhenUsed/>
    <w:rsid w:val="002964C7"/>
    <w:pPr>
      <w:spacing w:before="100" w:beforeAutospacing="1" w:after="100" w:afterAutospacing="1" w:line="240" w:lineRule="auto"/>
    </w:pPr>
    <w:rPr>
      <w:rFonts w:ascii="Times New Roman" w:eastAsia="Times New Roman" w:hAnsi="Times New Roman" w:cs="Times New Roman"/>
      <w:kern w:val="0"/>
      <w:sz w:val="24"/>
      <w:szCs w:val="24"/>
      <w:lang w:eastAsia="en-GB" w:bidi="he-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1804427">
      <w:bodyDiv w:val="1"/>
      <w:marLeft w:val="0"/>
      <w:marRight w:val="0"/>
      <w:marTop w:val="0"/>
      <w:marBottom w:val="0"/>
      <w:divBdr>
        <w:top w:val="none" w:sz="0" w:space="0" w:color="auto"/>
        <w:left w:val="none" w:sz="0" w:space="0" w:color="auto"/>
        <w:bottom w:val="none" w:sz="0" w:space="0" w:color="auto"/>
        <w:right w:val="none" w:sz="0" w:space="0" w:color="auto"/>
      </w:divBdr>
      <w:divsChild>
        <w:div w:id="852955205">
          <w:marLeft w:val="-720"/>
          <w:marRight w:val="0"/>
          <w:marTop w:val="0"/>
          <w:marBottom w:val="0"/>
          <w:divBdr>
            <w:top w:val="none" w:sz="0" w:space="0" w:color="auto"/>
            <w:left w:val="none" w:sz="0" w:space="0" w:color="auto"/>
            <w:bottom w:val="none" w:sz="0" w:space="0" w:color="auto"/>
            <w:right w:val="none" w:sz="0" w:space="0" w:color="auto"/>
          </w:divBdr>
        </w:div>
      </w:divsChild>
    </w:div>
    <w:div w:id="173239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dafyddapgwilym.net/AnaServer?dafydd+99060+compareSimpleEng.anv+edEl=98786&amp;localEl=99060&amp;titleEl=98774" TargetMode="External"/><Relationship Id="rId1" Type="http://schemas.openxmlformats.org/officeDocument/2006/relationships/hyperlink" Target="https://www.bbc.co.uk/blogs/waleshistory/2011/03/iolo_morganwg_scholar_antiquarian_forg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13</Pages>
  <Words>5672</Words>
  <Characters>29597</Characters>
  <Application>Microsoft Office Word</Application>
  <DocSecurity>0</DocSecurity>
  <Lines>246</Lines>
  <Paragraphs>70</Paragraphs>
  <ScaleCrop>false</ScaleCrop>
  <Company/>
  <LinksUpToDate>false</LinksUpToDate>
  <CharactersWithSpaces>35199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448</cp:revision>
  <dcterms:created xsi:type="dcterms:W3CDTF">2025-03-08T11:06:00Z</dcterms:created>
  <dcterms:modified xsi:type="dcterms:W3CDTF">2025-03-27T12:24:00Z</dcterms:modified>
</cp:coreProperties>
</file>