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160" w:line="360"/>
        <w:ind w:right="0" w:left="0" w:firstLine="0"/>
        <w:jc w:val="both"/>
        <w:rPr>
          <w:rFonts w:ascii="Arial" w:hAnsi="Arial" w:cs="Arial" w:eastAsia="Arial"/>
          <w:b/>
          <w:color w:val="auto"/>
          <w:spacing w:val="0"/>
          <w:position w:val="0"/>
          <w:sz w:val="32"/>
          <w:shd w:fill="auto" w:val="clear"/>
        </w:rPr>
      </w:pP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auto" w:fill="b4c6e7"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name: Tanjil Islam</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Number: 2026022</w:t>
            </w:r>
          </w:p>
          <w:p>
            <w:pPr>
              <w:spacing w:before="0" w:after="0" w:line="360"/>
              <w:ind w:right="0" w:left="0" w:firstLine="0"/>
              <w:jc w:val="both"/>
              <w:rPr>
                <w:color w:val="auto"/>
                <w:spacing w:val="0"/>
                <w:position w:val="0"/>
              </w:rPr>
            </w:pPr>
          </w:p>
        </w:tc>
        <w:tc>
          <w:tcPr>
            <w:tcW w:w="4675" w:type="dxa"/>
            <w:tcBorders>
              <w:top w:val="single" w:color="000000" w:sz="4"/>
              <w:left w:val="single" w:color="000000" w:sz="4"/>
              <w:bottom w:val="single" w:color="000000" w:sz="4"/>
              <w:right w:val="single" w:color="000000" w:sz="4"/>
            </w:tcBorders>
            <w:shd w:color="auto" w:fill="b4c6e7"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Module: Food &amp; Beverage Operation. BMIH4002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rPr>
            </w:pPr>
            <w:r>
              <w:rPr>
                <w:rFonts w:ascii="Arial" w:hAnsi="Arial" w:cs="Arial" w:eastAsia="Arial"/>
                <w:color w:val="auto"/>
                <w:spacing w:val="0"/>
                <w:position w:val="0"/>
                <w:sz w:val="24"/>
                <w:shd w:fill="auto" w:val="clear"/>
              </w:rPr>
              <w:t xml:space="preserve">Lecturer: Mary Needham </w:t>
            </w:r>
          </w:p>
        </w:tc>
      </w:tr>
    </w:tbl>
    <w:p>
      <w:pPr>
        <w:spacing w:before="120" w:after="160" w:line="360"/>
        <w:ind w:right="0" w:left="0" w:firstLine="0"/>
        <w:jc w:val="both"/>
        <w:rPr>
          <w:rFonts w:ascii="Arial" w:hAnsi="Arial" w:cs="Arial" w:eastAsia="Arial"/>
          <w:color w:val="auto"/>
          <w:spacing w:val="0"/>
          <w:position w:val="0"/>
          <w:sz w:val="24"/>
          <w:shd w:fill="auto" w:val="clear"/>
        </w:rPr>
      </w:pP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auto" w:fill="f4b083"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Topic of Choice: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Allergies and intolerances, Ratings, Inspections and Reporting Procedures </w:t>
            </w:r>
          </w:p>
          <w:p>
            <w:pPr>
              <w:spacing w:before="0" w:after="0" w:line="360"/>
              <w:ind w:right="0" w:left="0" w:firstLine="0"/>
              <w:jc w:val="both"/>
              <w:rPr>
                <w:color w:val="auto"/>
                <w:spacing w:val="0"/>
                <w:position w:val="0"/>
              </w:rPr>
            </w:pPr>
          </w:p>
        </w:tc>
        <w:tc>
          <w:tcPr>
            <w:tcW w:w="4675" w:type="dxa"/>
            <w:tcBorders>
              <w:top w:val="single" w:color="000000" w:sz="4"/>
              <w:left w:val="single" w:color="000000" w:sz="4"/>
              <w:bottom w:val="single" w:color="000000" w:sz="4"/>
              <w:right w:val="single" w:color="000000" w:sz="4"/>
            </w:tcBorders>
            <w:shd w:color="auto" w:fill="f4b083" w:val="clear"/>
            <w:tcMar>
              <w:left w:w="108" w:type="dxa"/>
              <w:right w:w="108" w:type="dxa"/>
            </w:tcMar>
            <w:vAlign w:val="top"/>
          </w:tcPr>
          <w:p>
            <w:pPr>
              <w:spacing w:before="0" w:after="0" w:line="360"/>
              <w:ind w:right="0" w:left="0" w:firstLine="0"/>
              <w:jc w:val="both"/>
              <w:rPr>
                <w:color w:val="auto"/>
                <w:spacing w:val="0"/>
                <w:position w:val="0"/>
              </w:rPr>
            </w:pPr>
            <w:r>
              <w:rPr>
                <w:rFonts w:ascii="Arial" w:hAnsi="Arial" w:cs="Arial" w:eastAsia="Arial"/>
                <w:color w:val="auto"/>
                <w:spacing w:val="0"/>
                <w:position w:val="0"/>
                <w:sz w:val="24"/>
                <w:shd w:fill="auto" w:val="clear"/>
              </w:rPr>
              <w:t xml:space="preserve">Date Completed: 06.02.2022</w:t>
            </w:r>
          </w:p>
        </w:tc>
      </w:tr>
      <w:tr>
        <w:trPr>
          <w:trHeight w:val="1" w:hRule="atLeast"/>
          <w:jc w:val="left"/>
        </w:trPr>
        <w:tc>
          <w:tcPr>
            <w:tcW w:w="935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hospitality industry is one of the growing industries in the world and it has a great significance in the development of tourism. But the hotels around the world are not monitored and standardised by any formal authority yet. Though consumers can see that different websites and hotel chains claim and promote a rating system like 3-star, 4-star, 5-star etc. and based on the ratings food menu differ. These ratings are not always standardised. However, AAA (American Automobile Association) has developed a rating system for hotels around the world and most of the American hotel chains like Marriot follows the rating standard to promote their hotels. According to the system, there are five classifications of hotels and these are categorised based on their service level, range and quality (Baum, 2011). The highly-rated hotels are called 5-star hotels which contains almost every amenities and service a tourist can demand. On the other hand, the basic hotels with only clean and safe accommodation services are rated as 1-star or basic hotels. These standards are monitored by the association and hotels tries to meet the standard to keep the rating as their plan (Bhatt, 2016). As a result, they monitor and control their services more closely maintain the standards. For example, a hotel should include a spa, ballroom, shuttle service, 4/5 restaurants, swimming pool, parking etc. to demand their services as a 5-star hotel. if they become unable to meet those the rating may go down. Besides, there are many international organisations like ILO, OSHA which monitor the health and safety issue of the hotels as a workplace. These inspection authority forces the organisation to keep the data of the safety issue or any incident that happened within the hotel or any hospitality organisation. These inspections are important in hotels because they pressurise the management to maintain the standards. These also ensure the safety and other basic rights of employees within an organisation (Griffin, 2020). An organisation that pass the inspection process of the hotel are rated good on different platform and guests can identify the standards of the organisation before availing of the services. In terms of reporting, the hotel authority has to submit a report of progress and profitability to the required authority (Journal of Tourism &amp; Hospitality, 2015). For example, Marriot international have regional headquarters and the hotels under the regional office are bound to send reports to them. Besides, the local or franchiser also ask for the reports. On the other hand, in internal actions, the department heads are responsible to report to the general manager of the organisation. </w:t>
            </w: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 this module, I have learnt that the industry has some established structure to standardise the services. I have also learnt how the hotels and other hospitality organisations are categorised by the rating and what is the impact of this rating in the performance of the hotels. Besides, in this module, I have focused on learning the issues like OSHA and ILO standards which clarifies my knowledge of workplace safety and hygiene. I have witnessed how these international agencies focus inspects the issues in the hotel and how the hotel authority responds to them. When conducting this module, I have learned that rating and inspection regularly help the visitors to trust the service provider and it improves the business of the organisations (SÜER and DEM</w:t>
            </w:r>
            <w:r>
              <w:rPr>
                <w:rFonts w:ascii="Arial" w:hAnsi="Arial" w:cs="Arial" w:eastAsia="Arial"/>
                <w:color w:val="000000"/>
                <w:spacing w:val="0"/>
                <w:position w:val="0"/>
                <w:sz w:val="24"/>
                <w:shd w:fill="auto" w:val="clear"/>
              </w:rPr>
              <w:t xml:space="preserve">İRTAS, 2021). Additionally, I have also acknowledged the reporting structure and procedure of the hospitality industry which interlinks internal and external authorities. This helps the organisations and the responsibility to analyse the business condition, customer satisfaction, standards and other factors. In that case, we worked as a team to understand the following issues and their impact on the organisation and in conclusion, we were able to clarify the links between the organisational performance and rating, inspecting and reporting systematically.  </w:t>
            </w: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However, as our experience was related to the analysis of a branded organisation, we have witnessed that rating, inspection and reporting processes are directly linked with organisational performance and standardisation. But most hospitality organisations around the world are not listed under the rating system and only the local authority inspects the organisational safety, hygiene and ethical issues (Tsao, 2018). That is why most of the time customers get false information and face several issues in their stay. In this regard, the rating and inspection authority needs to focus on all kinds of hospitality organisations to control false promotion and to secure the right of the organisation, employees and the customers.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 list: </w:t>
            </w:r>
          </w:p>
          <w:p>
            <w:pPr>
              <w:numPr>
                <w:ilvl w:val="0"/>
                <w:numId w:val="1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Baum, T., 2011. </w:t>
            </w:r>
            <w:r>
              <w:rPr>
                <w:rFonts w:ascii="Arial" w:hAnsi="Arial" w:cs="Arial" w:eastAsia="Arial"/>
                <w:i/>
                <w:color w:val="auto"/>
                <w:spacing w:val="0"/>
                <w:position w:val="0"/>
                <w:sz w:val="24"/>
                <w:shd w:fill="auto" w:val="clear"/>
              </w:rPr>
              <w:t xml:space="preserve">Hospitality management</w:t>
            </w:r>
            <w:r>
              <w:rPr>
                <w:rFonts w:ascii="Arial" w:hAnsi="Arial" w:cs="Arial" w:eastAsia="Arial"/>
                <w:color w:val="auto"/>
                <w:spacing w:val="0"/>
                <w:position w:val="0"/>
                <w:sz w:val="24"/>
                <w:shd w:fill="auto" w:val="clear"/>
              </w:rPr>
              <w:t xml:space="preserve">. Los Angeles: Sage, pp.145-267.</w:t>
            </w:r>
          </w:p>
          <w:p>
            <w:pPr>
              <w:numPr>
                <w:ilvl w:val="0"/>
                <w:numId w:val="1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Bhatt, H., 2016. </w:t>
            </w:r>
            <w:r>
              <w:rPr>
                <w:rFonts w:ascii="Arial" w:hAnsi="Arial" w:cs="Arial" w:eastAsia="Arial"/>
                <w:i/>
                <w:color w:val="auto"/>
                <w:spacing w:val="0"/>
                <w:position w:val="0"/>
                <w:sz w:val="24"/>
                <w:shd w:fill="auto" w:val="clear"/>
              </w:rPr>
              <w:t xml:space="preserve">Hospitality marketing</w:t>
            </w:r>
            <w:r>
              <w:rPr>
                <w:rFonts w:ascii="Arial" w:hAnsi="Arial" w:cs="Arial" w:eastAsia="Arial"/>
                <w:color w:val="auto"/>
                <w:spacing w:val="0"/>
                <w:position w:val="0"/>
                <w:sz w:val="24"/>
                <w:shd w:fill="auto" w:val="clear"/>
              </w:rPr>
              <w:t xml:space="preserve">. New Delhi: Crescent Pub. Corp., pp.234-344.</w:t>
            </w:r>
          </w:p>
          <w:p>
            <w:pPr>
              <w:numPr>
                <w:ilvl w:val="0"/>
                <w:numId w:val="1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Griffin, W., 2020. Perceptions of Hospitality Industry Professionals and Hospitality Faculty on Industry-Academia Collaborations. </w:t>
            </w:r>
            <w:r>
              <w:rPr>
                <w:rFonts w:ascii="Arial" w:hAnsi="Arial" w:cs="Arial" w:eastAsia="Arial"/>
                <w:i/>
                <w:color w:val="auto"/>
                <w:spacing w:val="0"/>
                <w:position w:val="0"/>
                <w:sz w:val="24"/>
                <w:shd w:fill="auto" w:val="clear"/>
              </w:rPr>
              <w:t xml:space="preserve">Journal of Hospitality &amp; Tourism Education</w:t>
            </w:r>
            <w:r>
              <w:rPr>
                <w:rFonts w:ascii="Arial" w:hAnsi="Arial" w:cs="Arial" w:eastAsia="Arial"/>
                <w:color w:val="auto"/>
                <w:spacing w:val="0"/>
                <w:position w:val="0"/>
                <w:sz w:val="24"/>
                <w:shd w:fill="auto" w:val="clear"/>
              </w:rPr>
              <w:t xml:space="preserve">, pp.1-12.</w:t>
            </w:r>
          </w:p>
          <w:p>
            <w:pPr>
              <w:numPr>
                <w:ilvl w:val="0"/>
                <w:numId w:val="1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Journal of Tourism &amp; Hospitality, 2015. Growing Trends in the Tourism and Hospitality Industry. </w:t>
            </w:r>
            <w:r>
              <w:rPr>
                <w:rFonts w:ascii="Arial" w:hAnsi="Arial" w:cs="Arial" w:eastAsia="Arial"/>
                <w:i/>
                <w:color w:val="auto"/>
                <w:spacing w:val="0"/>
                <w:position w:val="0"/>
                <w:sz w:val="24"/>
                <w:shd w:fill="auto" w:val="clear"/>
              </w:rPr>
              <w:t xml:space="preserve">Journal of Tourism &amp; Hospitality</w:t>
            </w:r>
            <w:r>
              <w:rPr>
                <w:rFonts w:ascii="Arial" w:hAnsi="Arial" w:cs="Arial" w:eastAsia="Arial"/>
                <w:color w:val="auto"/>
                <w:spacing w:val="0"/>
                <w:position w:val="0"/>
                <w:sz w:val="24"/>
                <w:shd w:fill="auto" w:val="clear"/>
              </w:rPr>
              <w:t xml:space="preserve">, 04(03).</w:t>
            </w:r>
          </w:p>
          <w:p>
            <w:pPr>
              <w:numPr>
                <w:ilvl w:val="0"/>
                <w:numId w:val="1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SÜER, S. and DEM</w:t>
            </w:r>
            <w:r>
              <w:rPr>
                <w:rFonts w:ascii="Arial" w:hAnsi="Arial" w:cs="Arial" w:eastAsia="Arial"/>
                <w:color w:val="auto"/>
                <w:spacing w:val="0"/>
                <w:position w:val="0"/>
                <w:sz w:val="24"/>
                <w:shd w:fill="auto" w:val="clear"/>
              </w:rPr>
              <w:t xml:space="preserve">İRTAS, </w:t>
            </w:r>
            <w:r>
              <w:rPr>
                <w:rFonts w:ascii="Arial" w:hAnsi="Arial" w:cs="Arial" w:eastAsia="Arial"/>
                <w:color w:val="auto"/>
                <w:spacing w:val="0"/>
                <w:position w:val="0"/>
                <w:sz w:val="24"/>
                <w:shd w:fill="auto" w:val="clear"/>
              </w:rPr>
              <w:t xml:space="preserve">Ü., 2021. Managerial Reporting in Hospitality Enterprises: Case Study of a Hospitality Enterprise. </w:t>
            </w:r>
            <w:r>
              <w:rPr>
                <w:rFonts w:ascii="Arial" w:hAnsi="Arial" w:cs="Arial" w:eastAsia="Arial"/>
                <w:i/>
                <w:color w:val="auto"/>
                <w:spacing w:val="0"/>
                <w:position w:val="0"/>
                <w:sz w:val="24"/>
                <w:shd w:fill="auto" w:val="clear"/>
              </w:rPr>
              <w:t xml:space="preserve">Süleyman Demirel Üniversitesi Vizyoner Dergisi</w:t>
            </w:r>
            <w:r>
              <w:rPr>
                <w:rFonts w:ascii="Arial" w:hAnsi="Arial" w:cs="Arial" w:eastAsia="Arial"/>
                <w:color w:val="auto"/>
                <w:spacing w:val="0"/>
                <w:position w:val="0"/>
                <w:sz w:val="24"/>
                <w:shd w:fill="auto" w:val="clear"/>
              </w:rPr>
              <w:t xml:space="preserve">, pp.476-500.</w:t>
            </w:r>
          </w:p>
          <w:p>
            <w:pPr>
              <w:numPr>
                <w:ilvl w:val="0"/>
                <w:numId w:val="1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Tsao, W., 2018. Star power: the effect of star rating on service recovery in the hotel industry. </w:t>
            </w:r>
            <w:r>
              <w:rPr>
                <w:rFonts w:ascii="Arial" w:hAnsi="Arial" w:cs="Arial" w:eastAsia="Arial"/>
                <w:i/>
                <w:color w:val="auto"/>
                <w:spacing w:val="0"/>
                <w:position w:val="0"/>
                <w:sz w:val="24"/>
                <w:shd w:fill="auto" w:val="clear"/>
              </w:rPr>
              <w:t xml:space="preserve">International Journal of Contemporary Hospitality Management</w:t>
            </w:r>
            <w:r>
              <w:rPr>
                <w:rFonts w:ascii="Arial" w:hAnsi="Arial" w:cs="Arial" w:eastAsia="Arial"/>
                <w:color w:val="auto"/>
                <w:spacing w:val="0"/>
                <w:position w:val="0"/>
                <w:sz w:val="24"/>
                <w:shd w:fill="auto" w:val="clear"/>
              </w:rPr>
              <w:t xml:space="preserve">, 30(2), pp.1092-1111.</w:t>
            </w:r>
          </w:p>
          <w:p>
            <w:pPr>
              <w:spacing w:before="0" w:after="0" w:line="360"/>
              <w:ind w:right="0" w:left="0" w:firstLine="0"/>
              <w:jc w:val="both"/>
              <w:rPr>
                <w:spacing w:val="0"/>
                <w:position w:val="0"/>
              </w:rPr>
            </w:pPr>
          </w:p>
        </w:tc>
      </w:tr>
    </w:tbl>
    <w:p>
      <w:pPr>
        <w:spacing w:before="120" w:after="16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