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F947F" w14:textId="65EFF5F7" w:rsidR="009317F2" w:rsidRPr="00E10DD7" w:rsidRDefault="009317F2" w:rsidP="009317F2">
      <w:pPr>
        <w:rPr>
          <w:b/>
          <w:bCs/>
        </w:rPr>
      </w:pPr>
      <w:r w:rsidRPr="00B00D90">
        <w:rPr>
          <w:b/>
          <w:bCs/>
        </w:rPr>
        <w:t>Commentary on the Architectural Development and Spatial Design of Tintern Abbey</w:t>
      </w:r>
    </w:p>
    <w:p w14:paraId="2820AA66" w14:textId="77777777" w:rsidR="009317F2" w:rsidRDefault="009317F2" w:rsidP="009317F2">
      <w:pPr>
        <w:keepNext/>
      </w:pPr>
      <w:r w:rsidRPr="00E10DD7">
        <w:rPr>
          <w:rFonts w:ascii="Calibri" w:hAnsi="Calibri" w:cs="Calibri"/>
          <w:noProof/>
        </w:rPr>
        <w:drawing>
          <wp:inline distT="0" distB="0" distL="0" distR="0" wp14:anchorId="4FCB03FB" wp14:editId="3A649ECF">
            <wp:extent cx="5327015" cy="5103495"/>
            <wp:effectExtent l="0" t="0" r="6985" b="1905"/>
            <wp:docPr id="33941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27015" cy="5103495"/>
                    </a:xfrm>
                    <a:prstGeom prst="rect">
                      <a:avLst/>
                    </a:prstGeom>
                    <a:noFill/>
                    <a:ln>
                      <a:noFill/>
                    </a:ln>
                  </pic:spPr>
                </pic:pic>
              </a:graphicData>
            </a:graphic>
          </wp:inline>
        </w:drawing>
      </w:r>
    </w:p>
    <w:p w14:paraId="0835D1DE" w14:textId="77777777" w:rsidR="009317F2" w:rsidRPr="00B00D90" w:rsidRDefault="009317F2" w:rsidP="009317F2">
      <w:pPr>
        <w:pStyle w:val="Caption"/>
        <w:rPr>
          <w:b/>
          <w:bCs/>
        </w:rPr>
      </w:pPr>
      <w:r>
        <w:t>Figure 1: Tintern Abbey Ground Floorplan</w:t>
      </w:r>
      <w:r>
        <w:rPr>
          <w:rStyle w:val="EndnoteReference"/>
        </w:rPr>
        <w:endnoteReference w:id="1"/>
      </w:r>
      <w:r>
        <w:rPr>
          <w:rStyle w:val="FootnoteReference"/>
          <w:b/>
          <w:bCs/>
        </w:rPr>
        <w:footnoteReference w:id="1"/>
      </w:r>
    </w:p>
    <w:p w14:paraId="13C0D7B7" w14:textId="77777777" w:rsidR="009317F2" w:rsidRPr="00B00D90" w:rsidRDefault="009317F2" w:rsidP="009317F2">
      <w:r w:rsidRPr="00B00D90">
        <w:t>Founded in 1131 by Walter de Clare on the west bank of the River Wye in Monmouthshire, Tintern Abbey stands as one of the most complete and instructive examples of Cistercian monastic architecture in Britain. Its architectural evolution</w:t>
      </w:r>
      <w:r w:rsidRPr="00E10DD7">
        <w:t xml:space="preserve">, </w:t>
      </w:r>
      <w:r w:rsidRPr="00B00D90">
        <w:t>from a modest twelfth-century foundation into a major Gothic complex by the early fourteenth century</w:t>
      </w:r>
      <w:r w:rsidRPr="00E10DD7">
        <w:t xml:space="preserve">, </w:t>
      </w:r>
      <w:r w:rsidRPr="00B00D90">
        <w:t xml:space="preserve">reveals stylistic transformation </w:t>
      </w:r>
      <w:r>
        <w:t xml:space="preserve">and </w:t>
      </w:r>
      <w:r w:rsidRPr="00B00D90">
        <w:t>how ideals of the Cistercian order were embedded in its spatial design. The abbey embodies the Cistercian pursuit of simplicity, moderation, and seclusion.</w:t>
      </w:r>
      <w:r w:rsidRPr="00E10DD7">
        <w:t xml:space="preserve"> It was imperative the positioning of these buildings performed both a practical and religiously efficient sequence.</w:t>
      </w:r>
      <w:r>
        <w:rPr>
          <w:rStyle w:val="FootnoteReference"/>
        </w:rPr>
        <w:footnoteReference w:id="2"/>
      </w:r>
      <w:r w:rsidRPr="00B00D90">
        <w:t xml:space="preserve"> </w:t>
      </w:r>
    </w:p>
    <w:p w14:paraId="68204572" w14:textId="77777777" w:rsidR="009317F2" w:rsidRPr="00B00D90" w:rsidRDefault="009317F2" w:rsidP="009317F2">
      <w:r w:rsidRPr="00B00D90">
        <w:lastRenderedPageBreak/>
        <w:t>Tintern Abbey</w:t>
      </w:r>
      <w:r>
        <w:t>’s development</w:t>
      </w:r>
      <w:r w:rsidRPr="00B00D90">
        <w:t xml:space="preserve"> occurred in distinct phases, each reflecting practical necessity and the order’s theological emphasis on restraint. The earliest phase, dating from its foundation in 1131 until the mid-twelfth century, saw monks from L’Aumône in France establish a small community on land granted by the Norman lord of Chepstow. The initial complex was constructed in timber or rubble masonry, with a simple church, cloister, dormitory, and refectory.</w:t>
      </w:r>
      <w:r>
        <w:rPr>
          <w:rStyle w:val="FootnoteReference"/>
        </w:rPr>
        <w:footnoteReference w:id="3"/>
      </w:r>
      <w:r w:rsidRPr="00B00D90">
        <w:t xml:space="preserve"> </w:t>
      </w:r>
      <w:r>
        <w:t>T</w:t>
      </w:r>
      <w:r w:rsidRPr="00B00D90">
        <w:t>hese early structures were temporary and later replaced by stone buildings as the community grew.</w:t>
      </w:r>
      <w:r>
        <w:rPr>
          <w:rStyle w:val="FootnoteReference"/>
        </w:rPr>
        <w:footnoteReference w:id="4"/>
      </w:r>
      <w:r w:rsidRPr="00B00D90">
        <w:t xml:space="preserve"> </w:t>
      </w:r>
      <w:r>
        <w:t>S</w:t>
      </w:r>
      <w:r w:rsidRPr="00B00D90">
        <w:t>uch humble beginnings were typical of Cistercian foundations</w:t>
      </w:r>
      <w:r w:rsidRPr="00E10DD7">
        <w:t xml:space="preserve"> where</w:t>
      </w:r>
      <w:r w:rsidRPr="00B00D90">
        <w:t xml:space="preserve"> “</w:t>
      </w:r>
      <w:r w:rsidRPr="00E10DD7">
        <w:t>a single small straggling group of apartments, all on a single ground-floor level and without any conventional plan, in which the monks could pass in a few seconds from oratory to dormitory or refectory</w:t>
      </w:r>
      <w:r>
        <w:t>.</w:t>
      </w:r>
      <w:r w:rsidRPr="00E10DD7">
        <w:t xml:space="preserve">” </w:t>
      </w:r>
      <w:r w:rsidRPr="00B00D90">
        <w:t>This initial simplicity reflected the order’s rejection of monastic opulence and emphasis on manual work and self-sufficiency.</w:t>
      </w:r>
      <w:r>
        <w:rPr>
          <w:rStyle w:val="FootnoteReference"/>
        </w:rPr>
        <w:footnoteReference w:id="5"/>
      </w:r>
    </w:p>
    <w:p w14:paraId="39150892" w14:textId="77777777" w:rsidR="009317F2" w:rsidRPr="00B00D90" w:rsidRDefault="009317F2" w:rsidP="009317F2">
      <w:r w:rsidRPr="00B00D90">
        <w:t xml:space="preserve">By the late twelfth and early thirteenth centuries, Tintern entered a sustained period of rebuilding. The </w:t>
      </w:r>
      <w:r>
        <w:t>plan</w:t>
      </w:r>
      <w:r w:rsidRPr="00B00D90">
        <w:t xml:space="preserve"> shows this stage</w:t>
      </w:r>
      <w:r w:rsidRPr="00E10DD7">
        <w:t xml:space="preserve"> </w:t>
      </w:r>
      <w:r w:rsidRPr="00B00D90">
        <w:t>as a phase of consolidation, with the reconstruction of the cloister, chapter house, and domestic ranges. The adoption of stone vaulting and a more regular quadrangular plan reflected both economic stability and maturing architectural ambition.</w:t>
      </w:r>
      <w:r>
        <w:rPr>
          <w:rStyle w:val="FootnoteReference"/>
        </w:rPr>
        <w:footnoteReference w:id="6"/>
      </w:r>
      <w:r w:rsidRPr="00B00D90">
        <w:t xml:space="preserve"> By </w:t>
      </w:r>
      <w:r w:rsidRPr="00E10DD7">
        <w:t>the thirteenth century</w:t>
      </w:r>
      <w:r w:rsidRPr="00B00D90">
        <w:t>, Tintern’s estates covered more than 3,000 acres and supported roughly 3,000 sheep.</w:t>
      </w:r>
      <w:r>
        <w:rPr>
          <w:rStyle w:val="FootnoteReference"/>
        </w:rPr>
        <w:footnoteReference w:id="7"/>
      </w:r>
      <w:r w:rsidRPr="00B00D90">
        <w:t xml:space="preserve"> The most significant transformation came between c. 1269 and 1301, when the Gothic church was built under Roger Bigod III, Earl of Norfolk and Lord of Chepstow.</w:t>
      </w:r>
      <w:r w:rsidRPr="00E10DD7">
        <w:t xml:space="preserve"> </w:t>
      </w:r>
      <w:r w:rsidRPr="00B00D90">
        <w:t>Its east end was in use by 1288</w:t>
      </w:r>
      <w:r w:rsidRPr="00E10DD7">
        <w:t>.</w:t>
      </w:r>
      <w:r>
        <w:rPr>
          <w:rStyle w:val="FootnoteReference"/>
        </w:rPr>
        <w:footnoteReference w:id="8"/>
      </w:r>
      <w:r w:rsidRPr="00B00D90">
        <w:t xml:space="preserve"> Cistercian houses did not reject architectural beauty outright; </w:t>
      </w:r>
      <w:r w:rsidRPr="00E10DD7">
        <w:t>however</w:t>
      </w:r>
      <w:r w:rsidRPr="00B00D90">
        <w:t xml:space="preserve">, </w:t>
      </w:r>
      <w:r w:rsidRPr="00E10DD7">
        <w:t>“Within the monastic buildings, the first impression is of peace, plainness and practical good sense.”</w:t>
      </w:r>
      <w:r>
        <w:rPr>
          <w:rStyle w:val="FootnoteReference"/>
        </w:rPr>
        <w:footnoteReference w:id="9"/>
      </w:r>
    </w:p>
    <w:p w14:paraId="76F6A0ED" w14:textId="77777777" w:rsidR="009317F2" w:rsidRPr="00B00D90" w:rsidRDefault="009317F2" w:rsidP="009317F2">
      <w:r>
        <w:t>M</w:t>
      </w:r>
      <w:r w:rsidRPr="00B00D90">
        <w:t xml:space="preserve">odifications in the fourteenth and fifteenth centuries show Tintern adapting to shifting monastic and social conditions. The plan records extensions to the lay brothers’ quarters, improvements to kitchens and guest halls, and the insertion of a fourteenth-century pulpitum screen separating </w:t>
      </w:r>
      <w:r w:rsidRPr="00E10DD7">
        <w:t xml:space="preserve">the </w:t>
      </w:r>
      <w:r w:rsidRPr="00B00D90">
        <w:t>choir from</w:t>
      </w:r>
      <w:r w:rsidRPr="00E10DD7">
        <w:t xml:space="preserve"> the</w:t>
      </w:r>
      <w:r w:rsidRPr="00B00D90">
        <w:t xml:space="preserve"> nave.</w:t>
      </w:r>
      <w:r>
        <w:rPr>
          <w:rStyle w:val="FootnoteReference"/>
        </w:rPr>
        <w:footnoteReference w:id="10"/>
      </w:r>
      <w:r w:rsidRPr="00B00D90">
        <w:t xml:space="preserve"> Political and demographic upheavals, such as the Glyndŵr rebellion and Black Death, curtailed further major building.</w:t>
      </w:r>
      <w:r>
        <w:rPr>
          <w:rStyle w:val="FootnoteReference"/>
        </w:rPr>
        <w:footnoteReference w:id="11"/>
      </w:r>
      <w:r w:rsidRPr="00B00D90">
        <w:t xml:space="preserve"> </w:t>
      </w:r>
      <w:r w:rsidRPr="00E10DD7">
        <w:t>The Cistercians had a strong affinity with their surroundings</w:t>
      </w:r>
      <w:r>
        <w:t>;</w:t>
      </w:r>
      <w:r w:rsidRPr="00E10DD7">
        <w:t xml:space="preserve"> </w:t>
      </w:r>
      <w:r>
        <w:t>t</w:t>
      </w:r>
      <w:r w:rsidRPr="00E10DD7">
        <w:t xml:space="preserve">he physical environment was ‘a window onto the divine’ and the </w:t>
      </w:r>
      <w:r>
        <w:t>landscape’s taming</w:t>
      </w:r>
      <w:r w:rsidRPr="00E10DD7">
        <w:t xml:space="preserve"> </w:t>
      </w:r>
      <w:r w:rsidRPr="00E10DD7">
        <w:lastRenderedPageBreak/>
        <w:t>was symbolic of the soul’s return to god.</w:t>
      </w:r>
      <w:r>
        <w:rPr>
          <w:rStyle w:val="FootnoteReference"/>
        </w:rPr>
        <w:footnoteReference w:id="12"/>
      </w:r>
      <w:r w:rsidRPr="00B00D90">
        <w:t xml:space="preserve"> Tintern’s later additions, though modest, exemplify this resilience. The dissolution of the abbey in 1536 marked its final transformation from living monastery to enduring ruin.</w:t>
      </w:r>
      <w:r>
        <w:rPr>
          <w:rStyle w:val="FootnoteReference"/>
        </w:rPr>
        <w:footnoteReference w:id="13"/>
      </w:r>
    </w:p>
    <w:p w14:paraId="6E88A6C5" w14:textId="77777777" w:rsidR="009317F2" w:rsidRPr="00B00D90" w:rsidRDefault="009317F2" w:rsidP="009317F2">
      <w:r w:rsidRPr="00B00D90">
        <w:t>Tintern</w:t>
      </w:r>
      <w:r w:rsidRPr="00E10DD7">
        <w:t xml:space="preserve"> Abbey, </w:t>
      </w:r>
      <w:r w:rsidRPr="00B00D90">
        <w:t xml:space="preserve">within Wye Valley, occupied a fertile yet secluded landscape </w:t>
      </w:r>
      <w:r w:rsidRPr="00E10DD7">
        <w:t xml:space="preserve">which </w:t>
      </w:r>
      <w:r w:rsidRPr="00B00D90">
        <w:t xml:space="preserve">captures the Cistercian balance between isolation and practicality. The river supplied water and power, while surrounding pastures provided sustenance and economic opportunity. </w:t>
      </w:r>
      <w:r w:rsidRPr="00E10DD7">
        <w:t>Brooke</w:t>
      </w:r>
      <w:r w:rsidRPr="00B00D90">
        <w:t xml:space="preserve"> describes the Cistercian preference for </w:t>
      </w:r>
      <w:r w:rsidRPr="00E10DD7">
        <w:t>“self-supporting, to be separate islands cut off from the world</w:t>
      </w:r>
      <w:r w:rsidRPr="00B00D90">
        <w:t>”</w:t>
      </w:r>
      <w:r w:rsidRPr="00E10DD7">
        <w:t>,</w:t>
      </w:r>
      <w:r w:rsidRPr="00B00D90">
        <w:t xml:space="preserve"> places withdrawn from worldly distraction yet </w:t>
      </w:r>
      <w:r>
        <w:t xml:space="preserve">able </w:t>
      </w:r>
      <w:r w:rsidRPr="00B00D90">
        <w:t>to sustain community life.</w:t>
      </w:r>
      <w:r>
        <w:rPr>
          <w:rStyle w:val="FootnoteReference"/>
        </w:rPr>
        <w:footnoteReference w:id="14"/>
      </w:r>
    </w:p>
    <w:p w14:paraId="0B72CB61" w14:textId="77777777" w:rsidR="009317F2" w:rsidRPr="00B00D90" w:rsidRDefault="009317F2" w:rsidP="009317F2">
      <w:r w:rsidRPr="00B00D90">
        <w:t xml:space="preserve">The abbey’s </w:t>
      </w:r>
      <w:r w:rsidRPr="00E10DD7">
        <w:t>layout was dictated by the landscape, meaning some elements deviate</w:t>
      </w:r>
      <w:r>
        <w:t>d</w:t>
      </w:r>
      <w:r w:rsidRPr="00E10DD7">
        <w:t xml:space="preserve"> from the standard Cistercian model.</w:t>
      </w:r>
      <w:r>
        <w:rPr>
          <w:rStyle w:val="FootnoteReference"/>
        </w:rPr>
        <w:footnoteReference w:id="15"/>
      </w:r>
      <w:r w:rsidRPr="00E10DD7">
        <w:t xml:space="preserve"> The church occupied the southern edge of the precinct, aligned on the traditional east–west axis with its west front overlooking the </w:t>
      </w:r>
      <w:r>
        <w:t>v</w:t>
      </w:r>
      <w:r w:rsidRPr="00E10DD7">
        <w:t>alley. Immediately to the north lay the cloister, the physical and spiritual heart of the community, enclosed by the chapter house and monks’ dormitory to the east, the refectory to the north, and the lay brothers’ range completing the western side. Beyond this, the abbey expanded into zones of increasing practicality: the infirmary and abbot’s lodging stood to the north-east, while the outer court to the west contained the guest hall, stables, and service buildings where the enclosed monastic world engaged, in measured fashion, with the secular one.</w:t>
      </w:r>
      <w:r>
        <w:rPr>
          <w:rStyle w:val="FootnoteReference"/>
        </w:rPr>
        <w:footnoteReference w:id="16"/>
      </w:r>
    </w:p>
    <w:p w14:paraId="4DF10CCC" w14:textId="77777777" w:rsidR="009317F2" w:rsidRPr="00B00D90" w:rsidRDefault="009317F2" w:rsidP="009317F2">
      <w:r w:rsidRPr="00B00D90">
        <w:t>This zoning created a disciplined spatial hierarchy. The monks’ cloister and church formed the spiritual centre, separated from the outer precincts devoted to hospitality and labour. The arrangement ensured enclosure while maintaining functionality. The plan translated theological order into architectural logic.</w:t>
      </w:r>
    </w:p>
    <w:p w14:paraId="3384CFAB" w14:textId="77777777" w:rsidR="009317F2" w:rsidRPr="00B00D90" w:rsidRDefault="009317F2" w:rsidP="009317F2">
      <w:r w:rsidRPr="00B00D90">
        <w:t xml:space="preserve">Tintern Abbey’s design embodies the Cistercian </w:t>
      </w:r>
      <w:r w:rsidRPr="00E10DD7">
        <w:t xml:space="preserve">belief </w:t>
      </w:r>
      <w:r w:rsidRPr="00B00D90">
        <w:rPr>
          <w:i/>
          <w:iCs/>
        </w:rPr>
        <w:t>ora et labora</w:t>
      </w:r>
      <w:r w:rsidRPr="00E10DD7">
        <w:t xml:space="preserve"> (</w:t>
      </w:r>
      <w:r w:rsidRPr="00B00D90">
        <w:t>prayer</w:t>
      </w:r>
      <w:r w:rsidRPr="00E10DD7">
        <w:t xml:space="preserve"> and</w:t>
      </w:r>
      <w:r w:rsidRPr="00B00D90">
        <w:t xml:space="preserve"> work</w:t>
      </w:r>
      <w:r w:rsidRPr="00E10DD7">
        <w:t>).</w:t>
      </w:r>
      <w:r>
        <w:rPr>
          <w:rStyle w:val="FootnoteReference"/>
        </w:rPr>
        <w:footnoteReference w:id="17"/>
      </w:r>
      <w:r w:rsidRPr="00B00D90">
        <w:t xml:space="preserve"> The church, with its cruciform plan of aisled nave, transepts, and square-ended presbytery, provided for the daily round of liturgy. The cloister, connecting dormitory, chapter house, and refectory, structured the monks’ day around prayer, reading, and manual labour. The west range housed the lay brothers, whose refectory and dormitory allowed them to participate in the monastic rhythm without disturbing the choir monks’ contemplative routine.</w:t>
      </w:r>
    </w:p>
    <w:p w14:paraId="091F99A2" w14:textId="77777777" w:rsidR="009317F2" w:rsidRPr="00B00D90" w:rsidRDefault="009317F2" w:rsidP="009317F2">
      <w:r w:rsidRPr="00B00D90">
        <w:t xml:space="preserve">The plan demonstrates the order’s principle of self-sufficiency. The abbey’s system of drains, water conduits, and mills, with its surrounding granges, reflects an economy </w:t>
      </w:r>
      <w:r w:rsidRPr="00B00D90">
        <w:lastRenderedPageBreak/>
        <w:t>based on autonomy and labour rather than external wealth.</w:t>
      </w:r>
      <w:r>
        <w:rPr>
          <w:rStyle w:val="FootnoteReference"/>
        </w:rPr>
        <w:footnoteReference w:id="18"/>
      </w:r>
      <w:r w:rsidRPr="00B00D90">
        <w:t xml:space="preserve"> </w:t>
      </w:r>
      <w:r>
        <w:t>T</w:t>
      </w:r>
      <w:r w:rsidRPr="00B00D90">
        <w:t xml:space="preserve">he </w:t>
      </w:r>
      <w:r w:rsidRPr="00E10DD7">
        <w:t>monk’s</w:t>
      </w:r>
      <w:r w:rsidRPr="00B00D90">
        <w:t xml:space="preserve"> ideal of poverty was </w:t>
      </w:r>
      <w:r w:rsidRPr="00E10DD7">
        <w:t>less about</w:t>
      </w:r>
      <w:r w:rsidRPr="00B00D90">
        <w:t xml:space="preserve"> destitution </w:t>
      </w:r>
      <w:r w:rsidRPr="00E10DD7">
        <w:t>and more financial discipline</w:t>
      </w:r>
      <w:r w:rsidRPr="00B00D90">
        <w:t xml:space="preserve"> </w:t>
      </w:r>
      <w:r w:rsidRPr="00E10DD7">
        <w:t>that facilitated their spiritual life</w:t>
      </w:r>
      <w:r w:rsidRPr="00B00D90">
        <w:t>.</w:t>
      </w:r>
      <w:r>
        <w:rPr>
          <w:rStyle w:val="FootnoteReference"/>
        </w:rPr>
        <w:footnoteReference w:id="19"/>
      </w:r>
    </w:p>
    <w:p w14:paraId="1C558C68" w14:textId="77777777" w:rsidR="009317F2" w:rsidRPr="00B00D90" w:rsidRDefault="009317F2" w:rsidP="009317F2">
      <w:r w:rsidRPr="00B00D90">
        <w:t>Tintern embodies the tension between simplicity and splendour. The late Gothic church, with its soaring windows and delicate tracery, betrays the influence of aristocratic patronage and prosperity of the order.</w:t>
      </w:r>
      <w:r>
        <w:rPr>
          <w:rStyle w:val="FootnoteReference"/>
        </w:rPr>
        <w:footnoteReference w:id="20"/>
      </w:r>
      <w:r w:rsidRPr="00B00D90">
        <w:t xml:space="preserve"> </w:t>
      </w:r>
      <w:r w:rsidRPr="00E10DD7">
        <w:t>T</w:t>
      </w:r>
      <w:r w:rsidRPr="00B00D90">
        <w:t>he west front, rebuilt c</w:t>
      </w:r>
      <w:r w:rsidRPr="00E10DD7">
        <w:t>irca</w:t>
      </w:r>
      <w:r w:rsidRPr="00B00D90">
        <w:t xml:space="preserve"> 1300, achieved refinement that rivalled great ecclesiastical architecture elsewhere in Britain.</w:t>
      </w:r>
      <w:r>
        <w:rPr>
          <w:rStyle w:val="FootnoteReference"/>
        </w:rPr>
        <w:footnoteReference w:id="21"/>
      </w:r>
      <w:r w:rsidRPr="00B00D90">
        <w:t xml:space="preserve"> The Cistercian ethos of moderation could coexist with a taste for architectural grandeur when such beauty was seen to glorify God.</w:t>
      </w:r>
    </w:p>
    <w:p w14:paraId="18F8403C" w14:textId="77777777" w:rsidR="009317F2" w:rsidRPr="00B00D90" w:rsidRDefault="009317F2" w:rsidP="009317F2">
      <w:r w:rsidRPr="00B00D90">
        <w:t xml:space="preserve">Cistercian communities </w:t>
      </w:r>
      <w:r w:rsidRPr="00E10DD7">
        <w:t>became entangled with</w:t>
      </w:r>
      <w:r w:rsidRPr="00B00D90">
        <w:t xml:space="preserve"> </w:t>
      </w:r>
      <w:r w:rsidRPr="00E10DD7">
        <w:t>lay people and the outside</w:t>
      </w:r>
      <w:r w:rsidRPr="00B00D90">
        <w:t xml:space="preserve"> world by their labour</w:t>
      </w:r>
      <w:r w:rsidRPr="00E10DD7">
        <w:t>.</w:t>
      </w:r>
      <w:r>
        <w:rPr>
          <w:rStyle w:val="FootnoteReference"/>
        </w:rPr>
        <w:footnoteReference w:id="22"/>
      </w:r>
      <w:r w:rsidRPr="00E10DD7">
        <w:t xml:space="preserve"> </w:t>
      </w:r>
      <w:r w:rsidRPr="00B00D90">
        <w:t>Tintern’s plan manifests this principle: isolation and interaction balanced through architecture. The boundaries between sacred and secular were clear but permeable</w:t>
      </w:r>
      <w:r w:rsidRPr="00E10DD7">
        <w:t xml:space="preserve">, </w:t>
      </w:r>
      <w:r w:rsidRPr="00B00D90">
        <w:t>enabling the abbey to function as both contemplative retreat and economic enterprise. The outer court and guest house provided controlled hospitality to travellers and patrons. The abbot’s lodging</w:t>
      </w:r>
      <w:r w:rsidRPr="00E10DD7">
        <w:t xml:space="preserve"> </w:t>
      </w:r>
      <w:r w:rsidRPr="00B00D90">
        <w:t>was designed for receiving secular visitors while maintaining the monks’ enclosure.</w:t>
      </w:r>
      <w:r>
        <w:t xml:space="preserve"> F</w:t>
      </w:r>
      <w:r w:rsidRPr="00B00D90">
        <w:t>ourteenth-century expansions to the guest and service ranges show the community adapted to the demands of hospitality and governance.</w:t>
      </w:r>
      <w:r>
        <w:rPr>
          <w:rStyle w:val="FootnoteReference"/>
        </w:rPr>
        <w:footnoteReference w:id="23"/>
      </w:r>
      <w:r w:rsidRPr="00E10DD7">
        <w:t xml:space="preserve"> </w:t>
      </w:r>
    </w:p>
    <w:p w14:paraId="06C4F818" w14:textId="77777777" w:rsidR="009317F2" w:rsidRPr="00E10DD7" w:rsidRDefault="009317F2" w:rsidP="009317F2">
      <w:r w:rsidRPr="00B00D90">
        <w:t xml:space="preserve">The architectural development and spatial design of Tintern Abbey chart a dialogue between ideal and circumstance. From humble wooden beginnings to Gothic church, the site reveals how the Cistercians expressed their spiritual identity through ordered architecture. Its </w:t>
      </w:r>
      <w:r>
        <w:t>layout</w:t>
      </w:r>
      <w:r w:rsidRPr="00B00D90">
        <w:t xml:space="preserve">, responsive to the valley landscape, illustrates isolation, labour, and worship were woven into one coherent pattern. Yet the grandeur of its thirteenth-century rebuilding reminds us monastic life, even in pursuit of simplicity, was never detached from social and economic realities. </w:t>
      </w:r>
      <w:r>
        <w:t>T</w:t>
      </w:r>
      <w:r w:rsidRPr="00B00D90">
        <w:t xml:space="preserve">he Cistercians’ </w:t>
      </w:r>
      <w:r w:rsidRPr="00E10DD7">
        <w:t>success was owed by the lay people, by</w:t>
      </w:r>
      <w:r w:rsidRPr="00B00D90">
        <w:t xml:space="preserve"> creating houses that were places of contemplation and centres of productivity.</w:t>
      </w:r>
      <w:r>
        <w:rPr>
          <w:rStyle w:val="FootnoteReference"/>
        </w:rPr>
        <w:footnoteReference w:id="24"/>
      </w:r>
      <w:r w:rsidRPr="00B00D90">
        <w:t xml:space="preserve"> Tintern Abbey remains, even in ruin, a visible testament to that union.</w:t>
      </w:r>
    </w:p>
    <w:p w14:paraId="57A0CCE2" w14:textId="77777777" w:rsidR="00C437AF" w:rsidRDefault="00C437AF" w:rsidP="009317F2">
      <w:pPr>
        <w:ind w:left="720" w:hanging="720"/>
        <w:rPr>
          <w:b/>
          <w:bCs/>
        </w:rPr>
      </w:pPr>
    </w:p>
    <w:p w14:paraId="255FF17F" w14:textId="77777777" w:rsidR="00C437AF" w:rsidRDefault="00C437AF" w:rsidP="009317F2">
      <w:pPr>
        <w:ind w:left="720" w:hanging="720"/>
        <w:rPr>
          <w:b/>
          <w:bCs/>
        </w:rPr>
      </w:pPr>
    </w:p>
    <w:p w14:paraId="2A71A0E5" w14:textId="77777777" w:rsidR="00C437AF" w:rsidRDefault="00C437AF" w:rsidP="009317F2">
      <w:pPr>
        <w:ind w:left="720" w:hanging="720"/>
        <w:rPr>
          <w:b/>
          <w:bCs/>
        </w:rPr>
      </w:pPr>
    </w:p>
    <w:p w14:paraId="0F65608D" w14:textId="77777777" w:rsidR="00C437AF" w:rsidRDefault="00C437AF" w:rsidP="009317F2">
      <w:pPr>
        <w:ind w:left="720" w:hanging="720"/>
        <w:rPr>
          <w:b/>
          <w:bCs/>
        </w:rPr>
      </w:pPr>
    </w:p>
    <w:p w14:paraId="4D6E7055" w14:textId="64363A3F" w:rsidR="009317F2" w:rsidRPr="00A445F3" w:rsidRDefault="009317F2" w:rsidP="009317F2">
      <w:pPr>
        <w:ind w:left="720" w:hanging="720"/>
        <w:rPr>
          <w:b/>
          <w:bCs/>
        </w:rPr>
      </w:pPr>
      <w:r w:rsidRPr="00A445F3">
        <w:rPr>
          <w:b/>
          <w:bCs/>
        </w:rPr>
        <w:t>Bibliography</w:t>
      </w:r>
    </w:p>
    <w:p w14:paraId="20D84EE3" w14:textId="77777777" w:rsidR="009317F2" w:rsidRDefault="009317F2" w:rsidP="009317F2">
      <w:pPr>
        <w:ind w:left="720" w:hanging="720"/>
      </w:pPr>
      <w:r>
        <w:t>Benedict of Nursia</w:t>
      </w:r>
      <w:r w:rsidRPr="00A445F3">
        <w:t xml:space="preserve">, </w:t>
      </w:r>
      <w:r>
        <w:rPr>
          <w:i/>
          <w:iCs/>
        </w:rPr>
        <w:t>The Rule of Saint Benedict</w:t>
      </w:r>
      <w:r w:rsidRPr="00A445F3">
        <w:t xml:space="preserve">, ed. </w:t>
      </w:r>
      <w:r>
        <w:t>and</w:t>
      </w:r>
      <w:r w:rsidRPr="00A445F3">
        <w:t xml:space="preserve"> trans. by </w:t>
      </w:r>
      <w:r>
        <w:t>Justin McCann</w:t>
      </w:r>
      <w:r w:rsidRPr="00A445F3">
        <w:t xml:space="preserve"> (</w:t>
      </w:r>
      <w:r>
        <w:t>London</w:t>
      </w:r>
      <w:r w:rsidRPr="00A445F3">
        <w:t xml:space="preserve">: </w:t>
      </w:r>
      <w:r>
        <w:t>Burns Oats</w:t>
      </w:r>
      <w:r w:rsidRPr="00A445F3">
        <w:t xml:space="preserve">, </w:t>
      </w:r>
      <w:r>
        <w:t>1952</w:t>
      </w:r>
      <w:r w:rsidRPr="00A445F3">
        <w:t>)</w:t>
      </w:r>
    </w:p>
    <w:p w14:paraId="2557246C" w14:textId="77777777" w:rsidR="009317F2" w:rsidRDefault="009317F2" w:rsidP="009317F2">
      <w:pPr>
        <w:ind w:left="720" w:hanging="720"/>
      </w:pPr>
      <w:r w:rsidRPr="0080133F">
        <w:t>Brooke</w:t>
      </w:r>
      <w:r>
        <w:t>,</w:t>
      </w:r>
      <w:r w:rsidRPr="0080133F">
        <w:t xml:space="preserve"> Christopher, </w:t>
      </w:r>
      <w:r w:rsidRPr="0080133F">
        <w:rPr>
          <w:i/>
          <w:iCs/>
        </w:rPr>
        <w:t>The Monastic World 1000–1300</w:t>
      </w:r>
      <w:r w:rsidRPr="0080133F">
        <w:t xml:space="preserve"> (London: Thames and Hudson, 1974) </w:t>
      </w:r>
    </w:p>
    <w:p w14:paraId="1B1D016D" w14:textId="77777777" w:rsidR="009317F2" w:rsidRDefault="009317F2" w:rsidP="009317F2">
      <w:pPr>
        <w:ind w:left="720" w:hanging="720"/>
      </w:pPr>
      <w:bookmarkStart w:id="0" w:name="_Int_HkEI3II2"/>
      <w:r>
        <w:t>Burton, Janet</w:t>
      </w:r>
      <w:r w:rsidRPr="00A445F3">
        <w:t xml:space="preserve"> and </w:t>
      </w:r>
      <w:r>
        <w:t>Julie</w:t>
      </w:r>
      <w:r w:rsidRPr="00A445F3">
        <w:t xml:space="preserve"> </w:t>
      </w:r>
      <w:r>
        <w:t>Kerr</w:t>
      </w:r>
      <w:r w:rsidRPr="00A445F3">
        <w:t xml:space="preserve">, </w:t>
      </w:r>
      <w:r>
        <w:rPr>
          <w:i/>
          <w:iCs/>
        </w:rPr>
        <w:t>The Cistercians in the Middle Ages</w:t>
      </w:r>
      <w:r w:rsidRPr="00A445F3">
        <w:t>, (</w:t>
      </w:r>
      <w:r>
        <w:t>Woodbridge</w:t>
      </w:r>
      <w:r w:rsidRPr="00A445F3">
        <w:t xml:space="preserve">: </w:t>
      </w:r>
      <w:r>
        <w:t>The Boydell Press</w:t>
      </w:r>
      <w:r w:rsidRPr="00A445F3">
        <w:t xml:space="preserve">, </w:t>
      </w:r>
      <w:r>
        <w:t>2011)</w:t>
      </w:r>
      <w:bookmarkEnd w:id="0"/>
      <w:r w:rsidRPr="00A445F3">
        <w:t xml:space="preserve"> </w:t>
      </w:r>
    </w:p>
    <w:p w14:paraId="42CC834C" w14:textId="77777777" w:rsidR="009317F2" w:rsidRPr="00B00D90" w:rsidRDefault="009317F2" w:rsidP="009317F2">
      <w:pPr>
        <w:ind w:left="720" w:hanging="720"/>
        <w:rPr>
          <w:b/>
          <w:bCs/>
        </w:rPr>
      </w:pPr>
      <w:r>
        <w:t>Cadw</w:t>
      </w:r>
      <w:r w:rsidRPr="00A445F3">
        <w:t xml:space="preserve">, </w:t>
      </w:r>
      <w:r>
        <w:rPr>
          <w:i/>
          <w:iCs/>
        </w:rPr>
        <w:t>Tintern Abbey</w:t>
      </w:r>
      <w:r w:rsidRPr="00A445F3">
        <w:t xml:space="preserve"> (</w:t>
      </w:r>
      <w:r>
        <w:t>2019</w:t>
      </w:r>
      <w:r w:rsidRPr="00A445F3">
        <w:t xml:space="preserve">) &lt;https://cadw.gov.wales/sites/default/files/2019-05/Tinternnotesforteachers_EN.pdf&gt; [accessed </w:t>
      </w:r>
      <w:r>
        <w:t>07</w:t>
      </w:r>
      <w:r w:rsidRPr="00A445F3">
        <w:t xml:space="preserve"> </w:t>
      </w:r>
      <w:r>
        <w:t>November</w:t>
      </w:r>
      <w:r w:rsidRPr="00A445F3">
        <w:t xml:space="preserve"> </w:t>
      </w:r>
      <w:r>
        <w:t>2025</w:t>
      </w:r>
      <w:r w:rsidRPr="00A445F3">
        <w:t>]</w:t>
      </w:r>
      <w:r>
        <w:t xml:space="preserve"> </w:t>
      </w:r>
    </w:p>
    <w:p w14:paraId="3AD5C623" w14:textId="77777777" w:rsidR="009317F2" w:rsidRDefault="009317F2" w:rsidP="009317F2">
      <w:pPr>
        <w:ind w:left="720" w:hanging="720"/>
      </w:pPr>
      <w:r w:rsidRPr="00A445F3">
        <w:t>Knowles</w:t>
      </w:r>
      <w:r>
        <w:t>,</w:t>
      </w:r>
      <w:r w:rsidRPr="00A445F3">
        <w:t xml:space="preserve"> David, </w:t>
      </w:r>
      <w:r w:rsidRPr="00A445F3">
        <w:rPr>
          <w:i/>
          <w:iCs/>
        </w:rPr>
        <w:t>Christian Monasticism</w:t>
      </w:r>
      <w:r w:rsidRPr="00A445F3">
        <w:t xml:space="preserve"> (New York: McGraw-Hill, 1969</w:t>
      </w:r>
      <w:r>
        <w:t>)</w:t>
      </w:r>
    </w:p>
    <w:p w14:paraId="361F0A27" w14:textId="77777777" w:rsidR="009317F2" w:rsidRDefault="009317F2" w:rsidP="009317F2">
      <w:pPr>
        <w:ind w:left="720" w:hanging="720"/>
      </w:pPr>
      <w:r w:rsidRPr="0080133F">
        <w:t>Lawrence</w:t>
      </w:r>
      <w:r>
        <w:t>,</w:t>
      </w:r>
      <w:r w:rsidRPr="0080133F">
        <w:t xml:space="preserve"> C. H., </w:t>
      </w:r>
      <w:r w:rsidRPr="0080133F">
        <w:rPr>
          <w:i/>
          <w:iCs/>
        </w:rPr>
        <w:t>Medieval Monasticism: Forms of Religious Life in Western Europe in the Middle Ages</w:t>
      </w:r>
      <w:r w:rsidRPr="0080133F">
        <w:t>, 2nd edn</w:t>
      </w:r>
      <w:r>
        <w:t>.</w:t>
      </w:r>
      <w:r w:rsidRPr="0080133F">
        <w:t xml:space="preserve"> (London: Longman, 1989) </w:t>
      </w:r>
    </w:p>
    <w:p w14:paraId="5FD5410C" w14:textId="77777777" w:rsidR="009317F2" w:rsidRDefault="009317F2" w:rsidP="009317F2">
      <w:pPr>
        <w:ind w:left="720" w:hanging="720"/>
      </w:pPr>
      <w:r>
        <w:t>Medieval Heritage</w:t>
      </w:r>
      <w:r w:rsidRPr="00A445F3">
        <w:t xml:space="preserve">, </w:t>
      </w:r>
      <w:r>
        <w:rPr>
          <w:i/>
          <w:iCs/>
        </w:rPr>
        <w:t>Tintern – Cistercian Abbey</w:t>
      </w:r>
      <w:r w:rsidRPr="00A445F3">
        <w:t xml:space="preserve"> (</w:t>
      </w:r>
      <w:r>
        <w:t>2017-2023</w:t>
      </w:r>
      <w:r w:rsidRPr="00A445F3">
        <w:t xml:space="preserve">) &lt;https://medievalheritage.eu/en/main-page/heritage/wales/tintern-abbey/&gt; [accessed </w:t>
      </w:r>
      <w:r>
        <w:t>07</w:t>
      </w:r>
      <w:r w:rsidRPr="00A445F3">
        <w:t xml:space="preserve"> </w:t>
      </w:r>
      <w:r>
        <w:t>November</w:t>
      </w:r>
      <w:r w:rsidRPr="00A445F3">
        <w:t xml:space="preserve"> </w:t>
      </w:r>
      <w:r>
        <w:t>2025</w:t>
      </w:r>
      <w:r w:rsidRPr="00A445F3">
        <w:t>]</w:t>
      </w:r>
    </w:p>
    <w:p w14:paraId="132D631F" w14:textId="77777777" w:rsidR="009317F2" w:rsidRDefault="009317F2" w:rsidP="009317F2">
      <w:pPr>
        <w:ind w:left="720" w:hanging="720"/>
      </w:pPr>
      <w:r>
        <w:t>Morris, Richard K, Nicola Coldstream and Rick Turner</w:t>
      </w:r>
      <w:r w:rsidRPr="00A445F3">
        <w:t>, ‘</w:t>
      </w:r>
      <w:r>
        <w:t>The West Front of Tintern Abbey Church, Monmouthshire</w:t>
      </w:r>
      <w:r w:rsidRPr="00A445F3">
        <w:t xml:space="preserve">, </w:t>
      </w:r>
      <w:r>
        <w:rPr>
          <w:i/>
          <w:iCs/>
        </w:rPr>
        <w:t>The Antiquaries Journal</w:t>
      </w:r>
      <w:r w:rsidRPr="00A445F3">
        <w:t xml:space="preserve">, </w:t>
      </w:r>
      <w:r>
        <w:t>95</w:t>
      </w:r>
      <w:r w:rsidRPr="00A445F3">
        <w:t xml:space="preserve"> (</w:t>
      </w:r>
      <w:r>
        <w:t>2015</w:t>
      </w:r>
      <w:r w:rsidRPr="00A445F3">
        <w:t xml:space="preserve">), </w:t>
      </w:r>
      <w:r>
        <w:t xml:space="preserve">119-150 </w:t>
      </w:r>
      <w:r w:rsidRPr="00A445F3">
        <w:t>&lt;http://dx.doi.org/10.1017/S0003581515000153&gt;</w:t>
      </w:r>
    </w:p>
    <w:p w14:paraId="4F40561B" w14:textId="77777777" w:rsidR="009317F2" w:rsidRDefault="009317F2" w:rsidP="009317F2"/>
    <w:p w14:paraId="72342C56" w14:textId="77777777" w:rsidR="009317F2" w:rsidRDefault="009317F2" w:rsidP="009317F2">
      <w:pPr>
        <w:ind w:left="360"/>
      </w:pPr>
    </w:p>
    <w:p w14:paraId="5695D9F9" w14:textId="77777777" w:rsidR="009317F2" w:rsidRDefault="009317F2" w:rsidP="009317F2"/>
    <w:p w14:paraId="4DD813AD" w14:textId="77777777" w:rsidR="009317F2" w:rsidRPr="00B00D90" w:rsidRDefault="009317F2" w:rsidP="009317F2"/>
    <w:p w14:paraId="7577B51A" w14:textId="77777777" w:rsidR="009317F2" w:rsidRPr="00B00D90" w:rsidRDefault="009317F2" w:rsidP="009317F2"/>
    <w:p w14:paraId="0C6B9DCF" w14:textId="77777777" w:rsidR="009317F2" w:rsidRPr="0080133F" w:rsidRDefault="009317F2" w:rsidP="009317F2"/>
    <w:p w14:paraId="24AD7CBE" w14:textId="1791CF51" w:rsidR="009317F2" w:rsidRPr="009317F2" w:rsidRDefault="009317F2" w:rsidP="009317F2">
      <w:pPr>
        <w:tabs>
          <w:tab w:val="left" w:pos="2970"/>
        </w:tabs>
      </w:pPr>
    </w:p>
    <w:sectPr w:rsidR="009317F2" w:rsidRPr="009317F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D7EB3" w14:textId="77777777" w:rsidR="00A93BD3" w:rsidRDefault="00A93BD3" w:rsidP="009317F2">
      <w:pPr>
        <w:spacing w:after="0" w:line="240" w:lineRule="auto"/>
      </w:pPr>
      <w:r>
        <w:separator/>
      </w:r>
    </w:p>
  </w:endnote>
  <w:endnote w:type="continuationSeparator" w:id="0">
    <w:p w14:paraId="39D96761" w14:textId="77777777" w:rsidR="00A93BD3" w:rsidRDefault="00A93BD3" w:rsidP="009317F2">
      <w:pPr>
        <w:spacing w:after="0" w:line="240" w:lineRule="auto"/>
      </w:pPr>
      <w:r>
        <w:continuationSeparator/>
      </w:r>
    </w:p>
  </w:endnote>
  <w:endnote w:id="1">
    <w:p w14:paraId="011BC160" w14:textId="77777777" w:rsidR="009317F2" w:rsidRDefault="009317F2" w:rsidP="009317F2">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FD305" w14:textId="77777777" w:rsidR="00A93BD3" w:rsidRDefault="00A93BD3" w:rsidP="009317F2">
      <w:pPr>
        <w:spacing w:after="0" w:line="240" w:lineRule="auto"/>
      </w:pPr>
      <w:r>
        <w:separator/>
      </w:r>
    </w:p>
  </w:footnote>
  <w:footnote w:type="continuationSeparator" w:id="0">
    <w:p w14:paraId="1D9C95D7" w14:textId="77777777" w:rsidR="00A93BD3" w:rsidRDefault="00A93BD3" w:rsidP="009317F2">
      <w:pPr>
        <w:spacing w:after="0" w:line="240" w:lineRule="auto"/>
      </w:pPr>
      <w:r>
        <w:continuationSeparator/>
      </w:r>
    </w:p>
  </w:footnote>
  <w:footnote w:id="1">
    <w:p w14:paraId="412D30E2" w14:textId="77777777" w:rsidR="009317F2" w:rsidRDefault="009317F2" w:rsidP="009317F2">
      <w:pPr>
        <w:pStyle w:val="FootnoteText"/>
      </w:pPr>
      <w:r>
        <w:rPr>
          <w:rStyle w:val="FootnoteReference"/>
        </w:rPr>
        <w:footnoteRef/>
      </w:r>
      <w:r>
        <w:t xml:space="preserve"> </w:t>
      </w:r>
      <w:r w:rsidRPr="00A445F3">
        <w:t xml:space="preserve">University of </w:t>
      </w:r>
      <w:r>
        <w:t>Wales – Trinity Saint David</w:t>
      </w:r>
      <w:r w:rsidRPr="00A445F3">
        <w:t xml:space="preserve"> (202</w:t>
      </w:r>
      <w:r>
        <w:t>5</w:t>
      </w:r>
      <w:r w:rsidRPr="00A445F3">
        <w:t xml:space="preserve">) </w:t>
      </w:r>
      <w:r>
        <w:t xml:space="preserve">Assessment Brief from </w:t>
      </w:r>
      <w:r w:rsidRPr="00A445F3">
        <w:rPr>
          <w:i/>
          <w:iCs/>
        </w:rPr>
        <w:t xml:space="preserve">Module </w:t>
      </w:r>
      <w:r>
        <w:rPr>
          <w:i/>
          <w:iCs/>
        </w:rPr>
        <w:t>Code: HPHI5911/6911 From Desert Myths to Sheep Tales: The Cistercians in the Middle Ages,</w:t>
      </w:r>
      <w:r w:rsidRPr="00A445F3">
        <w:rPr>
          <w:i/>
          <w:iCs/>
        </w:rPr>
        <w:t xml:space="preserve"> </w:t>
      </w:r>
      <w:r w:rsidRPr="00A445F3">
        <w:t xml:space="preserve"> [Course material]. University of </w:t>
      </w:r>
      <w:r>
        <w:t>Wales – Trinity Saint David</w:t>
      </w:r>
      <w:r w:rsidRPr="00A445F3">
        <w:t>, unpublished.</w:t>
      </w:r>
    </w:p>
  </w:footnote>
  <w:footnote w:id="2">
    <w:p w14:paraId="7DB92517" w14:textId="77777777" w:rsidR="009317F2" w:rsidRDefault="009317F2" w:rsidP="009317F2">
      <w:pPr>
        <w:pStyle w:val="FootnoteText"/>
      </w:pPr>
      <w:r>
        <w:rPr>
          <w:rStyle w:val="FootnoteReference"/>
        </w:rPr>
        <w:footnoteRef/>
      </w:r>
      <w:r>
        <w:t xml:space="preserve"> David Knowles, </w:t>
      </w:r>
      <w:r>
        <w:rPr>
          <w:i/>
          <w:iCs/>
        </w:rPr>
        <w:t>Christian Monasticism</w:t>
      </w:r>
      <w:r>
        <w:t>, pp. 98-103.</w:t>
      </w:r>
    </w:p>
  </w:footnote>
  <w:footnote w:id="3">
    <w:p w14:paraId="42D0DF23" w14:textId="77777777" w:rsidR="009317F2" w:rsidRDefault="009317F2" w:rsidP="009317F2">
      <w:pPr>
        <w:pStyle w:val="FootnoteText"/>
      </w:pPr>
      <w:r>
        <w:rPr>
          <w:rStyle w:val="FootnoteReference"/>
        </w:rPr>
        <w:footnoteRef/>
      </w:r>
      <w:r>
        <w:t xml:space="preserve"> Medieval Heritage</w:t>
      </w:r>
      <w:r w:rsidRPr="00A445F3">
        <w:t xml:space="preserve">, </w:t>
      </w:r>
      <w:r>
        <w:rPr>
          <w:i/>
          <w:iCs/>
        </w:rPr>
        <w:t>Tintern – Cistercian Abbey</w:t>
      </w:r>
      <w:r w:rsidRPr="00A445F3">
        <w:t xml:space="preserve"> (</w:t>
      </w:r>
      <w:r>
        <w:t>2017-2023</w:t>
      </w:r>
      <w:r w:rsidRPr="00A445F3">
        <w:t xml:space="preserve">) &lt;https://medievalheritage.eu/en/main-page/heritage/wales/tintern-abbey/&gt; [accessed </w:t>
      </w:r>
      <w:r>
        <w:t>07</w:t>
      </w:r>
      <w:r w:rsidRPr="00A445F3">
        <w:t xml:space="preserve"> </w:t>
      </w:r>
      <w:r>
        <w:t>November</w:t>
      </w:r>
      <w:r w:rsidRPr="00A445F3">
        <w:t xml:space="preserve"> </w:t>
      </w:r>
      <w:r>
        <w:t>2025</w:t>
      </w:r>
      <w:r w:rsidRPr="00A445F3">
        <w:t>].</w:t>
      </w:r>
    </w:p>
  </w:footnote>
  <w:footnote w:id="4">
    <w:p w14:paraId="620D1E40" w14:textId="77777777" w:rsidR="009317F2" w:rsidRDefault="009317F2" w:rsidP="009317F2">
      <w:pPr>
        <w:pStyle w:val="FootnoteText"/>
      </w:pPr>
      <w:r>
        <w:rPr>
          <w:rStyle w:val="FootnoteReference"/>
        </w:rPr>
        <w:footnoteRef/>
      </w:r>
      <w:r>
        <w:t xml:space="preserve"> Cadw</w:t>
      </w:r>
      <w:r w:rsidRPr="00A445F3">
        <w:t xml:space="preserve">, </w:t>
      </w:r>
      <w:r>
        <w:rPr>
          <w:i/>
          <w:iCs/>
        </w:rPr>
        <w:t>Tintern Abbey</w:t>
      </w:r>
      <w:r w:rsidRPr="00A445F3">
        <w:t xml:space="preserve"> (</w:t>
      </w:r>
      <w:r>
        <w:t>2019</w:t>
      </w:r>
      <w:r w:rsidRPr="00A445F3">
        <w:t xml:space="preserve">) &lt;https://cadw.gov.wales/sites/default/files/2019-05/Tinternnotesforteachers_EN.pdf&gt; [accessed </w:t>
      </w:r>
      <w:r>
        <w:t>07</w:t>
      </w:r>
      <w:r w:rsidRPr="00A445F3">
        <w:t xml:space="preserve"> </w:t>
      </w:r>
      <w:r>
        <w:t>November</w:t>
      </w:r>
      <w:r w:rsidRPr="00A445F3">
        <w:t xml:space="preserve"> </w:t>
      </w:r>
      <w:r>
        <w:t>2025</w:t>
      </w:r>
      <w:r w:rsidRPr="00A445F3">
        <w:t>].</w:t>
      </w:r>
    </w:p>
  </w:footnote>
  <w:footnote w:id="5">
    <w:p w14:paraId="2C4E639B" w14:textId="77777777" w:rsidR="009317F2" w:rsidRDefault="009317F2" w:rsidP="009317F2">
      <w:pPr>
        <w:pStyle w:val="FootnoteText"/>
      </w:pPr>
      <w:r>
        <w:rPr>
          <w:rStyle w:val="FootnoteReference"/>
        </w:rPr>
        <w:footnoteRef/>
      </w:r>
      <w:r>
        <w:t xml:space="preserve"> David Knowles, </w:t>
      </w:r>
      <w:r>
        <w:rPr>
          <w:i/>
          <w:iCs/>
        </w:rPr>
        <w:t>Christian Monasticism</w:t>
      </w:r>
      <w:r>
        <w:t>, p. 98.</w:t>
      </w:r>
    </w:p>
  </w:footnote>
  <w:footnote w:id="6">
    <w:p w14:paraId="564FE96E" w14:textId="77777777" w:rsidR="009317F2" w:rsidRPr="00A445F3" w:rsidRDefault="009317F2" w:rsidP="009317F2">
      <w:pPr>
        <w:pStyle w:val="FootnoteText"/>
      </w:pPr>
      <w:r>
        <w:rPr>
          <w:rStyle w:val="FootnoteReference"/>
        </w:rPr>
        <w:footnoteRef/>
      </w:r>
      <w:r>
        <w:t xml:space="preserve"> Medieval Heritage, </w:t>
      </w:r>
      <w:r>
        <w:rPr>
          <w:i/>
          <w:iCs/>
        </w:rPr>
        <w:t>Tintern – Cistercian Abbey</w:t>
      </w:r>
      <w:r>
        <w:t xml:space="preserve"> </w:t>
      </w:r>
      <w:r w:rsidRPr="00A445F3">
        <w:t xml:space="preserve">[accessed </w:t>
      </w:r>
      <w:r>
        <w:t>07</w:t>
      </w:r>
      <w:r w:rsidRPr="00A445F3">
        <w:t xml:space="preserve"> </w:t>
      </w:r>
      <w:r>
        <w:t>November</w:t>
      </w:r>
      <w:r w:rsidRPr="00A445F3">
        <w:t xml:space="preserve"> </w:t>
      </w:r>
      <w:r>
        <w:t>2025</w:t>
      </w:r>
      <w:r w:rsidRPr="00A445F3">
        <w:t>].</w:t>
      </w:r>
    </w:p>
  </w:footnote>
  <w:footnote w:id="7">
    <w:p w14:paraId="52BAFCAC" w14:textId="77777777" w:rsidR="009317F2" w:rsidRDefault="009317F2" w:rsidP="009317F2">
      <w:pPr>
        <w:pStyle w:val="FootnoteText"/>
      </w:pPr>
      <w:r>
        <w:rPr>
          <w:rStyle w:val="FootnoteReference"/>
        </w:rPr>
        <w:footnoteRef/>
      </w:r>
      <w:r>
        <w:t xml:space="preserve"> Ibid. </w:t>
      </w:r>
    </w:p>
  </w:footnote>
  <w:footnote w:id="8">
    <w:p w14:paraId="6A7C38E9" w14:textId="77777777" w:rsidR="009317F2" w:rsidRDefault="009317F2" w:rsidP="009317F2">
      <w:pPr>
        <w:pStyle w:val="FootnoteText"/>
      </w:pPr>
      <w:r>
        <w:rPr>
          <w:rStyle w:val="FootnoteReference"/>
        </w:rPr>
        <w:footnoteRef/>
      </w:r>
      <w:r>
        <w:t xml:space="preserve"> Ibid.</w:t>
      </w:r>
    </w:p>
  </w:footnote>
  <w:footnote w:id="9">
    <w:p w14:paraId="3AA02819" w14:textId="77777777" w:rsidR="009317F2" w:rsidRDefault="009317F2" w:rsidP="009317F2">
      <w:pPr>
        <w:pStyle w:val="FootnoteText"/>
      </w:pPr>
      <w:r>
        <w:rPr>
          <w:rStyle w:val="FootnoteReference"/>
        </w:rPr>
        <w:footnoteRef/>
      </w:r>
      <w:r>
        <w:t xml:space="preserve"> </w:t>
      </w:r>
      <w:r w:rsidRPr="0080133F">
        <w:t xml:space="preserve">Christopher Brooke, </w:t>
      </w:r>
      <w:r w:rsidRPr="0080133F">
        <w:rPr>
          <w:i/>
          <w:iCs/>
        </w:rPr>
        <w:t>The Monastic World 1000–1300</w:t>
      </w:r>
      <w:r w:rsidRPr="0080133F">
        <w:t xml:space="preserve"> (London: Thames and Hudson, 1974)</w:t>
      </w:r>
      <w:r>
        <w:t xml:space="preserve"> pp. 154-156.</w:t>
      </w:r>
    </w:p>
  </w:footnote>
  <w:footnote w:id="10">
    <w:p w14:paraId="2D2F1EAD" w14:textId="77777777" w:rsidR="009317F2" w:rsidRDefault="009317F2" w:rsidP="009317F2">
      <w:pPr>
        <w:pStyle w:val="FootnoteText"/>
      </w:pPr>
      <w:r>
        <w:rPr>
          <w:rStyle w:val="FootnoteReference"/>
        </w:rPr>
        <w:footnoteRef/>
      </w:r>
      <w:r>
        <w:t xml:space="preserve"> Medieval Heritage, </w:t>
      </w:r>
      <w:r>
        <w:rPr>
          <w:i/>
          <w:iCs/>
        </w:rPr>
        <w:t>Tintern – Cistercian Abbey</w:t>
      </w:r>
      <w:r>
        <w:t xml:space="preserve"> </w:t>
      </w:r>
      <w:r w:rsidRPr="00A445F3">
        <w:t xml:space="preserve">[accessed </w:t>
      </w:r>
      <w:r>
        <w:t>07</w:t>
      </w:r>
      <w:r w:rsidRPr="00A445F3">
        <w:t xml:space="preserve"> </w:t>
      </w:r>
      <w:r>
        <w:t>November</w:t>
      </w:r>
      <w:r w:rsidRPr="00A445F3">
        <w:t xml:space="preserve"> </w:t>
      </w:r>
      <w:r>
        <w:t>2025</w:t>
      </w:r>
      <w:r w:rsidRPr="00A445F3">
        <w:t>].</w:t>
      </w:r>
    </w:p>
  </w:footnote>
  <w:footnote w:id="11">
    <w:p w14:paraId="03B8934A" w14:textId="77777777" w:rsidR="009317F2" w:rsidRDefault="009317F2" w:rsidP="009317F2">
      <w:pPr>
        <w:pStyle w:val="FootnoteText"/>
      </w:pPr>
      <w:r>
        <w:rPr>
          <w:rStyle w:val="FootnoteReference"/>
        </w:rPr>
        <w:footnoteRef/>
      </w:r>
      <w:r>
        <w:t xml:space="preserve"> Ibid.</w:t>
      </w:r>
    </w:p>
  </w:footnote>
  <w:footnote w:id="12">
    <w:p w14:paraId="5AF73973" w14:textId="77777777" w:rsidR="009317F2" w:rsidRDefault="009317F2" w:rsidP="009317F2">
      <w:pPr>
        <w:pStyle w:val="FootnoteText"/>
      </w:pPr>
      <w:r>
        <w:rPr>
          <w:rStyle w:val="FootnoteReference"/>
        </w:rPr>
        <w:footnoteRef/>
      </w:r>
      <w:r>
        <w:t xml:space="preserve"> Janet</w:t>
      </w:r>
      <w:r w:rsidRPr="00A445F3">
        <w:t xml:space="preserve"> </w:t>
      </w:r>
      <w:r>
        <w:t xml:space="preserve">Burton </w:t>
      </w:r>
      <w:r w:rsidRPr="00A445F3">
        <w:t xml:space="preserve">and </w:t>
      </w:r>
      <w:r>
        <w:t>Julie</w:t>
      </w:r>
      <w:r w:rsidRPr="00A445F3">
        <w:t xml:space="preserve"> </w:t>
      </w:r>
      <w:r>
        <w:t>Kerr</w:t>
      </w:r>
      <w:r w:rsidRPr="00A445F3">
        <w:t xml:space="preserve">, </w:t>
      </w:r>
      <w:r>
        <w:rPr>
          <w:i/>
          <w:iCs/>
        </w:rPr>
        <w:t>The Cistercians in the Middle Ages</w:t>
      </w:r>
      <w:r>
        <w:t>,</w:t>
      </w:r>
      <w:r>
        <w:rPr>
          <w:i/>
          <w:iCs/>
        </w:rPr>
        <w:t xml:space="preserve"> </w:t>
      </w:r>
      <w:r w:rsidRPr="00A445F3">
        <w:t xml:space="preserve">p. </w:t>
      </w:r>
      <w:r>
        <w:t>56</w:t>
      </w:r>
      <w:r w:rsidRPr="00A445F3">
        <w:t>.</w:t>
      </w:r>
    </w:p>
  </w:footnote>
  <w:footnote w:id="13">
    <w:p w14:paraId="5963DA20" w14:textId="77777777" w:rsidR="009317F2" w:rsidRDefault="009317F2" w:rsidP="009317F2">
      <w:pPr>
        <w:pStyle w:val="FootnoteText"/>
      </w:pPr>
      <w:r>
        <w:rPr>
          <w:rStyle w:val="FootnoteReference"/>
        </w:rPr>
        <w:footnoteRef/>
      </w:r>
      <w:r>
        <w:t xml:space="preserve"> Cadw</w:t>
      </w:r>
      <w:r w:rsidRPr="00A445F3">
        <w:t xml:space="preserve">, </w:t>
      </w:r>
      <w:r>
        <w:rPr>
          <w:i/>
          <w:iCs/>
        </w:rPr>
        <w:t>Tintern Abbey</w:t>
      </w:r>
      <w:r w:rsidRPr="00A445F3">
        <w:t xml:space="preserve"> (</w:t>
      </w:r>
      <w:r>
        <w:t>2019</w:t>
      </w:r>
      <w:r w:rsidRPr="00A445F3">
        <w:t>)</w:t>
      </w:r>
      <w:r>
        <w:t xml:space="preserve"> </w:t>
      </w:r>
      <w:r w:rsidRPr="00A445F3">
        <w:t xml:space="preserve">[accessed </w:t>
      </w:r>
      <w:r>
        <w:t>07</w:t>
      </w:r>
      <w:r w:rsidRPr="00A445F3">
        <w:t xml:space="preserve"> </w:t>
      </w:r>
      <w:r>
        <w:t>November</w:t>
      </w:r>
      <w:r w:rsidRPr="00A445F3">
        <w:t xml:space="preserve"> </w:t>
      </w:r>
      <w:r>
        <w:t>2025</w:t>
      </w:r>
      <w:r w:rsidRPr="00A445F3">
        <w:t>].</w:t>
      </w:r>
    </w:p>
  </w:footnote>
  <w:footnote w:id="14">
    <w:p w14:paraId="66B3E64C" w14:textId="77777777" w:rsidR="009317F2" w:rsidRDefault="009317F2" w:rsidP="009317F2">
      <w:pPr>
        <w:pStyle w:val="FootnoteText"/>
      </w:pPr>
      <w:r>
        <w:rPr>
          <w:rStyle w:val="FootnoteReference"/>
        </w:rPr>
        <w:footnoteRef/>
      </w:r>
      <w:r>
        <w:t xml:space="preserve"> </w:t>
      </w:r>
      <w:r w:rsidRPr="0080133F">
        <w:t xml:space="preserve">Christopher Brooke, </w:t>
      </w:r>
      <w:r w:rsidRPr="0080133F">
        <w:rPr>
          <w:i/>
          <w:iCs/>
        </w:rPr>
        <w:t>The Monastic World 1000–1300</w:t>
      </w:r>
      <w:r>
        <w:t>, p. 138.</w:t>
      </w:r>
    </w:p>
  </w:footnote>
  <w:footnote w:id="15">
    <w:p w14:paraId="1E96E84C" w14:textId="77777777" w:rsidR="009317F2" w:rsidRDefault="009317F2" w:rsidP="009317F2">
      <w:pPr>
        <w:pStyle w:val="FootnoteText"/>
      </w:pPr>
      <w:r>
        <w:rPr>
          <w:rStyle w:val="FootnoteReference"/>
        </w:rPr>
        <w:footnoteRef/>
      </w:r>
      <w:r>
        <w:t xml:space="preserve"> David Knowles, </w:t>
      </w:r>
      <w:r>
        <w:rPr>
          <w:i/>
          <w:iCs/>
        </w:rPr>
        <w:t>Christian Monasticism</w:t>
      </w:r>
      <w:r>
        <w:t>, pp. 98-105.</w:t>
      </w:r>
    </w:p>
  </w:footnote>
  <w:footnote w:id="16">
    <w:p w14:paraId="1E5A7AA9" w14:textId="77777777" w:rsidR="009317F2" w:rsidRDefault="009317F2" w:rsidP="009317F2">
      <w:pPr>
        <w:pStyle w:val="FootnoteText"/>
      </w:pPr>
      <w:r>
        <w:rPr>
          <w:rStyle w:val="FootnoteReference"/>
        </w:rPr>
        <w:footnoteRef/>
      </w:r>
      <w:r>
        <w:t xml:space="preserve"> Janet</w:t>
      </w:r>
      <w:r w:rsidRPr="00A445F3">
        <w:t xml:space="preserve"> </w:t>
      </w:r>
      <w:r>
        <w:t xml:space="preserve">Burton </w:t>
      </w:r>
      <w:r w:rsidRPr="00A445F3">
        <w:t xml:space="preserve">and </w:t>
      </w:r>
      <w:r>
        <w:t>Julie</w:t>
      </w:r>
      <w:r w:rsidRPr="00A445F3">
        <w:t xml:space="preserve"> </w:t>
      </w:r>
      <w:r>
        <w:t>Kerr</w:t>
      </w:r>
      <w:r w:rsidRPr="00A445F3">
        <w:t xml:space="preserve">, </w:t>
      </w:r>
      <w:r>
        <w:rPr>
          <w:i/>
          <w:iCs/>
        </w:rPr>
        <w:t>The Cistercians in the Middle Ages</w:t>
      </w:r>
      <w:r>
        <w:t>,</w:t>
      </w:r>
      <w:r>
        <w:rPr>
          <w:i/>
          <w:iCs/>
        </w:rPr>
        <w:t xml:space="preserve"> </w:t>
      </w:r>
      <w:r w:rsidRPr="00A445F3">
        <w:t>p</w:t>
      </w:r>
      <w:r>
        <w:t>p</w:t>
      </w:r>
      <w:r w:rsidRPr="00A445F3">
        <w:t xml:space="preserve">. </w:t>
      </w:r>
      <w:r>
        <w:t>56-57</w:t>
      </w:r>
      <w:r w:rsidRPr="00A445F3">
        <w:t>.</w:t>
      </w:r>
    </w:p>
  </w:footnote>
  <w:footnote w:id="17">
    <w:p w14:paraId="10207113" w14:textId="77777777" w:rsidR="009317F2" w:rsidRDefault="009317F2" w:rsidP="009317F2">
      <w:pPr>
        <w:pStyle w:val="FootnoteText"/>
      </w:pPr>
      <w:r>
        <w:rPr>
          <w:rStyle w:val="FootnoteReference"/>
        </w:rPr>
        <w:footnoteRef/>
      </w:r>
      <w:r>
        <w:t xml:space="preserve"> Ibid., pp. 103-107.</w:t>
      </w:r>
    </w:p>
  </w:footnote>
  <w:footnote w:id="18">
    <w:p w14:paraId="479EAAE9" w14:textId="77777777" w:rsidR="009317F2" w:rsidRDefault="009317F2" w:rsidP="009317F2">
      <w:pPr>
        <w:pStyle w:val="FootnoteText"/>
      </w:pPr>
      <w:r>
        <w:rPr>
          <w:rStyle w:val="FootnoteReference"/>
        </w:rPr>
        <w:footnoteRef/>
      </w:r>
      <w:r>
        <w:t xml:space="preserve"> Janet</w:t>
      </w:r>
      <w:r w:rsidRPr="00A445F3">
        <w:t xml:space="preserve"> </w:t>
      </w:r>
      <w:r>
        <w:t xml:space="preserve">Burton </w:t>
      </w:r>
      <w:r w:rsidRPr="00A445F3">
        <w:t xml:space="preserve">and </w:t>
      </w:r>
      <w:r>
        <w:t>Julie</w:t>
      </w:r>
      <w:r w:rsidRPr="00A445F3">
        <w:t xml:space="preserve"> </w:t>
      </w:r>
      <w:r>
        <w:t>Kerr</w:t>
      </w:r>
      <w:r w:rsidRPr="00A445F3">
        <w:t xml:space="preserve">, </w:t>
      </w:r>
      <w:r>
        <w:rPr>
          <w:i/>
          <w:iCs/>
        </w:rPr>
        <w:t>The Cistercians in the Middle Ages</w:t>
      </w:r>
      <w:r>
        <w:t>,</w:t>
      </w:r>
      <w:r>
        <w:rPr>
          <w:i/>
          <w:iCs/>
        </w:rPr>
        <w:t xml:space="preserve"> </w:t>
      </w:r>
      <w:r w:rsidRPr="00A445F3">
        <w:t>p</w:t>
      </w:r>
      <w:r>
        <w:t>p</w:t>
      </w:r>
      <w:r w:rsidRPr="00A445F3">
        <w:t xml:space="preserve">. </w:t>
      </w:r>
      <w:r>
        <w:t>149-150</w:t>
      </w:r>
      <w:r w:rsidRPr="00A445F3">
        <w:t>.</w:t>
      </w:r>
    </w:p>
  </w:footnote>
  <w:footnote w:id="19">
    <w:p w14:paraId="2D0F91A6" w14:textId="77777777" w:rsidR="009317F2" w:rsidRDefault="009317F2" w:rsidP="009317F2">
      <w:pPr>
        <w:pStyle w:val="FootnoteText"/>
      </w:pPr>
      <w:r>
        <w:rPr>
          <w:rStyle w:val="FootnoteReference"/>
        </w:rPr>
        <w:footnoteRef/>
      </w:r>
      <w:r>
        <w:t xml:space="preserve"> David Knowles, </w:t>
      </w:r>
      <w:r>
        <w:rPr>
          <w:i/>
          <w:iCs/>
        </w:rPr>
        <w:t>Christian Monasticism</w:t>
      </w:r>
      <w:r>
        <w:t>, p. 119.</w:t>
      </w:r>
    </w:p>
  </w:footnote>
  <w:footnote w:id="20">
    <w:p w14:paraId="49536173" w14:textId="77777777" w:rsidR="009317F2" w:rsidRDefault="009317F2" w:rsidP="009317F2">
      <w:pPr>
        <w:pStyle w:val="FootnoteText"/>
      </w:pPr>
      <w:r>
        <w:rPr>
          <w:rStyle w:val="FootnoteReference"/>
        </w:rPr>
        <w:footnoteRef/>
      </w:r>
      <w:r>
        <w:t xml:space="preserve"> Medieval Heritage, </w:t>
      </w:r>
      <w:r>
        <w:rPr>
          <w:i/>
          <w:iCs/>
        </w:rPr>
        <w:t>Tintern – Cistercian Abbey</w:t>
      </w:r>
      <w:r>
        <w:t xml:space="preserve"> </w:t>
      </w:r>
      <w:r w:rsidRPr="00A445F3">
        <w:t xml:space="preserve">[accessed </w:t>
      </w:r>
      <w:r>
        <w:t>07</w:t>
      </w:r>
      <w:r w:rsidRPr="00A445F3">
        <w:t xml:space="preserve"> </w:t>
      </w:r>
      <w:r>
        <w:t>November</w:t>
      </w:r>
      <w:r w:rsidRPr="00A445F3">
        <w:t xml:space="preserve"> </w:t>
      </w:r>
      <w:r>
        <w:t>2025</w:t>
      </w:r>
      <w:r w:rsidRPr="00A445F3">
        <w:t>].</w:t>
      </w:r>
    </w:p>
  </w:footnote>
  <w:footnote w:id="21">
    <w:p w14:paraId="1ECE51F2" w14:textId="77777777" w:rsidR="009317F2" w:rsidRDefault="009317F2" w:rsidP="009317F2">
      <w:pPr>
        <w:pStyle w:val="FootnoteText"/>
      </w:pPr>
      <w:r>
        <w:rPr>
          <w:rStyle w:val="FootnoteReference"/>
        </w:rPr>
        <w:footnoteRef/>
      </w:r>
      <w:r>
        <w:t xml:space="preserve"> Richard K</w:t>
      </w:r>
      <w:r w:rsidRPr="00A445F3">
        <w:t xml:space="preserve"> </w:t>
      </w:r>
      <w:r>
        <w:t>Morris, Nicola Coldstream and Rick Turner</w:t>
      </w:r>
      <w:r w:rsidRPr="00A445F3">
        <w:t>, ‘</w:t>
      </w:r>
      <w:r>
        <w:t>The West Front of Tintern Abbey Church, Monmouthshire</w:t>
      </w:r>
      <w:r w:rsidRPr="00A445F3">
        <w:t xml:space="preserve">, </w:t>
      </w:r>
      <w:r>
        <w:rPr>
          <w:i/>
          <w:iCs/>
        </w:rPr>
        <w:t>The Antiquaries Journal</w:t>
      </w:r>
      <w:r w:rsidRPr="00A445F3">
        <w:t xml:space="preserve">, </w:t>
      </w:r>
      <w:r>
        <w:t>95</w:t>
      </w:r>
      <w:r w:rsidRPr="00A445F3">
        <w:t xml:space="preserve"> (</w:t>
      </w:r>
      <w:r>
        <w:t>2015</w:t>
      </w:r>
      <w:r w:rsidRPr="00A445F3">
        <w:t xml:space="preserve">), </w:t>
      </w:r>
      <w:r>
        <w:t xml:space="preserve">119-150 </w:t>
      </w:r>
      <w:r w:rsidRPr="00A445F3">
        <w:t>&lt;http://dx.doi.org/10.1017/S0003581515000153&gt;.</w:t>
      </w:r>
    </w:p>
  </w:footnote>
  <w:footnote w:id="22">
    <w:p w14:paraId="6C2A6A3B" w14:textId="77777777" w:rsidR="009317F2" w:rsidRDefault="009317F2" w:rsidP="009317F2">
      <w:pPr>
        <w:pStyle w:val="FootnoteText"/>
      </w:pPr>
      <w:r>
        <w:rPr>
          <w:rStyle w:val="FootnoteReference"/>
        </w:rPr>
        <w:footnoteRef/>
      </w:r>
      <w:r>
        <w:t xml:space="preserve"> David Knowles, </w:t>
      </w:r>
      <w:r>
        <w:rPr>
          <w:i/>
          <w:iCs/>
        </w:rPr>
        <w:t>Christian Monasticism</w:t>
      </w:r>
      <w:r>
        <w:t>, p. 74.</w:t>
      </w:r>
    </w:p>
  </w:footnote>
  <w:footnote w:id="23">
    <w:p w14:paraId="323A57EA" w14:textId="77777777" w:rsidR="009317F2" w:rsidRDefault="009317F2" w:rsidP="009317F2">
      <w:pPr>
        <w:pStyle w:val="FootnoteText"/>
      </w:pPr>
      <w:r>
        <w:rPr>
          <w:rStyle w:val="FootnoteReference"/>
        </w:rPr>
        <w:footnoteRef/>
      </w:r>
      <w:r>
        <w:t xml:space="preserve"> Medieval Heritage, </w:t>
      </w:r>
      <w:r>
        <w:rPr>
          <w:i/>
          <w:iCs/>
        </w:rPr>
        <w:t>Tintern – Cistercian Abbey</w:t>
      </w:r>
      <w:r>
        <w:t xml:space="preserve"> </w:t>
      </w:r>
      <w:r w:rsidRPr="00A445F3">
        <w:t xml:space="preserve">[accessed </w:t>
      </w:r>
      <w:r>
        <w:t>07</w:t>
      </w:r>
      <w:r w:rsidRPr="00A445F3">
        <w:t xml:space="preserve"> </w:t>
      </w:r>
      <w:r>
        <w:t>November</w:t>
      </w:r>
      <w:r w:rsidRPr="00A445F3">
        <w:t xml:space="preserve"> </w:t>
      </w:r>
      <w:r>
        <w:t>2025</w:t>
      </w:r>
      <w:r w:rsidRPr="00A445F3">
        <w:t>].</w:t>
      </w:r>
    </w:p>
  </w:footnote>
  <w:footnote w:id="24">
    <w:p w14:paraId="034B76DD" w14:textId="77777777" w:rsidR="009317F2" w:rsidRDefault="009317F2" w:rsidP="009317F2">
      <w:pPr>
        <w:pStyle w:val="FootnoteText"/>
      </w:pPr>
      <w:r>
        <w:rPr>
          <w:rStyle w:val="FootnoteReference"/>
        </w:rPr>
        <w:footnoteRef/>
      </w:r>
      <w:r>
        <w:t xml:space="preserve"> </w:t>
      </w:r>
      <w:r w:rsidRPr="0080133F">
        <w:t xml:space="preserve">Christopher Brooke, </w:t>
      </w:r>
      <w:r w:rsidRPr="0080133F">
        <w:rPr>
          <w:i/>
          <w:iCs/>
        </w:rPr>
        <w:t>The Monastic World 1000–1300</w:t>
      </w:r>
      <w:r>
        <w:t>, p. 139.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EE412" w14:textId="0577AEB5" w:rsidR="009317F2" w:rsidRPr="00C437AF" w:rsidRDefault="009317F2" w:rsidP="009317F2">
    <w:pPr>
      <w:pStyle w:val="Header"/>
      <w:jc w:val="both"/>
      <w:rPr>
        <w:sz w:val="22"/>
        <w:szCs w:val="22"/>
      </w:rPr>
    </w:pPr>
    <w:r w:rsidRPr="009A1E2E">
      <w:rPr>
        <w:b/>
        <w:bCs/>
      </w:rPr>
      <w:t>Chris Guy</w:t>
    </w:r>
    <w:r w:rsidRPr="009A1E2E">
      <w:rPr>
        <w:b/>
        <w:bCs/>
      </w:rPr>
      <w:tab/>
      <w:t xml:space="preserve">    From Desert Myths to Sheep Tales: The Cistercians in the Middle Ages </w:t>
    </w:r>
    <w:r w:rsidRPr="009A1E2E">
      <w:rPr>
        <w:sz w:val="22"/>
        <w:szCs w:val="22"/>
      </w:rPr>
      <w:t>(HPHI5911, HPHI6911)</w:t>
    </w:r>
    <w:r w:rsidRPr="009A1E2E">
      <w:rPr>
        <w:sz w:val="22"/>
        <w:szCs w:val="22"/>
      </w:rPr>
      <w:tab/>
    </w:r>
    <w:r w:rsidRPr="009A1E2E">
      <w:rPr>
        <w:sz w:val="22"/>
        <w:szCs w:val="22"/>
      </w:rPr>
      <w:tab/>
    </w:r>
    <w:r w:rsidR="00C437AF">
      <w:rPr>
        <w:sz w:val="22"/>
        <w:szCs w:val="22"/>
      </w:rPr>
      <w:t>23</w:t>
    </w:r>
    <w:r w:rsidRPr="009A1E2E">
      <w:rPr>
        <w:sz w:val="22"/>
        <w:szCs w:val="22"/>
      </w:rPr>
      <w:t>/11/2025</w:t>
    </w:r>
  </w:p>
  <w:p w14:paraId="78387AC2" w14:textId="77777777" w:rsidR="009317F2" w:rsidRDefault="009317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7F2"/>
    <w:rsid w:val="000C62B5"/>
    <w:rsid w:val="009317F2"/>
    <w:rsid w:val="00A93BD3"/>
    <w:rsid w:val="00C437AF"/>
    <w:rsid w:val="00E064C0"/>
    <w:rsid w:val="00FC4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36830"/>
  <w15:chartTrackingRefBased/>
  <w15:docId w15:val="{67D3FEEE-AB66-405E-A62B-EDD32C483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7F2"/>
  </w:style>
  <w:style w:type="paragraph" w:styleId="Heading1">
    <w:name w:val="heading 1"/>
    <w:basedOn w:val="Normal"/>
    <w:next w:val="Normal"/>
    <w:link w:val="Heading1Char"/>
    <w:uiPriority w:val="9"/>
    <w:qFormat/>
    <w:rsid w:val="009317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7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7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7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7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7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7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7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7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7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7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7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7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7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7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7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7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7F2"/>
    <w:rPr>
      <w:rFonts w:eastAsiaTheme="majorEastAsia" w:cstheme="majorBidi"/>
      <w:color w:val="272727" w:themeColor="text1" w:themeTint="D8"/>
    </w:rPr>
  </w:style>
  <w:style w:type="paragraph" w:styleId="Title">
    <w:name w:val="Title"/>
    <w:basedOn w:val="Normal"/>
    <w:next w:val="Normal"/>
    <w:link w:val="TitleChar"/>
    <w:uiPriority w:val="10"/>
    <w:qFormat/>
    <w:rsid w:val="009317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7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7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7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7F2"/>
    <w:pPr>
      <w:spacing w:before="160"/>
      <w:jc w:val="center"/>
    </w:pPr>
    <w:rPr>
      <w:i/>
      <w:iCs/>
      <w:color w:val="404040" w:themeColor="text1" w:themeTint="BF"/>
    </w:rPr>
  </w:style>
  <w:style w:type="character" w:customStyle="1" w:styleId="QuoteChar">
    <w:name w:val="Quote Char"/>
    <w:basedOn w:val="DefaultParagraphFont"/>
    <w:link w:val="Quote"/>
    <w:uiPriority w:val="29"/>
    <w:rsid w:val="009317F2"/>
    <w:rPr>
      <w:i/>
      <w:iCs/>
      <w:color w:val="404040" w:themeColor="text1" w:themeTint="BF"/>
    </w:rPr>
  </w:style>
  <w:style w:type="paragraph" w:styleId="ListParagraph">
    <w:name w:val="List Paragraph"/>
    <w:basedOn w:val="Normal"/>
    <w:uiPriority w:val="34"/>
    <w:qFormat/>
    <w:rsid w:val="009317F2"/>
    <w:pPr>
      <w:ind w:left="720"/>
      <w:contextualSpacing/>
    </w:pPr>
  </w:style>
  <w:style w:type="character" w:styleId="IntenseEmphasis">
    <w:name w:val="Intense Emphasis"/>
    <w:basedOn w:val="DefaultParagraphFont"/>
    <w:uiPriority w:val="21"/>
    <w:qFormat/>
    <w:rsid w:val="009317F2"/>
    <w:rPr>
      <w:i/>
      <w:iCs/>
      <w:color w:val="0F4761" w:themeColor="accent1" w:themeShade="BF"/>
    </w:rPr>
  </w:style>
  <w:style w:type="paragraph" w:styleId="IntenseQuote">
    <w:name w:val="Intense Quote"/>
    <w:basedOn w:val="Normal"/>
    <w:next w:val="Normal"/>
    <w:link w:val="IntenseQuoteChar"/>
    <w:uiPriority w:val="30"/>
    <w:qFormat/>
    <w:rsid w:val="009317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7F2"/>
    <w:rPr>
      <w:i/>
      <w:iCs/>
      <w:color w:val="0F4761" w:themeColor="accent1" w:themeShade="BF"/>
    </w:rPr>
  </w:style>
  <w:style w:type="character" w:styleId="IntenseReference">
    <w:name w:val="Intense Reference"/>
    <w:basedOn w:val="DefaultParagraphFont"/>
    <w:uiPriority w:val="32"/>
    <w:qFormat/>
    <w:rsid w:val="009317F2"/>
    <w:rPr>
      <w:b/>
      <w:bCs/>
      <w:smallCaps/>
      <w:color w:val="0F4761" w:themeColor="accent1" w:themeShade="BF"/>
      <w:spacing w:val="5"/>
    </w:rPr>
  </w:style>
  <w:style w:type="paragraph" w:styleId="Header">
    <w:name w:val="header"/>
    <w:basedOn w:val="Normal"/>
    <w:link w:val="HeaderChar"/>
    <w:uiPriority w:val="99"/>
    <w:unhideWhenUsed/>
    <w:rsid w:val="00931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7F2"/>
  </w:style>
  <w:style w:type="paragraph" w:styleId="Footer">
    <w:name w:val="footer"/>
    <w:basedOn w:val="Normal"/>
    <w:link w:val="FooterChar"/>
    <w:uiPriority w:val="99"/>
    <w:unhideWhenUsed/>
    <w:rsid w:val="009317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7F2"/>
  </w:style>
  <w:style w:type="paragraph" w:styleId="FootnoteText">
    <w:name w:val="footnote text"/>
    <w:basedOn w:val="Normal"/>
    <w:link w:val="FootnoteTextChar"/>
    <w:uiPriority w:val="99"/>
    <w:semiHidden/>
    <w:unhideWhenUsed/>
    <w:rsid w:val="009317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17F2"/>
    <w:rPr>
      <w:sz w:val="20"/>
      <w:szCs w:val="20"/>
    </w:rPr>
  </w:style>
  <w:style w:type="character" w:styleId="FootnoteReference">
    <w:name w:val="footnote reference"/>
    <w:basedOn w:val="DefaultParagraphFont"/>
    <w:uiPriority w:val="99"/>
    <w:semiHidden/>
    <w:unhideWhenUsed/>
    <w:rsid w:val="009317F2"/>
    <w:rPr>
      <w:vertAlign w:val="superscript"/>
    </w:rPr>
  </w:style>
  <w:style w:type="paragraph" w:styleId="Caption">
    <w:name w:val="caption"/>
    <w:basedOn w:val="Normal"/>
    <w:next w:val="Normal"/>
    <w:uiPriority w:val="35"/>
    <w:unhideWhenUsed/>
    <w:qFormat/>
    <w:rsid w:val="009317F2"/>
    <w:pPr>
      <w:spacing w:after="200" w:line="240" w:lineRule="auto"/>
    </w:pPr>
    <w:rPr>
      <w:i/>
      <w:iCs/>
      <w:color w:val="0E2841" w:themeColor="text2"/>
      <w:sz w:val="18"/>
      <w:szCs w:val="18"/>
    </w:rPr>
  </w:style>
  <w:style w:type="paragraph" w:styleId="EndnoteText">
    <w:name w:val="endnote text"/>
    <w:basedOn w:val="Normal"/>
    <w:link w:val="EndnoteTextChar"/>
    <w:uiPriority w:val="99"/>
    <w:semiHidden/>
    <w:unhideWhenUsed/>
    <w:rsid w:val="009317F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317F2"/>
    <w:rPr>
      <w:sz w:val="20"/>
      <w:szCs w:val="20"/>
    </w:rPr>
  </w:style>
  <w:style w:type="character" w:styleId="EndnoteReference">
    <w:name w:val="endnote reference"/>
    <w:basedOn w:val="DefaultParagraphFont"/>
    <w:uiPriority w:val="99"/>
    <w:semiHidden/>
    <w:unhideWhenUsed/>
    <w:rsid w:val="009317F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1251</Words>
  <Characters>7561</Characters>
  <Application>Microsoft Office Word</Application>
  <DocSecurity>0</DocSecurity>
  <Lines>130</Lines>
  <Paragraphs>26</Paragraphs>
  <ScaleCrop>false</ScaleCrop>
  <Company/>
  <LinksUpToDate>false</LinksUpToDate>
  <CharactersWithSpaces>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3</cp:revision>
  <dcterms:created xsi:type="dcterms:W3CDTF">2025-11-23T21:03:00Z</dcterms:created>
  <dcterms:modified xsi:type="dcterms:W3CDTF">2025-11-23T21:08:00Z</dcterms:modified>
</cp:coreProperties>
</file>