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33E83B2" wp14:paraId="2B3411A8" wp14:textId="0E088E4B">
      <w:pPr>
        <w:pStyle w:val="Normal"/>
      </w:pPr>
      <w:r w:rsidR="23A7CB29">
        <w:drawing>
          <wp:inline xmlns:wp14="http://schemas.microsoft.com/office/word/2010/wordprocessingDrawing" wp14:editId="3D345EAF" wp14:anchorId="08B49B5C">
            <wp:extent cx="4688230" cy="1792379"/>
            <wp:effectExtent l="0" t="0" r="0" b="0"/>
            <wp:docPr id="118194326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81943261" name="Picture 1181943261"/>
                    <pic:cNvPicPr/>
                  </pic:nvPicPr>
                  <pic:blipFill>
                    <a:blip xmlns:r="http://schemas.openxmlformats.org/officeDocument/2006/relationships" r:embed="rId383350961">
                      <a:extLst>
                        <a:ext uri="{28A0092B-C50C-407E-A947-70E740481C1C}">
                          <a14:useLocalDpi xmlns:a14="http://schemas.microsoft.com/office/drawing/2010/main"/>
                        </a:ext>
                      </a:extLst>
                    </a:blip>
                    <a:stretch>
                      <a:fillRect/>
                    </a:stretch>
                  </pic:blipFill>
                  <pic:spPr>
                    <a:xfrm>
                      <a:off x="0" y="0"/>
                      <a:ext cx="4688230" cy="1792379"/>
                    </a:xfrm>
                    <a:prstGeom prst="rect">
                      <a:avLst/>
                    </a:prstGeom>
                  </pic:spPr>
                </pic:pic>
              </a:graphicData>
            </a:graphic>
          </wp:inline>
        </w:drawing>
      </w:r>
    </w:p>
    <w:p xmlns:wp14="http://schemas.microsoft.com/office/word/2010/wordml" w:rsidP="533E83B2" wp14:paraId="179B243D" wp14:textId="15DE4015">
      <w:pPr>
        <w:pStyle w:val="Normal"/>
        <w:bidi w:val="0"/>
        <w:spacing w:before="0" w:beforeAutospacing="off" w:after="0" w:afterAutospacing="off" w:line="480" w:lineRule="auto"/>
      </w:pPr>
      <w:r w:rsidRPr="533E83B2" w:rsidR="23A7CB29">
        <w:rPr>
          <w:rFonts w:ascii="Times New Roman" w:hAnsi="Times New Roman" w:eastAsia="Times New Roman" w:cs="Times New Roman"/>
          <w:noProof w:val="0"/>
          <w:color w:val="000000" w:themeColor="text1" w:themeTint="FF" w:themeShade="FF"/>
          <w:sz w:val="22"/>
          <w:szCs w:val="22"/>
          <w:lang w:val="en-US"/>
        </w:rPr>
        <w:t xml:space="preserve">Module Name: </w:t>
      </w:r>
      <w:r w:rsidRPr="533E83B2" w:rsidR="0F380462">
        <w:rPr>
          <w:rFonts w:ascii="Times New Roman" w:hAnsi="Times New Roman" w:eastAsia="Times New Roman" w:cs="Times New Roman"/>
          <w:noProof w:val="0"/>
          <w:sz w:val="22"/>
          <w:szCs w:val="22"/>
          <w:lang w:val="en-US"/>
        </w:rPr>
        <w:t>Ethical Hacking</w:t>
      </w:r>
    </w:p>
    <w:p xmlns:wp14="http://schemas.microsoft.com/office/word/2010/wordml" w:rsidP="533E83B2" wp14:paraId="21AEF939" wp14:textId="15C18379">
      <w:pPr>
        <w:pStyle w:val="Normal"/>
        <w:bidi w:val="0"/>
        <w:spacing w:before="0" w:beforeAutospacing="off" w:after="0" w:afterAutospacing="off" w:line="480" w:lineRule="auto"/>
      </w:pPr>
      <w:r w:rsidRPr="533E83B2" w:rsidR="23A7CB29">
        <w:rPr>
          <w:rFonts w:ascii="Times New Roman" w:hAnsi="Times New Roman" w:eastAsia="Times New Roman" w:cs="Times New Roman"/>
          <w:noProof w:val="0"/>
          <w:color w:val="000000" w:themeColor="text1" w:themeTint="FF" w:themeShade="FF"/>
          <w:sz w:val="22"/>
          <w:szCs w:val="22"/>
          <w:lang w:val="en-US"/>
        </w:rPr>
        <w:t xml:space="preserve">Module code: </w:t>
      </w:r>
      <w:r w:rsidRPr="533E83B2" w:rsidR="637A3B71">
        <w:rPr>
          <w:rFonts w:ascii="Times New Roman" w:hAnsi="Times New Roman" w:eastAsia="Times New Roman" w:cs="Times New Roman"/>
          <w:noProof w:val="0"/>
          <w:sz w:val="22"/>
          <w:szCs w:val="22"/>
          <w:lang w:val="en-US"/>
        </w:rPr>
        <w:t>ACCA7033</w:t>
      </w:r>
    </w:p>
    <w:p xmlns:wp14="http://schemas.microsoft.com/office/word/2010/wordml" w:rsidP="533E83B2" wp14:paraId="27ED0710" wp14:textId="7D2FFC36">
      <w:pPr>
        <w:bidi w:val="0"/>
        <w:spacing w:before="0" w:beforeAutospacing="off" w:after="0" w:afterAutospacing="off" w:line="480" w:lineRule="auto"/>
      </w:pPr>
      <w:r w:rsidRPr="533E83B2" w:rsidR="23A7CB29">
        <w:rPr>
          <w:rFonts w:ascii="Times New Roman" w:hAnsi="Times New Roman" w:eastAsia="Times New Roman" w:cs="Times New Roman"/>
          <w:noProof w:val="0"/>
          <w:color w:val="000000" w:themeColor="text1" w:themeTint="FF" w:themeShade="FF"/>
          <w:sz w:val="22"/>
          <w:szCs w:val="22"/>
          <w:lang w:val="en-US"/>
        </w:rPr>
        <w:t xml:space="preserve">Student Name: </w:t>
      </w:r>
      <w:r w:rsidRPr="533E83B2" w:rsidR="23A7CB29">
        <w:rPr>
          <w:rFonts w:ascii="Times New Roman" w:hAnsi="Times New Roman" w:eastAsia="Times New Roman" w:cs="Times New Roman"/>
          <w:noProof w:val="0"/>
          <w:sz w:val="22"/>
          <w:szCs w:val="22"/>
          <w:lang w:val="en-US"/>
        </w:rPr>
        <w:t>Parth Pareshbhai Tablawala</w:t>
      </w:r>
    </w:p>
    <w:p xmlns:wp14="http://schemas.microsoft.com/office/word/2010/wordml" w:rsidP="533E83B2" wp14:paraId="6C305779" wp14:textId="771EDF68">
      <w:pPr>
        <w:bidi w:val="0"/>
        <w:spacing w:before="0" w:beforeAutospacing="off" w:after="0" w:afterAutospacing="off" w:line="480" w:lineRule="auto"/>
      </w:pPr>
      <w:r w:rsidRPr="533E83B2" w:rsidR="23A7CB29">
        <w:rPr>
          <w:rFonts w:ascii="Times New Roman" w:hAnsi="Times New Roman" w:eastAsia="Times New Roman" w:cs="Times New Roman"/>
          <w:noProof w:val="0"/>
          <w:color w:val="000000" w:themeColor="text1" w:themeTint="FF" w:themeShade="FF"/>
          <w:sz w:val="22"/>
          <w:szCs w:val="22"/>
          <w:lang w:val="en-US"/>
        </w:rPr>
        <w:t xml:space="preserve">Student ID: </w:t>
      </w:r>
      <w:r w:rsidRPr="533E83B2" w:rsidR="23A7CB29">
        <w:rPr>
          <w:rFonts w:ascii="Times New Roman" w:hAnsi="Times New Roman" w:eastAsia="Times New Roman" w:cs="Times New Roman"/>
          <w:noProof w:val="0"/>
          <w:sz w:val="22"/>
          <w:szCs w:val="22"/>
          <w:lang w:val="en-US"/>
        </w:rPr>
        <w:t>2515744</w:t>
      </w:r>
    </w:p>
    <w:p xmlns:wp14="http://schemas.microsoft.com/office/word/2010/wordml" w:rsidP="533E83B2" wp14:paraId="1082A372" wp14:textId="7CD20E53">
      <w:pPr>
        <w:bidi w:val="0"/>
        <w:spacing w:before="0" w:beforeAutospacing="off" w:after="0" w:afterAutospacing="off" w:line="480" w:lineRule="auto"/>
      </w:pPr>
      <w:r w:rsidRPr="533E83B2" w:rsidR="23A7CB29">
        <w:rPr>
          <w:rFonts w:ascii="Times New Roman" w:hAnsi="Times New Roman" w:eastAsia="Times New Roman" w:cs="Times New Roman"/>
          <w:noProof w:val="0"/>
          <w:color w:val="000000" w:themeColor="text1" w:themeTint="FF" w:themeShade="FF"/>
          <w:sz w:val="22"/>
          <w:szCs w:val="22"/>
          <w:lang w:val="en-US"/>
        </w:rPr>
        <w:t>Submission Deadline: 18</w:t>
      </w:r>
      <w:r w:rsidRPr="533E83B2" w:rsidR="23A7CB29">
        <w:rPr>
          <w:rFonts w:ascii="Times New Roman" w:hAnsi="Times New Roman" w:eastAsia="Times New Roman" w:cs="Times New Roman"/>
          <w:noProof w:val="0"/>
          <w:color w:val="000000" w:themeColor="text1" w:themeTint="FF" w:themeShade="FF"/>
          <w:sz w:val="22"/>
          <w:szCs w:val="22"/>
          <w:vertAlign w:val="superscript"/>
          <w:lang w:val="en-US"/>
        </w:rPr>
        <w:t>th</w:t>
      </w:r>
      <w:r w:rsidRPr="533E83B2" w:rsidR="23A7CB29">
        <w:rPr>
          <w:rFonts w:ascii="Times New Roman" w:hAnsi="Times New Roman" w:eastAsia="Times New Roman" w:cs="Times New Roman"/>
          <w:noProof w:val="0"/>
          <w:color w:val="000000" w:themeColor="text1" w:themeTint="FF" w:themeShade="FF"/>
          <w:sz w:val="22"/>
          <w:szCs w:val="22"/>
          <w:lang w:val="en-US"/>
        </w:rPr>
        <w:t xml:space="preserve"> December 2025</w:t>
      </w:r>
    </w:p>
    <w:p xmlns:wp14="http://schemas.microsoft.com/office/word/2010/wordml" w:rsidP="533E83B2" wp14:paraId="35AB8714" wp14:textId="2ADF6D8E">
      <w:pPr>
        <w:pStyle w:val="Normal"/>
        <w:suppressLineNumbers w:val="0"/>
        <w:bidi w:val="0"/>
        <w:spacing w:before="0" w:beforeAutospacing="off" w:after="0" w:afterAutospacing="off" w:line="480" w:lineRule="auto"/>
        <w:ind w:left="0" w:right="0"/>
        <w:jc w:val="left"/>
      </w:pPr>
      <w:r w:rsidRPr="533E83B2" w:rsidR="23A7CB29">
        <w:rPr>
          <w:rFonts w:ascii="Times New Roman" w:hAnsi="Times New Roman" w:eastAsia="Times New Roman" w:cs="Times New Roman"/>
          <w:noProof w:val="0"/>
          <w:color w:val="000000" w:themeColor="text1" w:themeTint="FF" w:themeShade="FF"/>
          <w:sz w:val="22"/>
          <w:szCs w:val="22"/>
          <w:lang w:val="en-US"/>
        </w:rPr>
        <w:t xml:space="preserve">Word Count: </w:t>
      </w:r>
      <w:r w:rsidRPr="533E83B2" w:rsidR="4B146D83">
        <w:rPr>
          <w:rFonts w:ascii="Times New Roman" w:hAnsi="Times New Roman" w:eastAsia="Times New Roman" w:cs="Times New Roman"/>
          <w:noProof w:val="0"/>
          <w:color w:val="000000" w:themeColor="text1" w:themeTint="FF" w:themeShade="FF"/>
          <w:sz w:val="22"/>
          <w:szCs w:val="22"/>
          <w:lang w:val="en-US"/>
        </w:rPr>
        <w:t>4800</w:t>
      </w:r>
    </w:p>
    <w:p xmlns:wp14="http://schemas.microsoft.com/office/word/2010/wordml" w:rsidP="533E83B2" wp14:paraId="374D14E3" wp14:textId="1154B1EB">
      <w:pPr>
        <w:pStyle w:val="Normal"/>
        <w:suppressLineNumbers w:val="0"/>
        <w:bidi w:val="0"/>
        <w:spacing w:before="0" w:beforeAutospacing="off" w:after="0" w:afterAutospacing="off" w:line="480" w:lineRule="auto"/>
        <w:ind w:left="0" w:right="0"/>
        <w:jc w:val="left"/>
        <w:rPr>
          <w:rFonts w:ascii="Times New Roman" w:hAnsi="Times New Roman" w:eastAsia="Times New Roman" w:cs="Times New Roman"/>
          <w:noProof w:val="0"/>
          <w:color w:val="000000" w:themeColor="text1" w:themeTint="FF" w:themeShade="FF"/>
          <w:sz w:val="22"/>
          <w:szCs w:val="22"/>
          <w:lang w:val="en-US"/>
        </w:rPr>
      </w:pPr>
    </w:p>
    <w:p xmlns:wp14="http://schemas.microsoft.com/office/word/2010/wordml" w:rsidP="533E83B2" wp14:paraId="75DB6E24" wp14:textId="4F4A5F99">
      <w:pPr>
        <w:pStyle w:val="Normal"/>
        <w:suppressLineNumbers w:val="0"/>
        <w:bidi w:val="0"/>
        <w:spacing w:before="0" w:beforeAutospacing="off" w:after="0" w:afterAutospacing="off" w:line="480" w:lineRule="auto"/>
        <w:ind w:left="0" w:right="0"/>
        <w:jc w:val="left"/>
        <w:rPr>
          <w:rFonts w:ascii="Times New Roman" w:hAnsi="Times New Roman" w:eastAsia="Times New Roman" w:cs="Times New Roman"/>
          <w:noProof w:val="0"/>
          <w:color w:val="000000" w:themeColor="text1" w:themeTint="FF" w:themeShade="FF"/>
          <w:sz w:val="22"/>
          <w:szCs w:val="22"/>
          <w:lang w:val="en-US"/>
        </w:rPr>
      </w:pPr>
    </w:p>
    <w:p xmlns:wp14="http://schemas.microsoft.com/office/word/2010/wordml" w:rsidP="533E83B2" wp14:paraId="1F182C4C" wp14:textId="4D0CA934">
      <w:pPr>
        <w:pStyle w:val="Normal"/>
        <w:suppressLineNumbers w:val="0"/>
        <w:bidi w:val="0"/>
        <w:spacing w:before="0" w:beforeAutospacing="off" w:after="0" w:afterAutospacing="off" w:line="480" w:lineRule="auto"/>
        <w:ind w:left="0" w:right="0"/>
        <w:jc w:val="left"/>
        <w:rPr>
          <w:rFonts w:ascii="Times New Roman" w:hAnsi="Times New Roman" w:eastAsia="Times New Roman" w:cs="Times New Roman"/>
          <w:noProof w:val="0"/>
          <w:color w:val="000000" w:themeColor="text1" w:themeTint="FF" w:themeShade="FF"/>
          <w:sz w:val="22"/>
          <w:szCs w:val="22"/>
          <w:lang w:val="en-US"/>
        </w:rPr>
      </w:pPr>
    </w:p>
    <w:p xmlns:wp14="http://schemas.microsoft.com/office/word/2010/wordml" w:rsidP="533E83B2" wp14:paraId="58ABA62B" wp14:textId="44C5AD45">
      <w:pPr>
        <w:pStyle w:val="Normal"/>
        <w:suppressLineNumbers w:val="0"/>
        <w:bidi w:val="0"/>
        <w:spacing w:before="0" w:beforeAutospacing="off" w:after="0" w:afterAutospacing="off" w:line="480" w:lineRule="auto"/>
        <w:ind w:left="0" w:right="0"/>
        <w:jc w:val="left"/>
        <w:rPr>
          <w:rFonts w:ascii="Times New Roman" w:hAnsi="Times New Roman" w:eastAsia="Times New Roman" w:cs="Times New Roman"/>
          <w:noProof w:val="0"/>
          <w:color w:val="000000" w:themeColor="text1" w:themeTint="FF" w:themeShade="FF"/>
          <w:sz w:val="22"/>
          <w:szCs w:val="22"/>
          <w:lang w:val="en-US"/>
        </w:rPr>
      </w:pPr>
    </w:p>
    <w:p xmlns:wp14="http://schemas.microsoft.com/office/word/2010/wordml" w:rsidP="533E83B2" wp14:paraId="12C2B447" wp14:textId="180AF3E5">
      <w:pPr>
        <w:pStyle w:val="Normal"/>
        <w:suppressLineNumbers w:val="0"/>
        <w:bidi w:val="0"/>
        <w:spacing w:before="0" w:beforeAutospacing="off" w:after="0" w:afterAutospacing="off" w:line="480" w:lineRule="auto"/>
        <w:ind w:left="0" w:right="0"/>
        <w:jc w:val="left"/>
        <w:rPr>
          <w:rFonts w:ascii="Times New Roman" w:hAnsi="Times New Roman" w:eastAsia="Times New Roman" w:cs="Times New Roman"/>
          <w:noProof w:val="0"/>
          <w:color w:val="000000" w:themeColor="text1" w:themeTint="FF" w:themeShade="FF"/>
          <w:sz w:val="22"/>
          <w:szCs w:val="22"/>
          <w:lang w:val="en-US"/>
        </w:rPr>
      </w:pPr>
    </w:p>
    <w:p xmlns:wp14="http://schemas.microsoft.com/office/word/2010/wordml" w:rsidP="533E83B2" wp14:paraId="31FCD0C4" wp14:textId="2F0BB741">
      <w:pPr>
        <w:pStyle w:val="Normal"/>
        <w:suppressLineNumbers w:val="0"/>
        <w:bidi w:val="0"/>
        <w:spacing w:before="0" w:beforeAutospacing="off" w:after="0" w:afterAutospacing="off" w:line="480" w:lineRule="auto"/>
        <w:ind w:left="0" w:right="0"/>
        <w:jc w:val="left"/>
        <w:rPr>
          <w:rFonts w:ascii="Times New Roman" w:hAnsi="Times New Roman" w:eastAsia="Times New Roman" w:cs="Times New Roman"/>
          <w:noProof w:val="0"/>
          <w:color w:val="000000" w:themeColor="text1" w:themeTint="FF" w:themeShade="FF"/>
          <w:sz w:val="22"/>
          <w:szCs w:val="22"/>
          <w:lang w:val="en-US"/>
        </w:rPr>
      </w:pPr>
    </w:p>
    <w:p xmlns:wp14="http://schemas.microsoft.com/office/word/2010/wordml" w:rsidP="533E83B2" wp14:paraId="797990D5" wp14:textId="5D4E3C1E">
      <w:pPr>
        <w:pStyle w:val="Normal"/>
        <w:suppressLineNumbers w:val="0"/>
        <w:bidi w:val="0"/>
        <w:spacing w:before="0" w:beforeAutospacing="off" w:after="0" w:afterAutospacing="off" w:line="480" w:lineRule="auto"/>
        <w:ind w:left="0" w:right="0"/>
        <w:jc w:val="left"/>
        <w:rPr>
          <w:rFonts w:ascii="Times New Roman" w:hAnsi="Times New Roman" w:eastAsia="Times New Roman" w:cs="Times New Roman"/>
          <w:noProof w:val="0"/>
          <w:color w:val="000000" w:themeColor="text1" w:themeTint="FF" w:themeShade="FF"/>
          <w:sz w:val="22"/>
          <w:szCs w:val="22"/>
          <w:lang w:val="en-US"/>
        </w:rPr>
      </w:pPr>
    </w:p>
    <w:p xmlns:wp14="http://schemas.microsoft.com/office/word/2010/wordml" w:rsidP="533E83B2" wp14:paraId="2D31A5A6" wp14:textId="4925C825">
      <w:pPr>
        <w:pStyle w:val="Normal"/>
        <w:suppressLineNumbers w:val="0"/>
        <w:bidi w:val="0"/>
        <w:spacing w:before="0" w:beforeAutospacing="off" w:after="0" w:afterAutospacing="off" w:line="480" w:lineRule="auto"/>
        <w:ind w:left="0" w:right="0"/>
        <w:jc w:val="left"/>
        <w:rPr>
          <w:rFonts w:ascii="Times New Roman" w:hAnsi="Times New Roman" w:eastAsia="Times New Roman" w:cs="Times New Roman"/>
          <w:noProof w:val="0"/>
          <w:color w:val="000000" w:themeColor="text1" w:themeTint="FF" w:themeShade="FF"/>
          <w:sz w:val="22"/>
          <w:szCs w:val="22"/>
          <w:lang w:val="en-US"/>
        </w:rPr>
      </w:pPr>
    </w:p>
    <w:p xmlns:wp14="http://schemas.microsoft.com/office/word/2010/wordml" w:rsidP="533E83B2" wp14:paraId="6D829DAC" wp14:textId="0D44EDAA">
      <w:pPr>
        <w:pStyle w:val="Normal"/>
        <w:suppressLineNumbers w:val="0"/>
        <w:bidi w:val="0"/>
        <w:spacing w:before="0" w:beforeAutospacing="off" w:after="0" w:afterAutospacing="off" w:line="480" w:lineRule="auto"/>
        <w:ind w:left="0" w:right="0"/>
        <w:jc w:val="left"/>
        <w:rPr>
          <w:rFonts w:ascii="Times New Roman" w:hAnsi="Times New Roman" w:eastAsia="Times New Roman" w:cs="Times New Roman"/>
          <w:noProof w:val="0"/>
          <w:color w:val="000000" w:themeColor="text1" w:themeTint="FF" w:themeShade="FF"/>
          <w:sz w:val="22"/>
          <w:szCs w:val="22"/>
          <w:lang w:val="en-US"/>
        </w:rPr>
      </w:pPr>
    </w:p>
    <w:p xmlns:wp14="http://schemas.microsoft.com/office/word/2010/wordml" w:rsidP="533E83B2" wp14:paraId="4F831FDF" wp14:textId="0BCD2069">
      <w:pPr>
        <w:pStyle w:val="Normal"/>
        <w:suppressLineNumbers w:val="0"/>
        <w:bidi w:val="0"/>
        <w:spacing w:before="0" w:beforeAutospacing="off" w:after="0" w:afterAutospacing="off" w:line="480" w:lineRule="auto"/>
        <w:ind w:left="0" w:right="0"/>
        <w:jc w:val="left"/>
        <w:rPr>
          <w:rFonts w:ascii="Times New Roman" w:hAnsi="Times New Roman" w:eastAsia="Times New Roman" w:cs="Times New Roman"/>
          <w:noProof w:val="0"/>
          <w:color w:val="000000" w:themeColor="text1" w:themeTint="FF" w:themeShade="FF"/>
          <w:sz w:val="22"/>
          <w:szCs w:val="22"/>
          <w:lang w:val="en-US"/>
        </w:rPr>
      </w:pPr>
    </w:p>
    <w:p xmlns:wp14="http://schemas.microsoft.com/office/word/2010/wordml" w:rsidP="533E83B2" wp14:paraId="6C15192A" wp14:textId="5F627C3D">
      <w:pPr>
        <w:pStyle w:val="Normal"/>
        <w:suppressLineNumbers w:val="0"/>
        <w:bidi w:val="0"/>
        <w:spacing w:before="0" w:beforeAutospacing="off" w:after="0" w:afterAutospacing="off" w:line="480" w:lineRule="auto"/>
        <w:ind w:left="0" w:right="0"/>
        <w:jc w:val="left"/>
        <w:rPr>
          <w:rFonts w:ascii="Times New Roman" w:hAnsi="Times New Roman" w:eastAsia="Times New Roman" w:cs="Times New Roman"/>
          <w:noProof w:val="0"/>
          <w:color w:val="000000" w:themeColor="text1" w:themeTint="FF" w:themeShade="FF"/>
          <w:sz w:val="22"/>
          <w:szCs w:val="22"/>
          <w:lang w:val="en-US"/>
        </w:rPr>
      </w:pPr>
    </w:p>
    <w:p xmlns:wp14="http://schemas.microsoft.com/office/word/2010/wordml" w:rsidP="533E83B2" wp14:paraId="2A76B30A" wp14:textId="2E8AB7D4">
      <w:pPr>
        <w:pStyle w:val="Normal"/>
        <w:suppressLineNumbers w:val="0"/>
        <w:bidi w:val="0"/>
        <w:spacing w:before="0" w:beforeAutospacing="off" w:after="0" w:afterAutospacing="off" w:line="480" w:lineRule="auto"/>
        <w:ind w:left="0" w:right="0"/>
        <w:jc w:val="left"/>
        <w:rPr>
          <w:rFonts w:ascii="Times New Roman" w:hAnsi="Times New Roman" w:eastAsia="Times New Roman" w:cs="Times New Roman"/>
          <w:noProof w:val="0"/>
          <w:color w:val="000000" w:themeColor="text1" w:themeTint="FF" w:themeShade="FF"/>
          <w:sz w:val="22"/>
          <w:szCs w:val="22"/>
          <w:lang w:val="en-US"/>
        </w:rPr>
      </w:pPr>
    </w:p>
    <w:p xmlns:wp14="http://schemas.microsoft.com/office/word/2010/wordml" w:rsidP="533E83B2" wp14:paraId="7D988DB3" wp14:textId="4F440E4B">
      <w:pPr>
        <w:pStyle w:val="Normal"/>
        <w:suppressLineNumbers w:val="0"/>
        <w:bidi w:val="0"/>
        <w:spacing w:before="0" w:beforeAutospacing="off" w:after="0" w:afterAutospacing="off" w:line="480" w:lineRule="auto"/>
        <w:ind w:left="0" w:right="0"/>
        <w:jc w:val="left"/>
        <w:rPr>
          <w:rFonts w:ascii="Times New Roman" w:hAnsi="Times New Roman" w:eastAsia="Times New Roman" w:cs="Times New Roman"/>
          <w:noProof w:val="0"/>
          <w:color w:val="000000" w:themeColor="text1" w:themeTint="FF" w:themeShade="FF"/>
          <w:sz w:val="22"/>
          <w:szCs w:val="22"/>
          <w:lang w:val="en-US"/>
        </w:rPr>
      </w:pPr>
    </w:p>
    <w:p xmlns:wp14="http://schemas.microsoft.com/office/word/2010/wordml" w:rsidP="533E83B2" wp14:paraId="10557068" wp14:textId="167E5442">
      <w:pPr>
        <w:pStyle w:val="Normal"/>
        <w:suppressLineNumbers w:val="0"/>
        <w:bidi w:val="0"/>
        <w:spacing w:before="0" w:beforeAutospacing="off" w:after="0" w:afterAutospacing="off" w:line="480" w:lineRule="auto"/>
        <w:ind w:left="0" w:right="0"/>
        <w:jc w:val="left"/>
        <w:rPr>
          <w:rFonts w:ascii="Times New Roman" w:hAnsi="Times New Roman" w:eastAsia="Times New Roman" w:cs="Times New Roman"/>
          <w:noProof w:val="0"/>
          <w:color w:val="000000" w:themeColor="text1" w:themeTint="FF" w:themeShade="FF"/>
          <w:sz w:val="22"/>
          <w:szCs w:val="22"/>
          <w:lang w:val="en-US"/>
        </w:rPr>
      </w:pPr>
    </w:p>
    <w:p xmlns:wp14="http://schemas.microsoft.com/office/word/2010/wordml" w:rsidP="533E83B2" wp14:paraId="5CB3DF7C" wp14:textId="1FB08D20">
      <w:pPr>
        <w:pStyle w:val="Normal"/>
        <w:suppressLineNumbers w:val="0"/>
        <w:bidi w:val="0"/>
        <w:spacing w:before="0" w:beforeAutospacing="off" w:after="0" w:afterAutospacing="off" w:line="480" w:lineRule="auto"/>
        <w:ind w:left="0" w:right="0"/>
        <w:jc w:val="left"/>
        <w:rPr>
          <w:rFonts w:ascii="Times New Roman" w:hAnsi="Times New Roman" w:eastAsia="Times New Roman" w:cs="Times New Roman"/>
          <w:noProof w:val="0"/>
          <w:color w:val="000000" w:themeColor="text1" w:themeTint="FF" w:themeShade="FF"/>
          <w:sz w:val="22"/>
          <w:szCs w:val="22"/>
          <w:lang w:val="en-US"/>
        </w:rPr>
      </w:pPr>
      <w:r w:rsidRPr="533E83B2" w:rsidR="1BD7033A">
        <w:rPr>
          <w:rFonts w:ascii="Times New Roman" w:hAnsi="Times New Roman" w:eastAsia="Times New Roman" w:cs="Times New Roman"/>
          <w:noProof w:val="0"/>
          <w:color w:val="000000" w:themeColor="text1" w:themeTint="FF" w:themeShade="FF"/>
          <w:sz w:val="22"/>
          <w:szCs w:val="22"/>
          <w:lang w:val="en-US"/>
        </w:rPr>
        <w:t>Table of Contents</w:t>
      </w:r>
    </w:p>
    <w:sdt>
      <w:sdtPr>
        <w:id w:val="1303111341"/>
        <w:docPartObj>
          <w:docPartGallery w:val="Table of Contents"/>
          <w:docPartUnique/>
        </w:docPartObj>
      </w:sdtPr>
      <w:sdtContent>
        <w:p xmlns:wp14="http://schemas.microsoft.com/office/word/2010/wordml" w:rsidP="533E83B2" wp14:paraId="650B9C32" wp14:textId="70592234">
          <w:pPr>
            <w:pStyle w:val="TOC1"/>
            <w:tabs>
              <w:tab w:val="right" w:leader="dot" w:pos="9360"/>
            </w:tabs>
            <w:bidi w:val="0"/>
            <w:rPr>
              <w:rStyle w:val="Hyperlink"/>
              <w:rFonts w:ascii="Times New Roman" w:hAnsi="Times New Roman" w:eastAsia="Times New Roman" w:cs="Times New Roman"/>
            </w:rPr>
          </w:pPr>
          <w:r>
            <w:fldChar w:fldCharType="begin"/>
          </w:r>
          <w:r>
            <w:instrText xml:space="preserve">TOC \o \z \u \h</w:instrText>
          </w:r>
          <w:r>
            <w:fldChar w:fldCharType="separate"/>
          </w:r>
          <w:hyperlink w:anchor="_Toc1606748742">
            <w:r w:rsidRPr="533E83B2" w:rsidR="533E83B2">
              <w:rPr>
                <w:rStyle w:val="Hyperlink"/>
                <w:rFonts w:ascii="Times New Roman" w:hAnsi="Times New Roman" w:eastAsia="Times New Roman" w:cs="Times New Roman"/>
              </w:rPr>
              <w:t>Strategic Threat Analysis &amp; Red Team Engagement Report</w:t>
            </w:r>
            <w:r>
              <w:tab/>
            </w:r>
            <w:r>
              <w:fldChar w:fldCharType="begin"/>
            </w:r>
            <w:r>
              <w:instrText xml:space="preserve">PAGEREF _Toc1606748742 \h</w:instrText>
            </w:r>
            <w:r>
              <w:fldChar w:fldCharType="separate"/>
            </w:r>
            <w:r w:rsidRPr="533E83B2" w:rsidR="533E83B2">
              <w:rPr>
                <w:rStyle w:val="Hyperlink"/>
                <w:rFonts w:ascii="Times New Roman" w:hAnsi="Times New Roman" w:eastAsia="Times New Roman" w:cs="Times New Roman"/>
              </w:rPr>
              <w:t>1</w:t>
            </w:r>
            <w:r>
              <w:fldChar w:fldCharType="end"/>
            </w:r>
          </w:hyperlink>
        </w:p>
        <w:p xmlns:wp14="http://schemas.microsoft.com/office/word/2010/wordml" w:rsidP="533E83B2" wp14:paraId="0B0FE3CE" wp14:textId="3A7804BA">
          <w:pPr>
            <w:pStyle w:val="TOC2"/>
            <w:tabs>
              <w:tab w:val="right" w:leader="dot" w:pos="9360"/>
            </w:tabs>
            <w:bidi w:val="0"/>
            <w:rPr>
              <w:rStyle w:val="Hyperlink"/>
              <w:rFonts w:ascii="Times New Roman" w:hAnsi="Times New Roman" w:eastAsia="Times New Roman" w:cs="Times New Roman"/>
            </w:rPr>
          </w:pPr>
          <w:hyperlink w:anchor="_Toc567437662">
            <w:r w:rsidRPr="533E83B2" w:rsidR="533E83B2">
              <w:rPr>
                <w:rStyle w:val="Hyperlink"/>
                <w:rFonts w:ascii="Times New Roman" w:hAnsi="Times New Roman" w:eastAsia="Times New Roman" w:cs="Times New Roman"/>
              </w:rPr>
              <w:t>1. Introduction</w:t>
            </w:r>
            <w:r>
              <w:tab/>
            </w:r>
            <w:r>
              <w:fldChar w:fldCharType="begin"/>
            </w:r>
            <w:r>
              <w:instrText xml:space="preserve">PAGEREF _Toc567437662 \h</w:instrText>
            </w:r>
            <w:r>
              <w:fldChar w:fldCharType="separate"/>
            </w:r>
            <w:r w:rsidRPr="533E83B2" w:rsidR="533E83B2">
              <w:rPr>
                <w:rStyle w:val="Hyperlink"/>
                <w:rFonts w:ascii="Times New Roman" w:hAnsi="Times New Roman" w:eastAsia="Times New Roman" w:cs="Times New Roman"/>
              </w:rPr>
              <w:t>1</w:t>
            </w:r>
            <w:r>
              <w:fldChar w:fldCharType="end"/>
            </w:r>
          </w:hyperlink>
        </w:p>
        <w:p xmlns:wp14="http://schemas.microsoft.com/office/word/2010/wordml" w:rsidP="533E83B2" wp14:paraId="20E65BEA" wp14:textId="659D4E43">
          <w:pPr>
            <w:pStyle w:val="TOC2"/>
            <w:tabs>
              <w:tab w:val="right" w:leader="dot" w:pos="9360"/>
            </w:tabs>
            <w:bidi w:val="0"/>
            <w:rPr>
              <w:rStyle w:val="Hyperlink"/>
              <w:rFonts w:ascii="Times New Roman" w:hAnsi="Times New Roman" w:eastAsia="Times New Roman" w:cs="Times New Roman"/>
            </w:rPr>
          </w:pPr>
          <w:hyperlink w:anchor="_Toc880707976">
            <w:r w:rsidRPr="533E83B2" w:rsidR="533E83B2">
              <w:rPr>
                <w:rStyle w:val="Hyperlink"/>
                <w:rFonts w:ascii="Times New Roman" w:hAnsi="Times New Roman" w:eastAsia="Times New Roman" w:cs="Times New Roman"/>
              </w:rPr>
              <w:t>2. Part 1: Strategic Threat Analysis – Real‑World Attack Case Study</w:t>
            </w:r>
            <w:r>
              <w:tab/>
            </w:r>
            <w:r>
              <w:fldChar w:fldCharType="begin"/>
            </w:r>
            <w:r>
              <w:instrText xml:space="preserve">PAGEREF _Toc880707976 \h</w:instrText>
            </w:r>
            <w:r>
              <w:fldChar w:fldCharType="separate"/>
            </w:r>
            <w:r w:rsidRPr="533E83B2" w:rsidR="533E83B2">
              <w:rPr>
                <w:rStyle w:val="Hyperlink"/>
                <w:rFonts w:ascii="Times New Roman" w:hAnsi="Times New Roman" w:eastAsia="Times New Roman" w:cs="Times New Roman"/>
              </w:rPr>
              <w:t>2</w:t>
            </w:r>
            <w:r>
              <w:fldChar w:fldCharType="end"/>
            </w:r>
          </w:hyperlink>
        </w:p>
        <w:p xmlns:wp14="http://schemas.microsoft.com/office/word/2010/wordml" w:rsidP="533E83B2" wp14:paraId="364946C8" wp14:textId="0799EDC3">
          <w:pPr>
            <w:pStyle w:val="TOC3"/>
            <w:tabs>
              <w:tab w:val="right" w:leader="dot" w:pos="9360"/>
            </w:tabs>
            <w:bidi w:val="0"/>
            <w:rPr>
              <w:rStyle w:val="Hyperlink"/>
              <w:rFonts w:ascii="Times New Roman" w:hAnsi="Times New Roman" w:eastAsia="Times New Roman" w:cs="Times New Roman"/>
            </w:rPr>
          </w:pPr>
          <w:hyperlink w:anchor="_Toc2009161360">
            <w:r w:rsidRPr="533E83B2" w:rsidR="533E83B2">
              <w:rPr>
                <w:rStyle w:val="Hyperlink"/>
                <w:rFonts w:ascii="Times New Roman" w:hAnsi="Times New Roman" w:eastAsia="Times New Roman" w:cs="Times New Roman"/>
              </w:rPr>
              <w:t>2.1 Incident Overview</w:t>
            </w:r>
            <w:r>
              <w:tab/>
            </w:r>
            <w:r>
              <w:fldChar w:fldCharType="begin"/>
            </w:r>
            <w:r>
              <w:instrText xml:space="preserve">PAGEREF _Toc2009161360 \h</w:instrText>
            </w:r>
            <w:r>
              <w:fldChar w:fldCharType="separate"/>
            </w:r>
            <w:r w:rsidRPr="533E83B2" w:rsidR="533E83B2">
              <w:rPr>
                <w:rStyle w:val="Hyperlink"/>
                <w:rFonts w:ascii="Times New Roman" w:hAnsi="Times New Roman" w:eastAsia="Times New Roman" w:cs="Times New Roman"/>
              </w:rPr>
              <w:t>2</w:t>
            </w:r>
            <w:r>
              <w:fldChar w:fldCharType="end"/>
            </w:r>
          </w:hyperlink>
        </w:p>
        <w:p xmlns:wp14="http://schemas.microsoft.com/office/word/2010/wordml" w:rsidP="533E83B2" wp14:paraId="0008AD18" wp14:textId="6665787A">
          <w:pPr>
            <w:pStyle w:val="TOC3"/>
            <w:tabs>
              <w:tab w:val="right" w:leader="dot" w:pos="9360"/>
            </w:tabs>
            <w:bidi w:val="0"/>
            <w:rPr>
              <w:rStyle w:val="Hyperlink"/>
              <w:rFonts w:ascii="Times New Roman" w:hAnsi="Times New Roman" w:eastAsia="Times New Roman" w:cs="Times New Roman"/>
            </w:rPr>
          </w:pPr>
          <w:hyperlink w:anchor="_Toc2133450852">
            <w:r w:rsidRPr="533E83B2" w:rsidR="533E83B2">
              <w:rPr>
                <w:rStyle w:val="Hyperlink"/>
                <w:rFonts w:ascii="Times New Roman" w:hAnsi="Times New Roman" w:eastAsia="Times New Roman" w:cs="Times New Roman"/>
              </w:rPr>
              <w:t>2.2 Adversary Profile &amp; Objectives</w:t>
            </w:r>
            <w:r>
              <w:tab/>
            </w:r>
            <w:r>
              <w:fldChar w:fldCharType="begin"/>
            </w:r>
            <w:r>
              <w:instrText xml:space="preserve">PAGEREF _Toc2133450852 \h</w:instrText>
            </w:r>
            <w:r>
              <w:fldChar w:fldCharType="separate"/>
            </w:r>
            <w:r w:rsidRPr="533E83B2" w:rsidR="533E83B2">
              <w:rPr>
                <w:rStyle w:val="Hyperlink"/>
                <w:rFonts w:ascii="Times New Roman" w:hAnsi="Times New Roman" w:eastAsia="Times New Roman" w:cs="Times New Roman"/>
              </w:rPr>
              <w:t>3</w:t>
            </w:r>
            <w:r>
              <w:fldChar w:fldCharType="end"/>
            </w:r>
          </w:hyperlink>
        </w:p>
        <w:p xmlns:wp14="http://schemas.microsoft.com/office/word/2010/wordml" w:rsidP="533E83B2" wp14:paraId="73C9C23E" wp14:textId="1EB0FB2B">
          <w:pPr>
            <w:pStyle w:val="TOC3"/>
            <w:tabs>
              <w:tab w:val="right" w:leader="dot" w:pos="9360"/>
            </w:tabs>
            <w:bidi w:val="0"/>
            <w:rPr>
              <w:rStyle w:val="Hyperlink"/>
              <w:rFonts w:ascii="Times New Roman" w:hAnsi="Times New Roman" w:eastAsia="Times New Roman" w:cs="Times New Roman"/>
            </w:rPr>
          </w:pPr>
          <w:hyperlink w:anchor="_Toc32416658">
            <w:r w:rsidRPr="533E83B2" w:rsidR="533E83B2">
              <w:rPr>
                <w:rStyle w:val="Hyperlink"/>
                <w:rFonts w:ascii="Times New Roman" w:hAnsi="Times New Roman" w:eastAsia="Times New Roman" w:cs="Times New Roman"/>
              </w:rPr>
              <w:t>2.3 MITRE ATT&amp;CK Mapping of the Campaign</w:t>
            </w:r>
            <w:r>
              <w:tab/>
            </w:r>
            <w:r>
              <w:fldChar w:fldCharType="begin"/>
            </w:r>
            <w:r>
              <w:instrText xml:space="preserve">PAGEREF _Toc32416658 \h</w:instrText>
            </w:r>
            <w:r>
              <w:fldChar w:fldCharType="separate"/>
            </w:r>
            <w:r w:rsidRPr="533E83B2" w:rsidR="533E83B2">
              <w:rPr>
                <w:rStyle w:val="Hyperlink"/>
                <w:rFonts w:ascii="Times New Roman" w:hAnsi="Times New Roman" w:eastAsia="Times New Roman" w:cs="Times New Roman"/>
              </w:rPr>
              <w:t>3</w:t>
            </w:r>
            <w:r>
              <w:fldChar w:fldCharType="end"/>
            </w:r>
          </w:hyperlink>
        </w:p>
        <w:p xmlns:wp14="http://schemas.microsoft.com/office/word/2010/wordml" w:rsidP="533E83B2" wp14:paraId="2F111681" wp14:textId="5CD18A58">
          <w:pPr>
            <w:pStyle w:val="TOC3"/>
            <w:tabs>
              <w:tab w:val="right" w:leader="dot" w:pos="9360"/>
            </w:tabs>
            <w:bidi w:val="0"/>
            <w:rPr>
              <w:rStyle w:val="Hyperlink"/>
              <w:rFonts w:ascii="Times New Roman" w:hAnsi="Times New Roman" w:eastAsia="Times New Roman" w:cs="Times New Roman"/>
            </w:rPr>
          </w:pPr>
          <w:hyperlink w:anchor="_Toc193116552">
            <w:r w:rsidRPr="533E83B2" w:rsidR="533E83B2">
              <w:rPr>
                <w:rStyle w:val="Hyperlink"/>
                <w:rFonts w:ascii="Times New Roman" w:hAnsi="Times New Roman" w:eastAsia="Times New Roman" w:cs="Times New Roman"/>
              </w:rPr>
              <w:t>2.3 MITRE ATT&amp;CK Mapping of the Campaign</w:t>
            </w:r>
            <w:r>
              <w:tab/>
            </w:r>
            <w:r>
              <w:fldChar w:fldCharType="begin"/>
            </w:r>
            <w:r>
              <w:instrText xml:space="preserve">PAGEREF _Toc193116552 \h</w:instrText>
            </w:r>
            <w:r>
              <w:fldChar w:fldCharType="separate"/>
            </w:r>
            <w:r w:rsidRPr="533E83B2" w:rsidR="533E83B2">
              <w:rPr>
                <w:rStyle w:val="Hyperlink"/>
                <w:rFonts w:ascii="Times New Roman" w:hAnsi="Times New Roman" w:eastAsia="Times New Roman" w:cs="Times New Roman"/>
              </w:rPr>
              <w:t>3</w:t>
            </w:r>
            <w:r>
              <w:fldChar w:fldCharType="end"/>
            </w:r>
          </w:hyperlink>
        </w:p>
        <w:p xmlns:wp14="http://schemas.microsoft.com/office/word/2010/wordml" w:rsidP="533E83B2" wp14:paraId="5BB54F27" wp14:textId="28F5D202">
          <w:pPr>
            <w:pStyle w:val="TOC3"/>
            <w:tabs>
              <w:tab w:val="right" w:leader="dot" w:pos="9360"/>
            </w:tabs>
            <w:bidi w:val="0"/>
            <w:rPr>
              <w:rStyle w:val="Hyperlink"/>
              <w:rFonts w:ascii="Times New Roman" w:hAnsi="Times New Roman" w:eastAsia="Times New Roman" w:cs="Times New Roman"/>
            </w:rPr>
          </w:pPr>
          <w:hyperlink w:anchor="_Toc1436034037">
            <w:r w:rsidRPr="533E83B2" w:rsidR="533E83B2">
              <w:rPr>
                <w:rStyle w:val="Hyperlink"/>
                <w:rFonts w:ascii="Times New Roman" w:hAnsi="Times New Roman" w:eastAsia="Times New Roman" w:cs="Times New Roman"/>
              </w:rPr>
              <w:t>2.4 Root Cause Analysis</w:t>
            </w:r>
            <w:r>
              <w:tab/>
            </w:r>
            <w:r>
              <w:fldChar w:fldCharType="begin"/>
            </w:r>
            <w:r>
              <w:instrText xml:space="preserve">PAGEREF _Toc1436034037 \h</w:instrText>
            </w:r>
            <w:r>
              <w:fldChar w:fldCharType="separate"/>
            </w:r>
            <w:r w:rsidRPr="533E83B2" w:rsidR="533E83B2">
              <w:rPr>
                <w:rStyle w:val="Hyperlink"/>
                <w:rFonts w:ascii="Times New Roman" w:hAnsi="Times New Roman" w:eastAsia="Times New Roman" w:cs="Times New Roman"/>
              </w:rPr>
              <w:t>4</w:t>
            </w:r>
            <w:r>
              <w:fldChar w:fldCharType="end"/>
            </w:r>
          </w:hyperlink>
        </w:p>
        <w:p xmlns:wp14="http://schemas.microsoft.com/office/word/2010/wordml" w:rsidP="533E83B2" wp14:paraId="24889A31" wp14:textId="4797366A">
          <w:pPr>
            <w:pStyle w:val="TOC3"/>
            <w:tabs>
              <w:tab w:val="right" w:leader="dot" w:pos="9360"/>
            </w:tabs>
            <w:bidi w:val="0"/>
            <w:rPr>
              <w:rStyle w:val="Hyperlink"/>
              <w:rFonts w:ascii="Times New Roman" w:hAnsi="Times New Roman" w:eastAsia="Times New Roman" w:cs="Times New Roman"/>
            </w:rPr>
          </w:pPr>
          <w:hyperlink w:anchor="_Toc1930749273">
            <w:r w:rsidRPr="533E83B2" w:rsidR="533E83B2">
              <w:rPr>
                <w:rStyle w:val="Hyperlink"/>
                <w:rFonts w:ascii="Times New Roman" w:hAnsi="Times New Roman" w:eastAsia="Times New Roman" w:cs="Times New Roman"/>
              </w:rPr>
              <w:t>2.5 Strategic Prevention &amp; Detection Recommendations</w:t>
            </w:r>
            <w:r>
              <w:tab/>
            </w:r>
            <w:r>
              <w:fldChar w:fldCharType="begin"/>
            </w:r>
            <w:r>
              <w:instrText xml:space="preserve">PAGEREF _Toc1930749273 \h</w:instrText>
            </w:r>
            <w:r>
              <w:fldChar w:fldCharType="separate"/>
            </w:r>
            <w:r w:rsidRPr="533E83B2" w:rsidR="533E83B2">
              <w:rPr>
                <w:rStyle w:val="Hyperlink"/>
                <w:rFonts w:ascii="Times New Roman" w:hAnsi="Times New Roman" w:eastAsia="Times New Roman" w:cs="Times New Roman"/>
              </w:rPr>
              <w:t>5</w:t>
            </w:r>
            <w:r>
              <w:fldChar w:fldCharType="end"/>
            </w:r>
          </w:hyperlink>
        </w:p>
        <w:p xmlns:wp14="http://schemas.microsoft.com/office/word/2010/wordml" w:rsidP="533E83B2" wp14:paraId="622687B0" wp14:textId="705C8728">
          <w:pPr>
            <w:pStyle w:val="TOC2"/>
            <w:tabs>
              <w:tab w:val="right" w:leader="dot" w:pos="9360"/>
            </w:tabs>
            <w:bidi w:val="0"/>
            <w:rPr>
              <w:rStyle w:val="Hyperlink"/>
              <w:rFonts w:ascii="Times New Roman" w:hAnsi="Times New Roman" w:eastAsia="Times New Roman" w:cs="Times New Roman"/>
            </w:rPr>
          </w:pPr>
          <w:hyperlink w:anchor="_Toc1900058607">
            <w:r w:rsidRPr="533E83B2" w:rsidR="533E83B2">
              <w:rPr>
                <w:rStyle w:val="Hyperlink"/>
                <w:rFonts w:ascii="Times New Roman" w:hAnsi="Times New Roman" w:eastAsia="Times New Roman" w:cs="Times New Roman"/>
              </w:rPr>
              <w:t>3. Part 2: Red Team Engagement – Operation IP Shield</w:t>
            </w:r>
            <w:r>
              <w:tab/>
            </w:r>
            <w:r>
              <w:fldChar w:fldCharType="begin"/>
            </w:r>
            <w:r>
              <w:instrText xml:space="preserve">PAGEREF _Toc1900058607 \h</w:instrText>
            </w:r>
            <w:r>
              <w:fldChar w:fldCharType="separate"/>
            </w:r>
            <w:r w:rsidRPr="533E83B2" w:rsidR="533E83B2">
              <w:rPr>
                <w:rStyle w:val="Hyperlink"/>
                <w:rFonts w:ascii="Times New Roman" w:hAnsi="Times New Roman" w:eastAsia="Times New Roman" w:cs="Times New Roman"/>
              </w:rPr>
              <w:t>6</w:t>
            </w:r>
            <w:r>
              <w:fldChar w:fldCharType="end"/>
            </w:r>
          </w:hyperlink>
        </w:p>
        <w:p xmlns:wp14="http://schemas.microsoft.com/office/word/2010/wordml" w:rsidP="533E83B2" wp14:paraId="2436B9CC" wp14:textId="4AD8D087">
          <w:pPr>
            <w:pStyle w:val="TOC3"/>
            <w:tabs>
              <w:tab w:val="right" w:leader="dot" w:pos="9360"/>
            </w:tabs>
            <w:bidi w:val="0"/>
            <w:rPr>
              <w:rStyle w:val="Hyperlink"/>
              <w:rFonts w:ascii="Times New Roman" w:hAnsi="Times New Roman" w:eastAsia="Times New Roman" w:cs="Times New Roman"/>
            </w:rPr>
          </w:pPr>
          <w:hyperlink w:anchor="_Toc561269030">
            <w:r w:rsidRPr="533E83B2" w:rsidR="533E83B2">
              <w:rPr>
                <w:rStyle w:val="Hyperlink"/>
                <w:rFonts w:ascii="Times New Roman" w:hAnsi="Times New Roman" w:eastAsia="Times New Roman" w:cs="Times New Roman"/>
              </w:rPr>
              <w:t>3.1 Rules of Engagement (RoE)</w:t>
            </w:r>
            <w:r>
              <w:tab/>
            </w:r>
            <w:r>
              <w:fldChar w:fldCharType="begin"/>
            </w:r>
            <w:r>
              <w:instrText xml:space="preserve">PAGEREF _Toc561269030 \h</w:instrText>
            </w:r>
            <w:r>
              <w:fldChar w:fldCharType="separate"/>
            </w:r>
            <w:r w:rsidRPr="533E83B2" w:rsidR="533E83B2">
              <w:rPr>
                <w:rStyle w:val="Hyperlink"/>
                <w:rFonts w:ascii="Times New Roman" w:hAnsi="Times New Roman" w:eastAsia="Times New Roman" w:cs="Times New Roman"/>
              </w:rPr>
              <w:t>6</w:t>
            </w:r>
            <w:r>
              <w:fldChar w:fldCharType="end"/>
            </w:r>
          </w:hyperlink>
        </w:p>
        <w:p xmlns:wp14="http://schemas.microsoft.com/office/word/2010/wordml" w:rsidP="533E83B2" wp14:paraId="59401DB0" wp14:textId="0417DB5F">
          <w:pPr>
            <w:pStyle w:val="TOC3"/>
            <w:tabs>
              <w:tab w:val="right" w:leader="dot" w:pos="9360"/>
            </w:tabs>
            <w:bidi w:val="0"/>
            <w:rPr>
              <w:rStyle w:val="Hyperlink"/>
              <w:rFonts w:ascii="Times New Roman" w:hAnsi="Times New Roman" w:eastAsia="Times New Roman" w:cs="Times New Roman"/>
            </w:rPr>
          </w:pPr>
          <w:hyperlink w:anchor="_Toc643456280">
            <w:r w:rsidRPr="533E83B2" w:rsidR="533E83B2">
              <w:rPr>
                <w:rStyle w:val="Hyperlink"/>
                <w:rFonts w:ascii="Times New Roman" w:hAnsi="Times New Roman" w:eastAsia="Times New Roman" w:cs="Times New Roman"/>
              </w:rPr>
              <w:t>3.2 Threat Emulation Plan (MITRE‑Aligned)</w:t>
            </w:r>
            <w:r>
              <w:tab/>
            </w:r>
            <w:r>
              <w:fldChar w:fldCharType="begin"/>
            </w:r>
            <w:r>
              <w:instrText xml:space="preserve">PAGEREF _Toc643456280 \h</w:instrText>
            </w:r>
            <w:r>
              <w:fldChar w:fldCharType="separate"/>
            </w:r>
            <w:r w:rsidRPr="533E83B2" w:rsidR="533E83B2">
              <w:rPr>
                <w:rStyle w:val="Hyperlink"/>
                <w:rFonts w:ascii="Times New Roman" w:hAnsi="Times New Roman" w:eastAsia="Times New Roman" w:cs="Times New Roman"/>
              </w:rPr>
              <w:t>6</w:t>
            </w:r>
            <w:r>
              <w:fldChar w:fldCharType="end"/>
            </w:r>
          </w:hyperlink>
        </w:p>
        <w:p xmlns:wp14="http://schemas.microsoft.com/office/word/2010/wordml" w:rsidP="533E83B2" wp14:paraId="7DB8AA69" wp14:textId="7D2EE718">
          <w:pPr>
            <w:pStyle w:val="TOC3"/>
            <w:tabs>
              <w:tab w:val="right" w:leader="dot" w:pos="9360"/>
            </w:tabs>
            <w:bidi w:val="0"/>
            <w:rPr>
              <w:rStyle w:val="Hyperlink"/>
              <w:rFonts w:ascii="Times New Roman" w:hAnsi="Times New Roman" w:eastAsia="Times New Roman" w:cs="Times New Roman"/>
            </w:rPr>
          </w:pPr>
          <w:hyperlink w:anchor="_Toc910320214">
            <w:r w:rsidRPr="533E83B2" w:rsidR="533E83B2">
              <w:rPr>
                <w:rStyle w:val="Hyperlink"/>
                <w:rFonts w:ascii="Times New Roman" w:hAnsi="Times New Roman" w:eastAsia="Times New Roman" w:cs="Times New Roman"/>
              </w:rPr>
              <w:t>3.3 Environment Design: Docker‑Based Hybrid Architecture</w:t>
            </w:r>
            <w:r>
              <w:tab/>
            </w:r>
            <w:r>
              <w:fldChar w:fldCharType="begin"/>
            </w:r>
            <w:r>
              <w:instrText xml:space="preserve">PAGEREF _Toc910320214 \h</w:instrText>
            </w:r>
            <w:r>
              <w:fldChar w:fldCharType="separate"/>
            </w:r>
            <w:r w:rsidRPr="533E83B2" w:rsidR="533E83B2">
              <w:rPr>
                <w:rStyle w:val="Hyperlink"/>
                <w:rFonts w:ascii="Times New Roman" w:hAnsi="Times New Roman" w:eastAsia="Times New Roman" w:cs="Times New Roman"/>
              </w:rPr>
              <w:t>7</w:t>
            </w:r>
            <w:r>
              <w:fldChar w:fldCharType="end"/>
            </w:r>
          </w:hyperlink>
        </w:p>
        <w:p xmlns:wp14="http://schemas.microsoft.com/office/word/2010/wordml" w:rsidP="533E83B2" wp14:paraId="3F01FC0C" wp14:textId="7A29A00B">
          <w:pPr>
            <w:pStyle w:val="TOC3"/>
            <w:tabs>
              <w:tab w:val="right" w:leader="dot" w:pos="9360"/>
            </w:tabs>
            <w:bidi w:val="0"/>
            <w:rPr>
              <w:rStyle w:val="Hyperlink"/>
              <w:rFonts w:ascii="Times New Roman" w:hAnsi="Times New Roman" w:eastAsia="Times New Roman" w:cs="Times New Roman"/>
            </w:rPr>
          </w:pPr>
          <w:hyperlink w:anchor="_Toc1566816678">
            <w:r w:rsidRPr="533E83B2" w:rsidR="533E83B2">
              <w:rPr>
                <w:rStyle w:val="Hyperlink"/>
                <w:rFonts w:ascii="Times New Roman" w:hAnsi="Times New Roman" w:eastAsia="Times New Roman" w:cs="Times New Roman"/>
              </w:rPr>
              <w:t>3.4 Attack Narrative (Phase‑by‑Phase)</w:t>
            </w:r>
            <w:r>
              <w:tab/>
            </w:r>
            <w:r>
              <w:fldChar w:fldCharType="begin"/>
            </w:r>
            <w:r>
              <w:instrText xml:space="preserve">PAGEREF _Toc1566816678 \h</w:instrText>
            </w:r>
            <w:r>
              <w:fldChar w:fldCharType="separate"/>
            </w:r>
            <w:r w:rsidRPr="533E83B2" w:rsidR="533E83B2">
              <w:rPr>
                <w:rStyle w:val="Hyperlink"/>
                <w:rFonts w:ascii="Times New Roman" w:hAnsi="Times New Roman" w:eastAsia="Times New Roman" w:cs="Times New Roman"/>
              </w:rPr>
              <w:t>8</w:t>
            </w:r>
            <w:r>
              <w:fldChar w:fldCharType="end"/>
            </w:r>
          </w:hyperlink>
        </w:p>
        <w:p xmlns:wp14="http://schemas.microsoft.com/office/word/2010/wordml" w:rsidP="533E83B2" wp14:paraId="28AD96BC" wp14:textId="1C6EEDC4">
          <w:pPr>
            <w:pStyle w:val="TOC3"/>
            <w:tabs>
              <w:tab w:val="right" w:leader="dot" w:pos="9360"/>
            </w:tabs>
            <w:bidi w:val="0"/>
            <w:rPr>
              <w:rStyle w:val="Hyperlink"/>
              <w:rFonts w:ascii="Times New Roman" w:hAnsi="Times New Roman" w:eastAsia="Times New Roman" w:cs="Times New Roman"/>
            </w:rPr>
          </w:pPr>
          <w:hyperlink w:anchor="_Toc129356857">
            <w:r w:rsidRPr="533E83B2" w:rsidR="533E83B2">
              <w:rPr>
                <w:rStyle w:val="Hyperlink"/>
                <w:rFonts w:ascii="Times New Roman" w:hAnsi="Times New Roman" w:eastAsia="Times New Roman" w:cs="Times New Roman"/>
              </w:rPr>
              <w:t>3.5 Detection Gap Analysis</w:t>
            </w:r>
            <w:r>
              <w:tab/>
            </w:r>
            <w:r>
              <w:fldChar w:fldCharType="begin"/>
            </w:r>
            <w:r>
              <w:instrText xml:space="preserve">PAGEREF _Toc129356857 \h</w:instrText>
            </w:r>
            <w:r>
              <w:fldChar w:fldCharType="separate"/>
            </w:r>
            <w:r w:rsidRPr="533E83B2" w:rsidR="533E83B2">
              <w:rPr>
                <w:rStyle w:val="Hyperlink"/>
                <w:rFonts w:ascii="Times New Roman" w:hAnsi="Times New Roman" w:eastAsia="Times New Roman" w:cs="Times New Roman"/>
              </w:rPr>
              <w:t>8</w:t>
            </w:r>
            <w:r>
              <w:fldChar w:fldCharType="end"/>
            </w:r>
          </w:hyperlink>
        </w:p>
        <w:p xmlns:wp14="http://schemas.microsoft.com/office/word/2010/wordml" w:rsidP="533E83B2" wp14:paraId="04C1DD67" wp14:textId="65097210">
          <w:pPr>
            <w:pStyle w:val="TOC3"/>
            <w:tabs>
              <w:tab w:val="right" w:leader="dot" w:pos="9360"/>
            </w:tabs>
            <w:bidi w:val="0"/>
            <w:rPr>
              <w:rStyle w:val="Hyperlink"/>
              <w:rFonts w:ascii="Times New Roman" w:hAnsi="Times New Roman" w:eastAsia="Times New Roman" w:cs="Times New Roman"/>
            </w:rPr>
          </w:pPr>
          <w:hyperlink w:anchor="_Toc1314535215">
            <w:r w:rsidRPr="533E83B2" w:rsidR="533E83B2">
              <w:rPr>
                <w:rStyle w:val="Hyperlink"/>
                <w:rFonts w:ascii="Times New Roman" w:hAnsi="Times New Roman" w:eastAsia="Times New Roman" w:cs="Times New Roman"/>
              </w:rPr>
              <w:t>3.6 Strategic Recommendations</w:t>
            </w:r>
            <w:r>
              <w:tab/>
            </w:r>
            <w:r>
              <w:fldChar w:fldCharType="begin"/>
            </w:r>
            <w:r>
              <w:instrText xml:space="preserve">PAGEREF _Toc1314535215 \h</w:instrText>
            </w:r>
            <w:r>
              <w:fldChar w:fldCharType="separate"/>
            </w:r>
            <w:r w:rsidRPr="533E83B2" w:rsidR="533E83B2">
              <w:rPr>
                <w:rStyle w:val="Hyperlink"/>
                <w:rFonts w:ascii="Times New Roman" w:hAnsi="Times New Roman" w:eastAsia="Times New Roman" w:cs="Times New Roman"/>
              </w:rPr>
              <w:t>9</w:t>
            </w:r>
            <w:r>
              <w:fldChar w:fldCharType="end"/>
            </w:r>
          </w:hyperlink>
        </w:p>
        <w:p xmlns:wp14="http://schemas.microsoft.com/office/word/2010/wordml" w:rsidP="533E83B2" wp14:paraId="1FD11A52" wp14:textId="055E9BEA">
          <w:pPr>
            <w:pStyle w:val="TOC3"/>
            <w:tabs>
              <w:tab w:val="right" w:leader="dot" w:pos="9360"/>
            </w:tabs>
            <w:bidi w:val="0"/>
            <w:rPr>
              <w:rStyle w:val="Hyperlink"/>
              <w:rFonts w:ascii="Times New Roman" w:hAnsi="Times New Roman" w:eastAsia="Times New Roman" w:cs="Times New Roman"/>
            </w:rPr>
          </w:pPr>
          <w:hyperlink w:anchor="_Toc1096798570">
            <w:r w:rsidRPr="533E83B2" w:rsidR="533E83B2">
              <w:rPr>
                <w:rStyle w:val="Hyperlink"/>
                <w:rFonts w:ascii="Times New Roman" w:hAnsi="Times New Roman" w:eastAsia="Times New Roman" w:cs="Times New Roman"/>
              </w:rPr>
              <w:t>3.7 Cost–Benefit Analysis</w:t>
            </w:r>
            <w:r>
              <w:tab/>
            </w:r>
            <w:r>
              <w:fldChar w:fldCharType="begin"/>
            </w:r>
            <w:r>
              <w:instrText xml:space="preserve">PAGEREF _Toc1096798570 \h</w:instrText>
            </w:r>
            <w:r>
              <w:fldChar w:fldCharType="separate"/>
            </w:r>
            <w:r w:rsidRPr="533E83B2" w:rsidR="533E83B2">
              <w:rPr>
                <w:rStyle w:val="Hyperlink"/>
                <w:rFonts w:ascii="Times New Roman" w:hAnsi="Times New Roman" w:eastAsia="Times New Roman" w:cs="Times New Roman"/>
              </w:rPr>
              <w:t>9</w:t>
            </w:r>
            <w:r>
              <w:fldChar w:fldCharType="end"/>
            </w:r>
          </w:hyperlink>
        </w:p>
        <w:p xmlns:wp14="http://schemas.microsoft.com/office/word/2010/wordml" w:rsidP="533E83B2" wp14:paraId="6D02C650" wp14:textId="3302126C">
          <w:pPr>
            <w:pStyle w:val="TOC2"/>
            <w:tabs>
              <w:tab w:val="right" w:leader="dot" w:pos="9360"/>
            </w:tabs>
            <w:bidi w:val="0"/>
            <w:rPr>
              <w:rStyle w:val="Hyperlink"/>
              <w:rFonts w:ascii="Times New Roman" w:hAnsi="Times New Roman" w:eastAsia="Times New Roman" w:cs="Times New Roman"/>
            </w:rPr>
          </w:pPr>
          <w:hyperlink w:anchor="_Toc2029450276">
            <w:r w:rsidRPr="533E83B2" w:rsidR="533E83B2">
              <w:rPr>
                <w:rStyle w:val="Hyperlink"/>
                <w:rFonts w:ascii="Times New Roman" w:hAnsi="Times New Roman" w:eastAsia="Times New Roman" w:cs="Times New Roman"/>
              </w:rPr>
              <w:t>4. Executive Brief for the Board</w:t>
            </w:r>
            <w:r>
              <w:tab/>
            </w:r>
            <w:r>
              <w:fldChar w:fldCharType="begin"/>
            </w:r>
            <w:r>
              <w:instrText xml:space="preserve">PAGEREF _Toc2029450276 \h</w:instrText>
            </w:r>
            <w:r>
              <w:fldChar w:fldCharType="separate"/>
            </w:r>
            <w:r w:rsidRPr="533E83B2" w:rsidR="533E83B2">
              <w:rPr>
                <w:rStyle w:val="Hyperlink"/>
                <w:rFonts w:ascii="Times New Roman" w:hAnsi="Times New Roman" w:eastAsia="Times New Roman" w:cs="Times New Roman"/>
              </w:rPr>
              <w:t>9</w:t>
            </w:r>
            <w:r>
              <w:fldChar w:fldCharType="end"/>
            </w:r>
          </w:hyperlink>
        </w:p>
        <w:p xmlns:wp14="http://schemas.microsoft.com/office/word/2010/wordml" w:rsidP="533E83B2" wp14:paraId="3911A49E" wp14:textId="65712CE0">
          <w:pPr>
            <w:pStyle w:val="TOC2"/>
            <w:tabs>
              <w:tab w:val="right" w:leader="dot" w:pos="9360"/>
            </w:tabs>
            <w:bidi w:val="0"/>
            <w:rPr>
              <w:rStyle w:val="Hyperlink"/>
              <w:rFonts w:ascii="Times New Roman" w:hAnsi="Times New Roman" w:eastAsia="Times New Roman" w:cs="Times New Roman"/>
            </w:rPr>
          </w:pPr>
          <w:hyperlink w:anchor="_Toc141703877">
            <w:r w:rsidRPr="533E83B2" w:rsidR="533E83B2">
              <w:rPr>
                <w:rStyle w:val="Hyperlink"/>
                <w:rFonts w:ascii="Times New Roman" w:hAnsi="Times New Roman" w:eastAsia="Times New Roman" w:cs="Times New Roman"/>
              </w:rPr>
              <w:t>5. Conclusion</w:t>
            </w:r>
            <w:r>
              <w:tab/>
            </w:r>
            <w:r>
              <w:fldChar w:fldCharType="begin"/>
            </w:r>
            <w:r>
              <w:instrText xml:space="preserve">PAGEREF _Toc141703877 \h</w:instrText>
            </w:r>
            <w:r>
              <w:fldChar w:fldCharType="separate"/>
            </w:r>
            <w:r w:rsidRPr="533E83B2" w:rsidR="533E83B2">
              <w:rPr>
                <w:rStyle w:val="Hyperlink"/>
                <w:rFonts w:ascii="Times New Roman" w:hAnsi="Times New Roman" w:eastAsia="Times New Roman" w:cs="Times New Roman"/>
              </w:rPr>
              <w:t>10</w:t>
            </w:r>
            <w:r>
              <w:fldChar w:fldCharType="end"/>
            </w:r>
          </w:hyperlink>
        </w:p>
        <w:p xmlns:wp14="http://schemas.microsoft.com/office/word/2010/wordml" w:rsidP="533E83B2" wp14:paraId="545A8D61" wp14:textId="4AFC606E">
          <w:pPr>
            <w:pStyle w:val="TOC2"/>
            <w:tabs>
              <w:tab w:val="right" w:leader="dot" w:pos="9360"/>
            </w:tabs>
            <w:bidi w:val="0"/>
            <w:rPr>
              <w:rStyle w:val="Hyperlink"/>
              <w:rFonts w:ascii="Times New Roman" w:hAnsi="Times New Roman" w:eastAsia="Times New Roman" w:cs="Times New Roman"/>
            </w:rPr>
          </w:pPr>
          <w:hyperlink w:anchor="_Toc761802081">
            <w:r w:rsidRPr="533E83B2" w:rsidR="533E83B2">
              <w:rPr>
                <w:rStyle w:val="Hyperlink"/>
                <w:rFonts w:ascii="Times New Roman" w:hAnsi="Times New Roman" w:eastAsia="Times New Roman" w:cs="Times New Roman"/>
              </w:rPr>
              <w:t>6. References</w:t>
            </w:r>
            <w:r>
              <w:tab/>
            </w:r>
            <w:r>
              <w:fldChar w:fldCharType="begin"/>
            </w:r>
            <w:r>
              <w:instrText xml:space="preserve">PAGEREF _Toc761802081 \h</w:instrText>
            </w:r>
            <w:r>
              <w:fldChar w:fldCharType="separate"/>
            </w:r>
            <w:r w:rsidRPr="533E83B2" w:rsidR="533E83B2">
              <w:rPr>
                <w:rStyle w:val="Hyperlink"/>
                <w:rFonts w:ascii="Times New Roman" w:hAnsi="Times New Roman" w:eastAsia="Times New Roman" w:cs="Times New Roman"/>
              </w:rPr>
              <w:t>10</w:t>
            </w:r>
            <w:r>
              <w:fldChar w:fldCharType="end"/>
            </w:r>
          </w:hyperlink>
          <w:r>
            <w:fldChar w:fldCharType="end"/>
          </w:r>
        </w:p>
      </w:sdtContent>
    </w:sdt>
    <w:p xmlns:wp14="http://schemas.microsoft.com/office/word/2010/wordml" w:rsidP="533E83B2" wp14:paraId="10C6994E" wp14:textId="00A99E1D">
      <w:pPr>
        <w:pStyle w:val="Normal"/>
      </w:pPr>
    </w:p>
    <w:p xmlns:wp14="http://schemas.microsoft.com/office/word/2010/wordml" w:rsidP="533E83B2" wp14:paraId="0D61B790" wp14:textId="22DAC9E4">
      <w:pPr>
        <w:pStyle w:val="Heading1"/>
        <w:bidi w:val="0"/>
        <w:spacing w:before="322" w:beforeAutospacing="off" w:after="322" w:afterAutospacing="off"/>
        <w:rPr>
          <w:rFonts w:ascii="Times New Roman" w:hAnsi="Times New Roman" w:eastAsia="Times New Roman" w:cs="Times New Roman"/>
          <w:b w:val="1"/>
          <w:bCs w:val="1"/>
          <w:noProof w:val="0"/>
          <w:sz w:val="48"/>
          <w:szCs w:val="48"/>
          <w:lang w:val="en-US"/>
        </w:rPr>
      </w:pPr>
    </w:p>
    <w:p xmlns:wp14="http://schemas.microsoft.com/office/word/2010/wordml" w:rsidP="533E83B2" wp14:paraId="69FE61DF" wp14:textId="3176B033">
      <w:pPr>
        <w:pStyle w:val="Heading1"/>
        <w:bidi w:val="0"/>
        <w:spacing w:before="322" w:beforeAutospacing="off" w:after="322" w:afterAutospacing="off"/>
        <w:rPr>
          <w:rFonts w:ascii="Times New Roman" w:hAnsi="Times New Roman" w:eastAsia="Times New Roman" w:cs="Times New Roman"/>
          <w:b w:val="1"/>
          <w:bCs w:val="1"/>
          <w:noProof w:val="0"/>
          <w:sz w:val="48"/>
          <w:szCs w:val="48"/>
          <w:lang w:val="en-US"/>
        </w:rPr>
      </w:pPr>
    </w:p>
    <w:p xmlns:wp14="http://schemas.microsoft.com/office/word/2010/wordml" w:rsidP="533E83B2" wp14:paraId="43D0E946" wp14:textId="4052FAA3">
      <w:pPr>
        <w:pStyle w:val="Heading1"/>
        <w:bidi w:val="0"/>
        <w:spacing w:before="322" w:beforeAutospacing="off" w:after="322" w:afterAutospacing="off"/>
        <w:rPr>
          <w:rFonts w:ascii="Times New Roman" w:hAnsi="Times New Roman" w:eastAsia="Times New Roman" w:cs="Times New Roman"/>
          <w:b w:val="1"/>
          <w:bCs w:val="1"/>
          <w:noProof w:val="0"/>
          <w:sz w:val="48"/>
          <w:szCs w:val="48"/>
          <w:lang w:val="en-US"/>
        </w:rPr>
      </w:pPr>
      <w:bookmarkStart w:name="_Toc1606748742" w:id="1355081243"/>
      <w:r w:rsidRPr="533E83B2" w:rsidR="1E52920D">
        <w:rPr>
          <w:rFonts w:ascii="Times New Roman" w:hAnsi="Times New Roman" w:eastAsia="Times New Roman" w:cs="Times New Roman"/>
          <w:b w:val="1"/>
          <w:bCs w:val="1"/>
          <w:noProof w:val="0"/>
          <w:sz w:val="48"/>
          <w:szCs w:val="48"/>
          <w:lang w:val="en-US"/>
        </w:rPr>
        <w:t>Strategic Threat Analysis &amp; Red Team Engagement Report</w:t>
      </w:r>
      <w:bookmarkEnd w:id="1355081243"/>
    </w:p>
    <w:p xmlns:wp14="http://schemas.microsoft.com/office/word/2010/wordml" w:rsidP="533E83B2" wp14:paraId="2E54A93A" wp14:textId="08D4E75D">
      <w:pPr>
        <w:bidi w:val="0"/>
        <w:spacing w:before="240" w:beforeAutospacing="off" w:after="240" w:afterAutospacing="off"/>
      </w:pPr>
      <w:r w:rsidRPr="533E83B2" w:rsidR="1E52920D">
        <w:rPr>
          <w:rFonts w:ascii="Times New Roman" w:hAnsi="Times New Roman" w:eastAsia="Times New Roman" w:cs="Times New Roman"/>
          <w:b w:val="1"/>
          <w:bCs w:val="1"/>
          <w:noProof w:val="0"/>
          <w:sz w:val="24"/>
          <w:szCs w:val="24"/>
          <w:lang w:val="en-US"/>
        </w:rPr>
        <w:t>From Headlines to TTPs: Defending Pharmaceutical Intellectual Property</w:t>
      </w:r>
    </w:p>
    <w:p xmlns:wp14="http://schemas.microsoft.com/office/word/2010/wordml" w:rsidP="533E83B2" wp14:paraId="594C1D42" wp14:textId="48C95CE5">
      <w:pPr>
        <w:bidi w:val="0"/>
        <w:spacing w:before="240" w:beforeAutospacing="off" w:after="240" w:afterAutospacing="off"/>
      </w:pPr>
      <w:r w:rsidRPr="533E83B2" w:rsidR="1E52920D">
        <w:rPr>
          <w:rFonts w:ascii="Times New Roman" w:hAnsi="Times New Roman" w:eastAsia="Times New Roman" w:cs="Times New Roman"/>
          <w:b w:val="1"/>
          <w:bCs w:val="1"/>
          <w:noProof w:val="0"/>
          <w:sz w:val="24"/>
          <w:szCs w:val="24"/>
          <w:lang w:val="en-US"/>
        </w:rPr>
        <w:t>Organisation:</w:t>
      </w:r>
      <w:r w:rsidRPr="533E83B2" w:rsidR="1E52920D">
        <w:rPr>
          <w:rFonts w:ascii="Times New Roman" w:hAnsi="Times New Roman" w:eastAsia="Times New Roman" w:cs="Times New Roman"/>
          <w:noProof w:val="0"/>
          <w:sz w:val="24"/>
          <w:szCs w:val="24"/>
          <w:lang w:val="en-US"/>
        </w:rPr>
        <w:t xml:space="preserve"> Cureton Pharmaceutical Company (CPC)</w:t>
      </w:r>
    </w:p>
    <w:p xmlns:wp14="http://schemas.microsoft.com/office/word/2010/wordml" w:rsidP="533E83B2" wp14:paraId="3FB6DF3C" wp14:textId="62122B8D">
      <w:pPr>
        <w:bidi w:val="0"/>
        <w:spacing w:before="240" w:beforeAutospacing="off" w:after="240" w:afterAutospacing="off"/>
      </w:pPr>
      <w:r w:rsidRPr="533E83B2" w:rsidR="1E52920D">
        <w:rPr>
          <w:rFonts w:ascii="Times New Roman" w:hAnsi="Times New Roman" w:eastAsia="Times New Roman" w:cs="Times New Roman"/>
          <w:b w:val="1"/>
          <w:bCs w:val="1"/>
          <w:noProof w:val="0"/>
          <w:sz w:val="24"/>
          <w:szCs w:val="24"/>
          <w:lang w:val="en-US"/>
        </w:rPr>
        <w:t>Classification:</w:t>
      </w:r>
      <w:r w:rsidRPr="533E83B2" w:rsidR="1E52920D">
        <w:rPr>
          <w:rFonts w:ascii="Times New Roman" w:hAnsi="Times New Roman" w:eastAsia="Times New Roman" w:cs="Times New Roman"/>
          <w:noProof w:val="0"/>
          <w:sz w:val="24"/>
          <w:szCs w:val="24"/>
          <w:lang w:val="en-US"/>
        </w:rPr>
        <w:t xml:space="preserve"> Confidential – Internal Security Assessment</w:t>
      </w:r>
    </w:p>
    <w:p xmlns:wp14="http://schemas.microsoft.com/office/word/2010/wordml" w:rsidP="533E83B2" wp14:paraId="5245C8EE" wp14:textId="71A7A47B">
      <w:pPr>
        <w:bidi w:val="0"/>
        <w:spacing w:before="240" w:beforeAutospacing="off" w:after="240" w:afterAutospacing="off"/>
      </w:pPr>
      <w:r w:rsidRPr="533E83B2" w:rsidR="1E52920D">
        <w:rPr>
          <w:rFonts w:ascii="Times New Roman" w:hAnsi="Times New Roman" w:eastAsia="Times New Roman" w:cs="Times New Roman"/>
          <w:b w:val="1"/>
          <w:bCs w:val="1"/>
          <w:noProof w:val="0"/>
          <w:sz w:val="24"/>
          <w:szCs w:val="24"/>
          <w:lang w:val="en-US"/>
        </w:rPr>
        <w:t>Author:</w:t>
      </w:r>
      <w:r w:rsidRPr="533E83B2" w:rsidR="1E52920D">
        <w:rPr>
          <w:rFonts w:ascii="Times New Roman" w:hAnsi="Times New Roman" w:eastAsia="Times New Roman" w:cs="Times New Roman"/>
          <w:noProof w:val="0"/>
          <w:sz w:val="24"/>
          <w:szCs w:val="24"/>
          <w:lang w:val="en-US"/>
        </w:rPr>
        <w:t xml:space="preserve"> Red Team Specialist</w:t>
      </w:r>
    </w:p>
    <w:p xmlns:wp14="http://schemas.microsoft.com/office/word/2010/wordml" w:rsidP="533E83B2" wp14:paraId="1B35756E" wp14:textId="71095767">
      <w:pPr>
        <w:bidi w:val="0"/>
        <w:spacing w:before="240" w:beforeAutospacing="off" w:after="240" w:afterAutospacing="off"/>
      </w:pPr>
      <w:r w:rsidRPr="533E83B2" w:rsidR="1E52920D">
        <w:rPr>
          <w:rFonts w:ascii="Times New Roman" w:hAnsi="Times New Roman" w:eastAsia="Times New Roman" w:cs="Times New Roman"/>
          <w:b w:val="1"/>
          <w:bCs w:val="1"/>
          <w:noProof w:val="0"/>
          <w:sz w:val="24"/>
          <w:szCs w:val="24"/>
          <w:lang w:val="en-US"/>
        </w:rPr>
        <w:t>Date:</w:t>
      </w:r>
      <w:r w:rsidRPr="533E83B2" w:rsidR="1E52920D">
        <w:rPr>
          <w:rFonts w:ascii="Times New Roman" w:hAnsi="Times New Roman" w:eastAsia="Times New Roman" w:cs="Times New Roman"/>
          <w:noProof w:val="0"/>
          <w:sz w:val="24"/>
          <w:szCs w:val="24"/>
          <w:lang w:val="en-US"/>
        </w:rPr>
        <w:t xml:space="preserve"> December 2025</w:t>
      </w:r>
    </w:p>
    <w:p xmlns:wp14="http://schemas.microsoft.com/office/word/2010/wordml" w:rsidP="533E83B2" wp14:paraId="459587FD" wp14:textId="26EC6573">
      <w:pPr>
        <w:pStyle w:val="Heading2"/>
        <w:bidi w:val="0"/>
        <w:spacing w:before="299" w:beforeAutospacing="off" w:after="299" w:afterAutospacing="off"/>
        <w:rPr>
          <w:rFonts w:ascii="Times New Roman" w:hAnsi="Times New Roman" w:eastAsia="Times New Roman" w:cs="Times New Roman"/>
          <w:b w:val="1"/>
          <w:bCs w:val="1"/>
          <w:noProof w:val="0"/>
          <w:sz w:val="36"/>
          <w:szCs w:val="36"/>
          <w:lang w:val="en-US"/>
        </w:rPr>
      </w:pPr>
      <w:bookmarkStart w:name="_Toc567437662" w:id="1444002894"/>
      <w:r w:rsidRPr="533E83B2" w:rsidR="1E52920D">
        <w:rPr>
          <w:rFonts w:ascii="Times New Roman" w:hAnsi="Times New Roman" w:eastAsia="Times New Roman" w:cs="Times New Roman"/>
          <w:b w:val="1"/>
          <w:bCs w:val="1"/>
          <w:noProof w:val="0"/>
          <w:sz w:val="36"/>
          <w:szCs w:val="36"/>
          <w:lang w:val="en-US"/>
        </w:rPr>
        <w:t>1. Introduction</w:t>
      </w:r>
      <w:bookmarkEnd w:id="1444002894"/>
    </w:p>
    <w:p xmlns:wp14="http://schemas.microsoft.com/office/word/2010/wordml" w:rsidP="533E83B2" wp14:paraId="6D53675F" wp14:textId="029CE6E3">
      <w:pPr>
        <w:bidi w:val="0"/>
        <w:spacing w:before="240" w:beforeAutospacing="off" w:after="240" w:afterAutospacing="off"/>
      </w:pPr>
      <w:r w:rsidRPr="533E83B2" w:rsidR="60930ECF">
        <w:rPr>
          <w:rFonts w:ascii="Times New Roman" w:hAnsi="Times New Roman" w:eastAsia="Times New Roman" w:cs="Times New Roman"/>
          <w:noProof w:val="0"/>
          <w:sz w:val="24"/>
          <w:szCs w:val="24"/>
          <w:lang w:val="en-US"/>
        </w:rPr>
        <w:t>Pharmaceutical and health care companies are in a very specific place in the world of global cyber-threats. The intellectual property of the pharmaceutical firms, the proprietary structure of drug formulations, research of vaccines, trial information, and genome series, does not belong to the immediate financial benefit, but also to the long-term strategic and geopolitical leverage, unlike most commercial enterprises. The abuse or misuse of this type of data can affect national health care capacity, hasten overseas research prospectus, weaken regulatory credibility, and corrupt competitive drug markets. As a result, this industry has turned into an excellent target of Advanced Persistent Threat (APT) actors such as nation-state sponsored, state-aligned research institutes, and well-funded company spy activities.</w:t>
      </w:r>
    </w:p>
    <w:p xmlns:wp14="http://schemas.microsoft.com/office/word/2010/wordml" w:rsidP="533E83B2" wp14:paraId="2FA3512D" wp14:textId="6E9F667E">
      <w:pPr>
        <w:bidi w:val="0"/>
        <w:spacing w:before="240" w:beforeAutospacing="off" w:after="240" w:afterAutospacing="off"/>
      </w:pPr>
      <w:r w:rsidRPr="533E83B2" w:rsidR="60930ECF">
        <w:rPr>
          <w:rFonts w:ascii="Times New Roman" w:hAnsi="Times New Roman" w:eastAsia="Times New Roman" w:cs="Times New Roman"/>
          <w:noProof w:val="0"/>
          <w:sz w:val="24"/>
          <w:szCs w:val="24"/>
          <w:lang w:val="en-US"/>
        </w:rPr>
        <w:t xml:space="preserve"> </w:t>
      </w:r>
    </w:p>
    <w:p xmlns:wp14="http://schemas.microsoft.com/office/word/2010/wordml" w:rsidP="533E83B2" wp14:paraId="4B579114" wp14:textId="16808BAC">
      <w:pPr>
        <w:bidi w:val="0"/>
        <w:spacing w:before="240" w:beforeAutospacing="off" w:after="240" w:afterAutospacing="off"/>
      </w:pPr>
      <w:r w:rsidRPr="533E83B2" w:rsidR="60930ECF">
        <w:rPr>
          <w:rFonts w:ascii="Times New Roman" w:hAnsi="Times New Roman" w:eastAsia="Times New Roman" w:cs="Times New Roman"/>
          <w:noProof w:val="0"/>
          <w:sz w:val="24"/>
          <w:szCs w:val="24"/>
          <w:lang w:val="en-US"/>
        </w:rPr>
        <w:t>Threat intelligence reporting has also proven to have a change in the way enemies attack pharmaceutical and healthcare organizations in the last ten years. Instead of disruptive ransomware or destructive malware, the modern APT campaigns focus more on stealth, persistence, and long-term intelligence gathering. The goals of these intruders are to steal intimate information over a long duration without detection as they covertly blend with the usual organizational operations. This change is representative of a larger trend in cyber espionage where operational disruption is not the ultimate goal but rather a furtive theft of intellectual property. During such campaigns, attackers do not use noisy techniques that may evoke incident response or a public disclosure but instead use identity abuse, living-off-the-land binaries (LOLBins), and encrypted command-and-control (C2) channels.</w:t>
      </w:r>
    </w:p>
    <w:p xmlns:wp14="http://schemas.microsoft.com/office/word/2010/wordml" w:rsidP="533E83B2" wp14:paraId="78679D41" wp14:textId="23343422">
      <w:pPr>
        <w:bidi w:val="0"/>
        <w:spacing w:before="240" w:beforeAutospacing="off" w:after="240" w:afterAutospacing="off"/>
      </w:pPr>
      <w:r w:rsidRPr="533E83B2" w:rsidR="60930ECF">
        <w:rPr>
          <w:rFonts w:ascii="Times New Roman" w:hAnsi="Times New Roman" w:eastAsia="Times New Roman" w:cs="Times New Roman"/>
          <w:noProof w:val="0"/>
          <w:sz w:val="24"/>
          <w:szCs w:val="24"/>
          <w:lang w:val="en-US"/>
        </w:rPr>
        <w:t xml:space="preserve"> </w:t>
      </w:r>
    </w:p>
    <w:p xmlns:wp14="http://schemas.microsoft.com/office/word/2010/wordml" w:rsidP="533E83B2" wp14:paraId="5D974380" wp14:textId="2F8BD37A">
      <w:pPr>
        <w:bidi w:val="0"/>
        <w:spacing w:before="240" w:beforeAutospacing="off" w:after="240" w:afterAutospacing="off"/>
      </w:pPr>
      <w:r w:rsidRPr="533E83B2" w:rsidR="60930ECF">
        <w:rPr>
          <w:rFonts w:ascii="Times New Roman" w:hAnsi="Times New Roman" w:eastAsia="Times New Roman" w:cs="Times New Roman"/>
          <w:noProof w:val="0"/>
          <w:sz w:val="24"/>
          <w:szCs w:val="24"/>
          <w:lang w:val="en-US"/>
        </w:rPr>
        <w:t>Another notable difference between pharmaceutical espionage during the modern era and the past is the fact that it is not just the weakness of the perimeter but the identity and trust relationship that is exploited. Breach of credentials, compromised service accounts, improperly configured single sign-on (SSO) implementations, and rather lax access controls have become some of the enablers of attacker success. After gaining initial access, commonly by spear-phishing, stealing credentials, or compromising dependencies, attackers will follow through on their attack vectors by taking advantage of authentic authentication tools. This identity-based model enables the attackers to overcome the conventional signature-based protection and look like a legitimate user, making the process of detection and identity attribution extremely difficult.</w:t>
      </w:r>
    </w:p>
    <w:p xmlns:wp14="http://schemas.microsoft.com/office/word/2010/wordml" w:rsidP="533E83B2" wp14:paraId="464600C3" wp14:textId="24B2BB30">
      <w:pPr>
        <w:bidi w:val="0"/>
        <w:spacing w:before="240" w:beforeAutospacing="off" w:after="240" w:afterAutospacing="off"/>
      </w:pPr>
      <w:r w:rsidRPr="533E83B2" w:rsidR="60930ECF">
        <w:rPr>
          <w:rFonts w:ascii="Times New Roman" w:hAnsi="Times New Roman" w:eastAsia="Times New Roman" w:cs="Times New Roman"/>
          <w:noProof w:val="0"/>
          <w:sz w:val="24"/>
          <w:szCs w:val="24"/>
          <w:lang w:val="en-US"/>
        </w:rPr>
        <w:t xml:space="preserve"> </w:t>
      </w:r>
    </w:p>
    <w:p xmlns:wp14="http://schemas.microsoft.com/office/word/2010/wordml" w:rsidP="533E83B2" wp14:paraId="7DBB0A6C" wp14:textId="6C6E7D68">
      <w:pPr>
        <w:bidi w:val="0"/>
        <w:spacing w:before="240" w:beforeAutospacing="off" w:after="240" w:afterAutospacing="off"/>
      </w:pPr>
      <w:r w:rsidRPr="533E83B2" w:rsidR="60930ECF">
        <w:rPr>
          <w:rFonts w:ascii="Times New Roman" w:hAnsi="Times New Roman" w:eastAsia="Times New Roman" w:cs="Times New Roman"/>
          <w:noProof w:val="0"/>
          <w:sz w:val="24"/>
          <w:szCs w:val="24"/>
          <w:lang w:val="en-US"/>
        </w:rPr>
        <w:t>In this report, these realities are met by a combination of strategic analysis and practical threat emulation specifically on the area of intellectual property theft in the pharmaceutical industry. The initial section of the report is an analysis of a real-life example of cyber espionage of pharmaceutical research institutions. Through the examination of publicly reported incidents, adversarial tradecraft, and defensive failures the report projects the behavior of attackers onto the MITRE ATT&amp;CK(r) Enterprise Matrix. It is a structured mapping that gives a familiar language of analysis on how adversaries move through stages of initial access to data to the final exfiltration, featuring common tactics like credential access (TA0006), lateral movement (TA0008), persistence (TA0003), and exfiltration over encrypted channels (TA0010).</w:t>
      </w:r>
    </w:p>
    <w:p xmlns:wp14="http://schemas.microsoft.com/office/word/2010/wordml" w:rsidP="533E83B2" wp14:paraId="3ECDEA4B" wp14:textId="4EA5281E">
      <w:pPr>
        <w:bidi w:val="0"/>
        <w:spacing w:before="240" w:beforeAutospacing="off" w:after="240" w:afterAutospacing="off"/>
      </w:pPr>
      <w:r w:rsidRPr="533E83B2" w:rsidR="60930ECF">
        <w:rPr>
          <w:rFonts w:ascii="Times New Roman" w:hAnsi="Times New Roman" w:eastAsia="Times New Roman" w:cs="Times New Roman"/>
          <w:noProof w:val="0"/>
          <w:sz w:val="24"/>
          <w:szCs w:val="24"/>
          <w:lang w:val="en-US"/>
        </w:rPr>
        <w:t xml:space="preserve"> </w:t>
      </w:r>
    </w:p>
    <w:p xmlns:wp14="http://schemas.microsoft.com/office/word/2010/wordml" w:rsidP="533E83B2" wp14:paraId="5A187753" wp14:textId="6D896935">
      <w:pPr>
        <w:bidi w:val="0"/>
        <w:spacing w:before="240" w:beforeAutospacing="off" w:after="240" w:afterAutospacing="off"/>
      </w:pPr>
      <w:r w:rsidRPr="533E83B2" w:rsidR="60930ECF">
        <w:rPr>
          <w:rFonts w:ascii="Times New Roman" w:hAnsi="Times New Roman" w:eastAsia="Times New Roman" w:cs="Times New Roman"/>
          <w:noProof w:val="0"/>
          <w:sz w:val="24"/>
          <w:szCs w:val="24"/>
          <w:lang w:val="en-US"/>
        </w:rPr>
        <w:t>Application of MITRE ATT &amp;CK framework has two important uses. First, it enables systematic, technology-agnostic analysis of adversary behavior, so that defenders can no longer describe incidents reactively, but instead model them in a repeatable fashion in threat models. Second, it establishes a direct connection between strategic threat intelligence and a practical defensive control. Knowing the most common methods of approaching pharmaceutical targets, organizations will be able to focus detection engineering, hardening access control, and monitoring investments to areas where the impact is going to make the most difference. The second part of the report is based on this conceptual framework analysis.</w:t>
      </w:r>
    </w:p>
    <w:p xmlns:wp14="http://schemas.microsoft.com/office/word/2010/wordml" w:rsidP="533E83B2" wp14:paraId="62568571" wp14:textId="5D37CED4">
      <w:pPr>
        <w:bidi w:val="0"/>
        <w:spacing w:before="240" w:beforeAutospacing="off" w:after="240" w:afterAutospacing="off"/>
      </w:pPr>
      <w:r w:rsidRPr="533E83B2" w:rsidR="60930ECF">
        <w:rPr>
          <w:rFonts w:ascii="Times New Roman" w:hAnsi="Times New Roman" w:eastAsia="Times New Roman" w:cs="Times New Roman"/>
          <w:noProof w:val="0"/>
          <w:sz w:val="24"/>
          <w:szCs w:val="24"/>
          <w:lang w:val="en-US"/>
        </w:rPr>
        <w:t xml:space="preserve"> </w:t>
      </w:r>
    </w:p>
    <w:p xmlns:wp14="http://schemas.microsoft.com/office/word/2010/wordml" w:rsidP="533E83B2" wp14:paraId="1CFC3B17" wp14:textId="3CDD9DCF">
      <w:pPr>
        <w:bidi w:val="0"/>
        <w:spacing w:before="240" w:beforeAutospacing="off" w:after="240" w:afterAutospacing="off"/>
      </w:pPr>
      <w:r w:rsidRPr="533E83B2" w:rsidR="60930ECF">
        <w:rPr>
          <w:rFonts w:ascii="Times New Roman" w:hAnsi="Times New Roman" w:eastAsia="Times New Roman" w:cs="Times New Roman"/>
          <w:noProof w:val="0"/>
          <w:sz w:val="24"/>
          <w:szCs w:val="24"/>
          <w:lang w:val="en-US"/>
        </w:rPr>
        <w:t>The latter section of the report implements the same understanding under a structured red team operation- Operation IP shield- carried out against Cureton Pharmaceutical Company (CPC). This activity recreates an impression of a realistic APT actor that tries to steal valuable research information without creating a security alarm. In contrast to more conventional penetration tests, which tend to be more focused on vulnerability discovery, or point-in-time compromise, this red team exercise aims at adversary behavior, operation stealth and objective-based intrusion. Success is not measured by the system disruption, but rather by the possibility to reach and steal sensitive information and remain unnoticed.</w:t>
      </w:r>
    </w:p>
    <w:p xmlns:wp14="http://schemas.microsoft.com/office/word/2010/wordml" w:rsidP="533E83B2" wp14:paraId="3E8373D6" wp14:textId="36655EBE">
      <w:pPr>
        <w:bidi w:val="0"/>
        <w:spacing w:before="240" w:beforeAutospacing="off" w:after="240" w:afterAutospacing="off"/>
      </w:pPr>
      <w:r w:rsidRPr="533E83B2" w:rsidR="60930ECF">
        <w:rPr>
          <w:rFonts w:ascii="Times New Roman" w:hAnsi="Times New Roman" w:eastAsia="Times New Roman" w:cs="Times New Roman"/>
          <w:noProof w:val="0"/>
          <w:sz w:val="24"/>
          <w:szCs w:val="24"/>
          <w:lang w:val="en-US"/>
        </w:rPr>
        <w:t xml:space="preserve"> </w:t>
      </w:r>
    </w:p>
    <w:p xmlns:wp14="http://schemas.microsoft.com/office/word/2010/wordml" w:rsidP="533E83B2" wp14:paraId="5720DB69" wp14:textId="675E5111">
      <w:pPr>
        <w:bidi w:val="0"/>
        <w:spacing w:before="240" w:beforeAutospacing="off" w:after="240" w:afterAutospacing="off"/>
      </w:pPr>
      <w:r w:rsidRPr="533E83B2" w:rsidR="60930ECF">
        <w:rPr>
          <w:rFonts w:ascii="Times New Roman" w:hAnsi="Times New Roman" w:eastAsia="Times New Roman" w:cs="Times New Roman"/>
          <w:noProof w:val="0"/>
          <w:sz w:val="24"/>
          <w:szCs w:val="24"/>
          <w:lang w:val="en-US"/>
        </w:rPr>
        <w:t>Operation IP Shield target environment is a mirror of hybrid infrastructures that are becoming an increasingly common practice in the pharmaceutical organizations of the day. The environment of CPC is an on-premises Active Directory domain to support the research and development activities and is integrated with cloud-proximate workloads to support clinical trial applications and DevOps pipelines. The engagement operates on a Docker-based containerized clinical trial portal as an alternative to a fully controlled, publicly hosted, cloud-based platform to reflect cloud-native clinical trial workloads. This design decision is based on trends found in pharmaceutical research in the real world where containerization is largely embraced to facilitate the idea of reproducibility, speed of deployment, and scalable data processing.</w:t>
      </w:r>
    </w:p>
    <w:p xmlns:wp14="http://schemas.microsoft.com/office/word/2010/wordml" w:rsidP="533E83B2" wp14:paraId="5644EC18" wp14:textId="14E04769">
      <w:pPr>
        <w:bidi w:val="0"/>
        <w:spacing w:before="240" w:beforeAutospacing="off" w:after="240" w:afterAutospacing="off"/>
      </w:pPr>
      <w:r w:rsidRPr="533E83B2" w:rsidR="60930ECF">
        <w:rPr>
          <w:rFonts w:ascii="Times New Roman" w:hAnsi="Times New Roman" w:eastAsia="Times New Roman" w:cs="Times New Roman"/>
          <w:noProof w:val="0"/>
          <w:sz w:val="24"/>
          <w:szCs w:val="24"/>
          <w:lang w:val="en-US"/>
        </w:rPr>
        <w:t xml:space="preserve"> </w:t>
      </w:r>
    </w:p>
    <w:p xmlns:wp14="http://schemas.microsoft.com/office/word/2010/wordml" w:rsidP="533E83B2" wp14:paraId="4B6C62BC" wp14:textId="39484A52">
      <w:pPr>
        <w:pStyle w:val="Normal"/>
        <w:bidi w:val="0"/>
        <w:spacing w:before="240" w:beforeAutospacing="off" w:after="240" w:afterAutospacing="off"/>
      </w:pPr>
      <w:r w:rsidRPr="533E83B2" w:rsidR="60930ECF">
        <w:rPr>
          <w:rFonts w:ascii="Times New Roman" w:hAnsi="Times New Roman" w:eastAsia="Times New Roman" w:cs="Times New Roman"/>
          <w:noProof w:val="0"/>
          <w:sz w:val="24"/>
          <w:szCs w:val="24"/>
          <w:lang w:val="en-US"/>
        </w:rPr>
        <w:t>The application of Docker containers presents a set of realistic security challenges that is quite similar to those encountered by production environments. Containerized applications can be based on complicated trust relationships of orchestration platforms, registries, CI/CD pipelines, and systems that host them. An insecure secrets handling, environment setup, and untrustworthy container networking, and lax image enforcement are all susceptible to an adversary with intent to do so. The simulation of these requirements makes the engagement simulate the complex attack surface formed by the current DevOps processes without having to deploy the entire public cloud infrastructure.</w:t>
      </w:r>
    </w:p>
    <w:p xmlns:wp14="http://schemas.microsoft.com/office/word/2010/wordml" wp14:paraId="755E7382" wp14:textId="13FB0BDC"/>
    <w:p xmlns:wp14="http://schemas.microsoft.com/office/word/2010/wordml" w:rsidP="533E83B2" wp14:paraId="4E2D7E9A" wp14:textId="5F7CA0CD">
      <w:pPr>
        <w:pStyle w:val="Heading2"/>
        <w:bidi w:val="0"/>
        <w:spacing w:before="299" w:beforeAutospacing="off" w:after="299" w:afterAutospacing="off"/>
      </w:pPr>
      <w:bookmarkStart w:name="_Toc880707976" w:id="193725908"/>
      <w:r w:rsidRPr="533E83B2" w:rsidR="1E52920D">
        <w:rPr>
          <w:rFonts w:ascii="Times New Roman" w:hAnsi="Times New Roman" w:eastAsia="Times New Roman" w:cs="Times New Roman"/>
          <w:b w:val="1"/>
          <w:bCs w:val="1"/>
          <w:noProof w:val="0"/>
          <w:sz w:val="36"/>
          <w:szCs w:val="36"/>
          <w:lang w:val="en-US"/>
        </w:rPr>
        <w:t>2. Part 1: Strategic Threat Analysis – Real‑World Attack Case Study</w:t>
      </w:r>
      <w:bookmarkEnd w:id="193725908"/>
      <w:r w:rsidRPr="533E83B2" w:rsidR="1E52920D">
        <w:rPr>
          <w:rFonts w:ascii="Times New Roman" w:hAnsi="Times New Roman" w:eastAsia="Times New Roman" w:cs="Times New Roman"/>
          <w:b w:val="1"/>
          <w:bCs w:val="1"/>
          <w:noProof w:val="0"/>
          <w:sz w:val="36"/>
          <w:szCs w:val="36"/>
          <w:lang w:val="en-US"/>
        </w:rPr>
        <w:t xml:space="preserve"> </w:t>
      </w:r>
    </w:p>
    <w:p xmlns:wp14="http://schemas.microsoft.com/office/word/2010/wordml" w:rsidP="533E83B2" wp14:paraId="0CF326C1" wp14:textId="4DE8905C">
      <w:pPr>
        <w:pStyle w:val="Heading3"/>
        <w:bidi w:val="0"/>
        <w:spacing w:before="281" w:beforeAutospacing="off" w:after="281" w:afterAutospacing="off"/>
        <w:rPr>
          <w:rFonts w:ascii="Times New Roman" w:hAnsi="Times New Roman" w:eastAsia="Times New Roman" w:cs="Times New Roman"/>
          <w:b w:val="1"/>
          <w:bCs w:val="1"/>
          <w:noProof w:val="0"/>
          <w:sz w:val="28"/>
          <w:szCs w:val="28"/>
          <w:lang w:val="en-US"/>
        </w:rPr>
      </w:pPr>
      <w:bookmarkStart w:name="_Toc2009161360" w:id="989568141"/>
      <w:r w:rsidRPr="533E83B2" w:rsidR="1E52920D">
        <w:rPr>
          <w:rFonts w:ascii="Times New Roman" w:hAnsi="Times New Roman" w:eastAsia="Times New Roman" w:cs="Times New Roman"/>
          <w:b w:val="1"/>
          <w:bCs w:val="1"/>
          <w:noProof w:val="0"/>
          <w:sz w:val="28"/>
          <w:szCs w:val="28"/>
          <w:lang w:val="en-US"/>
        </w:rPr>
        <w:t>2.1 Incident Overview</w:t>
      </w:r>
      <w:bookmarkEnd w:id="989568141"/>
    </w:p>
    <w:p xmlns:wp14="http://schemas.microsoft.com/office/word/2010/wordml" w:rsidP="533E83B2" wp14:paraId="471DF0BE" wp14:textId="17C1E516">
      <w:pPr>
        <w:bidi w:val="0"/>
        <w:spacing w:before="240" w:beforeAutospacing="off" w:after="240" w:afterAutospacing="off"/>
      </w:pPr>
      <w:r w:rsidRPr="533E83B2" w:rsidR="739F5F27">
        <w:rPr>
          <w:rFonts w:ascii="Times New Roman" w:hAnsi="Times New Roman" w:eastAsia="Times New Roman" w:cs="Times New Roman"/>
          <w:noProof w:val="0"/>
          <w:sz w:val="24"/>
          <w:szCs w:val="24"/>
          <w:lang w:val="en-US"/>
        </w:rPr>
        <w:t>This was validated by a series of coordinated incident response studies and research by leading cybersecurity vendors and national cyber defence agencies in 2023 and 2024, which reported a well-organized and highly efficient cyber-espionage campaign by the Chinese state-aligned threat group APT41. This campaign was discovered due to a synergistic approach of forensic check-ups, telemetry, and intelligence exchange in the government and non-state sectors. The publicly released intelligence reports had consistently reported that the campaign had disproportionately targeted pharmaceutical and biotechnology organisations that are involved in high-value research areas, such as oncology drug development, vaccine development, and advanced therapeutic technologies [2], [3], [6]. These spheres are one of the areas of considerable strategic interest because of its economical importance, national health policy and the interests of the long-term technological competitiveness.</w:t>
      </w:r>
    </w:p>
    <w:p xmlns:wp14="http://schemas.microsoft.com/office/word/2010/wordml" w:rsidP="533E83B2" wp14:paraId="60844B02" wp14:textId="40BF4B4A">
      <w:pPr>
        <w:bidi w:val="0"/>
        <w:spacing w:before="240" w:beforeAutospacing="off" w:after="240" w:afterAutospacing="off"/>
      </w:pPr>
      <w:r w:rsidRPr="533E83B2" w:rsidR="739F5F27">
        <w:rPr>
          <w:rFonts w:ascii="Times New Roman" w:hAnsi="Times New Roman" w:eastAsia="Times New Roman" w:cs="Times New Roman"/>
          <w:noProof w:val="0"/>
          <w:sz w:val="24"/>
          <w:szCs w:val="24"/>
          <w:lang w:val="en-US"/>
        </w:rPr>
        <w:t xml:space="preserve"> </w:t>
      </w:r>
    </w:p>
    <w:p xmlns:wp14="http://schemas.microsoft.com/office/word/2010/wordml" w:rsidP="533E83B2" wp14:paraId="71D5A5E6" wp14:textId="14870486">
      <w:pPr>
        <w:bidi w:val="0"/>
        <w:spacing w:before="240" w:beforeAutospacing="off" w:after="240" w:afterAutospacing="off"/>
      </w:pPr>
      <w:r w:rsidRPr="533E83B2" w:rsidR="739F5F27">
        <w:rPr>
          <w:rFonts w:ascii="Times New Roman" w:hAnsi="Times New Roman" w:eastAsia="Times New Roman" w:cs="Times New Roman"/>
          <w:noProof w:val="0"/>
          <w:sz w:val="24"/>
          <w:szCs w:val="24"/>
          <w:lang w:val="en-US"/>
        </w:rPr>
        <w:t>Target choice shows that there is a clear correspondence between the operational goals of the adversary and the national interests in general. Research in pharmaceuticals has to be heavy financially, lengthy development periods, and regulatory adherence. With a leak of proprietary research information, competitors can save substantial research and development expense, hasten local innovation engines, and obtain competitive edge without involving themselves in direct alliance of science or licensing of proprietary research. Consequently, the campaigns of cyber-spying against this industry are not isolated criminal activities, but are a constituent of a large intelligence-gathering approach that is geared towards empowering nationally by the use of illicit sources.</w:t>
      </w:r>
    </w:p>
    <w:p xmlns:wp14="http://schemas.microsoft.com/office/word/2010/wordml" w:rsidP="533E83B2" wp14:paraId="4CA41076" wp14:textId="358582F3">
      <w:pPr>
        <w:bidi w:val="0"/>
        <w:spacing w:before="240" w:beforeAutospacing="off" w:after="240" w:afterAutospacing="off"/>
      </w:pPr>
      <w:r w:rsidRPr="533E83B2" w:rsidR="739F5F27">
        <w:rPr>
          <w:rFonts w:ascii="Times New Roman" w:hAnsi="Times New Roman" w:eastAsia="Times New Roman" w:cs="Times New Roman"/>
          <w:noProof w:val="0"/>
          <w:sz w:val="24"/>
          <w:szCs w:val="24"/>
          <w:lang w:val="en-US"/>
        </w:rPr>
        <w:t xml:space="preserve"> </w:t>
      </w:r>
    </w:p>
    <w:p xmlns:wp14="http://schemas.microsoft.com/office/word/2010/wordml" w:rsidP="533E83B2" wp14:paraId="6C8470BB" wp14:textId="58A1D63D">
      <w:pPr>
        <w:bidi w:val="0"/>
        <w:spacing w:before="240" w:beforeAutospacing="off" w:after="240" w:afterAutospacing="off"/>
      </w:pPr>
      <w:r w:rsidRPr="533E83B2" w:rsidR="739F5F27">
        <w:rPr>
          <w:rFonts w:ascii="Times New Roman" w:hAnsi="Times New Roman" w:eastAsia="Times New Roman" w:cs="Times New Roman"/>
          <w:noProof w:val="0"/>
          <w:sz w:val="24"/>
          <w:szCs w:val="24"/>
          <w:lang w:val="en-US"/>
        </w:rPr>
        <w:t>This campaign, in contrast to opportunistic or financially motivated cybercrime, including ransomware attacks, payment card fraud, etc., had the typical features of a long-term strategic intelligence operation. Results of incident response showed intrusions characterized by a long dwell time as long as months. Throughout these times, attackers would undertake a meticulous reconnaissance, credential harvesting, and subsequent lateral movement with the aim of minimizing their footprint to the smallest possible. The absence of destructive measures, including the encryption of data or sabotage of systems, also helped to differ the campaign with the traditional cybercriminal activity. Rather, the opponent had stealth, persistence, and operational security as their paramount priorities, meaning that they could remain in the privileged environment without causing instant detection [2], [4].</w:t>
      </w:r>
    </w:p>
    <w:p xmlns:wp14="http://schemas.microsoft.com/office/word/2010/wordml" w:rsidP="533E83B2" wp14:paraId="5DCD7B15" wp14:textId="2B54917A">
      <w:pPr>
        <w:bidi w:val="0"/>
        <w:spacing w:before="240" w:beforeAutospacing="off" w:after="240" w:afterAutospacing="off"/>
      </w:pPr>
      <w:r w:rsidRPr="533E83B2" w:rsidR="739F5F27">
        <w:rPr>
          <w:rFonts w:ascii="Times New Roman" w:hAnsi="Times New Roman" w:eastAsia="Times New Roman" w:cs="Times New Roman"/>
          <w:noProof w:val="0"/>
          <w:sz w:val="24"/>
          <w:szCs w:val="24"/>
          <w:lang w:val="en-US"/>
        </w:rPr>
        <w:t xml:space="preserve"> </w:t>
      </w:r>
    </w:p>
    <w:p xmlns:wp14="http://schemas.microsoft.com/office/word/2010/wordml" w:rsidP="533E83B2" wp14:paraId="2B8CE211" wp14:textId="47DC191B">
      <w:pPr>
        <w:bidi w:val="0"/>
        <w:spacing w:before="240" w:beforeAutospacing="off" w:after="240" w:afterAutospacing="off"/>
      </w:pPr>
      <w:r w:rsidRPr="533E83B2" w:rsidR="739F5F27">
        <w:rPr>
          <w:rFonts w:ascii="Times New Roman" w:hAnsi="Times New Roman" w:eastAsia="Times New Roman" w:cs="Times New Roman"/>
          <w:noProof w:val="0"/>
          <w:sz w:val="24"/>
          <w:szCs w:val="24"/>
          <w:lang w:val="en-US"/>
        </w:rPr>
        <w:t>Most importantly, the major goal of the campaign was not short-term monetisation. Instead of trying to sell the stolen data on the black markets or blackmail the victims to get money, the opponent aimed at the clandestine theft of intellectual property that could provide the long-term economic and strategic utility. Certainly, selected information was clinical trial outcome information, proprietary drug formulations, internal research records, and collaborative research information that was shared among pharmaceutical corporations, academic institutions, and governmental agencies [3], [6]. This kind of information is of invaluable importance to state coherent actors interested in developing pharmaceutical industries domestically, shaping policy, or earning leverage in the international negotiation process.</w:t>
      </w:r>
    </w:p>
    <w:p xmlns:wp14="http://schemas.microsoft.com/office/word/2010/wordml" w:rsidP="533E83B2" wp14:paraId="20DC70E1" wp14:textId="1FB47131">
      <w:pPr>
        <w:bidi w:val="0"/>
        <w:spacing w:before="240" w:beforeAutospacing="off" w:after="240" w:afterAutospacing="off"/>
      </w:pPr>
      <w:r w:rsidRPr="533E83B2" w:rsidR="739F5F27">
        <w:rPr>
          <w:rFonts w:ascii="Times New Roman" w:hAnsi="Times New Roman" w:eastAsia="Times New Roman" w:cs="Times New Roman"/>
          <w:noProof w:val="0"/>
          <w:sz w:val="24"/>
          <w:szCs w:val="24"/>
          <w:lang w:val="en-US"/>
        </w:rPr>
        <w:t xml:space="preserve"> </w:t>
      </w:r>
    </w:p>
    <w:p xmlns:wp14="http://schemas.microsoft.com/office/word/2010/wordml" w:rsidP="533E83B2" wp14:paraId="4806BCC9" wp14:textId="4C016058">
      <w:pPr>
        <w:bidi w:val="0"/>
        <w:spacing w:before="240" w:beforeAutospacing="off" w:after="240" w:afterAutospacing="off"/>
      </w:pPr>
      <w:r w:rsidRPr="533E83B2" w:rsidR="739F5F27">
        <w:rPr>
          <w:rFonts w:ascii="Times New Roman" w:hAnsi="Times New Roman" w:eastAsia="Times New Roman" w:cs="Times New Roman"/>
          <w:noProof w:val="0"/>
          <w:sz w:val="24"/>
          <w:szCs w:val="24"/>
          <w:lang w:val="en-US"/>
        </w:rPr>
        <w:t>The widespread usage of the living-off-the-land (LOTL) strategies became one of the crucial aspects of the campaign. Instead of having to install specially developed malware or to use zero-day vulnerabilities to execute malicious operations on large scale, the intruders used legitimate operating system utilities and administrative tools to conduct illicit activities. PowerShell, windows management instrumentation (WMI), and scheduled tasks as well as native authentication mechanisms were among the most frequently abused tools. Since such utilities are regularly employed by system administrators to do legitimate business, its malicious application tended to become a part and parcel of the regular enterprise operations [1], [3].</w:t>
      </w:r>
    </w:p>
    <w:p xmlns:wp14="http://schemas.microsoft.com/office/word/2010/wordml" w:rsidP="533E83B2" wp14:paraId="24E32D75" wp14:textId="381D6357">
      <w:pPr>
        <w:bidi w:val="0"/>
        <w:spacing w:before="240" w:beforeAutospacing="off" w:after="240" w:afterAutospacing="off"/>
      </w:pPr>
      <w:r w:rsidRPr="533E83B2" w:rsidR="739F5F27">
        <w:rPr>
          <w:rFonts w:ascii="Times New Roman" w:hAnsi="Times New Roman" w:eastAsia="Times New Roman" w:cs="Times New Roman"/>
          <w:noProof w:val="0"/>
          <w:sz w:val="24"/>
          <w:szCs w:val="24"/>
          <w:lang w:val="en-US"/>
        </w:rPr>
        <w:t xml:space="preserve"> </w:t>
      </w:r>
    </w:p>
    <w:p xmlns:wp14="http://schemas.microsoft.com/office/word/2010/wordml" w:rsidP="533E83B2" wp14:paraId="734F6852" wp14:textId="0959A10C">
      <w:pPr>
        <w:bidi w:val="0"/>
        <w:spacing w:before="240" w:beforeAutospacing="off" w:after="240" w:afterAutospacing="off"/>
      </w:pPr>
      <w:r w:rsidRPr="533E83B2" w:rsidR="739F5F27">
        <w:rPr>
          <w:rFonts w:ascii="Times New Roman" w:hAnsi="Times New Roman" w:eastAsia="Times New Roman" w:cs="Times New Roman"/>
          <w:noProof w:val="0"/>
          <w:sz w:val="24"/>
          <w:szCs w:val="24"/>
          <w:lang w:val="en-US"/>
        </w:rPr>
        <w:t>Such a strategy greatly lowered the chances of being detected by the traditional signature-based security controls. Conventional antivirus and intrusion detecting systems are basically developed to detect known malware signatures, exploit payloads or malicious binaries. Living-off-the-land methods, in their turn, are based on the use of trusted tools that are already installed in the operating system and produce an activity that does not raise any suspicions on a surface level. As an example, PowerShell can be used to write reconnaissance or credential harvesting activities that look like a normal administrative script and it is challenging to defenders to tell the difference between malicious and legitimate use without advanced behavioral analytics or contextual awareness.</w:t>
      </w:r>
    </w:p>
    <w:p xmlns:wp14="http://schemas.microsoft.com/office/word/2010/wordml" w:rsidP="533E83B2" wp14:paraId="352469D9" wp14:textId="34E74366">
      <w:pPr>
        <w:bidi w:val="0"/>
        <w:spacing w:before="240" w:beforeAutospacing="off" w:after="240" w:afterAutospacing="off"/>
      </w:pPr>
      <w:r w:rsidRPr="533E83B2" w:rsidR="739F5F27">
        <w:rPr>
          <w:rFonts w:ascii="Times New Roman" w:hAnsi="Times New Roman" w:eastAsia="Times New Roman" w:cs="Times New Roman"/>
          <w:noProof w:val="0"/>
          <w:sz w:val="24"/>
          <w:szCs w:val="24"/>
          <w:lang w:val="en-US"/>
        </w:rPr>
        <w:t xml:space="preserve"> </w:t>
      </w:r>
    </w:p>
    <w:p xmlns:wp14="http://schemas.microsoft.com/office/word/2010/wordml" w:rsidP="533E83B2" wp14:paraId="5432B325" wp14:textId="5A0F9F2F">
      <w:pPr>
        <w:bidi w:val="0"/>
        <w:spacing w:before="240" w:beforeAutospacing="off" w:after="240" w:afterAutospacing="off"/>
      </w:pPr>
      <w:r w:rsidRPr="533E83B2" w:rsidR="739F5F27">
        <w:rPr>
          <w:rFonts w:ascii="Times New Roman" w:hAnsi="Times New Roman" w:eastAsia="Times New Roman" w:cs="Times New Roman"/>
          <w:noProof w:val="0"/>
          <w:sz w:val="24"/>
          <w:szCs w:val="24"/>
          <w:lang w:val="en-US"/>
        </w:rPr>
        <w:t>The widespread application of LOTL methods also indicates a wider transition of advanced persistent threats activities to identity-based attack frameworks. By obtaining valid user credentials, namely, in most cases by phishing, dumping credentials, or through the use of misconfigured service accounts, APT41 could authenticate as valid user credentials in the target environments. This allowed cross-network traversal without using special authentication measures and effectively circumvented perimeter controls and minimized the use of exploit-based methods of intrusion. The adversary may also do so once inside with equal privileges as legitimate users, which makes it even more difficult to spot and assign the attribution.</w:t>
      </w:r>
    </w:p>
    <w:p xmlns:wp14="http://schemas.microsoft.com/office/word/2010/wordml" w:rsidP="533E83B2" wp14:paraId="2D3BD4DB" wp14:textId="1045F585">
      <w:pPr>
        <w:bidi w:val="0"/>
        <w:spacing w:before="240" w:beforeAutospacing="off" w:after="240" w:afterAutospacing="off"/>
      </w:pPr>
      <w:r w:rsidRPr="533E83B2" w:rsidR="739F5F27">
        <w:rPr>
          <w:rFonts w:ascii="Times New Roman" w:hAnsi="Times New Roman" w:eastAsia="Times New Roman" w:cs="Times New Roman"/>
          <w:noProof w:val="0"/>
          <w:sz w:val="24"/>
          <w:szCs w:val="24"/>
          <w:lang w:val="en-US"/>
        </w:rPr>
        <w:t xml:space="preserve"> </w:t>
      </w:r>
    </w:p>
    <w:p xmlns:wp14="http://schemas.microsoft.com/office/word/2010/wordml" w:rsidP="533E83B2" wp14:paraId="5A1E7B43" wp14:textId="632BAB50">
      <w:pPr>
        <w:bidi w:val="0"/>
        <w:spacing w:before="240" w:beforeAutospacing="off" w:after="240" w:afterAutospacing="off"/>
      </w:pPr>
      <w:r w:rsidRPr="533E83B2" w:rsidR="739F5F27">
        <w:rPr>
          <w:rFonts w:ascii="Times New Roman" w:hAnsi="Times New Roman" w:eastAsia="Times New Roman" w:cs="Times New Roman"/>
          <w:noProof w:val="0"/>
          <w:sz w:val="24"/>
          <w:szCs w:val="24"/>
          <w:lang w:val="en-US"/>
        </w:rPr>
        <w:t>Due to such a stealth-like strategy, various organisations that have been affected by this have been in the dark about this compromise even after long durations. There are a number of reported situations when it was detected only after the retrospective forensic analysis was done, either in response to other incidents, or after intelligence information has been given by external partners [2], [4]. The adversary had typically left its objectives behind before the intrusion was detected and developed persistence mechanisms which would make it very difficult to free of sensitive data. This late notification is one of the most serious flaws of most enterprise security initiatives, especially those based on massive perimeter-based solutions along with signature-based detection systems.</w:t>
      </w:r>
    </w:p>
    <w:p xmlns:wp14="http://schemas.microsoft.com/office/word/2010/wordml" w:rsidP="533E83B2" wp14:paraId="099C757C" wp14:textId="48B72AA7">
      <w:pPr>
        <w:bidi w:val="0"/>
        <w:spacing w:before="240" w:beforeAutospacing="off" w:after="240" w:afterAutospacing="off"/>
      </w:pPr>
      <w:r w:rsidRPr="533E83B2" w:rsidR="739F5F27">
        <w:rPr>
          <w:rFonts w:ascii="Times New Roman" w:hAnsi="Times New Roman" w:eastAsia="Times New Roman" w:cs="Times New Roman"/>
          <w:noProof w:val="0"/>
          <w:sz w:val="24"/>
          <w:szCs w:val="24"/>
          <w:lang w:val="en-US"/>
        </w:rPr>
        <w:t xml:space="preserve"> </w:t>
      </w:r>
    </w:p>
    <w:p xmlns:wp14="http://schemas.microsoft.com/office/word/2010/wordml" w:rsidP="533E83B2" wp14:paraId="2831D8A1" wp14:textId="1C2AE714">
      <w:pPr>
        <w:pStyle w:val="Normal"/>
        <w:bidi w:val="0"/>
        <w:spacing w:before="240" w:beforeAutospacing="off" w:after="240" w:afterAutospacing="off"/>
      </w:pPr>
      <w:r w:rsidRPr="533E83B2" w:rsidR="739F5F27">
        <w:rPr>
          <w:rFonts w:ascii="Times New Roman" w:hAnsi="Times New Roman" w:eastAsia="Times New Roman" w:cs="Times New Roman"/>
          <w:noProof w:val="0"/>
          <w:sz w:val="24"/>
          <w:szCs w:val="24"/>
          <w:lang w:val="en-US"/>
        </w:rPr>
        <w:t>Altogether, the APT41 campaign demonstrates how the current day threat actors, supported by the state, capitalize on technical and organizational vulnerabilities in order to reach strategic goals. The operation was not based on extraordinary new adventures, sophisticated malware, but on professional tradecraft, profound knowledge of enterprise settings, and the methodical exploitation of trusted system and identities. These features highlight the need to implement security models by pharmaceutical and biotechnology organisations, which focus on behavioural monitoring, identity-conscious access control, and ongoing threat hunting. These adversary behaviors need to be understood and internalized to come up with realistic threat emulation exercises and defensive mechanisms that will work to counter advanced persistent threats.</w:t>
      </w:r>
    </w:p>
    <w:p xmlns:wp14="http://schemas.microsoft.com/office/word/2010/wordml" w:rsidP="533E83B2" wp14:paraId="60F110A7" wp14:textId="27168566">
      <w:pPr>
        <w:pStyle w:val="Heading3"/>
        <w:bidi w:val="0"/>
        <w:spacing w:before="281" w:beforeAutospacing="off" w:after="281" w:afterAutospacing="off"/>
        <w:rPr>
          <w:rFonts w:ascii="Times New Roman" w:hAnsi="Times New Roman" w:eastAsia="Times New Roman" w:cs="Times New Roman"/>
          <w:b w:val="1"/>
          <w:bCs w:val="1"/>
          <w:noProof w:val="0"/>
          <w:sz w:val="28"/>
          <w:szCs w:val="28"/>
          <w:lang w:val="en-US"/>
        </w:rPr>
      </w:pPr>
      <w:bookmarkStart w:name="_Toc2133450852" w:id="908196072"/>
      <w:r w:rsidRPr="533E83B2" w:rsidR="1E52920D">
        <w:rPr>
          <w:rFonts w:ascii="Times New Roman" w:hAnsi="Times New Roman" w:eastAsia="Times New Roman" w:cs="Times New Roman"/>
          <w:b w:val="1"/>
          <w:bCs w:val="1"/>
          <w:noProof w:val="0"/>
          <w:sz w:val="28"/>
          <w:szCs w:val="28"/>
          <w:lang w:val="en-US"/>
        </w:rPr>
        <w:t>2.2 Adversary Profile &amp; Objectives</w:t>
      </w:r>
      <w:bookmarkEnd w:id="908196072"/>
    </w:p>
    <w:p xmlns:wp14="http://schemas.microsoft.com/office/word/2010/wordml" w:rsidP="533E83B2" wp14:paraId="099EC948" wp14:textId="101D4D6E">
      <w:pPr>
        <w:bidi w:val="0"/>
        <w:spacing w:before="240" w:beforeAutospacing="off" w:after="240" w:afterAutospacing="off"/>
      </w:pPr>
      <w:r w:rsidRPr="533E83B2" w:rsidR="1E52920D">
        <w:rPr>
          <w:rFonts w:ascii="Times New Roman" w:hAnsi="Times New Roman" w:eastAsia="Times New Roman" w:cs="Times New Roman"/>
          <w:noProof w:val="0"/>
          <w:sz w:val="24"/>
          <w:szCs w:val="24"/>
          <w:lang w:val="en-US"/>
        </w:rPr>
        <w:t>APT41 occupies a distinctive position within the advanced threat landscape due to its dual operational mandate, combining state‑sponsored cyber‑espionage with financially motivated activity. However, in the context of pharmaceutical sector intrusions, publicly reported evidence strongly suggests that observed activity aligns predominantly with strategic intelligence collection rather than opportunistic financial crime [2], [3].</w:t>
      </w:r>
    </w:p>
    <w:p xmlns:wp14="http://schemas.microsoft.com/office/word/2010/wordml" w:rsidP="533E83B2" wp14:paraId="7772D165" wp14:textId="766C78BE">
      <w:pPr>
        <w:bidi w:val="0"/>
        <w:spacing w:before="240" w:beforeAutospacing="off" w:after="240" w:afterAutospacing="off"/>
      </w:pPr>
      <w:r w:rsidRPr="533E83B2" w:rsidR="1E52920D">
        <w:rPr>
          <w:rFonts w:ascii="Times New Roman" w:hAnsi="Times New Roman" w:eastAsia="Times New Roman" w:cs="Times New Roman"/>
          <w:noProof w:val="0"/>
          <w:sz w:val="24"/>
          <w:szCs w:val="24"/>
          <w:lang w:val="en-US"/>
        </w:rPr>
        <w:t>The primary objectives of APT41 during this campaign can be synthesised as follows:</w:t>
      </w:r>
    </w:p>
    <w:p xmlns:wp14="http://schemas.microsoft.com/office/word/2010/wordml" w:rsidP="533E83B2" wp14:paraId="2F4AA05A" wp14:textId="6D0D435A">
      <w:pPr>
        <w:pStyle w:val="ListParagraph"/>
        <w:numPr>
          <w:ilvl w:val="0"/>
          <w:numId w:val="51"/>
        </w:numPr>
        <w:bidi w:val="0"/>
        <w:spacing w:before="240" w:beforeAutospacing="off" w:after="240" w:afterAutospacing="off"/>
        <w:rPr>
          <w:rFonts w:ascii="Times New Roman" w:hAnsi="Times New Roman" w:eastAsia="Times New Roman" w:cs="Times New Roman"/>
          <w:noProof w:val="0"/>
          <w:sz w:val="24"/>
          <w:szCs w:val="24"/>
          <w:lang w:val="en-US"/>
        </w:rPr>
      </w:pPr>
      <w:r w:rsidRPr="533E83B2" w:rsidR="1E52920D">
        <w:rPr>
          <w:rFonts w:ascii="Times New Roman" w:hAnsi="Times New Roman" w:eastAsia="Times New Roman" w:cs="Times New Roman"/>
          <w:b w:val="1"/>
          <w:bCs w:val="1"/>
          <w:noProof w:val="0"/>
          <w:sz w:val="24"/>
          <w:szCs w:val="24"/>
          <w:lang w:val="en-US"/>
        </w:rPr>
        <w:t>Extraction of proprietary pharmaceutical research</w:t>
      </w:r>
      <w:r w:rsidRPr="533E83B2" w:rsidR="1E52920D">
        <w:rPr>
          <w:rFonts w:ascii="Times New Roman" w:hAnsi="Times New Roman" w:eastAsia="Times New Roman" w:cs="Times New Roman"/>
          <w:noProof w:val="0"/>
          <w:sz w:val="24"/>
          <w:szCs w:val="24"/>
          <w:lang w:val="en-US"/>
        </w:rPr>
        <w:t>, including drug formulations, molecular models, and experimental results [2].</w:t>
      </w:r>
    </w:p>
    <w:p xmlns:wp14="http://schemas.microsoft.com/office/word/2010/wordml" w:rsidP="533E83B2" wp14:paraId="4A986AAE" wp14:textId="4F64F5AA">
      <w:pPr>
        <w:pStyle w:val="ListParagraph"/>
        <w:numPr>
          <w:ilvl w:val="0"/>
          <w:numId w:val="51"/>
        </w:numPr>
        <w:bidi w:val="0"/>
        <w:spacing w:before="240" w:beforeAutospacing="off" w:after="240" w:afterAutospacing="off"/>
        <w:rPr>
          <w:rFonts w:ascii="Times New Roman" w:hAnsi="Times New Roman" w:eastAsia="Times New Roman" w:cs="Times New Roman"/>
          <w:noProof w:val="0"/>
          <w:sz w:val="24"/>
          <w:szCs w:val="24"/>
          <w:lang w:val="en-US"/>
        </w:rPr>
      </w:pPr>
      <w:r w:rsidRPr="533E83B2" w:rsidR="1E52920D">
        <w:rPr>
          <w:rFonts w:ascii="Times New Roman" w:hAnsi="Times New Roman" w:eastAsia="Times New Roman" w:cs="Times New Roman"/>
          <w:b w:val="1"/>
          <w:bCs w:val="1"/>
          <w:noProof w:val="0"/>
          <w:sz w:val="24"/>
          <w:szCs w:val="24"/>
          <w:lang w:val="en-US"/>
        </w:rPr>
        <w:t>Unauthorised access to clinical trial datasets</w:t>
      </w:r>
      <w:r w:rsidRPr="533E83B2" w:rsidR="1E52920D">
        <w:rPr>
          <w:rFonts w:ascii="Times New Roman" w:hAnsi="Times New Roman" w:eastAsia="Times New Roman" w:cs="Times New Roman"/>
          <w:noProof w:val="0"/>
          <w:sz w:val="24"/>
          <w:szCs w:val="24"/>
          <w:lang w:val="en-US"/>
        </w:rPr>
        <w:t>, enabling insight into efficacy, safety profiles, and research methodologies [6].</w:t>
      </w:r>
    </w:p>
    <w:p xmlns:wp14="http://schemas.microsoft.com/office/word/2010/wordml" w:rsidP="533E83B2" wp14:paraId="54FC164C" wp14:textId="269ADEFB">
      <w:pPr>
        <w:pStyle w:val="ListParagraph"/>
        <w:numPr>
          <w:ilvl w:val="0"/>
          <w:numId w:val="51"/>
        </w:numPr>
        <w:bidi w:val="0"/>
        <w:spacing w:before="240" w:beforeAutospacing="off" w:after="240" w:afterAutospacing="off"/>
        <w:rPr>
          <w:rFonts w:ascii="Times New Roman" w:hAnsi="Times New Roman" w:eastAsia="Times New Roman" w:cs="Times New Roman"/>
          <w:noProof w:val="0"/>
          <w:sz w:val="24"/>
          <w:szCs w:val="24"/>
          <w:lang w:val="en-US"/>
        </w:rPr>
      </w:pPr>
      <w:r w:rsidRPr="533E83B2" w:rsidR="1E52920D">
        <w:rPr>
          <w:rFonts w:ascii="Times New Roman" w:hAnsi="Times New Roman" w:eastAsia="Times New Roman" w:cs="Times New Roman"/>
          <w:b w:val="1"/>
          <w:bCs w:val="1"/>
          <w:noProof w:val="0"/>
          <w:sz w:val="24"/>
          <w:szCs w:val="24"/>
          <w:lang w:val="en-US"/>
        </w:rPr>
        <w:t>Establishment of durable persistence mechanisms</w:t>
      </w:r>
      <w:r w:rsidRPr="533E83B2" w:rsidR="1E52920D">
        <w:rPr>
          <w:rFonts w:ascii="Times New Roman" w:hAnsi="Times New Roman" w:eastAsia="Times New Roman" w:cs="Times New Roman"/>
          <w:noProof w:val="0"/>
          <w:sz w:val="24"/>
          <w:szCs w:val="24"/>
          <w:lang w:val="en-US"/>
        </w:rPr>
        <w:t xml:space="preserve"> to facilitate recurring access and long‑term intelligence harvesting [3].</w:t>
      </w:r>
    </w:p>
    <w:p xmlns:wp14="http://schemas.microsoft.com/office/word/2010/wordml" w:rsidP="533E83B2" wp14:paraId="72F61F16" wp14:textId="1C3ADB51">
      <w:pPr>
        <w:bidi w:val="0"/>
        <w:spacing w:before="240" w:beforeAutospacing="off" w:after="240" w:afterAutospacing="off"/>
      </w:pPr>
      <w:r w:rsidRPr="533E83B2" w:rsidR="1E52920D">
        <w:rPr>
          <w:rFonts w:ascii="Times New Roman" w:hAnsi="Times New Roman" w:eastAsia="Times New Roman" w:cs="Times New Roman"/>
          <w:noProof w:val="0"/>
          <w:sz w:val="24"/>
          <w:szCs w:val="24"/>
          <w:lang w:val="en-US"/>
        </w:rPr>
        <w:t>Operationally, the group demonstrated a high level of discipline and tradecraft maturity. Rather than deploying bespoke malware aggressively, APT41 favoured native system tools, encrypted command‑and‑control channels, and credential‑based access. This methodology reflects a broader shift among state‑aligned actors toward low‑noise, identity‑centric intrusion techniques designed to evade both signature‑based detection and attribution efforts [1], [3].</w:t>
      </w:r>
    </w:p>
    <w:p xmlns:wp14="http://schemas.microsoft.com/office/word/2010/wordml" w:rsidP="533E83B2" wp14:paraId="3C09B989" wp14:textId="7FC54D4B">
      <w:pPr>
        <w:pStyle w:val="Heading3"/>
        <w:bidi w:val="0"/>
        <w:spacing w:before="281" w:beforeAutospacing="off" w:after="281" w:afterAutospacing="off"/>
        <w:rPr>
          <w:rFonts w:ascii="Times New Roman" w:hAnsi="Times New Roman" w:eastAsia="Times New Roman" w:cs="Times New Roman"/>
          <w:b w:val="1"/>
          <w:bCs w:val="1"/>
          <w:noProof w:val="0"/>
          <w:sz w:val="28"/>
          <w:szCs w:val="28"/>
          <w:lang w:val="en-US"/>
        </w:rPr>
      </w:pPr>
      <w:bookmarkStart w:name="_Toc32416658" w:id="1240525308"/>
      <w:r w:rsidRPr="533E83B2" w:rsidR="1E52920D">
        <w:rPr>
          <w:rFonts w:ascii="Times New Roman" w:hAnsi="Times New Roman" w:eastAsia="Times New Roman" w:cs="Times New Roman"/>
          <w:b w:val="1"/>
          <w:bCs w:val="1"/>
          <w:noProof w:val="0"/>
          <w:sz w:val="28"/>
          <w:szCs w:val="28"/>
          <w:lang w:val="en-US"/>
        </w:rPr>
        <w:t>2.3 MITRE ATT&amp;CK Mapping of the Campaign</w:t>
      </w:r>
      <w:bookmarkEnd w:id="1240525308"/>
    </w:p>
    <w:p xmlns:wp14="http://schemas.microsoft.com/office/word/2010/wordml" w:rsidP="533E83B2" wp14:paraId="5D037A66" wp14:textId="5175C466">
      <w:pPr>
        <w:bidi w:val="0"/>
        <w:spacing w:before="240" w:beforeAutospacing="off" w:after="240" w:afterAutospacing="off"/>
      </w:pPr>
      <w:r w:rsidRPr="533E83B2" w:rsidR="1E52920D">
        <w:rPr>
          <w:rFonts w:ascii="Times New Roman" w:hAnsi="Times New Roman" w:eastAsia="Times New Roman" w:cs="Times New Roman"/>
          <w:noProof w:val="0"/>
          <w:sz w:val="24"/>
          <w:szCs w:val="24"/>
          <w:lang w:val="en-US"/>
        </w:rPr>
        <w:t>APT41 is notable for blending state‑sponsored espionage with financially motivated cyber activity. In the pharmaceutical context, the group’s primary objectives were:</w:t>
      </w:r>
    </w:p>
    <w:p xmlns:wp14="http://schemas.microsoft.com/office/word/2010/wordml" w:rsidP="533E83B2" wp14:paraId="4B262EAD" wp14:textId="27960158">
      <w:pPr>
        <w:pStyle w:val="ListParagraph"/>
        <w:numPr>
          <w:ilvl w:val="0"/>
          <w:numId w:val="52"/>
        </w:numPr>
        <w:bidi w:val="0"/>
        <w:spacing w:before="240" w:beforeAutospacing="off" w:after="240" w:afterAutospacing="off"/>
        <w:rPr>
          <w:rFonts w:ascii="Times New Roman" w:hAnsi="Times New Roman" w:eastAsia="Times New Roman" w:cs="Times New Roman"/>
          <w:noProof w:val="0"/>
          <w:sz w:val="24"/>
          <w:szCs w:val="24"/>
          <w:lang w:val="en-US"/>
        </w:rPr>
      </w:pPr>
      <w:r w:rsidRPr="533E83B2" w:rsidR="1E52920D">
        <w:rPr>
          <w:rFonts w:ascii="Times New Roman" w:hAnsi="Times New Roman" w:eastAsia="Times New Roman" w:cs="Times New Roman"/>
          <w:noProof w:val="0"/>
          <w:sz w:val="24"/>
          <w:szCs w:val="24"/>
          <w:lang w:val="en-US"/>
        </w:rPr>
        <w:t>Theft of proprietary drug research and formulas</w:t>
      </w:r>
    </w:p>
    <w:p xmlns:wp14="http://schemas.microsoft.com/office/word/2010/wordml" w:rsidP="533E83B2" wp14:paraId="0F9037F0" wp14:textId="49B8206A">
      <w:pPr>
        <w:pStyle w:val="ListParagraph"/>
        <w:numPr>
          <w:ilvl w:val="0"/>
          <w:numId w:val="52"/>
        </w:numPr>
        <w:bidi w:val="0"/>
        <w:spacing w:before="240" w:beforeAutospacing="off" w:after="240" w:afterAutospacing="off"/>
        <w:rPr>
          <w:rFonts w:ascii="Times New Roman" w:hAnsi="Times New Roman" w:eastAsia="Times New Roman" w:cs="Times New Roman"/>
          <w:noProof w:val="0"/>
          <w:sz w:val="24"/>
          <w:szCs w:val="24"/>
          <w:lang w:val="en-US"/>
        </w:rPr>
      </w:pPr>
      <w:r w:rsidRPr="533E83B2" w:rsidR="1E52920D">
        <w:rPr>
          <w:rFonts w:ascii="Times New Roman" w:hAnsi="Times New Roman" w:eastAsia="Times New Roman" w:cs="Times New Roman"/>
          <w:noProof w:val="0"/>
          <w:sz w:val="24"/>
          <w:szCs w:val="24"/>
          <w:lang w:val="en-US"/>
        </w:rPr>
        <w:t>Access to clinical trial datasets</w:t>
      </w:r>
    </w:p>
    <w:p xmlns:wp14="http://schemas.microsoft.com/office/word/2010/wordml" w:rsidP="533E83B2" wp14:paraId="5D20C4F4" wp14:textId="4A15EA02">
      <w:pPr>
        <w:pStyle w:val="ListParagraph"/>
        <w:numPr>
          <w:ilvl w:val="0"/>
          <w:numId w:val="52"/>
        </w:numPr>
        <w:bidi w:val="0"/>
        <w:spacing w:before="240" w:beforeAutospacing="off" w:after="240" w:afterAutospacing="off"/>
        <w:rPr>
          <w:rFonts w:ascii="Times New Roman" w:hAnsi="Times New Roman" w:eastAsia="Times New Roman" w:cs="Times New Roman"/>
          <w:noProof w:val="0"/>
          <w:sz w:val="24"/>
          <w:szCs w:val="24"/>
          <w:lang w:val="en-US"/>
        </w:rPr>
      </w:pPr>
      <w:r w:rsidRPr="533E83B2" w:rsidR="1E52920D">
        <w:rPr>
          <w:rFonts w:ascii="Times New Roman" w:hAnsi="Times New Roman" w:eastAsia="Times New Roman" w:cs="Times New Roman"/>
          <w:noProof w:val="0"/>
          <w:sz w:val="24"/>
          <w:szCs w:val="24"/>
          <w:lang w:val="en-US"/>
        </w:rPr>
        <w:t>Establishment of persistent access for long‑term intelligence collection</w:t>
      </w:r>
    </w:p>
    <w:p xmlns:wp14="http://schemas.microsoft.com/office/word/2010/wordml" w:rsidP="533E83B2" wp14:paraId="676F5DB7" wp14:textId="4A9B4720">
      <w:pPr>
        <w:bidi w:val="0"/>
        <w:spacing w:before="240" w:beforeAutospacing="off" w:after="240" w:afterAutospacing="off"/>
      </w:pPr>
      <w:r w:rsidRPr="533E83B2" w:rsidR="1E52920D">
        <w:rPr>
          <w:rFonts w:ascii="Times New Roman" w:hAnsi="Times New Roman" w:eastAsia="Times New Roman" w:cs="Times New Roman"/>
          <w:noProof w:val="0"/>
          <w:sz w:val="24"/>
          <w:szCs w:val="24"/>
          <w:lang w:val="en-US"/>
        </w:rPr>
        <w:t>The group demonstrated advanced operational security, leveraging legitimate system tools and encrypted command‑and‑control channels to evade detection.</w:t>
      </w:r>
    </w:p>
    <w:p xmlns:wp14="http://schemas.microsoft.com/office/word/2010/wordml" w:rsidP="533E83B2" wp14:paraId="2A9096FE" wp14:textId="21DF1EDC">
      <w:pPr>
        <w:pStyle w:val="Heading3"/>
        <w:bidi w:val="0"/>
        <w:spacing w:before="281" w:beforeAutospacing="off" w:after="281" w:afterAutospacing="off"/>
        <w:rPr>
          <w:rFonts w:ascii="Times New Roman" w:hAnsi="Times New Roman" w:eastAsia="Times New Roman" w:cs="Times New Roman"/>
          <w:b w:val="1"/>
          <w:bCs w:val="1"/>
          <w:noProof w:val="0"/>
          <w:sz w:val="28"/>
          <w:szCs w:val="28"/>
          <w:lang w:val="en-US"/>
        </w:rPr>
      </w:pPr>
      <w:bookmarkStart w:name="_Toc193116552" w:id="616032462"/>
      <w:r w:rsidRPr="533E83B2" w:rsidR="1E52920D">
        <w:rPr>
          <w:rFonts w:ascii="Times New Roman" w:hAnsi="Times New Roman" w:eastAsia="Times New Roman" w:cs="Times New Roman"/>
          <w:b w:val="1"/>
          <w:bCs w:val="1"/>
          <w:noProof w:val="0"/>
          <w:sz w:val="28"/>
          <w:szCs w:val="28"/>
          <w:lang w:val="en-US"/>
        </w:rPr>
        <w:t>2.3 MITRE ATT&amp;CK Mapping of the Campaign</w:t>
      </w:r>
      <w:bookmarkEnd w:id="616032462"/>
    </w:p>
    <w:p xmlns:wp14="http://schemas.microsoft.com/office/word/2010/wordml" w:rsidP="533E83B2" wp14:paraId="2B0FE1AB" wp14:textId="45DB9E7C">
      <w:pPr>
        <w:bidi w:val="0"/>
        <w:spacing w:before="240" w:beforeAutospacing="off" w:after="240" w:afterAutospacing="off"/>
      </w:pPr>
      <w:r w:rsidRPr="533E83B2" w:rsidR="1E52920D">
        <w:rPr>
          <w:rFonts w:ascii="Times New Roman" w:hAnsi="Times New Roman" w:eastAsia="Times New Roman" w:cs="Times New Roman"/>
          <w:noProof w:val="0"/>
          <w:sz w:val="24"/>
          <w:szCs w:val="24"/>
          <w:lang w:val="en-US"/>
        </w:rPr>
        <w:t>The following table maps key observed behaviors to the MITRE ATT&amp;CK® Enterprise Matrix, illustrating how the attack unfolded across the full lifecycle:</w:t>
      </w:r>
    </w:p>
    <w:tbl>
      <w:tblPr>
        <w:tblStyle w:val="TableNormal"/>
        <w:bidiVisual w:val="0"/>
        <w:tblW w:w="0" w:type="auto"/>
        <w:tblInd w:w="-420" w:type="dxa"/>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2040"/>
        <w:gridCol w:w="2846"/>
        <w:gridCol w:w="1047"/>
        <w:gridCol w:w="5278"/>
      </w:tblGrid>
      <w:tr w:rsidR="533E83B2" w:rsidTr="533E83B2" w14:paraId="073AAED5">
        <w:trPr>
          <w:trHeight w:val="300"/>
        </w:trPr>
        <w:tc>
          <w:tcPr>
            <w:tcW w:w="2040" w:type="dxa"/>
            <w:tcMar/>
            <w:vAlign w:val="center"/>
          </w:tcPr>
          <w:p w:rsidR="533E83B2" w:rsidP="533E83B2" w:rsidRDefault="533E83B2" w14:paraId="179FB3DF" w14:textId="27E3735A">
            <w:pPr>
              <w:bidi w:val="0"/>
              <w:spacing w:before="0" w:beforeAutospacing="off" w:after="0" w:afterAutospacing="off"/>
              <w:jc w:val="center"/>
            </w:pPr>
            <w:r w:rsidRPr="533E83B2" w:rsidR="533E83B2">
              <w:rPr>
                <w:b w:val="1"/>
                <w:bCs w:val="1"/>
              </w:rPr>
              <w:t>Tactic</w:t>
            </w:r>
          </w:p>
        </w:tc>
        <w:tc>
          <w:tcPr>
            <w:tcW w:w="2846" w:type="dxa"/>
            <w:tcMar/>
            <w:vAlign w:val="center"/>
          </w:tcPr>
          <w:p w:rsidR="533E83B2" w:rsidP="533E83B2" w:rsidRDefault="533E83B2" w14:paraId="47654AC2" w14:textId="5F431FEA">
            <w:pPr>
              <w:bidi w:val="0"/>
              <w:spacing w:before="0" w:beforeAutospacing="off" w:after="0" w:afterAutospacing="off"/>
              <w:jc w:val="center"/>
            </w:pPr>
            <w:r w:rsidRPr="533E83B2" w:rsidR="533E83B2">
              <w:rPr>
                <w:b w:val="1"/>
                <w:bCs w:val="1"/>
              </w:rPr>
              <w:t>Technique</w:t>
            </w:r>
          </w:p>
        </w:tc>
        <w:tc>
          <w:tcPr>
            <w:tcW w:w="1047" w:type="dxa"/>
            <w:tcMar/>
            <w:vAlign w:val="center"/>
          </w:tcPr>
          <w:p w:rsidR="533E83B2" w:rsidP="533E83B2" w:rsidRDefault="533E83B2" w14:paraId="3DE49594" w14:textId="6B8E57D5">
            <w:pPr>
              <w:bidi w:val="0"/>
              <w:spacing w:before="0" w:beforeAutospacing="off" w:after="0" w:afterAutospacing="off"/>
              <w:jc w:val="center"/>
            </w:pPr>
            <w:r w:rsidRPr="533E83B2" w:rsidR="533E83B2">
              <w:rPr>
                <w:b w:val="1"/>
                <w:bCs w:val="1"/>
              </w:rPr>
              <w:t>ID</w:t>
            </w:r>
          </w:p>
        </w:tc>
        <w:tc>
          <w:tcPr>
            <w:tcW w:w="5278" w:type="dxa"/>
            <w:tcMar/>
            <w:vAlign w:val="center"/>
          </w:tcPr>
          <w:p w:rsidR="533E83B2" w:rsidP="533E83B2" w:rsidRDefault="533E83B2" w14:paraId="11A8D095" w14:textId="2072B11F">
            <w:pPr>
              <w:bidi w:val="0"/>
              <w:spacing w:before="0" w:beforeAutospacing="off" w:after="0" w:afterAutospacing="off"/>
              <w:jc w:val="center"/>
            </w:pPr>
            <w:r w:rsidRPr="533E83B2" w:rsidR="533E83B2">
              <w:rPr>
                <w:b w:val="1"/>
                <w:bCs w:val="1"/>
              </w:rPr>
              <w:t>Description</w:t>
            </w:r>
          </w:p>
        </w:tc>
      </w:tr>
      <w:tr w:rsidR="533E83B2" w:rsidTr="533E83B2" w14:paraId="6DEB515E">
        <w:trPr>
          <w:trHeight w:val="300"/>
        </w:trPr>
        <w:tc>
          <w:tcPr>
            <w:tcW w:w="2040" w:type="dxa"/>
            <w:tcMar/>
            <w:vAlign w:val="center"/>
          </w:tcPr>
          <w:p w:rsidR="533E83B2" w:rsidP="533E83B2" w:rsidRDefault="533E83B2" w14:paraId="60EE4A94" w14:textId="2C6C9C16">
            <w:pPr>
              <w:bidi w:val="0"/>
              <w:spacing w:before="0" w:beforeAutospacing="off" w:after="0" w:afterAutospacing="off"/>
            </w:pPr>
            <w:r w:rsidR="533E83B2">
              <w:rPr/>
              <w:t>Reconnaissance</w:t>
            </w:r>
          </w:p>
        </w:tc>
        <w:tc>
          <w:tcPr>
            <w:tcW w:w="2846" w:type="dxa"/>
            <w:tcMar/>
            <w:vAlign w:val="center"/>
          </w:tcPr>
          <w:p w:rsidR="533E83B2" w:rsidP="533E83B2" w:rsidRDefault="533E83B2" w14:paraId="68604530" w14:textId="392A4F5F">
            <w:pPr>
              <w:bidi w:val="0"/>
              <w:spacing w:before="0" w:beforeAutospacing="off" w:after="0" w:afterAutospacing="off"/>
            </w:pPr>
            <w:r w:rsidR="533E83B2">
              <w:rPr/>
              <w:t>Search Open Websites</w:t>
            </w:r>
          </w:p>
        </w:tc>
        <w:tc>
          <w:tcPr>
            <w:tcW w:w="1047" w:type="dxa"/>
            <w:tcMar/>
            <w:vAlign w:val="center"/>
          </w:tcPr>
          <w:p w:rsidR="533E83B2" w:rsidP="533E83B2" w:rsidRDefault="533E83B2" w14:paraId="75E9D7FF" w14:textId="3B4B593E">
            <w:pPr>
              <w:bidi w:val="0"/>
              <w:spacing w:before="0" w:beforeAutospacing="off" w:after="0" w:afterAutospacing="off"/>
            </w:pPr>
            <w:r w:rsidR="533E83B2">
              <w:rPr/>
              <w:t>T1593</w:t>
            </w:r>
          </w:p>
        </w:tc>
        <w:tc>
          <w:tcPr>
            <w:tcW w:w="5278" w:type="dxa"/>
            <w:tcMar/>
            <w:vAlign w:val="center"/>
          </w:tcPr>
          <w:p w:rsidR="533E83B2" w:rsidP="533E83B2" w:rsidRDefault="533E83B2" w14:paraId="447D6842" w14:textId="5F0B5B69">
            <w:pPr>
              <w:bidi w:val="0"/>
              <w:spacing w:before="0" w:beforeAutospacing="off" w:after="0" w:afterAutospacing="off"/>
            </w:pPr>
            <w:r w:rsidR="533E83B2">
              <w:rPr/>
              <w:t>Profiling pharmaceutical researchers and infrastructure</w:t>
            </w:r>
          </w:p>
        </w:tc>
      </w:tr>
      <w:tr w:rsidR="533E83B2" w:rsidTr="533E83B2" w14:paraId="339903B3">
        <w:trPr>
          <w:trHeight w:val="300"/>
        </w:trPr>
        <w:tc>
          <w:tcPr>
            <w:tcW w:w="2040" w:type="dxa"/>
            <w:tcMar/>
            <w:vAlign w:val="center"/>
          </w:tcPr>
          <w:p w:rsidR="533E83B2" w:rsidP="533E83B2" w:rsidRDefault="533E83B2" w14:paraId="01683F7E" w14:textId="2972FE31">
            <w:pPr>
              <w:bidi w:val="0"/>
              <w:spacing w:before="0" w:beforeAutospacing="off" w:after="0" w:afterAutospacing="off"/>
            </w:pPr>
            <w:r w:rsidR="533E83B2">
              <w:rPr/>
              <w:t>Initial Access</w:t>
            </w:r>
          </w:p>
        </w:tc>
        <w:tc>
          <w:tcPr>
            <w:tcW w:w="2846" w:type="dxa"/>
            <w:tcMar/>
            <w:vAlign w:val="center"/>
          </w:tcPr>
          <w:p w:rsidR="533E83B2" w:rsidP="533E83B2" w:rsidRDefault="533E83B2" w14:paraId="7D599D69" w14:textId="3DE5A5CF">
            <w:pPr>
              <w:bidi w:val="0"/>
              <w:spacing w:before="0" w:beforeAutospacing="off" w:after="0" w:afterAutospacing="off"/>
            </w:pPr>
            <w:r w:rsidR="533E83B2">
              <w:rPr/>
              <w:t>Spearphishing Attachment</w:t>
            </w:r>
          </w:p>
        </w:tc>
        <w:tc>
          <w:tcPr>
            <w:tcW w:w="1047" w:type="dxa"/>
            <w:tcMar/>
            <w:vAlign w:val="center"/>
          </w:tcPr>
          <w:p w:rsidR="533E83B2" w:rsidP="533E83B2" w:rsidRDefault="533E83B2" w14:paraId="11EFCF78" w14:textId="1C315C13">
            <w:pPr>
              <w:bidi w:val="0"/>
              <w:spacing w:before="0" w:beforeAutospacing="off" w:after="0" w:afterAutospacing="off"/>
            </w:pPr>
            <w:r w:rsidR="533E83B2">
              <w:rPr/>
              <w:t>T1566.001</w:t>
            </w:r>
          </w:p>
        </w:tc>
        <w:tc>
          <w:tcPr>
            <w:tcW w:w="5278" w:type="dxa"/>
            <w:tcMar/>
            <w:vAlign w:val="center"/>
          </w:tcPr>
          <w:p w:rsidR="533E83B2" w:rsidP="533E83B2" w:rsidRDefault="533E83B2" w14:paraId="4C87139E" w14:textId="634088E6">
            <w:pPr>
              <w:bidi w:val="0"/>
              <w:spacing w:before="0" w:beforeAutospacing="off" w:after="0" w:afterAutospacing="off"/>
            </w:pPr>
            <w:r w:rsidR="533E83B2">
              <w:rPr/>
              <w:t>Weaponized Office documents</w:t>
            </w:r>
          </w:p>
        </w:tc>
      </w:tr>
      <w:tr w:rsidR="533E83B2" w:rsidTr="533E83B2" w14:paraId="44222235">
        <w:trPr>
          <w:trHeight w:val="300"/>
        </w:trPr>
        <w:tc>
          <w:tcPr>
            <w:tcW w:w="2040" w:type="dxa"/>
            <w:tcMar/>
            <w:vAlign w:val="center"/>
          </w:tcPr>
          <w:p w:rsidR="533E83B2" w:rsidP="533E83B2" w:rsidRDefault="533E83B2" w14:paraId="0D867F68" w14:textId="76B5ED87">
            <w:pPr>
              <w:bidi w:val="0"/>
              <w:spacing w:before="0" w:beforeAutospacing="off" w:after="0" w:afterAutospacing="off"/>
            </w:pPr>
            <w:r w:rsidR="533E83B2">
              <w:rPr/>
              <w:t>Execution</w:t>
            </w:r>
          </w:p>
        </w:tc>
        <w:tc>
          <w:tcPr>
            <w:tcW w:w="2846" w:type="dxa"/>
            <w:tcMar/>
            <w:vAlign w:val="center"/>
          </w:tcPr>
          <w:p w:rsidR="533E83B2" w:rsidP="533E83B2" w:rsidRDefault="533E83B2" w14:paraId="45ED25EC" w14:textId="24CE934B">
            <w:pPr>
              <w:bidi w:val="0"/>
              <w:spacing w:before="0" w:beforeAutospacing="off" w:after="0" w:afterAutospacing="off"/>
            </w:pPr>
            <w:r w:rsidR="533E83B2">
              <w:rPr/>
              <w:t>PowerShell</w:t>
            </w:r>
          </w:p>
        </w:tc>
        <w:tc>
          <w:tcPr>
            <w:tcW w:w="1047" w:type="dxa"/>
            <w:tcMar/>
            <w:vAlign w:val="center"/>
          </w:tcPr>
          <w:p w:rsidR="533E83B2" w:rsidP="533E83B2" w:rsidRDefault="533E83B2" w14:paraId="0CA1956B" w14:textId="05EB362A">
            <w:pPr>
              <w:bidi w:val="0"/>
              <w:spacing w:before="0" w:beforeAutospacing="off" w:after="0" w:afterAutospacing="off"/>
            </w:pPr>
            <w:r w:rsidR="533E83B2">
              <w:rPr/>
              <w:t>T1059.001</w:t>
            </w:r>
          </w:p>
        </w:tc>
        <w:tc>
          <w:tcPr>
            <w:tcW w:w="5278" w:type="dxa"/>
            <w:tcMar/>
            <w:vAlign w:val="center"/>
          </w:tcPr>
          <w:p w:rsidR="533E83B2" w:rsidP="533E83B2" w:rsidRDefault="533E83B2" w14:paraId="174250CB" w14:textId="3B27CB57">
            <w:pPr>
              <w:bidi w:val="0"/>
              <w:spacing w:before="0" w:beforeAutospacing="off" w:after="0" w:afterAutospacing="off"/>
            </w:pPr>
            <w:r w:rsidR="533E83B2">
              <w:rPr/>
              <w:t>In‑memory payload execution</w:t>
            </w:r>
          </w:p>
        </w:tc>
      </w:tr>
      <w:tr w:rsidR="533E83B2" w:rsidTr="533E83B2" w14:paraId="74683A07">
        <w:trPr>
          <w:trHeight w:val="300"/>
        </w:trPr>
        <w:tc>
          <w:tcPr>
            <w:tcW w:w="2040" w:type="dxa"/>
            <w:tcMar/>
            <w:vAlign w:val="center"/>
          </w:tcPr>
          <w:p w:rsidR="533E83B2" w:rsidP="533E83B2" w:rsidRDefault="533E83B2" w14:paraId="0E741084" w14:textId="7366DD57">
            <w:pPr>
              <w:bidi w:val="0"/>
              <w:spacing w:before="0" w:beforeAutospacing="off" w:after="0" w:afterAutospacing="off"/>
            </w:pPr>
            <w:r w:rsidR="533E83B2">
              <w:rPr/>
              <w:t>Persistence</w:t>
            </w:r>
          </w:p>
        </w:tc>
        <w:tc>
          <w:tcPr>
            <w:tcW w:w="2846" w:type="dxa"/>
            <w:tcMar/>
            <w:vAlign w:val="center"/>
          </w:tcPr>
          <w:p w:rsidR="533E83B2" w:rsidP="533E83B2" w:rsidRDefault="533E83B2" w14:paraId="1A96F62E" w14:textId="2F5B697C">
            <w:pPr>
              <w:bidi w:val="0"/>
              <w:spacing w:before="0" w:beforeAutospacing="off" w:after="0" w:afterAutospacing="off"/>
            </w:pPr>
            <w:r w:rsidR="533E83B2">
              <w:rPr/>
              <w:t>Registry Run Keys</w:t>
            </w:r>
          </w:p>
        </w:tc>
        <w:tc>
          <w:tcPr>
            <w:tcW w:w="1047" w:type="dxa"/>
            <w:tcMar/>
            <w:vAlign w:val="center"/>
          </w:tcPr>
          <w:p w:rsidR="533E83B2" w:rsidP="533E83B2" w:rsidRDefault="533E83B2" w14:paraId="114C8C93" w14:textId="05EAC964">
            <w:pPr>
              <w:bidi w:val="0"/>
              <w:spacing w:before="0" w:beforeAutospacing="off" w:after="0" w:afterAutospacing="off"/>
            </w:pPr>
            <w:r w:rsidR="533E83B2">
              <w:rPr/>
              <w:t>T1547.001</w:t>
            </w:r>
          </w:p>
        </w:tc>
        <w:tc>
          <w:tcPr>
            <w:tcW w:w="5278" w:type="dxa"/>
            <w:tcMar/>
            <w:vAlign w:val="center"/>
          </w:tcPr>
          <w:p w:rsidR="533E83B2" w:rsidP="533E83B2" w:rsidRDefault="533E83B2" w14:paraId="72B92AF2" w14:textId="1091AE7F">
            <w:pPr>
              <w:bidi w:val="0"/>
              <w:spacing w:before="0" w:beforeAutospacing="off" w:after="0" w:afterAutospacing="off"/>
            </w:pPr>
            <w:r w:rsidR="533E83B2">
              <w:rPr/>
              <w:t>Maintaining access</w:t>
            </w:r>
          </w:p>
        </w:tc>
      </w:tr>
      <w:tr w:rsidR="533E83B2" w:rsidTr="533E83B2" w14:paraId="26577A2C">
        <w:trPr>
          <w:trHeight w:val="300"/>
        </w:trPr>
        <w:tc>
          <w:tcPr>
            <w:tcW w:w="2040" w:type="dxa"/>
            <w:tcMar/>
            <w:vAlign w:val="center"/>
          </w:tcPr>
          <w:p w:rsidR="533E83B2" w:rsidP="533E83B2" w:rsidRDefault="533E83B2" w14:paraId="22F18CAF" w14:textId="0B0CAE3C">
            <w:pPr>
              <w:bidi w:val="0"/>
              <w:spacing w:before="0" w:beforeAutospacing="off" w:after="0" w:afterAutospacing="off"/>
            </w:pPr>
            <w:r w:rsidR="533E83B2">
              <w:rPr/>
              <w:t>Privilege Escalation</w:t>
            </w:r>
          </w:p>
        </w:tc>
        <w:tc>
          <w:tcPr>
            <w:tcW w:w="2846" w:type="dxa"/>
            <w:tcMar/>
            <w:vAlign w:val="center"/>
          </w:tcPr>
          <w:p w:rsidR="533E83B2" w:rsidP="533E83B2" w:rsidRDefault="533E83B2" w14:paraId="3312E594" w14:textId="55B9228A">
            <w:pPr>
              <w:bidi w:val="0"/>
              <w:spacing w:before="0" w:beforeAutospacing="off" w:after="0" w:afterAutospacing="off"/>
            </w:pPr>
            <w:r w:rsidR="533E83B2">
              <w:rPr/>
              <w:t>Credential Dumping</w:t>
            </w:r>
          </w:p>
        </w:tc>
        <w:tc>
          <w:tcPr>
            <w:tcW w:w="1047" w:type="dxa"/>
            <w:tcMar/>
            <w:vAlign w:val="center"/>
          </w:tcPr>
          <w:p w:rsidR="533E83B2" w:rsidP="533E83B2" w:rsidRDefault="533E83B2" w14:paraId="54D6AD0F" w14:textId="69776B88">
            <w:pPr>
              <w:bidi w:val="0"/>
              <w:spacing w:before="0" w:beforeAutospacing="off" w:after="0" w:afterAutospacing="off"/>
            </w:pPr>
            <w:r w:rsidR="533E83B2">
              <w:rPr/>
              <w:t>T1003</w:t>
            </w:r>
          </w:p>
        </w:tc>
        <w:tc>
          <w:tcPr>
            <w:tcW w:w="5278" w:type="dxa"/>
            <w:tcMar/>
            <w:vAlign w:val="center"/>
          </w:tcPr>
          <w:p w:rsidR="533E83B2" w:rsidP="533E83B2" w:rsidRDefault="533E83B2" w14:paraId="093A1E30" w14:textId="0DC108B4">
            <w:pPr>
              <w:bidi w:val="0"/>
              <w:spacing w:before="0" w:beforeAutospacing="off" w:after="0" w:afterAutospacing="off"/>
            </w:pPr>
            <w:r w:rsidR="533E83B2">
              <w:rPr/>
              <w:t>LSASS memory access</w:t>
            </w:r>
          </w:p>
        </w:tc>
      </w:tr>
      <w:tr w:rsidR="533E83B2" w:rsidTr="533E83B2" w14:paraId="6C86D37D">
        <w:trPr>
          <w:trHeight w:val="300"/>
        </w:trPr>
        <w:tc>
          <w:tcPr>
            <w:tcW w:w="2040" w:type="dxa"/>
            <w:tcMar/>
            <w:vAlign w:val="center"/>
          </w:tcPr>
          <w:p w:rsidR="533E83B2" w:rsidP="533E83B2" w:rsidRDefault="533E83B2" w14:paraId="504F668D" w14:textId="5BDCFFD6">
            <w:pPr>
              <w:bidi w:val="0"/>
              <w:spacing w:before="0" w:beforeAutospacing="off" w:after="0" w:afterAutospacing="off"/>
            </w:pPr>
            <w:r w:rsidR="533E83B2">
              <w:rPr/>
              <w:t>Defense Evasion</w:t>
            </w:r>
          </w:p>
        </w:tc>
        <w:tc>
          <w:tcPr>
            <w:tcW w:w="2846" w:type="dxa"/>
            <w:tcMar/>
            <w:vAlign w:val="center"/>
          </w:tcPr>
          <w:p w:rsidR="533E83B2" w:rsidP="533E83B2" w:rsidRDefault="533E83B2" w14:paraId="19CCDDBF" w14:textId="2068A8D1">
            <w:pPr>
              <w:bidi w:val="0"/>
              <w:spacing w:before="0" w:beforeAutospacing="off" w:after="0" w:afterAutospacing="off"/>
            </w:pPr>
            <w:r w:rsidR="533E83B2">
              <w:rPr/>
              <w:t>Obfuscated Files</w:t>
            </w:r>
          </w:p>
        </w:tc>
        <w:tc>
          <w:tcPr>
            <w:tcW w:w="1047" w:type="dxa"/>
            <w:tcMar/>
            <w:vAlign w:val="center"/>
          </w:tcPr>
          <w:p w:rsidR="533E83B2" w:rsidP="533E83B2" w:rsidRDefault="533E83B2" w14:paraId="4D3751C6" w14:textId="29CDD56B">
            <w:pPr>
              <w:bidi w:val="0"/>
              <w:spacing w:before="0" w:beforeAutospacing="off" w:after="0" w:afterAutospacing="off"/>
            </w:pPr>
            <w:r w:rsidR="533E83B2">
              <w:rPr/>
              <w:t>T1027</w:t>
            </w:r>
          </w:p>
        </w:tc>
        <w:tc>
          <w:tcPr>
            <w:tcW w:w="5278" w:type="dxa"/>
            <w:tcMar/>
            <w:vAlign w:val="center"/>
          </w:tcPr>
          <w:p w:rsidR="533E83B2" w:rsidP="533E83B2" w:rsidRDefault="533E83B2" w14:paraId="52D81FC5" w14:textId="03B5DDB4">
            <w:pPr>
              <w:bidi w:val="0"/>
              <w:spacing w:before="0" w:beforeAutospacing="off" w:after="0" w:afterAutospacing="off"/>
            </w:pPr>
            <w:r w:rsidR="533E83B2">
              <w:rPr/>
              <w:t>Encrypted payloads</w:t>
            </w:r>
          </w:p>
        </w:tc>
      </w:tr>
      <w:tr w:rsidR="533E83B2" w:rsidTr="533E83B2" w14:paraId="0A615E82">
        <w:trPr>
          <w:trHeight w:val="300"/>
        </w:trPr>
        <w:tc>
          <w:tcPr>
            <w:tcW w:w="2040" w:type="dxa"/>
            <w:tcMar/>
            <w:vAlign w:val="center"/>
          </w:tcPr>
          <w:p w:rsidR="533E83B2" w:rsidP="533E83B2" w:rsidRDefault="533E83B2" w14:paraId="6E5CEF50" w14:textId="66268F8F">
            <w:pPr>
              <w:bidi w:val="0"/>
              <w:spacing w:before="0" w:beforeAutospacing="off" w:after="0" w:afterAutospacing="off"/>
            </w:pPr>
            <w:r w:rsidR="533E83B2">
              <w:rPr/>
              <w:t>Lateral Movement</w:t>
            </w:r>
          </w:p>
        </w:tc>
        <w:tc>
          <w:tcPr>
            <w:tcW w:w="2846" w:type="dxa"/>
            <w:tcMar/>
            <w:vAlign w:val="center"/>
          </w:tcPr>
          <w:p w:rsidR="533E83B2" w:rsidP="533E83B2" w:rsidRDefault="533E83B2" w14:paraId="27B86B45" w14:textId="6B6A468B">
            <w:pPr>
              <w:bidi w:val="0"/>
              <w:spacing w:before="0" w:beforeAutospacing="off" w:after="0" w:afterAutospacing="off"/>
            </w:pPr>
            <w:r w:rsidR="533E83B2">
              <w:rPr/>
              <w:t>Remote Services (SMB)</w:t>
            </w:r>
          </w:p>
        </w:tc>
        <w:tc>
          <w:tcPr>
            <w:tcW w:w="1047" w:type="dxa"/>
            <w:tcMar/>
            <w:vAlign w:val="center"/>
          </w:tcPr>
          <w:p w:rsidR="533E83B2" w:rsidP="533E83B2" w:rsidRDefault="533E83B2" w14:paraId="54D38CB2" w14:textId="2D013F24">
            <w:pPr>
              <w:bidi w:val="0"/>
              <w:spacing w:before="0" w:beforeAutospacing="off" w:after="0" w:afterAutospacing="off"/>
            </w:pPr>
            <w:r w:rsidR="533E83B2">
              <w:rPr/>
              <w:t>T1021.002</w:t>
            </w:r>
          </w:p>
        </w:tc>
        <w:tc>
          <w:tcPr>
            <w:tcW w:w="5278" w:type="dxa"/>
            <w:tcMar/>
            <w:vAlign w:val="center"/>
          </w:tcPr>
          <w:p w:rsidR="533E83B2" w:rsidP="533E83B2" w:rsidRDefault="533E83B2" w14:paraId="2BE6EE64" w14:textId="6F28B66C">
            <w:pPr>
              <w:bidi w:val="0"/>
              <w:spacing w:before="0" w:beforeAutospacing="off" w:after="0" w:afterAutospacing="off"/>
            </w:pPr>
            <w:r w:rsidR="533E83B2">
              <w:rPr/>
              <w:t>AD traversal</w:t>
            </w:r>
          </w:p>
        </w:tc>
      </w:tr>
      <w:tr w:rsidR="533E83B2" w:rsidTr="533E83B2" w14:paraId="1363DEEB">
        <w:trPr>
          <w:trHeight w:val="300"/>
        </w:trPr>
        <w:tc>
          <w:tcPr>
            <w:tcW w:w="2040" w:type="dxa"/>
            <w:tcMar/>
            <w:vAlign w:val="center"/>
          </w:tcPr>
          <w:p w:rsidR="533E83B2" w:rsidP="533E83B2" w:rsidRDefault="533E83B2" w14:paraId="78BFB65F" w14:textId="14E4D334">
            <w:pPr>
              <w:bidi w:val="0"/>
              <w:spacing w:before="0" w:beforeAutospacing="off" w:after="0" w:afterAutospacing="off"/>
            </w:pPr>
            <w:r w:rsidR="533E83B2">
              <w:rPr/>
              <w:t>Command &amp; Control</w:t>
            </w:r>
          </w:p>
        </w:tc>
        <w:tc>
          <w:tcPr>
            <w:tcW w:w="2846" w:type="dxa"/>
            <w:tcMar/>
            <w:vAlign w:val="center"/>
          </w:tcPr>
          <w:p w:rsidR="533E83B2" w:rsidP="533E83B2" w:rsidRDefault="533E83B2" w14:paraId="193AE027" w14:textId="473D4CDF">
            <w:pPr>
              <w:bidi w:val="0"/>
              <w:spacing w:before="0" w:beforeAutospacing="off" w:after="0" w:afterAutospacing="off"/>
            </w:pPr>
            <w:r w:rsidR="533E83B2">
              <w:rPr/>
              <w:t>Web Protocols</w:t>
            </w:r>
          </w:p>
        </w:tc>
        <w:tc>
          <w:tcPr>
            <w:tcW w:w="1047" w:type="dxa"/>
            <w:tcMar/>
            <w:vAlign w:val="center"/>
          </w:tcPr>
          <w:p w:rsidR="533E83B2" w:rsidP="533E83B2" w:rsidRDefault="533E83B2" w14:paraId="240973E4" w14:textId="602E1A0D">
            <w:pPr>
              <w:bidi w:val="0"/>
              <w:spacing w:before="0" w:beforeAutospacing="off" w:after="0" w:afterAutospacing="off"/>
            </w:pPr>
            <w:r w:rsidR="533E83B2">
              <w:rPr/>
              <w:t>T1071.001</w:t>
            </w:r>
          </w:p>
        </w:tc>
        <w:tc>
          <w:tcPr>
            <w:tcW w:w="5278" w:type="dxa"/>
            <w:tcMar/>
            <w:vAlign w:val="center"/>
          </w:tcPr>
          <w:p w:rsidR="533E83B2" w:rsidP="533E83B2" w:rsidRDefault="533E83B2" w14:paraId="0A921FCF" w14:textId="3E64F3D8">
            <w:pPr>
              <w:bidi w:val="0"/>
              <w:spacing w:before="0" w:beforeAutospacing="off" w:after="0" w:afterAutospacing="off"/>
            </w:pPr>
            <w:r w:rsidR="533E83B2">
              <w:rPr/>
              <w:t>HTTPS C2 traffic</w:t>
            </w:r>
          </w:p>
        </w:tc>
      </w:tr>
      <w:tr w:rsidR="533E83B2" w:rsidTr="533E83B2" w14:paraId="1C7C1E0B">
        <w:trPr>
          <w:trHeight w:val="300"/>
        </w:trPr>
        <w:tc>
          <w:tcPr>
            <w:tcW w:w="2040" w:type="dxa"/>
            <w:tcMar/>
            <w:vAlign w:val="center"/>
          </w:tcPr>
          <w:p w:rsidR="533E83B2" w:rsidP="533E83B2" w:rsidRDefault="533E83B2" w14:paraId="611BDF1E" w14:textId="2164AE5F">
            <w:pPr>
              <w:bidi w:val="0"/>
              <w:spacing w:before="0" w:beforeAutospacing="off" w:after="0" w:afterAutospacing="off"/>
            </w:pPr>
            <w:r w:rsidR="533E83B2">
              <w:rPr/>
              <w:t>Exfiltration</w:t>
            </w:r>
          </w:p>
        </w:tc>
        <w:tc>
          <w:tcPr>
            <w:tcW w:w="2846" w:type="dxa"/>
            <w:tcMar/>
            <w:vAlign w:val="center"/>
          </w:tcPr>
          <w:p w:rsidR="533E83B2" w:rsidP="533E83B2" w:rsidRDefault="533E83B2" w14:paraId="121C24DF" w14:textId="27651085">
            <w:pPr>
              <w:bidi w:val="0"/>
              <w:spacing w:before="0" w:beforeAutospacing="off" w:after="0" w:afterAutospacing="off"/>
            </w:pPr>
            <w:r w:rsidR="533E83B2">
              <w:rPr/>
              <w:t>Exfiltration Over C2 Channel</w:t>
            </w:r>
          </w:p>
        </w:tc>
        <w:tc>
          <w:tcPr>
            <w:tcW w:w="1047" w:type="dxa"/>
            <w:tcMar/>
            <w:vAlign w:val="center"/>
          </w:tcPr>
          <w:p w:rsidR="533E83B2" w:rsidP="533E83B2" w:rsidRDefault="533E83B2" w14:paraId="064EB9EF" w14:textId="37A4A9CF">
            <w:pPr>
              <w:bidi w:val="0"/>
              <w:spacing w:before="0" w:beforeAutospacing="off" w:after="0" w:afterAutospacing="off"/>
            </w:pPr>
            <w:r w:rsidR="533E83B2">
              <w:rPr/>
              <w:t>T1041</w:t>
            </w:r>
          </w:p>
        </w:tc>
        <w:tc>
          <w:tcPr>
            <w:tcW w:w="5278" w:type="dxa"/>
            <w:tcMar/>
            <w:vAlign w:val="center"/>
          </w:tcPr>
          <w:p w:rsidR="533E83B2" w:rsidP="533E83B2" w:rsidRDefault="533E83B2" w14:paraId="36C773B1" w14:textId="501C9A84">
            <w:pPr>
              <w:bidi w:val="0"/>
              <w:spacing w:before="0" w:beforeAutospacing="off" w:after="0" w:afterAutospacing="off"/>
            </w:pPr>
            <w:r w:rsidR="533E83B2">
              <w:rPr/>
              <w:t>Stealthy data theft</w:t>
            </w:r>
          </w:p>
        </w:tc>
      </w:tr>
      <w:tr w:rsidR="533E83B2" w:rsidTr="533E83B2" w14:paraId="3BB58C69">
        <w:trPr>
          <w:trHeight w:val="300"/>
        </w:trPr>
        <w:tc>
          <w:tcPr>
            <w:tcW w:w="2040" w:type="dxa"/>
            <w:tcMar/>
            <w:vAlign w:val="center"/>
          </w:tcPr>
          <w:p w:rsidR="533E83B2" w:rsidP="533E83B2" w:rsidRDefault="533E83B2" w14:paraId="6F40AD66" w14:textId="596AA163">
            <w:pPr>
              <w:bidi w:val="0"/>
              <w:spacing w:before="0" w:beforeAutospacing="off" w:after="0" w:afterAutospacing="off"/>
            </w:pPr>
            <w:r w:rsidR="533E83B2">
              <w:rPr/>
              <w:t>Impact</w:t>
            </w:r>
          </w:p>
        </w:tc>
        <w:tc>
          <w:tcPr>
            <w:tcW w:w="2846" w:type="dxa"/>
            <w:tcMar/>
            <w:vAlign w:val="center"/>
          </w:tcPr>
          <w:p w:rsidR="533E83B2" w:rsidP="533E83B2" w:rsidRDefault="533E83B2" w14:paraId="454E78FD" w14:textId="2D2CFF91">
            <w:pPr>
              <w:bidi w:val="0"/>
              <w:spacing w:before="0" w:beforeAutospacing="off" w:after="0" w:afterAutospacing="off"/>
            </w:pPr>
            <w:r w:rsidR="533E83B2">
              <w:rPr/>
              <w:t>Data Theft</w:t>
            </w:r>
          </w:p>
        </w:tc>
        <w:tc>
          <w:tcPr>
            <w:tcW w:w="1047" w:type="dxa"/>
            <w:tcMar/>
            <w:vAlign w:val="center"/>
          </w:tcPr>
          <w:p w:rsidR="533E83B2" w:rsidP="533E83B2" w:rsidRDefault="533E83B2" w14:paraId="050FA866" w14:textId="3807E9CE">
            <w:pPr>
              <w:bidi w:val="0"/>
              <w:spacing w:before="0" w:beforeAutospacing="off" w:after="0" w:afterAutospacing="off"/>
            </w:pPr>
            <w:r w:rsidR="533E83B2">
              <w:rPr/>
              <w:t>T1567</w:t>
            </w:r>
          </w:p>
        </w:tc>
        <w:tc>
          <w:tcPr>
            <w:tcW w:w="5278" w:type="dxa"/>
            <w:tcMar/>
            <w:vAlign w:val="center"/>
          </w:tcPr>
          <w:p w:rsidR="533E83B2" w:rsidP="533E83B2" w:rsidRDefault="533E83B2" w14:paraId="721A4917" w14:textId="1969BD8F">
            <w:pPr>
              <w:bidi w:val="0"/>
              <w:spacing w:before="0" w:beforeAutospacing="off" w:after="0" w:afterAutospacing="off"/>
            </w:pPr>
            <w:r w:rsidR="533E83B2">
              <w:rPr/>
              <w:t>Loss of intellectual property</w:t>
            </w:r>
          </w:p>
        </w:tc>
      </w:tr>
    </w:tbl>
    <w:p xmlns:wp14="http://schemas.microsoft.com/office/word/2010/wordml" w:rsidP="533E83B2" wp14:paraId="41E4A78B" wp14:textId="4DF82AAF">
      <w:pPr>
        <w:bidi w:val="0"/>
        <w:spacing w:before="240" w:beforeAutospacing="off" w:after="240" w:afterAutospacing="off"/>
      </w:pPr>
      <w:r w:rsidRPr="533E83B2" w:rsidR="1E52920D">
        <w:rPr>
          <w:rFonts w:ascii="Times New Roman" w:hAnsi="Times New Roman" w:eastAsia="Times New Roman" w:cs="Times New Roman"/>
          <w:noProof w:val="0"/>
          <w:sz w:val="24"/>
          <w:szCs w:val="24"/>
          <w:lang w:val="en-US"/>
        </w:rPr>
        <w:t xml:space="preserve">This mapping illustrates a deliberate progression through the full attack lifecycle, from initial reconnaissance to data exfiltration, with a consistent emphasis on </w:t>
      </w:r>
      <w:r w:rsidRPr="533E83B2" w:rsidR="1E52920D">
        <w:rPr>
          <w:rFonts w:ascii="Times New Roman" w:hAnsi="Times New Roman" w:eastAsia="Times New Roman" w:cs="Times New Roman"/>
          <w:b w:val="1"/>
          <w:bCs w:val="1"/>
          <w:noProof w:val="0"/>
          <w:sz w:val="24"/>
          <w:szCs w:val="24"/>
          <w:lang w:val="en-US"/>
        </w:rPr>
        <w:t>stealth, credential abuse, and trusted system functionality</w:t>
      </w:r>
      <w:r w:rsidRPr="533E83B2" w:rsidR="1E52920D">
        <w:rPr>
          <w:rFonts w:ascii="Times New Roman" w:hAnsi="Times New Roman" w:eastAsia="Times New Roman" w:cs="Times New Roman"/>
          <w:noProof w:val="0"/>
          <w:sz w:val="24"/>
          <w:szCs w:val="24"/>
          <w:lang w:val="en-US"/>
        </w:rPr>
        <w:t>. Such behaviour is characteristic of advanced espionage campaigns documented across multiple industry threat intelligence reports and aligns closely with the adversary tactics codified within the MITRE ATT&amp;CK® Enterprise Matrix [1], [2]. The predominance of identity‑centric techniques and low‑noise lateral movement directly informed the threat emulation strategy adopted in Part 2 of this report, ensuring alignment between real‑world adversary behaviour and the simulated red team campaign.</w:t>
      </w:r>
    </w:p>
    <w:p xmlns:wp14="http://schemas.microsoft.com/office/word/2010/wordml" w:rsidP="533E83B2" wp14:paraId="1EE76C42" wp14:textId="6CFF7067">
      <w:pPr>
        <w:pStyle w:val="Heading3"/>
        <w:bidi w:val="0"/>
        <w:spacing w:before="281" w:beforeAutospacing="off" w:after="281" w:afterAutospacing="off"/>
        <w:rPr>
          <w:rFonts w:ascii="Times New Roman" w:hAnsi="Times New Roman" w:eastAsia="Times New Roman" w:cs="Times New Roman"/>
          <w:b w:val="1"/>
          <w:bCs w:val="1"/>
          <w:noProof w:val="0"/>
          <w:sz w:val="28"/>
          <w:szCs w:val="28"/>
          <w:lang w:val="en-US"/>
        </w:rPr>
      </w:pPr>
      <w:bookmarkStart w:name="_Toc1436034037" w:id="169952759"/>
      <w:r w:rsidRPr="533E83B2" w:rsidR="1E52920D">
        <w:rPr>
          <w:rFonts w:ascii="Times New Roman" w:hAnsi="Times New Roman" w:eastAsia="Times New Roman" w:cs="Times New Roman"/>
          <w:b w:val="1"/>
          <w:bCs w:val="1"/>
          <w:noProof w:val="0"/>
          <w:sz w:val="28"/>
          <w:szCs w:val="28"/>
          <w:lang w:val="en-US"/>
        </w:rPr>
        <w:t>2.4 Root Cause Analysis</w:t>
      </w:r>
      <w:bookmarkEnd w:id="169952759"/>
    </w:p>
    <w:p xmlns:wp14="http://schemas.microsoft.com/office/word/2010/wordml" w:rsidP="533E83B2" wp14:paraId="53574072" wp14:textId="37196095">
      <w:pPr>
        <w:bidi w:val="0"/>
        <w:spacing w:before="240" w:beforeAutospacing="off" w:after="240" w:afterAutospacing="off"/>
      </w:pPr>
      <w:r w:rsidRPr="533E83B2" w:rsidR="3CDE4084">
        <w:rPr>
          <w:rFonts w:ascii="Times New Roman" w:hAnsi="Times New Roman" w:eastAsia="Times New Roman" w:cs="Times New Roman"/>
          <w:noProof w:val="0"/>
          <w:sz w:val="24"/>
          <w:szCs w:val="24"/>
          <w:lang w:val="en-US"/>
        </w:rPr>
        <w:t>No single technical vulnerability that can be exploited or a particular failure of a security control can be attributed as the success of the APT41 campaign. Instead, it was caused by a combination of structural, technical and human vulnerabilities, which jointly led to the inability of the organisation to avoid, identify and act to counter advanced adversary operations. This trend is consistent with the results of major breaches examination research that all invariably reveal that key security events are not the outcome of a single failure point, but a collusion of multiple and compounding vulnerabilities of individuals, procedures, and technology [4].</w:t>
      </w:r>
    </w:p>
    <w:p xmlns:wp14="http://schemas.microsoft.com/office/word/2010/wordml" w:rsidP="533E83B2" wp14:paraId="54D954D7" wp14:textId="5C18BD0F">
      <w:pPr>
        <w:bidi w:val="0"/>
        <w:spacing w:before="240" w:beforeAutospacing="off" w:after="240" w:afterAutospacing="off"/>
      </w:pPr>
      <w:r w:rsidRPr="533E83B2" w:rsidR="3CDE4084">
        <w:rPr>
          <w:rFonts w:ascii="Times New Roman" w:hAnsi="Times New Roman" w:eastAsia="Times New Roman" w:cs="Times New Roman"/>
          <w:noProof w:val="0"/>
          <w:sz w:val="24"/>
          <w:szCs w:val="24"/>
          <w:lang w:val="en-US"/>
        </w:rPr>
        <w:t xml:space="preserve"> </w:t>
      </w:r>
    </w:p>
    <w:p xmlns:wp14="http://schemas.microsoft.com/office/word/2010/wordml" w:rsidP="533E83B2" wp14:paraId="67998EB6" wp14:textId="75C5E8ED">
      <w:pPr>
        <w:bidi w:val="0"/>
        <w:spacing w:before="240" w:beforeAutospacing="off" w:after="240" w:afterAutospacing="off"/>
      </w:pPr>
      <w:r w:rsidRPr="533E83B2" w:rsidR="3CDE4084">
        <w:rPr>
          <w:rFonts w:ascii="Times New Roman" w:hAnsi="Times New Roman" w:eastAsia="Times New Roman" w:cs="Times New Roman"/>
          <w:noProof w:val="0"/>
          <w:sz w:val="24"/>
          <w:szCs w:val="24"/>
          <w:lang w:val="en-US"/>
        </w:rPr>
        <w:t>The failure to maintain good identity and access governance was one of the most important contributing factors. The over-issuance of privileges in Active Directory environments in the compromised environments immensely increased the operational scope of the adversary after they had entered the environments. There was a high level of permission excess to user and service accounts, and limited review or monitoring of privileged group memberships. The fact that least-privilege principles were not enforced fully implied that stolen credentials could be used to get access to sensitive systems without the necessity of additional exploitation. To make the situation even worse, the high-value accounts did not provide phishing-resistant multi-factor authentication (MFA), which means that stolen credentials could be reused without further check. Empirical studies conducted before have proven time and again that credential compromise is one of the most credible and most common initial access vectors in targeted intrusions, especially in a setting with feeble identity controls [4], [5].</w:t>
      </w:r>
    </w:p>
    <w:p xmlns:wp14="http://schemas.microsoft.com/office/word/2010/wordml" w:rsidP="533E83B2" wp14:paraId="33ADDDE0" wp14:textId="4360065D">
      <w:pPr>
        <w:bidi w:val="0"/>
        <w:spacing w:before="240" w:beforeAutospacing="off" w:after="240" w:afterAutospacing="off"/>
      </w:pPr>
      <w:r w:rsidRPr="533E83B2" w:rsidR="3CDE4084">
        <w:rPr>
          <w:rFonts w:ascii="Times New Roman" w:hAnsi="Times New Roman" w:eastAsia="Times New Roman" w:cs="Times New Roman"/>
          <w:noProof w:val="0"/>
          <w:sz w:val="24"/>
          <w:szCs w:val="24"/>
          <w:lang w:val="en-US"/>
        </w:rPr>
        <w:t xml:space="preserve"> </w:t>
      </w:r>
    </w:p>
    <w:p xmlns:wp14="http://schemas.microsoft.com/office/word/2010/wordml" w:rsidP="533E83B2" wp14:paraId="08865497" wp14:textId="358D5B4C">
      <w:pPr>
        <w:bidi w:val="0"/>
        <w:spacing w:before="240" w:beforeAutospacing="off" w:after="240" w:afterAutospacing="off"/>
      </w:pPr>
      <w:r w:rsidRPr="533E83B2" w:rsidR="3CDE4084">
        <w:rPr>
          <w:rFonts w:ascii="Times New Roman" w:hAnsi="Times New Roman" w:eastAsia="Times New Roman" w:cs="Times New Roman"/>
          <w:noProof w:val="0"/>
          <w:sz w:val="24"/>
          <w:szCs w:val="24"/>
          <w:lang w:val="en-US"/>
        </w:rPr>
        <w:t>The adversary could move on to long-term, high-impact control with minimum resistance once valid credentials had been acquired. The dependency on trust-based authentication schemes allowed the horizontal movement using normal administrative protocols, which circumvented perimeter security measures. This is an example of a larger defensive problem namely: when identity is the new perimeter of security, malfunctions in access governance are directly reflected as systematic exposure. Under these circumstances, even the well-equipped security tooling will be less effective in case basic identity control is not strictly applied.</w:t>
      </w:r>
    </w:p>
    <w:p xmlns:wp14="http://schemas.microsoft.com/office/word/2010/wordml" w:rsidP="533E83B2" wp14:paraId="5A6D8311" wp14:textId="6D1563CD">
      <w:pPr>
        <w:bidi w:val="0"/>
        <w:spacing w:before="240" w:beforeAutospacing="off" w:after="240" w:afterAutospacing="off"/>
      </w:pPr>
      <w:r w:rsidRPr="533E83B2" w:rsidR="3CDE4084">
        <w:rPr>
          <w:rFonts w:ascii="Times New Roman" w:hAnsi="Times New Roman" w:eastAsia="Times New Roman" w:cs="Times New Roman"/>
          <w:noProof w:val="0"/>
          <w:sz w:val="24"/>
          <w:szCs w:val="24"/>
          <w:lang w:val="en-US"/>
        </w:rPr>
        <w:t xml:space="preserve"> </w:t>
      </w:r>
    </w:p>
    <w:p xmlns:wp14="http://schemas.microsoft.com/office/word/2010/wordml" w:rsidP="533E83B2" wp14:paraId="743294E0" wp14:textId="3E59D686">
      <w:pPr>
        <w:bidi w:val="0"/>
        <w:spacing w:before="240" w:beforeAutospacing="off" w:after="240" w:afterAutospacing="off"/>
      </w:pPr>
      <w:r w:rsidRPr="533E83B2" w:rsidR="3CDE4084">
        <w:rPr>
          <w:rFonts w:ascii="Times New Roman" w:hAnsi="Times New Roman" w:eastAsia="Times New Roman" w:cs="Times New Roman"/>
          <w:noProof w:val="0"/>
          <w:sz w:val="24"/>
          <w:szCs w:val="24"/>
          <w:lang w:val="en-US"/>
        </w:rPr>
        <w:t>Another aspect of great importance was lack of visibility and monitoring within the enterprise environment. Even though endpoint protection platforms were implemented, they were not adequately configured to identify suspicious or malicious use of legitimate administrative tools like PowerShell, Windows Management Instrumentation (WMI) and remote management services. The tools are commonly utilized on system administration, so they are hard to separate malicious action without behavioral baselining, command-line telemetry analysis, or correlation of multiple data sources. This led to the living-off-the-land methods of the adversary causing little alert, thus reconnaissance, persistence, and lateral movement occurred without much notice [1], [3].</w:t>
      </w:r>
    </w:p>
    <w:p xmlns:wp14="http://schemas.microsoft.com/office/word/2010/wordml" w:rsidP="533E83B2" wp14:paraId="3175C922" wp14:textId="290B20C4">
      <w:pPr>
        <w:bidi w:val="0"/>
        <w:spacing w:before="240" w:beforeAutospacing="off" w:after="240" w:afterAutospacing="off"/>
      </w:pPr>
      <w:r w:rsidRPr="533E83B2" w:rsidR="3CDE4084">
        <w:rPr>
          <w:rFonts w:ascii="Times New Roman" w:hAnsi="Times New Roman" w:eastAsia="Times New Roman" w:cs="Times New Roman"/>
          <w:noProof w:val="0"/>
          <w:sz w:val="24"/>
          <w:szCs w:val="24"/>
          <w:lang w:val="en-US"/>
        </w:rPr>
        <w:t xml:space="preserve"> </w:t>
      </w:r>
    </w:p>
    <w:p xmlns:wp14="http://schemas.microsoft.com/office/word/2010/wordml" w:rsidP="533E83B2" wp14:paraId="4B2B9C89" wp14:textId="77942C55">
      <w:pPr>
        <w:bidi w:val="0"/>
        <w:spacing w:before="240" w:beforeAutospacing="off" w:after="240" w:afterAutospacing="off"/>
      </w:pPr>
      <w:r w:rsidRPr="533E83B2" w:rsidR="3CDE4084">
        <w:rPr>
          <w:rFonts w:ascii="Times New Roman" w:hAnsi="Times New Roman" w:eastAsia="Times New Roman" w:cs="Times New Roman"/>
          <w:noProof w:val="0"/>
          <w:sz w:val="24"/>
          <w:szCs w:val="24"/>
          <w:lang w:val="en-US"/>
        </w:rPr>
        <w:t>Lack of integrated east-west network surveillance also limited the detection capability of the organisation in detecting the malicious activity when the adversary had already created an in-house presence. In classical models of security architecture, the focus is usually on inspecting traffic flowing north-south at the edge of the network without focusing on the internal lateral movement of traffic. Here, a poor visibility of internal authentication processes, file access patterns, and inter-system communications implied that the occurrence of abnormal behavior, such as abnormal access to research servers or the reuse of credential across network segments, were not noticed in a timely fashion. This absence of internal visibility is often determined by forensic analyses of incidents as a determinant of extended dwell times of advanced persistent threats [1], [3].</w:t>
      </w:r>
    </w:p>
    <w:p xmlns:wp14="http://schemas.microsoft.com/office/word/2010/wordml" w:rsidP="533E83B2" wp14:paraId="256D04FA" wp14:textId="2FD75ECA">
      <w:pPr>
        <w:bidi w:val="0"/>
        <w:spacing w:before="240" w:beforeAutospacing="off" w:after="240" w:afterAutospacing="off"/>
      </w:pPr>
      <w:r w:rsidRPr="533E83B2" w:rsidR="3CDE4084">
        <w:rPr>
          <w:rFonts w:ascii="Times New Roman" w:hAnsi="Times New Roman" w:eastAsia="Times New Roman" w:cs="Times New Roman"/>
          <w:noProof w:val="0"/>
          <w:sz w:val="24"/>
          <w:szCs w:val="24"/>
          <w:lang w:val="en-US"/>
        </w:rPr>
        <w:t xml:space="preserve"> </w:t>
      </w:r>
    </w:p>
    <w:p xmlns:wp14="http://schemas.microsoft.com/office/word/2010/wordml" w:rsidP="533E83B2" wp14:paraId="2E41F4B2" wp14:textId="675CB32F">
      <w:pPr>
        <w:bidi w:val="0"/>
        <w:spacing w:before="240" w:beforeAutospacing="off" w:after="240" w:afterAutospacing="off"/>
      </w:pPr>
      <w:r w:rsidRPr="533E83B2" w:rsidR="3CDE4084">
        <w:rPr>
          <w:rFonts w:ascii="Times New Roman" w:hAnsi="Times New Roman" w:eastAsia="Times New Roman" w:cs="Times New Roman"/>
          <w:noProof w:val="0"/>
          <w:sz w:val="24"/>
          <w:szCs w:val="24"/>
          <w:lang w:val="en-US"/>
        </w:rPr>
        <w:t>There are also human and procedural factors that contributed to the success of campaign. The first breach was the successful spear-phishing, which means that there are weaknesses in the user security awareness training and phishing resiliency. Although users might have undergone basic security training, this was not adequate to resist highly focused and context-aware phishing tricks used by state-sponsored agents. Lack of strong email security features, including attachment detonation, sandboxing of inbound messages, or sophisticated behavioral analysis of inbound messages, added to the vulnerability of credential harvesting attacks. Such socio-technical vulnerabilities have been found again and again in threat intelligence reporting to serve as a key power facilitator to sophisticated intrusion campaigns, especially in settings that process high-value intellectual property [4], [6].</w:t>
      </w:r>
    </w:p>
    <w:p xmlns:wp14="http://schemas.microsoft.com/office/word/2010/wordml" w:rsidP="533E83B2" wp14:paraId="40717A55" wp14:textId="7395CEFC">
      <w:pPr>
        <w:bidi w:val="0"/>
        <w:spacing w:before="240" w:beforeAutospacing="off" w:after="240" w:afterAutospacing="off"/>
      </w:pPr>
      <w:r w:rsidRPr="533E83B2" w:rsidR="3CDE4084">
        <w:rPr>
          <w:rFonts w:ascii="Times New Roman" w:hAnsi="Times New Roman" w:eastAsia="Times New Roman" w:cs="Times New Roman"/>
          <w:noProof w:val="0"/>
          <w:sz w:val="24"/>
          <w:szCs w:val="24"/>
          <w:lang w:val="en-US"/>
        </w:rPr>
        <w:t xml:space="preserve"> </w:t>
      </w:r>
    </w:p>
    <w:p xmlns:wp14="http://schemas.microsoft.com/office/word/2010/wordml" w:rsidP="533E83B2" wp14:paraId="556D4D32" wp14:textId="1BB596B8">
      <w:pPr>
        <w:bidi w:val="0"/>
        <w:spacing w:before="240" w:beforeAutospacing="off" w:after="240" w:afterAutospacing="off"/>
      </w:pPr>
      <w:r w:rsidRPr="533E83B2" w:rsidR="3CDE4084">
        <w:rPr>
          <w:rFonts w:ascii="Times New Roman" w:hAnsi="Times New Roman" w:eastAsia="Times New Roman" w:cs="Times New Roman"/>
          <w:noProof w:val="0"/>
          <w:sz w:val="24"/>
          <w:szCs w:val="24"/>
          <w:lang w:val="en-US"/>
        </w:rPr>
        <w:t>These problems were compounded by procedural weaknesses that slowed down response and detection. Without clearly defined escalation channels or proactive threat hunting strategies, warning signs of compromise have been overlooked or given less priority. Security teams did not have the contextual intelligence to understand minor anomalies as being part of a concerted intrusion, and not even as isolated or innocent incidents. This makes the implementation of security controls and their incorporation into clearly defined operational procedures backed by trained analysts and cycles of continuous improvement important.</w:t>
      </w:r>
    </w:p>
    <w:p xmlns:wp14="http://schemas.microsoft.com/office/word/2010/wordml" w:rsidP="533E83B2" wp14:paraId="073E9FC7" wp14:textId="1124E95C">
      <w:pPr>
        <w:bidi w:val="0"/>
        <w:spacing w:before="240" w:beforeAutospacing="off" w:after="240" w:afterAutospacing="off"/>
      </w:pPr>
      <w:r w:rsidRPr="533E83B2" w:rsidR="3CDE4084">
        <w:rPr>
          <w:rFonts w:ascii="Times New Roman" w:hAnsi="Times New Roman" w:eastAsia="Times New Roman" w:cs="Times New Roman"/>
          <w:noProof w:val="0"/>
          <w:sz w:val="24"/>
          <w:szCs w:val="24"/>
          <w:lang w:val="en-US"/>
        </w:rPr>
        <w:t xml:space="preserve"> </w:t>
      </w:r>
    </w:p>
    <w:p xmlns:wp14="http://schemas.microsoft.com/office/word/2010/wordml" w:rsidP="533E83B2" wp14:paraId="30B48AFA" wp14:textId="50EBD2A8">
      <w:pPr>
        <w:pStyle w:val="Normal"/>
        <w:bidi w:val="0"/>
        <w:spacing w:before="240" w:beforeAutospacing="off" w:after="240" w:afterAutospacing="off"/>
      </w:pPr>
      <w:r w:rsidRPr="533E83B2" w:rsidR="3CDE4084">
        <w:rPr>
          <w:rFonts w:ascii="Times New Roman" w:hAnsi="Times New Roman" w:eastAsia="Times New Roman" w:cs="Times New Roman"/>
          <w:noProof w:val="0"/>
          <w:sz w:val="24"/>
          <w:szCs w:val="24"/>
          <w:lang w:val="en-US"/>
        </w:rPr>
        <w:t>Combined, these issues resulted in a situation where a highly competent threat actor would be able to perform over an extended period without a significant defensive reaction. Weak identity governance, low behavioral visibility, and socio-technical weaknesses converged to allow APT41 to abuse the trust relationships, merge with the regular course of business operation and work towards strategic goals with little concern about the identity being detected. The case supports an essential rule of contemporary cybersecurity: successful protection against advanced persistent threats requires a comprehensive approach that would not only address technical controls, but identity management, monitoring strategy and human factors to an equal extent.</w:t>
      </w:r>
    </w:p>
    <w:p xmlns:wp14="http://schemas.microsoft.com/office/word/2010/wordml" w:rsidP="533E83B2" wp14:paraId="318F5B0E" wp14:textId="188D81F1">
      <w:pPr>
        <w:pStyle w:val="Heading3"/>
        <w:bidi w:val="0"/>
        <w:spacing w:before="281" w:beforeAutospacing="off" w:after="281" w:afterAutospacing="off"/>
        <w:rPr>
          <w:rFonts w:ascii="Times New Roman" w:hAnsi="Times New Roman" w:eastAsia="Times New Roman" w:cs="Times New Roman"/>
          <w:b w:val="1"/>
          <w:bCs w:val="1"/>
          <w:noProof w:val="0"/>
          <w:sz w:val="28"/>
          <w:szCs w:val="28"/>
          <w:lang w:val="en-US"/>
        </w:rPr>
      </w:pPr>
      <w:bookmarkStart w:name="_Toc1930749273" w:id="1972645913"/>
      <w:r w:rsidRPr="533E83B2" w:rsidR="1E52920D">
        <w:rPr>
          <w:rFonts w:ascii="Times New Roman" w:hAnsi="Times New Roman" w:eastAsia="Times New Roman" w:cs="Times New Roman"/>
          <w:b w:val="1"/>
          <w:bCs w:val="1"/>
          <w:noProof w:val="0"/>
          <w:sz w:val="28"/>
          <w:szCs w:val="28"/>
          <w:lang w:val="en-US"/>
        </w:rPr>
        <w:t>2.5 Strategic Prevention &amp; Detection Recommendations</w:t>
      </w:r>
      <w:bookmarkEnd w:id="1972645913"/>
    </w:p>
    <w:p xmlns:wp14="http://schemas.microsoft.com/office/word/2010/wordml" w:rsidP="533E83B2" wp14:paraId="28509624" wp14:textId="727BF632">
      <w:pPr>
        <w:bidi w:val="0"/>
        <w:spacing w:before="240" w:beforeAutospacing="off" w:after="240" w:afterAutospacing="off"/>
      </w:pPr>
      <w:r w:rsidRPr="533E83B2" w:rsidR="1E52920D">
        <w:rPr>
          <w:rFonts w:ascii="Times New Roman" w:hAnsi="Times New Roman" w:eastAsia="Times New Roman" w:cs="Times New Roman"/>
          <w:noProof w:val="0"/>
          <w:sz w:val="24"/>
          <w:szCs w:val="24"/>
          <w:lang w:val="en-US"/>
        </w:rPr>
        <w:t xml:space="preserve">Mitigating threats of this nature requires a shift from perimeter‑centric security toward a defence model grounded in </w:t>
      </w:r>
      <w:r w:rsidRPr="533E83B2" w:rsidR="1E52920D">
        <w:rPr>
          <w:rFonts w:ascii="Times New Roman" w:hAnsi="Times New Roman" w:eastAsia="Times New Roman" w:cs="Times New Roman"/>
          <w:b w:val="1"/>
          <w:bCs w:val="1"/>
          <w:noProof w:val="0"/>
          <w:sz w:val="24"/>
          <w:szCs w:val="24"/>
          <w:lang w:val="en-US"/>
        </w:rPr>
        <w:t>identity assurance, behavioural detection, and architectural resilience</w:t>
      </w:r>
      <w:r w:rsidRPr="533E83B2" w:rsidR="1E52920D">
        <w:rPr>
          <w:rFonts w:ascii="Times New Roman" w:hAnsi="Times New Roman" w:eastAsia="Times New Roman" w:cs="Times New Roman"/>
          <w:noProof w:val="0"/>
          <w:sz w:val="24"/>
          <w:szCs w:val="24"/>
          <w:lang w:val="en-US"/>
        </w:rPr>
        <w:t>. Contemporary security research and standards bodies increasingly emphasise that advanced adversaries are most effectively countered through layered, identity‑aware controls rather than isolated technical safeguards [5], [8].</w:t>
      </w:r>
    </w:p>
    <w:p xmlns:wp14="http://schemas.microsoft.com/office/word/2010/wordml" w:rsidP="533E83B2" wp14:paraId="3A8E0CFA" wp14:textId="4D3249A8">
      <w:pPr>
        <w:bidi w:val="0"/>
        <w:spacing w:before="240" w:beforeAutospacing="off" w:after="240" w:afterAutospacing="off"/>
      </w:pPr>
      <w:r w:rsidRPr="533E83B2" w:rsidR="1E52920D">
        <w:rPr>
          <w:rFonts w:ascii="Times New Roman" w:hAnsi="Times New Roman" w:eastAsia="Times New Roman" w:cs="Times New Roman"/>
          <w:noProof w:val="0"/>
          <w:sz w:val="24"/>
          <w:szCs w:val="24"/>
          <w:lang w:val="en-US"/>
        </w:rPr>
        <w:t xml:space="preserve">From a </w:t>
      </w:r>
      <w:r w:rsidRPr="533E83B2" w:rsidR="1E52920D">
        <w:rPr>
          <w:rFonts w:ascii="Times New Roman" w:hAnsi="Times New Roman" w:eastAsia="Times New Roman" w:cs="Times New Roman"/>
          <w:b w:val="1"/>
          <w:bCs w:val="1"/>
          <w:noProof w:val="0"/>
          <w:sz w:val="24"/>
          <w:szCs w:val="24"/>
          <w:lang w:val="en-US"/>
        </w:rPr>
        <w:t>preventive perspective</w:t>
      </w:r>
      <w:r w:rsidRPr="533E83B2" w:rsidR="1E52920D">
        <w:rPr>
          <w:rFonts w:ascii="Times New Roman" w:hAnsi="Times New Roman" w:eastAsia="Times New Roman" w:cs="Times New Roman"/>
          <w:noProof w:val="0"/>
          <w:sz w:val="24"/>
          <w:szCs w:val="24"/>
          <w:lang w:val="en-US"/>
        </w:rPr>
        <w:t>, organisations should prioritise the universal deployment of phishing‑resistant multi‑factor authentication mechanisms, particularly for privileged and remote access accounts. Identity privilege minimisation, combined with regular access reviews and service account hygiene, significantly reduces the blast radius of credential compromise and is strongly recommended within modern security frameworks [5].</w:t>
      </w:r>
    </w:p>
    <w:p xmlns:wp14="http://schemas.microsoft.com/office/word/2010/wordml" w:rsidP="533E83B2" wp14:paraId="5019A1EA" wp14:textId="234CA130">
      <w:pPr>
        <w:bidi w:val="0"/>
        <w:spacing w:before="240" w:beforeAutospacing="off" w:after="240" w:afterAutospacing="off"/>
      </w:pPr>
      <w:r w:rsidRPr="533E83B2" w:rsidR="1E52920D">
        <w:rPr>
          <w:rFonts w:ascii="Times New Roman" w:hAnsi="Times New Roman" w:eastAsia="Times New Roman" w:cs="Times New Roman"/>
          <w:noProof w:val="0"/>
          <w:sz w:val="24"/>
          <w:szCs w:val="24"/>
          <w:lang w:val="en-US"/>
        </w:rPr>
        <w:t xml:space="preserve">From a </w:t>
      </w:r>
      <w:r w:rsidRPr="533E83B2" w:rsidR="1E52920D">
        <w:rPr>
          <w:rFonts w:ascii="Times New Roman" w:hAnsi="Times New Roman" w:eastAsia="Times New Roman" w:cs="Times New Roman"/>
          <w:b w:val="1"/>
          <w:bCs w:val="1"/>
          <w:noProof w:val="0"/>
          <w:sz w:val="24"/>
          <w:szCs w:val="24"/>
          <w:lang w:val="en-US"/>
        </w:rPr>
        <w:t>detective standpoint</w:t>
      </w:r>
      <w:r w:rsidRPr="533E83B2" w:rsidR="1E52920D">
        <w:rPr>
          <w:rFonts w:ascii="Times New Roman" w:hAnsi="Times New Roman" w:eastAsia="Times New Roman" w:cs="Times New Roman"/>
          <w:noProof w:val="0"/>
          <w:sz w:val="24"/>
          <w:szCs w:val="24"/>
          <w:lang w:val="en-US"/>
        </w:rPr>
        <w:t>, endpoint detection and response capabilities must be configured to identify abnormal behavioural patterns rather than relying solely on malware signatures. This includes enhanced monitoring of scripting engines, administrative utilities, and authentication anomalies. Empirical evidence from breach investigations demonstrates that behavioural telemetry substantially improves detection of living‑off‑the‑land activity [1], [3].</w:t>
      </w:r>
    </w:p>
    <w:p xmlns:wp14="http://schemas.microsoft.com/office/word/2010/wordml" w:rsidP="533E83B2" wp14:paraId="4CA6E36C" wp14:textId="058D3A1F">
      <w:pPr>
        <w:bidi w:val="0"/>
        <w:spacing w:before="240" w:beforeAutospacing="off" w:after="240" w:afterAutospacing="off"/>
      </w:pPr>
      <w:r w:rsidRPr="533E83B2" w:rsidR="1E52920D">
        <w:rPr>
          <w:rFonts w:ascii="Times New Roman" w:hAnsi="Times New Roman" w:eastAsia="Times New Roman" w:cs="Times New Roman"/>
          <w:noProof w:val="0"/>
          <w:sz w:val="24"/>
          <w:szCs w:val="24"/>
          <w:lang w:val="en-US"/>
        </w:rPr>
        <w:t xml:space="preserve">At an </w:t>
      </w:r>
      <w:r w:rsidRPr="533E83B2" w:rsidR="1E52920D">
        <w:rPr>
          <w:rFonts w:ascii="Times New Roman" w:hAnsi="Times New Roman" w:eastAsia="Times New Roman" w:cs="Times New Roman"/>
          <w:b w:val="1"/>
          <w:bCs w:val="1"/>
          <w:noProof w:val="0"/>
          <w:sz w:val="24"/>
          <w:szCs w:val="24"/>
          <w:lang w:val="en-US"/>
        </w:rPr>
        <w:t>architectural level</w:t>
      </w:r>
      <w:r w:rsidRPr="533E83B2" w:rsidR="1E52920D">
        <w:rPr>
          <w:rFonts w:ascii="Times New Roman" w:hAnsi="Times New Roman" w:eastAsia="Times New Roman" w:cs="Times New Roman"/>
          <w:noProof w:val="0"/>
          <w:sz w:val="24"/>
          <w:szCs w:val="24"/>
          <w:lang w:val="en-US"/>
        </w:rPr>
        <w:t>, micro‑segmentation and zero‑trust design principles should be employed to constrain adversary movement following initial compromise. Centralised logging and correlation across endpoints, identity systems, application platforms, and containerised workloads further enhances the organisation’s capacity to identify low‑signal, high‑impact attacks, in line with current zero‑trust and defence‑in‑depth guidance [5], [6].</w:t>
      </w:r>
    </w:p>
    <w:p xmlns:wp14="http://schemas.microsoft.com/office/word/2010/wordml" w:rsidP="533E83B2" wp14:paraId="3328B3E8" wp14:textId="10695944">
      <w:pPr>
        <w:bidi w:val="0"/>
        <w:spacing w:before="240" w:beforeAutospacing="off" w:after="240" w:afterAutospacing="off"/>
      </w:pPr>
      <w:r w:rsidRPr="533E83B2" w:rsidR="1E52920D">
        <w:rPr>
          <w:rFonts w:ascii="Times New Roman" w:hAnsi="Times New Roman" w:eastAsia="Times New Roman" w:cs="Times New Roman"/>
          <w:noProof w:val="0"/>
          <w:sz w:val="24"/>
          <w:szCs w:val="24"/>
          <w:lang w:val="en-US"/>
        </w:rPr>
        <w:t>Collectively, these measures shift the defensive posture from reactive incident response toward proactive threat disruption, aligning security capabilities with the realities of modern APT‑driven espionage campaigns.</w:t>
      </w:r>
    </w:p>
    <w:p xmlns:wp14="http://schemas.microsoft.com/office/word/2010/wordml" wp14:paraId="7F03A971" wp14:textId="5A63856A"/>
    <w:p xmlns:wp14="http://schemas.microsoft.com/office/word/2010/wordml" w:rsidP="533E83B2" wp14:paraId="0F461996" wp14:textId="20080D2E">
      <w:pPr>
        <w:pStyle w:val="Heading2"/>
        <w:bidi w:val="0"/>
        <w:spacing w:before="299" w:beforeAutospacing="off" w:after="299" w:afterAutospacing="off"/>
      </w:pPr>
      <w:bookmarkStart w:name="_Toc1900058607" w:id="1126668944"/>
      <w:r w:rsidRPr="533E83B2" w:rsidR="1E52920D">
        <w:rPr>
          <w:rFonts w:ascii="Times New Roman" w:hAnsi="Times New Roman" w:eastAsia="Times New Roman" w:cs="Times New Roman"/>
          <w:b w:val="1"/>
          <w:bCs w:val="1"/>
          <w:noProof w:val="0"/>
          <w:sz w:val="36"/>
          <w:szCs w:val="36"/>
          <w:lang w:val="en-US"/>
        </w:rPr>
        <w:t xml:space="preserve">3. Part 2: Red Team Engagement – </w:t>
      </w:r>
      <w:r w:rsidRPr="533E83B2" w:rsidR="1E52920D">
        <w:rPr>
          <w:rFonts w:ascii="Times New Roman" w:hAnsi="Times New Roman" w:eastAsia="Times New Roman" w:cs="Times New Roman"/>
          <w:b w:val="1"/>
          <w:bCs w:val="1"/>
          <w:i w:val="1"/>
          <w:iCs w:val="1"/>
          <w:noProof w:val="0"/>
          <w:sz w:val="36"/>
          <w:szCs w:val="36"/>
          <w:lang w:val="en-US"/>
        </w:rPr>
        <w:t>Operation IP Shield</w:t>
      </w:r>
      <w:bookmarkEnd w:id="1126668944"/>
      <w:r w:rsidRPr="533E83B2" w:rsidR="1E52920D">
        <w:rPr>
          <w:rFonts w:ascii="Times New Roman" w:hAnsi="Times New Roman" w:eastAsia="Times New Roman" w:cs="Times New Roman"/>
          <w:b w:val="1"/>
          <w:bCs w:val="1"/>
          <w:noProof w:val="0"/>
          <w:sz w:val="36"/>
          <w:szCs w:val="36"/>
          <w:lang w:val="en-US"/>
        </w:rPr>
        <w:t xml:space="preserve"> </w:t>
      </w:r>
    </w:p>
    <w:p xmlns:wp14="http://schemas.microsoft.com/office/word/2010/wordml" w:rsidP="533E83B2" wp14:paraId="222B6AED" wp14:textId="0F094F97">
      <w:pPr>
        <w:pStyle w:val="Heading3"/>
        <w:bidi w:val="0"/>
        <w:spacing w:before="281" w:beforeAutospacing="off" w:after="281" w:afterAutospacing="off"/>
        <w:rPr>
          <w:rFonts w:ascii="Times New Roman" w:hAnsi="Times New Roman" w:eastAsia="Times New Roman" w:cs="Times New Roman"/>
          <w:b w:val="1"/>
          <w:bCs w:val="1"/>
          <w:noProof w:val="0"/>
          <w:sz w:val="28"/>
          <w:szCs w:val="28"/>
          <w:lang w:val="en-US"/>
        </w:rPr>
      </w:pPr>
      <w:bookmarkStart w:name="_Toc561269030" w:id="210234334"/>
      <w:r w:rsidRPr="533E83B2" w:rsidR="1E52920D">
        <w:rPr>
          <w:rFonts w:ascii="Times New Roman" w:hAnsi="Times New Roman" w:eastAsia="Times New Roman" w:cs="Times New Roman"/>
          <w:b w:val="1"/>
          <w:bCs w:val="1"/>
          <w:noProof w:val="0"/>
          <w:sz w:val="28"/>
          <w:szCs w:val="28"/>
          <w:lang w:val="en-US"/>
        </w:rPr>
        <w:t>3.1 Rules of Engagement (</w:t>
      </w:r>
      <w:r w:rsidRPr="533E83B2" w:rsidR="1E52920D">
        <w:rPr>
          <w:rFonts w:ascii="Times New Roman" w:hAnsi="Times New Roman" w:eastAsia="Times New Roman" w:cs="Times New Roman"/>
          <w:b w:val="1"/>
          <w:bCs w:val="1"/>
          <w:noProof w:val="0"/>
          <w:sz w:val="28"/>
          <w:szCs w:val="28"/>
          <w:lang w:val="en-US"/>
        </w:rPr>
        <w:t>RoE</w:t>
      </w:r>
      <w:r w:rsidRPr="533E83B2" w:rsidR="1E52920D">
        <w:rPr>
          <w:rFonts w:ascii="Times New Roman" w:hAnsi="Times New Roman" w:eastAsia="Times New Roman" w:cs="Times New Roman"/>
          <w:b w:val="1"/>
          <w:bCs w:val="1"/>
          <w:noProof w:val="0"/>
          <w:sz w:val="28"/>
          <w:szCs w:val="28"/>
          <w:lang w:val="en-US"/>
        </w:rPr>
        <w:t>)</w:t>
      </w:r>
      <w:bookmarkEnd w:id="210234334"/>
    </w:p>
    <w:p xmlns:wp14="http://schemas.microsoft.com/office/word/2010/wordml" w:rsidP="533E83B2" wp14:paraId="2FFEB1AA" wp14:textId="4AA3D1CC">
      <w:pPr>
        <w:bidi w:val="0"/>
        <w:spacing w:before="240" w:beforeAutospacing="off" w:after="240" w:afterAutospacing="off"/>
      </w:pPr>
      <w:r w:rsidRPr="533E83B2" w:rsidR="1E52920D">
        <w:rPr>
          <w:rFonts w:ascii="Times New Roman" w:hAnsi="Times New Roman" w:eastAsia="Times New Roman" w:cs="Times New Roman"/>
          <w:noProof w:val="0"/>
          <w:sz w:val="24"/>
          <w:szCs w:val="24"/>
          <w:lang w:val="en-US"/>
        </w:rPr>
        <w:t xml:space="preserve">The red team engagement, designated </w:t>
      </w:r>
      <w:r w:rsidRPr="533E83B2" w:rsidR="1E52920D">
        <w:rPr>
          <w:rFonts w:ascii="Times New Roman" w:hAnsi="Times New Roman" w:eastAsia="Times New Roman" w:cs="Times New Roman"/>
          <w:i w:val="1"/>
          <w:iCs w:val="1"/>
          <w:noProof w:val="0"/>
          <w:sz w:val="24"/>
          <w:szCs w:val="24"/>
          <w:lang w:val="en-US"/>
        </w:rPr>
        <w:t>Operation IP Shield</w:t>
      </w:r>
      <w:r w:rsidRPr="533E83B2" w:rsidR="1E52920D">
        <w:rPr>
          <w:rFonts w:ascii="Times New Roman" w:hAnsi="Times New Roman" w:eastAsia="Times New Roman" w:cs="Times New Roman"/>
          <w:noProof w:val="0"/>
          <w:sz w:val="24"/>
          <w:szCs w:val="24"/>
          <w:lang w:val="en-US"/>
        </w:rPr>
        <w:t>, was conducted under formal authorization from Cureton Pharmaceutical Company’s senior management and adhered to predefined ethical, legal, and operational constraints. The Rules of Engagement were designed to balance realism with safety, ensuring that adversary behaviours could be accurately emulated without causing unacceptable business risk or operational disruption.</w:t>
      </w:r>
    </w:p>
    <w:p xmlns:wp14="http://schemas.microsoft.com/office/word/2010/wordml" w:rsidP="533E83B2" wp14:paraId="16B80B8F" wp14:textId="5FE1D163">
      <w:pPr>
        <w:bidi w:val="0"/>
        <w:spacing w:before="240" w:beforeAutospacing="off" w:after="240" w:afterAutospacing="off"/>
      </w:pPr>
      <w:r w:rsidRPr="533E83B2" w:rsidR="1E52920D">
        <w:rPr>
          <w:rFonts w:ascii="Times New Roman" w:hAnsi="Times New Roman" w:eastAsia="Times New Roman" w:cs="Times New Roman"/>
          <w:noProof w:val="0"/>
          <w:sz w:val="24"/>
          <w:szCs w:val="24"/>
          <w:lang w:val="en-US"/>
        </w:rPr>
        <w:t xml:space="preserve">The </w:t>
      </w:r>
      <w:r w:rsidRPr="533E83B2" w:rsidR="1E52920D">
        <w:rPr>
          <w:rFonts w:ascii="Times New Roman" w:hAnsi="Times New Roman" w:eastAsia="Times New Roman" w:cs="Times New Roman"/>
          <w:b w:val="1"/>
          <w:bCs w:val="1"/>
          <w:noProof w:val="0"/>
          <w:sz w:val="24"/>
          <w:szCs w:val="24"/>
          <w:lang w:val="en-US"/>
        </w:rPr>
        <w:t>in-scope assets</w:t>
      </w:r>
      <w:r w:rsidRPr="533E83B2" w:rsidR="1E52920D">
        <w:rPr>
          <w:rFonts w:ascii="Times New Roman" w:hAnsi="Times New Roman" w:eastAsia="Times New Roman" w:cs="Times New Roman"/>
          <w:noProof w:val="0"/>
          <w:sz w:val="24"/>
          <w:szCs w:val="24"/>
          <w:lang w:val="en-US"/>
        </w:rPr>
        <w:t xml:space="preserve"> included the on‑premises Active Directory infrastructure supporting research and development operations, a Docker‑based clinical trial portal representing cloud‑native research workloads, and a GitHub‑hosted CI/CD pipeline responsible for application build and deployment. These components were selected to reflect the hybrid identity, application, and DevOps dependencies typical of modern pharmaceutical environments.</w:t>
      </w:r>
    </w:p>
    <w:p xmlns:wp14="http://schemas.microsoft.com/office/word/2010/wordml" w:rsidP="533E83B2" wp14:paraId="036BCCE7" wp14:textId="5682F3E8">
      <w:pPr>
        <w:bidi w:val="0"/>
        <w:spacing w:before="240" w:beforeAutospacing="off" w:after="240" w:afterAutospacing="off"/>
      </w:pPr>
      <w:r w:rsidRPr="533E83B2" w:rsidR="1E52920D">
        <w:rPr>
          <w:rFonts w:ascii="Times New Roman" w:hAnsi="Times New Roman" w:eastAsia="Times New Roman" w:cs="Times New Roman"/>
          <w:noProof w:val="0"/>
          <w:sz w:val="24"/>
          <w:szCs w:val="24"/>
          <w:lang w:val="en-US"/>
        </w:rPr>
        <w:t xml:space="preserve">Conversely, </w:t>
      </w:r>
      <w:r w:rsidRPr="533E83B2" w:rsidR="1E52920D">
        <w:rPr>
          <w:rFonts w:ascii="Times New Roman" w:hAnsi="Times New Roman" w:eastAsia="Times New Roman" w:cs="Times New Roman"/>
          <w:b w:val="1"/>
          <w:bCs w:val="1"/>
          <w:noProof w:val="0"/>
          <w:sz w:val="24"/>
          <w:szCs w:val="24"/>
          <w:lang w:val="en-US"/>
        </w:rPr>
        <w:t>out‑of‑scope activities</w:t>
      </w:r>
      <w:r w:rsidRPr="533E83B2" w:rsidR="1E52920D">
        <w:rPr>
          <w:rFonts w:ascii="Times New Roman" w:hAnsi="Times New Roman" w:eastAsia="Times New Roman" w:cs="Times New Roman"/>
          <w:noProof w:val="0"/>
          <w:sz w:val="24"/>
          <w:szCs w:val="24"/>
          <w:lang w:val="en-US"/>
        </w:rPr>
        <w:t xml:space="preserve"> explicitly excluded denial‑of‑service attacks, destructive malware, and any interaction with real patient or production data. These exclusions ensured compliance with ethical research standards and prevented unintended harm.</w:t>
      </w:r>
    </w:p>
    <w:p xmlns:wp14="http://schemas.microsoft.com/office/word/2010/wordml" w:rsidP="533E83B2" wp14:paraId="43CA74CE" wp14:textId="7B61F03C">
      <w:pPr>
        <w:bidi w:val="0"/>
        <w:spacing w:before="240" w:beforeAutospacing="off" w:after="240" w:afterAutospacing="off"/>
      </w:pPr>
      <w:r w:rsidRPr="533E83B2" w:rsidR="1E52920D">
        <w:rPr>
          <w:rFonts w:ascii="Times New Roman" w:hAnsi="Times New Roman" w:eastAsia="Times New Roman" w:cs="Times New Roman"/>
          <w:noProof w:val="0"/>
          <w:sz w:val="24"/>
          <w:szCs w:val="24"/>
          <w:lang w:val="en-US"/>
        </w:rPr>
        <w:t xml:space="preserve">The </w:t>
      </w:r>
      <w:r w:rsidRPr="533E83B2" w:rsidR="1E52920D">
        <w:rPr>
          <w:rFonts w:ascii="Times New Roman" w:hAnsi="Times New Roman" w:eastAsia="Times New Roman" w:cs="Times New Roman"/>
          <w:b w:val="1"/>
          <w:bCs w:val="1"/>
          <w:noProof w:val="0"/>
          <w:sz w:val="24"/>
          <w:szCs w:val="24"/>
          <w:lang w:val="en-US"/>
        </w:rPr>
        <w:t>primary operational objective</w:t>
      </w:r>
      <w:r w:rsidRPr="533E83B2" w:rsidR="1E52920D">
        <w:rPr>
          <w:rFonts w:ascii="Times New Roman" w:hAnsi="Times New Roman" w:eastAsia="Times New Roman" w:cs="Times New Roman"/>
          <w:noProof w:val="0"/>
          <w:sz w:val="24"/>
          <w:szCs w:val="24"/>
          <w:lang w:val="en-US"/>
        </w:rPr>
        <w:t xml:space="preserve"> of the engagement was the covert exfiltration of a predefined sample of dummy research data while maintaining stealth and avoiding detection by existing security controls. Success criteria were therefore based on adversary persistence and evasion rather than service disruption.</w:t>
      </w:r>
    </w:p>
    <w:p xmlns:wp14="http://schemas.microsoft.com/office/word/2010/wordml" w:rsidP="533E83B2" wp14:paraId="4B4BF84F" wp14:textId="28495BBE">
      <w:pPr>
        <w:pStyle w:val="Heading3"/>
        <w:bidi w:val="0"/>
        <w:spacing w:before="281" w:beforeAutospacing="off" w:after="281" w:afterAutospacing="off"/>
        <w:rPr>
          <w:rFonts w:ascii="Times New Roman" w:hAnsi="Times New Roman" w:eastAsia="Times New Roman" w:cs="Times New Roman"/>
          <w:b w:val="1"/>
          <w:bCs w:val="1"/>
          <w:noProof w:val="0"/>
          <w:sz w:val="28"/>
          <w:szCs w:val="28"/>
          <w:lang w:val="en-US"/>
        </w:rPr>
      </w:pPr>
      <w:bookmarkStart w:name="_Toc643456280" w:id="991421220"/>
      <w:r w:rsidRPr="533E83B2" w:rsidR="1E52920D">
        <w:rPr>
          <w:rFonts w:ascii="Times New Roman" w:hAnsi="Times New Roman" w:eastAsia="Times New Roman" w:cs="Times New Roman"/>
          <w:b w:val="1"/>
          <w:bCs w:val="1"/>
          <w:noProof w:val="0"/>
          <w:sz w:val="28"/>
          <w:szCs w:val="28"/>
          <w:lang w:val="en-US"/>
        </w:rPr>
        <w:t>3.2 Threat Emulation Plan (MITRE‑Aligned)</w:t>
      </w:r>
      <w:bookmarkEnd w:id="991421220"/>
    </w:p>
    <w:p xmlns:wp14="http://schemas.microsoft.com/office/word/2010/wordml" w:rsidP="533E83B2" wp14:paraId="5C715388" wp14:textId="617090EA">
      <w:pPr>
        <w:bidi w:val="0"/>
        <w:spacing w:before="240" w:beforeAutospacing="off" w:after="240" w:afterAutospacing="off"/>
      </w:pPr>
      <w:r w:rsidRPr="533E83B2" w:rsidR="1E52920D">
        <w:rPr>
          <w:rFonts w:ascii="Times New Roman" w:hAnsi="Times New Roman" w:eastAsia="Times New Roman" w:cs="Times New Roman"/>
          <w:noProof w:val="0"/>
          <w:sz w:val="24"/>
          <w:szCs w:val="24"/>
          <w:lang w:val="en-US"/>
        </w:rPr>
        <w:t>The threat emulation plan was explicitly informed by real‑world APT tradecraft and aligned with the MITRE ATT&amp;CK® Enterprise Matrix to ensure methodological rigor. Rather than simulating isolated techniques, the campaign was structured as a coherent intrusion lifecycle designed to replicate how a state‑aligned adversary would realistically pursue intellectual property theft.</w:t>
      </w:r>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1779"/>
        <w:gridCol w:w="3419"/>
        <w:gridCol w:w="1373"/>
        <w:gridCol w:w="1699"/>
        <w:gridCol w:w="2246"/>
      </w:tblGrid>
      <w:tr w:rsidR="533E83B2" w:rsidTr="533E83B2" w14:paraId="2D3604A6">
        <w:trPr>
          <w:trHeight w:val="300"/>
        </w:trPr>
        <w:tc>
          <w:tcPr>
            <w:tcW w:w="1779" w:type="dxa"/>
            <w:tcMar/>
            <w:vAlign w:val="center"/>
          </w:tcPr>
          <w:p w:rsidR="533E83B2" w:rsidP="533E83B2" w:rsidRDefault="533E83B2" w14:paraId="167486F3" w14:textId="48E5A037">
            <w:pPr>
              <w:bidi w:val="0"/>
              <w:spacing w:before="0" w:beforeAutospacing="off" w:after="0" w:afterAutospacing="off"/>
              <w:jc w:val="center"/>
            </w:pPr>
            <w:r w:rsidRPr="533E83B2" w:rsidR="533E83B2">
              <w:rPr>
                <w:b w:val="1"/>
                <w:bCs w:val="1"/>
              </w:rPr>
              <w:t>Objective</w:t>
            </w:r>
          </w:p>
        </w:tc>
        <w:tc>
          <w:tcPr>
            <w:tcW w:w="3419" w:type="dxa"/>
            <w:tcMar/>
            <w:vAlign w:val="center"/>
          </w:tcPr>
          <w:p w:rsidR="533E83B2" w:rsidP="533E83B2" w:rsidRDefault="533E83B2" w14:paraId="53A35710" w14:textId="55A520B4">
            <w:pPr>
              <w:bidi w:val="0"/>
              <w:spacing w:before="0" w:beforeAutospacing="off" w:after="0" w:afterAutospacing="off"/>
              <w:jc w:val="center"/>
            </w:pPr>
            <w:r w:rsidRPr="533E83B2" w:rsidR="533E83B2">
              <w:rPr>
                <w:b w:val="1"/>
                <w:bCs w:val="1"/>
              </w:rPr>
              <w:t>Tactic</w:t>
            </w:r>
          </w:p>
        </w:tc>
        <w:tc>
          <w:tcPr>
            <w:tcW w:w="1373" w:type="dxa"/>
            <w:tcMar/>
            <w:vAlign w:val="center"/>
          </w:tcPr>
          <w:p w:rsidR="533E83B2" w:rsidP="533E83B2" w:rsidRDefault="533E83B2" w14:paraId="0D11BDA5" w14:textId="3AA1138B">
            <w:pPr>
              <w:bidi w:val="0"/>
              <w:spacing w:before="0" w:beforeAutospacing="off" w:after="0" w:afterAutospacing="off"/>
              <w:jc w:val="center"/>
            </w:pPr>
            <w:r w:rsidRPr="533E83B2" w:rsidR="533E83B2">
              <w:rPr>
                <w:b w:val="1"/>
                <w:bCs w:val="1"/>
              </w:rPr>
              <w:t>Technique</w:t>
            </w:r>
          </w:p>
        </w:tc>
        <w:tc>
          <w:tcPr>
            <w:tcW w:w="1699" w:type="dxa"/>
            <w:tcMar/>
            <w:vAlign w:val="center"/>
          </w:tcPr>
          <w:p w:rsidR="533E83B2" w:rsidP="533E83B2" w:rsidRDefault="533E83B2" w14:paraId="69BE0F86" w14:textId="2C0D6959">
            <w:pPr>
              <w:bidi w:val="0"/>
              <w:spacing w:before="0" w:beforeAutospacing="off" w:after="0" w:afterAutospacing="off"/>
              <w:jc w:val="center"/>
            </w:pPr>
            <w:r w:rsidRPr="533E83B2" w:rsidR="533E83B2">
              <w:rPr>
                <w:b w:val="1"/>
                <w:bCs w:val="1"/>
              </w:rPr>
              <w:t>ID</w:t>
            </w:r>
          </w:p>
        </w:tc>
        <w:tc>
          <w:tcPr>
            <w:tcW w:w="2246" w:type="dxa"/>
            <w:tcMar/>
            <w:vAlign w:val="center"/>
          </w:tcPr>
          <w:p w:rsidR="533E83B2" w:rsidP="533E83B2" w:rsidRDefault="533E83B2" w14:paraId="33B1DBE1" w14:textId="2059F7AC">
            <w:pPr>
              <w:bidi w:val="0"/>
              <w:spacing w:before="0" w:beforeAutospacing="off" w:after="0" w:afterAutospacing="off"/>
              <w:jc w:val="center"/>
            </w:pPr>
            <w:r w:rsidRPr="533E83B2" w:rsidR="533E83B2">
              <w:rPr>
                <w:b w:val="1"/>
                <w:bCs w:val="1"/>
              </w:rPr>
              <w:t>Operational Intent</w:t>
            </w:r>
          </w:p>
        </w:tc>
      </w:tr>
      <w:tr w:rsidR="533E83B2" w:rsidTr="533E83B2" w14:paraId="053C7293">
        <w:trPr>
          <w:trHeight w:val="300"/>
        </w:trPr>
        <w:tc>
          <w:tcPr>
            <w:tcW w:w="1779" w:type="dxa"/>
            <w:tcMar/>
            <w:vAlign w:val="center"/>
          </w:tcPr>
          <w:p w:rsidR="533E83B2" w:rsidP="533E83B2" w:rsidRDefault="533E83B2" w14:paraId="471C25F8" w14:textId="37C78195">
            <w:pPr>
              <w:bidi w:val="0"/>
              <w:spacing w:before="0" w:beforeAutospacing="off" w:after="0" w:afterAutospacing="off"/>
            </w:pPr>
            <w:r w:rsidR="533E83B2">
              <w:rPr/>
              <w:t>Initial Access</w:t>
            </w:r>
          </w:p>
        </w:tc>
        <w:tc>
          <w:tcPr>
            <w:tcW w:w="3419" w:type="dxa"/>
            <w:tcMar/>
            <w:vAlign w:val="center"/>
          </w:tcPr>
          <w:p w:rsidR="533E83B2" w:rsidP="533E83B2" w:rsidRDefault="533E83B2" w14:paraId="70BB06E8" w14:textId="08F4F80A">
            <w:pPr>
              <w:bidi w:val="0"/>
              <w:spacing w:before="0" w:beforeAutospacing="off" w:after="0" w:afterAutospacing="off"/>
            </w:pPr>
            <w:r w:rsidR="533E83B2">
              <w:rPr/>
              <w:t>Phishing</w:t>
            </w:r>
          </w:p>
        </w:tc>
        <w:tc>
          <w:tcPr>
            <w:tcW w:w="1373" w:type="dxa"/>
            <w:tcMar/>
            <w:vAlign w:val="center"/>
          </w:tcPr>
          <w:p w:rsidR="533E83B2" w:rsidP="533E83B2" w:rsidRDefault="533E83B2" w14:paraId="619F1990" w14:textId="7C067466">
            <w:pPr>
              <w:bidi w:val="0"/>
              <w:spacing w:before="0" w:beforeAutospacing="off" w:after="0" w:afterAutospacing="off"/>
            </w:pPr>
            <w:r w:rsidR="533E83B2">
              <w:rPr/>
              <w:t>Spearphishing</w:t>
            </w:r>
          </w:p>
        </w:tc>
        <w:tc>
          <w:tcPr>
            <w:tcW w:w="1699" w:type="dxa"/>
            <w:tcMar/>
            <w:vAlign w:val="center"/>
          </w:tcPr>
          <w:p w:rsidR="533E83B2" w:rsidP="533E83B2" w:rsidRDefault="533E83B2" w14:paraId="00F0C929" w14:textId="3C921648">
            <w:pPr>
              <w:bidi w:val="0"/>
              <w:spacing w:before="0" w:beforeAutospacing="off" w:after="0" w:afterAutospacing="off"/>
            </w:pPr>
            <w:r w:rsidR="533E83B2">
              <w:rPr/>
              <w:t>T1566</w:t>
            </w:r>
          </w:p>
        </w:tc>
        <w:tc>
          <w:tcPr>
            <w:tcW w:w="2246" w:type="dxa"/>
            <w:tcMar/>
            <w:vAlign w:val="center"/>
          </w:tcPr>
          <w:p w:rsidR="533E83B2" w:rsidP="533E83B2" w:rsidRDefault="533E83B2" w14:paraId="42A37340" w14:textId="1B41E13C">
            <w:pPr>
              <w:bidi w:val="0"/>
              <w:spacing w:before="0" w:beforeAutospacing="off" w:after="0" w:afterAutospacing="off"/>
            </w:pPr>
            <w:r w:rsidR="533E83B2">
              <w:rPr/>
              <w:t>Credential compromise</w:t>
            </w:r>
          </w:p>
        </w:tc>
      </w:tr>
      <w:tr w:rsidR="533E83B2" w:rsidTr="533E83B2" w14:paraId="1CDF936A">
        <w:trPr>
          <w:trHeight w:val="300"/>
        </w:trPr>
        <w:tc>
          <w:tcPr>
            <w:tcW w:w="1779" w:type="dxa"/>
            <w:tcMar/>
            <w:vAlign w:val="center"/>
          </w:tcPr>
          <w:p w:rsidR="533E83B2" w:rsidP="533E83B2" w:rsidRDefault="533E83B2" w14:paraId="66993528" w14:textId="444848A5">
            <w:pPr>
              <w:bidi w:val="0"/>
              <w:spacing w:before="0" w:beforeAutospacing="off" w:after="0" w:afterAutospacing="off"/>
            </w:pPr>
            <w:r w:rsidR="533E83B2">
              <w:rPr/>
              <w:t>Execution</w:t>
            </w:r>
          </w:p>
        </w:tc>
        <w:tc>
          <w:tcPr>
            <w:tcW w:w="3419" w:type="dxa"/>
            <w:tcMar/>
            <w:vAlign w:val="center"/>
          </w:tcPr>
          <w:p w:rsidR="533E83B2" w:rsidP="533E83B2" w:rsidRDefault="533E83B2" w14:paraId="46D9F81E" w14:textId="631DE273">
            <w:pPr>
              <w:bidi w:val="0"/>
              <w:spacing w:before="0" w:beforeAutospacing="off" w:after="0" w:afterAutospacing="off"/>
            </w:pPr>
            <w:r w:rsidR="533E83B2">
              <w:rPr/>
              <w:t>Command and Scripting Interpreter</w:t>
            </w:r>
          </w:p>
        </w:tc>
        <w:tc>
          <w:tcPr>
            <w:tcW w:w="1373" w:type="dxa"/>
            <w:tcMar/>
            <w:vAlign w:val="center"/>
          </w:tcPr>
          <w:p w:rsidR="533E83B2" w:rsidP="533E83B2" w:rsidRDefault="533E83B2" w14:paraId="6DDCC49E" w14:textId="74609462">
            <w:pPr>
              <w:bidi w:val="0"/>
              <w:spacing w:before="0" w:beforeAutospacing="off" w:after="0" w:afterAutospacing="off"/>
            </w:pPr>
            <w:r w:rsidR="533E83B2">
              <w:rPr/>
              <w:t>PowerShell</w:t>
            </w:r>
          </w:p>
        </w:tc>
        <w:tc>
          <w:tcPr>
            <w:tcW w:w="1699" w:type="dxa"/>
            <w:tcMar/>
            <w:vAlign w:val="center"/>
          </w:tcPr>
          <w:p w:rsidR="533E83B2" w:rsidP="533E83B2" w:rsidRDefault="533E83B2" w14:paraId="07973F4A" w14:textId="333CD70E">
            <w:pPr>
              <w:bidi w:val="0"/>
              <w:spacing w:before="0" w:beforeAutospacing="off" w:after="0" w:afterAutospacing="off"/>
            </w:pPr>
            <w:r w:rsidR="533E83B2">
              <w:rPr/>
              <w:t>T1059.001</w:t>
            </w:r>
          </w:p>
        </w:tc>
        <w:tc>
          <w:tcPr>
            <w:tcW w:w="2246" w:type="dxa"/>
            <w:tcMar/>
            <w:vAlign w:val="center"/>
          </w:tcPr>
          <w:p w:rsidR="533E83B2" w:rsidP="533E83B2" w:rsidRDefault="533E83B2" w14:paraId="6365751D" w14:textId="077432F0">
            <w:pPr>
              <w:bidi w:val="0"/>
              <w:spacing w:before="0" w:beforeAutospacing="off" w:after="0" w:afterAutospacing="off"/>
            </w:pPr>
            <w:r w:rsidR="533E83B2">
              <w:rPr/>
              <w:t>In‑memory execution</w:t>
            </w:r>
          </w:p>
        </w:tc>
      </w:tr>
      <w:tr w:rsidR="533E83B2" w:rsidTr="533E83B2" w14:paraId="4C4CCDAB">
        <w:trPr>
          <w:trHeight w:val="300"/>
        </w:trPr>
        <w:tc>
          <w:tcPr>
            <w:tcW w:w="1779" w:type="dxa"/>
            <w:tcMar/>
            <w:vAlign w:val="center"/>
          </w:tcPr>
          <w:p w:rsidR="533E83B2" w:rsidP="533E83B2" w:rsidRDefault="533E83B2" w14:paraId="63B1C10D" w14:textId="7AFC3612">
            <w:pPr>
              <w:bidi w:val="0"/>
              <w:spacing w:before="0" w:beforeAutospacing="off" w:after="0" w:afterAutospacing="off"/>
            </w:pPr>
            <w:r w:rsidR="533E83B2">
              <w:rPr/>
              <w:t>Persistence</w:t>
            </w:r>
          </w:p>
        </w:tc>
        <w:tc>
          <w:tcPr>
            <w:tcW w:w="3419" w:type="dxa"/>
            <w:tcMar/>
            <w:vAlign w:val="center"/>
          </w:tcPr>
          <w:p w:rsidR="533E83B2" w:rsidP="533E83B2" w:rsidRDefault="533E83B2" w14:paraId="57E1C9BD" w14:textId="349CA55B">
            <w:pPr>
              <w:bidi w:val="0"/>
              <w:spacing w:before="0" w:beforeAutospacing="off" w:after="0" w:afterAutospacing="off"/>
            </w:pPr>
            <w:r w:rsidR="533E83B2">
              <w:rPr/>
              <w:t>Scheduled Tasks</w:t>
            </w:r>
          </w:p>
        </w:tc>
        <w:tc>
          <w:tcPr>
            <w:tcW w:w="1373" w:type="dxa"/>
            <w:tcMar/>
            <w:vAlign w:val="center"/>
          </w:tcPr>
          <w:p w:rsidR="533E83B2" w:rsidP="533E83B2" w:rsidRDefault="533E83B2" w14:paraId="5D61FF83" w14:textId="6C58F4B9">
            <w:pPr>
              <w:bidi w:val="0"/>
              <w:spacing w:before="0" w:beforeAutospacing="off" w:after="0" w:afterAutospacing="off"/>
            </w:pPr>
            <w:r w:rsidR="533E83B2">
              <w:rPr/>
              <w:t>T1053.005</w:t>
            </w:r>
          </w:p>
        </w:tc>
        <w:tc>
          <w:tcPr>
            <w:tcW w:w="1699" w:type="dxa"/>
            <w:tcMar/>
            <w:vAlign w:val="center"/>
          </w:tcPr>
          <w:p w:rsidR="533E83B2" w:rsidP="533E83B2" w:rsidRDefault="533E83B2" w14:paraId="7DB97269" w14:textId="21366721">
            <w:pPr>
              <w:bidi w:val="0"/>
              <w:spacing w:before="0" w:beforeAutospacing="off" w:after="0" w:afterAutospacing="off"/>
            </w:pPr>
            <w:r w:rsidR="533E83B2">
              <w:rPr/>
              <w:t>Long‑term access</w:t>
            </w:r>
          </w:p>
        </w:tc>
        <w:tc>
          <w:tcPr>
            <w:tcW w:w="2246" w:type="dxa"/>
            <w:tcMar/>
            <w:vAlign w:val="center"/>
          </w:tcPr>
          <w:p w:rsidR="533E83B2" w:rsidRDefault="533E83B2" w14:paraId="039C46E0" w14:textId="3AF477C9"/>
        </w:tc>
      </w:tr>
      <w:tr w:rsidR="533E83B2" w:rsidTr="533E83B2" w14:paraId="33A858C7">
        <w:trPr>
          <w:trHeight w:val="300"/>
        </w:trPr>
        <w:tc>
          <w:tcPr>
            <w:tcW w:w="1779" w:type="dxa"/>
            <w:tcMar/>
            <w:vAlign w:val="center"/>
          </w:tcPr>
          <w:p w:rsidR="533E83B2" w:rsidP="533E83B2" w:rsidRDefault="533E83B2" w14:paraId="073259E8" w14:textId="4477D84F">
            <w:pPr>
              <w:bidi w:val="0"/>
              <w:spacing w:before="0" w:beforeAutospacing="off" w:after="0" w:afterAutospacing="off"/>
            </w:pPr>
            <w:r w:rsidR="533E83B2">
              <w:rPr/>
              <w:t>Lateral Movement</w:t>
            </w:r>
          </w:p>
        </w:tc>
        <w:tc>
          <w:tcPr>
            <w:tcW w:w="3419" w:type="dxa"/>
            <w:tcMar/>
            <w:vAlign w:val="center"/>
          </w:tcPr>
          <w:p w:rsidR="533E83B2" w:rsidP="533E83B2" w:rsidRDefault="533E83B2" w14:paraId="3B841E6A" w14:textId="322E917C">
            <w:pPr>
              <w:bidi w:val="0"/>
              <w:spacing w:before="0" w:beforeAutospacing="off" w:after="0" w:afterAutospacing="off"/>
            </w:pPr>
            <w:r w:rsidR="533E83B2">
              <w:rPr/>
              <w:t>Remote Services (SMB)</w:t>
            </w:r>
          </w:p>
        </w:tc>
        <w:tc>
          <w:tcPr>
            <w:tcW w:w="1373" w:type="dxa"/>
            <w:tcMar/>
            <w:vAlign w:val="center"/>
          </w:tcPr>
          <w:p w:rsidR="533E83B2" w:rsidP="533E83B2" w:rsidRDefault="533E83B2" w14:paraId="4B345548" w14:textId="6F8D00BD">
            <w:pPr>
              <w:bidi w:val="0"/>
              <w:spacing w:before="0" w:beforeAutospacing="off" w:after="0" w:afterAutospacing="off"/>
            </w:pPr>
            <w:r w:rsidR="533E83B2">
              <w:rPr/>
              <w:t>T1021.002</w:t>
            </w:r>
          </w:p>
        </w:tc>
        <w:tc>
          <w:tcPr>
            <w:tcW w:w="1699" w:type="dxa"/>
            <w:tcMar/>
            <w:vAlign w:val="center"/>
          </w:tcPr>
          <w:p w:rsidR="533E83B2" w:rsidP="533E83B2" w:rsidRDefault="533E83B2" w14:paraId="76145A25" w14:textId="4EB2DA4A">
            <w:pPr>
              <w:bidi w:val="0"/>
              <w:spacing w:before="0" w:beforeAutospacing="off" w:after="0" w:afterAutospacing="off"/>
            </w:pPr>
            <w:r w:rsidR="533E83B2">
              <w:rPr/>
              <w:t>Domain traversal</w:t>
            </w:r>
          </w:p>
        </w:tc>
        <w:tc>
          <w:tcPr>
            <w:tcW w:w="2246" w:type="dxa"/>
            <w:tcMar/>
            <w:vAlign w:val="center"/>
          </w:tcPr>
          <w:p w:rsidR="533E83B2" w:rsidRDefault="533E83B2" w14:paraId="19FD4757" w14:textId="1E22BDC8"/>
        </w:tc>
      </w:tr>
      <w:tr w:rsidR="533E83B2" w:rsidTr="533E83B2" w14:paraId="34D54B96">
        <w:trPr>
          <w:trHeight w:val="300"/>
        </w:trPr>
        <w:tc>
          <w:tcPr>
            <w:tcW w:w="1779" w:type="dxa"/>
            <w:tcMar/>
            <w:vAlign w:val="center"/>
          </w:tcPr>
          <w:p w:rsidR="533E83B2" w:rsidP="533E83B2" w:rsidRDefault="533E83B2" w14:paraId="5AD010A3" w14:textId="4C4795E8">
            <w:pPr>
              <w:bidi w:val="0"/>
              <w:spacing w:before="0" w:beforeAutospacing="off" w:after="0" w:afterAutospacing="off"/>
            </w:pPr>
            <w:r w:rsidR="533E83B2">
              <w:rPr/>
              <w:t>Exfiltration</w:t>
            </w:r>
          </w:p>
        </w:tc>
        <w:tc>
          <w:tcPr>
            <w:tcW w:w="3419" w:type="dxa"/>
            <w:tcMar/>
            <w:vAlign w:val="center"/>
          </w:tcPr>
          <w:p w:rsidR="533E83B2" w:rsidP="533E83B2" w:rsidRDefault="533E83B2" w14:paraId="44EFC499" w14:textId="1C652099">
            <w:pPr>
              <w:bidi w:val="0"/>
              <w:spacing w:before="0" w:beforeAutospacing="off" w:after="0" w:afterAutospacing="off"/>
            </w:pPr>
            <w:r w:rsidR="533E83B2">
              <w:rPr/>
              <w:t>Exfiltration Over C2 Channel</w:t>
            </w:r>
          </w:p>
        </w:tc>
        <w:tc>
          <w:tcPr>
            <w:tcW w:w="1373" w:type="dxa"/>
            <w:tcMar/>
            <w:vAlign w:val="center"/>
          </w:tcPr>
          <w:p w:rsidR="533E83B2" w:rsidP="533E83B2" w:rsidRDefault="533E83B2" w14:paraId="60101CB5" w14:textId="0FB739F6">
            <w:pPr>
              <w:bidi w:val="0"/>
              <w:spacing w:before="0" w:beforeAutospacing="off" w:after="0" w:afterAutospacing="off"/>
            </w:pPr>
            <w:r w:rsidR="533E83B2">
              <w:rPr/>
              <w:t>T1041</w:t>
            </w:r>
          </w:p>
        </w:tc>
        <w:tc>
          <w:tcPr>
            <w:tcW w:w="1699" w:type="dxa"/>
            <w:tcMar/>
            <w:vAlign w:val="center"/>
          </w:tcPr>
          <w:p w:rsidR="533E83B2" w:rsidP="533E83B2" w:rsidRDefault="533E83B2" w14:paraId="0DB87851" w14:textId="0F0CA51C">
            <w:pPr>
              <w:bidi w:val="0"/>
              <w:spacing w:before="0" w:beforeAutospacing="off" w:after="0" w:afterAutospacing="off"/>
            </w:pPr>
            <w:r w:rsidR="533E83B2">
              <w:rPr/>
              <w:t>Covert data theft</w:t>
            </w:r>
          </w:p>
        </w:tc>
        <w:tc>
          <w:tcPr>
            <w:tcW w:w="2246" w:type="dxa"/>
            <w:tcMar/>
            <w:vAlign w:val="center"/>
          </w:tcPr>
          <w:p w:rsidR="533E83B2" w:rsidRDefault="533E83B2" w14:paraId="527CA897" w14:textId="3DA5C7C2"/>
        </w:tc>
      </w:tr>
    </w:tbl>
    <w:p xmlns:wp14="http://schemas.microsoft.com/office/word/2010/wordml" w:rsidP="533E83B2" wp14:paraId="3FCCE3E0" wp14:textId="2C966460">
      <w:pPr>
        <w:bidi w:val="0"/>
        <w:spacing w:before="240" w:beforeAutospacing="off" w:after="240" w:afterAutospacing="off"/>
      </w:pPr>
      <w:r w:rsidRPr="533E83B2" w:rsidR="1E52920D">
        <w:rPr>
          <w:rFonts w:ascii="Times New Roman" w:hAnsi="Times New Roman" w:eastAsia="Times New Roman" w:cs="Times New Roman"/>
          <w:noProof w:val="0"/>
          <w:sz w:val="24"/>
          <w:szCs w:val="24"/>
          <w:lang w:val="en-US"/>
        </w:rPr>
        <w:t>This mapping ensured traceability between adversary objectives, tactical execution, and the defensive controls evaluated during the engagement.</w:t>
      </w:r>
    </w:p>
    <w:p xmlns:wp14="http://schemas.microsoft.com/office/word/2010/wordml" w:rsidP="533E83B2" wp14:paraId="651948F8" wp14:textId="56056F31">
      <w:pPr>
        <w:pStyle w:val="Heading3"/>
        <w:bidi w:val="0"/>
        <w:spacing w:before="281" w:beforeAutospacing="off" w:after="281" w:afterAutospacing="off"/>
        <w:rPr>
          <w:rFonts w:ascii="Times New Roman" w:hAnsi="Times New Roman" w:eastAsia="Times New Roman" w:cs="Times New Roman"/>
          <w:b w:val="1"/>
          <w:bCs w:val="1"/>
          <w:noProof w:val="0"/>
          <w:sz w:val="28"/>
          <w:szCs w:val="28"/>
          <w:lang w:val="en-US"/>
        </w:rPr>
      </w:pPr>
      <w:bookmarkStart w:name="_Toc910320214" w:id="941903211"/>
      <w:r w:rsidRPr="533E83B2" w:rsidR="1E52920D">
        <w:rPr>
          <w:rFonts w:ascii="Times New Roman" w:hAnsi="Times New Roman" w:eastAsia="Times New Roman" w:cs="Times New Roman"/>
          <w:b w:val="1"/>
          <w:bCs w:val="1"/>
          <w:noProof w:val="0"/>
          <w:sz w:val="28"/>
          <w:szCs w:val="28"/>
          <w:lang w:val="en-US"/>
        </w:rPr>
        <w:t>3.3 Environment Design: Docker‑Based Hybrid Architecture</w:t>
      </w:r>
      <w:bookmarkEnd w:id="941903211"/>
    </w:p>
    <w:p xmlns:wp14="http://schemas.microsoft.com/office/word/2010/wordml" w:rsidP="533E83B2" wp14:paraId="1BF6B278" wp14:textId="425349D3">
      <w:pPr>
        <w:bidi w:val="0"/>
        <w:spacing w:before="240" w:beforeAutospacing="off" w:after="240" w:afterAutospacing="off"/>
      </w:pPr>
      <w:r w:rsidRPr="533E83B2" w:rsidR="1E52920D">
        <w:rPr>
          <w:rFonts w:ascii="Times New Roman" w:hAnsi="Times New Roman" w:eastAsia="Times New Roman" w:cs="Times New Roman"/>
          <w:noProof w:val="0"/>
          <w:sz w:val="24"/>
          <w:szCs w:val="24"/>
          <w:lang w:val="en-US"/>
        </w:rPr>
        <w:t>The lab environment was architected to emulate a contemporary pharmaceutical research infrastructure while remaining feasible within an academic setting. Three tightly integrated components formed the target surface.</w:t>
      </w:r>
    </w:p>
    <w:p xmlns:wp14="http://schemas.microsoft.com/office/word/2010/wordml" w:rsidP="533E83B2" wp14:paraId="1851DE2B" wp14:textId="613CFC62">
      <w:pPr>
        <w:bidi w:val="0"/>
        <w:spacing w:before="240" w:beforeAutospacing="off" w:after="240" w:afterAutospacing="off"/>
      </w:pPr>
      <w:r w:rsidRPr="533E83B2" w:rsidR="1E52920D">
        <w:rPr>
          <w:rFonts w:ascii="Times New Roman" w:hAnsi="Times New Roman" w:eastAsia="Times New Roman" w:cs="Times New Roman"/>
          <w:noProof w:val="0"/>
          <w:sz w:val="24"/>
          <w:szCs w:val="24"/>
          <w:lang w:val="en-US"/>
        </w:rPr>
        <w:t xml:space="preserve">First, the </w:t>
      </w:r>
      <w:r w:rsidRPr="533E83B2" w:rsidR="1E52920D">
        <w:rPr>
          <w:rFonts w:ascii="Times New Roman" w:hAnsi="Times New Roman" w:eastAsia="Times New Roman" w:cs="Times New Roman"/>
          <w:b w:val="1"/>
          <w:bCs w:val="1"/>
          <w:noProof w:val="0"/>
          <w:sz w:val="24"/>
          <w:szCs w:val="24"/>
          <w:lang w:val="en-US"/>
        </w:rPr>
        <w:t>on‑premises R&amp;D network</w:t>
      </w:r>
      <w:r w:rsidRPr="533E83B2" w:rsidR="1E52920D">
        <w:rPr>
          <w:rFonts w:ascii="Times New Roman" w:hAnsi="Times New Roman" w:eastAsia="Times New Roman" w:cs="Times New Roman"/>
          <w:noProof w:val="0"/>
          <w:sz w:val="24"/>
          <w:szCs w:val="24"/>
          <w:lang w:val="en-US"/>
        </w:rPr>
        <w:t xml:space="preserve"> comprised a Windows Active Directory domain, user workstations, and file servers containing synthetic intellectual property. This environment represented the identity backbone of the organisation and served as the primary target for lateral movement and privilege escalation.</w:t>
      </w:r>
    </w:p>
    <w:p xmlns:wp14="http://schemas.microsoft.com/office/word/2010/wordml" w:rsidP="533E83B2" wp14:paraId="0F26DBFA" wp14:textId="15D4652B">
      <w:pPr>
        <w:bidi w:val="0"/>
        <w:spacing w:before="240" w:beforeAutospacing="off" w:after="240" w:afterAutospacing="off"/>
      </w:pPr>
      <w:r w:rsidRPr="533E83B2" w:rsidR="1E52920D">
        <w:rPr>
          <w:rFonts w:ascii="Times New Roman" w:hAnsi="Times New Roman" w:eastAsia="Times New Roman" w:cs="Times New Roman"/>
          <w:noProof w:val="0"/>
          <w:sz w:val="24"/>
          <w:szCs w:val="24"/>
          <w:lang w:val="en-US"/>
        </w:rPr>
        <w:t xml:space="preserve">Second, the </w:t>
      </w:r>
      <w:r w:rsidRPr="533E83B2" w:rsidR="1E52920D">
        <w:rPr>
          <w:rFonts w:ascii="Times New Roman" w:hAnsi="Times New Roman" w:eastAsia="Times New Roman" w:cs="Times New Roman"/>
          <w:b w:val="1"/>
          <w:bCs w:val="1"/>
          <w:noProof w:val="0"/>
          <w:sz w:val="24"/>
          <w:szCs w:val="24"/>
          <w:lang w:val="en-US"/>
        </w:rPr>
        <w:t>containerized clinical trial portal</w:t>
      </w:r>
      <w:r w:rsidRPr="533E83B2" w:rsidR="1E52920D">
        <w:rPr>
          <w:rFonts w:ascii="Times New Roman" w:hAnsi="Times New Roman" w:eastAsia="Times New Roman" w:cs="Times New Roman"/>
          <w:noProof w:val="0"/>
          <w:sz w:val="24"/>
          <w:szCs w:val="24"/>
          <w:lang w:val="en-US"/>
        </w:rPr>
        <w:t xml:space="preserve"> was implemented on an Ubuntu Linux host using Docker. The portal consisted of a web application container and a backend database container exposed over HTTPS. Environment variables and mounted volumes were intentionally used to simulate common cloud‑native patterns for secret storage and persistent data, reflecting real‑world misconfiguration risks observed in containerized research platforms.</w:t>
      </w:r>
    </w:p>
    <w:p xmlns:wp14="http://schemas.microsoft.com/office/word/2010/wordml" w:rsidP="533E83B2" wp14:paraId="235399E5" wp14:textId="6C28D265">
      <w:pPr>
        <w:bidi w:val="0"/>
        <w:spacing w:before="240" w:beforeAutospacing="off" w:after="240" w:afterAutospacing="off"/>
      </w:pPr>
      <w:r w:rsidRPr="533E83B2" w:rsidR="1E52920D">
        <w:rPr>
          <w:rFonts w:ascii="Times New Roman" w:hAnsi="Times New Roman" w:eastAsia="Times New Roman" w:cs="Times New Roman"/>
          <w:noProof w:val="0"/>
          <w:sz w:val="24"/>
          <w:szCs w:val="24"/>
          <w:lang w:val="en-US"/>
        </w:rPr>
        <w:t xml:space="preserve">Third, the </w:t>
      </w:r>
      <w:r w:rsidRPr="533E83B2" w:rsidR="1E52920D">
        <w:rPr>
          <w:rFonts w:ascii="Times New Roman" w:hAnsi="Times New Roman" w:eastAsia="Times New Roman" w:cs="Times New Roman"/>
          <w:b w:val="1"/>
          <w:bCs w:val="1"/>
          <w:noProof w:val="0"/>
          <w:sz w:val="24"/>
          <w:szCs w:val="24"/>
          <w:lang w:val="en-US"/>
        </w:rPr>
        <w:t>CI/CD pipeline</w:t>
      </w:r>
      <w:r w:rsidRPr="533E83B2" w:rsidR="1E52920D">
        <w:rPr>
          <w:rFonts w:ascii="Times New Roman" w:hAnsi="Times New Roman" w:eastAsia="Times New Roman" w:cs="Times New Roman"/>
          <w:noProof w:val="0"/>
          <w:sz w:val="24"/>
          <w:szCs w:val="24"/>
          <w:lang w:val="en-US"/>
        </w:rPr>
        <w:t xml:space="preserve"> leveraged GitHub Actions to automate Docker image builds and deployments. This component introduced a DevOps attack surface, enabling assessment of how application delivery mechanisms can be abused to achieve persistence or credential access.</w:t>
      </w:r>
    </w:p>
    <w:p xmlns:wp14="http://schemas.microsoft.com/office/word/2010/wordml" w:rsidP="533E83B2" wp14:paraId="6D162F12" wp14:textId="02C0BA22">
      <w:pPr>
        <w:bidi w:val="0"/>
        <w:spacing w:before="240" w:beforeAutospacing="off" w:after="240" w:afterAutospacing="off"/>
      </w:pPr>
      <w:r w:rsidRPr="533E83B2" w:rsidR="1E52920D">
        <w:rPr>
          <w:rFonts w:ascii="Times New Roman" w:hAnsi="Times New Roman" w:eastAsia="Times New Roman" w:cs="Times New Roman"/>
          <w:noProof w:val="0"/>
          <w:sz w:val="24"/>
          <w:szCs w:val="24"/>
          <w:lang w:val="en-US"/>
        </w:rPr>
        <w:t>Collectively, this architecture mirrors the convergence of identity, containerization, and DevOps that defines modern pharmaceutical research environments.</w:t>
      </w:r>
    </w:p>
    <w:p xmlns:wp14="http://schemas.microsoft.com/office/word/2010/wordml" w:rsidP="533E83B2" wp14:paraId="19D09610" wp14:textId="5DD10C2C">
      <w:pPr>
        <w:pStyle w:val="Heading3"/>
        <w:bidi w:val="0"/>
        <w:spacing w:before="281" w:beforeAutospacing="off" w:after="281" w:afterAutospacing="off"/>
        <w:rPr>
          <w:rFonts w:ascii="Times New Roman" w:hAnsi="Times New Roman" w:eastAsia="Times New Roman" w:cs="Times New Roman"/>
          <w:b w:val="1"/>
          <w:bCs w:val="1"/>
          <w:noProof w:val="0"/>
          <w:sz w:val="28"/>
          <w:szCs w:val="28"/>
          <w:lang w:val="en-US"/>
        </w:rPr>
      </w:pPr>
      <w:bookmarkStart w:name="_Toc1566816678" w:id="1183495240"/>
      <w:r w:rsidRPr="533E83B2" w:rsidR="1E52920D">
        <w:rPr>
          <w:rFonts w:ascii="Times New Roman" w:hAnsi="Times New Roman" w:eastAsia="Times New Roman" w:cs="Times New Roman"/>
          <w:b w:val="1"/>
          <w:bCs w:val="1"/>
          <w:noProof w:val="0"/>
          <w:sz w:val="28"/>
          <w:szCs w:val="28"/>
          <w:lang w:val="en-US"/>
        </w:rPr>
        <w:t>3.4 Attack Narrative (Phase‑by‑Phase)</w:t>
      </w:r>
      <w:bookmarkEnd w:id="1183495240"/>
    </w:p>
    <w:p xmlns:wp14="http://schemas.microsoft.com/office/word/2010/wordml" w:rsidP="533E83B2" wp14:paraId="0D537668" wp14:textId="4EE5E51F">
      <w:pPr>
        <w:bidi w:val="0"/>
        <w:spacing w:before="240" w:beforeAutospacing="off" w:after="240" w:afterAutospacing="off"/>
      </w:pPr>
      <w:r w:rsidRPr="533E83B2" w:rsidR="1E52920D">
        <w:rPr>
          <w:rFonts w:ascii="Times New Roman" w:hAnsi="Times New Roman" w:eastAsia="Times New Roman" w:cs="Times New Roman"/>
          <w:noProof w:val="0"/>
          <w:sz w:val="24"/>
          <w:szCs w:val="24"/>
          <w:lang w:val="en-US"/>
        </w:rPr>
        <w:t>The simulated campaign unfolded through a sequence of phases consistent with advanced persistent threat operations.</w:t>
      </w:r>
    </w:p>
    <w:p xmlns:wp14="http://schemas.microsoft.com/office/word/2010/wordml" w:rsidP="533E83B2" wp14:paraId="334080CC" wp14:textId="531492D2">
      <w:pPr>
        <w:bidi w:val="0"/>
        <w:spacing w:before="240" w:beforeAutospacing="off" w:after="240" w:afterAutospacing="off"/>
      </w:pPr>
      <w:r w:rsidRPr="533E83B2" w:rsidR="1E52920D">
        <w:rPr>
          <w:rFonts w:ascii="Times New Roman" w:hAnsi="Times New Roman" w:eastAsia="Times New Roman" w:cs="Times New Roman"/>
          <w:noProof w:val="0"/>
          <w:sz w:val="24"/>
          <w:szCs w:val="24"/>
          <w:lang w:val="en-US"/>
        </w:rPr>
        <w:t xml:space="preserve">During the </w:t>
      </w:r>
      <w:r w:rsidRPr="533E83B2" w:rsidR="1E52920D">
        <w:rPr>
          <w:rFonts w:ascii="Times New Roman" w:hAnsi="Times New Roman" w:eastAsia="Times New Roman" w:cs="Times New Roman"/>
          <w:b w:val="1"/>
          <w:bCs w:val="1"/>
          <w:noProof w:val="0"/>
          <w:sz w:val="24"/>
          <w:szCs w:val="24"/>
          <w:lang w:val="en-US"/>
        </w:rPr>
        <w:t>reconnaissance phase</w:t>
      </w:r>
      <w:r w:rsidRPr="533E83B2" w:rsidR="1E52920D">
        <w:rPr>
          <w:rFonts w:ascii="Times New Roman" w:hAnsi="Times New Roman" w:eastAsia="Times New Roman" w:cs="Times New Roman"/>
          <w:noProof w:val="0"/>
          <w:sz w:val="24"/>
          <w:szCs w:val="24"/>
          <w:lang w:val="en-US"/>
        </w:rPr>
        <w:t>, the adversary enumerated the publicly exposed clinical portal and conducted passive intelligence gathering on developer workflows and repository metadata. This activity enabled identification of potential authentication weaknesses and deployment patterns.</w:t>
      </w:r>
    </w:p>
    <w:p xmlns:wp14="http://schemas.microsoft.com/office/word/2010/wordml" w:rsidP="533E83B2" wp14:paraId="794A685D" wp14:textId="01722DC5">
      <w:pPr>
        <w:bidi w:val="0"/>
        <w:spacing w:before="240" w:beforeAutospacing="off" w:after="240" w:afterAutospacing="off"/>
      </w:pPr>
      <w:r w:rsidRPr="533E83B2" w:rsidR="1E52920D">
        <w:rPr>
          <w:rFonts w:ascii="Times New Roman" w:hAnsi="Times New Roman" w:eastAsia="Times New Roman" w:cs="Times New Roman"/>
          <w:noProof w:val="0"/>
          <w:sz w:val="24"/>
          <w:szCs w:val="24"/>
          <w:lang w:val="en-US"/>
        </w:rPr>
        <w:t xml:space="preserve">The </w:t>
      </w:r>
      <w:r w:rsidRPr="533E83B2" w:rsidR="1E52920D">
        <w:rPr>
          <w:rFonts w:ascii="Times New Roman" w:hAnsi="Times New Roman" w:eastAsia="Times New Roman" w:cs="Times New Roman"/>
          <w:b w:val="1"/>
          <w:bCs w:val="1"/>
          <w:noProof w:val="0"/>
          <w:sz w:val="24"/>
          <w:szCs w:val="24"/>
          <w:lang w:val="en-US"/>
        </w:rPr>
        <w:t>initial access phase</w:t>
      </w:r>
      <w:r w:rsidRPr="533E83B2" w:rsidR="1E52920D">
        <w:rPr>
          <w:rFonts w:ascii="Times New Roman" w:hAnsi="Times New Roman" w:eastAsia="Times New Roman" w:cs="Times New Roman"/>
          <w:noProof w:val="0"/>
          <w:sz w:val="24"/>
          <w:szCs w:val="24"/>
          <w:lang w:val="en-US"/>
        </w:rPr>
        <w:t xml:space="preserve"> involved exploitation of weak authentication controls on the containerized portal, resulting in remote code execution within the application container. This foothold provided access to runtime context, configuration files, and mounted data volumes.</w:t>
      </w:r>
    </w:p>
    <w:p xmlns:wp14="http://schemas.microsoft.com/office/word/2010/wordml" w:rsidP="533E83B2" wp14:paraId="67F7CFD0" wp14:textId="49A2DF7A">
      <w:pPr>
        <w:bidi w:val="0"/>
        <w:spacing w:before="240" w:beforeAutospacing="off" w:after="240" w:afterAutospacing="off"/>
      </w:pPr>
      <w:r w:rsidRPr="533E83B2" w:rsidR="1E52920D">
        <w:rPr>
          <w:rFonts w:ascii="Times New Roman" w:hAnsi="Times New Roman" w:eastAsia="Times New Roman" w:cs="Times New Roman"/>
          <w:noProof w:val="0"/>
          <w:sz w:val="24"/>
          <w:szCs w:val="24"/>
          <w:lang w:val="en-US"/>
        </w:rPr>
        <w:t xml:space="preserve">In the </w:t>
      </w:r>
      <w:r w:rsidRPr="533E83B2" w:rsidR="1E52920D">
        <w:rPr>
          <w:rFonts w:ascii="Times New Roman" w:hAnsi="Times New Roman" w:eastAsia="Times New Roman" w:cs="Times New Roman"/>
          <w:b w:val="1"/>
          <w:bCs w:val="1"/>
          <w:noProof w:val="0"/>
          <w:sz w:val="24"/>
          <w:szCs w:val="24"/>
          <w:lang w:val="en-US"/>
        </w:rPr>
        <w:t>execution and persistence phase</w:t>
      </w:r>
      <w:r w:rsidRPr="533E83B2" w:rsidR="1E52920D">
        <w:rPr>
          <w:rFonts w:ascii="Times New Roman" w:hAnsi="Times New Roman" w:eastAsia="Times New Roman" w:cs="Times New Roman"/>
          <w:noProof w:val="0"/>
          <w:sz w:val="24"/>
          <w:szCs w:val="24"/>
          <w:lang w:val="en-US"/>
        </w:rPr>
        <w:t>, a lightweight command‑and‑control beacon was deployed using native scripting utilities. Persistence was established by modifying container startup behaviour, ensuring continued access across service restarts without introducing overtly malicious binaries.</w:t>
      </w:r>
    </w:p>
    <w:p xmlns:wp14="http://schemas.microsoft.com/office/word/2010/wordml" w:rsidP="533E83B2" wp14:paraId="66C473D6" wp14:textId="70550A32">
      <w:pPr>
        <w:bidi w:val="0"/>
        <w:spacing w:before="240" w:beforeAutospacing="off" w:after="240" w:afterAutospacing="off"/>
      </w:pPr>
      <w:r w:rsidRPr="533E83B2" w:rsidR="1E52920D">
        <w:rPr>
          <w:rFonts w:ascii="Times New Roman" w:hAnsi="Times New Roman" w:eastAsia="Times New Roman" w:cs="Times New Roman"/>
          <w:noProof w:val="0"/>
          <w:sz w:val="24"/>
          <w:szCs w:val="24"/>
          <w:lang w:val="en-US"/>
        </w:rPr>
        <w:t xml:space="preserve">Subsequently, </w:t>
      </w:r>
      <w:r w:rsidRPr="533E83B2" w:rsidR="1E52920D">
        <w:rPr>
          <w:rFonts w:ascii="Times New Roman" w:hAnsi="Times New Roman" w:eastAsia="Times New Roman" w:cs="Times New Roman"/>
          <w:b w:val="1"/>
          <w:bCs w:val="1"/>
          <w:noProof w:val="0"/>
          <w:sz w:val="24"/>
          <w:szCs w:val="24"/>
          <w:lang w:val="en-US"/>
        </w:rPr>
        <w:t>privilege escalation and lateral movement</w:t>
      </w:r>
      <w:r w:rsidRPr="533E83B2" w:rsidR="1E52920D">
        <w:rPr>
          <w:rFonts w:ascii="Times New Roman" w:hAnsi="Times New Roman" w:eastAsia="Times New Roman" w:cs="Times New Roman"/>
          <w:noProof w:val="0"/>
          <w:sz w:val="24"/>
          <w:szCs w:val="24"/>
          <w:lang w:val="en-US"/>
        </w:rPr>
        <w:t xml:space="preserve"> were achieved by abusing misconfigured Docker permissions that allowed interaction with the host system. Credentials harvested from the host enabled movement into the Active Directory environment, where additional privileges were obtained through credential reuse.</w:t>
      </w:r>
    </w:p>
    <w:p xmlns:wp14="http://schemas.microsoft.com/office/word/2010/wordml" w:rsidP="533E83B2" wp14:paraId="75641B40" wp14:textId="597DEC7B">
      <w:pPr>
        <w:bidi w:val="0"/>
        <w:spacing w:before="240" w:beforeAutospacing="off" w:after="240" w:afterAutospacing="off"/>
      </w:pPr>
      <w:r w:rsidRPr="533E83B2" w:rsidR="1E52920D">
        <w:rPr>
          <w:rFonts w:ascii="Times New Roman" w:hAnsi="Times New Roman" w:eastAsia="Times New Roman" w:cs="Times New Roman"/>
          <w:noProof w:val="0"/>
          <w:sz w:val="24"/>
          <w:szCs w:val="24"/>
          <w:lang w:val="en-US"/>
        </w:rPr>
        <w:t xml:space="preserve">Finally, during the </w:t>
      </w:r>
      <w:r w:rsidRPr="533E83B2" w:rsidR="1E52920D">
        <w:rPr>
          <w:rFonts w:ascii="Times New Roman" w:hAnsi="Times New Roman" w:eastAsia="Times New Roman" w:cs="Times New Roman"/>
          <w:b w:val="1"/>
          <w:bCs w:val="1"/>
          <w:noProof w:val="0"/>
          <w:sz w:val="24"/>
          <w:szCs w:val="24"/>
          <w:lang w:val="en-US"/>
        </w:rPr>
        <w:t>exfiltration phase</w:t>
      </w:r>
      <w:r w:rsidRPr="533E83B2" w:rsidR="1E52920D">
        <w:rPr>
          <w:rFonts w:ascii="Times New Roman" w:hAnsi="Times New Roman" w:eastAsia="Times New Roman" w:cs="Times New Roman"/>
          <w:noProof w:val="0"/>
          <w:sz w:val="24"/>
          <w:szCs w:val="24"/>
          <w:lang w:val="en-US"/>
        </w:rPr>
        <w:t>, targeted research data was staged from container volumes and internal file shares before being exfiltrated over encrypted HTTPS traffic. The exfiltration channel was deliberately designed to blend with legitimate application telemetry, minimising the likelihood of detection.</w:t>
      </w:r>
    </w:p>
    <w:p xmlns:wp14="http://schemas.microsoft.com/office/word/2010/wordml" w:rsidP="533E83B2" wp14:paraId="5636CFB0" wp14:textId="3DFE3134">
      <w:pPr>
        <w:pStyle w:val="Heading3"/>
        <w:bidi w:val="0"/>
        <w:spacing w:before="281" w:beforeAutospacing="off" w:after="281" w:afterAutospacing="off"/>
        <w:rPr>
          <w:rFonts w:ascii="Times New Roman" w:hAnsi="Times New Roman" w:eastAsia="Times New Roman" w:cs="Times New Roman"/>
          <w:b w:val="1"/>
          <w:bCs w:val="1"/>
          <w:noProof w:val="0"/>
          <w:sz w:val="28"/>
          <w:szCs w:val="28"/>
          <w:lang w:val="en-US"/>
        </w:rPr>
      </w:pPr>
      <w:bookmarkStart w:name="_Toc129356857" w:id="1579902014"/>
      <w:r w:rsidRPr="533E83B2" w:rsidR="1E52920D">
        <w:rPr>
          <w:rFonts w:ascii="Times New Roman" w:hAnsi="Times New Roman" w:eastAsia="Times New Roman" w:cs="Times New Roman"/>
          <w:b w:val="1"/>
          <w:bCs w:val="1"/>
          <w:noProof w:val="0"/>
          <w:sz w:val="28"/>
          <w:szCs w:val="28"/>
          <w:lang w:val="en-US"/>
        </w:rPr>
        <w:t>3.5 Detection Gap Analysis</w:t>
      </w:r>
      <w:bookmarkEnd w:id="1579902014"/>
    </w:p>
    <w:p xmlns:wp14="http://schemas.microsoft.com/office/word/2010/wordml" w:rsidP="533E83B2" wp14:paraId="46AAE9E9" wp14:textId="20348F6B">
      <w:pPr>
        <w:bidi w:val="0"/>
        <w:spacing w:before="240" w:beforeAutospacing="off" w:after="240" w:afterAutospacing="off"/>
      </w:pPr>
      <w:r w:rsidRPr="533E83B2" w:rsidR="1E52920D">
        <w:rPr>
          <w:rFonts w:ascii="Times New Roman" w:hAnsi="Times New Roman" w:eastAsia="Times New Roman" w:cs="Times New Roman"/>
          <w:noProof w:val="0"/>
          <w:sz w:val="24"/>
          <w:szCs w:val="24"/>
          <w:lang w:val="en-US"/>
        </w:rPr>
        <w:t>Analysis of the engagement revealed that detection failures were not attributable to the absence of security tooling, but rather to insufficient integration and contextual awareness across control layers.</w:t>
      </w:r>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2006"/>
        <w:gridCol w:w="6851"/>
      </w:tblGrid>
      <w:tr w:rsidR="533E83B2" w:rsidTr="533E83B2" w14:paraId="7F4C6DCE">
        <w:trPr>
          <w:trHeight w:val="300"/>
        </w:trPr>
        <w:tc>
          <w:tcPr>
            <w:tcW w:w="2006" w:type="dxa"/>
            <w:tcMar/>
            <w:vAlign w:val="center"/>
          </w:tcPr>
          <w:p w:rsidR="533E83B2" w:rsidP="533E83B2" w:rsidRDefault="533E83B2" w14:paraId="6727282C" w14:textId="5648F860">
            <w:pPr>
              <w:bidi w:val="0"/>
              <w:spacing w:before="0" w:beforeAutospacing="off" w:after="0" w:afterAutospacing="off"/>
              <w:jc w:val="center"/>
            </w:pPr>
            <w:r w:rsidRPr="533E83B2" w:rsidR="533E83B2">
              <w:rPr>
                <w:b w:val="1"/>
                <w:bCs w:val="1"/>
              </w:rPr>
              <w:t>Control Area</w:t>
            </w:r>
          </w:p>
        </w:tc>
        <w:tc>
          <w:tcPr>
            <w:tcW w:w="6851" w:type="dxa"/>
            <w:tcMar/>
            <w:vAlign w:val="center"/>
          </w:tcPr>
          <w:p w:rsidR="533E83B2" w:rsidP="533E83B2" w:rsidRDefault="533E83B2" w14:paraId="74D7024B" w14:textId="099CEEE3">
            <w:pPr>
              <w:bidi w:val="0"/>
              <w:spacing w:before="0" w:beforeAutospacing="off" w:after="0" w:afterAutospacing="off"/>
              <w:jc w:val="center"/>
            </w:pPr>
            <w:r w:rsidRPr="533E83B2" w:rsidR="533E83B2">
              <w:rPr>
                <w:b w:val="1"/>
                <w:bCs w:val="1"/>
              </w:rPr>
              <w:t>Observed Gap</w:t>
            </w:r>
          </w:p>
        </w:tc>
      </w:tr>
      <w:tr w:rsidR="533E83B2" w:rsidTr="533E83B2" w14:paraId="1AD7C88C">
        <w:trPr>
          <w:trHeight w:val="300"/>
        </w:trPr>
        <w:tc>
          <w:tcPr>
            <w:tcW w:w="2006" w:type="dxa"/>
            <w:tcMar/>
            <w:vAlign w:val="center"/>
          </w:tcPr>
          <w:p w:rsidR="533E83B2" w:rsidP="533E83B2" w:rsidRDefault="533E83B2" w14:paraId="4547110B" w14:textId="3C8AFCB8">
            <w:pPr>
              <w:bidi w:val="0"/>
              <w:spacing w:before="0" w:beforeAutospacing="off" w:after="0" w:afterAutospacing="off"/>
            </w:pPr>
            <w:r w:rsidR="533E83B2">
              <w:rPr/>
              <w:t>Application Security</w:t>
            </w:r>
          </w:p>
        </w:tc>
        <w:tc>
          <w:tcPr>
            <w:tcW w:w="6851" w:type="dxa"/>
            <w:tcMar/>
            <w:vAlign w:val="center"/>
          </w:tcPr>
          <w:p w:rsidR="533E83B2" w:rsidP="533E83B2" w:rsidRDefault="533E83B2" w14:paraId="63202A22" w14:textId="18C87DF0">
            <w:pPr>
              <w:bidi w:val="0"/>
              <w:spacing w:before="0" w:beforeAutospacing="off" w:after="0" w:afterAutospacing="off"/>
            </w:pPr>
            <w:r w:rsidR="533E83B2">
              <w:rPr/>
              <w:t>Absence of web application firewalls or behavioural anomaly detection</w:t>
            </w:r>
          </w:p>
        </w:tc>
      </w:tr>
      <w:tr w:rsidR="533E83B2" w:rsidTr="533E83B2" w14:paraId="3E90B9B6">
        <w:trPr>
          <w:trHeight w:val="300"/>
        </w:trPr>
        <w:tc>
          <w:tcPr>
            <w:tcW w:w="2006" w:type="dxa"/>
            <w:tcMar/>
            <w:vAlign w:val="center"/>
          </w:tcPr>
          <w:p w:rsidR="533E83B2" w:rsidP="533E83B2" w:rsidRDefault="533E83B2" w14:paraId="5DD838BB" w14:textId="3F827945">
            <w:pPr>
              <w:bidi w:val="0"/>
              <w:spacing w:before="0" w:beforeAutospacing="off" w:after="0" w:afterAutospacing="off"/>
            </w:pPr>
            <w:r w:rsidR="533E83B2">
              <w:rPr/>
              <w:t>Container Security</w:t>
            </w:r>
          </w:p>
        </w:tc>
        <w:tc>
          <w:tcPr>
            <w:tcW w:w="6851" w:type="dxa"/>
            <w:tcMar/>
            <w:vAlign w:val="center"/>
          </w:tcPr>
          <w:p w:rsidR="533E83B2" w:rsidP="533E83B2" w:rsidRDefault="533E83B2" w14:paraId="0D3E57BC" w14:textId="61E6473F">
            <w:pPr>
              <w:bidi w:val="0"/>
              <w:spacing w:before="0" w:beforeAutospacing="off" w:after="0" w:afterAutospacing="off"/>
            </w:pPr>
            <w:r w:rsidR="533E83B2">
              <w:rPr/>
              <w:t>No runtime visibility into container processes</w:t>
            </w:r>
          </w:p>
        </w:tc>
      </w:tr>
      <w:tr w:rsidR="533E83B2" w:rsidTr="533E83B2" w14:paraId="46083BC5">
        <w:trPr>
          <w:trHeight w:val="300"/>
        </w:trPr>
        <w:tc>
          <w:tcPr>
            <w:tcW w:w="2006" w:type="dxa"/>
            <w:tcMar/>
            <w:vAlign w:val="center"/>
          </w:tcPr>
          <w:p w:rsidR="533E83B2" w:rsidP="533E83B2" w:rsidRDefault="533E83B2" w14:paraId="59727478" w14:textId="67CC0AD0">
            <w:pPr>
              <w:bidi w:val="0"/>
              <w:spacing w:before="0" w:beforeAutospacing="off" w:after="0" w:afterAutospacing="off"/>
            </w:pPr>
            <w:r w:rsidR="533E83B2">
              <w:rPr/>
              <w:t>Secrets Management</w:t>
            </w:r>
          </w:p>
        </w:tc>
        <w:tc>
          <w:tcPr>
            <w:tcW w:w="6851" w:type="dxa"/>
            <w:tcMar/>
            <w:vAlign w:val="center"/>
          </w:tcPr>
          <w:p w:rsidR="533E83B2" w:rsidP="533E83B2" w:rsidRDefault="533E83B2" w14:paraId="01535092" w14:textId="4F9BE8DA">
            <w:pPr>
              <w:bidi w:val="0"/>
              <w:spacing w:before="0" w:beforeAutospacing="off" w:after="0" w:afterAutospacing="off"/>
            </w:pPr>
            <w:r w:rsidR="533E83B2">
              <w:rPr/>
              <w:t>Plaintext credentials exposed via environment variables</w:t>
            </w:r>
          </w:p>
        </w:tc>
      </w:tr>
      <w:tr w:rsidR="533E83B2" w:rsidTr="533E83B2" w14:paraId="4F30C46F">
        <w:trPr>
          <w:trHeight w:val="300"/>
        </w:trPr>
        <w:tc>
          <w:tcPr>
            <w:tcW w:w="2006" w:type="dxa"/>
            <w:tcMar/>
            <w:vAlign w:val="center"/>
          </w:tcPr>
          <w:p w:rsidR="533E83B2" w:rsidP="533E83B2" w:rsidRDefault="533E83B2" w14:paraId="16EB9324" w14:textId="678AD50D">
            <w:pPr>
              <w:bidi w:val="0"/>
              <w:spacing w:before="0" w:beforeAutospacing="off" w:after="0" w:afterAutospacing="off"/>
            </w:pPr>
            <w:r w:rsidR="533E83B2">
              <w:rPr/>
              <w:t>Network Monitoring</w:t>
            </w:r>
          </w:p>
        </w:tc>
        <w:tc>
          <w:tcPr>
            <w:tcW w:w="6851" w:type="dxa"/>
            <w:tcMar/>
            <w:vAlign w:val="center"/>
          </w:tcPr>
          <w:p w:rsidR="533E83B2" w:rsidP="533E83B2" w:rsidRDefault="533E83B2" w14:paraId="775B1E96" w14:textId="14A0437F">
            <w:pPr>
              <w:bidi w:val="0"/>
              <w:spacing w:before="0" w:beforeAutospacing="off" w:after="0" w:afterAutospacing="off"/>
            </w:pPr>
            <w:r w:rsidR="533E83B2">
              <w:rPr/>
              <w:t>Limited east–west traffic inspection</w:t>
            </w:r>
          </w:p>
        </w:tc>
      </w:tr>
      <w:tr w:rsidR="533E83B2" w:rsidTr="533E83B2" w14:paraId="18EDE824">
        <w:trPr>
          <w:trHeight w:val="300"/>
        </w:trPr>
        <w:tc>
          <w:tcPr>
            <w:tcW w:w="2006" w:type="dxa"/>
            <w:tcMar/>
            <w:vAlign w:val="center"/>
          </w:tcPr>
          <w:p w:rsidR="533E83B2" w:rsidP="533E83B2" w:rsidRDefault="533E83B2" w14:paraId="7D0983E2" w14:textId="429F4AD9">
            <w:pPr>
              <w:bidi w:val="0"/>
              <w:spacing w:before="0" w:beforeAutospacing="off" w:after="0" w:afterAutospacing="off"/>
            </w:pPr>
            <w:r w:rsidR="533E83B2">
              <w:rPr/>
              <w:t>SIEM Correlation</w:t>
            </w:r>
          </w:p>
        </w:tc>
        <w:tc>
          <w:tcPr>
            <w:tcW w:w="6851" w:type="dxa"/>
            <w:tcMar/>
            <w:vAlign w:val="center"/>
          </w:tcPr>
          <w:p w:rsidR="533E83B2" w:rsidP="533E83B2" w:rsidRDefault="533E83B2" w14:paraId="45661536" w14:textId="184B1CE1">
            <w:pPr>
              <w:bidi w:val="0"/>
              <w:spacing w:before="0" w:beforeAutospacing="off" w:after="0" w:afterAutospacing="off"/>
            </w:pPr>
            <w:r w:rsidR="533E83B2">
              <w:rPr/>
              <w:t>Lack of cross‑domain alert correlation</w:t>
            </w:r>
          </w:p>
        </w:tc>
      </w:tr>
    </w:tbl>
    <w:p xmlns:wp14="http://schemas.microsoft.com/office/word/2010/wordml" w:rsidP="533E83B2" wp14:paraId="09591250" wp14:textId="0EA9344B">
      <w:pPr>
        <w:bidi w:val="0"/>
        <w:spacing w:before="240" w:beforeAutospacing="off" w:after="240" w:afterAutospacing="off"/>
      </w:pPr>
      <w:r w:rsidRPr="533E83B2" w:rsidR="1E52920D">
        <w:rPr>
          <w:rFonts w:ascii="Times New Roman" w:hAnsi="Times New Roman" w:eastAsia="Times New Roman" w:cs="Times New Roman"/>
          <w:noProof w:val="0"/>
          <w:sz w:val="24"/>
          <w:szCs w:val="24"/>
          <w:lang w:val="en-US"/>
        </w:rPr>
        <w:t>These gaps collectively enabled a low‑noise adversary to operate across application, container, and identity boundaries without generating actionable alerts.</w:t>
      </w:r>
    </w:p>
    <w:p xmlns:wp14="http://schemas.microsoft.com/office/word/2010/wordml" w:rsidP="533E83B2" wp14:paraId="23AE207F" wp14:textId="3E008F98">
      <w:pPr>
        <w:pStyle w:val="Heading3"/>
        <w:bidi w:val="0"/>
        <w:spacing w:before="281" w:beforeAutospacing="off" w:after="281" w:afterAutospacing="off"/>
        <w:rPr>
          <w:rFonts w:ascii="Times New Roman" w:hAnsi="Times New Roman" w:eastAsia="Times New Roman" w:cs="Times New Roman"/>
          <w:b w:val="1"/>
          <w:bCs w:val="1"/>
          <w:noProof w:val="0"/>
          <w:sz w:val="28"/>
          <w:szCs w:val="28"/>
          <w:lang w:val="en-US"/>
        </w:rPr>
      </w:pPr>
      <w:bookmarkStart w:name="_Toc1314535215" w:id="1002970199"/>
      <w:r w:rsidRPr="533E83B2" w:rsidR="1E52920D">
        <w:rPr>
          <w:rFonts w:ascii="Times New Roman" w:hAnsi="Times New Roman" w:eastAsia="Times New Roman" w:cs="Times New Roman"/>
          <w:b w:val="1"/>
          <w:bCs w:val="1"/>
          <w:noProof w:val="0"/>
          <w:sz w:val="28"/>
          <w:szCs w:val="28"/>
          <w:lang w:val="en-US"/>
        </w:rPr>
        <w:t>3.6 Strategic Recommendations</w:t>
      </w:r>
      <w:bookmarkEnd w:id="1002970199"/>
    </w:p>
    <w:p xmlns:wp14="http://schemas.microsoft.com/office/word/2010/wordml" w:rsidP="533E83B2" wp14:paraId="1F8F277B" wp14:textId="09077E7C">
      <w:pPr>
        <w:bidi w:val="0"/>
        <w:spacing w:before="240" w:beforeAutospacing="off" w:after="240" w:afterAutospacing="off"/>
      </w:pPr>
      <w:r w:rsidRPr="533E83B2" w:rsidR="1E52920D">
        <w:rPr>
          <w:rFonts w:ascii="Times New Roman" w:hAnsi="Times New Roman" w:eastAsia="Times New Roman" w:cs="Times New Roman"/>
          <w:noProof w:val="0"/>
          <w:sz w:val="24"/>
          <w:szCs w:val="24"/>
          <w:lang w:val="en-US"/>
        </w:rPr>
        <w:t xml:space="preserve">The findings of </w:t>
      </w:r>
      <w:r w:rsidRPr="533E83B2" w:rsidR="1E52920D">
        <w:rPr>
          <w:rFonts w:ascii="Times New Roman" w:hAnsi="Times New Roman" w:eastAsia="Times New Roman" w:cs="Times New Roman"/>
          <w:i w:val="1"/>
          <w:iCs w:val="1"/>
          <w:noProof w:val="0"/>
          <w:sz w:val="24"/>
          <w:szCs w:val="24"/>
          <w:lang w:val="en-US"/>
        </w:rPr>
        <w:t>Operation IP Shield</w:t>
      </w:r>
      <w:r w:rsidRPr="533E83B2" w:rsidR="1E52920D">
        <w:rPr>
          <w:rFonts w:ascii="Times New Roman" w:hAnsi="Times New Roman" w:eastAsia="Times New Roman" w:cs="Times New Roman"/>
          <w:noProof w:val="0"/>
          <w:sz w:val="24"/>
          <w:szCs w:val="24"/>
          <w:lang w:val="en-US"/>
        </w:rPr>
        <w:t xml:space="preserve"> indicate a need for systemic improvement rather than isolated control enhancement. Priority recommendations include the deployment of container runtime security and image integrity controls, strict enforcement of least‑privilege access to Docker daemons, and integration of security scanning within CI/CD workflows.</w:t>
      </w:r>
    </w:p>
    <w:p xmlns:wp14="http://schemas.microsoft.com/office/word/2010/wordml" w:rsidP="533E83B2" wp14:paraId="05796066" wp14:textId="7AEBE116">
      <w:pPr>
        <w:bidi w:val="0"/>
        <w:spacing w:before="240" w:beforeAutospacing="off" w:after="240" w:afterAutospacing="off"/>
      </w:pPr>
      <w:r w:rsidRPr="533E83B2" w:rsidR="1E52920D">
        <w:rPr>
          <w:rFonts w:ascii="Times New Roman" w:hAnsi="Times New Roman" w:eastAsia="Times New Roman" w:cs="Times New Roman"/>
          <w:noProof w:val="0"/>
          <w:sz w:val="24"/>
          <w:szCs w:val="24"/>
          <w:lang w:val="en-US"/>
        </w:rPr>
        <w:t>Additionally, adopting zero‑trust principles across container, host, and identity boundaries would significantly reduce the impact of credential compromise and lateral movement. Together, these measures align defensive capabilities with the threat models posed by advanced persistent adversaries.</w:t>
      </w:r>
    </w:p>
    <w:p xmlns:wp14="http://schemas.microsoft.com/office/word/2010/wordml" w:rsidP="533E83B2" wp14:paraId="59BC93EE" wp14:textId="40221012">
      <w:pPr>
        <w:pStyle w:val="Heading3"/>
        <w:bidi w:val="0"/>
        <w:spacing w:before="281" w:beforeAutospacing="off" w:after="281" w:afterAutospacing="off"/>
        <w:rPr>
          <w:rFonts w:ascii="Times New Roman" w:hAnsi="Times New Roman" w:eastAsia="Times New Roman" w:cs="Times New Roman"/>
          <w:b w:val="1"/>
          <w:bCs w:val="1"/>
          <w:noProof w:val="0"/>
          <w:sz w:val="28"/>
          <w:szCs w:val="28"/>
          <w:lang w:val="en-US"/>
        </w:rPr>
      </w:pPr>
      <w:bookmarkStart w:name="_Toc1096798570" w:id="734860451"/>
      <w:r w:rsidRPr="533E83B2" w:rsidR="1E52920D">
        <w:rPr>
          <w:rFonts w:ascii="Times New Roman" w:hAnsi="Times New Roman" w:eastAsia="Times New Roman" w:cs="Times New Roman"/>
          <w:b w:val="1"/>
          <w:bCs w:val="1"/>
          <w:noProof w:val="0"/>
          <w:sz w:val="28"/>
          <w:szCs w:val="28"/>
          <w:lang w:val="en-US"/>
        </w:rPr>
        <w:t>3.7 Cost–Benefit Analysis</w:t>
      </w:r>
      <w:bookmarkEnd w:id="734860451"/>
    </w:p>
    <w:p xmlns:wp14="http://schemas.microsoft.com/office/word/2010/wordml" w:rsidP="533E83B2" wp14:paraId="6CE557E0" wp14:textId="6C68D0E3">
      <w:pPr>
        <w:bidi w:val="0"/>
        <w:spacing w:before="240" w:beforeAutospacing="off" w:after="240" w:afterAutospacing="off"/>
      </w:pPr>
      <w:r w:rsidRPr="533E83B2" w:rsidR="1E52920D">
        <w:rPr>
          <w:rFonts w:ascii="Times New Roman" w:hAnsi="Times New Roman" w:eastAsia="Times New Roman" w:cs="Times New Roman"/>
          <w:noProof w:val="0"/>
          <w:sz w:val="24"/>
          <w:szCs w:val="24"/>
          <w:lang w:val="en-US"/>
        </w:rPr>
        <w:t>From a business perspective, the cost of implementing the recommended controls is modest when compared to the potential financial, regulatory, and reputational consequences of a pharmaceutical intellectual property breach. Industry analyses consistently estimate the impact of such incidents in the multi‑million‑dollar range, particularly when considering loss of competitive advantage and delayed product development.</w:t>
      </w:r>
    </w:p>
    <w:p xmlns:wp14="http://schemas.microsoft.com/office/word/2010/wordml" w:rsidP="533E83B2" wp14:paraId="710129DC" wp14:textId="1743FFEE">
      <w:pPr>
        <w:bidi w:val="0"/>
        <w:spacing w:before="240" w:beforeAutospacing="off" w:after="240" w:afterAutospacing="off"/>
      </w:pPr>
      <w:r w:rsidRPr="533E83B2" w:rsidR="1E52920D">
        <w:rPr>
          <w:rFonts w:ascii="Times New Roman" w:hAnsi="Times New Roman" w:eastAsia="Times New Roman" w:cs="Times New Roman"/>
          <w:noProof w:val="0"/>
          <w:sz w:val="24"/>
          <w:szCs w:val="24"/>
          <w:lang w:val="en-US"/>
        </w:rPr>
        <w:t>Accordingly, investment in proactive detection and architectural hardening represents a cost‑effective risk mitigation strategy rather than an operational expense.</w:t>
      </w:r>
    </w:p>
    <w:p xmlns:wp14="http://schemas.microsoft.com/office/word/2010/wordml" wp14:paraId="7B91F84A" wp14:textId="50D5A478"/>
    <w:p xmlns:wp14="http://schemas.microsoft.com/office/word/2010/wordml" w:rsidP="533E83B2" wp14:paraId="033B449E" wp14:textId="6F361DCE">
      <w:pPr>
        <w:pStyle w:val="Heading2"/>
        <w:bidi w:val="0"/>
        <w:spacing w:before="299" w:beforeAutospacing="off" w:after="299" w:afterAutospacing="off"/>
        <w:rPr>
          <w:rFonts w:ascii="Times New Roman" w:hAnsi="Times New Roman" w:eastAsia="Times New Roman" w:cs="Times New Roman"/>
          <w:b w:val="1"/>
          <w:bCs w:val="1"/>
          <w:noProof w:val="0"/>
          <w:sz w:val="36"/>
          <w:szCs w:val="36"/>
          <w:lang w:val="en-US"/>
        </w:rPr>
      </w:pPr>
      <w:bookmarkStart w:name="_Toc2029450276" w:id="318109316"/>
      <w:r w:rsidRPr="533E83B2" w:rsidR="1E52920D">
        <w:rPr>
          <w:rFonts w:ascii="Times New Roman" w:hAnsi="Times New Roman" w:eastAsia="Times New Roman" w:cs="Times New Roman"/>
          <w:b w:val="1"/>
          <w:bCs w:val="1"/>
          <w:noProof w:val="0"/>
          <w:sz w:val="36"/>
          <w:szCs w:val="36"/>
          <w:lang w:val="en-US"/>
        </w:rPr>
        <w:t>4. Executive Brief for the Board</w:t>
      </w:r>
      <w:bookmarkEnd w:id="318109316"/>
    </w:p>
    <w:p xmlns:wp14="http://schemas.microsoft.com/office/word/2010/wordml" w:rsidP="533E83B2" wp14:paraId="38616111" wp14:textId="139940C4">
      <w:pPr>
        <w:bidi w:val="0"/>
        <w:spacing w:before="240" w:beforeAutospacing="off" w:after="240" w:afterAutospacing="off"/>
      </w:pPr>
      <w:r w:rsidRPr="533E83B2" w:rsidR="1E52920D">
        <w:rPr>
          <w:rFonts w:ascii="Times New Roman" w:hAnsi="Times New Roman" w:eastAsia="Times New Roman" w:cs="Times New Roman"/>
          <w:noProof w:val="0"/>
          <w:sz w:val="24"/>
          <w:szCs w:val="24"/>
          <w:lang w:val="en-US"/>
        </w:rPr>
        <w:t>This assessment confirms that CPC faces a credible risk from advanced adversaries seeking to steal high‑value research data. The Docker‑based clinical portal, representative of modern cloud‑native workloads, introduces attack paths that can be exploited if identity, container, and monitoring controls are not properly enforced. Strategic investment in identity security, container protection, and detection capabilities will materially reduce this risk.</w:t>
      </w:r>
    </w:p>
    <w:p xmlns:wp14="http://schemas.microsoft.com/office/word/2010/wordml" wp14:paraId="171CD653" wp14:textId="6CF6DED1"/>
    <w:p xmlns:wp14="http://schemas.microsoft.com/office/word/2010/wordml" w:rsidP="533E83B2" wp14:paraId="2F6149FE" wp14:textId="7F06CF7C">
      <w:pPr>
        <w:pStyle w:val="Heading2"/>
        <w:bidi w:val="0"/>
        <w:spacing w:before="299" w:beforeAutospacing="off" w:after="299" w:afterAutospacing="off"/>
        <w:rPr>
          <w:rFonts w:ascii="Times New Roman" w:hAnsi="Times New Roman" w:eastAsia="Times New Roman" w:cs="Times New Roman"/>
          <w:b w:val="1"/>
          <w:bCs w:val="1"/>
          <w:noProof w:val="0"/>
          <w:sz w:val="36"/>
          <w:szCs w:val="36"/>
          <w:lang w:val="en-US"/>
        </w:rPr>
      </w:pPr>
      <w:bookmarkStart w:name="_Toc141703877" w:id="361887007"/>
      <w:r w:rsidRPr="533E83B2" w:rsidR="1E52920D">
        <w:rPr>
          <w:rFonts w:ascii="Times New Roman" w:hAnsi="Times New Roman" w:eastAsia="Times New Roman" w:cs="Times New Roman"/>
          <w:b w:val="1"/>
          <w:bCs w:val="1"/>
          <w:noProof w:val="0"/>
          <w:sz w:val="36"/>
          <w:szCs w:val="36"/>
          <w:lang w:val="en-US"/>
        </w:rPr>
        <w:t>5. Conclusion</w:t>
      </w:r>
      <w:bookmarkEnd w:id="361887007"/>
    </w:p>
    <w:p xmlns:wp14="http://schemas.microsoft.com/office/word/2010/wordml" w:rsidP="533E83B2" wp14:paraId="640F256B" wp14:textId="190760B4">
      <w:pPr>
        <w:bidi w:val="0"/>
        <w:spacing w:before="240" w:beforeAutospacing="off" w:after="240" w:afterAutospacing="off"/>
      </w:pPr>
      <w:r w:rsidRPr="533E83B2" w:rsidR="1E52920D">
        <w:rPr>
          <w:rFonts w:ascii="Times New Roman" w:hAnsi="Times New Roman" w:eastAsia="Times New Roman" w:cs="Times New Roman"/>
          <w:noProof w:val="0"/>
          <w:sz w:val="24"/>
          <w:szCs w:val="24"/>
          <w:lang w:val="en-US"/>
        </w:rPr>
        <w:t>Advanced threats against pharmaceutical organizations are persistent, stealthy, and identity‑centric. This report demonstrates that even containerized research platforms are vulnerable when security controls are misaligned. By implementing the recommended architectural and monitoring improvements, CPC can significantly enhance its resilience against APT‑level adversaries.</w:t>
      </w:r>
    </w:p>
    <w:p xmlns:wp14="http://schemas.microsoft.com/office/word/2010/wordml" wp14:paraId="7C83AF23" wp14:textId="486CD75C"/>
    <w:p xmlns:wp14="http://schemas.microsoft.com/office/word/2010/wordml" w:rsidP="533E83B2" wp14:paraId="4F2C5A80" wp14:textId="03728234">
      <w:pPr>
        <w:pStyle w:val="Heading2"/>
        <w:bidi w:val="0"/>
        <w:spacing w:before="299" w:beforeAutospacing="off" w:after="299" w:afterAutospacing="off"/>
      </w:pPr>
      <w:bookmarkStart w:name="_Toc761802081" w:id="1361525716"/>
      <w:r w:rsidRPr="533E83B2" w:rsidR="1E52920D">
        <w:rPr>
          <w:rFonts w:ascii="Times New Roman" w:hAnsi="Times New Roman" w:eastAsia="Times New Roman" w:cs="Times New Roman"/>
          <w:b w:val="1"/>
          <w:bCs w:val="1"/>
          <w:noProof w:val="0"/>
          <w:sz w:val="36"/>
          <w:szCs w:val="36"/>
          <w:lang w:val="en-US"/>
        </w:rPr>
        <w:t>6. References</w:t>
      </w:r>
      <w:bookmarkEnd w:id="1361525716"/>
      <w:r w:rsidRPr="533E83B2" w:rsidR="1E52920D">
        <w:rPr>
          <w:rFonts w:ascii="Times New Roman" w:hAnsi="Times New Roman" w:eastAsia="Times New Roman" w:cs="Times New Roman"/>
          <w:b w:val="1"/>
          <w:bCs w:val="1"/>
          <w:noProof w:val="0"/>
          <w:sz w:val="36"/>
          <w:szCs w:val="36"/>
          <w:lang w:val="en-US"/>
        </w:rPr>
        <w:t xml:space="preserve"> </w:t>
      </w:r>
    </w:p>
    <w:p xmlns:wp14="http://schemas.microsoft.com/office/word/2010/wordml" w:rsidP="533E83B2" wp14:paraId="5CFA896F" wp14:textId="3DF62653">
      <w:pPr>
        <w:bidi w:val="0"/>
        <w:spacing w:before="240" w:beforeAutospacing="off" w:after="240" w:afterAutospacing="off"/>
      </w:pPr>
      <w:r w:rsidRPr="533E83B2" w:rsidR="1E52920D">
        <w:rPr>
          <w:rFonts w:ascii="Times New Roman" w:hAnsi="Times New Roman" w:eastAsia="Times New Roman" w:cs="Times New Roman"/>
          <w:noProof w:val="0"/>
          <w:sz w:val="24"/>
          <w:szCs w:val="24"/>
          <w:lang w:val="en-US"/>
        </w:rPr>
        <w:t>[1] MITRE, “ATT&amp;CK® Enterprise Matrix,” 2025.</w:t>
      </w:r>
    </w:p>
    <w:p xmlns:wp14="http://schemas.microsoft.com/office/word/2010/wordml" w:rsidP="533E83B2" wp14:paraId="511F6EDD" wp14:textId="7EAF403F">
      <w:pPr>
        <w:bidi w:val="0"/>
        <w:spacing w:before="240" w:beforeAutospacing="off" w:after="240" w:afterAutospacing="off"/>
      </w:pPr>
      <w:r w:rsidRPr="533E83B2" w:rsidR="1E52920D">
        <w:rPr>
          <w:rFonts w:ascii="Times New Roman" w:hAnsi="Times New Roman" w:eastAsia="Times New Roman" w:cs="Times New Roman"/>
          <w:noProof w:val="0"/>
          <w:sz w:val="24"/>
          <w:szCs w:val="24"/>
          <w:lang w:val="en-US"/>
        </w:rPr>
        <w:t>[2] Mandiant, “APT41: A Dual Espionage and Cyber Crime Operation,” 2024.</w:t>
      </w:r>
    </w:p>
    <w:p xmlns:wp14="http://schemas.microsoft.com/office/word/2010/wordml" w:rsidP="533E83B2" wp14:paraId="45407EE4" wp14:textId="2A9C3FFB">
      <w:pPr>
        <w:bidi w:val="0"/>
        <w:spacing w:before="240" w:beforeAutospacing="off" w:after="240" w:afterAutospacing="off"/>
      </w:pPr>
      <w:r w:rsidRPr="533E83B2" w:rsidR="1E52920D">
        <w:rPr>
          <w:rFonts w:ascii="Times New Roman" w:hAnsi="Times New Roman" w:eastAsia="Times New Roman" w:cs="Times New Roman"/>
          <w:noProof w:val="0"/>
          <w:sz w:val="24"/>
          <w:szCs w:val="24"/>
          <w:lang w:val="en-US"/>
        </w:rPr>
        <w:t>[3] CrowdStrike, “Global Threat Report,” 2024.</w:t>
      </w:r>
    </w:p>
    <w:p xmlns:wp14="http://schemas.microsoft.com/office/word/2010/wordml" w:rsidP="533E83B2" wp14:paraId="5D85ED84" wp14:textId="1CDA6B0F">
      <w:pPr>
        <w:bidi w:val="0"/>
        <w:spacing w:before="240" w:beforeAutospacing="off" w:after="240" w:afterAutospacing="off"/>
      </w:pPr>
      <w:r w:rsidRPr="533E83B2" w:rsidR="1E52920D">
        <w:rPr>
          <w:rFonts w:ascii="Times New Roman" w:hAnsi="Times New Roman" w:eastAsia="Times New Roman" w:cs="Times New Roman"/>
          <w:noProof w:val="0"/>
          <w:sz w:val="24"/>
          <w:szCs w:val="24"/>
          <w:lang w:val="en-US"/>
        </w:rPr>
        <w:t>[4] Verizon, “Data Breach Investigations Report,” 2024.</w:t>
      </w:r>
    </w:p>
    <w:p xmlns:wp14="http://schemas.microsoft.com/office/word/2010/wordml" w:rsidP="533E83B2" wp14:paraId="09F37DFF" wp14:textId="7B0ED072">
      <w:pPr>
        <w:bidi w:val="0"/>
        <w:spacing w:before="240" w:beforeAutospacing="off" w:after="240" w:afterAutospacing="off"/>
      </w:pPr>
      <w:r w:rsidRPr="533E83B2" w:rsidR="1E52920D">
        <w:rPr>
          <w:rFonts w:ascii="Times New Roman" w:hAnsi="Times New Roman" w:eastAsia="Times New Roman" w:cs="Times New Roman"/>
          <w:noProof w:val="0"/>
          <w:sz w:val="24"/>
          <w:szCs w:val="24"/>
          <w:lang w:val="en-US"/>
        </w:rPr>
        <w:t>[5] NIST SP 800‑53 Rev.5, “Security and Privacy Controls,” 2023.</w:t>
      </w:r>
    </w:p>
    <w:p xmlns:wp14="http://schemas.microsoft.com/office/word/2010/wordml" w:rsidP="533E83B2" wp14:paraId="5453AAEF" wp14:textId="408290FE">
      <w:pPr>
        <w:bidi w:val="0"/>
        <w:spacing w:before="240" w:beforeAutospacing="off" w:after="240" w:afterAutospacing="off"/>
      </w:pPr>
      <w:r w:rsidRPr="533E83B2" w:rsidR="1E52920D">
        <w:rPr>
          <w:rFonts w:ascii="Times New Roman" w:hAnsi="Times New Roman" w:eastAsia="Times New Roman" w:cs="Times New Roman"/>
          <w:noProof w:val="0"/>
          <w:sz w:val="24"/>
          <w:szCs w:val="24"/>
          <w:lang w:val="en-US"/>
        </w:rPr>
        <w:t>[6] ENISA, “Threat Landscape for the Health Sector,” 2024.</w:t>
      </w:r>
    </w:p>
    <w:p xmlns:wp14="http://schemas.microsoft.com/office/word/2010/wordml" w:rsidP="533E83B2" wp14:paraId="26DB0B28" wp14:textId="313A02D9">
      <w:pPr>
        <w:bidi w:val="0"/>
        <w:spacing w:before="240" w:beforeAutospacing="off" w:after="240" w:afterAutospacing="off"/>
      </w:pPr>
      <w:r w:rsidRPr="533E83B2" w:rsidR="1E52920D">
        <w:rPr>
          <w:rFonts w:ascii="Times New Roman" w:hAnsi="Times New Roman" w:eastAsia="Times New Roman" w:cs="Times New Roman"/>
          <w:noProof w:val="0"/>
          <w:sz w:val="24"/>
          <w:szCs w:val="24"/>
          <w:lang w:val="en-US"/>
        </w:rPr>
        <w:t>[7] IBM Security, “Cost of a Data Breach Report,” 2024.</w:t>
      </w:r>
    </w:p>
    <w:p xmlns:wp14="http://schemas.microsoft.com/office/word/2010/wordml" w:rsidP="533E83B2" wp14:paraId="226A19D0" wp14:textId="0F1AA261">
      <w:pPr>
        <w:bidi w:val="0"/>
        <w:spacing w:before="240" w:beforeAutospacing="off" w:after="240" w:afterAutospacing="off"/>
        <w:rPr>
          <w:rFonts w:ascii="Times New Roman" w:hAnsi="Times New Roman" w:eastAsia="Times New Roman" w:cs="Times New Roman"/>
          <w:noProof w:val="0"/>
          <w:sz w:val="24"/>
          <w:szCs w:val="24"/>
          <w:lang w:val="en-US"/>
        </w:rPr>
      </w:pPr>
    </w:p>
    <w:p xmlns:wp14="http://schemas.microsoft.com/office/word/2010/wordml" w:rsidP="533E83B2" wp14:paraId="2C078E63" wp14:textId="7C47899A">
      <w:pPr>
        <w:pStyle w:val="Normal"/>
        <w:bidi w:val="0"/>
        <w:spacing w:before="240" w:beforeAutospacing="off" w:after="240" w:afterAutospacing="off"/>
      </w:pPr>
      <w:r w:rsidRPr="533E83B2" w:rsidR="42E8812E">
        <w:rPr>
          <w:rFonts w:ascii="Times New Roman" w:hAnsi="Times New Roman" w:eastAsia="Times New Roman" w:cs="Times New Roman" w:asciiTheme="majorAscii" w:hAnsiTheme="majorAscii" w:eastAsiaTheme="majorEastAsia" w:cstheme="majorBidi"/>
          <w:b w:val="1"/>
          <w:bCs w:val="1"/>
          <w:noProof w:val="0"/>
          <w:color w:val="0F4761" w:themeColor="accent1" w:themeTint="FF" w:themeShade="BF"/>
          <w:sz w:val="36"/>
          <w:szCs w:val="36"/>
          <w:lang w:val="en-US" w:eastAsia="ja-JP" w:bidi="ar-SA"/>
        </w:rPr>
        <w:t>6. Evidence</w:t>
      </w:r>
      <w:r w:rsidR="3112EC93">
        <w:drawing>
          <wp:inline xmlns:wp14="http://schemas.microsoft.com/office/word/2010/wordprocessingDrawing" wp14:editId="69BF8FA1" wp14:anchorId="1638B713">
            <wp:extent cx="5048955" cy="2848373"/>
            <wp:effectExtent l="0" t="0" r="0" b="0"/>
            <wp:docPr id="49549561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95495610" name="Picture 495495610"/>
                    <pic:cNvPicPr/>
                  </pic:nvPicPr>
                  <pic:blipFill>
                    <a:blip xmlns:r="http://schemas.openxmlformats.org/officeDocument/2006/relationships" r:embed="rId155949683">
                      <a:extLst>
                        <a:ext uri="{28A0092B-C50C-407E-A947-70E740481C1C}">
                          <a14:useLocalDpi xmlns:a14="http://schemas.microsoft.com/office/drawing/2010/main"/>
                        </a:ext>
                      </a:extLst>
                    </a:blip>
                    <a:stretch>
                      <a:fillRect/>
                    </a:stretch>
                  </pic:blipFill>
                  <pic:spPr>
                    <a:xfrm>
                      <a:off x="0" y="0"/>
                      <a:ext cx="5048955" cy="2848373"/>
                    </a:xfrm>
                    <a:prstGeom prst="rect">
                      <a:avLst/>
                    </a:prstGeom>
                  </pic:spPr>
                </pic:pic>
              </a:graphicData>
            </a:graphic>
          </wp:inline>
        </w:drawing>
      </w:r>
      <w:r w:rsidR="16B9BA6A">
        <w:drawing>
          <wp:inline xmlns:wp14="http://schemas.microsoft.com/office/word/2010/wordprocessingDrawing" wp14:editId="62A5F435" wp14:anchorId="652729C6">
            <wp:extent cx="5943600" cy="2724150"/>
            <wp:effectExtent l="0" t="0" r="0" b="0"/>
            <wp:docPr id="171622498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16224983" name="Picture 1716224983"/>
                    <pic:cNvPicPr/>
                  </pic:nvPicPr>
                  <pic:blipFill>
                    <a:blip xmlns:r="http://schemas.openxmlformats.org/officeDocument/2006/relationships" r:embed="rId1610203144">
                      <a:extLst>
                        <a:ext uri="{28A0092B-C50C-407E-A947-70E740481C1C}">
                          <a14:useLocalDpi xmlns:a14="http://schemas.microsoft.com/office/drawing/2010/main"/>
                        </a:ext>
                      </a:extLst>
                    </a:blip>
                    <a:stretch>
                      <a:fillRect/>
                    </a:stretch>
                  </pic:blipFill>
                  <pic:spPr>
                    <a:xfrm>
                      <a:off x="0" y="0"/>
                      <a:ext cx="5943600" cy="2724150"/>
                    </a:xfrm>
                    <a:prstGeom prst="rect">
                      <a:avLst/>
                    </a:prstGeom>
                  </pic:spPr>
                </pic:pic>
              </a:graphicData>
            </a:graphic>
          </wp:inline>
        </w:drawing>
      </w:r>
      <w:r w:rsidR="16B9BA6A">
        <w:drawing>
          <wp:inline xmlns:wp14="http://schemas.microsoft.com/office/word/2010/wordprocessingDrawing" wp14:editId="35D30971" wp14:anchorId="092C03E0">
            <wp:extent cx="5943600" cy="4581525"/>
            <wp:effectExtent l="0" t="0" r="0" b="0"/>
            <wp:docPr id="11902702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9027023" name="Picture 119027023"/>
                    <pic:cNvPicPr/>
                  </pic:nvPicPr>
                  <pic:blipFill>
                    <a:blip xmlns:r="http://schemas.openxmlformats.org/officeDocument/2006/relationships" r:embed="rId1917944934">
                      <a:extLst>
                        <a:ext uri="{28A0092B-C50C-407E-A947-70E740481C1C}">
                          <a14:useLocalDpi xmlns:a14="http://schemas.microsoft.com/office/drawing/2010/main"/>
                        </a:ext>
                      </a:extLst>
                    </a:blip>
                    <a:stretch>
                      <a:fillRect/>
                    </a:stretch>
                  </pic:blipFill>
                  <pic:spPr>
                    <a:xfrm>
                      <a:off x="0" y="0"/>
                      <a:ext cx="5943600" cy="4581525"/>
                    </a:xfrm>
                    <a:prstGeom prst="rect">
                      <a:avLst/>
                    </a:prstGeom>
                  </pic:spPr>
                </pic:pic>
              </a:graphicData>
            </a:graphic>
          </wp:inline>
        </w:drawing>
      </w:r>
      <w:r w:rsidR="7BA9A56E">
        <w:drawing>
          <wp:inline xmlns:wp14="http://schemas.microsoft.com/office/word/2010/wordprocessingDrawing" wp14:editId="603BD58B" wp14:anchorId="31CBA06A">
            <wp:extent cx="5943600" cy="3362325"/>
            <wp:effectExtent l="0" t="0" r="0" b="0"/>
            <wp:docPr id="11287753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28775395" name="Picture 1128775395"/>
                    <pic:cNvPicPr/>
                  </pic:nvPicPr>
                  <pic:blipFill>
                    <a:blip xmlns:r="http://schemas.openxmlformats.org/officeDocument/2006/relationships" r:embed="rId2073932988">
                      <a:extLst>
                        <a:ext uri="{28A0092B-C50C-407E-A947-70E740481C1C}">
                          <a14:useLocalDpi xmlns:a14="http://schemas.microsoft.com/office/drawing/2010/main"/>
                        </a:ext>
                      </a:extLst>
                    </a:blip>
                    <a:stretch>
                      <a:fillRect/>
                    </a:stretch>
                  </pic:blipFill>
                  <pic:spPr>
                    <a:xfrm>
                      <a:off x="0" y="0"/>
                      <a:ext cx="5943600" cy="3362325"/>
                    </a:xfrm>
                    <a:prstGeom prst="rect">
                      <a:avLst/>
                    </a:prstGeom>
                  </pic:spPr>
                </pic:pic>
              </a:graphicData>
            </a:graphic>
          </wp:inline>
        </w:drawing>
      </w:r>
      <w:r w:rsidR="7BA9A56E">
        <w:drawing>
          <wp:inline xmlns:wp14="http://schemas.microsoft.com/office/word/2010/wordprocessingDrawing" wp14:editId="42D1555F" wp14:anchorId="76EEF323">
            <wp:extent cx="5943600" cy="3819525"/>
            <wp:effectExtent l="0" t="0" r="0" b="0"/>
            <wp:docPr id="46827531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68275315" name="Picture 468275315"/>
                    <pic:cNvPicPr/>
                  </pic:nvPicPr>
                  <pic:blipFill>
                    <a:blip xmlns:r="http://schemas.openxmlformats.org/officeDocument/2006/relationships" r:embed="rId422314736">
                      <a:extLst>
                        <a:ext uri="{28A0092B-C50C-407E-A947-70E740481C1C}">
                          <a14:useLocalDpi xmlns:a14="http://schemas.microsoft.com/office/drawing/2010/main"/>
                        </a:ext>
                      </a:extLst>
                    </a:blip>
                    <a:stretch>
                      <a:fillRect/>
                    </a:stretch>
                  </pic:blipFill>
                  <pic:spPr>
                    <a:xfrm>
                      <a:off x="0" y="0"/>
                      <a:ext cx="5943600" cy="3819525"/>
                    </a:xfrm>
                    <a:prstGeom prst="rect">
                      <a:avLst/>
                    </a:prstGeom>
                  </pic:spPr>
                </pic:pic>
              </a:graphicData>
            </a:graphic>
          </wp:inline>
        </w:drawing>
      </w:r>
      <w:r w:rsidR="446A40E6">
        <w:drawing>
          <wp:inline xmlns:wp14="http://schemas.microsoft.com/office/word/2010/wordprocessingDrawing" wp14:editId="2B7CCB23" wp14:anchorId="6266197C">
            <wp:extent cx="5314950" cy="3312486"/>
            <wp:effectExtent l="0" t="0" r="0" b="0"/>
            <wp:docPr id="27149923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71499235" name="Picture 271499235"/>
                    <pic:cNvPicPr/>
                  </pic:nvPicPr>
                  <pic:blipFill>
                    <a:blip xmlns:r="http://schemas.openxmlformats.org/officeDocument/2006/relationships" r:embed="rId710723861">
                      <a:extLst>
                        <a:ext uri="{28A0092B-C50C-407E-A947-70E740481C1C}">
                          <a14:useLocalDpi xmlns:a14="http://schemas.microsoft.com/office/drawing/2010/main"/>
                        </a:ext>
                      </a:extLst>
                    </a:blip>
                    <a:stretch>
                      <a:fillRect/>
                    </a:stretch>
                  </pic:blipFill>
                  <pic:spPr>
                    <a:xfrm rot="0">
                      <a:off x="0" y="0"/>
                      <a:ext cx="5314950" cy="3312486"/>
                    </a:xfrm>
                    <a:prstGeom prst="rect">
                      <a:avLst/>
                    </a:prstGeom>
                  </pic:spPr>
                </pic:pic>
              </a:graphicData>
            </a:graphic>
          </wp:inline>
        </w:drawing>
      </w:r>
      <w:r w:rsidR="14ED4328">
        <w:drawing>
          <wp:inline xmlns:wp14="http://schemas.microsoft.com/office/word/2010/wordprocessingDrawing" wp14:editId="6BF4E0F0" wp14:anchorId="22BF9D3C">
            <wp:extent cx="5943600" cy="3962400"/>
            <wp:effectExtent l="0" t="0" r="0" b="0"/>
            <wp:docPr id="142604246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26042461" name="Picture 1426042461"/>
                    <pic:cNvPicPr/>
                  </pic:nvPicPr>
                  <pic:blipFill>
                    <a:blip xmlns:r="http://schemas.openxmlformats.org/officeDocument/2006/relationships" r:embed="rId403324985">
                      <a:extLst>
                        <a:ext uri="{28A0092B-C50C-407E-A947-70E740481C1C}">
                          <a14:useLocalDpi xmlns:a14="http://schemas.microsoft.com/office/drawing/2010/main"/>
                        </a:ext>
                      </a:extLst>
                    </a:blip>
                    <a:stretch>
                      <a:fillRect/>
                    </a:stretch>
                  </pic:blipFill>
                  <pic:spPr>
                    <a:xfrm>
                      <a:off x="0" y="0"/>
                      <a:ext cx="5943600" cy="3962400"/>
                    </a:xfrm>
                    <a:prstGeom prst="rect">
                      <a:avLst/>
                    </a:prstGeom>
                  </pic:spPr>
                </pic:pic>
              </a:graphicData>
            </a:graphic>
          </wp:inline>
        </w:drawing>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VYxJtgRWCv0YQf" int2:id="kgosGLCU">
      <int2:state int2:type="spell" int2:value="Rejected"/>
    </int2:textHash>
    <int2:bookmark int2:bookmarkName="_Int_TYg36Cmi" int2:invalidationBookmarkName="" int2:hashCode="U3usSfs4FRnheb" int2:id="L1ldpmwP">
      <int2:state int2:type="gram" int2:value="Rejected"/>
    </int2:bookmark>
    <int2:bookmark int2:bookmarkName="_Int_EXUbk5cv" int2:invalidationBookmarkName="" int2:hashCode="DW8JxjHck3sjdq" int2:id="TjeoWfmK">
      <int2:state int2:type="gram" int2:value="Rejected"/>
    </int2:bookmark>
    <int2:bookmark int2:bookmarkName="_Int_kOBBuvw6" int2:invalidationBookmarkName="" int2:hashCode="MBRkW1g67T6mZ3" int2:id="uwUdT2BE">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2">
    <w:nsid w:val="5fa1ea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3114b5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39dbd1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6742e64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8">
    <w:nsid w:val="7003a3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7c9162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53beab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3a27efc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4">
    <w:nsid w:val="5a8e42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7abfcc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6f27003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1">
    <w:nsid w:val="4415e5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3b1de1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136ce9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485066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2461de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16a430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1166a6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d9d8f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1d0456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628798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c15a9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6ed1e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6091ee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d8a1f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6e2c91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52187a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50204a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3fcc5b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6e536c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2b5a6e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10ee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100170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698ae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a9db8e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46ba84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c6ce4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220ba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4ce17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cce873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5502a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5a8a7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e28eb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c93cd1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6a1142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b78d5a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35c310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00c0a8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64ac6c8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a6def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ce1280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bd1e2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C1CC626"/>
    <w:rsid w:val="01614708"/>
    <w:rsid w:val="01CDE94E"/>
    <w:rsid w:val="01E832EF"/>
    <w:rsid w:val="01F43539"/>
    <w:rsid w:val="027BDFF0"/>
    <w:rsid w:val="02E285C8"/>
    <w:rsid w:val="03097B66"/>
    <w:rsid w:val="041E1E54"/>
    <w:rsid w:val="0440F5C5"/>
    <w:rsid w:val="044FCD61"/>
    <w:rsid w:val="04597EF0"/>
    <w:rsid w:val="04622CD7"/>
    <w:rsid w:val="04F36065"/>
    <w:rsid w:val="05C938D8"/>
    <w:rsid w:val="06080A9B"/>
    <w:rsid w:val="06339F2D"/>
    <w:rsid w:val="063967BB"/>
    <w:rsid w:val="06DA9DB6"/>
    <w:rsid w:val="079313DC"/>
    <w:rsid w:val="08BD7A1F"/>
    <w:rsid w:val="095A89FB"/>
    <w:rsid w:val="0A47F68A"/>
    <w:rsid w:val="0B2C2170"/>
    <w:rsid w:val="0B9CB397"/>
    <w:rsid w:val="0C203F33"/>
    <w:rsid w:val="0CBD9D3B"/>
    <w:rsid w:val="0D2834BE"/>
    <w:rsid w:val="0EC79C44"/>
    <w:rsid w:val="0F058F40"/>
    <w:rsid w:val="0F380462"/>
    <w:rsid w:val="0FA24FB0"/>
    <w:rsid w:val="1146601E"/>
    <w:rsid w:val="1164A25A"/>
    <w:rsid w:val="1182B645"/>
    <w:rsid w:val="119AB8A0"/>
    <w:rsid w:val="11A40C10"/>
    <w:rsid w:val="11EE5311"/>
    <w:rsid w:val="1297F0D2"/>
    <w:rsid w:val="12AA55DB"/>
    <w:rsid w:val="12E56FAA"/>
    <w:rsid w:val="132FDDEA"/>
    <w:rsid w:val="133D01D6"/>
    <w:rsid w:val="1490A311"/>
    <w:rsid w:val="14ED4328"/>
    <w:rsid w:val="156FC1F9"/>
    <w:rsid w:val="1629EDE9"/>
    <w:rsid w:val="16B9BA6A"/>
    <w:rsid w:val="16EC2210"/>
    <w:rsid w:val="172678AC"/>
    <w:rsid w:val="17383DC7"/>
    <w:rsid w:val="1751E55B"/>
    <w:rsid w:val="1831B6AD"/>
    <w:rsid w:val="1BC1B002"/>
    <w:rsid w:val="1BD7033A"/>
    <w:rsid w:val="1C10FDA8"/>
    <w:rsid w:val="1C1CC626"/>
    <w:rsid w:val="1D609912"/>
    <w:rsid w:val="1DA0BCF1"/>
    <w:rsid w:val="1DC119DF"/>
    <w:rsid w:val="1E52920D"/>
    <w:rsid w:val="1F0D7B61"/>
    <w:rsid w:val="1FB69E49"/>
    <w:rsid w:val="226C6BD4"/>
    <w:rsid w:val="231D7B36"/>
    <w:rsid w:val="23A7CB29"/>
    <w:rsid w:val="245BD023"/>
    <w:rsid w:val="24E4092F"/>
    <w:rsid w:val="26530439"/>
    <w:rsid w:val="26B9515D"/>
    <w:rsid w:val="270A6D09"/>
    <w:rsid w:val="2712CD29"/>
    <w:rsid w:val="27417A28"/>
    <w:rsid w:val="27668FE7"/>
    <w:rsid w:val="27959EBF"/>
    <w:rsid w:val="28B9E660"/>
    <w:rsid w:val="28D1A1A7"/>
    <w:rsid w:val="28D3F72F"/>
    <w:rsid w:val="28F30570"/>
    <w:rsid w:val="29135426"/>
    <w:rsid w:val="29C4156B"/>
    <w:rsid w:val="29E37490"/>
    <w:rsid w:val="2BBA0845"/>
    <w:rsid w:val="2CB571A7"/>
    <w:rsid w:val="2CBA3DC2"/>
    <w:rsid w:val="2D5FF7C0"/>
    <w:rsid w:val="2D767487"/>
    <w:rsid w:val="2E0EE97D"/>
    <w:rsid w:val="2E2CD03C"/>
    <w:rsid w:val="2E9776FA"/>
    <w:rsid w:val="2EBC2E0A"/>
    <w:rsid w:val="3112EC93"/>
    <w:rsid w:val="31196A52"/>
    <w:rsid w:val="315377BB"/>
    <w:rsid w:val="31DF96FD"/>
    <w:rsid w:val="32FF5A58"/>
    <w:rsid w:val="33DF319E"/>
    <w:rsid w:val="33FE34AA"/>
    <w:rsid w:val="34C31F02"/>
    <w:rsid w:val="35BC8554"/>
    <w:rsid w:val="364C20E9"/>
    <w:rsid w:val="3683191E"/>
    <w:rsid w:val="3799178F"/>
    <w:rsid w:val="38A12778"/>
    <w:rsid w:val="391BDA02"/>
    <w:rsid w:val="3A5EE5F1"/>
    <w:rsid w:val="3A5FAE7B"/>
    <w:rsid w:val="3AD4FBF6"/>
    <w:rsid w:val="3CDE4084"/>
    <w:rsid w:val="3D567DD7"/>
    <w:rsid w:val="3DA8750C"/>
    <w:rsid w:val="3E0E71A9"/>
    <w:rsid w:val="3E11C28B"/>
    <w:rsid w:val="3E95BBF2"/>
    <w:rsid w:val="3EEC7FB3"/>
    <w:rsid w:val="3F2E3FB9"/>
    <w:rsid w:val="3F93A9B0"/>
    <w:rsid w:val="4035EEA1"/>
    <w:rsid w:val="40FD68C3"/>
    <w:rsid w:val="41247F6D"/>
    <w:rsid w:val="4133D236"/>
    <w:rsid w:val="4208F767"/>
    <w:rsid w:val="42E8812E"/>
    <w:rsid w:val="42F8D060"/>
    <w:rsid w:val="439C4334"/>
    <w:rsid w:val="446A40E6"/>
    <w:rsid w:val="45465B3F"/>
    <w:rsid w:val="466487B0"/>
    <w:rsid w:val="46E6D583"/>
    <w:rsid w:val="475B4F58"/>
    <w:rsid w:val="477961CB"/>
    <w:rsid w:val="48B7B1BA"/>
    <w:rsid w:val="49397BC3"/>
    <w:rsid w:val="4971CD19"/>
    <w:rsid w:val="4A184544"/>
    <w:rsid w:val="4B146D83"/>
    <w:rsid w:val="4B6BDBC4"/>
    <w:rsid w:val="4C0B0605"/>
    <w:rsid w:val="4CA26D87"/>
    <w:rsid w:val="4CEAE075"/>
    <w:rsid w:val="4E5F5AFB"/>
    <w:rsid w:val="4E732A0B"/>
    <w:rsid w:val="4EE95D7F"/>
    <w:rsid w:val="4F6053DC"/>
    <w:rsid w:val="4F7BC34F"/>
    <w:rsid w:val="5049FC94"/>
    <w:rsid w:val="50A98CF3"/>
    <w:rsid w:val="50C760AE"/>
    <w:rsid w:val="50E42B02"/>
    <w:rsid w:val="511167B4"/>
    <w:rsid w:val="515183E3"/>
    <w:rsid w:val="533E83B2"/>
    <w:rsid w:val="53ECDEA2"/>
    <w:rsid w:val="544A1C86"/>
    <w:rsid w:val="5480AF37"/>
    <w:rsid w:val="553DDF78"/>
    <w:rsid w:val="559E5EE5"/>
    <w:rsid w:val="55A3CAEB"/>
    <w:rsid w:val="570B3870"/>
    <w:rsid w:val="5733FEB4"/>
    <w:rsid w:val="5782B73A"/>
    <w:rsid w:val="57AE1012"/>
    <w:rsid w:val="5826121C"/>
    <w:rsid w:val="583F6725"/>
    <w:rsid w:val="5857AABB"/>
    <w:rsid w:val="58C0978D"/>
    <w:rsid w:val="58C7D177"/>
    <w:rsid w:val="59ADF30D"/>
    <w:rsid w:val="5AB83C75"/>
    <w:rsid w:val="5BB7A429"/>
    <w:rsid w:val="5BD3DB59"/>
    <w:rsid w:val="5C3D8AC5"/>
    <w:rsid w:val="5C430595"/>
    <w:rsid w:val="5C6FF51B"/>
    <w:rsid w:val="5D44FCBB"/>
    <w:rsid w:val="5EB9E3C9"/>
    <w:rsid w:val="5F3ACC9A"/>
    <w:rsid w:val="5F88ABF5"/>
    <w:rsid w:val="606A599A"/>
    <w:rsid w:val="60930ECF"/>
    <w:rsid w:val="620EEF14"/>
    <w:rsid w:val="62EB67EE"/>
    <w:rsid w:val="6361C924"/>
    <w:rsid w:val="6365247A"/>
    <w:rsid w:val="637A3B71"/>
    <w:rsid w:val="638E7AB7"/>
    <w:rsid w:val="63E8380F"/>
    <w:rsid w:val="64328FC7"/>
    <w:rsid w:val="64F103D0"/>
    <w:rsid w:val="661B21C1"/>
    <w:rsid w:val="66435578"/>
    <w:rsid w:val="664D2E3B"/>
    <w:rsid w:val="685ECB1A"/>
    <w:rsid w:val="68A29A68"/>
    <w:rsid w:val="6963BB46"/>
    <w:rsid w:val="69B1936A"/>
    <w:rsid w:val="6A5469A7"/>
    <w:rsid w:val="6CA1F57E"/>
    <w:rsid w:val="6D9C4F42"/>
    <w:rsid w:val="6DAD35ED"/>
    <w:rsid w:val="6DBE7B68"/>
    <w:rsid w:val="6E3D82A1"/>
    <w:rsid w:val="6E743426"/>
    <w:rsid w:val="6FA5CDE1"/>
    <w:rsid w:val="6FCFBA19"/>
    <w:rsid w:val="6FD0AC46"/>
    <w:rsid w:val="70C1322F"/>
    <w:rsid w:val="71C249D3"/>
    <w:rsid w:val="72DAA829"/>
    <w:rsid w:val="72FF1D34"/>
    <w:rsid w:val="739F5F27"/>
    <w:rsid w:val="73CF911D"/>
    <w:rsid w:val="74586E83"/>
    <w:rsid w:val="75194252"/>
    <w:rsid w:val="755B43FB"/>
    <w:rsid w:val="756A1F60"/>
    <w:rsid w:val="77DA76F6"/>
    <w:rsid w:val="783D719A"/>
    <w:rsid w:val="78772C9A"/>
    <w:rsid w:val="7970F65E"/>
    <w:rsid w:val="7976900E"/>
    <w:rsid w:val="7BA9A56E"/>
    <w:rsid w:val="7BCC683F"/>
    <w:rsid w:val="7C4C17D2"/>
    <w:rsid w:val="7C7AF46E"/>
    <w:rsid w:val="7D1F536B"/>
    <w:rsid w:val="7DE768EC"/>
    <w:rsid w:val="7E16A28B"/>
    <w:rsid w:val="7E5817ED"/>
    <w:rsid w:val="7F79B0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CC626"/>
  <w15:chartTrackingRefBased/>
  <w15:docId w15:val="{6DDB23ED-6DD3-41BF-ADFD-9062768E957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533E83B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533E83B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533E83B2"/>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533E83B2"/>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ListParagraph">
    <w:uiPriority w:val="34"/>
    <w:name w:val="List Paragraph"/>
    <w:basedOn w:val="Normal"/>
    <w:qFormat/>
    <w:rsid w:val="533E83B2"/>
    <w:pPr>
      <w:spacing/>
      <w:ind w:left="720"/>
      <w:contextualSpacing/>
    </w:pPr>
  </w:style>
  <w:style w:type="character" w:styleId="Hyperlink">
    <w:uiPriority w:val="99"/>
    <w:name w:val="Hyperlink"/>
    <w:basedOn w:val="DefaultParagraphFont"/>
    <w:unhideWhenUsed/>
    <w:rsid w:val="533E83B2"/>
    <w:rPr>
      <w:color w:val="467886"/>
      <w:u w:val="single"/>
    </w:rPr>
  </w:style>
  <w:style w:type="paragraph" w:styleId="TOC1">
    <w:uiPriority w:val="39"/>
    <w:name w:val="toc 1"/>
    <w:basedOn w:val="Normal"/>
    <w:next w:val="Normal"/>
    <w:unhideWhenUsed/>
    <w:rsid w:val="533E83B2"/>
    <w:pPr>
      <w:spacing w:after="100"/>
    </w:pPr>
  </w:style>
  <w:style w:type="paragraph" w:styleId="TOC2">
    <w:uiPriority w:val="39"/>
    <w:name w:val="toc 2"/>
    <w:basedOn w:val="Normal"/>
    <w:next w:val="Normal"/>
    <w:unhideWhenUsed/>
    <w:rsid w:val="533E83B2"/>
    <w:pPr>
      <w:spacing w:after="100"/>
      <w:ind w:left="220"/>
    </w:pPr>
  </w:style>
  <w:style w:type="paragraph" w:styleId="TOC3">
    <w:uiPriority w:val="39"/>
    <w:name w:val="toc 3"/>
    <w:basedOn w:val="Normal"/>
    <w:next w:val="Normal"/>
    <w:unhideWhenUsed/>
    <w:rsid w:val="533E83B2"/>
    <w:pPr>
      <w:spacing w:after="100"/>
      <w:ind w:left="440"/>
    </w:pPr>
  </w:style>
  <w:style w:type="paragraph" w:styleId="TOC4">
    <w:uiPriority w:val="39"/>
    <w:name w:val="toc 4"/>
    <w:basedOn w:val="Normal"/>
    <w:next w:val="Normal"/>
    <w:unhideWhenUsed/>
    <w:rsid w:val="533E83B2"/>
    <w:pPr>
      <w:spacing w:after="100"/>
      <w:ind w:left="66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383350961" /><Relationship Type="http://schemas.openxmlformats.org/officeDocument/2006/relationships/image" Target="/media/image2.png" Id="rId155949683" /><Relationship Type="http://schemas.openxmlformats.org/officeDocument/2006/relationships/image" Target="/media/image3.png" Id="rId1610203144" /><Relationship Type="http://schemas.openxmlformats.org/officeDocument/2006/relationships/image" Target="/media/image4.png" Id="rId1917944934" /><Relationship Type="http://schemas.openxmlformats.org/officeDocument/2006/relationships/image" Target="/media/image5.png" Id="rId2073932988" /><Relationship Type="http://schemas.openxmlformats.org/officeDocument/2006/relationships/image" Target="/media/image6.png" Id="rId422314736" /><Relationship Type="http://schemas.openxmlformats.org/officeDocument/2006/relationships/image" Target="/media/image7.png" Id="rId710723861" /><Relationship Type="http://schemas.openxmlformats.org/officeDocument/2006/relationships/image" Target="/media/image8.png" Id="rId403324985" /><Relationship Type="http://schemas.microsoft.com/office/2020/10/relationships/intelligence" Target="intelligence2.xml" Id="Rd444d4cdf5a6445d" /><Relationship Type="http://schemas.openxmlformats.org/officeDocument/2006/relationships/numbering" Target="numbering.xml" Id="R893b51d0eedf410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2025-12-09T03:45:50.6604642Z</dcterms:created>
  <dcterms:modified xsi:type="dcterms:W3CDTF">2025-12-17T13:55:39.9722043Z</dcterms:modified>
  <dc:creator>Subrahmanya Arun Pusapati</dc:creator>
  <lastModifiedBy>Subrahmanya Arun Pusapati</lastModifiedBy>
</coreProperties>
</file>