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7AB4701" w14:textId="77777777" w:rsidR="00D7256F" w:rsidRPr="00D7256F" w:rsidRDefault="00D7256F" w:rsidP="00D7256F"/>
    <w:p w14:paraId="55C7F404" w14:textId="4BC09130" w:rsidR="00D7256F" w:rsidRDefault="00D7256F" w:rsidP="00D7256F">
      <w:pPr>
        <w:pStyle w:val="NoSpacing"/>
        <w:spacing w:before="1540" w:after="240"/>
        <w:jc w:val="center"/>
        <w:rPr>
          <w:color w:val="156082" w:themeColor="accent1"/>
        </w:rPr>
      </w:pPr>
      <w:r>
        <w:rPr>
          <w:noProof/>
          <w:color w:val="156082" w:themeColor="accent1"/>
          <w:lang w:val="en-GB" w:eastAsia="en-GB"/>
        </w:rPr>
        <w:drawing>
          <wp:inline distT="0" distB="0" distL="0" distR="0" wp14:anchorId="1A439F95" wp14:editId="1E0DAAB4">
            <wp:extent cx="1419225" cy="752475"/>
            <wp:effectExtent l="0" t="0" r="9525" b="0"/>
            <wp:docPr id="143" name="Picture 2"/>
            <wp:cNvGraphicFramePr/>
            <a:graphic xmlns:a="http://schemas.openxmlformats.org/drawingml/2006/main">
              <a:graphicData uri="http://schemas.openxmlformats.org/drawingml/2006/picture">
                <pic:pic xmlns:pic="http://schemas.openxmlformats.org/drawingml/2006/picture">
                  <pic:nvPicPr>
                    <pic:cNvPr id="143" name="Picture 143"/>
                    <pic:cNvPicPr>
                      <a:picLocks noChangeAspect="1"/>
                    </pic:cNvPicPr>
                  </pic:nvPicPr>
                  <pic:blipFill>
                    <a:blip r:embed="rId11"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570"/>
                    </a:xfrm>
                    <a:prstGeom prst="rect">
                      <a:avLst/>
                    </a:prstGeom>
                    <a:noFill/>
                    <a:ln>
                      <a:noFill/>
                    </a:ln>
                  </pic:spPr>
                </pic:pic>
              </a:graphicData>
            </a:graphic>
          </wp:inline>
        </w:drawing>
      </w:r>
    </w:p>
    <w:sdt>
      <w:sdtPr>
        <w:rPr>
          <w:rFonts w:asciiTheme="majorHAnsi" w:eastAsiaTheme="majorEastAsia" w:hAnsiTheme="majorHAnsi" w:cstheme="majorBidi"/>
          <w:caps/>
          <w:color w:val="156082" w:themeColor="accent1"/>
          <w:sz w:val="72"/>
          <w:szCs w:val="72"/>
        </w:rPr>
        <w:alias w:val="Title"/>
        <w:id w:val="1735040861"/>
        <w:placeholder>
          <w:docPart w:val="DC681AFA0CCD4090A862435A584594D0"/>
        </w:placeholder>
        <w:dataBinding w:prefixMappings="xmlns:ns0='http://purl.org/dc/elements/1.1/' xmlns:ns1='http://schemas.openxmlformats.org/package/2006/metadata/core-properties' " w:xpath="/ns1:coreProperties[1]/ns0:title[1]" w:storeItemID="{6C3C8BC8-F283-45AE-878A-BAB7291924A1}"/>
        <w:text/>
      </w:sdtPr>
      <w:sdtEndPr/>
      <w:sdtContent>
        <w:p w14:paraId="72E92826" w14:textId="2BCFBE90" w:rsidR="00D7256F" w:rsidRDefault="00D7256F" w:rsidP="00D7256F">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80"/>
              <w:szCs w:val="80"/>
            </w:rPr>
          </w:pPr>
          <w:r>
            <w:rPr>
              <w:rFonts w:asciiTheme="majorHAnsi" w:eastAsiaTheme="majorEastAsia" w:hAnsiTheme="majorHAnsi" w:cstheme="majorBidi"/>
              <w:caps/>
              <w:color w:val="156082" w:themeColor="accent1"/>
              <w:sz w:val="72"/>
              <w:szCs w:val="72"/>
            </w:rPr>
            <w:t>BMMB7006 gLOBAL BUSINESS CHALLENGES</w:t>
          </w:r>
        </w:p>
      </w:sdtContent>
    </w:sdt>
    <w:sdt>
      <w:sdtPr>
        <w:rPr>
          <w:color w:val="156082" w:themeColor="accent1"/>
          <w:sz w:val="28"/>
          <w:szCs w:val="28"/>
        </w:rPr>
        <w:alias w:val="Subtitle"/>
        <w:id w:val="328029620"/>
        <w:dataBinding w:prefixMappings="xmlns:ns0='http://purl.org/dc/elements/1.1/' xmlns:ns1='http://schemas.openxmlformats.org/package/2006/metadata/core-properties' " w:xpath="/ns1:coreProperties[1]/ns0:subject[1]" w:storeItemID="{6C3C8BC8-F283-45AE-878A-BAB7291924A1}"/>
        <w:text/>
      </w:sdtPr>
      <w:sdtEndPr/>
      <w:sdtContent>
        <w:p w14:paraId="75B62CD1" w14:textId="08280C3F" w:rsidR="00D7256F" w:rsidRDefault="00D7256F" w:rsidP="00D7256F">
          <w:pPr>
            <w:pStyle w:val="NoSpacing"/>
            <w:jc w:val="center"/>
            <w:rPr>
              <w:rFonts w:asciiTheme="minorHAnsi" w:hAnsiTheme="minorHAnsi"/>
              <w:color w:val="156082" w:themeColor="accent1"/>
              <w:sz w:val="28"/>
              <w:szCs w:val="28"/>
            </w:rPr>
          </w:pPr>
          <w:r>
            <w:rPr>
              <w:color w:val="156082" w:themeColor="accent1"/>
              <w:sz w:val="28"/>
              <w:szCs w:val="28"/>
            </w:rPr>
            <w:t>Lyssa Muir (1917752)</w:t>
          </w:r>
        </w:p>
      </w:sdtContent>
    </w:sdt>
    <w:p w14:paraId="68E2473C" w14:textId="1E0C8E3E" w:rsidR="00D7256F" w:rsidRDefault="00D7256F" w:rsidP="00D7256F">
      <w:pPr>
        <w:pStyle w:val="NoSpacing"/>
        <w:jc w:val="center"/>
        <w:rPr>
          <w:color w:val="156082" w:themeColor="accent1"/>
        </w:rPr>
      </w:pPr>
      <w:r>
        <w:rPr>
          <w:noProof/>
        </w:rPr>
        <mc:AlternateContent>
          <mc:Choice Requires="wps">
            <w:drawing>
              <wp:anchor distT="0" distB="0" distL="114300" distR="114300" simplePos="0" relativeHeight="251658240" behindDoc="0" locked="0" layoutInCell="1" allowOverlap="1" wp14:anchorId="0D3736F2" wp14:editId="5BD53985">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7312660" cy="613410"/>
                <wp:effectExtent l="0" t="0" r="2540" b="3810"/>
                <wp:wrapNone/>
                <wp:docPr id="142" name="Text Box 3"/>
                <wp:cNvGraphicFramePr/>
                <a:graphic xmlns:a="http://schemas.openxmlformats.org/drawingml/2006/main">
                  <a:graphicData uri="http://schemas.microsoft.com/office/word/2010/wordprocessingShape">
                    <wps:wsp>
                      <wps:cNvSpPr txBox="1"/>
                      <wps:spPr>
                        <a:xfrm>
                          <a:off x="0" y="0"/>
                          <a:ext cx="6743700" cy="619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rPr>
                              <w:alias w:val="Date"/>
                              <w:id w:val="197127006"/>
                              <w:dataBinding w:prefixMappings="xmlns:ns0='http://schemas.microsoft.com/office/2006/coverPageProps' " w:xpath="/ns0:CoverPageProperties[1]/ns0:PublishDate[1]" w:storeItemID="{55AF091B-3C7A-41E3-B477-F2FDAA23CFDA}"/>
                              <w:date w:fullDate="2026-04-06T00:00:00Z">
                                <w:dateFormat w:val="MMMM d, yyyy"/>
                                <w:lid w:val="en-US"/>
                                <w:storeMappedDataAs w:val="dateTime"/>
                                <w:calendar w:val="gregorian"/>
                              </w:date>
                            </w:sdtPr>
                            <w:sdtEndPr/>
                            <w:sdtContent>
                              <w:p w14:paraId="5933ED85" w14:textId="586AF5A4" w:rsidR="00D7256F" w:rsidRDefault="00D7256F" w:rsidP="00D7256F">
                                <w:pPr>
                                  <w:pStyle w:val="NoSpacing"/>
                                  <w:spacing w:after="40"/>
                                  <w:jc w:val="center"/>
                                  <w:rPr>
                                    <w:caps/>
                                    <w:color w:val="156082" w:themeColor="accent1"/>
                                    <w:sz w:val="28"/>
                                    <w:szCs w:val="28"/>
                                  </w:rPr>
                                </w:pPr>
                                <w:r>
                                  <w:rPr>
                                    <w:caps/>
                                    <w:color w:val="156082" w:themeColor="accent1"/>
                                    <w:sz w:val="28"/>
                                    <w:szCs w:val="28"/>
                                  </w:rPr>
                                  <w:t>April 6, 2026</w:t>
                                </w:r>
                              </w:p>
                            </w:sdtContent>
                          </w:sdt>
                          <w:p w14:paraId="382BE221" w14:textId="77777777" w:rsidR="00D7256F" w:rsidRDefault="0018162F" w:rsidP="00D7256F">
                            <w:pPr>
                              <w:pStyle w:val="NoSpacing"/>
                              <w:jc w:val="center"/>
                              <w:rPr>
                                <w:color w:val="156082" w:themeColor="accent1"/>
                              </w:rPr>
                            </w:pPr>
                            <w:sdt>
                              <w:sdtPr>
                                <w:rPr>
                                  <w:caps/>
                                  <w:color w:val="156082" w:themeColor="accent1"/>
                                </w:rPr>
                                <w:alias w:val="Company"/>
                                <w:id w:val="1390145197"/>
                                <w:showingPlcHdr/>
                                <w:dataBinding w:prefixMappings="xmlns:ns0='http://schemas.openxmlformats.org/officeDocument/2006/extended-properties' " w:xpath="/ns0:Properties[1]/ns0:Company[1]" w:storeItemID="{6668398D-A668-4E3E-A5EB-62B293D839F1}"/>
                                <w:text/>
                              </w:sdtPr>
                              <w:sdtEndPr/>
                              <w:sdtContent>
                                <w:r w:rsidR="00D7256F">
                                  <w:rPr>
                                    <w:caps/>
                                    <w:color w:val="156082" w:themeColor="accent1"/>
                                  </w:rPr>
                                  <w:t xml:space="preserve">     </w:t>
                                </w:r>
                              </w:sdtContent>
                            </w:sdt>
                          </w:p>
                          <w:p w14:paraId="068EEB87" w14:textId="77777777" w:rsidR="00D7256F" w:rsidRDefault="0018162F" w:rsidP="00D7256F">
                            <w:pPr>
                              <w:pStyle w:val="NoSpacing"/>
                              <w:jc w:val="center"/>
                              <w:rPr>
                                <w:color w:val="156082" w:themeColor="accent1"/>
                              </w:rPr>
                            </w:pPr>
                            <w:sdt>
                              <w:sdtPr>
                                <w:rPr>
                                  <w:color w:val="156082" w:themeColor="accent1"/>
                                </w:rPr>
                                <w:alias w:val="Address"/>
                                <w:id w:val="-726379553"/>
                                <w:showingPlcHdr/>
                                <w:dataBinding w:prefixMappings="xmlns:ns0='http://schemas.microsoft.com/office/2006/coverPageProps' " w:xpath="/ns0:CoverPageProperties[1]/ns0:CompanyAddress[1]" w:storeItemID="{55AF091B-3C7A-41E3-B477-F2FDAA23CFDA}"/>
                                <w:text/>
                              </w:sdtPr>
                              <w:sdtEndPr/>
                              <w:sdtContent>
                                <w:r w:rsidR="00D7256F">
                                  <w:rPr>
                                    <w:color w:val="156082" w:themeColor="accent1"/>
                                  </w:rPr>
                                  <w:t xml:space="preserve">     </w:t>
                                </w:r>
                              </w:sdtContent>
                            </w:sdt>
                          </w:p>
                        </w:txbxContent>
                      </wps:txbx>
                      <wps:bodyPr rot="0" spcFirstLastPara="0" vertOverflow="clip" horzOverflow="clip"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0D3736F2" id="_x0000_t202" coordsize="21600,21600" o:spt="202" path="m,l,21600r21600,l21600,xe">
                <v:stroke joinstyle="miter"/>
                <v:path gradientshapeok="t" o:connecttype="rect"/>
              </v:shapetype>
              <v:shape id="Text Box 3" o:spid="_x0000_s1026" type="#_x0000_t202" style="position:absolute;left:0;text-align:left;margin-left:0;margin-top:0;width:575.8pt;height:48.3pt;z-index:251658240;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Gg1YXgIAACUFAAAOAAAAZHJzL2Uyb0RvYy54bWysVN9v0zAQfkfif7D8ztJu0EG1dCqbhpAm&#10;NrGhPbuOvUY4PnO+Nil/PWcnaafyNMSLc/H9/u47X1x2jRNbg7EGX8rpyUQK4zVUtX8u5Y/Hm3cf&#10;pYikfKUceFPKnYnycvH2zUUb5uYU1uAqg4KD+DhvQynXRGFeFFGvTaPiCQTjWWkBG0X8i89Fharl&#10;6I0rTieTWdECVgFBmxj59rpXykWOb63RdGdtNCRcKbk2yifmc5XOYnGh5s+owrrWQxnqH6poVO05&#10;6T7UtSIlNlj/FaqpNUIESycamgKsrbXJPXA308lRNw9rFUzuhcGJYQ9T/H9h9bftQ7hHQd1n6HiA&#10;CZA2xHnky9RPZ7FJX65UsJ4h3O1hMx0JzZez8/dn5xNWadbNpp/OZxnX4uAdMNIXA41IQimRx5LR&#10;UtvbSJyRTUeTlMzDTe1cHo3zouWgZx8m2WGvYQ/nk63JQx7CHCrPEu2cSTbOfzdW1FVuIF1kepkr&#10;h2KrmBhKa+Mp957jsnWyslzEaxwH+0NVr3Hu+xgzg6e9c1N7wNz9UdnVz7Fk29szkC/6TiJ1q26Y&#10;6AqqHQ8aod+BGPRNzdO4VZHuFTLpeYC8yHTHh3XAqGtXBynWgL+P75Idc5A1UrS8PKWMvzYKjRTu&#10;q2d2cigaBRyF1Sj4TXMFDPuUn4ags8gOSG4ULULzxHu9TFlYpbzmXKVcjeIV9SvM74I2y2U24n0K&#10;im79Q9ApdJpC4tRj96QwDMQjpuw3GNdKzY/419tmgoTlhpiFmZwJyB69AWDexczZ4d1Iy/7yP1sd&#10;XrfFHwAAAP//AwBQSwMEFAAGAAgAAAAhANdfBMnaAAAABQEAAA8AAABkcnMvZG93bnJldi54bWxM&#10;jkFLw0AQhe+C/2EZwZvdpOhiYzZFRAVPYiql3qbZMQnJzobstk3+vVsvehl4vMc3X76ebC+ONPrW&#10;sYZ0kYAgrpxpudbwuXm5uQfhA7LB3jFpmMnDuri8yDEz7sQfdCxDLSKEfYYamhCGTEpfNWTRL9xA&#10;HLtvN1oMMY61NCOeItz2cpkkSlpsOX5ocKCnhqquPFgNyfz6pbpyfqPl8/vttpt2jJud1tdX0+MD&#10;iEBT+BvDWT+qQxGd9u7Axos+MuLu95679C5VIPYaVkqBLHL53774AQAA//8DAFBLAQItABQABgAI&#10;AAAAIQC2gziS/gAAAOEBAAATAAAAAAAAAAAAAAAAAAAAAABbQ29udGVudF9UeXBlc10ueG1sUEsB&#10;Ai0AFAAGAAgAAAAhADj9If/WAAAAlAEAAAsAAAAAAAAAAAAAAAAALwEAAF9yZWxzLy5yZWxzUEsB&#10;Ai0AFAAGAAgAAAAhAC4aDVheAgAAJQUAAA4AAAAAAAAAAAAAAAAALgIAAGRycy9lMm9Eb2MueG1s&#10;UEsBAi0AFAAGAAgAAAAhANdfBMnaAAAABQEAAA8AAAAAAAAAAAAAAAAAuAQAAGRycy9kb3ducmV2&#10;LnhtbFBLBQYAAAAABAAEAPMAAAC/BQAAAAA=&#10;" filled="f" stroked="f" strokeweight=".5pt">
                <v:textbox style="mso-fit-shape-to-text:t" inset="0,0,0,0">
                  <w:txbxContent>
                    <w:sdt>
                      <w:sdtPr>
                        <w:rPr>
                          <w:caps/>
                          <w:color w:val="156082" w:themeColor="accent1"/>
                          <w:sz w:val="28"/>
                          <w:szCs w:val="28"/>
                        </w:rPr>
                        <w:alias w:val="Date"/>
                        <w:id w:val="197127006"/>
                        <w:dataBinding w:prefixMappings="xmlns:ns0='http://schemas.microsoft.com/office/2006/coverPageProps' " w:xpath="/ns0:CoverPageProperties[1]/ns0:PublishDate[1]" w:storeItemID="{55AF091B-3C7A-41E3-B477-F2FDAA23CFDA}"/>
                        <w:date w:fullDate="2026-04-06T00:00:00Z">
                          <w:dateFormat w:val="MMMM d, yyyy"/>
                          <w:lid w:val="en-US"/>
                          <w:storeMappedDataAs w:val="dateTime"/>
                          <w:calendar w:val="gregorian"/>
                        </w:date>
                      </w:sdtPr>
                      <w:sdtEndPr/>
                      <w:sdtContent>
                        <w:p w14:paraId="5933ED85" w14:textId="586AF5A4" w:rsidR="00D7256F" w:rsidRDefault="00D7256F" w:rsidP="00D7256F">
                          <w:pPr>
                            <w:pStyle w:val="NoSpacing"/>
                            <w:spacing w:after="40"/>
                            <w:jc w:val="center"/>
                            <w:rPr>
                              <w:caps/>
                              <w:color w:val="156082" w:themeColor="accent1"/>
                              <w:sz w:val="28"/>
                              <w:szCs w:val="28"/>
                            </w:rPr>
                          </w:pPr>
                          <w:r>
                            <w:rPr>
                              <w:caps/>
                              <w:color w:val="156082" w:themeColor="accent1"/>
                              <w:sz w:val="28"/>
                              <w:szCs w:val="28"/>
                            </w:rPr>
                            <w:t>April 6, 2026</w:t>
                          </w:r>
                        </w:p>
                      </w:sdtContent>
                    </w:sdt>
                    <w:p w14:paraId="382BE221" w14:textId="77777777" w:rsidR="00D7256F" w:rsidRDefault="0018162F" w:rsidP="00D7256F">
                      <w:pPr>
                        <w:pStyle w:val="NoSpacing"/>
                        <w:jc w:val="center"/>
                        <w:rPr>
                          <w:color w:val="156082" w:themeColor="accent1"/>
                        </w:rPr>
                      </w:pPr>
                      <w:sdt>
                        <w:sdtPr>
                          <w:rPr>
                            <w:caps/>
                            <w:color w:val="156082" w:themeColor="accent1"/>
                          </w:rPr>
                          <w:alias w:val="Company"/>
                          <w:id w:val="1390145197"/>
                          <w:showingPlcHdr/>
                          <w:dataBinding w:prefixMappings="xmlns:ns0='http://schemas.openxmlformats.org/officeDocument/2006/extended-properties' " w:xpath="/ns0:Properties[1]/ns0:Company[1]" w:storeItemID="{6668398D-A668-4E3E-A5EB-62B293D839F1}"/>
                          <w:text/>
                        </w:sdtPr>
                        <w:sdtEndPr/>
                        <w:sdtContent>
                          <w:r w:rsidR="00D7256F">
                            <w:rPr>
                              <w:caps/>
                              <w:color w:val="156082" w:themeColor="accent1"/>
                            </w:rPr>
                            <w:t xml:space="preserve">     </w:t>
                          </w:r>
                        </w:sdtContent>
                      </w:sdt>
                    </w:p>
                    <w:p w14:paraId="068EEB87" w14:textId="77777777" w:rsidR="00D7256F" w:rsidRDefault="0018162F" w:rsidP="00D7256F">
                      <w:pPr>
                        <w:pStyle w:val="NoSpacing"/>
                        <w:jc w:val="center"/>
                        <w:rPr>
                          <w:color w:val="156082" w:themeColor="accent1"/>
                        </w:rPr>
                      </w:pPr>
                      <w:sdt>
                        <w:sdtPr>
                          <w:rPr>
                            <w:color w:val="156082" w:themeColor="accent1"/>
                          </w:rPr>
                          <w:alias w:val="Address"/>
                          <w:id w:val="-726379553"/>
                          <w:showingPlcHdr/>
                          <w:dataBinding w:prefixMappings="xmlns:ns0='http://schemas.microsoft.com/office/2006/coverPageProps' " w:xpath="/ns0:CoverPageProperties[1]/ns0:CompanyAddress[1]" w:storeItemID="{55AF091B-3C7A-41E3-B477-F2FDAA23CFDA}"/>
                          <w:text/>
                        </w:sdtPr>
                        <w:sdtEndPr/>
                        <w:sdtContent>
                          <w:r w:rsidR="00D7256F">
                            <w:rPr>
                              <w:color w:val="156082" w:themeColor="accent1"/>
                            </w:rPr>
                            <w:t xml:space="preserve">     </w:t>
                          </w:r>
                        </w:sdtContent>
                      </w:sdt>
                    </w:p>
                  </w:txbxContent>
                </v:textbox>
                <w10:wrap anchorx="margin" anchory="page"/>
              </v:shape>
            </w:pict>
          </mc:Fallback>
        </mc:AlternateContent>
      </w:r>
      <w:r>
        <w:rPr>
          <w:noProof/>
          <w:color w:val="156082" w:themeColor="accent1"/>
          <w:lang w:val="en-GB" w:eastAsia="en-GB"/>
        </w:rPr>
        <w:drawing>
          <wp:inline distT="0" distB="0" distL="0" distR="0" wp14:anchorId="2F4DDD6A" wp14:editId="1A5E83A0">
            <wp:extent cx="762000" cy="485775"/>
            <wp:effectExtent l="0" t="0" r="0" b="0"/>
            <wp:docPr id="144" name="Picture 1"/>
            <wp:cNvGraphicFramePr/>
            <a:graphic xmlns:a="http://schemas.openxmlformats.org/drawingml/2006/main">
              <a:graphicData uri="http://schemas.openxmlformats.org/drawingml/2006/picture">
                <pic:pic xmlns:pic="http://schemas.openxmlformats.org/drawingml/2006/picture">
                  <pic:nvPicPr>
                    <pic:cNvPr id="144" name="Picture 144"/>
                    <pic:cNvPicPr>
                      <a:picLocks noChangeAspect="1"/>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825" cy="478790"/>
                    </a:xfrm>
                    <a:prstGeom prst="rect">
                      <a:avLst/>
                    </a:prstGeom>
                  </pic:spPr>
                </pic:pic>
              </a:graphicData>
            </a:graphic>
          </wp:inline>
        </w:drawing>
      </w:r>
    </w:p>
    <w:p w14:paraId="4BD3A5A2" w14:textId="77777777" w:rsidR="00D7256F" w:rsidRPr="00CB69BE" w:rsidRDefault="00D7256F" w:rsidP="00D7256F">
      <w:pPr>
        <w:pStyle w:val="Heading1"/>
        <w:rPr>
          <w:sz w:val="32"/>
          <w:szCs w:val="32"/>
        </w:rPr>
      </w:pPr>
      <w:r>
        <w:rPr>
          <w:sz w:val="32"/>
          <w:szCs w:val="32"/>
        </w:rPr>
        <w:br w:type="page"/>
      </w:r>
      <w:bookmarkStart w:id="0" w:name="_Toc228186535"/>
      <w:r w:rsidRPr="00CB69BE">
        <w:rPr>
          <w:sz w:val="32"/>
          <w:szCs w:val="32"/>
        </w:rPr>
        <w:lastRenderedPageBreak/>
        <w:t>Executive Summary</w:t>
      </w:r>
      <w:bookmarkEnd w:id="0"/>
    </w:p>
    <w:p w14:paraId="258D5189" w14:textId="77777777" w:rsidR="00D7256F" w:rsidRDefault="00D7256F" w:rsidP="00D7256F"/>
    <w:p w14:paraId="56A7FFA6" w14:textId="77777777" w:rsidR="003C0108" w:rsidRPr="003C0108" w:rsidRDefault="003C0108" w:rsidP="003C0108">
      <w:pPr>
        <w:spacing w:before="100" w:beforeAutospacing="1" w:after="100" w:afterAutospacing="1" w:line="360" w:lineRule="auto"/>
        <w:rPr>
          <w:rFonts w:eastAsia="Times New Roman" w:cs="Times New Roman"/>
          <w:sz w:val="24"/>
          <w:szCs w:val="24"/>
          <w:lang w:eastAsia="en-GB"/>
        </w:rPr>
      </w:pPr>
      <w:r w:rsidRPr="003C0108">
        <w:rPr>
          <w:rFonts w:eastAsia="Times New Roman" w:cs="Times New Roman"/>
          <w:sz w:val="24"/>
          <w:szCs w:val="24"/>
          <w:lang w:eastAsia="en-GB"/>
        </w:rPr>
        <w:t>Artificial intelligence is now part of how multinational organisations operate, influencing decision-making, risk management and day-to-day activity. Within HSBC, its use across areas such as financial crime detection and credit assessment improves speed and consistency, while allowing large volumes of data to be processed more effectively. These advantages are clear, but they come with a shift in how risk is created and managed.</w:t>
      </w:r>
    </w:p>
    <w:p w14:paraId="060769D0" w14:textId="17ED31AB" w:rsidR="003C0108" w:rsidRPr="003C0108" w:rsidRDefault="003C0108" w:rsidP="003C0108">
      <w:pPr>
        <w:spacing w:before="100" w:beforeAutospacing="1" w:after="100" w:afterAutospacing="1" w:line="360" w:lineRule="auto"/>
        <w:rPr>
          <w:rFonts w:eastAsia="Times New Roman" w:cs="Times New Roman"/>
          <w:sz w:val="24"/>
          <w:szCs w:val="24"/>
          <w:lang w:eastAsia="en-GB"/>
        </w:rPr>
      </w:pPr>
      <w:r w:rsidRPr="003C0108">
        <w:rPr>
          <w:rFonts w:eastAsia="Times New Roman" w:cs="Times New Roman"/>
          <w:sz w:val="24"/>
          <w:szCs w:val="24"/>
          <w:lang w:eastAsia="en-GB"/>
        </w:rPr>
        <w:t xml:space="preserve">AI does not remove risk. It changes </w:t>
      </w:r>
      <w:r w:rsidR="00D95F97">
        <w:rPr>
          <w:rFonts w:eastAsia="Times New Roman" w:cs="Times New Roman"/>
          <w:sz w:val="24"/>
          <w:szCs w:val="24"/>
          <w:lang w:eastAsia="en-GB"/>
        </w:rPr>
        <w:t xml:space="preserve">how it is </w:t>
      </w:r>
      <w:r w:rsidR="007F69C0">
        <w:rPr>
          <w:rFonts w:eastAsia="Times New Roman" w:cs="Times New Roman"/>
          <w:sz w:val="24"/>
          <w:szCs w:val="24"/>
          <w:lang w:eastAsia="en-GB"/>
        </w:rPr>
        <w:t>distributed</w:t>
      </w:r>
      <w:r w:rsidRPr="003C0108">
        <w:rPr>
          <w:rFonts w:eastAsia="Times New Roman" w:cs="Times New Roman"/>
          <w:sz w:val="24"/>
          <w:szCs w:val="24"/>
          <w:lang w:eastAsia="en-GB"/>
        </w:rPr>
        <w:t xml:space="preserve">. Issues linked to data quality, system reliability and transparency become more difficult to identify, </w:t>
      </w:r>
      <w:r w:rsidR="00187B38">
        <w:rPr>
          <w:rFonts w:eastAsia="Times New Roman" w:cs="Times New Roman"/>
          <w:sz w:val="24"/>
          <w:szCs w:val="24"/>
          <w:lang w:eastAsia="en-GB"/>
        </w:rPr>
        <w:t>especiall</w:t>
      </w:r>
      <w:r w:rsidRPr="003C0108">
        <w:rPr>
          <w:rFonts w:eastAsia="Times New Roman" w:cs="Times New Roman"/>
          <w:sz w:val="24"/>
          <w:szCs w:val="24"/>
          <w:lang w:eastAsia="en-GB"/>
        </w:rPr>
        <w:t>y whe</w:t>
      </w:r>
      <w:r w:rsidR="007F69C0">
        <w:rPr>
          <w:rFonts w:eastAsia="Times New Roman" w:cs="Times New Roman"/>
          <w:sz w:val="24"/>
          <w:szCs w:val="24"/>
          <w:lang w:eastAsia="en-GB"/>
        </w:rPr>
        <w:t xml:space="preserve">n </w:t>
      </w:r>
      <w:r w:rsidRPr="003C0108">
        <w:rPr>
          <w:rFonts w:eastAsia="Times New Roman" w:cs="Times New Roman"/>
          <w:sz w:val="24"/>
          <w:szCs w:val="24"/>
          <w:lang w:eastAsia="en-GB"/>
        </w:rPr>
        <w:t xml:space="preserve">decision processes are less visible. This creates exposure to regulatory and reputational challenges, especially in areas </w:t>
      </w:r>
      <w:r w:rsidR="002202FE">
        <w:rPr>
          <w:rFonts w:eastAsia="Times New Roman" w:cs="Times New Roman"/>
          <w:sz w:val="24"/>
          <w:szCs w:val="24"/>
          <w:lang w:eastAsia="en-GB"/>
        </w:rPr>
        <w:t xml:space="preserve">in which </w:t>
      </w:r>
      <w:r w:rsidRPr="003C0108">
        <w:rPr>
          <w:rFonts w:eastAsia="Times New Roman" w:cs="Times New Roman"/>
          <w:sz w:val="24"/>
          <w:szCs w:val="24"/>
          <w:lang w:eastAsia="en-GB"/>
        </w:rPr>
        <w:t>outcomes need to be justified and clearly understood.</w:t>
      </w:r>
    </w:p>
    <w:p w14:paraId="65730742" w14:textId="5343B3CC" w:rsidR="003C0108" w:rsidRPr="003C0108" w:rsidRDefault="003C0108" w:rsidP="003C0108">
      <w:pPr>
        <w:spacing w:before="100" w:beforeAutospacing="1" w:after="100" w:afterAutospacing="1" w:line="360" w:lineRule="auto"/>
        <w:rPr>
          <w:rFonts w:eastAsia="Times New Roman" w:cs="Times New Roman"/>
          <w:sz w:val="24"/>
          <w:szCs w:val="24"/>
          <w:lang w:eastAsia="en-GB"/>
        </w:rPr>
      </w:pPr>
      <w:r w:rsidRPr="003C0108">
        <w:rPr>
          <w:rFonts w:eastAsia="Times New Roman" w:cs="Times New Roman"/>
          <w:sz w:val="24"/>
          <w:szCs w:val="24"/>
          <w:lang w:eastAsia="en-GB"/>
        </w:rPr>
        <w:t>Operating across both the UK and EU adds further pressure. Regulatory expectations are not aligned, requiring organisations to meet different standards at the same time. A more structured EU approach provides clearer requirements but increases compliance demands. The UK model allows more flexibility, placing greater reliance on internal judgement. Maintaining consistency across both environments becomes a challenge.</w:t>
      </w:r>
    </w:p>
    <w:p w14:paraId="08EA5FBF" w14:textId="6D0C569D" w:rsidR="003C0108" w:rsidRPr="003C0108" w:rsidRDefault="003C0108" w:rsidP="003C0108">
      <w:pPr>
        <w:spacing w:before="100" w:beforeAutospacing="1" w:after="100" w:afterAutospacing="1" w:line="360" w:lineRule="auto"/>
        <w:rPr>
          <w:rFonts w:eastAsia="Times New Roman" w:cs="Times New Roman"/>
          <w:sz w:val="24"/>
          <w:szCs w:val="24"/>
          <w:lang w:eastAsia="en-GB"/>
        </w:rPr>
      </w:pPr>
      <w:r w:rsidRPr="003C0108">
        <w:rPr>
          <w:rFonts w:eastAsia="Times New Roman" w:cs="Times New Roman"/>
          <w:sz w:val="24"/>
          <w:szCs w:val="24"/>
          <w:lang w:eastAsia="en-GB"/>
        </w:rPr>
        <w:t xml:space="preserve">The way data is managed and controlled shapes how AI systems perform and how outcomes are interpreted. Weak controls do not just affect </w:t>
      </w:r>
      <w:r w:rsidR="00776786" w:rsidRPr="003C0108">
        <w:rPr>
          <w:rFonts w:eastAsia="Times New Roman" w:cs="Times New Roman"/>
          <w:sz w:val="24"/>
          <w:szCs w:val="24"/>
          <w:lang w:eastAsia="en-GB"/>
        </w:rPr>
        <w:t>accuracy;</w:t>
      </w:r>
      <w:r w:rsidRPr="003C0108">
        <w:rPr>
          <w:rFonts w:eastAsia="Times New Roman" w:cs="Times New Roman"/>
          <w:sz w:val="24"/>
          <w:szCs w:val="24"/>
          <w:lang w:eastAsia="en-GB"/>
        </w:rPr>
        <w:t xml:space="preserve"> they make it harder to challenge decisions and maintain accountability.</w:t>
      </w:r>
    </w:p>
    <w:p w14:paraId="2267E407" w14:textId="77777777" w:rsidR="003C0108" w:rsidRPr="003C0108" w:rsidRDefault="003C0108" w:rsidP="003C0108">
      <w:pPr>
        <w:spacing w:before="100" w:beforeAutospacing="1" w:after="100" w:afterAutospacing="1" w:line="360" w:lineRule="auto"/>
        <w:rPr>
          <w:rFonts w:eastAsia="Times New Roman" w:cs="Times New Roman"/>
          <w:sz w:val="24"/>
          <w:szCs w:val="24"/>
          <w:lang w:eastAsia="en-GB"/>
        </w:rPr>
      </w:pPr>
      <w:r w:rsidRPr="003C0108">
        <w:rPr>
          <w:rFonts w:eastAsia="Times New Roman" w:cs="Times New Roman"/>
          <w:sz w:val="24"/>
          <w:szCs w:val="24"/>
          <w:lang w:eastAsia="en-GB"/>
        </w:rPr>
        <w:t>Stronger governance, clearer ownership and a structured ethical framework supported by ongoing monitoring provide a practical way to maintain control while continuing to use AI effectively.</w:t>
      </w:r>
    </w:p>
    <w:p w14:paraId="06A39885" w14:textId="77777777" w:rsidR="003C0108" w:rsidRPr="003C0108" w:rsidRDefault="003C0108" w:rsidP="003C0108">
      <w:pPr>
        <w:spacing w:line="360" w:lineRule="auto"/>
        <w:rPr>
          <w:kern w:val="2"/>
          <w:sz w:val="24"/>
          <w:szCs w:val="24"/>
          <w14:ligatures w14:val="standardContextual"/>
        </w:rPr>
      </w:pPr>
    </w:p>
    <w:p w14:paraId="029985A0" w14:textId="77777777" w:rsidR="003C0108" w:rsidRDefault="003C0108" w:rsidP="00D7256F"/>
    <w:p w14:paraId="67D90FFA" w14:textId="77777777" w:rsidR="00D7256F" w:rsidRDefault="00D7256F" w:rsidP="00D7256F"/>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14:paraId="0D46D053" w14:textId="77777777" w:rsidR="00D7256F" w:rsidRDefault="00D7256F" w:rsidP="00D7256F">
          <w:pPr>
            <w:pStyle w:val="TOCHeading"/>
          </w:pPr>
          <w:r>
            <w:t>Table of Contents</w:t>
          </w:r>
        </w:p>
        <w:p w14:paraId="0BA22D62" w14:textId="77777777" w:rsidR="002176BB" w:rsidRDefault="002176BB">
          <w:pPr>
            <w:pStyle w:val="TOC1"/>
            <w:tabs>
              <w:tab w:val="right" w:leader="dot" w:pos="9016"/>
            </w:tabs>
          </w:pPr>
        </w:p>
        <w:p w14:paraId="57D74D2C" w14:textId="3E84E717" w:rsidR="002176BB" w:rsidRDefault="00D7256F">
          <w:pPr>
            <w:pStyle w:val="TOC1"/>
            <w:tabs>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228186535" w:history="1">
            <w:r w:rsidR="002176BB" w:rsidRPr="002345E5">
              <w:rPr>
                <w:rStyle w:val="Hyperlink"/>
                <w:noProof/>
              </w:rPr>
              <w:t>Executive Summary</w:t>
            </w:r>
            <w:r w:rsidR="002176BB">
              <w:rPr>
                <w:noProof/>
                <w:webHidden/>
              </w:rPr>
              <w:tab/>
            </w:r>
            <w:r w:rsidR="002176BB">
              <w:rPr>
                <w:noProof/>
                <w:webHidden/>
              </w:rPr>
              <w:fldChar w:fldCharType="begin"/>
            </w:r>
            <w:r w:rsidR="002176BB">
              <w:rPr>
                <w:noProof/>
                <w:webHidden/>
              </w:rPr>
              <w:instrText xml:space="preserve"> PAGEREF _Toc228186535 \h </w:instrText>
            </w:r>
            <w:r w:rsidR="002176BB">
              <w:rPr>
                <w:noProof/>
                <w:webHidden/>
              </w:rPr>
            </w:r>
            <w:r w:rsidR="002176BB">
              <w:rPr>
                <w:noProof/>
                <w:webHidden/>
              </w:rPr>
              <w:fldChar w:fldCharType="separate"/>
            </w:r>
            <w:r w:rsidR="002176BB">
              <w:rPr>
                <w:noProof/>
                <w:webHidden/>
              </w:rPr>
              <w:t>2</w:t>
            </w:r>
            <w:r w:rsidR="002176BB">
              <w:rPr>
                <w:noProof/>
                <w:webHidden/>
              </w:rPr>
              <w:fldChar w:fldCharType="end"/>
            </w:r>
          </w:hyperlink>
        </w:p>
        <w:p w14:paraId="79B886EB" w14:textId="7E142D54" w:rsidR="002176BB" w:rsidRDefault="002176BB">
          <w:pPr>
            <w:pStyle w:val="TOC1"/>
            <w:tabs>
              <w:tab w:val="right" w:leader="dot" w:pos="9016"/>
            </w:tabs>
            <w:rPr>
              <w:rFonts w:eastAsiaTheme="minorEastAsia"/>
              <w:noProof/>
              <w:kern w:val="2"/>
              <w:sz w:val="24"/>
              <w:szCs w:val="24"/>
              <w:lang w:eastAsia="en-GB"/>
              <w14:ligatures w14:val="standardContextual"/>
            </w:rPr>
          </w:pPr>
          <w:hyperlink w:anchor="_Toc228186536" w:history="1">
            <w:r w:rsidRPr="002345E5">
              <w:rPr>
                <w:rStyle w:val="Hyperlink"/>
                <w:noProof/>
              </w:rPr>
              <w:t>Introduction</w:t>
            </w:r>
            <w:r>
              <w:rPr>
                <w:noProof/>
                <w:webHidden/>
              </w:rPr>
              <w:tab/>
            </w:r>
            <w:r>
              <w:rPr>
                <w:noProof/>
                <w:webHidden/>
              </w:rPr>
              <w:fldChar w:fldCharType="begin"/>
            </w:r>
            <w:r>
              <w:rPr>
                <w:noProof/>
                <w:webHidden/>
              </w:rPr>
              <w:instrText xml:space="preserve"> PAGEREF _Toc228186536 \h </w:instrText>
            </w:r>
            <w:r>
              <w:rPr>
                <w:noProof/>
                <w:webHidden/>
              </w:rPr>
            </w:r>
            <w:r>
              <w:rPr>
                <w:noProof/>
                <w:webHidden/>
              </w:rPr>
              <w:fldChar w:fldCharType="separate"/>
            </w:r>
            <w:r>
              <w:rPr>
                <w:noProof/>
                <w:webHidden/>
              </w:rPr>
              <w:t>4</w:t>
            </w:r>
            <w:r>
              <w:rPr>
                <w:noProof/>
                <w:webHidden/>
              </w:rPr>
              <w:fldChar w:fldCharType="end"/>
            </w:r>
          </w:hyperlink>
        </w:p>
        <w:p w14:paraId="371CE1D4" w14:textId="36D38B7D" w:rsidR="002176BB" w:rsidRDefault="002176BB">
          <w:pPr>
            <w:pStyle w:val="TOC1"/>
            <w:tabs>
              <w:tab w:val="right" w:leader="dot" w:pos="9016"/>
            </w:tabs>
            <w:rPr>
              <w:rFonts w:eastAsiaTheme="minorEastAsia"/>
              <w:noProof/>
              <w:kern w:val="2"/>
              <w:sz w:val="24"/>
              <w:szCs w:val="24"/>
              <w:lang w:eastAsia="en-GB"/>
              <w14:ligatures w14:val="standardContextual"/>
            </w:rPr>
          </w:pPr>
          <w:hyperlink w:anchor="_Toc228186537" w:history="1">
            <w:r w:rsidRPr="002345E5">
              <w:rPr>
                <w:rStyle w:val="Hyperlink"/>
                <w:noProof/>
              </w:rPr>
              <w:t>Main Findings</w:t>
            </w:r>
            <w:r>
              <w:rPr>
                <w:noProof/>
                <w:webHidden/>
              </w:rPr>
              <w:tab/>
            </w:r>
            <w:r>
              <w:rPr>
                <w:noProof/>
                <w:webHidden/>
              </w:rPr>
              <w:fldChar w:fldCharType="begin"/>
            </w:r>
            <w:r>
              <w:rPr>
                <w:noProof/>
                <w:webHidden/>
              </w:rPr>
              <w:instrText xml:space="preserve"> PAGEREF _Toc228186537 \h </w:instrText>
            </w:r>
            <w:r>
              <w:rPr>
                <w:noProof/>
                <w:webHidden/>
              </w:rPr>
            </w:r>
            <w:r>
              <w:rPr>
                <w:noProof/>
                <w:webHidden/>
              </w:rPr>
              <w:fldChar w:fldCharType="separate"/>
            </w:r>
            <w:r>
              <w:rPr>
                <w:noProof/>
                <w:webHidden/>
              </w:rPr>
              <w:t>6</w:t>
            </w:r>
            <w:r>
              <w:rPr>
                <w:noProof/>
                <w:webHidden/>
              </w:rPr>
              <w:fldChar w:fldCharType="end"/>
            </w:r>
          </w:hyperlink>
        </w:p>
        <w:p w14:paraId="6A10509D" w14:textId="1461CD0E" w:rsidR="002176BB" w:rsidRDefault="002176BB" w:rsidP="002176BB">
          <w:pPr>
            <w:pStyle w:val="TOC2"/>
            <w:tabs>
              <w:tab w:val="right" w:leader="dot" w:pos="9016"/>
            </w:tabs>
            <w:ind w:left="0"/>
            <w:rPr>
              <w:rFonts w:eastAsiaTheme="minorEastAsia"/>
              <w:noProof/>
              <w:kern w:val="2"/>
              <w:sz w:val="24"/>
              <w:szCs w:val="24"/>
              <w:lang w:eastAsia="en-GB"/>
              <w14:ligatures w14:val="standardContextual"/>
            </w:rPr>
          </w:pPr>
          <w:hyperlink w:anchor="_Toc228186538" w:history="1">
            <w:r w:rsidRPr="002345E5">
              <w:rPr>
                <w:rStyle w:val="Hyperlink"/>
                <w:noProof/>
              </w:rPr>
              <w:t>Global and Macroeconomic Context</w:t>
            </w:r>
            <w:r>
              <w:rPr>
                <w:noProof/>
                <w:webHidden/>
              </w:rPr>
              <w:tab/>
            </w:r>
            <w:r>
              <w:rPr>
                <w:noProof/>
                <w:webHidden/>
              </w:rPr>
              <w:fldChar w:fldCharType="begin"/>
            </w:r>
            <w:r>
              <w:rPr>
                <w:noProof/>
                <w:webHidden/>
              </w:rPr>
              <w:instrText xml:space="preserve"> PAGEREF _Toc228186538 \h </w:instrText>
            </w:r>
            <w:r>
              <w:rPr>
                <w:noProof/>
                <w:webHidden/>
              </w:rPr>
            </w:r>
            <w:r>
              <w:rPr>
                <w:noProof/>
                <w:webHidden/>
              </w:rPr>
              <w:fldChar w:fldCharType="separate"/>
            </w:r>
            <w:r>
              <w:rPr>
                <w:noProof/>
                <w:webHidden/>
              </w:rPr>
              <w:t>6</w:t>
            </w:r>
            <w:r>
              <w:rPr>
                <w:noProof/>
                <w:webHidden/>
              </w:rPr>
              <w:fldChar w:fldCharType="end"/>
            </w:r>
          </w:hyperlink>
        </w:p>
        <w:p w14:paraId="0EF185A2" w14:textId="4A7D3085" w:rsidR="002176BB" w:rsidRDefault="002176BB">
          <w:pPr>
            <w:pStyle w:val="TOC1"/>
            <w:tabs>
              <w:tab w:val="right" w:leader="dot" w:pos="9016"/>
            </w:tabs>
            <w:rPr>
              <w:rFonts w:eastAsiaTheme="minorEastAsia"/>
              <w:noProof/>
              <w:kern w:val="2"/>
              <w:sz w:val="24"/>
              <w:szCs w:val="24"/>
              <w:lang w:eastAsia="en-GB"/>
              <w14:ligatures w14:val="standardContextual"/>
            </w:rPr>
          </w:pPr>
          <w:hyperlink w:anchor="_Toc228186539" w:history="1">
            <w:r w:rsidRPr="002345E5">
              <w:rPr>
                <w:rStyle w:val="Hyperlink"/>
                <w:noProof/>
              </w:rPr>
              <w:t>AI and Risk Management in HSBC</w:t>
            </w:r>
            <w:r>
              <w:rPr>
                <w:noProof/>
                <w:webHidden/>
              </w:rPr>
              <w:tab/>
            </w:r>
            <w:r>
              <w:rPr>
                <w:noProof/>
                <w:webHidden/>
              </w:rPr>
              <w:fldChar w:fldCharType="begin"/>
            </w:r>
            <w:r>
              <w:rPr>
                <w:noProof/>
                <w:webHidden/>
              </w:rPr>
              <w:instrText xml:space="preserve"> PAGEREF _Toc228186539 \h </w:instrText>
            </w:r>
            <w:r>
              <w:rPr>
                <w:noProof/>
                <w:webHidden/>
              </w:rPr>
            </w:r>
            <w:r>
              <w:rPr>
                <w:noProof/>
                <w:webHidden/>
              </w:rPr>
              <w:fldChar w:fldCharType="separate"/>
            </w:r>
            <w:r>
              <w:rPr>
                <w:noProof/>
                <w:webHidden/>
              </w:rPr>
              <w:t>8</w:t>
            </w:r>
            <w:r>
              <w:rPr>
                <w:noProof/>
                <w:webHidden/>
              </w:rPr>
              <w:fldChar w:fldCharType="end"/>
            </w:r>
          </w:hyperlink>
        </w:p>
        <w:p w14:paraId="62A04F39" w14:textId="0A32C18E" w:rsidR="002176BB" w:rsidRDefault="002176BB">
          <w:pPr>
            <w:pStyle w:val="TOC1"/>
            <w:tabs>
              <w:tab w:val="right" w:leader="dot" w:pos="9016"/>
            </w:tabs>
            <w:rPr>
              <w:rFonts w:eastAsiaTheme="minorEastAsia"/>
              <w:noProof/>
              <w:kern w:val="2"/>
              <w:sz w:val="24"/>
              <w:szCs w:val="24"/>
              <w:lang w:eastAsia="en-GB"/>
              <w14:ligatures w14:val="standardContextual"/>
            </w:rPr>
          </w:pPr>
          <w:hyperlink w:anchor="_Toc228186540" w:history="1">
            <w:r w:rsidRPr="002345E5">
              <w:rPr>
                <w:rStyle w:val="Hyperlink"/>
                <w:noProof/>
              </w:rPr>
              <w:t>Data Governance and Regulatory Risk</w:t>
            </w:r>
            <w:r>
              <w:rPr>
                <w:noProof/>
                <w:webHidden/>
              </w:rPr>
              <w:tab/>
            </w:r>
            <w:r>
              <w:rPr>
                <w:noProof/>
                <w:webHidden/>
              </w:rPr>
              <w:fldChar w:fldCharType="begin"/>
            </w:r>
            <w:r>
              <w:rPr>
                <w:noProof/>
                <w:webHidden/>
              </w:rPr>
              <w:instrText xml:space="preserve"> PAGEREF _Toc228186540 \h </w:instrText>
            </w:r>
            <w:r>
              <w:rPr>
                <w:noProof/>
                <w:webHidden/>
              </w:rPr>
            </w:r>
            <w:r>
              <w:rPr>
                <w:noProof/>
                <w:webHidden/>
              </w:rPr>
              <w:fldChar w:fldCharType="separate"/>
            </w:r>
            <w:r>
              <w:rPr>
                <w:noProof/>
                <w:webHidden/>
              </w:rPr>
              <w:t>10</w:t>
            </w:r>
            <w:r>
              <w:rPr>
                <w:noProof/>
                <w:webHidden/>
              </w:rPr>
              <w:fldChar w:fldCharType="end"/>
            </w:r>
          </w:hyperlink>
        </w:p>
        <w:p w14:paraId="3B0C2077" w14:textId="7B3F2CA3" w:rsidR="002176BB" w:rsidRDefault="002176BB">
          <w:pPr>
            <w:pStyle w:val="TOC1"/>
            <w:tabs>
              <w:tab w:val="right" w:leader="dot" w:pos="9016"/>
            </w:tabs>
            <w:rPr>
              <w:rFonts w:eastAsiaTheme="minorEastAsia"/>
              <w:noProof/>
              <w:kern w:val="2"/>
              <w:sz w:val="24"/>
              <w:szCs w:val="24"/>
              <w:lang w:eastAsia="en-GB"/>
              <w14:ligatures w14:val="standardContextual"/>
            </w:rPr>
          </w:pPr>
          <w:hyperlink w:anchor="_Toc228186541" w:history="1">
            <w:r w:rsidRPr="002345E5">
              <w:rPr>
                <w:rStyle w:val="Hyperlink"/>
                <w:noProof/>
              </w:rPr>
              <w:t>Ethical AI and Customer Trust</w:t>
            </w:r>
            <w:r>
              <w:rPr>
                <w:noProof/>
                <w:webHidden/>
              </w:rPr>
              <w:tab/>
            </w:r>
            <w:r>
              <w:rPr>
                <w:noProof/>
                <w:webHidden/>
              </w:rPr>
              <w:fldChar w:fldCharType="begin"/>
            </w:r>
            <w:r>
              <w:rPr>
                <w:noProof/>
                <w:webHidden/>
              </w:rPr>
              <w:instrText xml:space="preserve"> PAGEREF _Toc228186541 \h </w:instrText>
            </w:r>
            <w:r>
              <w:rPr>
                <w:noProof/>
                <w:webHidden/>
              </w:rPr>
            </w:r>
            <w:r>
              <w:rPr>
                <w:noProof/>
                <w:webHidden/>
              </w:rPr>
              <w:fldChar w:fldCharType="separate"/>
            </w:r>
            <w:r>
              <w:rPr>
                <w:noProof/>
                <w:webHidden/>
              </w:rPr>
              <w:t>13</w:t>
            </w:r>
            <w:r>
              <w:rPr>
                <w:noProof/>
                <w:webHidden/>
              </w:rPr>
              <w:fldChar w:fldCharType="end"/>
            </w:r>
          </w:hyperlink>
        </w:p>
        <w:p w14:paraId="5B463824" w14:textId="3FD11873" w:rsidR="002176BB" w:rsidRDefault="002176BB">
          <w:pPr>
            <w:pStyle w:val="TOC1"/>
            <w:tabs>
              <w:tab w:val="right" w:leader="dot" w:pos="9016"/>
            </w:tabs>
            <w:rPr>
              <w:rFonts w:eastAsiaTheme="minorEastAsia"/>
              <w:noProof/>
              <w:kern w:val="2"/>
              <w:sz w:val="24"/>
              <w:szCs w:val="24"/>
              <w:lang w:eastAsia="en-GB"/>
              <w14:ligatures w14:val="standardContextual"/>
            </w:rPr>
          </w:pPr>
          <w:hyperlink w:anchor="_Toc228186542" w:history="1">
            <w:r w:rsidRPr="002345E5">
              <w:rPr>
                <w:rStyle w:val="Hyperlink"/>
                <w:noProof/>
              </w:rPr>
              <w:t>Differences in AI Regulatory Approaches: UK vs EU</w:t>
            </w:r>
            <w:r>
              <w:rPr>
                <w:noProof/>
                <w:webHidden/>
              </w:rPr>
              <w:tab/>
            </w:r>
            <w:r>
              <w:rPr>
                <w:noProof/>
                <w:webHidden/>
              </w:rPr>
              <w:fldChar w:fldCharType="begin"/>
            </w:r>
            <w:r>
              <w:rPr>
                <w:noProof/>
                <w:webHidden/>
              </w:rPr>
              <w:instrText xml:space="preserve"> PAGEREF _Toc228186542 \h </w:instrText>
            </w:r>
            <w:r>
              <w:rPr>
                <w:noProof/>
                <w:webHidden/>
              </w:rPr>
            </w:r>
            <w:r>
              <w:rPr>
                <w:noProof/>
                <w:webHidden/>
              </w:rPr>
              <w:fldChar w:fldCharType="separate"/>
            </w:r>
            <w:r>
              <w:rPr>
                <w:noProof/>
                <w:webHidden/>
              </w:rPr>
              <w:t>16</w:t>
            </w:r>
            <w:r>
              <w:rPr>
                <w:noProof/>
                <w:webHidden/>
              </w:rPr>
              <w:fldChar w:fldCharType="end"/>
            </w:r>
          </w:hyperlink>
        </w:p>
        <w:p w14:paraId="2FE49EC9" w14:textId="4CE625A6" w:rsidR="002176BB" w:rsidRDefault="002176BB">
          <w:pPr>
            <w:pStyle w:val="TOC1"/>
            <w:tabs>
              <w:tab w:val="right" w:leader="dot" w:pos="9016"/>
            </w:tabs>
            <w:rPr>
              <w:rFonts w:eastAsiaTheme="minorEastAsia"/>
              <w:noProof/>
              <w:kern w:val="2"/>
              <w:sz w:val="24"/>
              <w:szCs w:val="24"/>
              <w:lang w:eastAsia="en-GB"/>
              <w14:ligatures w14:val="standardContextual"/>
            </w:rPr>
          </w:pPr>
          <w:hyperlink w:anchor="_Toc228186543" w:history="1">
            <w:r w:rsidRPr="002345E5">
              <w:rPr>
                <w:rStyle w:val="Hyperlink"/>
                <w:noProof/>
              </w:rPr>
              <w:t>Corporate Governance and Leadership</w:t>
            </w:r>
            <w:r>
              <w:rPr>
                <w:noProof/>
                <w:webHidden/>
              </w:rPr>
              <w:tab/>
            </w:r>
            <w:r>
              <w:rPr>
                <w:noProof/>
                <w:webHidden/>
              </w:rPr>
              <w:fldChar w:fldCharType="begin"/>
            </w:r>
            <w:r>
              <w:rPr>
                <w:noProof/>
                <w:webHidden/>
              </w:rPr>
              <w:instrText xml:space="preserve"> PAGEREF _Toc228186543 \h </w:instrText>
            </w:r>
            <w:r>
              <w:rPr>
                <w:noProof/>
                <w:webHidden/>
              </w:rPr>
            </w:r>
            <w:r>
              <w:rPr>
                <w:noProof/>
                <w:webHidden/>
              </w:rPr>
              <w:fldChar w:fldCharType="separate"/>
            </w:r>
            <w:r>
              <w:rPr>
                <w:noProof/>
                <w:webHidden/>
              </w:rPr>
              <w:t>19</w:t>
            </w:r>
            <w:r>
              <w:rPr>
                <w:noProof/>
                <w:webHidden/>
              </w:rPr>
              <w:fldChar w:fldCharType="end"/>
            </w:r>
          </w:hyperlink>
        </w:p>
        <w:p w14:paraId="70AC5976" w14:textId="77F0CA64" w:rsidR="002176BB" w:rsidRDefault="002176BB">
          <w:pPr>
            <w:pStyle w:val="TOC1"/>
            <w:tabs>
              <w:tab w:val="right" w:leader="dot" w:pos="9016"/>
            </w:tabs>
            <w:rPr>
              <w:rFonts w:eastAsiaTheme="minorEastAsia"/>
              <w:noProof/>
              <w:kern w:val="2"/>
              <w:sz w:val="24"/>
              <w:szCs w:val="24"/>
              <w:lang w:eastAsia="en-GB"/>
              <w14:ligatures w14:val="standardContextual"/>
            </w:rPr>
          </w:pPr>
          <w:hyperlink w:anchor="_Toc228186544" w:history="1">
            <w:r w:rsidRPr="002345E5">
              <w:rPr>
                <w:rStyle w:val="Hyperlink"/>
                <w:noProof/>
              </w:rPr>
              <w:t>Recommendations</w:t>
            </w:r>
            <w:r>
              <w:rPr>
                <w:noProof/>
                <w:webHidden/>
              </w:rPr>
              <w:tab/>
            </w:r>
            <w:r>
              <w:rPr>
                <w:noProof/>
                <w:webHidden/>
              </w:rPr>
              <w:fldChar w:fldCharType="begin"/>
            </w:r>
            <w:r>
              <w:rPr>
                <w:noProof/>
                <w:webHidden/>
              </w:rPr>
              <w:instrText xml:space="preserve"> PAGEREF _Toc228186544 \h </w:instrText>
            </w:r>
            <w:r>
              <w:rPr>
                <w:noProof/>
                <w:webHidden/>
              </w:rPr>
            </w:r>
            <w:r>
              <w:rPr>
                <w:noProof/>
                <w:webHidden/>
              </w:rPr>
              <w:fldChar w:fldCharType="separate"/>
            </w:r>
            <w:r>
              <w:rPr>
                <w:noProof/>
                <w:webHidden/>
              </w:rPr>
              <w:t>21</w:t>
            </w:r>
            <w:r>
              <w:rPr>
                <w:noProof/>
                <w:webHidden/>
              </w:rPr>
              <w:fldChar w:fldCharType="end"/>
            </w:r>
          </w:hyperlink>
        </w:p>
        <w:p w14:paraId="1EF0F8E8" w14:textId="4473E740" w:rsidR="002176BB" w:rsidRDefault="002176BB">
          <w:pPr>
            <w:pStyle w:val="TOC1"/>
            <w:tabs>
              <w:tab w:val="right" w:leader="dot" w:pos="9016"/>
            </w:tabs>
            <w:rPr>
              <w:rFonts w:eastAsiaTheme="minorEastAsia"/>
              <w:noProof/>
              <w:kern w:val="2"/>
              <w:sz w:val="24"/>
              <w:szCs w:val="24"/>
              <w:lang w:eastAsia="en-GB"/>
              <w14:ligatures w14:val="standardContextual"/>
            </w:rPr>
          </w:pPr>
          <w:hyperlink w:anchor="_Toc228186545" w:history="1">
            <w:r w:rsidRPr="002345E5">
              <w:rPr>
                <w:rStyle w:val="Hyperlink"/>
                <w:noProof/>
              </w:rPr>
              <w:t>Implementation Plan</w:t>
            </w:r>
            <w:r>
              <w:rPr>
                <w:noProof/>
                <w:webHidden/>
              </w:rPr>
              <w:tab/>
            </w:r>
            <w:r>
              <w:rPr>
                <w:noProof/>
                <w:webHidden/>
              </w:rPr>
              <w:fldChar w:fldCharType="begin"/>
            </w:r>
            <w:r>
              <w:rPr>
                <w:noProof/>
                <w:webHidden/>
              </w:rPr>
              <w:instrText xml:space="preserve"> PAGEREF _Toc228186545 \h </w:instrText>
            </w:r>
            <w:r>
              <w:rPr>
                <w:noProof/>
                <w:webHidden/>
              </w:rPr>
            </w:r>
            <w:r>
              <w:rPr>
                <w:noProof/>
                <w:webHidden/>
              </w:rPr>
              <w:fldChar w:fldCharType="separate"/>
            </w:r>
            <w:r>
              <w:rPr>
                <w:noProof/>
                <w:webHidden/>
              </w:rPr>
              <w:t>23</w:t>
            </w:r>
            <w:r>
              <w:rPr>
                <w:noProof/>
                <w:webHidden/>
              </w:rPr>
              <w:fldChar w:fldCharType="end"/>
            </w:r>
          </w:hyperlink>
        </w:p>
        <w:p w14:paraId="1D89ABA2" w14:textId="72F59417" w:rsidR="002176BB" w:rsidRDefault="002176BB">
          <w:pPr>
            <w:pStyle w:val="TOC1"/>
            <w:tabs>
              <w:tab w:val="right" w:leader="dot" w:pos="9016"/>
            </w:tabs>
            <w:rPr>
              <w:rFonts w:eastAsiaTheme="minorEastAsia"/>
              <w:noProof/>
              <w:kern w:val="2"/>
              <w:sz w:val="24"/>
              <w:szCs w:val="24"/>
              <w:lang w:eastAsia="en-GB"/>
              <w14:ligatures w14:val="standardContextual"/>
            </w:rPr>
          </w:pPr>
          <w:hyperlink w:anchor="_Toc228186546" w:history="1">
            <w:r w:rsidRPr="002345E5">
              <w:rPr>
                <w:rStyle w:val="Hyperlink"/>
                <w:noProof/>
              </w:rPr>
              <w:t>Conclusion</w:t>
            </w:r>
            <w:r>
              <w:rPr>
                <w:noProof/>
                <w:webHidden/>
              </w:rPr>
              <w:tab/>
            </w:r>
            <w:r>
              <w:rPr>
                <w:noProof/>
                <w:webHidden/>
              </w:rPr>
              <w:fldChar w:fldCharType="begin"/>
            </w:r>
            <w:r>
              <w:rPr>
                <w:noProof/>
                <w:webHidden/>
              </w:rPr>
              <w:instrText xml:space="preserve"> PAGEREF _Toc228186546 \h </w:instrText>
            </w:r>
            <w:r>
              <w:rPr>
                <w:noProof/>
                <w:webHidden/>
              </w:rPr>
            </w:r>
            <w:r>
              <w:rPr>
                <w:noProof/>
                <w:webHidden/>
              </w:rPr>
              <w:fldChar w:fldCharType="separate"/>
            </w:r>
            <w:r>
              <w:rPr>
                <w:noProof/>
                <w:webHidden/>
              </w:rPr>
              <w:t>25</w:t>
            </w:r>
            <w:r>
              <w:rPr>
                <w:noProof/>
                <w:webHidden/>
              </w:rPr>
              <w:fldChar w:fldCharType="end"/>
            </w:r>
          </w:hyperlink>
        </w:p>
        <w:p w14:paraId="458A270A" w14:textId="5CE0ABEC" w:rsidR="002176BB" w:rsidRDefault="002176BB">
          <w:pPr>
            <w:pStyle w:val="TOC1"/>
            <w:tabs>
              <w:tab w:val="right" w:leader="dot" w:pos="9016"/>
            </w:tabs>
            <w:rPr>
              <w:rFonts w:eastAsiaTheme="minorEastAsia"/>
              <w:noProof/>
              <w:kern w:val="2"/>
              <w:sz w:val="24"/>
              <w:szCs w:val="24"/>
              <w:lang w:eastAsia="en-GB"/>
              <w14:ligatures w14:val="standardContextual"/>
            </w:rPr>
          </w:pPr>
          <w:hyperlink w:anchor="_Toc228186547" w:history="1">
            <w:r w:rsidRPr="002345E5">
              <w:rPr>
                <w:rStyle w:val="Hyperlink"/>
                <w:noProof/>
              </w:rPr>
              <w:t>Bibliography</w:t>
            </w:r>
            <w:r>
              <w:rPr>
                <w:noProof/>
                <w:webHidden/>
              </w:rPr>
              <w:tab/>
            </w:r>
            <w:r>
              <w:rPr>
                <w:noProof/>
                <w:webHidden/>
              </w:rPr>
              <w:fldChar w:fldCharType="begin"/>
            </w:r>
            <w:r>
              <w:rPr>
                <w:noProof/>
                <w:webHidden/>
              </w:rPr>
              <w:instrText xml:space="preserve"> PAGEREF _Toc228186547 \h </w:instrText>
            </w:r>
            <w:r>
              <w:rPr>
                <w:noProof/>
                <w:webHidden/>
              </w:rPr>
            </w:r>
            <w:r>
              <w:rPr>
                <w:noProof/>
                <w:webHidden/>
              </w:rPr>
              <w:fldChar w:fldCharType="separate"/>
            </w:r>
            <w:r>
              <w:rPr>
                <w:noProof/>
                <w:webHidden/>
              </w:rPr>
              <w:t>27</w:t>
            </w:r>
            <w:r>
              <w:rPr>
                <w:noProof/>
                <w:webHidden/>
              </w:rPr>
              <w:fldChar w:fldCharType="end"/>
            </w:r>
          </w:hyperlink>
        </w:p>
        <w:p w14:paraId="0DCA0D40" w14:textId="60088585" w:rsidR="00D7256F" w:rsidRDefault="00D7256F" w:rsidP="00D7256F">
          <w:r>
            <w:rPr>
              <w:b/>
              <w:bCs/>
              <w:noProof/>
            </w:rPr>
            <w:fldChar w:fldCharType="end"/>
          </w:r>
        </w:p>
      </w:sdtContent>
    </w:sdt>
    <w:p w14:paraId="1B6B030E" w14:textId="77777777" w:rsidR="00D7256F" w:rsidRDefault="00D7256F" w:rsidP="00D7256F"/>
    <w:p w14:paraId="7360E967" w14:textId="77777777" w:rsidR="00D7256F" w:rsidRDefault="00D7256F" w:rsidP="00D7256F"/>
    <w:p w14:paraId="67E712E5" w14:textId="77777777" w:rsidR="00D7256F" w:rsidRDefault="00D7256F" w:rsidP="00D7256F"/>
    <w:p w14:paraId="26CCCC69" w14:textId="77777777" w:rsidR="00D7256F" w:rsidRDefault="00D7256F" w:rsidP="00D7256F"/>
    <w:p w14:paraId="19CA9D3B" w14:textId="77777777" w:rsidR="00D7256F" w:rsidRDefault="00D7256F" w:rsidP="00D7256F"/>
    <w:p w14:paraId="0CFEA60C" w14:textId="77777777" w:rsidR="00D7256F" w:rsidRDefault="00D7256F" w:rsidP="00D7256F"/>
    <w:p w14:paraId="2034C406" w14:textId="77777777" w:rsidR="00D7256F" w:rsidRDefault="00D7256F" w:rsidP="00D7256F"/>
    <w:p w14:paraId="2350CD5C" w14:textId="77777777" w:rsidR="00D7256F" w:rsidRDefault="00D7256F" w:rsidP="00D7256F"/>
    <w:p w14:paraId="6DE2F838" w14:textId="77777777" w:rsidR="00D7256F" w:rsidRDefault="00D7256F" w:rsidP="00D7256F"/>
    <w:p w14:paraId="37596638" w14:textId="77777777" w:rsidR="00D7256F" w:rsidRDefault="00D7256F" w:rsidP="00D7256F"/>
    <w:p w14:paraId="7BB33F24" w14:textId="77777777" w:rsidR="00D7256F" w:rsidRDefault="00D7256F" w:rsidP="00D7256F"/>
    <w:p w14:paraId="268A4F40" w14:textId="77777777" w:rsidR="00D7256F" w:rsidRDefault="00D7256F" w:rsidP="00D7256F"/>
    <w:p w14:paraId="230F17CE" w14:textId="77777777" w:rsidR="00D7256F" w:rsidRDefault="00D7256F" w:rsidP="00D7256F"/>
    <w:p w14:paraId="1510ED3D" w14:textId="77777777" w:rsidR="00D7256F" w:rsidRDefault="00D7256F" w:rsidP="00D7256F"/>
    <w:p w14:paraId="456A07DD" w14:textId="77777777" w:rsidR="00D7256F" w:rsidRDefault="00D7256F" w:rsidP="00D7256F"/>
    <w:p w14:paraId="7A8287EA" w14:textId="77777777" w:rsidR="00D7256F" w:rsidRDefault="00D7256F" w:rsidP="00D7256F"/>
    <w:p w14:paraId="7CA507D4" w14:textId="77777777" w:rsidR="00D7256F" w:rsidRDefault="00D7256F" w:rsidP="00D7256F"/>
    <w:p w14:paraId="622A388A" w14:textId="57C5778E" w:rsidR="00D7256F" w:rsidRPr="00CB69BE" w:rsidRDefault="00D7256F" w:rsidP="00D7256F">
      <w:pPr>
        <w:pStyle w:val="Heading1"/>
        <w:rPr>
          <w:sz w:val="32"/>
          <w:szCs w:val="32"/>
        </w:rPr>
      </w:pPr>
      <w:bookmarkStart w:id="1" w:name="_Toc228186536"/>
      <w:r w:rsidRPr="00CB69BE">
        <w:rPr>
          <w:sz w:val="32"/>
          <w:szCs w:val="32"/>
        </w:rPr>
        <w:lastRenderedPageBreak/>
        <w:t>Introduction</w:t>
      </w:r>
      <w:bookmarkEnd w:id="1"/>
      <w:r w:rsidRPr="00CB69BE">
        <w:rPr>
          <w:sz w:val="32"/>
          <w:szCs w:val="32"/>
        </w:rPr>
        <w:t xml:space="preserve"> </w:t>
      </w:r>
    </w:p>
    <w:p w14:paraId="69E7F682" w14:textId="77777777" w:rsidR="00D7256F" w:rsidRDefault="00D7256F" w:rsidP="00D7256F">
      <w:pPr>
        <w:rPr>
          <w:rFonts w:ascii="Arial" w:hAnsi="Arial" w:cs="Arial"/>
          <w:color w:val="222222"/>
          <w:shd w:val="clear" w:color="auto" w:fill="FFFFFF"/>
        </w:rPr>
      </w:pPr>
    </w:p>
    <w:p w14:paraId="1D14E512" w14:textId="730CFD6E" w:rsidR="00596510" w:rsidRPr="003F00BF" w:rsidRDefault="00596510" w:rsidP="00596510">
      <w:pPr>
        <w:pStyle w:val="NormalWeb"/>
        <w:spacing w:line="360" w:lineRule="auto"/>
        <w:rPr>
          <w:rFonts w:asciiTheme="minorHAnsi" w:hAnsiTheme="minorHAnsi"/>
        </w:rPr>
      </w:pPr>
      <w:r w:rsidRPr="003F00BF">
        <w:rPr>
          <w:rFonts w:asciiTheme="minorHAnsi" w:hAnsiTheme="minorHAnsi"/>
        </w:rPr>
        <w:t xml:space="preserve">Artificial intelligence (AI) has increasingly become embedded in everyday life, both within and beyond organisational contexts, shaping how individuals interact, work and make decisions. Within the global economy, it now represents a central component of organisational strategy and competitive positioning. For multinational organisations, the integration of AI into operations is increasingly important in improving efficiency, supporting decision-making and maintaining long-term performance. </w:t>
      </w:r>
      <w:r w:rsidR="00C23AC8">
        <w:rPr>
          <w:rFonts w:asciiTheme="minorHAnsi" w:hAnsiTheme="minorHAnsi"/>
        </w:rPr>
        <w:t>A</w:t>
      </w:r>
      <w:r w:rsidRPr="003F00BF">
        <w:rPr>
          <w:rFonts w:asciiTheme="minorHAnsi" w:hAnsiTheme="minorHAnsi"/>
        </w:rPr>
        <w:t>longside these opportunities, AI introduces a complex and evolving risk landscape</w:t>
      </w:r>
      <w:r w:rsidR="008A3099">
        <w:rPr>
          <w:rFonts w:asciiTheme="minorHAnsi" w:hAnsiTheme="minorHAnsi"/>
        </w:rPr>
        <w:t xml:space="preserve"> </w:t>
      </w:r>
      <w:r w:rsidRPr="003F00BF">
        <w:rPr>
          <w:rFonts w:asciiTheme="minorHAnsi" w:hAnsiTheme="minorHAnsi"/>
        </w:rPr>
        <w:t>in relation to data governance, ethical accountability and regulatory compliance. These challenges are heightened for firms operating across different countries, where differences in regulatory approaches create uncertainty and increase exposure to legal, operational and reputational risk (Morrison, 2023; Whittington et al., 2023; OECD, 2023).</w:t>
      </w:r>
    </w:p>
    <w:p w14:paraId="45A4B18A" w14:textId="4EFA5F46" w:rsidR="00596510" w:rsidRPr="003F00BF" w:rsidRDefault="00596510" w:rsidP="00596510">
      <w:pPr>
        <w:pStyle w:val="NormalWeb"/>
        <w:spacing w:line="360" w:lineRule="auto"/>
        <w:rPr>
          <w:rFonts w:asciiTheme="minorHAnsi" w:hAnsiTheme="minorHAnsi"/>
        </w:rPr>
      </w:pPr>
      <w:r w:rsidRPr="003F00BF">
        <w:rPr>
          <w:rFonts w:asciiTheme="minorHAnsi" w:hAnsiTheme="minorHAnsi"/>
        </w:rPr>
        <w:t>Th</w:t>
      </w:r>
      <w:r w:rsidR="00D03875">
        <w:rPr>
          <w:rFonts w:asciiTheme="minorHAnsi" w:hAnsiTheme="minorHAnsi"/>
        </w:rPr>
        <w:t>ese</w:t>
      </w:r>
      <w:r w:rsidRPr="003F00BF">
        <w:rPr>
          <w:rFonts w:asciiTheme="minorHAnsi" w:hAnsiTheme="minorHAnsi"/>
        </w:rPr>
        <w:t xml:space="preserve"> issues</w:t>
      </w:r>
      <w:r w:rsidR="00744C71">
        <w:rPr>
          <w:rFonts w:asciiTheme="minorHAnsi" w:hAnsiTheme="minorHAnsi"/>
        </w:rPr>
        <w:t xml:space="preserve"> can be examined</w:t>
      </w:r>
      <w:r w:rsidRPr="003F00BF">
        <w:rPr>
          <w:rFonts w:asciiTheme="minorHAnsi" w:hAnsiTheme="minorHAnsi"/>
        </w:rPr>
        <w:t xml:space="preserve"> in the context of </w:t>
      </w:r>
      <w:r w:rsidRPr="003F00BF">
        <w:rPr>
          <w:rStyle w:val="whitespace-normal"/>
          <w:rFonts w:asciiTheme="minorHAnsi" w:eastAsiaTheme="majorEastAsia" w:hAnsiTheme="minorHAnsi"/>
        </w:rPr>
        <w:t>HSBC</w:t>
      </w:r>
      <w:r w:rsidRPr="003F00BF">
        <w:rPr>
          <w:rFonts w:asciiTheme="minorHAnsi" w:hAnsiTheme="minorHAnsi"/>
        </w:rPr>
        <w:t xml:space="preserve">, a multinational financial institution with established operations across both the United Kingdom and the European Union. The financial services sector provides a </w:t>
      </w:r>
      <w:r w:rsidR="005846ED">
        <w:rPr>
          <w:rFonts w:asciiTheme="minorHAnsi" w:hAnsiTheme="minorHAnsi"/>
        </w:rPr>
        <w:t>useful</w:t>
      </w:r>
      <w:r w:rsidRPr="003F00BF">
        <w:rPr>
          <w:rFonts w:asciiTheme="minorHAnsi" w:hAnsiTheme="minorHAnsi"/>
        </w:rPr>
        <w:t xml:space="preserve"> setting for this analysis due to its reliance on large volumes of sensitive data and its increasing use of AI in areas such as fraud detection, credit risk assessment and customer analytics (Deloitte, 2023; McKinsey &amp; Company, 2023). In these contexts, the consequences of algorithmic error, bias or non-compliance extend beyond operational disruption and can directly affect regulatory standing, financial outcomes and customer confidence (PwC, 2022; World Economic Forum, 2023). Managing AI-related risk is not only a technical issue but also a strategic and governance concern.</w:t>
      </w:r>
    </w:p>
    <w:p w14:paraId="5A3BD858" w14:textId="6E3716CC" w:rsidR="00596510" w:rsidRPr="003F00BF" w:rsidRDefault="00596510" w:rsidP="00596510">
      <w:pPr>
        <w:pStyle w:val="NormalWeb"/>
        <w:spacing w:line="360" w:lineRule="auto"/>
        <w:rPr>
          <w:rFonts w:asciiTheme="minorHAnsi" w:hAnsiTheme="minorHAnsi"/>
        </w:rPr>
      </w:pPr>
      <w:r w:rsidRPr="003F00BF">
        <w:rPr>
          <w:rFonts w:asciiTheme="minorHAnsi" w:hAnsiTheme="minorHAnsi"/>
        </w:rPr>
        <w:t xml:space="preserve">The </w:t>
      </w:r>
      <w:r w:rsidR="00717833">
        <w:rPr>
          <w:rFonts w:asciiTheme="minorHAnsi" w:hAnsiTheme="minorHAnsi"/>
        </w:rPr>
        <w:t>analysis focuses on</w:t>
      </w:r>
      <w:r w:rsidRPr="003F00BF">
        <w:rPr>
          <w:rFonts w:asciiTheme="minorHAnsi" w:hAnsiTheme="minorHAnsi"/>
        </w:rPr>
        <w:t xml:space="preserve"> divergence in AI regulatory approaches between the UK and the EU. The European Union has adopted a more structured, </w:t>
      </w:r>
      <w:r w:rsidR="00D52F52" w:rsidRPr="003F00BF">
        <w:rPr>
          <w:rFonts w:asciiTheme="minorHAnsi" w:hAnsiTheme="minorHAnsi"/>
        </w:rPr>
        <w:t>risk</w:t>
      </w:r>
      <w:r w:rsidR="00D52F52">
        <w:rPr>
          <w:rFonts w:asciiTheme="minorHAnsi" w:hAnsiTheme="minorHAnsi"/>
        </w:rPr>
        <w:t>-based</w:t>
      </w:r>
      <w:r w:rsidRPr="003F00BF">
        <w:rPr>
          <w:rFonts w:asciiTheme="minorHAnsi" w:hAnsiTheme="minorHAnsi"/>
        </w:rPr>
        <w:t xml:space="preserve"> framework through the introduction of the AI Act, designed to standardise governance and strengthen accountability across member states (European Commission, 2024). In contrast, the UK has adopted a more flexible, principles-based approach, relying on existing regulatory bodies to interpret and apply AI oversight within their respective sectors (UK Government, 2023). While the EU model provides greater regulatory clarity and </w:t>
      </w:r>
      <w:r w:rsidRPr="003F00BF">
        <w:rPr>
          <w:rFonts w:asciiTheme="minorHAnsi" w:hAnsiTheme="minorHAnsi"/>
        </w:rPr>
        <w:lastRenderedPageBreak/>
        <w:t>consistency, it may increase compliance requirements and operational complexity for multinational firms (Deloitte, 2023). The UK approach, while more adaptable, introduces a degree of ambiguity, requiring organisations to define and manage acceptable risk more independently.</w:t>
      </w:r>
    </w:p>
    <w:p w14:paraId="44E7804F" w14:textId="75FE7AE1" w:rsidR="00596510" w:rsidRPr="003F00BF" w:rsidRDefault="00596510" w:rsidP="00596510">
      <w:pPr>
        <w:pStyle w:val="NormalWeb"/>
        <w:spacing w:line="360" w:lineRule="auto"/>
        <w:rPr>
          <w:rFonts w:asciiTheme="minorHAnsi" w:hAnsiTheme="minorHAnsi"/>
        </w:rPr>
      </w:pPr>
      <w:r w:rsidRPr="003F00BF">
        <w:rPr>
          <w:rFonts w:asciiTheme="minorHAnsi" w:hAnsiTheme="minorHAnsi"/>
        </w:rPr>
        <w:t xml:space="preserve">These contrasting regulatory environments create a fragmented landscape with direct implications for multinational decision-making. From an international business perspective, regulatory conditions form part of the broader external environment influencing where and how organisations operate, </w:t>
      </w:r>
      <w:r w:rsidR="007D5747">
        <w:rPr>
          <w:rFonts w:asciiTheme="minorHAnsi" w:hAnsiTheme="minorHAnsi"/>
        </w:rPr>
        <w:t>especial</w:t>
      </w:r>
      <w:r w:rsidRPr="003F00BF">
        <w:rPr>
          <w:rFonts w:asciiTheme="minorHAnsi" w:hAnsiTheme="minorHAnsi"/>
        </w:rPr>
        <w:t>ly in sectors characterised by high levels of data sensitivity and regulatory scrutiny (Morrison, 2023). For organisations such as HSBC, this creates added complexity in aligning governance structures, allocating resources and managing risk consistently across different regions.</w:t>
      </w:r>
    </w:p>
    <w:p w14:paraId="00323676" w14:textId="77252121" w:rsidR="00596510" w:rsidRPr="003F00BF" w:rsidRDefault="00596510" w:rsidP="00596510">
      <w:pPr>
        <w:pStyle w:val="NormalWeb"/>
        <w:spacing w:line="360" w:lineRule="auto"/>
        <w:rPr>
          <w:rFonts w:asciiTheme="minorHAnsi" w:hAnsiTheme="minorHAnsi"/>
        </w:rPr>
      </w:pPr>
      <w:r w:rsidRPr="003F00BF">
        <w:rPr>
          <w:rFonts w:asciiTheme="minorHAnsi" w:hAnsiTheme="minorHAnsi"/>
        </w:rPr>
        <w:t xml:space="preserve">AI-related risks </w:t>
      </w:r>
      <w:r w:rsidR="001E6CBB">
        <w:rPr>
          <w:rFonts w:asciiTheme="minorHAnsi" w:hAnsiTheme="minorHAnsi"/>
        </w:rPr>
        <w:t>are critically evaluated within HSBC</w:t>
      </w:r>
      <w:r w:rsidR="007D1C3E">
        <w:rPr>
          <w:rFonts w:asciiTheme="minorHAnsi" w:hAnsiTheme="minorHAnsi"/>
        </w:rPr>
        <w:t xml:space="preserve">, </w:t>
      </w:r>
      <w:r w:rsidRPr="003F00BF">
        <w:rPr>
          <w:rFonts w:asciiTheme="minorHAnsi" w:hAnsiTheme="minorHAnsi"/>
        </w:rPr>
        <w:t>considering both internal governance mechanisms</w:t>
      </w:r>
      <w:r w:rsidR="00382ED4">
        <w:rPr>
          <w:rFonts w:asciiTheme="minorHAnsi" w:hAnsiTheme="minorHAnsi"/>
        </w:rPr>
        <w:t xml:space="preserve"> and </w:t>
      </w:r>
      <w:r w:rsidRPr="003F00BF">
        <w:rPr>
          <w:rFonts w:asciiTheme="minorHAnsi" w:hAnsiTheme="minorHAnsi"/>
        </w:rPr>
        <w:t>external economic and regulatory pressures. It also examines the role of leadership and corporate governance in shaping organisational responses to these challenges, before outlining practical recommendations and an implementation approach to support more consistent and effective AI risk management across both the UK and EU.</w:t>
      </w:r>
    </w:p>
    <w:p w14:paraId="63BEDCBC" w14:textId="77777777" w:rsidR="004C1458" w:rsidRPr="004C1458" w:rsidRDefault="004C1458" w:rsidP="004C1458">
      <w:pPr>
        <w:spacing w:line="259" w:lineRule="auto"/>
        <w:rPr>
          <w:kern w:val="2"/>
          <w14:ligatures w14:val="standardContextual"/>
        </w:rPr>
      </w:pPr>
    </w:p>
    <w:p w14:paraId="45643F3F" w14:textId="77777777" w:rsidR="004C1458" w:rsidRDefault="004C1458" w:rsidP="00D7256F"/>
    <w:p w14:paraId="02E8CC18" w14:textId="77777777" w:rsidR="00D7256F" w:rsidRDefault="00D7256F" w:rsidP="00D7256F"/>
    <w:p w14:paraId="37EA79A7" w14:textId="77777777" w:rsidR="00D7256F" w:rsidRDefault="00D7256F" w:rsidP="00D7256F"/>
    <w:p w14:paraId="3949D9B5" w14:textId="77777777" w:rsidR="00D7256F" w:rsidRDefault="00D7256F" w:rsidP="00D7256F"/>
    <w:p w14:paraId="6131BDA8" w14:textId="77777777" w:rsidR="00D7256F" w:rsidRDefault="00D7256F" w:rsidP="00D7256F"/>
    <w:p w14:paraId="4C45CC1E" w14:textId="77777777" w:rsidR="00D7256F" w:rsidRDefault="00D7256F" w:rsidP="00D7256F"/>
    <w:p w14:paraId="2CB47EEE" w14:textId="77777777" w:rsidR="00D7256F" w:rsidRDefault="00D7256F" w:rsidP="00D7256F"/>
    <w:p w14:paraId="237636BF" w14:textId="77777777" w:rsidR="00D7256F" w:rsidRDefault="00D7256F" w:rsidP="00D7256F"/>
    <w:p w14:paraId="091EFF67" w14:textId="77777777" w:rsidR="00D7256F" w:rsidRDefault="00D7256F" w:rsidP="00D7256F"/>
    <w:p w14:paraId="6F2EC9E6" w14:textId="77777777" w:rsidR="00D7256F" w:rsidRDefault="00D7256F" w:rsidP="00D7256F"/>
    <w:p w14:paraId="52DFBF7C" w14:textId="4BB33BD9" w:rsidR="00D7256F" w:rsidRPr="00CB69BE" w:rsidRDefault="00D7256F" w:rsidP="00D7256F">
      <w:pPr>
        <w:pStyle w:val="Heading1"/>
        <w:rPr>
          <w:sz w:val="32"/>
          <w:szCs w:val="32"/>
        </w:rPr>
      </w:pPr>
      <w:bookmarkStart w:id="2" w:name="_Toc228186537"/>
      <w:r w:rsidRPr="00CB69BE">
        <w:rPr>
          <w:sz w:val="32"/>
          <w:szCs w:val="32"/>
        </w:rPr>
        <w:lastRenderedPageBreak/>
        <w:t>Main Findings</w:t>
      </w:r>
      <w:bookmarkEnd w:id="2"/>
    </w:p>
    <w:p w14:paraId="7D00BB1C" w14:textId="77777777" w:rsidR="00C25E9C" w:rsidRPr="00C25E9C" w:rsidRDefault="00C25E9C" w:rsidP="00C25E9C"/>
    <w:p w14:paraId="6CC1CC0A" w14:textId="3006C63E" w:rsidR="00D7256F" w:rsidRDefault="006C3FB6" w:rsidP="00D7256F">
      <w:pPr>
        <w:pStyle w:val="Heading2"/>
      </w:pPr>
      <w:bookmarkStart w:id="3" w:name="_Toc228186538"/>
      <w:r>
        <w:t>Global and Macroeconomic Context</w:t>
      </w:r>
      <w:bookmarkEnd w:id="3"/>
      <w:r>
        <w:t xml:space="preserve"> </w:t>
      </w:r>
    </w:p>
    <w:p w14:paraId="39694C00" w14:textId="77777777" w:rsidR="00D411C7" w:rsidRDefault="00D411C7" w:rsidP="00877CC4">
      <w:pPr>
        <w:spacing w:line="360" w:lineRule="auto"/>
        <w:rPr>
          <w:sz w:val="24"/>
          <w:szCs w:val="24"/>
        </w:rPr>
      </w:pPr>
    </w:p>
    <w:p w14:paraId="42DC5811" w14:textId="416777BC" w:rsidR="00A55031" w:rsidRPr="00877CC4" w:rsidRDefault="00A55031" w:rsidP="00877CC4">
      <w:pPr>
        <w:spacing w:line="360" w:lineRule="auto"/>
        <w:rPr>
          <w:kern w:val="2"/>
          <w:sz w:val="24"/>
          <w:szCs w:val="24"/>
          <w14:ligatures w14:val="standardContextual"/>
        </w:rPr>
      </w:pPr>
      <w:r w:rsidRPr="00877CC4">
        <w:rPr>
          <w:sz w:val="24"/>
          <w:szCs w:val="24"/>
        </w:rPr>
        <w:t xml:space="preserve">Artificial intelligence is evolving alongside wider changes in the global economy, linked to digitalisation, globalisation and shifting patterns of productivity. </w:t>
      </w:r>
      <w:r w:rsidR="00877CC4" w:rsidRPr="00877CC4">
        <w:rPr>
          <w:kern w:val="2"/>
          <w:sz w:val="24"/>
          <w:szCs w:val="24"/>
          <w14:ligatures w14:val="standardContextual"/>
        </w:rPr>
        <w:t>AI is now an important part of economic growth, with estimates suggesting it could add up to $13 trillion to global output by 2030, although this depends on how effectively organisations adopt and integrate the technology (McKinsey Global Institute, 2018).</w:t>
      </w:r>
      <w:r w:rsidRPr="00877CC4">
        <w:rPr>
          <w:sz w:val="24"/>
          <w:szCs w:val="24"/>
        </w:rPr>
        <w:t xml:space="preserve"> From a macroeconomic perspective, this reflects a broader transition towards knowledge-based and technology</w:t>
      </w:r>
      <w:r w:rsidR="001E6EF0">
        <w:rPr>
          <w:sz w:val="24"/>
          <w:szCs w:val="24"/>
        </w:rPr>
        <w:t xml:space="preserve"> </w:t>
      </w:r>
      <w:r w:rsidRPr="00877CC4">
        <w:rPr>
          <w:sz w:val="24"/>
          <w:szCs w:val="24"/>
        </w:rPr>
        <w:t>driven economies, where competitive advantage is closely tied to the ability to generate, process and apply data (Morrison, 2023).</w:t>
      </w:r>
    </w:p>
    <w:p w14:paraId="1A2B691B" w14:textId="23B51ED9" w:rsidR="00A55031" w:rsidRPr="0089072D" w:rsidRDefault="004A4369" w:rsidP="00A55031">
      <w:pPr>
        <w:pStyle w:val="NormalWeb"/>
        <w:spacing w:line="360" w:lineRule="auto"/>
        <w:rPr>
          <w:rFonts w:asciiTheme="minorHAnsi" w:hAnsiTheme="minorHAnsi"/>
        </w:rPr>
      </w:pPr>
      <w:r>
        <w:rPr>
          <w:rFonts w:asciiTheme="minorHAnsi" w:hAnsiTheme="minorHAnsi"/>
        </w:rPr>
        <w:t>W</w:t>
      </w:r>
      <w:r w:rsidR="00A55031" w:rsidRPr="0089072D">
        <w:rPr>
          <w:rFonts w:asciiTheme="minorHAnsi" w:hAnsiTheme="minorHAnsi"/>
        </w:rPr>
        <w:t>hile AI presents clear opportunities, its impact is uneven and introduces new forms of economic uncertainty. Productivity gains associated with AI are not guaranteed and often depend on how effectively organisations integrate technology into existing systems and processes (Brynjolfsson, Rock and Syverson, 2021). In practice, this means that firms investing heavily in AI may not immediately realise returns,</w:t>
      </w:r>
      <w:r w:rsidR="00D53B9E">
        <w:rPr>
          <w:rFonts w:asciiTheme="minorHAnsi" w:hAnsiTheme="minorHAnsi"/>
        </w:rPr>
        <w:t xml:space="preserve"> </w:t>
      </w:r>
      <w:r w:rsidR="00A55031" w:rsidRPr="0089072D">
        <w:rPr>
          <w:rFonts w:asciiTheme="minorHAnsi" w:hAnsiTheme="minorHAnsi"/>
        </w:rPr>
        <w:t>whe</w:t>
      </w:r>
      <w:r w:rsidR="002832E9">
        <w:rPr>
          <w:rFonts w:asciiTheme="minorHAnsi" w:hAnsiTheme="minorHAnsi"/>
        </w:rPr>
        <w:t>n</w:t>
      </w:r>
      <w:r w:rsidR="00A55031" w:rsidRPr="0089072D">
        <w:rPr>
          <w:rFonts w:asciiTheme="minorHAnsi" w:hAnsiTheme="minorHAnsi"/>
        </w:rPr>
        <w:t xml:space="preserve"> there are gaps in skills, infrastructure or governance. For</w:t>
      </w:r>
      <w:r w:rsidR="00C15DD3">
        <w:rPr>
          <w:rFonts w:asciiTheme="minorHAnsi" w:hAnsiTheme="minorHAnsi"/>
        </w:rPr>
        <w:t xml:space="preserve"> </w:t>
      </w:r>
      <w:r w:rsidR="00A55031" w:rsidRPr="0089072D">
        <w:rPr>
          <w:rStyle w:val="whitespace-normal"/>
          <w:rFonts w:asciiTheme="minorHAnsi" w:eastAsiaTheme="majorEastAsia" w:hAnsiTheme="minorHAnsi"/>
        </w:rPr>
        <w:t>HSBC</w:t>
      </w:r>
      <w:r w:rsidR="00A55031" w:rsidRPr="0089072D">
        <w:rPr>
          <w:rFonts w:asciiTheme="minorHAnsi" w:hAnsiTheme="minorHAnsi"/>
        </w:rPr>
        <w:t xml:space="preserve">, this creates a </w:t>
      </w:r>
      <w:r w:rsidR="00CC6703">
        <w:rPr>
          <w:rFonts w:asciiTheme="minorHAnsi" w:hAnsiTheme="minorHAnsi"/>
        </w:rPr>
        <w:t>challenge</w:t>
      </w:r>
      <w:r w:rsidR="00A55031" w:rsidRPr="0089072D">
        <w:rPr>
          <w:rFonts w:asciiTheme="minorHAnsi" w:hAnsiTheme="minorHAnsi"/>
        </w:rPr>
        <w:t xml:space="preserve"> between the need to invest in AI to remain competitive and the risk of increased costs and operational complexity.</w:t>
      </w:r>
    </w:p>
    <w:p w14:paraId="0E6BFDFD" w14:textId="531346F1" w:rsidR="00A55031" w:rsidRPr="0089072D" w:rsidRDefault="00A55031" w:rsidP="00A55031">
      <w:pPr>
        <w:pStyle w:val="NormalWeb"/>
        <w:spacing w:line="360" w:lineRule="auto"/>
        <w:rPr>
          <w:rFonts w:asciiTheme="minorHAnsi" w:hAnsiTheme="minorHAnsi"/>
        </w:rPr>
      </w:pPr>
      <w:r w:rsidRPr="0089072D">
        <w:rPr>
          <w:rFonts w:asciiTheme="minorHAnsi" w:hAnsiTheme="minorHAnsi"/>
        </w:rPr>
        <w:t xml:space="preserve">The financial services sector highlights this tension clearly. AI is increasingly used to support decision-making in areas such as fraud detection, credit scoring and customer segmentation, </w:t>
      </w:r>
      <w:r w:rsidR="00E133B5">
        <w:rPr>
          <w:rFonts w:asciiTheme="minorHAnsi" w:hAnsiTheme="minorHAnsi"/>
        </w:rPr>
        <w:t>as</w:t>
      </w:r>
      <w:r w:rsidRPr="0089072D">
        <w:rPr>
          <w:rFonts w:asciiTheme="minorHAnsi" w:hAnsiTheme="minorHAnsi"/>
        </w:rPr>
        <w:t xml:space="preserve"> large volumes of data can be analysed more quickly and consistently than through traditional methods (Deloitte, 2023). While this can improve efficiency and reduce certain types of risk, it also introduces new vulnerabilities, w</w:t>
      </w:r>
      <w:r w:rsidR="009663BB">
        <w:rPr>
          <w:rFonts w:asciiTheme="minorHAnsi" w:hAnsiTheme="minorHAnsi"/>
        </w:rPr>
        <w:t>ith</w:t>
      </w:r>
      <w:r w:rsidRPr="0089072D">
        <w:rPr>
          <w:rFonts w:asciiTheme="minorHAnsi" w:hAnsiTheme="minorHAnsi"/>
        </w:rPr>
        <w:t xml:space="preserve"> decision</w:t>
      </w:r>
      <w:r w:rsidR="00CD6957">
        <w:rPr>
          <w:rFonts w:asciiTheme="minorHAnsi" w:hAnsiTheme="minorHAnsi"/>
        </w:rPr>
        <w:t>-</w:t>
      </w:r>
      <w:r w:rsidRPr="0089072D">
        <w:rPr>
          <w:rFonts w:asciiTheme="minorHAnsi" w:hAnsiTheme="minorHAnsi"/>
        </w:rPr>
        <w:t xml:space="preserve">making processes become less transparent or difficult to audit. At a wider economic level, this </w:t>
      </w:r>
      <w:r w:rsidR="00DB24B7">
        <w:rPr>
          <w:rFonts w:asciiTheme="minorHAnsi" w:hAnsiTheme="minorHAnsi"/>
        </w:rPr>
        <w:t>can increase</w:t>
      </w:r>
      <w:r w:rsidRPr="0089072D">
        <w:rPr>
          <w:rFonts w:asciiTheme="minorHAnsi" w:hAnsiTheme="minorHAnsi"/>
        </w:rPr>
        <w:t xml:space="preserve"> concerns around financial stability and systemic risk,</w:t>
      </w:r>
      <w:r w:rsidR="00C1408B">
        <w:rPr>
          <w:rFonts w:asciiTheme="minorHAnsi" w:hAnsiTheme="minorHAnsi"/>
        </w:rPr>
        <w:t xml:space="preserve"> especial</w:t>
      </w:r>
      <w:r w:rsidRPr="0089072D">
        <w:rPr>
          <w:rFonts w:asciiTheme="minorHAnsi" w:hAnsiTheme="minorHAnsi"/>
        </w:rPr>
        <w:t>ly if similar AI models are adopted widely across the sector (World Economic Forum, 2023).</w:t>
      </w:r>
    </w:p>
    <w:p w14:paraId="5FFB89D5" w14:textId="11243DF5" w:rsidR="00A55031" w:rsidRPr="0089072D" w:rsidRDefault="00A55031" w:rsidP="00A55031">
      <w:pPr>
        <w:pStyle w:val="NormalWeb"/>
        <w:spacing w:line="360" w:lineRule="auto"/>
        <w:rPr>
          <w:rFonts w:asciiTheme="minorHAnsi" w:hAnsiTheme="minorHAnsi"/>
        </w:rPr>
      </w:pPr>
      <w:r w:rsidRPr="0089072D">
        <w:rPr>
          <w:rFonts w:asciiTheme="minorHAnsi" w:hAnsiTheme="minorHAnsi"/>
        </w:rPr>
        <w:t>In addition, the expansion of AI is reshaping labour markets, with implications for both employment and skills demand. While AI can enhance productivity, it can also displace certain roles,</w:t>
      </w:r>
      <w:r w:rsidR="000234C7">
        <w:rPr>
          <w:rFonts w:asciiTheme="minorHAnsi" w:hAnsiTheme="minorHAnsi"/>
        </w:rPr>
        <w:t xml:space="preserve"> including </w:t>
      </w:r>
      <w:r w:rsidRPr="0089072D">
        <w:rPr>
          <w:rFonts w:asciiTheme="minorHAnsi" w:hAnsiTheme="minorHAnsi"/>
        </w:rPr>
        <w:t>those involving routine or data-driven tasks (OECD, 2023). At the same time, there is increasing demand for specialised skills in areas such as data science, cybersecurity and AI governance. For organisations operating across different countries, including HSBC, this creates challenges in workforce planning and capability development,</w:t>
      </w:r>
      <w:r w:rsidR="00752E30">
        <w:rPr>
          <w:rFonts w:asciiTheme="minorHAnsi" w:hAnsiTheme="minorHAnsi"/>
        </w:rPr>
        <w:t xml:space="preserve"> </w:t>
      </w:r>
      <w:r w:rsidR="00AD7A37">
        <w:rPr>
          <w:rFonts w:asciiTheme="minorHAnsi" w:hAnsiTheme="minorHAnsi"/>
        </w:rPr>
        <w:t>given d</w:t>
      </w:r>
      <w:r w:rsidRPr="0089072D">
        <w:rPr>
          <w:rFonts w:asciiTheme="minorHAnsi" w:hAnsiTheme="minorHAnsi"/>
        </w:rPr>
        <w:t>ifferences in education systems, labour market conditions and access to talent.</w:t>
      </w:r>
    </w:p>
    <w:p w14:paraId="4FE38FB0" w14:textId="5BE4765B" w:rsidR="00A55031" w:rsidRPr="0089072D" w:rsidRDefault="001D6D92" w:rsidP="00A55031">
      <w:pPr>
        <w:pStyle w:val="NormalWeb"/>
        <w:spacing w:line="360" w:lineRule="auto"/>
        <w:rPr>
          <w:rFonts w:asciiTheme="minorHAnsi" w:hAnsiTheme="minorHAnsi"/>
        </w:rPr>
      </w:pPr>
      <w:r>
        <w:rPr>
          <w:rFonts w:asciiTheme="minorHAnsi" w:hAnsiTheme="minorHAnsi"/>
        </w:rPr>
        <w:t>R</w:t>
      </w:r>
      <w:r w:rsidR="00A55031" w:rsidRPr="0089072D">
        <w:rPr>
          <w:rFonts w:asciiTheme="minorHAnsi" w:hAnsiTheme="minorHAnsi"/>
        </w:rPr>
        <w:t xml:space="preserve">egulation </w:t>
      </w:r>
      <w:r>
        <w:rPr>
          <w:rFonts w:asciiTheme="minorHAnsi" w:hAnsiTheme="minorHAnsi"/>
        </w:rPr>
        <w:t>is another factor</w:t>
      </w:r>
      <w:r w:rsidR="00937A1E">
        <w:rPr>
          <w:rFonts w:asciiTheme="minorHAnsi" w:hAnsiTheme="minorHAnsi"/>
        </w:rPr>
        <w:t xml:space="preserve"> </w:t>
      </w:r>
      <w:r w:rsidR="00A55031" w:rsidRPr="0089072D">
        <w:rPr>
          <w:rFonts w:asciiTheme="minorHAnsi" w:hAnsiTheme="minorHAnsi"/>
        </w:rPr>
        <w:t xml:space="preserve">shaping how AI develops across different regions. Economic conditions are not only influenced by market forces but also by political and legal environments, which can either support or constrain innovation (Morrison, 2023). In the case of AI, differences in regulatory approaches between the UK and the EU create varying operating conditions for multinational firms. Stricter regulation may increase compliance costs, but it can also provide greater clarity and reduce long-term risk. More flexible approaches may support innovation, but they place greater responsibility on organisations to manage risk internally. This creates a more complex operating environment, </w:t>
      </w:r>
      <w:r w:rsidR="008D61E7">
        <w:rPr>
          <w:rFonts w:asciiTheme="minorHAnsi" w:hAnsiTheme="minorHAnsi"/>
        </w:rPr>
        <w:t xml:space="preserve">requiring firms to </w:t>
      </w:r>
      <w:r w:rsidR="00A55031" w:rsidRPr="0089072D">
        <w:rPr>
          <w:rFonts w:asciiTheme="minorHAnsi" w:hAnsiTheme="minorHAnsi"/>
        </w:rPr>
        <w:t>balance economic opportunity with regulatory uncertainty.</w:t>
      </w:r>
    </w:p>
    <w:p w14:paraId="680C2E93" w14:textId="7CBD111C" w:rsidR="00A55031" w:rsidRPr="0089072D" w:rsidRDefault="00A55031" w:rsidP="00A55031">
      <w:pPr>
        <w:pStyle w:val="NormalWeb"/>
        <w:spacing w:line="360" w:lineRule="auto"/>
        <w:rPr>
          <w:rFonts w:asciiTheme="minorHAnsi" w:hAnsiTheme="minorHAnsi"/>
        </w:rPr>
      </w:pPr>
      <w:r w:rsidRPr="0089072D">
        <w:rPr>
          <w:rFonts w:asciiTheme="minorHAnsi" w:hAnsiTheme="minorHAnsi"/>
        </w:rPr>
        <w:t xml:space="preserve">From an international business perspective, these factors highlight the interconnected nature of economic, technological and regulatory change. Decisions relating to investment, market presence and operational structure are increasingly influenced by how well organisations can respond to this complexity. For HSBC, the growing importance of AI within the global economy is not </w:t>
      </w:r>
      <w:r w:rsidR="00005EFA">
        <w:rPr>
          <w:rFonts w:asciiTheme="minorHAnsi" w:hAnsiTheme="minorHAnsi"/>
        </w:rPr>
        <w:t>simply</w:t>
      </w:r>
      <w:r w:rsidRPr="0089072D">
        <w:rPr>
          <w:rFonts w:asciiTheme="minorHAnsi" w:hAnsiTheme="minorHAnsi"/>
        </w:rPr>
        <w:t xml:space="preserve"> a question of technological adoption, but of how to manage its economic implications in a way that supports sustainable performance across different regions.</w:t>
      </w:r>
    </w:p>
    <w:p w14:paraId="3F532DA9" w14:textId="43A7C514" w:rsidR="006C3FB6" w:rsidRDefault="00A55031" w:rsidP="00A55031">
      <w:pPr>
        <w:spacing w:line="259" w:lineRule="auto"/>
      </w:pPr>
      <w:r>
        <w:br w:type="page"/>
      </w:r>
    </w:p>
    <w:p w14:paraId="45A0BF6B" w14:textId="77777777" w:rsidR="00A55031" w:rsidRPr="00CB69BE" w:rsidRDefault="00A55031" w:rsidP="006C3FB6">
      <w:pPr>
        <w:rPr>
          <w:sz w:val="32"/>
          <w:szCs w:val="32"/>
        </w:rPr>
      </w:pPr>
    </w:p>
    <w:p w14:paraId="50E441D5" w14:textId="054D6A92" w:rsidR="006C3FB6" w:rsidRPr="00CB69BE" w:rsidRDefault="00BF59BF" w:rsidP="00BF59BF">
      <w:pPr>
        <w:pStyle w:val="Heading1"/>
        <w:rPr>
          <w:sz w:val="32"/>
          <w:szCs w:val="32"/>
        </w:rPr>
      </w:pPr>
      <w:bookmarkStart w:id="4" w:name="_Toc228186539"/>
      <w:r w:rsidRPr="00CB69BE">
        <w:rPr>
          <w:sz w:val="32"/>
          <w:szCs w:val="32"/>
        </w:rPr>
        <w:t>AI and Risk Management in HSBC</w:t>
      </w:r>
      <w:bookmarkEnd w:id="4"/>
    </w:p>
    <w:p w14:paraId="57E9DA45" w14:textId="77777777" w:rsidR="00D411C7" w:rsidRDefault="00D411C7" w:rsidP="00452C20">
      <w:pPr>
        <w:pStyle w:val="NormalWeb"/>
        <w:spacing w:line="360" w:lineRule="auto"/>
        <w:rPr>
          <w:rFonts w:asciiTheme="minorHAnsi" w:hAnsiTheme="minorHAnsi"/>
        </w:rPr>
      </w:pPr>
    </w:p>
    <w:p w14:paraId="3A73B48C" w14:textId="4A8A1468" w:rsidR="00452C20" w:rsidRPr="002045B0" w:rsidRDefault="00452C20" w:rsidP="00452C20">
      <w:pPr>
        <w:pStyle w:val="NormalWeb"/>
        <w:spacing w:line="360" w:lineRule="auto"/>
        <w:rPr>
          <w:rFonts w:asciiTheme="minorHAnsi" w:hAnsiTheme="minorHAnsi"/>
        </w:rPr>
      </w:pPr>
      <w:r w:rsidRPr="002045B0">
        <w:rPr>
          <w:rFonts w:asciiTheme="minorHAnsi" w:hAnsiTheme="minorHAnsi"/>
        </w:rPr>
        <w:t>The wider economic pressures outlined in the previous section are reflected at an organisational level,</w:t>
      </w:r>
      <w:r w:rsidR="00E25327">
        <w:rPr>
          <w:rFonts w:asciiTheme="minorHAnsi" w:hAnsiTheme="minorHAnsi"/>
        </w:rPr>
        <w:t xml:space="preserve"> as</w:t>
      </w:r>
      <w:r w:rsidRPr="002045B0">
        <w:rPr>
          <w:rFonts w:asciiTheme="minorHAnsi" w:hAnsiTheme="minorHAnsi"/>
        </w:rPr>
        <w:t xml:space="preserve"> the use of AI is closely linked to how risk is identified, assessed and managed in practice. Within financial services, AI is increasingly embedded within core risk functions rather than operating separately. In the case of </w:t>
      </w:r>
      <w:r w:rsidRPr="002045B0">
        <w:rPr>
          <w:rStyle w:val="whitespace-normal"/>
          <w:rFonts w:asciiTheme="minorHAnsi" w:eastAsiaTheme="majorEastAsia" w:hAnsiTheme="minorHAnsi"/>
        </w:rPr>
        <w:t>HSBC</w:t>
      </w:r>
      <w:r w:rsidRPr="002045B0">
        <w:rPr>
          <w:rFonts w:asciiTheme="minorHAnsi" w:hAnsiTheme="minorHAnsi"/>
        </w:rPr>
        <w:t xml:space="preserve">, this includes areas such as financial crime detection, credit decision-making and operational monitoring, </w:t>
      </w:r>
      <w:r w:rsidR="0005781E">
        <w:rPr>
          <w:rFonts w:asciiTheme="minorHAnsi" w:hAnsiTheme="minorHAnsi"/>
        </w:rPr>
        <w:t>as</w:t>
      </w:r>
      <w:r w:rsidRPr="002045B0">
        <w:rPr>
          <w:rFonts w:asciiTheme="minorHAnsi" w:hAnsiTheme="minorHAnsi"/>
        </w:rPr>
        <w:t xml:space="preserve"> large volumes of data can be analysed in real time to identify patterns that would be difficult to detect through manual processes (HSBC, 2023). While this strengthens certain aspects of risk management, it also changes the nature of risk itself.</w:t>
      </w:r>
    </w:p>
    <w:p w14:paraId="03E2284B" w14:textId="523F8DDA" w:rsidR="00452C20" w:rsidRPr="002045B0" w:rsidRDefault="00E875A0" w:rsidP="00452C20">
      <w:pPr>
        <w:pStyle w:val="NormalWeb"/>
        <w:spacing w:line="360" w:lineRule="auto"/>
        <w:rPr>
          <w:rFonts w:asciiTheme="minorHAnsi" w:hAnsiTheme="minorHAnsi"/>
        </w:rPr>
      </w:pPr>
      <w:r>
        <w:rPr>
          <w:rFonts w:asciiTheme="minorHAnsi" w:hAnsiTheme="minorHAnsi"/>
        </w:rPr>
        <w:t xml:space="preserve">Rather than removing risk, </w:t>
      </w:r>
      <w:r w:rsidR="00452C20" w:rsidRPr="002045B0">
        <w:rPr>
          <w:rFonts w:asciiTheme="minorHAnsi" w:hAnsiTheme="minorHAnsi"/>
        </w:rPr>
        <w:t>AI redistributes it. Automated systems can improve consistency and speed, but they can also introduce model risk</w:t>
      </w:r>
      <w:r w:rsidR="00630B9D">
        <w:rPr>
          <w:rFonts w:asciiTheme="minorHAnsi" w:hAnsiTheme="minorHAnsi"/>
        </w:rPr>
        <w:t>,</w:t>
      </w:r>
      <w:r w:rsidR="00452C20" w:rsidRPr="002045B0">
        <w:rPr>
          <w:rFonts w:asciiTheme="minorHAnsi" w:hAnsiTheme="minorHAnsi"/>
        </w:rPr>
        <w:t xml:space="preserve"> </w:t>
      </w:r>
      <w:r w:rsidR="0005781E">
        <w:rPr>
          <w:rFonts w:asciiTheme="minorHAnsi" w:hAnsiTheme="minorHAnsi"/>
        </w:rPr>
        <w:t>as</w:t>
      </w:r>
      <w:r w:rsidR="00452C20" w:rsidRPr="002045B0">
        <w:rPr>
          <w:rFonts w:asciiTheme="minorHAnsi" w:hAnsiTheme="minorHAnsi"/>
        </w:rPr>
        <w:t xml:space="preserve"> algorithms rely on historical data that may not reflect current or future conditions. This can lead to inaccurate or unstable outputs if not properly managed (IBM, 2024; PwC, 2021). Within credit risk assessment, biased or incomplete data can result in distorted outcomes, raising concerns around both financial exposure and fairness. This becomes more significant in regulated environments, </w:t>
      </w:r>
      <w:r w:rsidR="00CA4970">
        <w:rPr>
          <w:rFonts w:asciiTheme="minorHAnsi" w:hAnsiTheme="minorHAnsi"/>
        </w:rPr>
        <w:t xml:space="preserve">in which </w:t>
      </w:r>
      <w:r w:rsidR="00452C20" w:rsidRPr="002045B0">
        <w:rPr>
          <w:rFonts w:asciiTheme="minorHAnsi" w:hAnsiTheme="minorHAnsi"/>
        </w:rPr>
        <w:t>decision-making must be transparent and justifiable. If AI systems cannot be clearly explained, there is a risk that efficiency gains come at the expense of accountability, which raises questions around how far automated decision-making can be relied upon in high-stakes contexts (European Banking Authority, 2021).</w:t>
      </w:r>
    </w:p>
    <w:p w14:paraId="16307906" w14:textId="0DED91BB" w:rsidR="00452C20" w:rsidRPr="002045B0" w:rsidRDefault="00452C20" w:rsidP="00452C20">
      <w:pPr>
        <w:pStyle w:val="NormalWeb"/>
        <w:spacing w:line="360" w:lineRule="auto"/>
        <w:rPr>
          <w:rFonts w:asciiTheme="minorHAnsi" w:hAnsiTheme="minorHAnsi"/>
        </w:rPr>
      </w:pPr>
      <w:r w:rsidRPr="002045B0">
        <w:rPr>
          <w:rFonts w:asciiTheme="minorHAnsi" w:hAnsiTheme="minorHAnsi"/>
        </w:rPr>
        <w:t xml:space="preserve">Operational risk also becomes more difficult to manage as AI systems increase in scale and complexity. As these systems are integrated across multiple functions, processes become more interconnected, making it harder to isolate and respond to failures. A disruption in one area can have wider implications, in global organisations </w:t>
      </w:r>
      <w:r w:rsidR="00334343">
        <w:rPr>
          <w:rFonts w:asciiTheme="minorHAnsi" w:hAnsiTheme="minorHAnsi"/>
        </w:rPr>
        <w:t>in</w:t>
      </w:r>
      <w:r w:rsidR="003F711E">
        <w:rPr>
          <w:rFonts w:asciiTheme="minorHAnsi" w:hAnsiTheme="minorHAnsi"/>
        </w:rPr>
        <w:t xml:space="preserve"> which</w:t>
      </w:r>
      <w:r w:rsidRPr="002045B0">
        <w:rPr>
          <w:rFonts w:asciiTheme="minorHAnsi" w:hAnsiTheme="minorHAnsi"/>
        </w:rPr>
        <w:t xml:space="preserve"> operations are linked across different regions. This adds to an already complex risk environment,</w:t>
      </w:r>
      <w:r w:rsidR="003F711E">
        <w:rPr>
          <w:rFonts w:asciiTheme="minorHAnsi" w:hAnsiTheme="minorHAnsi"/>
        </w:rPr>
        <w:t xml:space="preserve"> requiring</w:t>
      </w:r>
      <w:r w:rsidRPr="002045B0">
        <w:rPr>
          <w:rFonts w:asciiTheme="minorHAnsi" w:hAnsiTheme="minorHAnsi"/>
        </w:rPr>
        <w:t xml:space="preserve"> consistency in controls and processes</w:t>
      </w:r>
      <w:r w:rsidR="0054025D">
        <w:rPr>
          <w:rFonts w:asciiTheme="minorHAnsi" w:hAnsiTheme="minorHAnsi"/>
        </w:rPr>
        <w:t xml:space="preserve"> to</w:t>
      </w:r>
      <w:r w:rsidRPr="002045B0">
        <w:rPr>
          <w:rFonts w:asciiTheme="minorHAnsi" w:hAnsiTheme="minorHAnsi"/>
        </w:rPr>
        <w:t xml:space="preserve"> be maintained across different markets. The use of AI increases the need for ongoing monitoring, validation and oversight, rather than reducing it, which may limit the extent to which efficiency gains are realised in practice (Bank for International Settlements, 2023).</w:t>
      </w:r>
    </w:p>
    <w:p w14:paraId="5C9FA25C" w14:textId="5FA2D8D8" w:rsidR="00452C20" w:rsidRPr="002045B0" w:rsidRDefault="00452C20" w:rsidP="00452C20">
      <w:pPr>
        <w:pStyle w:val="NormalWeb"/>
        <w:spacing w:line="360" w:lineRule="auto"/>
        <w:rPr>
          <w:rFonts w:asciiTheme="minorHAnsi" w:hAnsiTheme="minorHAnsi"/>
        </w:rPr>
      </w:pPr>
      <w:r w:rsidRPr="002045B0">
        <w:rPr>
          <w:rFonts w:asciiTheme="minorHAnsi" w:hAnsiTheme="minorHAnsi"/>
        </w:rPr>
        <w:t>Reputational risk is another area that becomes more exposed. The use of AI in customer-facing decisions, such as credit approvals or fraud investigations, can directly influence how the organisation is perceived. If outcomes are viewed as unfair or unclear, trust can be affected, even wh</w:t>
      </w:r>
      <w:r w:rsidR="00BD5BC3">
        <w:rPr>
          <w:rFonts w:asciiTheme="minorHAnsi" w:hAnsiTheme="minorHAnsi"/>
        </w:rPr>
        <w:t>en</w:t>
      </w:r>
      <w:r w:rsidRPr="002045B0">
        <w:rPr>
          <w:rFonts w:asciiTheme="minorHAnsi" w:hAnsiTheme="minorHAnsi"/>
        </w:rPr>
        <w:t xml:space="preserve"> the intention is to improve efficiency. In financial services, </w:t>
      </w:r>
      <w:r w:rsidR="00403295">
        <w:rPr>
          <w:rFonts w:asciiTheme="minorHAnsi" w:hAnsiTheme="minorHAnsi"/>
        </w:rPr>
        <w:t>given that</w:t>
      </w:r>
      <w:r w:rsidRPr="002045B0">
        <w:rPr>
          <w:rFonts w:asciiTheme="minorHAnsi" w:hAnsiTheme="minorHAnsi"/>
        </w:rPr>
        <w:t xml:space="preserve"> trust underpins long-term relationships, this carries significant weight. There is growing evidence that customers expect greater transparency in how automated decisions are made, whe</w:t>
      </w:r>
      <w:r w:rsidR="00DB207C">
        <w:rPr>
          <w:rFonts w:asciiTheme="minorHAnsi" w:hAnsiTheme="minorHAnsi"/>
        </w:rPr>
        <w:t xml:space="preserve">n </w:t>
      </w:r>
      <w:r w:rsidRPr="002045B0">
        <w:rPr>
          <w:rFonts w:asciiTheme="minorHAnsi" w:hAnsiTheme="minorHAnsi"/>
        </w:rPr>
        <w:t xml:space="preserve">personal data is involved (Accenture, 2022). This increases the pressure to ensure that AI systems are not only </w:t>
      </w:r>
      <w:r w:rsidR="001B6D84" w:rsidRPr="002045B0">
        <w:rPr>
          <w:rFonts w:asciiTheme="minorHAnsi" w:hAnsiTheme="minorHAnsi"/>
        </w:rPr>
        <w:t>effective but</w:t>
      </w:r>
      <w:r w:rsidRPr="002045B0">
        <w:rPr>
          <w:rFonts w:asciiTheme="minorHAnsi" w:hAnsiTheme="minorHAnsi"/>
        </w:rPr>
        <w:t xml:space="preserve"> also aligned with customer expectations.</w:t>
      </w:r>
    </w:p>
    <w:p w14:paraId="732492B0" w14:textId="3FB299B3" w:rsidR="00452C20" w:rsidRPr="002045B0" w:rsidRDefault="00452C20" w:rsidP="00452C20">
      <w:pPr>
        <w:pStyle w:val="NormalWeb"/>
        <w:spacing w:line="360" w:lineRule="auto"/>
        <w:rPr>
          <w:rFonts w:asciiTheme="minorHAnsi" w:hAnsiTheme="minorHAnsi"/>
        </w:rPr>
      </w:pPr>
      <w:r w:rsidRPr="002045B0">
        <w:rPr>
          <w:rFonts w:asciiTheme="minorHAnsi" w:hAnsiTheme="minorHAnsi"/>
        </w:rPr>
        <w:t>Regulatory risk also becomes more complex as AI adoption increases. Financial institutions already operate within strict regulatory frameworks, but AI introduces new areas of scrutiny, around accountability and governance. Regulators have made it clear that responsibility for decision-making cannot be transferred to automated systems, and that firms must retain clear oversight (Financial Conduct Authority, 2022). In practice, this creates a challenge, as the use of AI can make decision processes less visible. Without strong governance structures, there is a risk that organisations lose clarity over how decisions are made, even whe</w:t>
      </w:r>
      <w:r w:rsidR="005A6C68">
        <w:rPr>
          <w:rFonts w:asciiTheme="minorHAnsi" w:hAnsiTheme="minorHAnsi"/>
        </w:rPr>
        <w:t>n</w:t>
      </w:r>
      <w:r w:rsidRPr="002045B0">
        <w:rPr>
          <w:rFonts w:asciiTheme="minorHAnsi" w:hAnsiTheme="minorHAnsi"/>
        </w:rPr>
        <w:t xml:space="preserve"> systems are functioning as intended.</w:t>
      </w:r>
    </w:p>
    <w:p w14:paraId="5D1C6006" w14:textId="6F38C1B1" w:rsidR="00452C20" w:rsidRPr="002045B0" w:rsidRDefault="00452C20" w:rsidP="00452C20">
      <w:pPr>
        <w:pStyle w:val="NormalWeb"/>
        <w:spacing w:line="360" w:lineRule="auto"/>
        <w:rPr>
          <w:rFonts w:asciiTheme="minorHAnsi" w:hAnsiTheme="minorHAnsi"/>
        </w:rPr>
      </w:pPr>
      <w:r w:rsidRPr="002045B0">
        <w:rPr>
          <w:rFonts w:asciiTheme="minorHAnsi" w:hAnsiTheme="minorHAnsi"/>
        </w:rPr>
        <w:t>AI should not be seen simply as a tool that improves risk management. It changes how risk is generated, distributed and controlled across the organisation. The challenge lies in balancing the benefits of AI with the need to maintain control, transparency and accountability. This requires a more integrated approach, w</w:t>
      </w:r>
      <w:r w:rsidR="006A3B7C">
        <w:rPr>
          <w:rFonts w:asciiTheme="minorHAnsi" w:hAnsiTheme="minorHAnsi"/>
        </w:rPr>
        <w:t>ith</w:t>
      </w:r>
      <w:r w:rsidRPr="002045B0">
        <w:rPr>
          <w:rFonts w:asciiTheme="minorHAnsi" w:hAnsiTheme="minorHAnsi"/>
        </w:rPr>
        <w:t xml:space="preserve"> technological capability</w:t>
      </w:r>
      <w:r w:rsidR="00B747AF">
        <w:rPr>
          <w:rFonts w:asciiTheme="minorHAnsi" w:hAnsiTheme="minorHAnsi"/>
        </w:rPr>
        <w:t xml:space="preserve"> </w:t>
      </w:r>
      <w:r w:rsidRPr="002045B0">
        <w:rPr>
          <w:rFonts w:asciiTheme="minorHAnsi" w:hAnsiTheme="minorHAnsi"/>
        </w:rPr>
        <w:t>supported by effective governance and a clear understanding of how risk evolves alongside ongoing innovation.</w:t>
      </w:r>
    </w:p>
    <w:p w14:paraId="01B2409C" w14:textId="2ACE320F" w:rsidR="00452C20" w:rsidRDefault="00452C20">
      <w:pPr>
        <w:spacing w:line="259" w:lineRule="auto"/>
      </w:pPr>
      <w:r>
        <w:br w:type="page"/>
      </w:r>
    </w:p>
    <w:p w14:paraId="436320F9" w14:textId="77777777" w:rsidR="00BF59BF" w:rsidRPr="00CB69BE" w:rsidRDefault="00BF59BF" w:rsidP="00BF59BF">
      <w:pPr>
        <w:rPr>
          <w:sz w:val="32"/>
          <w:szCs w:val="32"/>
        </w:rPr>
      </w:pPr>
    </w:p>
    <w:p w14:paraId="7F969045" w14:textId="1E5A2A49" w:rsidR="00BF59BF" w:rsidRDefault="00690D94" w:rsidP="00BF59BF">
      <w:pPr>
        <w:pStyle w:val="Heading1"/>
      </w:pPr>
      <w:bookmarkStart w:id="5" w:name="_Toc228186540"/>
      <w:r w:rsidRPr="00CB69BE">
        <w:rPr>
          <w:sz w:val="32"/>
          <w:szCs w:val="32"/>
        </w:rPr>
        <w:t>Data Governance and Regulatory Risk</w:t>
      </w:r>
      <w:bookmarkEnd w:id="5"/>
      <w:r w:rsidRPr="00CB69BE">
        <w:rPr>
          <w:sz w:val="32"/>
          <w:szCs w:val="32"/>
        </w:rPr>
        <w:t xml:space="preserve"> </w:t>
      </w:r>
    </w:p>
    <w:p w14:paraId="3F0EF5B9" w14:textId="77777777" w:rsidR="00D411C7" w:rsidRDefault="00D411C7" w:rsidP="006438F4">
      <w:pPr>
        <w:spacing w:before="100" w:beforeAutospacing="1" w:after="100" w:afterAutospacing="1" w:line="360" w:lineRule="auto"/>
        <w:rPr>
          <w:rFonts w:eastAsia="Times New Roman" w:cs="Times New Roman"/>
          <w:sz w:val="24"/>
          <w:szCs w:val="24"/>
          <w:lang w:eastAsia="en-GB"/>
        </w:rPr>
      </w:pPr>
    </w:p>
    <w:p w14:paraId="09333B85" w14:textId="33F7D7A1" w:rsidR="006438F4" w:rsidRPr="006438F4" w:rsidRDefault="006438F4" w:rsidP="006438F4">
      <w:pPr>
        <w:spacing w:before="100" w:beforeAutospacing="1" w:after="100" w:afterAutospacing="1" w:line="360" w:lineRule="auto"/>
        <w:rPr>
          <w:rFonts w:eastAsia="Times New Roman" w:cs="Times New Roman"/>
          <w:sz w:val="24"/>
          <w:szCs w:val="24"/>
          <w:lang w:eastAsia="en-GB"/>
        </w:rPr>
      </w:pPr>
      <w:r w:rsidRPr="006438F4">
        <w:rPr>
          <w:rFonts w:eastAsia="Times New Roman" w:cs="Times New Roman"/>
          <w:sz w:val="24"/>
          <w:szCs w:val="24"/>
          <w:lang w:eastAsia="en-GB"/>
        </w:rPr>
        <w:t>The risks associated with AI are closely linked to how data is governed in practice. AI systems rely heavily on the quality, structure and availability of data, which means that weaknesses in data governance can directly affect outcomes. In multinational organisations, this becomes more complex, as data is often collected, stored and processed across different countries, each with its own legal and regulatory expectations. Whe</w:t>
      </w:r>
      <w:r w:rsidR="00403464">
        <w:rPr>
          <w:rFonts w:eastAsia="Times New Roman" w:cs="Times New Roman"/>
          <w:sz w:val="24"/>
          <w:szCs w:val="24"/>
          <w:lang w:eastAsia="en-GB"/>
        </w:rPr>
        <w:t xml:space="preserve">n </w:t>
      </w:r>
      <w:r w:rsidRPr="006438F4">
        <w:rPr>
          <w:rFonts w:eastAsia="Times New Roman" w:cs="Times New Roman"/>
          <w:sz w:val="24"/>
          <w:szCs w:val="24"/>
          <w:lang w:eastAsia="en-GB"/>
        </w:rPr>
        <w:t>governance is inconsistent, this does not just create technical challenges, it increases exposure to regulatory breaches and reputational damage (Information Commissioner’s Office, 2023).</w:t>
      </w:r>
    </w:p>
    <w:p w14:paraId="0D7F1837" w14:textId="7A39ADC2" w:rsidR="006438F4" w:rsidRPr="006438F4" w:rsidRDefault="00F46B84" w:rsidP="006438F4">
      <w:pPr>
        <w:spacing w:before="100" w:beforeAutospacing="1" w:after="100" w:afterAutospacing="1" w:line="360" w:lineRule="auto"/>
        <w:rPr>
          <w:rFonts w:eastAsia="Times New Roman" w:cs="Times New Roman"/>
          <w:sz w:val="24"/>
          <w:szCs w:val="24"/>
          <w:lang w:eastAsia="en-GB"/>
        </w:rPr>
      </w:pPr>
      <w:r>
        <w:rPr>
          <w:rFonts w:eastAsia="Times New Roman" w:cs="Times New Roman"/>
          <w:sz w:val="24"/>
          <w:szCs w:val="24"/>
          <w:lang w:eastAsia="en-GB"/>
        </w:rPr>
        <w:t>M</w:t>
      </w:r>
      <w:r w:rsidR="006438F4" w:rsidRPr="006438F4">
        <w:rPr>
          <w:rFonts w:eastAsia="Times New Roman" w:cs="Times New Roman"/>
          <w:sz w:val="24"/>
          <w:szCs w:val="24"/>
          <w:lang w:eastAsia="en-GB"/>
        </w:rPr>
        <w:t>aintaining data quality and integrity</w:t>
      </w:r>
      <w:r w:rsidR="00CD2A3B">
        <w:rPr>
          <w:rFonts w:eastAsia="Times New Roman" w:cs="Times New Roman"/>
          <w:sz w:val="24"/>
          <w:szCs w:val="24"/>
          <w:lang w:eastAsia="en-GB"/>
        </w:rPr>
        <w:t xml:space="preserve"> is critical</w:t>
      </w:r>
      <w:r w:rsidR="006438F4" w:rsidRPr="006438F4">
        <w:rPr>
          <w:rFonts w:eastAsia="Times New Roman" w:cs="Times New Roman"/>
          <w:sz w:val="24"/>
          <w:szCs w:val="24"/>
          <w:lang w:eastAsia="en-GB"/>
        </w:rPr>
        <w:t>. AI systems depend on large volumes of structured and unstructured data, yet inconsistencies in how data is collected or maintained can affect outputs in ways that are not always immediately visible. Poor data quality can lead to flawed decision-making, in areas such as credit assessment or fraud detection,</w:t>
      </w:r>
      <w:r w:rsidR="009F4EF1">
        <w:rPr>
          <w:rFonts w:eastAsia="Times New Roman" w:cs="Times New Roman"/>
          <w:sz w:val="24"/>
          <w:szCs w:val="24"/>
          <w:lang w:eastAsia="en-GB"/>
        </w:rPr>
        <w:t xml:space="preserve"> as</w:t>
      </w:r>
      <w:r w:rsidR="006438F4" w:rsidRPr="006438F4">
        <w:rPr>
          <w:rFonts w:eastAsia="Times New Roman" w:cs="Times New Roman"/>
          <w:sz w:val="24"/>
          <w:szCs w:val="24"/>
          <w:lang w:eastAsia="en-GB"/>
        </w:rPr>
        <w:t xml:space="preserve"> small inaccuracies can have wider consequences. Supervisory guidance highlights the importance of data accuracy, completeness and traceability,</w:t>
      </w:r>
      <w:r w:rsidR="00424893">
        <w:rPr>
          <w:rFonts w:eastAsia="Times New Roman" w:cs="Times New Roman"/>
          <w:sz w:val="24"/>
          <w:szCs w:val="24"/>
          <w:lang w:eastAsia="en-GB"/>
        </w:rPr>
        <w:t xml:space="preserve"> in </w:t>
      </w:r>
      <w:r w:rsidR="006438F4" w:rsidRPr="006438F4">
        <w:rPr>
          <w:rFonts w:eastAsia="Times New Roman" w:cs="Times New Roman"/>
          <w:sz w:val="24"/>
          <w:szCs w:val="24"/>
          <w:lang w:eastAsia="en-GB"/>
        </w:rPr>
        <w:t>automated decision-making (Basel Committee on Banking Supervision, 2023). This suggests that the effectiveness of AI is closely tied to the strength of underlying data controls, rather than the sophistication of the technology itself.</w:t>
      </w:r>
    </w:p>
    <w:p w14:paraId="5FD0A09D" w14:textId="3465E8AF" w:rsidR="006438F4" w:rsidRPr="006438F4" w:rsidRDefault="006438F4" w:rsidP="006438F4">
      <w:pPr>
        <w:spacing w:before="100" w:beforeAutospacing="1" w:after="100" w:afterAutospacing="1" w:line="360" w:lineRule="auto"/>
        <w:rPr>
          <w:rFonts w:eastAsia="Times New Roman" w:cs="Times New Roman"/>
          <w:sz w:val="24"/>
          <w:szCs w:val="24"/>
          <w:lang w:eastAsia="en-GB"/>
        </w:rPr>
      </w:pPr>
      <w:r w:rsidRPr="006438F4">
        <w:rPr>
          <w:rFonts w:eastAsia="Times New Roman" w:cs="Times New Roman"/>
          <w:sz w:val="24"/>
          <w:szCs w:val="24"/>
          <w:lang w:eastAsia="en-GB"/>
        </w:rPr>
        <w:t>Data governance is also closely linked to issues of ownership and accountability. In large organisations, data often moves across different systems and teams, making it harder to define responsibility for its use and quality. This becomes more complex when AI systems are layered onto existing processes, as responsibility for outcomes may be less clearly defined. There is a risk that accountability becomes fragmented</w:t>
      </w:r>
      <w:r w:rsidR="006369DB">
        <w:rPr>
          <w:rFonts w:eastAsia="Times New Roman" w:cs="Times New Roman"/>
          <w:sz w:val="24"/>
          <w:szCs w:val="24"/>
          <w:lang w:eastAsia="en-GB"/>
        </w:rPr>
        <w:t xml:space="preserve"> </w:t>
      </w:r>
      <w:r w:rsidRPr="006438F4">
        <w:rPr>
          <w:rFonts w:eastAsia="Times New Roman" w:cs="Times New Roman"/>
          <w:sz w:val="24"/>
          <w:szCs w:val="24"/>
          <w:lang w:eastAsia="en-GB"/>
        </w:rPr>
        <w:t>whe</w:t>
      </w:r>
      <w:r w:rsidR="006369DB">
        <w:rPr>
          <w:rFonts w:eastAsia="Times New Roman" w:cs="Times New Roman"/>
          <w:sz w:val="24"/>
          <w:szCs w:val="24"/>
          <w:lang w:eastAsia="en-GB"/>
        </w:rPr>
        <w:t>n</w:t>
      </w:r>
      <w:r w:rsidRPr="006438F4">
        <w:rPr>
          <w:rFonts w:eastAsia="Times New Roman" w:cs="Times New Roman"/>
          <w:sz w:val="24"/>
          <w:szCs w:val="24"/>
          <w:lang w:eastAsia="en-GB"/>
        </w:rPr>
        <w:t xml:space="preserve"> decision-making is partially automated. Regulators have emphasised the need for clear governance frameworks that define roles, responsibilities and oversight mechanisms (Information Commissioner’s Office, 2023). Without this clarity, it becomes more difficult to challenge decisions or identify </w:t>
      </w:r>
      <w:r w:rsidR="00E93BB3">
        <w:rPr>
          <w:rFonts w:eastAsia="Times New Roman" w:cs="Times New Roman"/>
          <w:sz w:val="24"/>
          <w:szCs w:val="24"/>
          <w:lang w:eastAsia="en-GB"/>
        </w:rPr>
        <w:t xml:space="preserve">points of </w:t>
      </w:r>
      <w:r w:rsidR="00E5692F">
        <w:rPr>
          <w:rFonts w:eastAsia="Times New Roman" w:cs="Times New Roman"/>
          <w:sz w:val="24"/>
          <w:szCs w:val="24"/>
          <w:lang w:eastAsia="en-GB"/>
        </w:rPr>
        <w:t>failure</w:t>
      </w:r>
      <w:r w:rsidRPr="006438F4">
        <w:rPr>
          <w:rFonts w:eastAsia="Times New Roman" w:cs="Times New Roman"/>
          <w:sz w:val="24"/>
          <w:szCs w:val="24"/>
          <w:lang w:eastAsia="en-GB"/>
        </w:rPr>
        <w:t>, which may weaken control.</w:t>
      </w:r>
    </w:p>
    <w:p w14:paraId="61AE8E6F" w14:textId="07F6DB17" w:rsidR="006438F4" w:rsidRPr="006438F4" w:rsidRDefault="00746057" w:rsidP="006438F4">
      <w:pPr>
        <w:spacing w:before="100" w:beforeAutospacing="1" w:after="100" w:afterAutospacing="1" w:line="360" w:lineRule="auto"/>
        <w:rPr>
          <w:rFonts w:eastAsia="Times New Roman" w:cs="Times New Roman"/>
          <w:sz w:val="24"/>
          <w:szCs w:val="24"/>
          <w:lang w:eastAsia="en-GB"/>
        </w:rPr>
      </w:pPr>
      <w:r>
        <w:rPr>
          <w:rFonts w:eastAsia="Times New Roman" w:cs="Times New Roman"/>
          <w:sz w:val="24"/>
          <w:szCs w:val="24"/>
          <w:lang w:eastAsia="en-GB"/>
        </w:rPr>
        <w:t>Data moving between</w:t>
      </w:r>
      <w:r w:rsidR="00AF01D4">
        <w:rPr>
          <w:rFonts w:eastAsia="Times New Roman" w:cs="Times New Roman"/>
          <w:sz w:val="24"/>
          <w:szCs w:val="24"/>
          <w:lang w:eastAsia="en-GB"/>
        </w:rPr>
        <w:t xml:space="preserve"> regions </w:t>
      </w:r>
      <w:r w:rsidR="006438F4" w:rsidRPr="006438F4">
        <w:rPr>
          <w:rFonts w:eastAsia="Times New Roman" w:cs="Times New Roman"/>
          <w:sz w:val="24"/>
          <w:szCs w:val="24"/>
          <w:lang w:eastAsia="en-GB"/>
        </w:rPr>
        <w:t>introduces further complexity. Multinational organisations rely on transferring data between regions to support global operations, yet restrictions on data movement can limit how effectively AI systems function. Within the European Union, data protection requirements place strict conditions on how personal data is processed and transferred. The UK framework, while closely aligned, relies more on organisations to interpret and apply data protection requirements in practice (European Data Protection Board, 2022; Department for Science, Innovation and Technology, 2023). These differences create uncertainty for organisations operating across both environments. This may slow implementation or require separate systems and controls, which increases cost and reduces efficiency.</w:t>
      </w:r>
    </w:p>
    <w:p w14:paraId="009B2BA5" w14:textId="4E39D06B" w:rsidR="006438F4" w:rsidRPr="006438F4" w:rsidRDefault="00D40F72" w:rsidP="006438F4">
      <w:pPr>
        <w:spacing w:before="100" w:beforeAutospacing="1" w:after="100" w:afterAutospacing="1" w:line="360" w:lineRule="auto"/>
        <w:rPr>
          <w:rFonts w:eastAsia="Times New Roman" w:cs="Times New Roman"/>
          <w:sz w:val="24"/>
          <w:szCs w:val="24"/>
          <w:lang w:eastAsia="en-GB"/>
        </w:rPr>
      </w:pPr>
      <w:r>
        <w:rPr>
          <w:rFonts w:eastAsia="Times New Roman" w:cs="Times New Roman"/>
          <w:sz w:val="24"/>
          <w:szCs w:val="24"/>
          <w:lang w:eastAsia="en-GB"/>
        </w:rPr>
        <w:t xml:space="preserve">Balancing </w:t>
      </w:r>
      <w:r w:rsidR="006438F4" w:rsidRPr="006438F4">
        <w:rPr>
          <w:rFonts w:eastAsia="Times New Roman" w:cs="Times New Roman"/>
          <w:sz w:val="24"/>
          <w:szCs w:val="24"/>
          <w:lang w:eastAsia="en-GB"/>
        </w:rPr>
        <w:t xml:space="preserve">data availability </w:t>
      </w:r>
      <w:r>
        <w:rPr>
          <w:rFonts w:eastAsia="Times New Roman" w:cs="Times New Roman"/>
          <w:sz w:val="24"/>
          <w:szCs w:val="24"/>
          <w:lang w:eastAsia="en-GB"/>
        </w:rPr>
        <w:t>with</w:t>
      </w:r>
      <w:r w:rsidR="006438F4" w:rsidRPr="006438F4">
        <w:rPr>
          <w:rFonts w:eastAsia="Times New Roman" w:cs="Times New Roman"/>
          <w:sz w:val="24"/>
          <w:szCs w:val="24"/>
          <w:lang w:eastAsia="en-GB"/>
        </w:rPr>
        <w:t xml:space="preserve"> data protection</w:t>
      </w:r>
      <w:r>
        <w:rPr>
          <w:rFonts w:eastAsia="Times New Roman" w:cs="Times New Roman"/>
          <w:sz w:val="24"/>
          <w:szCs w:val="24"/>
          <w:lang w:eastAsia="en-GB"/>
        </w:rPr>
        <w:t xml:space="preserve"> remains a</w:t>
      </w:r>
      <w:r w:rsidR="00F17239">
        <w:rPr>
          <w:rFonts w:eastAsia="Times New Roman" w:cs="Times New Roman"/>
          <w:sz w:val="24"/>
          <w:szCs w:val="24"/>
          <w:lang w:eastAsia="en-GB"/>
        </w:rPr>
        <w:t xml:space="preserve"> </w:t>
      </w:r>
      <w:r>
        <w:rPr>
          <w:rFonts w:eastAsia="Times New Roman" w:cs="Times New Roman"/>
          <w:sz w:val="24"/>
          <w:szCs w:val="24"/>
          <w:lang w:eastAsia="en-GB"/>
        </w:rPr>
        <w:t>challenge</w:t>
      </w:r>
      <w:r w:rsidR="006438F4" w:rsidRPr="006438F4">
        <w:rPr>
          <w:rFonts w:eastAsia="Times New Roman" w:cs="Times New Roman"/>
          <w:sz w:val="24"/>
          <w:szCs w:val="24"/>
          <w:lang w:eastAsia="en-GB"/>
        </w:rPr>
        <w:t>. AI systems perform more effectively when they have access to larger datasets, yet regulatory frameworks limit how data can be used,</w:t>
      </w:r>
      <w:r w:rsidR="00F63677">
        <w:rPr>
          <w:rFonts w:eastAsia="Times New Roman" w:cs="Times New Roman"/>
          <w:sz w:val="24"/>
          <w:szCs w:val="24"/>
          <w:lang w:eastAsia="en-GB"/>
        </w:rPr>
        <w:t xml:space="preserve"> </w:t>
      </w:r>
      <w:r w:rsidR="00503D36">
        <w:rPr>
          <w:rFonts w:eastAsia="Times New Roman" w:cs="Times New Roman"/>
          <w:sz w:val="24"/>
          <w:szCs w:val="24"/>
          <w:lang w:eastAsia="en-GB"/>
        </w:rPr>
        <w:t>particularly when</w:t>
      </w:r>
      <w:r w:rsidR="006438F4" w:rsidRPr="006438F4">
        <w:rPr>
          <w:rFonts w:eastAsia="Times New Roman" w:cs="Times New Roman"/>
          <w:sz w:val="24"/>
          <w:szCs w:val="24"/>
          <w:lang w:eastAsia="en-GB"/>
        </w:rPr>
        <w:t xml:space="preserve"> personal information is involved. This creates a </w:t>
      </w:r>
      <w:r w:rsidR="004D67D3">
        <w:rPr>
          <w:rFonts w:eastAsia="Times New Roman" w:cs="Times New Roman"/>
          <w:sz w:val="24"/>
          <w:szCs w:val="24"/>
          <w:lang w:eastAsia="en-GB"/>
        </w:rPr>
        <w:t>situation requiring</w:t>
      </w:r>
      <w:r w:rsidR="006438F4" w:rsidRPr="006438F4">
        <w:rPr>
          <w:rFonts w:eastAsia="Times New Roman" w:cs="Times New Roman"/>
          <w:sz w:val="24"/>
          <w:szCs w:val="24"/>
          <w:lang w:eastAsia="en-GB"/>
        </w:rPr>
        <w:t xml:space="preserve"> organisations</w:t>
      </w:r>
      <w:r w:rsidR="009378E1">
        <w:rPr>
          <w:rFonts w:eastAsia="Times New Roman" w:cs="Times New Roman"/>
          <w:sz w:val="24"/>
          <w:szCs w:val="24"/>
          <w:lang w:eastAsia="en-GB"/>
        </w:rPr>
        <w:t xml:space="preserve"> to </w:t>
      </w:r>
      <w:r w:rsidR="006438F4" w:rsidRPr="006438F4">
        <w:rPr>
          <w:rFonts w:eastAsia="Times New Roman" w:cs="Times New Roman"/>
          <w:sz w:val="24"/>
          <w:szCs w:val="24"/>
          <w:lang w:eastAsia="en-GB"/>
        </w:rPr>
        <w:t>balance improved performance against the risk of non-compliance. In practice, this may restrict the extent to which data can be fully utilised, in areas such as customer analytics. It also raises questions around how far organisations should rely on data-driven decision-making when access to data is constrained.</w:t>
      </w:r>
    </w:p>
    <w:p w14:paraId="5BE5FAF5" w14:textId="3677AA48" w:rsidR="006438F4" w:rsidRPr="006438F4" w:rsidRDefault="006438F4" w:rsidP="006438F4">
      <w:pPr>
        <w:spacing w:before="100" w:beforeAutospacing="1" w:after="100" w:afterAutospacing="1" w:line="360" w:lineRule="auto"/>
        <w:rPr>
          <w:rFonts w:eastAsia="Times New Roman" w:cs="Times New Roman"/>
          <w:sz w:val="24"/>
          <w:szCs w:val="24"/>
          <w:lang w:eastAsia="en-GB"/>
        </w:rPr>
      </w:pPr>
      <w:r w:rsidRPr="006438F4">
        <w:rPr>
          <w:rFonts w:eastAsia="Times New Roman" w:cs="Times New Roman"/>
          <w:sz w:val="24"/>
          <w:szCs w:val="24"/>
          <w:lang w:eastAsia="en-GB"/>
        </w:rPr>
        <w:t xml:space="preserve">For </w:t>
      </w:r>
      <w:r w:rsidRPr="006438F4">
        <w:rPr>
          <w:rFonts w:eastAsiaTheme="majorEastAsia" w:cs="Times New Roman"/>
          <w:sz w:val="24"/>
          <w:szCs w:val="24"/>
          <w:lang w:eastAsia="en-GB"/>
        </w:rPr>
        <w:t>HSBC</w:t>
      </w:r>
      <w:r w:rsidRPr="006438F4">
        <w:rPr>
          <w:rFonts w:eastAsia="Times New Roman" w:cs="Times New Roman"/>
          <w:sz w:val="24"/>
          <w:szCs w:val="24"/>
          <w:lang w:eastAsia="en-GB"/>
        </w:rPr>
        <w:t>, these issues are central to both operational performance and regulatory compliance. Maintaining consistent data standards across different regions, while adapting to local regulatory requirements, creates ongoing pressure. This is not simply a question of meeting minimum standards, but of ensuring that data practices are robust enough to support AI systems over time. Where governance is weak, the risks identified earlier,</w:t>
      </w:r>
      <w:r w:rsidR="006219B4">
        <w:rPr>
          <w:rFonts w:eastAsia="Times New Roman" w:cs="Times New Roman"/>
          <w:sz w:val="24"/>
          <w:szCs w:val="24"/>
          <w:lang w:eastAsia="en-GB"/>
        </w:rPr>
        <w:t xml:space="preserve"> </w:t>
      </w:r>
      <w:r w:rsidRPr="006438F4">
        <w:rPr>
          <w:rFonts w:eastAsia="Times New Roman" w:cs="Times New Roman"/>
          <w:sz w:val="24"/>
          <w:szCs w:val="24"/>
          <w:lang w:eastAsia="en-GB"/>
        </w:rPr>
        <w:t>around model reliability and accountability, are likely to become more pronounced.</w:t>
      </w:r>
    </w:p>
    <w:p w14:paraId="20D974AE" w14:textId="69FFFD3D" w:rsidR="006438F4" w:rsidRDefault="003B03D0" w:rsidP="006438F4">
      <w:pPr>
        <w:spacing w:before="100" w:beforeAutospacing="1" w:after="100" w:afterAutospacing="1" w:line="360" w:lineRule="auto"/>
        <w:rPr>
          <w:rFonts w:eastAsia="Times New Roman" w:cs="Times New Roman"/>
          <w:sz w:val="24"/>
          <w:szCs w:val="24"/>
          <w:lang w:eastAsia="en-GB"/>
        </w:rPr>
      </w:pPr>
      <w:r>
        <w:rPr>
          <w:rFonts w:eastAsia="Times New Roman" w:cs="Times New Roman"/>
          <w:sz w:val="24"/>
          <w:szCs w:val="24"/>
          <w:lang w:eastAsia="en-GB"/>
        </w:rPr>
        <w:t>D</w:t>
      </w:r>
      <w:r w:rsidR="006438F4" w:rsidRPr="006438F4">
        <w:rPr>
          <w:rFonts w:eastAsia="Times New Roman" w:cs="Times New Roman"/>
          <w:sz w:val="24"/>
          <w:szCs w:val="24"/>
          <w:lang w:eastAsia="en-GB"/>
        </w:rPr>
        <w:t xml:space="preserve">ata governance </w:t>
      </w:r>
      <w:r w:rsidR="000D7126">
        <w:rPr>
          <w:rFonts w:eastAsia="Times New Roman" w:cs="Times New Roman"/>
          <w:sz w:val="24"/>
          <w:szCs w:val="24"/>
          <w:lang w:eastAsia="en-GB"/>
        </w:rPr>
        <w:t xml:space="preserve">shapes </w:t>
      </w:r>
      <w:r w:rsidR="006438F4" w:rsidRPr="006438F4">
        <w:rPr>
          <w:rFonts w:eastAsia="Times New Roman" w:cs="Times New Roman"/>
          <w:sz w:val="24"/>
          <w:szCs w:val="24"/>
          <w:lang w:eastAsia="en-GB"/>
        </w:rPr>
        <w:t>how AI-related risks emerge and are managed. It influences not only the quality of outputs, but also how decisions are understood, challenged and regulated. Strengthening data governance is not just a compliance requirement, it is essential to ensuring that AI can be used effectively within a complex and evolving regulatory environment.</w:t>
      </w:r>
    </w:p>
    <w:p w14:paraId="3462EFCC" w14:textId="3C6B984F" w:rsidR="00690D94" w:rsidRPr="002E7D2A" w:rsidRDefault="00D24CAF" w:rsidP="002E7D2A">
      <w:pPr>
        <w:spacing w:line="259" w:lineRule="auto"/>
        <w:rPr>
          <w:rFonts w:eastAsia="Times New Roman" w:cs="Times New Roman"/>
          <w:sz w:val="24"/>
          <w:szCs w:val="24"/>
          <w:lang w:eastAsia="en-GB"/>
        </w:rPr>
      </w:pPr>
      <w:r>
        <w:rPr>
          <w:rFonts w:eastAsia="Times New Roman" w:cs="Times New Roman"/>
          <w:sz w:val="24"/>
          <w:szCs w:val="24"/>
          <w:lang w:eastAsia="en-GB"/>
        </w:rPr>
        <w:br w:type="page"/>
      </w:r>
    </w:p>
    <w:p w14:paraId="662282AB" w14:textId="21A9BDEE" w:rsidR="00690D94" w:rsidRPr="00CB69BE" w:rsidRDefault="00690D94" w:rsidP="00690D94">
      <w:pPr>
        <w:pStyle w:val="Heading1"/>
        <w:rPr>
          <w:sz w:val="32"/>
          <w:szCs w:val="32"/>
        </w:rPr>
      </w:pPr>
      <w:bookmarkStart w:id="6" w:name="_Toc228186541"/>
      <w:r w:rsidRPr="00CB69BE">
        <w:rPr>
          <w:sz w:val="32"/>
          <w:szCs w:val="32"/>
        </w:rPr>
        <w:t>Ethical AI and Customer Trust</w:t>
      </w:r>
      <w:bookmarkEnd w:id="6"/>
    </w:p>
    <w:p w14:paraId="65E968DD" w14:textId="77777777" w:rsidR="00D411C7" w:rsidRDefault="00D411C7" w:rsidP="00377109">
      <w:pPr>
        <w:spacing w:before="100" w:beforeAutospacing="1" w:after="100" w:afterAutospacing="1" w:line="360" w:lineRule="auto"/>
        <w:rPr>
          <w:rFonts w:eastAsia="Times New Roman" w:cs="Times New Roman"/>
          <w:sz w:val="24"/>
          <w:szCs w:val="24"/>
          <w:lang w:eastAsia="en-GB"/>
        </w:rPr>
      </w:pPr>
    </w:p>
    <w:p w14:paraId="06BEED30" w14:textId="521F4CAB" w:rsidR="00377109" w:rsidRPr="002E7D2A" w:rsidRDefault="002E7D2A" w:rsidP="00377109">
      <w:pPr>
        <w:spacing w:before="100" w:beforeAutospacing="1" w:after="100" w:afterAutospacing="1" w:line="360" w:lineRule="auto"/>
        <w:rPr>
          <w:rFonts w:eastAsia="Times New Roman" w:cs="Times New Roman"/>
          <w:sz w:val="24"/>
          <w:szCs w:val="24"/>
          <w:lang w:eastAsia="en-GB"/>
        </w:rPr>
      </w:pPr>
      <w:r w:rsidRPr="002E7D2A">
        <w:rPr>
          <w:rFonts w:eastAsia="Times New Roman" w:cs="Times New Roman"/>
          <w:sz w:val="24"/>
          <w:szCs w:val="24"/>
          <w:lang w:eastAsia="en-GB"/>
        </w:rPr>
        <w:t>Ethical considerations become more prominent as AI is used more widely in decision-making,</w:t>
      </w:r>
      <w:r w:rsidR="003B15A9">
        <w:rPr>
          <w:rFonts w:eastAsia="Times New Roman" w:cs="Times New Roman"/>
          <w:sz w:val="24"/>
          <w:szCs w:val="24"/>
          <w:lang w:eastAsia="en-GB"/>
        </w:rPr>
        <w:t xml:space="preserve"> </w:t>
      </w:r>
      <w:r w:rsidRPr="002E7D2A">
        <w:rPr>
          <w:rFonts w:eastAsia="Times New Roman" w:cs="Times New Roman"/>
          <w:sz w:val="24"/>
          <w:szCs w:val="24"/>
          <w:lang w:eastAsia="en-GB"/>
        </w:rPr>
        <w:t>in areas that directly affect customers. In financial services, decisions linked to lending, fraud monitoring and account access can have immediate consequences, which means the way AI is applied is not just a technical issue but one that shapes how fairness and accountability are judged. As automated decision-making becomes more common, regulators and industry bodies have raised concerns around whether existing governance approaches are sufficient to manage these risks (Financial Conduct Authority, 2023). This creates a position</w:t>
      </w:r>
      <w:r w:rsidR="00253AFD">
        <w:rPr>
          <w:rFonts w:eastAsia="Times New Roman" w:cs="Times New Roman"/>
          <w:sz w:val="24"/>
          <w:szCs w:val="24"/>
          <w:lang w:eastAsia="en-GB"/>
        </w:rPr>
        <w:t xml:space="preserve"> requiring</w:t>
      </w:r>
      <w:r w:rsidRPr="002E7D2A">
        <w:rPr>
          <w:rFonts w:eastAsia="Times New Roman" w:cs="Times New Roman"/>
          <w:sz w:val="24"/>
          <w:szCs w:val="24"/>
          <w:lang w:eastAsia="en-GB"/>
        </w:rPr>
        <w:t xml:space="preserve"> organisations</w:t>
      </w:r>
      <w:r w:rsidR="00253AFD">
        <w:rPr>
          <w:rFonts w:eastAsia="Times New Roman" w:cs="Times New Roman"/>
          <w:sz w:val="24"/>
          <w:szCs w:val="24"/>
          <w:lang w:eastAsia="en-GB"/>
        </w:rPr>
        <w:t xml:space="preserve"> to</w:t>
      </w:r>
      <w:r w:rsidRPr="002E7D2A">
        <w:rPr>
          <w:rFonts w:eastAsia="Times New Roman" w:cs="Times New Roman"/>
          <w:sz w:val="24"/>
          <w:szCs w:val="24"/>
          <w:lang w:eastAsia="en-GB"/>
        </w:rPr>
        <w:t xml:space="preserve"> demonstrate not only that systems are effective, but that outcomes can be justified </w:t>
      </w:r>
      <w:r w:rsidR="00FD365B" w:rsidRPr="002E7D2A">
        <w:rPr>
          <w:rFonts w:eastAsia="Times New Roman" w:cs="Times New Roman"/>
          <w:sz w:val="24"/>
          <w:szCs w:val="24"/>
          <w:lang w:eastAsia="en-GB"/>
        </w:rPr>
        <w:t xml:space="preserve">and </w:t>
      </w:r>
      <w:r w:rsidR="00FD365B">
        <w:rPr>
          <w:rFonts w:eastAsia="Times New Roman" w:cs="Times New Roman"/>
          <w:sz w:val="24"/>
          <w:szCs w:val="24"/>
          <w:lang w:eastAsia="en-GB"/>
        </w:rPr>
        <w:t>challenged</w:t>
      </w:r>
      <w:r w:rsidR="00687AA0">
        <w:rPr>
          <w:rFonts w:eastAsia="Times New Roman" w:cs="Times New Roman"/>
          <w:sz w:val="24"/>
          <w:szCs w:val="24"/>
          <w:lang w:eastAsia="en-GB"/>
        </w:rPr>
        <w:t xml:space="preserve"> where necessary.</w:t>
      </w:r>
    </w:p>
    <w:p w14:paraId="659DFFC9" w14:textId="65C6C2B2" w:rsidR="002E7D2A" w:rsidRPr="002E7D2A" w:rsidRDefault="00377109" w:rsidP="002E7D2A">
      <w:pPr>
        <w:spacing w:before="100" w:beforeAutospacing="1" w:after="100" w:afterAutospacing="1" w:line="360" w:lineRule="auto"/>
        <w:rPr>
          <w:rFonts w:eastAsia="Times New Roman" w:cs="Times New Roman"/>
          <w:sz w:val="24"/>
          <w:szCs w:val="24"/>
          <w:lang w:eastAsia="en-GB"/>
        </w:rPr>
      </w:pPr>
      <w:r>
        <w:rPr>
          <w:rFonts w:eastAsia="Times New Roman" w:cs="Times New Roman"/>
          <w:sz w:val="24"/>
          <w:szCs w:val="24"/>
          <w:lang w:eastAsia="en-GB"/>
        </w:rPr>
        <w:t xml:space="preserve">A significant issue is </w:t>
      </w:r>
      <w:r w:rsidR="002E7D2A" w:rsidRPr="002E7D2A">
        <w:rPr>
          <w:rFonts w:eastAsia="Times New Roman" w:cs="Times New Roman"/>
          <w:sz w:val="24"/>
          <w:szCs w:val="24"/>
          <w:lang w:eastAsia="en-GB"/>
        </w:rPr>
        <w:t>how data-driven models reflect past patterns. Systems trained on historical data may carry forward patterns that are not neutral, which can lead to outcomes that disadvantage certain groups. In a banking context, this may influence credit decisions or risk assessments in ways that are not immediately visible without detailed review. Evidence suggests that these issues can persist even whe</w:t>
      </w:r>
      <w:r w:rsidR="007709F3">
        <w:rPr>
          <w:rFonts w:eastAsia="Times New Roman" w:cs="Times New Roman"/>
          <w:sz w:val="24"/>
          <w:szCs w:val="24"/>
          <w:lang w:eastAsia="en-GB"/>
        </w:rPr>
        <w:t>n</w:t>
      </w:r>
      <w:r w:rsidR="002E7D2A" w:rsidRPr="002E7D2A">
        <w:rPr>
          <w:rFonts w:eastAsia="Times New Roman" w:cs="Times New Roman"/>
          <w:sz w:val="24"/>
          <w:szCs w:val="24"/>
          <w:lang w:eastAsia="en-GB"/>
        </w:rPr>
        <w:t xml:space="preserve"> systems are introduced to improve consistency, if underlying data is incomplete or unrepresentative</w:t>
      </w:r>
      <w:r w:rsidR="00213B53">
        <w:rPr>
          <w:rFonts w:eastAsia="Times New Roman" w:cs="Times New Roman"/>
          <w:sz w:val="24"/>
          <w:szCs w:val="24"/>
          <w:lang w:eastAsia="en-GB"/>
        </w:rPr>
        <w:t xml:space="preserve"> of the population</w:t>
      </w:r>
      <w:r w:rsidR="002E7D2A" w:rsidRPr="002E7D2A">
        <w:rPr>
          <w:rFonts w:eastAsia="Times New Roman" w:cs="Times New Roman"/>
          <w:sz w:val="24"/>
          <w:szCs w:val="24"/>
          <w:lang w:eastAsia="en-GB"/>
        </w:rPr>
        <w:t xml:space="preserve"> (Mehrabi et al., 2021). While AI can reduce inconsistency in decision-making, it may also reinforce patterns already present in the data, which raises questions around whether automated systems improve fairness in practice or simply change how these issues appear.</w:t>
      </w:r>
    </w:p>
    <w:p w14:paraId="796AA871" w14:textId="47900E39" w:rsidR="002E7D2A" w:rsidRPr="002E7D2A" w:rsidRDefault="002E7D2A" w:rsidP="002E7D2A">
      <w:pPr>
        <w:spacing w:before="100" w:beforeAutospacing="1" w:after="100" w:afterAutospacing="1" w:line="360" w:lineRule="auto"/>
        <w:rPr>
          <w:rFonts w:eastAsia="Times New Roman" w:cs="Times New Roman"/>
          <w:sz w:val="24"/>
          <w:szCs w:val="24"/>
          <w:lang w:eastAsia="en-GB"/>
        </w:rPr>
      </w:pPr>
      <w:r w:rsidRPr="002E7D2A">
        <w:rPr>
          <w:rFonts w:eastAsia="Times New Roman" w:cs="Times New Roman"/>
          <w:sz w:val="24"/>
          <w:szCs w:val="24"/>
          <w:lang w:eastAsia="en-GB"/>
        </w:rPr>
        <w:t>At the same time, there are clear benefits. AI systems can process large volumes of data more quickly than manual approaches, which can improve the speed and consistency of decisions. This is</w:t>
      </w:r>
      <w:r w:rsidR="00DA6242">
        <w:rPr>
          <w:rFonts w:eastAsia="Times New Roman" w:cs="Times New Roman"/>
          <w:sz w:val="24"/>
          <w:szCs w:val="24"/>
          <w:lang w:eastAsia="en-GB"/>
        </w:rPr>
        <w:t xml:space="preserve"> </w:t>
      </w:r>
      <w:r w:rsidRPr="002E7D2A">
        <w:rPr>
          <w:rFonts w:eastAsia="Times New Roman" w:cs="Times New Roman"/>
          <w:sz w:val="24"/>
          <w:szCs w:val="24"/>
          <w:lang w:eastAsia="en-GB"/>
        </w:rPr>
        <w:t>relevant in fraud detection,</w:t>
      </w:r>
      <w:r w:rsidR="0087366E">
        <w:rPr>
          <w:rFonts w:eastAsia="Times New Roman" w:cs="Times New Roman"/>
          <w:sz w:val="24"/>
          <w:szCs w:val="24"/>
          <w:lang w:eastAsia="en-GB"/>
        </w:rPr>
        <w:t xml:space="preserve"> as</w:t>
      </w:r>
      <w:r w:rsidRPr="002E7D2A">
        <w:rPr>
          <w:rFonts w:eastAsia="Times New Roman" w:cs="Times New Roman"/>
          <w:sz w:val="24"/>
          <w:szCs w:val="24"/>
          <w:lang w:eastAsia="en-GB"/>
        </w:rPr>
        <w:t xml:space="preserve"> early identification of unusual patterns can reduce financial loss (UK Finance, 2023). </w:t>
      </w:r>
      <w:r w:rsidR="00C97246">
        <w:rPr>
          <w:rFonts w:eastAsia="Times New Roman" w:cs="Times New Roman"/>
          <w:sz w:val="24"/>
          <w:szCs w:val="24"/>
          <w:lang w:eastAsia="en-GB"/>
        </w:rPr>
        <w:t>T</w:t>
      </w:r>
      <w:r w:rsidRPr="002E7D2A">
        <w:rPr>
          <w:rFonts w:eastAsia="Times New Roman" w:cs="Times New Roman"/>
          <w:sz w:val="24"/>
          <w:szCs w:val="24"/>
          <w:lang w:eastAsia="en-GB"/>
        </w:rPr>
        <w:t>his advantage depends on how systems are designed and monitored. If models are not regularly reviewed, there is a risk that decisions become less reliable over time, especially wh</w:t>
      </w:r>
      <w:r w:rsidR="00CC3FEB">
        <w:rPr>
          <w:rFonts w:eastAsia="Times New Roman" w:cs="Times New Roman"/>
          <w:sz w:val="24"/>
          <w:szCs w:val="24"/>
          <w:lang w:eastAsia="en-GB"/>
        </w:rPr>
        <w:t>en</w:t>
      </w:r>
      <w:r w:rsidRPr="002E7D2A">
        <w:rPr>
          <w:rFonts w:eastAsia="Times New Roman" w:cs="Times New Roman"/>
          <w:sz w:val="24"/>
          <w:szCs w:val="24"/>
          <w:lang w:eastAsia="en-GB"/>
        </w:rPr>
        <w:t xml:space="preserve"> economic conditions or customer behaviour change. This suggests that efficiency gains are conditional rather than guaranteed.</w:t>
      </w:r>
    </w:p>
    <w:p w14:paraId="0BCD02DF" w14:textId="526433C6" w:rsidR="002E7D2A" w:rsidRPr="002E7D2A" w:rsidRDefault="002E7D2A" w:rsidP="002E7D2A">
      <w:pPr>
        <w:spacing w:before="100" w:beforeAutospacing="1" w:after="100" w:afterAutospacing="1" w:line="360" w:lineRule="auto"/>
        <w:rPr>
          <w:rFonts w:eastAsia="Times New Roman" w:cs="Times New Roman"/>
          <w:sz w:val="24"/>
          <w:szCs w:val="24"/>
          <w:lang w:eastAsia="en-GB"/>
        </w:rPr>
      </w:pPr>
      <w:r w:rsidRPr="002E7D2A">
        <w:rPr>
          <w:rFonts w:eastAsia="Times New Roman" w:cs="Times New Roman"/>
          <w:sz w:val="24"/>
          <w:szCs w:val="24"/>
          <w:lang w:eastAsia="en-GB"/>
        </w:rPr>
        <w:t>Technical reliability also becomes an important factor. AI systems are often expected to operate consistently at scale, yet their performance can change depending on the data they receive or the context in which they are applied. Small changes in input data or system conditions can lead to different outcomes, which may not always be predictable. Research highlights that machine learning systems can degrade over time if not actively maintained</w:t>
      </w:r>
      <w:r w:rsidR="00DA6242">
        <w:rPr>
          <w:rFonts w:eastAsia="Times New Roman" w:cs="Times New Roman"/>
          <w:sz w:val="24"/>
          <w:szCs w:val="24"/>
          <w:lang w:eastAsia="en-GB"/>
        </w:rPr>
        <w:t>,</w:t>
      </w:r>
      <w:r w:rsidR="00C17D88">
        <w:rPr>
          <w:rFonts w:eastAsia="Times New Roman" w:cs="Times New Roman"/>
          <w:sz w:val="24"/>
          <w:szCs w:val="24"/>
          <w:lang w:eastAsia="en-GB"/>
        </w:rPr>
        <w:t xml:space="preserve"> as</w:t>
      </w:r>
      <w:r w:rsidRPr="002E7D2A">
        <w:rPr>
          <w:rFonts w:eastAsia="Times New Roman" w:cs="Times New Roman"/>
          <w:sz w:val="24"/>
          <w:szCs w:val="24"/>
          <w:lang w:eastAsia="en-GB"/>
        </w:rPr>
        <w:t xml:space="preserve"> data patterns shift (Amershi et al., 2019). This </w:t>
      </w:r>
      <w:r w:rsidR="007162BE">
        <w:rPr>
          <w:rFonts w:eastAsia="Times New Roman" w:cs="Times New Roman"/>
          <w:sz w:val="24"/>
          <w:szCs w:val="24"/>
          <w:lang w:eastAsia="en-GB"/>
        </w:rPr>
        <w:t xml:space="preserve">creates questions </w:t>
      </w:r>
      <w:r w:rsidRPr="002E7D2A">
        <w:rPr>
          <w:rFonts w:eastAsia="Times New Roman" w:cs="Times New Roman"/>
          <w:sz w:val="24"/>
          <w:szCs w:val="24"/>
          <w:lang w:eastAsia="en-GB"/>
        </w:rPr>
        <w:t xml:space="preserve">around how reliable these systems are in practice, especially when used in high-stakes decisions that </w:t>
      </w:r>
      <w:r w:rsidR="00132653">
        <w:rPr>
          <w:rFonts w:eastAsia="Times New Roman" w:cs="Times New Roman"/>
          <w:sz w:val="24"/>
          <w:szCs w:val="24"/>
          <w:lang w:eastAsia="en-GB"/>
        </w:rPr>
        <w:t>directly affect customers</w:t>
      </w:r>
      <w:r w:rsidRPr="002E7D2A">
        <w:rPr>
          <w:rFonts w:eastAsia="Times New Roman" w:cs="Times New Roman"/>
          <w:sz w:val="24"/>
          <w:szCs w:val="24"/>
          <w:lang w:eastAsia="en-GB"/>
        </w:rPr>
        <w:t>.</w:t>
      </w:r>
    </w:p>
    <w:p w14:paraId="52F3D663" w14:textId="7F8A41AB" w:rsidR="002E7D2A" w:rsidRPr="002E7D2A" w:rsidRDefault="002E7D2A" w:rsidP="002E7D2A">
      <w:pPr>
        <w:spacing w:before="100" w:beforeAutospacing="1" w:after="100" w:afterAutospacing="1" w:line="360" w:lineRule="auto"/>
        <w:rPr>
          <w:rFonts w:eastAsia="Times New Roman" w:cs="Times New Roman"/>
          <w:sz w:val="24"/>
          <w:szCs w:val="24"/>
          <w:lang w:eastAsia="en-GB"/>
        </w:rPr>
      </w:pPr>
      <w:r w:rsidRPr="002E7D2A">
        <w:rPr>
          <w:rFonts w:eastAsia="Times New Roman" w:cs="Times New Roman"/>
          <w:sz w:val="24"/>
          <w:szCs w:val="24"/>
          <w:lang w:eastAsia="en-GB"/>
        </w:rPr>
        <w:t>Explaining how decisions are reached becomes more difficult as models increase in complexity. This creates challenges for both customers and regulators, especially wh</w:t>
      </w:r>
      <w:r w:rsidR="00A47023">
        <w:rPr>
          <w:rFonts w:eastAsia="Times New Roman" w:cs="Times New Roman"/>
          <w:sz w:val="24"/>
          <w:szCs w:val="24"/>
          <w:lang w:eastAsia="en-GB"/>
        </w:rPr>
        <w:t>en</w:t>
      </w:r>
      <w:r w:rsidRPr="002E7D2A">
        <w:rPr>
          <w:rFonts w:eastAsia="Times New Roman" w:cs="Times New Roman"/>
          <w:sz w:val="24"/>
          <w:szCs w:val="24"/>
          <w:lang w:eastAsia="en-GB"/>
        </w:rPr>
        <w:t xml:space="preserve"> individuals are affected by outcomes that are difficult to interpret. In the EU, data protection rules require organisations to provide meaningful information about automated decisions, which places clearer obligations on explainability (European Parliament, 2024). The UK approach allows organisations more room to decide how explanations are provided, which can lead to differences in how clear decisions appear in practice (Department for Science, Innovation and Technology, 2023). This difference suggests that regulatory approach can shape not only compliance, but also how trust is maintained.</w:t>
      </w:r>
    </w:p>
    <w:p w14:paraId="6F7488B3" w14:textId="0AC06CD3" w:rsidR="002E7D2A" w:rsidRPr="002E7D2A" w:rsidRDefault="002E7D2A" w:rsidP="002E7D2A">
      <w:pPr>
        <w:spacing w:before="100" w:beforeAutospacing="1" w:after="100" w:afterAutospacing="1" w:line="360" w:lineRule="auto"/>
        <w:rPr>
          <w:rFonts w:eastAsia="Times New Roman" w:cs="Times New Roman"/>
          <w:sz w:val="24"/>
          <w:szCs w:val="24"/>
          <w:lang w:eastAsia="en-GB"/>
        </w:rPr>
      </w:pPr>
      <w:r w:rsidRPr="002E7D2A">
        <w:rPr>
          <w:rFonts w:eastAsia="Times New Roman" w:cs="Times New Roman"/>
          <w:sz w:val="24"/>
          <w:szCs w:val="24"/>
          <w:lang w:eastAsia="en-GB"/>
        </w:rPr>
        <w:t>Customer trust is closely linked to these issues. Whe</w:t>
      </w:r>
      <w:r w:rsidR="004B396E">
        <w:rPr>
          <w:rFonts w:eastAsia="Times New Roman" w:cs="Times New Roman"/>
          <w:sz w:val="24"/>
          <w:szCs w:val="24"/>
          <w:lang w:eastAsia="en-GB"/>
        </w:rPr>
        <w:t xml:space="preserve">n </w:t>
      </w:r>
      <w:r w:rsidRPr="002E7D2A">
        <w:rPr>
          <w:rFonts w:eastAsia="Times New Roman" w:cs="Times New Roman"/>
          <w:sz w:val="24"/>
          <w:szCs w:val="24"/>
          <w:lang w:eastAsia="en-GB"/>
        </w:rPr>
        <w:t xml:space="preserve">decisions are perceived as unclear or unfair, confidence in the organisation may be affected, even if outcomes are technically accurate. This is </w:t>
      </w:r>
      <w:r w:rsidR="002C298B">
        <w:rPr>
          <w:rFonts w:eastAsia="Times New Roman" w:cs="Times New Roman"/>
          <w:sz w:val="24"/>
          <w:szCs w:val="24"/>
          <w:lang w:eastAsia="en-GB"/>
        </w:rPr>
        <w:t>high</w:t>
      </w:r>
      <w:r w:rsidRPr="002E7D2A">
        <w:rPr>
          <w:rFonts w:eastAsia="Times New Roman" w:cs="Times New Roman"/>
          <w:sz w:val="24"/>
          <w:szCs w:val="24"/>
          <w:lang w:eastAsia="en-GB"/>
        </w:rPr>
        <w:t xml:space="preserve">ly relevant in financial services, </w:t>
      </w:r>
      <w:r w:rsidR="00E464A6">
        <w:rPr>
          <w:rFonts w:eastAsia="Times New Roman" w:cs="Times New Roman"/>
          <w:sz w:val="24"/>
          <w:szCs w:val="24"/>
          <w:lang w:eastAsia="en-GB"/>
        </w:rPr>
        <w:t>as</w:t>
      </w:r>
      <w:r w:rsidRPr="002E7D2A">
        <w:rPr>
          <w:rFonts w:eastAsia="Times New Roman" w:cs="Times New Roman"/>
          <w:sz w:val="24"/>
          <w:szCs w:val="24"/>
          <w:lang w:eastAsia="en-GB"/>
        </w:rPr>
        <w:t xml:space="preserve"> trust underpins long-term relationships. Survey data indicates that customers are more likely to question decisions made using automated systems when explanations are limited or unclear (Deloitte, 2022). While AI can improve service efficiency, it may also create distance between the organisation and the customer, which can weaken trust if not managed carefully.</w:t>
      </w:r>
    </w:p>
    <w:p w14:paraId="3CF6F1CE" w14:textId="35608C58" w:rsidR="00BF323F" w:rsidRDefault="007F7536" w:rsidP="002E7D2A">
      <w:pPr>
        <w:spacing w:before="100" w:beforeAutospacing="1" w:after="100" w:afterAutospacing="1" w:line="360" w:lineRule="auto"/>
        <w:rPr>
          <w:rFonts w:eastAsia="Times New Roman" w:cs="Times New Roman"/>
          <w:sz w:val="24"/>
          <w:szCs w:val="24"/>
          <w:lang w:eastAsia="en-GB"/>
        </w:rPr>
      </w:pPr>
      <w:r>
        <w:rPr>
          <w:rFonts w:eastAsia="Times New Roman" w:cs="Times New Roman"/>
          <w:sz w:val="24"/>
          <w:szCs w:val="24"/>
          <w:lang w:eastAsia="en-GB"/>
        </w:rPr>
        <w:t xml:space="preserve">This also raises </w:t>
      </w:r>
      <w:r w:rsidR="002E7D2A" w:rsidRPr="002E7D2A">
        <w:rPr>
          <w:rFonts w:eastAsia="Times New Roman" w:cs="Times New Roman"/>
          <w:sz w:val="24"/>
          <w:szCs w:val="24"/>
          <w:lang w:eastAsia="en-GB"/>
        </w:rPr>
        <w:t>question</w:t>
      </w:r>
      <w:r>
        <w:rPr>
          <w:rFonts w:eastAsia="Times New Roman" w:cs="Times New Roman"/>
          <w:sz w:val="24"/>
          <w:szCs w:val="24"/>
          <w:lang w:eastAsia="en-GB"/>
        </w:rPr>
        <w:t xml:space="preserve">s </w:t>
      </w:r>
      <w:r w:rsidR="002E7D2A" w:rsidRPr="002E7D2A">
        <w:rPr>
          <w:rFonts w:eastAsia="Times New Roman" w:cs="Times New Roman"/>
          <w:sz w:val="24"/>
          <w:szCs w:val="24"/>
          <w:lang w:eastAsia="en-GB"/>
        </w:rPr>
        <w:t xml:space="preserve">around how far organisations should go beyond regulatory requirements. Meeting minimum standards may not be </w:t>
      </w:r>
      <w:r w:rsidR="0098731B">
        <w:rPr>
          <w:rFonts w:eastAsia="Times New Roman" w:cs="Times New Roman"/>
          <w:sz w:val="24"/>
          <w:szCs w:val="24"/>
          <w:lang w:eastAsia="en-GB"/>
        </w:rPr>
        <w:t xml:space="preserve">enough </w:t>
      </w:r>
      <w:r w:rsidR="002E7D2A" w:rsidRPr="002E7D2A">
        <w:rPr>
          <w:rFonts w:eastAsia="Times New Roman" w:cs="Times New Roman"/>
          <w:sz w:val="24"/>
          <w:szCs w:val="24"/>
          <w:lang w:eastAsia="en-GB"/>
        </w:rPr>
        <w:t>whe</w:t>
      </w:r>
      <w:r w:rsidR="002D7483">
        <w:rPr>
          <w:rFonts w:eastAsia="Times New Roman" w:cs="Times New Roman"/>
          <w:sz w:val="24"/>
          <w:szCs w:val="24"/>
          <w:lang w:eastAsia="en-GB"/>
        </w:rPr>
        <w:t>n</w:t>
      </w:r>
      <w:r w:rsidR="002E7D2A" w:rsidRPr="002E7D2A">
        <w:rPr>
          <w:rFonts w:eastAsia="Times New Roman" w:cs="Times New Roman"/>
          <w:sz w:val="24"/>
          <w:szCs w:val="24"/>
          <w:lang w:eastAsia="en-GB"/>
        </w:rPr>
        <w:t xml:space="preserve"> decisions have a direct impact on individuals. Some organisations have introduced internal ethical frameworks and review processes to address this</w:t>
      </w:r>
      <w:r w:rsidR="00647614">
        <w:rPr>
          <w:rFonts w:eastAsia="Times New Roman" w:cs="Times New Roman"/>
          <w:sz w:val="24"/>
          <w:szCs w:val="24"/>
          <w:lang w:eastAsia="en-GB"/>
        </w:rPr>
        <w:t>,</w:t>
      </w:r>
      <w:r w:rsidR="002E7D2A" w:rsidRPr="002E7D2A">
        <w:rPr>
          <w:rFonts w:eastAsia="Times New Roman" w:cs="Times New Roman"/>
          <w:sz w:val="24"/>
          <w:szCs w:val="24"/>
          <w:lang w:eastAsia="en-GB"/>
        </w:rPr>
        <w:t xml:space="preserve"> in high-risk areas such as lending or fraud detection (Microsoft, 2022). The impact of these approaches depends on how they are applied in practice. Without clear accountability and ongoing oversight, there is a risk that ethical principles remain largely theoretical.</w:t>
      </w:r>
    </w:p>
    <w:p w14:paraId="64C05870" w14:textId="06296BD2" w:rsidR="002E7D2A" w:rsidRPr="002E7D2A" w:rsidRDefault="00F15B3D" w:rsidP="002E7D2A">
      <w:pPr>
        <w:spacing w:before="100" w:beforeAutospacing="1" w:after="100" w:afterAutospacing="1" w:line="360" w:lineRule="auto"/>
        <w:rPr>
          <w:rFonts w:eastAsia="Times New Roman" w:cs="Times New Roman"/>
          <w:sz w:val="24"/>
          <w:szCs w:val="24"/>
          <w:lang w:eastAsia="en-GB"/>
        </w:rPr>
      </w:pPr>
      <w:r>
        <w:rPr>
          <w:rFonts w:eastAsia="Times New Roman" w:cs="Times New Roman"/>
          <w:sz w:val="24"/>
          <w:szCs w:val="24"/>
          <w:lang w:eastAsia="en-GB"/>
        </w:rPr>
        <w:t>T</w:t>
      </w:r>
      <w:r w:rsidR="002E7D2A" w:rsidRPr="002E7D2A">
        <w:rPr>
          <w:rFonts w:eastAsia="Times New Roman" w:cs="Times New Roman"/>
          <w:sz w:val="24"/>
          <w:szCs w:val="24"/>
          <w:lang w:eastAsia="en-GB"/>
        </w:rPr>
        <w:t>hese issues extend across different markets, each with its own expectations around fairness, transparency and accountability. This creates a challenge in maintaining consistent standards while also adapting to local regulatory requirements. If these risks are not managed effectively, the consequences extend beyond compliance to include reputational damage and reduced customer confidence, which may limit the long-term value of AI adoption.</w:t>
      </w:r>
    </w:p>
    <w:p w14:paraId="420DA94A" w14:textId="7F30D9BB" w:rsidR="002E7D2A" w:rsidRPr="002E7D2A" w:rsidRDefault="003B5DCA" w:rsidP="002E7D2A">
      <w:pPr>
        <w:spacing w:before="100" w:beforeAutospacing="1" w:after="100" w:afterAutospacing="1" w:line="360" w:lineRule="auto"/>
        <w:rPr>
          <w:rFonts w:eastAsia="Times New Roman" w:cs="Times New Roman"/>
          <w:sz w:val="24"/>
          <w:szCs w:val="24"/>
          <w:lang w:eastAsia="en-GB"/>
        </w:rPr>
      </w:pPr>
      <w:r>
        <w:rPr>
          <w:rFonts w:eastAsia="Times New Roman" w:cs="Times New Roman"/>
          <w:sz w:val="24"/>
          <w:szCs w:val="24"/>
          <w:lang w:eastAsia="en-GB"/>
        </w:rPr>
        <w:t>T</w:t>
      </w:r>
      <w:r w:rsidR="002E7D2A" w:rsidRPr="002E7D2A">
        <w:rPr>
          <w:rFonts w:eastAsia="Times New Roman" w:cs="Times New Roman"/>
          <w:sz w:val="24"/>
          <w:szCs w:val="24"/>
          <w:lang w:eastAsia="en-GB"/>
        </w:rPr>
        <w:t xml:space="preserve">he use of AI introduces ethical challenges that are closely linked to trust, reliability and accountability. </w:t>
      </w:r>
      <w:r w:rsidR="00F8201E">
        <w:rPr>
          <w:rFonts w:eastAsia="Times New Roman" w:cs="Times New Roman"/>
          <w:sz w:val="24"/>
          <w:szCs w:val="24"/>
          <w:lang w:eastAsia="en-GB"/>
        </w:rPr>
        <w:t>AI can improve</w:t>
      </w:r>
      <w:r w:rsidR="00793E19">
        <w:rPr>
          <w:rFonts w:eastAsia="Times New Roman" w:cs="Times New Roman"/>
          <w:sz w:val="24"/>
          <w:szCs w:val="24"/>
          <w:lang w:eastAsia="en-GB"/>
        </w:rPr>
        <w:t xml:space="preserve"> efficiency and consistency, but these benefits depend on how systems are governed</w:t>
      </w:r>
      <w:r w:rsidR="00A839DC">
        <w:rPr>
          <w:rFonts w:eastAsia="Times New Roman" w:cs="Times New Roman"/>
          <w:sz w:val="24"/>
          <w:szCs w:val="24"/>
          <w:lang w:eastAsia="en-GB"/>
        </w:rPr>
        <w:t xml:space="preserve">, maintained and monitored over time. </w:t>
      </w:r>
      <w:r w:rsidR="002E7D2A" w:rsidRPr="002E7D2A">
        <w:rPr>
          <w:rFonts w:eastAsia="Times New Roman" w:cs="Times New Roman"/>
          <w:sz w:val="24"/>
          <w:szCs w:val="24"/>
          <w:lang w:eastAsia="en-GB"/>
        </w:rPr>
        <w:t>Fairness, transparency and system reliability are closely connected, shaping how AI is experienced by customers and how organisations are assessed by regulators. Managing these challenges requires more than technical capability</w:t>
      </w:r>
      <w:r w:rsidR="000F6743">
        <w:rPr>
          <w:rFonts w:eastAsia="Times New Roman" w:cs="Times New Roman"/>
          <w:sz w:val="24"/>
          <w:szCs w:val="24"/>
          <w:lang w:eastAsia="en-GB"/>
        </w:rPr>
        <w:t xml:space="preserve"> alone</w:t>
      </w:r>
      <w:r w:rsidR="002E7D2A" w:rsidRPr="002E7D2A">
        <w:rPr>
          <w:rFonts w:eastAsia="Times New Roman" w:cs="Times New Roman"/>
          <w:sz w:val="24"/>
          <w:szCs w:val="24"/>
          <w:lang w:eastAsia="en-GB"/>
        </w:rPr>
        <w:t>. It depends on how organisations define acceptable outcomes, how decisions are explained, and how responsibility is maintained as systems evolve.</w:t>
      </w:r>
    </w:p>
    <w:p w14:paraId="2124453D" w14:textId="77777777" w:rsidR="002E7D2A" w:rsidRPr="002E7D2A" w:rsidRDefault="002E7D2A" w:rsidP="002E7D2A">
      <w:pPr>
        <w:spacing w:line="259" w:lineRule="auto"/>
        <w:rPr>
          <w:kern w:val="2"/>
          <w14:ligatures w14:val="standardContextual"/>
        </w:rPr>
      </w:pPr>
    </w:p>
    <w:p w14:paraId="6E5014F9" w14:textId="7DECC805" w:rsidR="002E7D2A" w:rsidRDefault="002E7D2A">
      <w:pPr>
        <w:spacing w:line="259" w:lineRule="auto"/>
      </w:pPr>
      <w:r>
        <w:br w:type="page"/>
      </w:r>
    </w:p>
    <w:p w14:paraId="7FC26B9D" w14:textId="77777777" w:rsidR="00690D94" w:rsidRPr="00CB69BE" w:rsidRDefault="00690D94" w:rsidP="00690D94">
      <w:pPr>
        <w:rPr>
          <w:sz w:val="32"/>
          <w:szCs w:val="32"/>
        </w:rPr>
      </w:pPr>
    </w:p>
    <w:p w14:paraId="1B0AF37D" w14:textId="019F1028" w:rsidR="00690D94" w:rsidRPr="00CB69BE" w:rsidRDefault="00CF3CE4" w:rsidP="00690D94">
      <w:pPr>
        <w:pStyle w:val="Heading1"/>
        <w:rPr>
          <w:sz w:val="32"/>
          <w:szCs w:val="32"/>
        </w:rPr>
      </w:pPr>
      <w:bookmarkStart w:id="7" w:name="_Toc228186542"/>
      <w:r w:rsidRPr="00CB69BE">
        <w:rPr>
          <w:sz w:val="32"/>
          <w:szCs w:val="32"/>
        </w:rPr>
        <w:t>Difference</w:t>
      </w:r>
      <w:r w:rsidR="00D45D20" w:rsidRPr="00CB69BE">
        <w:rPr>
          <w:sz w:val="32"/>
          <w:szCs w:val="32"/>
        </w:rPr>
        <w:t>s in AI Regulatory Approaches</w:t>
      </w:r>
      <w:r w:rsidR="00B6496E">
        <w:rPr>
          <w:sz w:val="32"/>
          <w:szCs w:val="32"/>
        </w:rPr>
        <w:t>:</w:t>
      </w:r>
      <w:r w:rsidR="00690D94" w:rsidRPr="00CB69BE">
        <w:rPr>
          <w:sz w:val="32"/>
          <w:szCs w:val="32"/>
        </w:rPr>
        <w:t xml:space="preserve"> UK vs EU</w:t>
      </w:r>
      <w:bookmarkEnd w:id="7"/>
    </w:p>
    <w:p w14:paraId="42A0F480" w14:textId="77777777" w:rsidR="00D411C7" w:rsidRDefault="00D411C7" w:rsidP="007B234C">
      <w:pPr>
        <w:spacing w:before="100" w:beforeAutospacing="1" w:after="100" w:afterAutospacing="1" w:line="360" w:lineRule="auto"/>
        <w:rPr>
          <w:rFonts w:eastAsia="Times New Roman" w:cs="Times New Roman"/>
          <w:sz w:val="24"/>
          <w:szCs w:val="24"/>
          <w:lang w:eastAsia="en-GB"/>
        </w:rPr>
      </w:pPr>
    </w:p>
    <w:p w14:paraId="118203E9" w14:textId="3FDDFF89" w:rsidR="007B234C" w:rsidRPr="007B234C" w:rsidRDefault="007B234C" w:rsidP="007B234C">
      <w:pPr>
        <w:spacing w:before="100" w:beforeAutospacing="1" w:after="100" w:afterAutospacing="1" w:line="360" w:lineRule="auto"/>
        <w:rPr>
          <w:rFonts w:eastAsia="Times New Roman" w:cs="Times New Roman"/>
          <w:sz w:val="24"/>
          <w:szCs w:val="24"/>
          <w:lang w:eastAsia="en-GB"/>
        </w:rPr>
      </w:pPr>
      <w:r w:rsidRPr="007B234C">
        <w:rPr>
          <w:rFonts w:eastAsia="Times New Roman" w:cs="Times New Roman"/>
          <w:sz w:val="24"/>
          <w:szCs w:val="24"/>
          <w:lang w:eastAsia="en-GB"/>
        </w:rPr>
        <w:t>Differences in how AI is regulated across the UK and the European Union create practical challenges for organisations operating in both markets. Regulation does more than set limits, it influences how systems are designed, how risk is managed and how quickly new tools are introduced. For firms using AI at scale, these differences shape not only compliance activity but also wider business decisions, including where to invest and how to structure operations (OECD, 2024).</w:t>
      </w:r>
    </w:p>
    <w:p w14:paraId="43DCC920" w14:textId="722BF74F" w:rsidR="007B234C" w:rsidRPr="007B234C" w:rsidRDefault="007B234C" w:rsidP="007B234C">
      <w:pPr>
        <w:spacing w:before="100" w:beforeAutospacing="1" w:after="100" w:afterAutospacing="1" w:line="360" w:lineRule="auto"/>
        <w:rPr>
          <w:rFonts w:eastAsia="Times New Roman" w:cs="Times New Roman"/>
          <w:sz w:val="24"/>
          <w:szCs w:val="24"/>
          <w:lang w:eastAsia="en-GB"/>
        </w:rPr>
      </w:pPr>
      <w:r w:rsidRPr="007B234C">
        <w:rPr>
          <w:rFonts w:eastAsia="Times New Roman" w:cs="Times New Roman"/>
          <w:sz w:val="24"/>
          <w:szCs w:val="24"/>
          <w:lang w:eastAsia="en-GB"/>
        </w:rPr>
        <w:t>Across the European Union, the AI Act introduces a structured framework that classifies systems based on their level of risk. High-risk applications, including those used in areas such as credit assessment or fraud detection, are subject to stricter requirements around data quality, documentation and human oversight (European Parliament, 2024). This creates a clearer set of expectations, which can support consistency across member states. At the same time, meeting these requirements can increase cost and extend development timelines,</w:t>
      </w:r>
      <w:r w:rsidR="00387DF3">
        <w:rPr>
          <w:rFonts w:eastAsia="Times New Roman" w:cs="Times New Roman"/>
          <w:sz w:val="24"/>
          <w:szCs w:val="24"/>
          <w:lang w:eastAsia="en-GB"/>
        </w:rPr>
        <w:t xml:space="preserve"> as</w:t>
      </w:r>
      <w:r w:rsidRPr="007B234C">
        <w:rPr>
          <w:rFonts w:eastAsia="Times New Roman" w:cs="Times New Roman"/>
          <w:sz w:val="24"/>
          <w:szCs w:val="24"/>
          <w:lang w:eastAsia="en-GB"/>
        </w:rPr>
        <w:t xml:space="preserve"> systems need to be tested and documented in detail before deployment (EY, 2024). While this may reduce the likelihood of misuse or failure, it can also slow down the adoption of new tools, especially whe</w:t>
      </w:r>
      <w:r w:rsidR="008A3AB5">
        <w:rPr>
          <w:rFonts w:eastAsia="Times New Roman" w:cs="Times New Roman"/>
          <w:sz w:val="24"/>
          <w:szCs w:val="24"/>
          <w:lang w:eastAsia="en-GB"/>
        </w:rPr>
        <w:t>n</w:t>
      </w:r>
      <w:r w:rsidRPr="007B234C">
        <w:rPr>
          <w:rFonts w:eastAsia="Times New Roman" w:cs="Times New Roman"/>
          <w:sz w:val="24"/>
          <w:szCs w:val="24"/>
          <w:lang w:eastAsia="en-GB"/>
        </w:rPr>
        <w:t xml:space="preserve"> organisations are balancing compliance with commercial pressures.</w:t>
      </w:r>
    </w:p>
    <w:p w14:paraId="081CB568" w14:textId="2D8ED601" w:rsidR="007B234C" w:rsidRPr="007B234C" w:rsidRDefault="007B234C" w:rsidP="007B234C">
      <w:pPr>
        <w:spacing w:before="100" w:beforeAutospacing="1" w:after="100" w:afterAutospacing="1" w:line="360" w:lineRule="auto"/>
        <w:rPr>
          <w:rFonts w:eastAsia="Times New Roman" w:cs="Times New Roman"/>
          <w:sz w:val="24"/>
          <w:szCs w:val="24"/>
          <w:lang w:eastAsia="en-GB"/>
        </w:rPr>
      </w:pPr>
      <w:r w:rsidRPr="007B234C">
        <w:rPr>
          <w:rFonts w:eastAsia="Times New Roman" w:cs="Times New Roman"/>
          <w:sz w:val="24"/>
          <w:szCs w:val="24"/>
          <w:lang w:eastAsia="en-GB"/>
        </w:rPr>
        <w:t xml:space="preserve">The UK has taken a different route, relying on existing regulators to oversee AI rather than introducing a single framework. This means expectations are shaped through guidance from bodies such as the Financial Conduct Authority and the Information Commissioner’s Office, each focusing on risks within their area of responsibility (UK Government, 2023). This creates more room for interpretation, which can support earlier experimentation and development. </w:t>
      </w:r>
      <w:r w:rsidR="0028686B">
        <w:rPr>
          <w:rFonts w:eastAsia="Times New Roman" w:cs="Times New Roman"/>
          <w:sz w:val="24"/>
          <w:szCs w:val="24"/>
          <w:lang w:eastAsia="en-GB"/>
        </w:rPr>
        <w:t xml:space="preserve">It </w:t>
      </w:r>
      <w:r w:rsidRPr="007B234C">
        <w:rPr>
          <w:rFonts w:eastAsia="Times New Roman" w:cs="Times New Roman"/>
          <w:sz w:val="24"/>
          <w:szCs w:val="24"/>
          <w:lang w:eastAsia="en-GB"/>
        </w:rPr>
        <w:t>also places greater responsibility on organisations to decide how systems should be governed in practice. Whe</w:t>
      </w:r>
      <w:r w:rsidR="004A72C2">
        <w:rPr>
          <w:rFonts w:eastAsia="Times New Roman" w:cs="Times New Roman"/>
          <w:sz w:val="24"/>
          <w:szCs w:val="24"/>
          <w:lang w:eastAsia="en-GB"/>
        </w:rPr>
        <w:t xml:space="preserve">n </w:t>
      </w:r>
      <w:r w:rsidRPr="007B234C">
        <w:rPr>
          <w:rFonts w:eastAsia="Times New Roman" w:cs="Times New Roman"/>
          <w:sz w:val="24"/>
          <w:szCs w:val="24"/>
          <w:lang w:eastAsia="en-GB"/>
        </w:rPr>
        <w:t>expectations are less clearly defined, there is a risk that standards vary between organisations, which can make oversight more difficult.</w:t>
      </w:r>
    </w:p>
    <w:p w14:paraId="50681605" w14:textId="73B48CCC" w:rsidR="007B234C" w:rsidRPr="007B234C" w:rsidRDefault="007B234C" w:rsidP="007B234C">
      <w:pPr>
        <w:spacing w:before="100" w:beforeAutospacing="1" w:after="100" w:afterAutospacing="1" w:line="360" w:lineRule="auto"/>
        <w:rPr>
          <w:rFonts w:eastAsia="Times New Roman" w:cs="Times New Roman"/>
          <w:sz w:val="24"/>
          <w:szCs w:val="24"/>
          <w:lang w:eastAsia="en-GB"/>
        </w:rPr>
      </w:pPr>
      <w:r w:rsidRPr="007B234C">
        <w:rPr>
          <w:rFonts w:eastAsia="Times New Roman" w:cs="Times New Roman"/>
          <w:sz w:val="24"/>
          <w:szCs w:val="24"/>
          <w:lang w:eastAsia="en-GB"/>
        </w:rPr>
        <w:t>Operating across both regions brings these differences into focus. Systems that meet UK expectations may require further adjustment before they can be used in the EU,</w:t>
      </w:r>
      <w:r w:rsidR="00C31ED3">
        <w:rPr>
          <w:rFonts w:eastAsia="Times New Roman" w:cs="Times New Roman"/>
          <w:sz w:val="24"/>
          <w:szCs w:val="24"/>
          <w:lang w:eastAsia="en-GB"/>
        </w:rPr>
        <w:t xml:space="preserve"> </w:t>
      </w:r>
      <w:r w:rsidRPr="007B234C">
        <w:rPr>
          <w:rFonts w:eastAsia="Times New Roman" w:cs="Times New Roman"/>
          <w:sz w:val="24"/>
          <w:szCs w:val="24"/>
          <w:lang w:eastAsia="en-GB"/>
        </w:rPr>
        <w:t>where classification as high-risk applies. This can lead to duplication of effort, as organisations may need to build additional controls or maintain separate processes to meet different requirements (KPMG, 2023). Over time, this may reduce some of the efficiency gains associated with AI,</w:t>
      </w:r>
      <w:r w:rsidR="0031095E">
        <w:rPr>
          <w:rFonts w:eastAsia="Times New Roman" w:cs="Times New Roman"/>
          <w:sz w:val="24"/>
          <w:szCs w:val="24"/>
          <w:lang w:eastAsia="en-GB"/>
        </w:rPr>
        <w:t xml:space="preserve"> </w:t>
      </w:r>
      <w:r w:rsidR="00C874F5">
        <w:rPr>
          <w:rFonts w:eastAsia="Times New Roman" w:cs="Times New Roman"/>
          <w:sz w:val="24"/>
          <w:szCs w:val="24"/>
          <w:lang w:eastAsia="en-GB"/>
        </w:rPr>
        <w:t>as</w:t>
      </w:r>
      <w:r w:rsidRPr="007B234C">
        <w:rPr>
          <w:rFonts w:eastAsia="Times New Roman" w:cs="Times New Roman"/>
          <w:sz w:val="24"/>
          <w:szCs w:val="24"/>
          <w:lang w:eastAsia="en-GB"/>
        </w:rPr>
        <w:t xml:space="preserve"> resources are directed towards compliance rather than innovation.</w:t>
      </w:r>
    </w:p>
    <w:p w14:paraId="4421A358" w14:textId="73689BA8" w:rsidR="007B234C" w:rsidRPr="007B234C" w:rsidRDefault="007B234C" w:rsidP="007B234C">
      <w:pPr>
        <w:spacing w:before="100" w:beforeAutospacing="1" w:after="100" w:afterAutospacing="1" w:line="360" w:lineRule="auto"/>
        <w:rPr>
          <w:rFonts w:eastAsia="Times New Roman" w:cs="Times New Roman"/>
          <w:sz w:val="24"/>
          <w:szCs w:val="24"/>
          <w:lang w:eastAsia="en-GB"/>
        </w:rPr>
      </w:pPr>
      <w:r w:rsidRPr="007B234C">
        <w:rPr>
          <w:rFonts w:eastAsia="Times New Roman" w:cs="Times New Roman"/>
          <w:sz w:val="24"/>
          <w:szCs w:val="24"/>
          <w:lang w:eastAsia="en-GB"/>
        </w:rPr>
        <w:t xml:space="preserve">These regulatory differences also influence how organisations approach risk. The EU framework provides clearer guidance on accountability and oversight, which can support stronger governance structures. This may be beneficial in reducing long-term risk, </w:t>
      </w:r>
      <w:r w:rsidR="0031095E">
        <w:rPr>
          <w:rFonts w:eastAsia="Times New Roman" w:cs="Times New Roman"/>
          <w:sz w:val="24"/>
          <w:szCs w:val="24"/>
          <w:lang w:eastAsia="en-GB"/>
        </w:rPr>
        <w:t>especial</w:t>
      </w:r>
      <w:r w:rsidRPr="007B234C">
        <w:rPr>
          <w:rFonts w:eastAsia="Times New Roman" w:cs="Times New Roman"/>
          <w:sz w:val="24"/>
          <w:szCs w:val="24"/>
          <w:lang w:eastAsia="en-GB"/>
        </w:rPr>
        <w:t>ly whe</w:t>
      </w:r>
      <w:r w:rsidR="001220F6">
        <w:rPr>
          <w:rFonts w:eastAsia="Times New Roman" w:cs="Times New Roman"/>
          <w:sz w:val="24"/>
          <w:szCs w:val="24"/>
          <w:lang w:eastAsia="en-GB"/>
        </w:rPr>
        <w:t>n</w:t>
      </w:r>
      <w:r w:rsidRPr="007B234C">
        <w:rPr>
          <w:rFonts w:eastAsia="Times New Roman" w:cs="Times New Roman"/>
          <w:sz w:val="24"/>
          <w:szCs w:val="24"/>
          <w:lang w:eastAsia="en-GB"/>
        </w:rPr>
        <w:t xml:space="preserve"> AI is used in sensitive areas. </w:t>
      </w:r>
      <w:r w:rsidR="00A22767">
        <w:rPr>
          <w:rFonts w:eastAsia="Times New Roman" w:cs="Times New Roman"/>
          <w:sz w:val="24"/>
          <w:szCs w:val="24"/>
          <w:lang w:eastAsia="en-GB"/>
        </w:rPr>
        <w:t>T</w:t>
      </w:r>
      <w:r w:rsidRPr="007B234C">
        <w:rPr>
          <w:rFonts w:eastAsia="Times New Roman" w:cs="Times New Roman"/>
          <w:sz w:val="24"/>
          <w:szCs w:val="24"/>
          <w:lang w:eastAsia="en-GB"/>
        </w:rPr>
        <w:t>he associated compliance burden may limit flexibility, especially whe</w:t>
      </w:r>
      <w:r w:rsidR="00581B19">
        <w:rPr>
          <w:rFonts w:eastAsia="Times New Roman" w:cs="Times New Roman"/>
          <w:sz w:val="24"/>
          <w:szCs w:val="24"/>
          <w:lang w:eastAsia="en-GB"/>
        </w:rPr>
        <w:t>n</w:t>
      </w:r>
      <w:r w:rsidRPr="007B234C">
        <w:rPr>
          <w:rFonts w:eastAsia="Times New Roman" w:cs="Times New Roman"/>
          <w:sz w:val="24"/>
          <w:szCs w:val="24"/>
          <w:lang w:eastAsia="en-GB"/>
        </w:rPr>
        <w:t xml:space="preserve"> organisations need to respond quickly to changes in technology or market conditions. In the UK, greater flexibility may support faster development, but this depends on organisations having robust internal controls. Without this, there is a possibility that risk is not identified or managed consistently.</w:t>
      </w:r>
    </w:p>
    <w:p w14:paraId="59844587" w14:textId="49274C32" w:rsidR="007B234C" w:rsidRPr="007B234C" w:rsidRDefault="007B234C" w:rsidP="007B234C">
      <w:pPr>
        <w:spacing w:before="100" w:beforeAutospacing="1" w:after="100" w:afterAutospacing="1" w:line="360" w:lineRule="auto"/>
        <w:rPr>
          <w:rFonts w:eastAsia="Times New Roman" w:cs="Times New Roman"/>
          <w:sz w:val="24"/>
          <w:szCs w:val="24"/>
          <w:lang w:eastAsia="en-GB"/>
        </w:rPr>
      </w:pPr>
      <w:r w:rsidRPr="007B234C">
        <w:rPr>
          <w:rFonts w:eastAsia="Times New Roman" w:cs="Times New Roman"/>
          <w:sz w:val="24"/>
          <w:szCs w:val="24"/>
          <w:lang w:eastAsia="en-GB"/>
        </w:rPr>
        <w:t xml:space="preserve">There are also implications for competitiveness. A more structured regulatory environment may create barriers for smaller firms or those with fewer resources, as the cost of compliance can be significant (European Central Bank, 2023). In contrast, a more flexible system may encourage innovation by lowering initial barriers, but it may also lead to uneven standards if organisations interpret requirements differently. This </w:t>
      </w:r>
      <w:r w:rsidR="00581B19">
        <w:rPr>
          <w:rFonts w:eastAsia="Times New Roman" w:cs="Times New Roman"/>
          <w:sz w:val="24"/>
          <w:szCs w:val="24"/>
          <w:lang w:eastAsia="en-GB"/>
        </w:rPr>
        <w:t xml:space="preserve">means that </w:t>
      </w:r>
      <w:r w:rsidRPr="007B234C">
        <w:rPr>
          <w:rFonts w:eastAsia="Times New Roman" w:cs="Times New Roman"/>
          <w:sz w:val="24"/>
          <w:szCs w:val="24"/>
          <w:lang w:eastAsia="en-GB"/>
        </w:rPr>
        <w:t>regulatory design influences not only risk management, but also market dynamics.</w:t>
      </w:r>
    </w:p>
    <w:p w14:paraId="426C2EB9" w14:textId="77777777" w:rsidR="007B234C" w:rsidRPr="007B234C" w:rsidRDefault="007B234C" w:rsidP="007B234C">
      <w:pPr>
        <w:spacing w:before="100" w:beforeAutospacing="1" w:after="100" w:afterAutospacing="1" w:line="360" w:lineRule="auto"/>
        <w:rPr>
          <w:rFonts w:eastAsia="Times New Roman" w:cs="Times New Roman"/>
          <w:sz w:val="24"/>
          <w:szCs w:val="24"/>
          <w:lang w:eastAsia="en-GB"/>
        </w:rPr>
      </w:pPr>
      <w:r w:rsidRPr="007B234C">
        <w:rPr>
          <w:rFonts w:eastAsia="Times New Roman" w:cs="Times New Roman"/>
          <w:sz w:val="24"/>
          <w:szCs w:val="24"/>
          <w:lang w:eastAsia="en-GB"/>
        </w:rPr>
        <w:t xml:space="preserve">For a global organisation such as </w:t>
      </w:r>
      <w:r w:rsidRPr="007B234C">
        <w:rPr>
          <w:rFonts w:eastAsiaTheme="majorEastAsia" w:cs="Times New Roman"/>
          <w:sz w:val="24"/>
          <w:szCs w:val="24"/>
          <w:lang w:eastAsia="en-GB"/>
        </w:rPr>
        <w:t>HSBC</w:t>
      </w:r>
      <w:r w:rsidRPr="007B234C">
        <w:rPr>
          <w:rFonts w:eastAsia="Times New Roman" w:cs="Times New Roman"/>
          <w:sz w:val="24"/>
          <w:szCs w:val="24"/>
          <w:lang w:eastAsia="en-GB"/>
        </w:rPr>
        <w:t>, managing these differences requires a coordinated response. AI systems are often developed and applied across multiple regions, yet regulatory expectations vary depending on where they are used. This creates pressure to design systems that can meet a range of requirements while still delivering value. It also increases the importance of internal governance, as consistency cannot rely solely on external regulation.</w:t>
      </w:r>
    </w:p>
    <w:p w14:paraId="4B495183" w14:textId="733D36FC" w:rsidR="007B234C" w:rsidRDefault="007A5E0E" w:rsidP="007B234C">
      <w:pPr>
        <w:spacing w:before="100" w:beforeAutospacing="1" w:after="100" w:afterAutospacing="1" w:line="360" w:lineRule="auto"/>
        <w:rPr>
          <w:rFonts w:eastAsia="Times New Roman" w:cs="Times New Roman"/>
          <w:sz w:val="24"/>
          <w:szCs w:val="24"/>
          <w:lang w:eastAsia="en-GB"/>
        </w:rPr>
      </w:pPr>
      <w:r>
        <w:rPr>
          <w:rFonts w:eastAsia="Times New Roman" w:cs="Times New Roman"/>
          <w:sz w:val="24"/>
          <w:szCs w:val="24"/>
          <w:lang w:eastAsia="en-GB"/>
        </w:rPr>
        <w:t>T</w:t>
      </w:r>
      <w:r w:rsidR="007B234C" w:rsidRPr="007B234C">
        <w:rPr>
          <w:rFonts w:eastAsia="Times New Roman" w:cs="Times New Roman"/>
          <w:sz w:val="24"/>
          <w:szCs w:val="24"/>
          <w:lang w:eastAsia="en-GB"/>
        </w:rPr>
        <w:t>he contrast between the UK and EU highlights how regulation shapes both opportunity and constraint. A more structured system may strengthen control and reduce uncertainty, but it can limit speed and flexibility. A more flexible system may support innovation, but it depends more heavily on organisational judgement and internal oversight. For multinational organisations, the challenge lies in balancing these factors, ensuring that AI is effective, compliant and aligned with expectations across different markets.</w:t>
      </w:r>
    </w:p>
    <w:p w14:paraId="2785415F" w14:textId="317555B0" w:rsidR="00EF3863" w:rsidRPr="00AD3A4E" w:rsidRDefault="00AD3A4E" w:rsidP="00AD3A4E">
      <w:pPr>
        <w:spacing w:line="259" w:lineRule="auto"/>
        <w:rPr>
          <w:rFonts w:eastAsia="Times New Roman" w:cs="Times New Roman"/>
          <w:sz w:val="24"/>
          <w:szCs w:val="24"/>
          <w:lang w:eastAsia="en-GB"/>
        </w:rPr>
      </w:pPr>
      <w:r>
        <w:rPr>
          <w:rFonts w:eastAsia="Times New Roman" w:cs="Times New Roman"/>
          <w:sz w:val="24"/>
          <w:szCs w:val="24"/>
          <w:lang w:eastAsia="en-GB"/>
        </w:rPr>
        <w:br w:type="page"/>
      </w:r>
    </w:p>
    <w:p w14:paraId="5D379EE1" w14:textId="22D6C7CC" w:rsidR="00EF3863" w:rsidRPr="00CB69BE" w:rsidRDefault="00C67466" w:rsidP="00EF3863">
      <w:pPr>
        <w:pStyle w:val="Heading1"/>
        <w:rPr>
          <w:sz w:val="32"/>
          <w:szCs w:val="32"/>
        </w:rPr>
      </w:pPr>
      <w:bookmarkStart w:id="8" w:name="_Toc228186543"/>
      <w:r w:rsidRPr="00CB69BE">
        <w:rPr>
          <w:sz w:val="32"/>
          <w:szCs w:val="32"/>
        </w:rPr>
        <w:t>Corporate</w:t>
      </w:r>
      <w:r w:rsidR="00EF3863" w:rsidRPr="00CB69BE">
        <w:rPr>
          <w:sz w:val="32"/>
          <w:szCs w:val="32"/>
        </w:rPr>
        <w:t xml:space="preserve"> Governance and Leadership</w:t>
      </w:r>
      <w:bookmarkEnd w:id="8"/>
    </w:p>
    <w:p w14:paraId="5B76A35C" w14:textId="77777777" w:rsidR="00AD3A4E" w:rsidRPr="00AD3A4E" w:rsidRDefault="00AD3A4E" w:rsidP="00AD3A4E">
      <w:pPr>
        <w:spacing w:line="360" w:lineRule="auto"/>
        <w:rPr>
          <w:kern w:val="2"/>
          <w14:ligatures w14:val="standardContextual"/>
        </w:rPr>
      </w:pPr>
    </w:p>
    <w:p w14:paraId="614DCEE2" w14:textId="49C4AEBF" w:rsidR="00CE38E6" w:rsidRPr="00CE38E6" w:rsidRDefault="00CE38E6" w:rsidP="00CE38E6">
      <w:pPr>
        <w:spacing w:before="100" w:beforeAutospacing="1" w:after="100" w:afterAutospacing="1" w:line="360" w:lineRule="auto"/>
        <w:rPr>
          <w:rFonts w:eastAsia="Times New Roman" w:cs="Times New Roman"/>
          <w:sz w:val="24"/>
          <w:szCs w:val="24"/>
          <w:lang w:eastAsia="en-GB"/>
        </w:rPr>
      </w:pPr>
      <w:r w:rsidRPr="00CE38E6">
        <w:rPr>
          <w:rFonts w:eastAsia="Times New Roman" w:cs="Times New Roman"/>
          <w:sz w:val="24"/>
          <w:szCs w:val="24"/>
          <w:lang w:eastAsia="en-GB"/>
        </w:rPr>
        <w:t xml:space="preserve">As AI becomes more </w:t>
      </w:r>
      <w:r>
        <w:rPr>
          <w:rFonts w:eastAsia="Times New Roman" w:cs="Times New Roman"/>
          <w:sz w:val="24"/>
          <w:szCs w:val="24"/>
          <w:lang w:eastAsia="en-GB"/>
        </w:rPr>
        <w:t>incorporated</w:t>
      </w:r>
      <w:r w:rsidRPr="00CE38E6">
        <w:rPr>
          <w:rFonts w:eastAsia="Times New Roman" w:cs="Times New Roman"/>
          <w:sz w:val="24"/>
          <w:szCs w:val="24"/>
          <w:lang w:eastAsia="en-GB"/>
        </w:rPr>
        <w:t xml:space="preserve"> across organisations, responsibility sits less with the technology itself and more with how it is controlled and applied, w</w:t>
      </w:r>
      <w:r w:rsidR="0022580A">
        <w:rPr>
          <w:rFonts w:eastAsia="Times New Roman" w:cs="Times New Roman"/>
          <w:sz w:val="24"/>
          <w:szCs w:val="24"/>
          <w:lang w:eastAsia="en-GB"/>
        </w:rPr>
        <w:t>ith</w:t>
      </w:r>
      <w:r w:rsidRPr="00CE38E6">
        <w:rPr>
          <w:rFonts w:eastAsia="Times New Roman" w:cs="Times New Roman"/>
          <w:sz w:val="24"/>
          <w:szCs w:val="24"/>
          <w:lang w:eastAsia="en-GB"/>
        </w:rPr>
        <w:t xml:space="preserve"> systems influenc</w:t>
      </w:r>
      <w:r w:rsidR="0022580A">
        <w:rPr>
          <w:rFonts w:eastAsia="Times New Roman" w:cs="Times New Roman"/>
          <w:sz w:val="24"/>
          <w:szCs w:val="24"/>
          <w:lang w:eastAsia="en-GB"/>
        </w:rPr>
        <w:t xml:space="preserve">ing </w:t>
      </w:r>
      <w:r w:rsidRPr="00CE38E6">
        <w:rPr>
          <w:rFonts w:eastAsia="Times New Roman" w:cs="Times New Roman"/>
          <w:sz w:val="24"/>
          <w:szCs w:val="24"/>
          <w:lang w:eastAsia="en-GB"/>
        </w:rPr>
        <w:t>outcomes that carry financial or regulatory consequences. Internal governance structures play a</w:t>
      </w:r>
      <w:r w:rsidR="001719A2">
        <w:rPr>
          <w:rFonts w:eastAsia="Times New Roman" w:cs="Times New Roman"/>
          <w:sz w:val="24"/>
          <w:szCs w:val="24"/>
          <w:lang w:eastAsia="en-GB"/>
        </w:rPr>
        <w:t>n important</w:t>
      </w:r>
      <w:r w:rsidRPr="00CE38E6">
        <w:rPr>
          <w:rFonts w:eastAsia="Times New Roman" w:cs="Times New Roman"/>
          <w:sz w:val="24"/>
          <w:szCs w:val="24"/>
          <w:lang w:eastAsia="en-GB"/>
        </w:rPr>
        <w:t xml:space="preserve"> role in shaping how risks are identified, how systems are monitored and how accountability is maintained over time. Whe</w:t>
      </w:r>
      <w:r w:rsidR="00A91C29">
        <w:rPr>
          <w:rFonts w:eastAsia="Times New Roman" w:cs="Times New Roman"/>
          <w:sz w:val="24"/>
          <w:szCs w:val="24"/>
          <w:lang w:eastAsia="en-GB"/>
        </w:rPr>
        <w:t>n</w:t>
      </w:r>
      <w:r w:rsidRPr="00CE38E6">
        <w:rPr>
          <w:rFonts w:eastAsia="Times New Roman" w:cs="Times New Roman"/>
          <w:sz w:val="24"/>
          <w:szCs w:val="24"/>
          <w:lang w:eastAsia="en-GB"/>
        </w:rPr>
        <w:t xml:space="preserve"> these structures lack clarity, even well-designed systems may not perform as intended, especially when applied across different regulatory environments (Floridi et al., 2018; World Economic Forum, 2023).</w:t>
      </w:r>
    </w:p>
    <w:p w14:paraId="0106A626" w14:textId="14BF05EA" w:rsidR="00CE38E6" w:rsidRPr="00CE38E6" w:rsidRDefault="00CE38E6" w:rsidP="00CE38E6">
      <w:pPr>
        <w:spacing w:before="100" w:beforeAutospacing="1" w:after="100" w:afterAutospacing="1" w:line="360" w:lineRule="auto"/>
        <w:rPr>
          <w:rFonts w:eastAsia="Times New Roman" w:cs="Times New Roman"/>
          <w:sz w:val="24"/>
          <w:szCs w:val="24"/>
          <w:lang w:eastAsia="en-GB"/>
        </w:rPr>
      </w:pPr>
      <w:r w:rsidRPr="00CE38E6">
        <w:rPr>
          <w:rFonts w:eastAsia="Times New Roman" w:cs="Times New Roman"/>
          <w:sz w:val="24"/>
          <w:szCs w:val="24"/>
          <w:lang w:eastAsia="en-GB"/>
        </w:rPr>
        <w:t xml:space="preserve">Responsibility is not always clearly defined. AI systems often cut across areas such as risk, compliance, data and technology, which can make ownership difficult to establish. In larger organisations, this can result in gaps between teams, </w:t>
      </w:r>
      <w:r w:rsidR="007A01AD">
        <w:rPr>
          <w:rFonts w:eastAsia="Times New Roman" w:cs="Times New Roman"/>
          <w:sz w:val="24"/>
          <w:szCs w:val="24"/>
          <w:lang w:eastAsia="en-GB"/>
        </w:rPr>
        <w:t>where</w:t>
      </w:r>
      <w:r w:rsidRPr="00CE38E6">
        <w:rPr>
          <w:rFonts w:eastAsia="Times New Roman" w:cs="Times New Roman"/>
          <w:sz w:val="24"/>
          <w:szCs w:val="24"/>
          <w:lang w:eastAsia="en-GB"/>
        </w:rPr>
        <w:t xml:space="preserve"> no single function has full visibility or control. Research highlights that unclear accountability structures can weaken oversight, </w:t>
      </w:r>
      <w:r w:rsidR="00A82712">
        <w:rPr>
          <w:rFonts w:eastAsia="Times New Roman" w:cs="Times New Roman"/>
          <w:sz w:val="24"/>
          <w:szCs w:val="24"/>
          <w:lang w:eastAsia="en-GB"/>
        </w:rPr>
        <w:t>as</w:t>
      </w:r>
      <w:r w:rsidRPr="00CE38E6">
        <w:rPr>
          <w:rFonts w:eastAsia="Times New Roman" w:cs="Times New Roman"/>
          <w:sz w:val="24"/>
          <w:szCs w:val="24"/>
          <w:lang w:eastAsia="en-GB"/>
        </w:rPr>
        <w:t xml:space="preserve"> outcomes are influenced by automated processes (Ransbotham et al., 2020; Institute of International Finance, 2023). This </w:t>
      </w:r>
      <w:r w:rsidR="002D3B73">
        <w:rPr>
          <w:rFonts w:eastAsia="Times New Roman" w:cs="Times New Roman"/>
          <w:sz w:val="24"/>
          <w:szCs w:val="24"/>
          <w:lang w:eastAsia="en-GB"/>
        </w:rPr>
        <w:t>create</w:t>
      </w:r>
      <w:r w:rsidRPr="00CE38E6">
        <w:rPr>
          <w:rFonts w:eastAsia="Times New Roman" w:cs="Times New Roman"/>
          <w:sz w:val="24"/>
          <w:szCs w:val="24"/>
          <w:lang w:eastAsia="en-GB"/>
        </w:rPr>
        <w:t>s concerns around how effectively organisations can challenge outcomes or respond when issues arise.</w:t>
      </w:r>
    </w:p>
    <w:p w14:paraId="77209E73" w14:textId="05F155BF" w:rsidR="00CE38E6" w:rsidRPr="00CE38E6" w:rsidRDefault="00CE38E6" w:rsidP="00CE38E6">
      <w:pPr>
        <w:spacing w:before="100" w:beforeAutospacing="1" w:after="100" w:afterAutospacing="1" w:line="360" w:lineRule="auto"/>
        <w:rPr>
          <w:rFonts w:eastAsia="Times New Roman" w:cs="Times New Roman"/>
          <w:sz w:val="24"/>
          <w:szCs w:val="24"/>
          <w:lang w:eastAsia="en-GB"/>
        </w:rPr>
      </w:pPr>
      <w:r w:rsidRPr="00CE38E6">
        <w:rPr>
          <w:rFonts w:eastAsia="Times New Roman" w:cs="Times New Roman"/>
          <w:sz w:val="24"/>
          <w:szCs w:val="24"/>
          <w:lang w:eastAsia="en-GB"/>
        </w:rPr>
        <w:t>Oversight becomes more demanding once systems are in use rather than at the point of implementation. AI requires ongoing monitoring, as performance can shift over time depending on changes in data or context. Periodic review alone may not be sufficient,</w:t>
      </w:r>
      <w:r w:rsidR="00087E89">
        <w:rPr>
          <w:rFonts w:eastAsia="Times New Roman" w:cs="Times New Roman"/>
          <w:sz w:val="24"/>
          <w:szCs w:val="24"/>
          <w:lang w:eastAsia="en-GB"/>
        </w:rPr>
        <w:t xml:space="preserve"> </w:t>
      </w:r>
      <w:r w:rsidRPr="00CE38E6">
        <w:rPr>
          <w:rFonts w:eastAsia="Times New Roman" w:cs="Times New Roman"/>
          <w:sz w:val="24"/>
          <w:szCs w:val="24"/>
          <w:lang w:eastAsia="en-GB"/>
        </w:rPr>
        <w:t>whe</w:t>
      </w:r>
      <w:r w:rsidR="00C47332">
        <w:rPr>
          <w:rFonts w:eastAsia="Times New Roman" w:cs="Times New Roman"/>
          <w:sz w:val="24"/>
          <w:szCs w:val="24"/>
          <w:lang w:eastAsia="en-GB"/>
        </w:rPr>
        <w:t>n</w:t>
      </w:r>
      <w:r w:rsidRPr="00CE38E6">
        <w:rPr>
          <w:rFonts w:eastAsia="Times New Roman" w:cs="Times New Roman"/>
          <w:sz w:val="24"/>
          <w:szCs w:val="24"/>
          <w:lang w:eastAsia="en-GB"/>
        </w:rPr>
        <w:t xml:space="preserve"> systems are used in areas that directly affect customers. Supervisory and academic literature emphasises the need for continuous validation and testing to ensure that systems remain reliable over time (Goodfellow, Bengio and Courville, 2016; Bank of England, 2023). This adds operational pressure, which may reduce some of the efficiency gains often associated with AI.</w:t>
      </w:r>
    </w:p>
    <w:p w14:paraId="396B86C8" w14:textId="7243DD92" w:rsidR="00CE38E6" w:rsidRPr="00CE38E6" w:rsidRDefault="00CE38E6" w:rsidP="00CE38E6">
      <w:pPr>
        <w:spacing w:before="100" w:beforeAutospacing="1" w:after="100" w:afterAutospacing="1" w:line="360" w:lineRule="auto"/>
        <w:rPr>
          <w:rFonts w:eastAsia="Times New Roman" w:cs="Times New Roman"/>
          <w:sz w:val="24"/>
          <w:szCs w:val="24"/>
          <w:lang w:eastAsia="en-GB"/>
        </w:rPr>
      </w:pPr>
      <w:r w:rsidRPr="00CE38E6">
        <w:rPr>
          <w:rFonts w:eastAsia="Times New Roman" w:cs="Times New Roman"/>
          <w:sz w:val="24"/>
          <w:szCs w:val="24"/>
          <w:lang w:eastAsia="en-GB"/>
        </w:rPr>
        <w:t>Beyond oversight, there are practical constraints that influence how governance is implemented. Building effective structures requires investment in skills, infrastructure and internal processes, including expertise in model validation, data management and regulatory compliance. Organisations that lack these capabilities may struggle to manage AI effectively,</w:t>
      </w:r>
      <w:r w:rsidR="005672C0">
        <w:rPr>
          <w:rFonts w:eastAsia="Times New Roman" w:cs="Times New Roman"/>
          <w:sz w:val="24"/>
          <w:szCs w:val="24"/>
          <w:lang w:eastAsia="en-GB"/>
        </w:rPr>
        <w:t xml:space="preserve"> </w:t>
      </w:r>
      <w:r w:rsidRPr="00CE38E6">
        <w:rPr>
          <w:rFonts w:eastAsia="Times New Roman" w:cs="Times New Roman"/>
          <w:sz w:val="24"/>
          <w:szCs w:val="24"/>
          <w:lang w:eastAsia="en-GB"/>
        </w:rPr>
        <w:t>as systems increase in complexity (Bughin et al., 2018; McKinsey &amp; Company, 2024). While this can strengthen control and reduce long-term risk, it may slow down implementation whe</w:t>
      </w:r>
      <w:r w:rsidR="00692A0D">
        <w:rPr>
          <w:rFonts w:eastAsia="Times New Roman" w:cs="Times New Roman"/>
          <w:sz w:val="24"/>
          <w:szCs w:val="24"/>
          <w:lang w:eastAsia="en-GB"/>
        </w:rPr>
        <w:t>n</w:t>
      </w:r>
      <w:r w:rsidRPr="00CE38E6">
        <w:rPr>
          <w:rFonts w:eastAsia="Times New Roman" w:cs="Times New Roman"/>
          <w:sz w:val="24"/>
          <w:szCs w:val="24"/>
          <w:lang w:eastAsia="en-GB"/>
        </w:rPr>
        <w:t xml:space="preserve"> resources are limited.</w:t>
      </w:r>
    </w:p>
    <w:p w14:paraId="6D1E8656" w14:textId="78F68545" w:rsidR="00CE38E6" w:rsidRPr="00CE38E6" w:rsidRDefault="00CE38E6" w:rsidP="00CE38E6">
      <w:pPr>
        <w:spacing w:before="100" w:beforeAutospacing="1" w:after="100" w:afterAutospacing="1" w:line="360" w:lineRule="auto"/>
        <w:rPr>
          <w:rFonts w:eastAsia="Times New Roman" w:cs="Times New Roman"/>
          <w:sz w:val="24"/>
          <w:szCs w:val="24"/>
          <w:lang w:eastAsia="en-GB"/>
        </w:rPr>
      </w:pPr>
      <w:r w:rsidRPr="00CE38E6">
        <w:rPr>
          <w:rFonts w:eastAsia="Times New Roman" w:cs="Times New Roman"/>
          <w:sz w:val="24"/>
          <w:szCs w:val="24"/>
          <w:lang w:eastAsia="en-GB"/>
        </w:rPr>
        <w:t>How governance operates is closely linked to organisational culture rather than policy alone. Formal frameworks are unlikely to have much impact if they are not reflected in day-to-day behaviour. Studies suggest that stronger outcomes are associated with organisations</w:t>
      </w:r>
      <w:r w:rsidR="00941760">
        <w:rPr>
          <w:rFonts w:eastAsia="Times New Roman" w:cs="Times New Roman"/>
          <w:sz w:val="24"/>
          <w:szCs w:val="24"/>
          <w:lang w:eastAsia="en-GB"/>
        </w:rPr>
        <w:t xml:space="preserve"> in which</w:t>
      </w:r>
      <w:r w:rsidRPr="00CE38E6">
        <w:rPr>
          <w:rFonts w:eastAsia="Times New Roman" w:cs="Times New Roman"/>
          <w:sz w:val="24"/>
          <w:szCs w:val="24"/>
          <w:lang w:eastAsia="en-GB"/>
        </w:rPr>
        <w:t xml:space="preserve"> awareness of risk is embedded across teams, rather than managed as a separate function (Schein, 2010; Deloitte, 2023). Leadership plays an important role here, in setting expectations around accountability and responsible use.</w:t>
      </w:r>
    </w:p>
    <w:p w14:paraId="47148FB9" w14:textId="0CADA585" w:rsidR="00CE38E6" w:rsidRPr="00CE38E6" w:rsidRDefault="00CE38E6" w:rsidP="00CE38E6">
      <w:pPr>
        <w:spacing w:before="100" w:beforeAutospacing="1" w:after="100" w:afterAutospacing="1" w:line="360" w:lineRule="auto"/>
        <w:rPr>
          <w:rFonts w:eastAsia="Times New Roman" w:cs="Times New Roman"/>
          <w:sz w:val="24"/>
          <w:szCs w:val="24"/>
          <w:lang w:eastAsia="en-GB"/>
        </w:rPr>
      </w:pPr>
      <w:r w:rsidRPr="00CE38E6">
        <w:rPr>
          <w:rFonts w:eastAsia="Times New Roman" w:cs="Times New Roman"/>
          <w:sz w:val="24"/>
          <w:szCs w:val="24"/>
          <w:lang w:eastAsia="en-GB"/>
        </w:rPr>
        <w:t>Across different regions, governance becomes more difficult to maintain consistently. Regulatory expectations are not aligned, which means internal frameworks must be flexible enough to meet multiple standards at the same time. This creates additional complexity</w:t>
      </w:r>
      <w:r w:rsidR="00C11B41">
        <w:rPr>
          <w:rFonts w:eastAsia="Times New Roman" w:cs="Times New Roman"/>
          <w:sz w:val="24"/>
          <w:szCs w:val="24"/>
          <w:lang w:eastAsia="en-GB"/>
        </w:rPr>
        <w:t>,</w:t>
      </w:r>
      <w:r w:rsidRPr="00CE38E6">
        <w:rPr>
          <w:rFonts w:eastAsia="Times New Roman" w:cs="Times New Roman"/>
          <w:sz w:val="24"/>
          <w:szCs w:val="24"/>
          <w:lang w:eastAsia="en-GB"/>
        </w:rPr>
        <w:t xml:space="preserve"> </w:t>
      </w:r>
      <w:r w:rsidR="002C5236">
        <w:rPr>
          <w:rFonts w:eastAsia="Times New Roman" w:cs="Times New Roman"/>
          <w:sz w:val="24"/>
          <w:szCs w:val="24"/>
          <w:lang w:eastAsia="en-GB"/>
        </w:rPr>
        <w:t>given that</w:t>
      </w:r>
      <w:r w:rsidRPr="00CE38E6">
        <w:rPr>
          <w:rFonts w:eastAsia="Times New Roman" w:cs="Times New Roman"/>
          <w:sz w:val="24"/>
          <w:szCs w:val="24"/>
          <w:lang w:eastAsia="en-GB"/>
        </w:rPr>
        <w:t xml:space="preserve"> requirements continue to evolve. International policy research highlights the need for governance structures that can adapt while maintaining a consistent level of control (OECD, 2024; Financial Stability Board, 2023).</w:t>
      </w:r>
    </w:p>
    <w:p w14:paraId="7ADA770F" w14:textId="77777777" w:rsidR="00CE38E6" w:rsidRPr="00CE38E6" w:rsidRDefault="00CE38E6" w:rsidP="00CE38E6">
      <w:pPr>
        <w:spacing w:before="100" w:beforeAutospacing="1" w:after="100" w:afterAutospacing="1" w:line="360" w:lineRule="auto"/>
        <w:rPr>
          <w:rFonts w:eastAsia="Times New Roman" w:cs="Times New Roman"/>
          <w:sz w:val="24"/>
          <w:szCs w:val="24"/>
          <w:lang w:eastAsia="en-GB"/>
        </w:rPr>
      </w:pPr>
      <w:r w:rsidRPr="00CE38E6">
        <w:rPr>
          <w:rFonts w:eastAsia="Times New Roman" w:cs="Times New Roman"/>
          <w:sz w:val="24"/>
          <w:szCs w:val="24"/>
          <w:lang w:eastAsia="en-GB"/>
        </w:rPr>
        <w:t xml:space="preserve">Within </w:t>
      </w:r>
      <w:r w:rsidRPr="00CE38E6">
        <w:rPr>
          <w:rFonts w:eastAsiaTheme="majorEastAsia" w:cs="Times New Roman"/>
          <w:sz w:val="24"/>
          <w:szCs w:val="24"/>
          <w:lang w:eastAsia="en-GB"/>
        </w:rPr>
        <w:t>HSBC</w:t>
      </w:r>
      <w:r w:rsidRPr="00CE38E6">
        <w:rPr>
          <w:rFonts w:eastAsia="Times New Roman" w:cs="Times New Roman"/>
          <w:sz w:val="24"/>
          <w:szCs w:val="24"/>
          <w:lang w:eastAsia="en-GB"/>
        </w:rPr>
        <w:t>, these challenges are likely to be more pronounced due to the scale and spread of operations. AI systems may be developed in one context and applied in another, yet accountability still needs to remain clear. This increases the importance of coordination across functions, as well as the need for shared standards that can operate across different regions.</w:t>
      </w:r>
    </w:p>
    <w:p w14:paraId="2A1665E6" w14:textId="12E2B568" w:rsidR="00CE38E6" w:rsidRPr="00CE38E6" w:rsidRDefault="00CE38E6" w:rsidP="00CE38E6">
      <w:pPr>
        <w:spacing w:before="100" w:beforeAutospacing="1" w:after="100" w:afterAutospacing="1" w:line="360" w:lineRule="auto"/>
        <w:rPr>
          <w:rFonts w:eastAsia="Times New Roman" w:cs="Times New Roman"/>
          <w:sz w:val="24"/>
          <w:szCs w:val="24"/>
          <w:lang w:eastAsia="en-GB"/>
        </w:rPr>
      </w:pPr>
      <w:r w:rsidRPr="00CE38E6">
        <w:rPr>
          <w:rFonts w:eastAsia="Times New Roman" w:cs="Times New Roman"/>
          <w:sz w:val="24"/>
          <w:szCs w:val="24"/>
          <w:lang w:eastAsia="en-GB"/>
        </w:rPr>
        <w:t xml:space="preserve">Strong governance determines whether AI delivers value or introduces additional risk. </w:t>
      </w:r>
      <w:r w:rsidR="006014C3">
        <w:rPr>
          <w:rFonts w:eastAsia="Times New Roman" w:cs="Times New Roman"/>
          <w:sz w:val="24"/>
          <w:szCs w:val="24"/>
          <w:lang w:eastAsia="en-GB"/>
        </w:rPr>
        <w:t xml:space="preserve">When </w:t>
      </w:r>
      <w:r w:rsidRPr="00CE38E6">
        <w:rPr>
          <w:rFonts w:eastAsia="Times New Roman" w:cs="Times New Roman"/>
          <w:sz w:val="24"/>
          <w:szCs w:val="24"/>
          <w:lang w:eastAsia="en-GB"/>
        </w:rPr>
        <w:t>internal structures are clear and consistently applied, organisations are more likely to maintain control and build trust. Where governance is weaker, even technically sound systems may create unintended consequences over time.</w:t>
      </w:r>
    </w:p>
    <w:p w14:paraId="384FEE50" w14:textId="77777777" w:rsidR="00CE38E6" w:rsidRPr="00CE38E6" w:rsidRDefault="00CE38E6" w:rsidP="00CE38E6">
      <w:pPr>
        <w:spacing w:line="360" w:lineRule="auto"/>
        <w:rPr>
          <w:kern w:val="2"/>
          <w14:ligatures w14:val="standardContextual"/>
        </w:rPr>
      </w:pPr>
    </w:p>
    <w:p w14:paraId="2BD4F27C" w14:textId="3A2CDAD7" w:rsidR="00AD3A4E" w:rsidRDefault="00AD3A4E">
      <w:pPr>
        <w:spacing w:line="259" w:lineRule="auto"/>
      </w:pPr>
      <w:r>
        <w:br w:type="page"/>
      </w:r>
    </w:p>
    <w:p w14:paraId="65D42D04" w14:textId="77777777" w:rsidR="009B5088" w:rsidRDefault="009B5088" w:rsidP="009B5088"/>
    <w:p w14:paraId="4D03A292" w14:textId="14165F12" w:rsidR="009B5088" w:rsidRPr="00CB69BE" w:rsidRDefault="009B5088" w:rsidP="009B5088">
      <w:pPr>
        <w:pStyle w:val="Heading1"/>
        <w:rPr>
          <w:sz w:val="32"/>
          <w:szCs w:val="32"/>
        </w:rPr>
      </w:pPr>
      <w:bookmarkStart w:id="9" w:name="_Toc228186544"/>
      <w:r w:rsidRPr="00CB69BE">
        <w:rPr>
          <w:sz w:val="32"/>
          <w:szCs w:val="32"/>
        </w:rPr>
        <w:t>Recommendations</w:t>
      </w:r>
      <w:bookmarkEnd w:id="9"/>
    </w:p>
    <w:p w14:paraId="1D334A96" w14:textId="77777777" w:rsidR="0057385B" w:rsidRDefault="0057385B" w:rsidP="0057385B">
      <w:pPr>
        <w:spacing w:line="360" w:lineRule="auto"/>
        <w:rPr>
          <w:kern w:val="2"/>
          <w:sz w:val="24"/>
          <w:szCs w:val="24"/>
          <w14:ligatures w14:val="standardContextual"/>
        </w:rPr>
      </w:pPr>
    </w:p>
    <w:p w14:paraId="25AB0FDE" w14:textId="41E8DB56" w:rsidR="0057385B" w:rsidRDefault="0057385B" w:rsidP="0057385B">
      <w:pPr>
        <w:spacing w:line="360" w:lineRule="auto"/>
        <w:rPr>
          <w:kern w:val="2"/>
          <w:sz w:val="24"/>
          <w:szCs w:val="24"/>
          <w14:ligatures w14:val="standardContextual"/>
        </w:rPr>
      </w:pPr>
      <w:r w:rsidRPr="0057385B">
        <w:rPr>
          <w:kern w:val="2"/>
          <w:sz w:val="24"/>
          <w:szCs w:val="24"/>
          <w14:ligatures w14:val="standardContextual"/>
        </w:rPr>
        <w:t>The issues identified across governance, regulation and ethical use highlight the need for clearer organisational responses to how AI is managed in practice.</w:t>
      </w:r>
    </w:p>
    <w:p w14:paraId="650D4C56" w14:textId="77777777" w:rsidR="00E10FEF" w:rsidRDefault="00E10FEF" w:rsidP="00E10FEF">
      <w:pPr>
        <w:spacing w:line="360" w:lineRule="auto"/>
        <w:rPr>
          <w:b/>
          <w:bCs/>
          <w:sz w:val="24"/>
          <w:szCs w:val="24"/>
          <w:lang w:eastAsia="en-GB"/>
        </w:rPr>
      </w:pPr>
    </w:p>
    <w:p w14:paraId="241F047B" w14:textId="60AD7EC9" w:rsidR="003D04BB" w:rsidRPr="00B87605" w:rsidRDefault="003D04BB" w:rsidP="00B87605">
      <w:pPr>
        <w:pStyle w:val="ListParagraph"/>
        <w:numPr>
          <w:ilvl w:val="0"/>
          <w:numId w:val="3"/>
        </w:numPr>
        <w:spacing w:line="360" w:lineRule="auto"/>
        <w:rPr>
          <w:sz w:val="24"/>
          <w:szCs w:val="24"/>
        </w:rPr>
      </w:pPr>
      <w:r w:rsidRPr="00B87605">
        <w:rPr>
          <w:b/>
          <w:bCs/>
          <w:sz w:val="24"/>
          <w:szCs w:val="24"/>
          <w:lang w:eastAsia="en-GB"/>
        </w:rPr>
        <w:t>Adopt a formal ethical AI framework linked to governance structures</w:t>
      </w:r>
      <w:r w:rsidRPr="00B87605">
        <w:rPr>
          <w:sz w:val="24"/>
          <w:szCs w:val="24"/>
          <w:lang w:eastAsia="en-GB"/>
        </w:rPr>
        <w:br/>
        <w:t xml:space="preserve">Building on the issues around fairness, transparency and trust, a structured ethical framework should guide how AI is developed and applied. </w:t>
      </w:r>
      <w:r w:rsidR="00B87605" w:rsidRPr="00B87605">
        <w:rPr>
          <w:sz w:val="24"/>
          <w:szCs w:val="24"/>
        </w:rPr>
        <w:t xml:space="preserve">This needs to go beyond high-level principles and be </w:t>
      </w:r>
      <w:r w:rsidR="00303BCB">
        <w:rPr>
          <w:sz w:val="24"/>
          <w:szCs w:val="24"/>
        </w:rPr>
        <w:t xml:space="preserve">incorporated </w:t>
      </w:r>
      <w:r w:rsidR="00B87605" w:rsidRPr="00B87605">
        <w:rPr>
          <w:sz w:val="24"/>
          <w:szCs w:val="24"/>
        </w:rPr>
        <w:t xml:space="preserve">into approval processes, model validation and review, ensuring ethical expectations are consistently applied in practice rather than remaining theoretical (Jobin, Ienca and Vayena, 2019; Dignum, 2019). </w:t>
      </w:r>
      <w:r w:rsidRPr="00B87605">
        <w:rPr>
          <w:sz w:val="24"/>
          <w:szCs w:val="24"/>
          <w:lang w:eastAsia="en-GB"/>
        </w:rPr>
        <w:t xml:space="preserve">This would also support alignment across UK and EU requirements, reducing the risk of fragmented standards. </w:t>
      </w:r>
    </w:p>
    <w:p w14:paraId="1F4F9C2A" w14:textId="77777777" w:rsidR="003D04BB" w:rsidRDefault="003D04BB" w:rsidP="003D04BB">
      <w:pPr>
        <w:pStyle w:val="ListParagraph"/>
        <w:spacing w:after="0" w:line="360" w:lineRule="auto"/>
        <w:rPr>
          <w:rFonts w:eastAsia="Times New Roman" w:cs="Times New Roman"/>
          <w:b/>
          <w:bCs/>
          <w:kern w:val="0"/>
          <w:sz w:val="24"/>
          <w:szCs w:val="24"/>
          <w:lang w:eastAsia="en-GB"/>
          <w14:ligatures w14:val="none"/>
        </w:rPr>
      </w:pPr>
    </w:p>
    <w:p w14:paraId="54FB958F" w14:textId="74C39648" w:rsidR="003D04BB" w:rsidRPr="00D336A0" w:rsidRDefault="003D04BB" w:rsidP="00D336A0">
      <w:pPr>
        <w:pStyle w:val="ListParagraph"/>
        <w:numPr>
          <w:ilvl w:val="0"/>
          <w:numId w:val="3"/>
        </w:numPr>
        <w:spacing w:line="360" w:lineRule="auto"/>
        <w:rPr>
          <w:sz w:val="24"/>
          <w:szCs w:val="24"/>
        </w:rPr>
      </w:pPr>
      <w:r w:rsidRPr="00D336A0">
        <w:rPr>
          <w:rFonts w:eastAsia="Times New Roman" w:cs="Times New Roman"/>
          <w:b/>
          <w:bCs/>
          <w:sz w:val="24"/>
          <w:szCs w:val="24"/>
          <w:lang w:eastAsia="en-GB"/>
        </w:rPr>
        <w:t>Strengthen accountability through clearer ownership of AI systems</w:t>
      </w:r>
      <w:r w:rsidRPr="00D336A0">
        <w:rPr>
          <w:rFonts w:eastAsia="Times New Roman" w:cs="Times New Roman"/>
          <w:sz w:val="24"/>
          <w:szCs w:val="24"/>
          <w:lang w:eastAsia="en-GB"/>
        </w:rPr>
        <w:br/>
        <w:t xml:space="preserve">The challenges identified around governance and cross-functional responsibility suggest a need for more defined ownership. Assigning clear responsibility for system performance, oversight and outcomes can reduce gaps between teams and improve control. </w:t>
      </w:r>
      <w:r w:rsidR="00D336A0" w:rsidRPr="00D336A0">
        <w:rPr>
          <w:sz w:val="24"/>
          <w:szCs w:val="24"/>
        </w:rPr>
        <w:t xml:space="preserve">This becomes more important as AI systems operate across multiple regions with differing regulatory expectations, where clearly defined ownership supports stronger oversight and reduces gaps in control (Mittelstadt et al., 2016; Floridi and Cowls, 2019). </w:t>
      </w:r>
      <w:r w:rsidRPr="00D336A0">
        <w:rPr>
          <w:rFonts w:eastAsia="Times New Roman" w:cs="Times New Roman"/>
          <w:sz w:val="24"/>
          <w:szCs w:val="24"/>
          <w:lang w:eastAsia="en-GB"/>
        </w:rPr>
        <w:t xml:space="preserve"> </w:t>
      </w:r>
    </w:p>
    <w:p w14:paraId="539A9ADD" w14:textId="77777777" w:rsidR="003D04BB" w:rsidRDefault="003D04BB" w:rsidP="003D04BB">
      <w:pPr>
        <w:pStyle w:val="ListParagraph"/>
        <w:spacing w:line="360" w:lineRule="auto"/>
        <w:rPr>
          <w:rFonts w:eastAsia="Times New Roman" w:cs="Times New Roman"/>
          <w:b/>
          <w:bCs/>
          <w:kern w:val="0"/>
          <w:sz w:val="24"/>
          <w:szCs w:val="24"/>
          <w:lang w:eastAsia="en-GB"/>
          <w14:ligatures w14:val="none"/>
        </w:rPr>
      </w:pPr>
    </w:p>
    <w:p w14:paraId="52A5759A" w14:textId="006F2502" w:rsidR="003D04BB" w:rsidRPr="00BF3DD8" w:rsidRDefault="003D04BB" w:rsidP="00BF3DD8">
      <w:pPr>
        <w:pStyle w:val="ListParagraph"/>
        <w:numPr>
          <w:ilvl w:val="0"/>
          <w:numId w:val="3"/>
        </w:numPr>
        <w:spacing w:line="360" w:lineRule="auto"/>
        <w:rPr>
          <w:sz w:val="24"/>
          <w:szCs w:val="24"/>
        </w:rPr>
      </w:pPr>
      <w:r w:rsidRPr="00BF3DD8">
        <w:rPr>
          <w:rFonts w:eastAsia="Times New Roman" w:cs="Times New Roman"/>
          <w:b/>
          <w:bCs/>
          <w:sz w:val="24"/>
          <w:szCs w:val="24"/>
          <w:lang w:eastAsia="en-GB"/>
        </w:rPr>
        <w:t>Introduce continuous monitoring and review of system performance</w:t>
      </w:r>
      <w:r w:rsidRPr="00BF3DD8">
        <w:rPr>
          <w:rFonts w:eastAsia="Times New Roman" w:cs="Times New Roman"/>
          <w:sz w:val="24"/>
          <w:szCs w:val="24"/>
          <w:lang w:eastAsia="en-GB"/>
        </w:rPr>
        <w:br/>
        <w:t>Given the risks linked to technical reliability and changing data conditions, monitoring should extend beyond initial deployment. Ongoing validation helps ensure that systems remain stable and aligned with expectations over time.</w:t>
      </w:r>
      <w:r w:rsidR="00BF3DD8" w:rsidRPr="00BF3DD8">
        <w:rPr>
          <w:rFonts w:eastAsia="Times New Roman" w:cs="Times New Roman"/>
          <w:sz w:val="24"/>
          <w:szCs w:val="24"/>
          <w:lang w:eastAsia="en-GB"/>
        </w:rPr>
        <w:t xml:space="preserve"> </w:t>
      </w:r>
      <w:r w:rsidR="00BF3DD8" w:rsidRPr="00BF3DD8">
        <w:rPr>
          <w:sz w:val="24"/>
          <w:szCs w:val="24"/>
        </w:rPr>
        <w:t>Regular review also supports transparency, ensuring systems remain reliable over time as data conditions and operational contexts change</w:t>
      </w:r>
      <w:r w:rsidR="00BF3DD8">
        <w:rPr>
          <w:sz w:val="24"/>
          <w:szCs w:val="24"/>
        </w:rPr>
        <w:t xml:space="preserve">, making it easier to address issues before they affect outcomes </w:t>
      </w:r>
      <w:r w:rsidR="00BF3DD8" w:rsidRPr="00BF3DD8">
        <w:rPr>
          <w:sz w:val="24"/>
          <w:szCs w:val="24"/>
        </w:rPr>
        <w:t xml:space="preserve">(Amershi et al., 2019). </w:t>
      </w:r>
    </w:p>
    <w:p w14:paraId="14B87A91" w14:textId="77777777" w:rsidR="003D04BB" w:rsidRDefault="003D04BB" w:rsidP="0057385B">
      <w:pPr>
        <w:spacing w:line="360" w:lineRule="auto"/>
        <w:rPr>
          <w:kern w:val="2"/>
          <w:sz w:val="24"/>
          <w:szCs w:val="24"/>
          <w14:ligatures w14:val="standardContextual"/>
        </w:rPr>
      </w:pPr>
    </w:p>
    <w:p w14:paraId="659697F0" w14:textId="0E9CAF5C" w:rsidR="009B5088" w:rsidRPr="006C0D14" w:rsidRDefault="006C0D14" w:rsidP="006C0D14">
      <w:pPr>
        <w:spacing w:line="259" w:lineRule="auto"/>
        <w:rPr>
          <w:kern w:val="2"/>
          <w:sz w:val="24"/>
          <w:szCs w:val="24"/>
          <w14:ligatures w14:val="standardContextual"/>
        </w:rPr>
      </w:pPr>
      <w:r>
        <w:rPr>
          <w:kern w:val="2"/>
          <w:sz w:val="24"/>
          <w:szCs w:val="24"/>
          <w14:ligatures w14:val="standardContextual"/>
        </w:rPr>
        <w:br w:type="page"/>
      </w:r>
    </w:p>
    <w:p w14:paraId="59B47E98" w14:textId="14CEB50C" w:rsidR="009B5088" w:rsidRPr="00CB69BE" w:rsidRDefault="009B5088" w:rsidP="009B5088">
      <w:pPr>
        <w:pStyle w:val="Heading1"/>
        <w:rPr>
          <w:sz w:val="32"/>
          <w:szCs w:val="32"/>
        </w:rPr>
      </w:pPr>
      <w:bookmarkStart w:id="10" w:name="_Toc228186545"/>
      <w:r w:rsidRPr="00CB69BE">
        <w:rPr>
          <w:sz w:val="32"/>
          <w:szCs w:val="32"/>
        </w:rPr>
        <w:t>Implementation Plan</w:t>
      </w:r>
      <w:bookmarkEnd w:id="10"/>
      <w:r w:rsidRPr="00CB69BE">
        <w:rPr>
          <w:sz w:val="32"/>
          <w:szCs w:val="32"/>
        </w:rPr>
        <w:t xml:space="preserve"> </w:t>
      </w:r>
    </w:p>
    <w:p w14:paraId="145D563A" w14:textId="77777777" w:rsidR="009B5088" w:rsidRDefault="009B5088" w:rsidP="009B5088"/>
    <w:p w14:paraId="29654170" w14:textId="705B9B62" w:rsidR="006C0D14" w:rsidRPr="00A97D79" w:rsidRDefault="006C0D14" w:rsidP="006C0D14">
      <w:pPr>
        <w:pStyle w:val="NormalWeb"/>
        <w:spacing w:line="360" w:lineRule="auto"/>
        <w:rPr>
          <w:rFonts w:asciiTheme="minorHAnsi" w:hAnsiTheme="minorHAnsi"/>
        </w:rPr>
      </w:pPr>
      <w:r w:rsidRPr="00A97D79">
        <w:rPr>
          <w:rFonts w:asciiTheme="minorHAnsi" w:hAnsiTheme="minorHAnsi"/>
        </w:rPr>
        <w:t>Adopting a formal ethical AI framework provides a practical starting point for improving governance, accountability and transparency. This should sit alongside existing approval, risk and review processes so that ethical considerations are addressed at the same stage as technical and regulatory requirements. Evidence suggests that organisations are more effective when ethical principles are translated into operational steps rather than remaining at a high level (Morley et al., 2020; Fjeld et al., 2020).</w:t>
      </w:r>
      <w:r w:rsidR="003E7844">
        <w:rPr>
          <w:rFonts w:asciiTheme="minorHAnsi" w:hAnsiTheme="minorHAnsi"/>
        </w:rPr>
        <w:t xml:space="preserve"> This </w:t>
      </w:r>
      <w:r w:rsidR="00D439AA">
        <w:rPr>
          <w:rFonts w:asciiTheme="minorHAnsi" w:hAnsiTheme="minorHAnsi"/>
        </w:rPr>
        <w:t xml:space="preserve">would be implemented over a </w:t>
      </w:r>
      <w:r w:rsidR="006F5294">
        <w:rPr>
          <w:rFonts w:asciiTheme="minorHAnsi" w:hAnsiTheme="minorHAnsi"/>
        </w:rPr>
        <w:t>6–</w:t>
      </w:r>
      <w:r w:rsidR="00CB69BE">
        <w:rPr>
          <w:rFonts w:asciiTheme="minorHAnsi" w:hAnsiTheme="minorHAnsi"/>
        </w:rPr>
        <w:t>12-month</w:t>
      </w:r>
      <w:r w:rsidR="00D439AA">
        <w:rPr>
          <w:rFonts w:asciiTheme="minorHAnsi" w:hAnsiTheme="minorHAnsi"/>
        </w:rPr>
        <w:t xml:space="preserve"> per</w:t>
      </w:r>
      <w:r w:rsidR="00845D9F">
        <w:rPr>
          <w:rFonts w:asciiTheme="minorHAnsi" w:hAnsiTheme="minorHAnsi"/>
        </w:rPr>
        <w:t>iod</w:t>
      </w:r>
      <w:r w:rsidR="004160DE">
        <w:rPr>
          <w:rFonts w:asciiTheme="minorHAnsi" w:hAnsiTheme="minorHAnsi"/>
        </w:rPr>
        <w:t xml:space="preserve"> through existing </w:t>
      </w:r>
      <w:r w:rsidR="004D7B18">
        <w:rPr>
          <w:rFonts w:asciiTheme="minorHAnsi" w:hAnsiTheme="minorHAnsi"/>
        </w:rPr>
        <w:t>governance and risk structures, with progress monitored through regular audit</w:t>
      </w:r>
      <w:r w:rsidR="00395766">
        <w:rPr>
          <w:rFonts w:asciiTheme="minorHAnsi" w:hAnsiTheme="minorHAnsi"/>
        </w:rPr>
        <w:t xml:space="preserve"> outcomes</w:t>
      </w:r>
      <w:r w:rsidR="004D7B18">
        <w:rPr>
          <w:rFonts w:asciiTheme="minorHAnsi" w:hAnsiTheme="minorHAnsi"/>
        </w:rPr>
        <w:t xml:space="preserve"> and compliance review</w:t>
      </w:r>
      <w:r w:rsidR="00607790">
        <w:rPr>
          <w:rFonts w:asciiTheme="minorHAnsi" w:hAnsiTheme="minorHAnsi"/>
        </w:rPr>
        <w:t xml:space="preserve"> findings</w:t>
      </w:r>
      <w:r w:rsidR="004D7B18">
        <w:rPr>
          <w:rFonts w:asciiTheme="minorHAnsi" w:hAnsiTheme="minorHAnsi"/>
        </w:rPr>
        <w:t>.</w:t>
      </w:r>
    </w:p>
    <w:p w14:paraId="2C8C338A" w14:textId="1A7C158E" w:rsidR="006C0D14" w:rsidRPr="00A97D79" w:rsidRDefault="006C0D14" w:rsidP="006C0D14">
      <w:pPr>
        <w:pStyle w:val="NormalWeb"/>
        <w:spacing w:line="360" w:lineRule="auto"/>
        <w:rPr>
          <w:rFonts w:asciiTheme="minorHAnsi" w:hAnsiTheme="minorHAnsi"/>
        </w:rPr>
      </w:pPr>
      <w:r w:rsidRPr="00A97D79">
        <w:rPr>
          <w:rFonts w:asciiTheme="minorHAnsi" w:hAnsiTheme="minorHAnsi"/>
        </w:rPr>
        <w:t xml:space="preserve">A phased structure would support implementation. The first stage involves defining a clear set of principles based on established frameworks, followed by translating these into specific requirements that can be applied across different teams (Hagendorff, 2020). This includes setting checkpoints during development and introducing documentation standards that support clearer explanation of outcomes. Research indicates that without this level of detail, ethical frameworks have limited impact on how systems are </w:t>
      </w:r>
      <w:r w:rsidR="004006DC" w:rsidRPr="00A97D79">
        <w:rPr>
          <w:rFonts w:asciiTheme="minorHAnsi" w:hAnsiTheme="minorHAnsi"/>
        </w:rPr>
        <w:t>used</w:t>
      </w:r>
      <w:r w:rsidRPr="00A97D79">
        <w:rPr>
          <w:rFonts w:asciiTheme="minorHAnsi" w:hAnsiTheme="minorHAnsi"/>
        </w:rPr>
        <w:t xml:space="preserve"> (Munn, 2023; Whittlestone et al., 2019).</w:t>
      </w:r>
    </w:p>
    <w:p w14:paraId="19A20469" w14:textId="662781AE" w:rsidR="006C0D14" w:rsidRPr="00A97D79" w:rsidRDefault="006C0D14" w:rsidP="006C0D14">
      <w:pPr>
        <w:pStyle w:val="NormalWeb"/>
        <w:spacing w:line="360" w:lineRule="auto"/>
        <w:rPr>
          <w:rFonts w:asciiTheme="minorHAnsi" w:hAnsiTheme="minorHAnsi"/>
        </w:rPr>
      </w:pPr>
      <w:r w:rsidRPr="00A97D79">
        <w:rPr>
          <w:rFonts w:asciiTheme="minorHAnsi" w:hAnsiTheme="minorHAnsi"/>
        </w:rPr>
        <w:t>Responsibility should sit within existing governance structures, with clear ownership assigned across relevant functions. This reduces gaps between teams and supports more consistent oversight, particularly whe</w:t>
      </w:r>
      <w:r w:rsidR="00A24162">
        <w:rPr>
          <w:rFonts w:asciiTheme="minorHAnsi" w:hAnsiTheme="minorHAnsi"/>
        </w:rPr>
        <w:t>n</w:t>
      </w:r>
      <w:r w:rsidRPr="00A97D79">
        <w:rPr>
          <w:rFonts w:asciiTheme="minorHAnsi" w:hAnsiTheme="minorHAnsi"/>
        </w:rPr>
        <w:t xml:space="preserve"> systems operate across different areas of the organisation (Ryan and Stahl, 2021). Training also supports this, ensuring that those involved in development and oversight understand how these requirements apply in their roles.</w:t>
      </w:r>
    </w:p>
    <w:p w14:paraId="778FEA5C" w14:textId="3E170C3E" w:rsidR="006C0D14" w:rsidRPr="00A97D79" w:rsidRDefault="006C0D14" w:rsidP="006C0D14">
      <w:pPr>
        <w:pStyle w:val="NormalWeb"/>
        <w:spacing w:line="360" w:lineRule="auto"/>
        <w:rPr>
          <w:rFonts w:asciiTheme="minorHAnsi" w:hAnsiTheme="minorHAnsi"/>
        </w:rPr>
      </w:pPr>
      <w:r w:rsidRPr="00A97D79">
        <w:rPr>
          <w:rFonts w:asciiTheme="minorHAnsi" w:hAnsiTheme="minorHAnsi"/>
        </w:rPr>
        <w:t>A single framework can support consistency across both UK and EU environments by providing a clear baseline for how AI systems are managed. This makes it easier to maintain control whe</w:t>
      </w:r>
      <w:r w:rsidR="004E3710">
        <w:rPr>
          <w:rFonts w:asciiTheme="minorHAnsi" w:hAnsiTheme="minorHAnsi"/>
        </w:rPr>
        <w:t>n</w:t>
      </w:r>
      <w:r w:rsidRPr="00A97D79">
        <w:rPr>
          <w:rFonts w:asciiTheme="minorHAnsi" w:hAnsiTheme="minorHAnsi"/>
        </w:rPr>
        <w:t xml:space="preserve"> regulatory expectations vary, while still allowing adjustments </w:t>
      </w:r>
      <w:r w:rsidR="004E3710">
        <w:rPr>
          <w:rFonts w:asciiTheme="minorHAnsi" w:hAnsiTheme="minorHAnsi"/>
        </w:rPr>
        <w:t>as</w:t>
      </w:r>
      <w:r w:rsidRPr="00A97D79">
        <w:rPr>
          <w:rFonts w:asciiTheme="minorHAnsi" w:hAnsiTheme="minorHAnsi"/>
        </w:rPr>
        <w:t xml:space="preserve"> needed (Stix, 2021).</w:t>
      </w:r>
    </w:p>
    <w:p w14:paraId="64599B14" w14:textId="7E7D1D3C" w:rsidR="00D7256F" w:rsidRDefault="006C0D14" w:rsidP="006C0D14">
      <w:pPr>
        <w:pStyle w:val="NormalWeb"/>
        <w:spacing w:line="360" w:lineRule="auto"/>
        <w:rPr>
          <w:rFonts w:asciiTheme="minorHAnsi" w:hAnsiTheme="minorHAnsi"/>
        </w:rPr>
      </w:pPr>
      <w:r w:rsidRPr="00A97D79">
        <w:rPr>
          <w:rFonts w:asciiTheme="minorHAnsi" w:hAnsiTheme="minorHAnsi"/>
        </w:rPr>
        <w:t>Using this approach strengthens oversight without limiting the ability to develop and use AI systems effectively. Clear structures and defined processes make it easier to manage risk while maintaining trust as use expands.</w:t>
      </w:r>
    </w:p>
    <w:p w14:paraId="583B7F38" w14:textId="01A899BF" w:rsidR="00CB69BE" w:rsidRPr="00CB69BE" w:rsidRDefault="00CB69BE" w:rsidP="00CB69BE">
      <w:pPr>
        <w:spacing w:line="259" w:lineRule="auto"/>
        <w:rPr>
          <w:rFonts w:eastAsia="Times New Roman" w:cs="Times New Roman"/>
          <w:sz w:val="24"/>
          <w:szCs w:val="24"/>
          <w:lang w:eastAsia="en-GB"/>
        </w:rPr>
      </w:pPr>
      <w:r>
        <w:br w:type="page"/>
      </w:r>
    </w:p>
    <w:p w14:paraId="5C9F4A1F" w14:textId="07D8BF98" w:rsidR="00D7256F" w:rsidRPr="00CB69BE" w:rsidRDefault="00D7256F" w:rsidP="00D7256F">
      <w:pPr>
        <w:pStyle w:val="Heading1"/>
        <w:rPr>
          <w:sz w:val="32"/>
          <w:szCs w:val="32"/>
        </w:rPr>
      </w:pPr>
      <w:bookmarkStart w:id="11" w:name="_Toc228186546"/>
      <w:r w:rsidRPr="00CB69BE">
        <w:rPr>
          <w:sz w:val="32"/>
          <w:szCs w:val="32"/>
        </w:rPr>
        <w:t>Conclusion</w:t>
      </w:r>
      <w:bookmarkEnd w:id="11"/>
      <w:r w:rsidRPr="00CB69BE">
        <w:rPr>
          <w:sz w:val="32"/>
          <w:szCs w:val="32"/>
        </w:rPr>
        <w:t xml:space="preserve"> </w:t>
      </w:r>
    </w:p>
    <w:p w14:paraId="32ABF610" w14:textId="77777777" w:rsidR="000856E2" w:rsidRDefault="000856E2" w:rsidP="004A7987">
      <w:pPr>
        <w:spacing w:line="259" w:lineRule="auto"/>
      </w:pPr>
    </w:p>
    <w:p w14:paraId="0A0B9005" w14:textId="183DC3FB" w:rsidR="000856E2" w:rsidRPr="00EB494F" w:rsidRDefault="000856E2" w:rsidP="000856E2">
      <w:pPr>
        <w:pStyle w:val="NormalWeb"/>
        <w:spacing w:line="360" w:lineRule="auto"/>
        <w:rPr>
          <w:rFonts w:ascii="Aptos" w:hAnsi="Aptos"/>
        </w:rPr>
      </w:pPr>
      <w:r w:rsidRPr="00EB494F">
        <w:rPr>
          <w:rFonts w:ascii="Aptos" w:hAnsi="Aptos"/>
        </w:rPr>
        <w:t>The increasing use of artificial intelligence has changed how organisations operate, especially in areas where large volumes of data and complex decisions shape performance. T</w:t>
      </w:r>
      <w:r w:rsidR="00CC24FA">
        <w:rPr>
          <w:rFonts w:ascii="Aptos" w:hAnsi="Aptos"/>
        </w:rPr>
        <w:t>he</w:t>
      </w:r>
      <w:r w:rsidRPr="00EB494F">
        <w:rPr>
          <w:rFonts w:ascii="Aptos" w:hAnsi="Aptos"/>
        </w:rPr>
        <w:t xml:space="preserve"> </w:t>
      </w:r>
      <w:r w:rsidR="001157C5">
        <w:rPr>
          <w:rFonts w:ascii="Aptos" w:hAnsi="Aptos"/>
        </w:rPr>
        <w:t>analysis</w:t>
      </w:r>
      <w:r w:rsidRPr="00EB494F">
        <w:rPr>
          <w:rFonts w:ascii="Aptos" w:hAnsi="Aptos"/>
        </w:rPr>
        <w:t xml:space="preserve"> has shown that while AI can improve efficiency and support analysis, it also introduces risks that are harder to predict and control. These risks extend beyond technical concerns and sit within governance, regulation and organisational responsibility.</w:t>
      </w:r>
    </w:p>
    <w:p w14:paraId="78A0B8E0" w14:textId="16DA0764" w:rsidR="000856E2" w:rsidRPr="00EB494F" w:rsidRDefault="000856E2" w:rsidP="000856E2">
      <w:pPr>
        <w:pStyle w:val="NormalWeb"/>
        <w:spacing w:line="360" w:lineRule="auto"/>
        <w:rPr>
          <w:rFonts w:ascii="Aptos" w:hAnsi="Aptos"/>
        </w:rPr>
      </w:pPr>
      <w:r w:rsidRPr="00EB494F">
        <w:rPr>
          <w:rFonts w:ascii="Aptos" w:hAnsi="Aptos"/>
        </w:rPr>
        <w:t>AI does not remove risk but changes how it appears. The use of AI can improve speed and consistency, but it also brings concerns around reliability, data quality and accountability. Whe</w:t>
      </w:r>
      <w:r w:rsidR="00CA517C">
        <w:rPr>
          <w:rFonts w:ascii="Aptos" w:hAnsi="Aptos"/>
        </w:rPr>
        <w:t xml:space="preserve">n </w:t>
      </w:r>
      <w:r w:rsidRPr="00EB494F">
        <w:rPr>
          <w:rFonts w:ascii="Aptos" w:hAnsi="Aptos"/>
        </w:rPr>
        <w:t>systems are not clearly understood or monitored, decision processes can become less transparent, which weakens control and can affect trust. This reflects wider concerns that increased reliance on data-driven systems can add complexity rather than reduce it (Zuboff, 2019).</w:t>
      </w:r>
    </w:p>
    <w:p w14:paraId="48E157E5" w14:textId="7213F80E" w:rsidR="000856E2" w:rsidRPr="00EB494F" w:rsidRDefault="000856E2" w:rsidP="000856E2">
      <w:pPr>
        <w:pStyle w:val="NormalWeb"/>
        <w:spacing w:line="360" w:lineRule="auto"/>
        <w:rPr>
          <w:rFonts w:ascii="Aptos" w:hAnsi="Aptos"/>
        </w:rPr>
      </w:pPr>
      <w:r w:rsidRPr="00EB494F">
        <w:rPr>
          <w:rFonts w:ascii="Aptos" w:hAnsi="Aptos"/>
        </w:rPr>
        <w:t xml:space="preserve">Data governance remains </w:t>
      </w:r>
      <w:r w:rsidR="00672852">
        <w:rPr>
          <w:rFonts w:ascii="Aptos" w:hAnsi="Aptos"/>
        </w:rPr>
        <w:t>integr</w:t>
      </w:r>
      <w:r w:rsidRPr="00EB494F">
        <w:rPr>
          <w:rFonts w:ascii="Aptos" w:hAnsi="Aptos"/>
        </w:rPr>
        <w:t>al to this. The way data is managed and maintained shapes how AI systems perform and how outcomes are interpreted. Weak controls can lead to decisions that are difficult to identify and challenge, particularly whe</w:t>
      </w:r>
      <w:r w:rsidR="00DB17B9">
        <w:rPr>
          <w:rFonts w:ascii="Aptos" w:hAnsi="Aptos"/>
        </w:rPr>
        <w:t>n</w:t>
      </w:r>
      <w:r w:rsidRPr="00EB494F">
        <w:rPr>
          <w:rFonts w:ascii="Aptos" w:hAnsi="Aptos"/>
        </w:rPr>
        <w:t xml:space="preserve"> data moves across multiple systems and teams. This highlights that the effectiveness of AI depends on organisational capability as much as the technology itself.</w:t>
      </w:r>
    </w:p>
    <w:p w14:paraId="07F5C309" w14:textId="77777777" w:rsidR="000856E2" w:rsidRPr="00EB494F" w:rsidRDefault="000856E2" w:rsidP="000856E2">
      <w:pPr>
        <w:pStyle w:val="NormalWeb"/>
        <w:spacing w:line="360" w:lineRule="auto"/>
        <w:rPr>
          <w:rFonts w:ascii="Aptos" w:hAnsi="Aptos"/>
        </w:rPr>
      </w:pPr>
      <w:r w:rsidRPr="00EB494F">
        <w:rPr>
          <w:rFonts w:ascii="Aptos" w:hAnsi="Aptos"/>
        </w:rPr>
        <w:t>Ethical issues also shape how AI is applied. Decisions that affect customers raise questions around fairness and transparency, which influence how outcomes are perceived. If decisions are unclear or difficult to explain, confidence can be affected, even when systems are functioning as intended. Addressing this depends on clear oversight and a shared understanding of acceptable outcomes.</w:t>
      </w:r>
    </w:p>
    <w:p w14:paraId="7A47F7BF" w14:textId="3B8C95A0" w:rsidR="000856E2" w:rsidRPr="00EB494F" w:rsidRDefault="000856E2" w:rsidP="000856E2">
      <w:pPr>
        <w:pStyle w:val="NormalWeb"/>
        <w:spacing w:line="360" w:lineRule="auto"/>
        <w:rPr>
          <w:rFonts w:ascii="Aptos" w:hAnsi="Aptos"/>
        </w:rPr>
      </w:pPr>
      <w:r w:rsidRPr="00EB494F">
        <w:rPr>
          <w:rFonts w:ascii="Aptos" w:hAnsi="Aptos"/>
        </w:rPr>
        <w:t>Differences between UK and EU regulation add further pressure. Organisations operating across both must respond to varying expectations, which can make consistency harder to maintain. This creates a more complex operating environment</w:t>
      </w:r>
      <w:r w:rsidR="005561E9">
        <w:rPr>
          <w:rFonts w:ascii="Aptos" w:hAnsi="Aptos"/>
        </w:rPr>
        <w:t xml:space="preserve">, in situations </w:t>
      </w:r>
      <w:r w:rsidRPr="00EB494F">
        <w:rPr>
          <w:rFonts w:ascii="Aptos" w:hAnsi="Aptos"/>
        </w:rPr>
        <w:t>where flexibility must be balanced with control.</w:t>
      </w:r>
    </w:p>
    <w:p w14:paraId="35F86588" w14:textId="6E89752B" w:rsidR="000856E2" w:rsidRPr="00EB494F" w:rsidRDefault="000856E2" w:rsidP="000856E2">
      <w:pPr>
        <w:pStyle w:val="NormalWeb"/>
        <w:spacing w:line="360" w:lineRule="auto"/>
        <w:rPr>
          <w:rFonts w:ascii="Aptos" w:hAnsi="Aptos"/>
        </w:rPr>
      </w:pPr>
      <w:r w:rsidRPr="00EB494F">
        <w:rPr>
          <w:rFonts w:ascii="Aptos" w:hAnsi="Aptos"/>
        </w:rPr>
        <w:t>The findings suggest that effective use of AI depends on how well organisations manage governance, risk and accountability alongside technological development. The recommendations and implementation plan focus on strengthening these areas, recognising that long-term value depends on maintaining control, clarity and trust as AI use continues to grow.</w:t>
      </w:r>
      <w:r w:rsidR="00876553">
        <w:rPr>
          <w:rFonts w:ascii="Aptos" w:hAnsi="Aptos"/>
        </w:rPr>
        <w:t xml:space="preserve"> This supports long-term competitive positioning by enabling AI use to scale more consistently across regulated markets.</w:t>
      </w:r>
    </w:p>
    <w:p w14:paraId="155BD1B9" w14:textId="77777777" w:rsidR="000856E2" w:rsidRPr="00520F64" w:rsidRDefault="000856E2" w:rsidP="000856E2">
      <w:pPr>
        <w:pStyle w:val="ListParagraph"/>
        <w:spacing w:line="360" w:lineRule="auto"/>
        <w:rPr>
          <w:sz w:val="24"/>
          <w:szCs w:val="24"/>
        </w:rPr>
      </w:pPr>
    </w:p>
    <w:p w14:paraId="3A5E2820" w14:textId="38C68368" w:rsidR="00D7256F" w:rsidRDefault="004A7987" w:rsidP="004A7987">
      <w:pPr>
        <w:spacing w:line="259" w:lineRule="auto"/>
      </w:pPr>
      <w:r>
        <w:br w:type="page"/>
      </w:r>
    </w:p>
    <w:p w14:paraId="4936188F" w14:textId="77777777" w:rsidR="00D7256F" w:rsidRPr="00CB69BE" w:rsidRDefault="00D7256F" w:rsidP="00D7256F">
      <w:pPr>
        <w:pStyle w:val="Heading1"/>
        <w:rPr>
          <w:sz w:val="32"/>
          <w:szCs w:val="32"/>
        </w:rPr>
      </w:pPr>
      <w:bookmarkStart w:id="12" w:name="_Toc228186547"/>
      <w:r w:rsidRPr="00CB69BE">
        <w:rPr>
          <w:sz w:val="32"/>
          <w:szCs w:val="32"/>
        </w:rPr>
        <w:t>Bibliography</w:t>
      </w:r>
      <w:bookmarkEnd w:id="12"/>
    </w:p>
    <w:p w14:paraId="3C4E2863" w14:textId="77777777" w:rsidR="00F6476A" w:rsidRDefault="00F6476A" w:rsidP="004F2991">
      <w:pPr>
        <w:spacing w:line="360" w:lineRule="auto"/>
      </w:pPr>
    </w:p>
    <w:p w14:paraId="1D7283FD" w14:textId="77777777" w:rsidR="00CB69BE" w:rsidRPr="007A7B8D" w:rsidRDefault="00CB69BE" w:rsidP="00903366">
      <w:pPr>
        <w:spacing w:before="100" w:beforeAutospacing="1" w:after="100" w:afterAutospacing="1" w:line="360" w:lineRule="auto"/>
        <w:rPr>
          <w:rFonts w:eastAsia="Times New Roman" w:cs="Times New Roman"/>
          <w:sz w:val="24"/>
          <w:szCs w:val="24"/>
          <w:lang w:eastAsia="en-GB"/>
        </w:rPr>
      </w:pPr>
      <w:r w:rsidRPr="007A7B8D">
        <w:rPr>
          <w:rFonts w:eastAsia="Times New Roman" w:cs="Times New Roman"/>
          <w:sz w:val="24"/>
          <w:szCs w:val="24"/>
          <w:lang w:eastAsia="en-GB"/>
        </w:rPr>
        <w:t xml:space="preserve">Accenture (2022) </w:t>
      </w:r>
      <w:r w:rsidRPr="007A7B8D">
        <w:rPr>
          <w:rFonts w:eastAsiaTheme="majorEastAsia" w:cs="Times New Roman"/>
          <w:i/>
          <w:iCs/>
          <w:sz w:val="24"/>
          <w:szCs w:val="24"/>
          <w:lang w:eastAsia="en-GB"/>
        </w:rPr>
        <w:t>AI: Built to scale</w:t>
      </w:r>
      <w:r w:rsidRPr="007A7B8D">
        <w:rPr>
          <w:rFonts w:eastAsia="Times New Roman" w:cs="Times New Roman"/>
          <w:sz w:val="24"/>
          <w:szCs w:val="24"/>
          <w:lang w:eastAsia="en-GB"/>
        </w:rPr>
        <w:t xml:space="preserve">. Available at: </w:t>
      </w:r>
      <w:hyperlink r:id="rId13" w:tgtFrame="_new" w:history="1">
        <w:r w:rsidRPr="007A7B8D">
          <w:rPr>
            <w:rFonts w:eastAsiaTheme="majorEastAsia" w:cs="Times New Roman"/>
            <w:color w:val="0000FF"/>
            <w:sz w:val="24"/>
            <w:szCs w:val="24"/>
            <w:u w:val="single"/>
            <w:lang w:eastAsia="en-GB"/>
          </w:rPr>
          <w:t>https://www.accenture.com</w:t>
        </w:r>
      </w:hyperlink>
      <w:r w:rsidRPr="007A7B8D">
        <w:rPr>
          <w:rFonts w:eastAsia="Times New Roman" w:cs="Times New Roman"/>
          <w:sz w:val="24"/>
          <w:szCs w:val="24"/>
          <w:lang w:eastAsia="en-GB"/>
        </w:rPr>
        <w:t xml:space="preserve"> (Accessed: 22 April 2026).</w:t>
      </w:r>
    </w:p>
    <w:p w14:paraId="4D3E5189" w14:textId="77777777" w:rsidR="00CB69BE" w:rsidRPr="0025252D" w:rsidRDefault="00CB69BE" w:rsidP="00903366">
      <w:pPr>
        <w:spacing w:before="100" w:beforeAutospacing="1" w:after="100" w:afterAutospacing="1" w:line="360" w:lineRule="auto"/>
        <w:rPr>
          <w:rFonts w:eastAsia="Times New Roman" w:cs="Times New Roman"/>
          <w:sz w:val="24"/>
          <w:szCs w:val="24"/>
          <w:lang w:eastAsia="en-GB"/>
        </w:rPr>
      </w:pPr>
      <w:r w:rsidRPr="0025252D">
        <w:rPr>
          <w:rFonts w:eastAsia="Times New Roman" w:cs="Times New Roman"/>
          <w:sz w:val="24"/>
          <w:szCs w:val="24"/>
          <w:lang w:eastAsia="en-GB"/>
        </w:rPr>
        <w:t xml:space="preserve">Amershi, S., Begel, A., Bird, C., DeLine, R., Gall, H., Kamar, E., Nagappan, N., Nushi, B. and Zimmermann, T. (2019) ‘Software engineering for machine learning: A case study’, </w:t>
      </w:r>
      <w:r w:rsidRPr="0025252D">
        <w:rPr>
          <w:rFonts w:eastAsiaTheme="majorEastAsia" w:cs="Times New Roman"/>
          <w:i/>
          <w:iCs/>
          <w:sz w:val="24"/>
          <w:szCs w:val="24"/>
          <w:lang w:eastAsia="en-GB"/>
        </w:rPr>
        <w:t>Proceedings of the 41st International Conference on Software Engineering</w:t>
      </w:r>
      <w:r w:rsidRPr="0025252D">
        <w:rPr>
          <w:rFonts w:eastAsia="Times New Roman" w:cs="Times New Roman"/>
          <w:sz w:val="24"/>
          <w:szCs w:val="24"/>
          <w:lang w:eastAsia="en-GB"/>
        </w:rPr>
        <w:t>, pp. 291–300.</w:t>
      </w:r>
    </w:p>
    <w:p w14:paraId="6ACAC7B6" w14:textId="77777777" w:rsidR="00CB69BE" w:rsidRPr="007A7B8D" w:rsidRDefault="00CB69BE" w:rsidP="00903366">
      <w:pPr>
        <w:spacing w:before="100" w:beforeAutospacing="1" w:after="100" w:afterAutospacing="1" w:line="360" w:lineRule="auto"/>
        <w:rPr>
          <w:rFonts w:eastAsia="Times New Roman" w:cs="Times New Roman"/>
          <w:sz w:val="24"/>
          <w:szCs w:val="24"/>
          <w:lang w:eastAsia="en-GB"/>
        </w:rPr>
      </w:pPr>
      <w:r w:rsidRPr="007A7B8D">
        <w:rPr>
          <w:rFonts w:eastAsia="Times New Roman" w:cs="Times New Roman"/>
          <w:sz w:val="24"/>
          <w:szCs w:val="24"/>
          <w:lang w:eastAsia="en-GB"/>
        </w:rPr>
        <w:t xml:space="preserve">Bank for International Settlements (2023) </w:t>
      </w:r>
      <w:r w:rsidRPr="007A7B8D">
        <w:rPr>
          <w:rFonts w:eastAsiaTheme="majorEastAsia" w:cs="Times New Roman"/>
          <w:i/>
          <w:iCs/>
          <w:sz w:val="24"/>
          <w:szCs w:val="24"/>
          <w:lang w:eastAsia="en-GB"/>
        </w:rPr>
        <w:t>Supervisory implications of artificial intelligence in banking</w:t>
      </w:r>
      <w:r w:rsidRPr="007A7B8D">
        <w:rPr>
          <w:rFonts w:eastAsia="Times New Roman" w:cs="Times New Roman"/>
          <w:sz w:val="24"/>
          <w:szCs w:val="24"/>
          <w:lang w:eastAsia="en-GB"/>
        </w:rPr>
        <w:t xml:space="preserve">. Available at: </w:t>
      </w:r>
      <w:hyperlink r:id="rId14" w:tgtFrame="_new" w:history="1">
        <w:r w:rsidRPr="007A7B8D">
          <w:rPr>
            <w:rFonts w:eastAsiaTheme="majorEastAsia" w:cs="Times New Roman"/>
            <w:color w:val="0000FF"/>
            <w:sz w:val="24"/>
            <w:szCs w:val="24"/>
            <w:u w:val="single"/>
            <w:lang w:eastAsia="en-GB"/>
          </w:rPr>
          <w:t>https://www.bis.org</w:t>
        </w:r>
      </w:hyperlink>
      <w:r w:rsidRPr="007A7B8D">
        <w:rPr>
          <w:rFonts w:eastAsia="Times New Roman" w:cs="Times New Roman"/>
          <w:sz w:val="24"/>
          <w:szCs w:val="24"/>
          <w:lang w:eastAsia="en-GB"/>
        </w:rPr>
        <w:t xml:space="preserve"> (Accessed: 22 April 2026).</w:t>
      </w:r>
    </w:p>
    <w:p w14:paraId="005C943F" w14:textId="77777777" w:rsidR="00CB69BE" w:rsidRPr="007A7B8D" w:rsidRDefault="00CB69BE" w:rsidP="00903366">
      <w:pPr>
        <w:spacing w:before="100" w:beforeAutospacing="1" w:after="100" w:afterAutospacing="1" w:line="360" w:lineRule="auto"/>
        <w:rPr>
          <w:rFonts w:eastAsia="Times New Roman" w:cs="Times New Roman"/>
          <w:sz w:val="24"/>
          <w:szCs w:val="24"/>
          <w:lang w:eastAsia="en-GB"/>
        </w:rPr>
      </w:pPr>
      <w:r w:rsidRPr="007A7B8D">
        <w:rPr>
          <w:rFonts w:eastAsia="Times New Roman" w:cs="Times New Roman"/>
          <w:sz w:val="24"/>
          <w:szCs w:val="24"/>
          <w:lang w:eastAsia="en-GB"/>
        </w:rPr>
        <w:t xml:space="preserve">Bank of England (2023) </w:t>
      </w:r>
      <w:r w:rsidRPr="007A7B8D">
        <w:rPr>
          <w:rFonts w:eastAsiaTheme="majorEastAsia" w:cs="Times New Roman"/>
          <w:i/>
          <w:iCs/>
          <w:sz w:val="24"/>
          <w:szCs w:val="24"/>
          <w:lang w:eastAsia="en-GB"/>
        </w:rPr>
        <w:t>Supervisory expectations for AI and model risk</w:t>
      </w:r>
      <w:r w:rsidRPr="007A7B8D">
        <w:rPr>
          <w:rFonts w:eastAsia="Times New Roman" w:cs="Times New Roman"/>
          <w:sz w:val="24"/>
          <w:szCs w:val="24"/>
          <w:lang w:eastAsia="en-GB"/>
        </w:rPr>
        <w:t xml:space="preserve">. Available at: </w:t>
      </w:r>
      <w:hyperlink r:id="rId15" w:tgtFrame="_new" w:history="1">
        <w:r w:rsidRPr="007A7B8D">
          <w:rPr>
            <w:rFonts w:eastAsiaTheme="majorEastAsia" w:cs="Times New Roman"/>
            <w:color w:val="0000FF"/>
            <w:sz w:val="24"/>
            <w:szCs w:val="24"/>
            <w:u w:val="single"/>
            <w:lang w:eastAsia="en-GB"/>
          </w:rPr>
          <w:t>https://www.bankofengland.co.uk</w:t>
        </w:r>
      </w:hyperlink>
    </w:p>
    <w:p w14:paraId="7AAFE390" w14:textId="77777777" w:rsidR="00CB69BE" w:rsidRPr="007A7B8D" w:rsidRDefault="00CB69BE" w:rsidP="00903366">
      <w:pPr>
        <w:spacing w:before="100" w:beforeAutospacing="1" w:after="100" w:afterAutospacing="1" w:line="360" w:lineRule="auto"/>
        <w:rPr>
          <w:rFonts w:eastAsia="Times New Roman" w:cs="Times New Roman"/>
          <w:sz w:val="24"/>
          <w:szCs w:val="24"/>
          <w:lang w:eastAsia="en-GB"/>
        </w:rPr>
      </w:pPr>
      <w:r w:rsidRPr="007A7B8D">
        <w:rPr>
          <w:rFonts w:eastAsia="Times New Roman" w:cs="Times New Roman"/>
          <w:sz w:val="24"/>
          <w:szCs w:val="24"/>
          <w:lang w:eastAsia="en-GB"/>
        </w:rPr>
        <w:t xml:space="preserve">Basel Committee on Banking Supervision (2023) </w:t>
      </w:r>
      <w:r w:rsidRPr="007A7B8D">
        <w:rPr>
          <w:rFonts w:eastAsiaTheme="majorEastAsia" w:cs="Times New Roman"/>
          <w:i/>
          <w:iCs/>
          <w:sz w:val="24"/>
          <w:szCs w:val="24"/>
          <w:lang w:eastAsia="en-GB"/>
        </w:rPr>
        <w:t>Principles for effective risk data aggregation and risk reporting</w:t>
      </w:r>
      <w:r w:rsidRPr="007A7B8D">
        <w:rPr>
          <w:rFonts w:eastAsia="Times New Roman" w:cs="Times New Roman"/>
          <w:sz w:val="24"/>
          <w:szCs w:val="24"/>
          <w:lang w:eastAsia="en-GB"/>
        </w:rPr>
        <w:t xml:space="preserve">. Available at: </w:t>
      </w:r>
      <w:hyperlink r:id="rId16" w:tgtFrame="_new" w:history="1">
        <w:r w:rsidRPr="007A7B8D">
          <w:rPr>
            <w:rFonts w:eastAsiaTheme="majorEastAsia" w:cs="Times New Roman"/>
            <w:color w:val="0000FF"/>
            <w:sz w:val="24"/>
            <w:szCs w:val="24"/>
            <w:u w:val="single"/>
            <w:lang w:eastAsia="en-GB"/>
          </w:rPr>
          <w:t>https://www.bis.org</w:t>
        </w:r>
      </w:hyperlink>
      <w:r w:rsidRPr="007A7B8D">
        <w:rPr>
          <w:rFonts w:eastAsia="Times New Roman" w:cs="Times New Roman"/>
          <w:sz w:val="24"/>
          <w:szCs w:val="24"/>
          <w:lang w:eastAsia="en-GB"/>
        </w:rPr>
        <w:t xml:space="preserve"> (Accessed: 22 April 2026).</w:t>
      </w:r>
    </w:p>
    <w:p w14:paraId="48BA11BC" w14:textId="77777777" w:rsidR="00CB69BE" w:rsidRPr="007A7B8D" w:rsidRDefault="00CB69BE" w:rsidP="00903366">
      <w:pPr>
        <w:spacing w:before="100" w:beforeAutospacing="1" w:after="100" w:afterAutospacing="1" w:line="360" w:lineRule="auto"/>
        <w:rPr>
          <w:rFonts w:eastAsia="Times New Roman" w:cs="Times New Roman"/>
          <w:sz w:val="24"/>
          <w:szCs w:val="24"/>
          <w:lang w:eastAsia="en-GB"/>
        </w:rPr>
      </w:pPr>
      <w:r w:rsidRPr="007A7B8D">
        <w:rPr>
          <w:rFonts w:eastAsia="Times New Roman" w:cs="Times New Roman"/>
          <w:sz w:val="24"/>
          <w:szCs w:val="24"/>
          <w:lang w:eastAsia="en-GB"/>
        </w:rPr>
        <w:t xml:space="preserve">Brynjolfsson, E., Rock, D. and Syverson, C. (2021) ‘The productivity J-curve: How intangibles complement general purpose technologies’, </w:t>
      </w:r>
      <w:r w:rsidRPr="007A7B8D">
        <w:rPr>
          <w:rFonts w:eastAsiaTheme="majorEastAsia" w:cs="Times New Roman"/>
          <w:i/>
          <w:iCs/>
          <w:sz w:val="24"/>
          <w:szCs w:val="24"/>
          <w:lang w:eastAsia="en-GB"/>
        </w:rPr>
        <w:t>American Economic Journal: Macroeconomics</w:t>
      </w:r>
      <w:r w:rsidRPr="007A7B8D">
        <w:rPr>
          <w:rFonts w:eastAsia="Times New Roman" w:cs="Times New Roman"/>
          <w:sz w:val="24"/>
          <w:szCs w:val="24"/>
          <w:lang w:eastAsia="en-GB"/>
        </w:rPr>
        <w:t>, 13(1), pp. 333–372.</w:t>
      </w:r>
    </w:p>
    <w:p w14:paraId="25473C47" w14:textId="77777777" w:rsidR="00CB69BE" w:rsidRPr="007A7B8D" w:rsidRDefault="00CB69BE" w:rsidP="00903366">
      <w:pPr>
        <w:spacing w:before="100" w:beforeAutospacing="1" w:after="100" w:afterAutospacing="1" w:line="360" w:lineRule="auto"/>
        <w:rPr>
          <w:rFonts w:eastAsia="Times New Roman" w:cs="Times New Roman"/>
          <w:sz w:val="24"/>
          <w:szCs w:val="24"/>
          <w:lang w:eastAsia="en-GB"/>
        </w:rPr>
      </w:pPr>
      <w:r w:rsidRPr="007A7B8D">
        <w:rPr>
          <w:rFonts w:eastAsia="Times New Roman" w:cs="Times New Roman"/>
          <w:sz w:val="24"/>
          <w:szCs w:val="24"/>
          <w:lang w:eastAsia="en-GB"/>
        </w:rPr>
        <w:t xml:space="preserve">Bughin, J., Seong, J., Manyika, J., Chui, M. and Joshi, R. (2018) </w:t>
      </w:r>
      <w:r w:rsidRPr="007A7B8D">
        <w:rPr>
          <w:rFonts w:eastAsiaTheme="majorEastAsia" w:cs="Times New Roman"/>
          <w:i/>
          <w:iCs/>
          <w:sz w:val="24"/>
          <w:szCs w:val="24"/>
          <w:lang w:eastAsia="en-GB"/>
        </w:rPr>
        <w:t>Notes from the AI frontier: Modelling the impact of AI on the world economy</w:t>
      </w:r>
      <w:r w:rsidRPr="007A7B8D">
        <w:rPr>
          <w:rFonts w:eastAsia="Times New Roman" w:cs="Times New Roman"/>
          <w:sz w:val="24"/>
          <w:szCs w:val="24"/>
          <w:lang w:eastAsia="en-GB"/>
        </w:rPr>
        <w:t>. McKinsey Global Institute.</w:t>
      </w:r>
    </w:p>
    <w:p w14:paraId="38E0479C" w14:textId="77777777" w:rsidR="00CB69BE" w:rsidRPr="0025252D" w:rsidRDefault="00CB69BE" w:rsidP="00903366">
      <w:pPr>
        <w:spacing w:before="100" w:beforeAutospacing="1" w:after="100" w:afterAutospacing="1" w:line="360" w:lineRule="auto"/>
        <w:rPr>
          <w:rFonts w:eastAsia="Times New Roman" w:cs="Times New Roman"/>
          <w:sz w:val="24"/>
          <w:szCs w:val="24"/>
          <w:lang w:eastAsia="en-GB"/>
        </w:rPr>
      </w:pPr>
      <w:r w:rsidRPr="0025252D">
        <w:rPr>
          <w:rFonts w:eastAsia="Times New Roman" w:cs="Times New Roman"/>
          <w:sz w:val="24"/>
          <w:szCs w:val="24"/>
          <w:lang w:eastAsia="en-GB"/>
        </w:rPr>
        <w:t xml:space="preserve">Deloitte (2022) </w:t>
      </w:r>
      <w:r w:rsidRPr="0025252D">
        <w:rPr>
          <w:rFonts w:eastAsiaTheme="majorEastAsia" w:cs="Times New Roman"/>
          <w:i/>
          <w:iCs/>
          <w:sz w:val="24"/>
          <w:szCs w:val="24"/>
          <w:lang w:eastAsia="en-GB"/>
        </w:rPr>
        <w:t>Trust in artificial intelligence: Global insights</w:t>
      </w:r>
      <w:r w:rsidRPr="0025252D">
        <w:rPr>
          <w:rFonts w:eastAsia="Times New Roman" w:cs="Times New Roman"/>
          <w:sz w:val="24"/>
          <w:szCs w:val="24"/>
          <w:lang w:eastAsia="en-GB"/>
        </w:rPr>
        <w:t xml:space="preserve">. Available at: </w:t>
      </w:r>
      <w:hyperlink r:id="rId17" w:tgtFrame="_new" w:history="1">
        <w:r w:rsidRPr="0025252D">
          <w:rPr>
            <w:rFonts w:eastAsiaTheme="majorEastAsia" w:cs="Times New Roman"/>
            <w:color w:val="0000FF"/>
            <w:sz w:val="24"/>
            <w:szCs w:val="24"/>
            <w:u w:val="single"/>
            <w:lang w:eastAsia="en-GB"/>
          </w:rPr>
          <w:t>https://www.deloitte.com</w:t>
        </w:r>
      </w:hyperlink>
      <w:r w:rsidRPr="0025252D">
        <w:rPr>
          <w:rFonts w:eastAsia="Times New Roman" w:cs="Times New Roman"/>
          <w:sz w:val="24"/>
          <w:szCs w:val="24"/>
          <w:lang w:eastAsia="en-GB"/>
        </w:rPr>
        <w:t xml:space="preserve"> (Accessed: 23 April 2026).</w:t>
      </w:r>
    </w:p>
    <w:p w14:paraId="0F280105" w14:textId="77777777" w:rsidR="00CB69BE" w:rsidRPr="007A7B8D" w:rsidRDefault="00CB69BE" w:rsidP="00903366">
      <w:pPr>
        <w:spacing w:before="100" w:beforeAutospacing="1" w:after="100" w:afterAutospacing="1" w:line="360" w:lineRule="auto"/>
        <w:rPr>
          <w:rFonts w:eastAsia="Times New Roman" w:cs="Times New Roman"/>
          <w:sz w:val="24"/>
          <w:szCs w:val="24"/>
          <w:lang w:eastAsia="en-GB"/>
        </w:rPr>
      </w:pPr>
      <w:r w:rsidRPr="007A7B8D">
        <w:rPr>
          <w:rFonts w:eastAsia="Times New Roman" w:cs="Times New Roman"/>
          <w:sz w:val="24"/>
          <w:szCs w:val="24"/>
          <w:lang w:eastAsia="en-GB"/>
        </w:rPr>
        <w:t xml:space="preserve">Deloitte (2023) </w:t>
      </w:r>
      <w:r w:rsidRPr="007A7B8D">
        <w:rPr>
          <w:rFonts w:eastAsiaTheme="majorEastAsia" w:cs="Times New Roman"/>
          <w:i/>
          <w:iCs/>
          <w:sz w:val="24"/>
          <w:szCs w:val="24"/>
          <w:lang w:eastAsia="en-GB"/>
        </w:rPr>
        <w:t>State of AI in financial services: Driving value through responsible AI</w:t>
      </w:r>
      <w:r w:rsidRPr="007A7B8D">
        <w:rPr>
          <w:rFonts w:eastAsia="Times New Roman" w:cs="Times New Roman"/>
          <w:sz w:val="24"/>
          <w:szCs w:val="24"/>
          <w:lang w:eastAsia="en-GB"/>
        </w:rPr>
        <w:t xml:space="preserve">. Available at: </w:t>
      </w:r>
      <w:hyperlink r:id="rId18" w:tgtFrame="_new" w:history="1">
        <w:r w:rsidRPr="007A7B8D">
          <w:rPr>
            <w:rFonts w:eastAsiaTheme="majorEastAsia" w:cs="Times New Roman"/>
            <w:color w:val="0000FF"/>
            <w:sz w:val="24"/>
            <w:szCs w:val="24"/>
            <w:u w:val="single"/>
            <w:lang w:eastAsia="en-GB"/>
          </w:rPr>
          <w:t>https://www2.deloitte.com</w:t>
        </w:r>
      </w:hyperlink>
      <w:r w:rsidRPr="007A7B8D">
        <w:rPr>
          <w:rFonts w:eastAsia="Times New Roman" w:cs="Times New Roman"/>
          <w:sz w:val="24"/>
          <w:szCs w:val="24"/>
          <w:lang w:eastAsia="en-GB"/>
        </w:rPr>
        <w:t xml:space="preserve"> (Accessed: 12 April 2026).</w:t>
      </w:r>
    </w:p>
    <w:p w14:paraId="0CBBCC06" w14:textId="77777777" w:rsidR="00CB69BE" w:rsidRPr="0025252D" w:rsidRDefault="00CB69BE" w:rsidP="00903366">
      <w:pPr>
        <w:spacing w:before="100" w:beforeAutospacing="1" w:after="100" w:afterAutospacing="1" w:line="360" w:lineRule="auto"/>
        <w:rPr>
          <w:rFonts w:eastAsia="Times New Roman" w:cs="Times New Roman"/>
          <w:sz w:val="24"/>
          <w:szCs w:val="24"/>
          <w:lang w:eastAsia="en-GB"/>
        </w:rPr>
      </w:pPr>
      <w:r w:rsidRPr="0025252D">
        <w:rPr>
          <w:rFonts w:eastAsia="Times New Roman" w:cs="Times New Roman"/>
          <w:sz w:val="24"/>
          <w:szCs w:val="24"/>
          <w:lang w:eastAsia="en-GB"/>
        </w:rPr>
        <w:t xml:space="preserve">Department for Science, Innovation and Technology (2023) </w:t>
      </w:r>
      <w:r w:rsidRPr="0025252D">
        <w:rPr>
          <w:rFonts w:eastAsiaTheme="majorEastAsia" w:cs="Times New Roman"/>
          <w:i/>
          <w:iCs/>
          <w:sz w:val="24"/>
          <w:szCs w:val="24"/>
          <w:lang w:eastAsia="en-GB"/>
        </w:rPr>
        <w:t>A pro-innovation approach to AI regulation</w:t>
      </w:r>
      <w:r w:rsidRPr="0025252D">
        <w:rPr>
          <w:rFonts w:eastAsia="Times New Roman" w:cs="Times New Roman"/>
          <w:sz w:val="24"/>
          <w:szCs w:val="24"/>
          <w:lang w:eastAsia="en-GB"/>
        </w:rPr>
        <w:t xml:space="preserve">. Available at: </w:t>
      </w:r>
      <w:hyperlink r:id="rId19" w:tgtFrame="_new" w:history="1">
        <w:r w:rsidRPr="0025252D">
          <w:rPr>
            <w:rFonts w:eastAsiaTheme="majorEastAsia" w:cs="Times New Roman"/>
            <w:color w:val="0000FF"/>
            <w:sz w:val="24"/>
            <w:szCs w:val="24"/>
            <w:u w:val="single"/>
            <w:lang w:eastAsia="en-GB"/>
          </w:rPr>
          <w:t>https://www.gov.uk</w:t>
        </w:r>
      </w:hyperlink>
      <w:r w:rsidRPr="0025252D">
        <w:rPr>
          <w:rFonts w:eastAsia="Times New Roman" w:cs="Times New Roman"/>
          <w:sz w:val="24"/>
          <w:szCs w:val="24"/>
          <w:lang w:eastAsia="en-GB"/>
        </w:rPr>
        <w:t xml:space="preserve"> (Accessed: 23 April 2026).</w:t>
      </w:r>
    </w:p>
    <w:p w14:paraId="1B8EC64B" w14:textId="77777777" w:rsidR="00CB69BE" w:rsidRPr="008D7599" w:rsidRDefault="00CB69BE" w:rsidP="00903366">
      <w:pPr>
        <w:pStyle w:val="NormalWeb"/>
        <w:spacing w:line="360" w:lineRule="auto"/>
        <w:rPr>
          <w:rFonts w:asciiTheme="minorHAnsi" w:hAnsiTheme="minorHAnsi"/>
        </w:rPr>
      </w:pPr>
      <w:r w:rsidRPr="008D7599">
        <w:rPr>
          <w:rFonts w:asciiTheme="minorHAnsi" w:hAnsiTheme="minorHAnsi"/>
        </w:rPr>
        <w:t xml:space="preserve">Dignum, V. (2019) </w:t>
      </w:r>
      <w:r w:rsidRPr="008D7599">
        <w:rPr>
          <w:rStyle w:val="Emphasis"/>
          <w:rFonts w:asciiTheme="minorHAnsi" w:eastAsiaTheme="majorEastAsia" w:hAnsiTheme="minorHAnsi"/>
        </w:rPr>
        <w:t>Responsible Artificial Intelligence: How to Develop and Use AI in a Responsible Way</w:t>
      </w:r>
      <w:r w:rsidRPr="008D7599">
        <w:rPr>
          <w:rFonts w:asciiTheme="minorHAnsi" w:hAnsiTheme="minorHAnsi"/>
        </w:rPr>
        <w:t>. Cham: Springer.</w:t>
      </w:r>
    </w:p>
    <w:p w14:paraId="4F59E2FE" w14:textId="77777777" w:rsidR="00CB69BE" w:rsidRPr="007A7B8D" w:rsidRDefault="00CB69BE" w:rsidP="00903366">
      <w:pPr>
        <w:spacing w:before="100" w:beforeAutospacing="1" w:after="100" w:afterAutospacing="1" w:line="360" w:lineRule="auto"/>
        <w:rPr>
          <w:rFonts w:eastAsia="Times New Roman" w:cs="Times New Roman"/>
          <w:sz w:val="24"/>
          <w:szCs w:val="24"/>
          <w:lang w:eastAsia="en-GB"/>
        </w:rPr>
      </w:pPr>
      <w:r w:rsidRPr="007A7B8D">
        <w:rPr>
          <w:rFonts w:eastAsia="Times New Roman" w:cs="Times New Roman"/>
          <w:sz w:val="24"/>
          <w:szCs w:val="24"/>
          <w:lang w:eastAsia="en-GB"/>
        </w:rPr>
        <w:t xml:space="preserve">European Banking Authority (2021) </w:t>
      </w:r>
      <w:r w:rsidRPr="007A7B8D">
        <w:rPr>
          <w:rFonts w:eastAsiaTheme="majorEastAsia" w:cs="Times New Roman"/>
          <w:i/>
          <w:iCs/>
          <w:sz w:val="24"/>
          <w:szCs w:val="24"/>
          <w:lang w:eastAsia="en-GB"/>
        </w:rPr>
        <w:t>Report on machine learning in EU banking sector</w:t>
      </w:r>
      <w:r w:rsidRPr="007A7B8D">
        <w:rPr>
          <w:rFonts w:eastAsia="Times New Roman" w:cs="Times New Roman"/>
          <w:sz w:val="24"/>
          <w:szCs w:val="24"/>
          <w:lang w:eastAsia="en-GB"/>
        </w:rPr>
        <w:t xml:space="preserve">. Available at: </w:t>
      </w:r>
      <w:hyperlink r:id="rId20" w:tgtFrame="_new" w:history="1">
        <w:r w:rsidRPr="007A7B8D">
          <w:rPr>
            <w:rFonts w:eastAsiaTheme="majorEastAsia" w:cs="Times New Roman"/>
            <w:color w:val="0000FF"/>
            <w:sz w:val="24"/>
            <w:szCs w:val="24"/>
            <w:u w:val="single"/>
            <w:lang w:eastAsia="en-GB"/>
          </w:rPr>
          <w:t>https://www.eba.europa.eu</w:t>
        </w:r>
      </w:hyperlink>
      <w:r w:rsidRPr="007A7B8D">
        <w:rPr>
          <w:rFonts w:eastAsia="Times New Roman" w:cs="Times New Roman"/>
          <w:sz w:val="24"/>
          <w:szCs w:val="24"/>
          <w:lang w:eastAsia="en-GB"/>
        </w:rPr>
        <w:t xml:space="preserve"> (Accessed: 22 April 2026).</w:t>
      </w:r>
    </w:p>
    <w:p w14:paraId="46660982" w14:textId="77777777" w:rsidR="00CB69BE" w:rsidRPr="004F2991" w:rsidRDefault="00CB69BE" w:rsidP="00903366">
      <w:pPr>
        <w:spacing w:before="100" w:beforeAutospacing="1" w:after="100" w:afterAutospacing="1" w:line="360" w:lineRule="auto"/>
        <w:rPr>
          <w:rFonts w:eastAsia="Times New Roman" w:cs="Times New Roman"/>
          <w:sz w:val="24"/>
          <w:szCs w:val="24"/>
          <w:lang w:eastAsia="en-GB"/>
        </w:rPr>
      </w:pPr>
      <w:r w:rsidRPr="004F2991">
        <w:rPr>
          <w:rFonts w:eastAsia="Times New Roman" w:cs="Times New Roman"/>
          <w:sz w:val="24"/>
          <w:szCs w:val="24"/>
          <w:lang w:eastAsia="en-GB"/>
        </w:rPr>
        <w:t xml:space="preserve">European Central Bank (2023) </w:t>
      </w:r>
      <w:r w:rsidRPr="004F2991">
        <w:rPr>
          <w:rFonts w:eastAsiaTheme="majorEastAsia" w:cs="Times New Roman"/>
          <w:i/>
          <w:iCs/>
          <w:sz w:val="24"/>
          <w:szCs w:val="24"/>
          <w:lang w:eastAsia="en-GB"/>
        </w:rPr>
        <w:t>Artificial intelligence and the future of banking supervision</w:t>
      </w:r>
      <w:r w:rsidRPr="004F2991">
        <w:rPr>
          <w:rFonts w:eastAsia="Times New Roman" w:cs="Times New Roman"/>
          <w:sz w:val="24"/>
          <w:szCs w:val="24"/>
          <w:lang w:eastAsia="en-GB"/>
        </w:rPr>
        <w:t xml:space="preserve">. Available at: </w:t>
      </w:r>
      <w:hyperlink r:id="rId21" w:tgtFrame="_new" w:history="1">
        <w:r w:rsidRPr="004F2991">
          <w:rPr>
            <w:rFonts w:eastAsiaTheme="majorEastAsia" w:cs="Times New Roman"/>
            <w:color w:val="0000FF"/>
            <w:sz w:val="24"/>
            <w:szCs w:val="24"/>
            <w:u w:val="single"/>
            <w:lang w:eastAsia="en-GB"/>
          </w:rPr>
          <w:t>https://www.ecb.europa.eu</w:t>
        </w:r>
      </w:hyperlink>
    </w:p>
    <w:p w14:paraId="538794E5" w14:textId="77777777" w:rsidR="00CB69BE" w:rsidRPr="007A7B8D" w:rsidRDefault="00CB69BE" w:rsidP="00903366">
      <w:pPr>
        <w:spacing w:before="100" w:beforeAutospacing="1" w:after="100" w:afterAutospacing="1" w:line="360" w:lineRule="auto"/>
        <w:rPr>
          <w:rFonts w:eastAsia="Times New Roman" w:cs="Times New Roman"/>
          <w:sz w:val="24"/>
          <w:szCs w:val="24"/>
          <w:lang w:eastAsia="en-GB"/>
        </w:rPr>
      </w:pPr>
      <w:r w:rsidRPr="007A7B8D">
        <w:rPr>
          <w:rFonts w:eastAsia="Times New Roman" w:cs="Times New Roman"/>
          <w:sz w:val="24"/>
          <w:szCs w:val="24"/>
          <w:lang w:eastAsia="en-GB"/>
        </w:rPr>
        <w:t xml:space="preserve">European Commission (2024) </w:t>
      </w:r>
      <w:r w:rsidRPr="007A7B8D">
        <w:rPr>
          <w:rFonts w:eastAsiaTheme="majorEastAsia" w:cs="Times New Roman"/>
          <w:i/>
          <w:iCs/>
          <w:sz w:val="24"/>
          <w:szCs w:val="24"/>
          <w:lang w:eastAsia="en-GB"/>
        </w:rPr>
        <w:t>Artificial Intelligence Act</w:t>
      </w:r>
      <w:r w:rsidRPr="007A7B8D">
        <w:rPr>
          <w:rFonts w:eastAsia="Times New Roman" w:cs="Times New Roman"/>
          <w:sz w:val="24"/>
          <w:szCs w:val="24"/>
          <w:lang w:eastAsia="en-GB"/>
        </w:rPr>
        <w:t>. Available at: https://digital-strategy.ec.europa.eu (Accessed: 06 April 2026).</w:t>
      </w:r>
    </w:p>
    <w:p w14:paraId="1367F8C6" w14:textId="77777777" w:rsidR="00CB69BE" w:rsidRPr="007A7B8D" w:rsidRDefault="00CB69BE" w:rsidP="00903366">
      <w:pPr>
        <w:spacing w:before="100" w:beforeAutospacing="1" w:after="100" w:afterAutospacing="1" w:line="360" w:lineRule="auto"/>
        <w:rPr>
          <w:rFonts w:eastAsia="Times New Roman" w:cs="Times New Roman"/>
          <w:sz w:val="24"/>
          <w:szCs w:val="24"/>
          <w:lang w:eastAsia="en-GB"/>
        </w:rPr>
      </w:pPr>
      <w:r w:rsidRPr="007A7B8D">
        <w:rPr>
          <w:rFonts w:eastAsia="Times New Roman" w:cs="Times New Roman"/>
          <w:sz w:val="24"/>
          <w:szCs w:val="24"/>
          <w:lang w:eastAsia="en-GB"/>
        </w:rPr>
        <w:t xml:space="preserve">European Data Protection Board (2022) </w:t>
      </w:r>
      <w:r w:rsidRPr="007A7B8D">
        <w:rPr>
          <w:rFonts w:eastAsiaTheme="majorEastAsia" w:cs="Times New Roman"/>
          <w:i/>
          <w:iCs/>
          <w:sz w:val="24"/>
          <w:szCs w:val="24"/>
          <w:lang w:eastAsia="en-GB"/>
        </w:rPr>
        <w:t>Guidelines on personal data transfers under the GDPR</w:t>
      </w:r>
      <w:r w:rsidRPr="007A7B8D">
        <w:rPr>
          <w:rFonts w:eastAsia="Times New Roman" w:cs="Times New Roman"/>
          <w:sz w:val="24"/>
          <w:szCs w:val="24"/>
          <w:lang w:eastAsia="en-GB"/>
        </w:rPr>
        <w:t xml:space="preserve">. Available at: </w:t>
      </w:r>
      <w:hyperlink r:id="rId22" w:tgtFrame="_new" w:history="1">
        <w:r w:rsidRPr="007A7B8D">
          <w:rPr>
            <w:rFonts w:eastAsiaTheme="majorEastAsia" w:cs="Times New Roman"/>
            <w:color w:val="0000FF"/>
            <w:sz w:val="24"/>
            <w:szCs w:val="24"/>
            <w:u w:val="single"/>
            <w:lang w:eastAsia="en-GB"/>
          </w:rPr>
          <w:t>https://www.edpb.europa.eu</w:t>
        </w:r>
      </w:hyperlink>
      <w:r w:rsidRPr="007A7B8D">
        <w:rPr>
          <w:rFonts w:eastAsia="Times New Roman" w:cs="Times New Roman"/>
          <w:sz w:val="24"/>
          <w:szCs w:val="24"/>
          <w:lang w:eastAsia="en-GB"/>
        </w:rPr>
        <w:t xml:space="preserve"> (Accessed: 22 April 2026).</w:t>
      </w:r>
    </w:p>
    <w:p w14:paraId="16BF86C5" w14:textId="77777777" w:rsidR="00CB69BE" w:rsidRPr="0025252D" w:rsidRDefault="00CB69BE" w:rsidP="00903366">
      <w:pPr>
        <w:spacing w:before="100" w:beforeAutospacing="1" w:after="100" w:afterAutospacing="1" w:line="360" w:lineRule="auto"/>
        <w:rPr>
          <w:rFonts w:eastAsia="Times New Roman" w:cs="Times New Roman"/>
          <w:sz w:val="24"/>
          <w:szCs w:val="24"/>
          <w:lang w:eastAsia="en-GB"/>
        </w:rPr>
      </w:pPr>
      <w:r w:rsidRPr="0025252D">
        <w:rPr>
          <w:rFonts w:eastAsia="Times New Roman" w:cs="Times New Roman"/>
          <w:sz w:val="24"/>
          <w:szCs w:val="24"/>
          <w:lang w:eastAsia="en-GB"/>
        </w:rPr>
        <w:t xml:space="preserve">European Parliament (2024) </w:t>
      </w:r>
      <w:r w:rsidRPr="0025252D">
        <w:rPr>
          <w:rFonts w:eastAsiaTheme="majorEastAsia" w:cs="Times New Roman"/>
          <w:i/>
          <w:iCs/>
          <w:sz w:val="24"/>
          <w:szCs w:val="24"/>
          <w:lang w:eastAsia="en-GB"/>
        </w:rPr>
        <w:t>Artificial Intelligence Act</w:t>
      </w:r>
      <w:r w:rsidRPr="0025252D">
        <w:rPr>
          <w:rFonts w:eastAsia="Times New Roman" w:cs="Times New Roman"/>
          <w:sz w:val="24"/>
          <w:szCs w:val="24"/>
          <w:lang w:eastAsia="en-GB"/>
        </w:rPr>
        <w:t xml:space="preserve">. Available at: </w:t>
      </w:r>
      <w:hyperlink r:id="rId23" w:tgtFrame="_new" w:history="1">
        <w:r w:rsidRPr="0025252D">
          <w:rPr>
            <w:rFonts w:eastAsiaTheme="majorEastAsia" w:cs="Times New Roman"/>
            <w:color w:val="0000FF"/>
            <w:sz w:val="24"/>
            <w:szCs w:val="24"/>
            <w:u w:val="single"/>
            <w:lang w:eastAsia="en-GB"/>
          </w:rPr>
          <w:t>https://www.europarl.europa.eu</w:t>
        </w:r>
      </w:hyperlink>
      <w:r w:rsidRPr="0025252D">
        <w:rPr>
          <w:rFonts w:eastAsia="Times New Roman" w:cs="Times New Roman"/>
          <w:sz w:val="24"/>
          <w:szCs w:val="24"/>
          <w:lang w:eastAsia="en-GB"/>
        </w:rPr>
        <w:t xml:space="preserve"> (Accessed: 23 April 2026).</w:t>
      </w:r>
    </w:p>
    <w:p w14:paraId="4CA1E7F1" w14:textId="77777777" w:rsidR="00CB69BE" w:rsidRPr="004F2991" w:rsidRDefault="00CB69BE" w:rsidP="00903366">
      <w:pPr>
        <w:spacing w:before="100" w:beforeAutospacing="1" w:after="100" w:afterAutospacing="1" w:line="360" w:lineRule="auto"/>
        <w:rPr>
          <w:rFonts w:eastAsia="Times New Roman" w:cs="Times New Roman"/>
          <w:sz w:val="24"/>
          <w:szCs w:val="24"/>
          <w:lang w:eastAsia="en-GB"/>
        </w:rPr>
      </w:pPr>
      <w:r w:rsidRPr="004F2991">
        <w:rPr>
          <w:rFonts w:eastAsia="Times New Roman" w:cs="Times New Roman"/>
          <w:sz w:val="24"/>
          <w:szCs w:val="24"/>
          <w:lang w:eastAsia="en-GB"/>
        </w:rPr>
        <w:t xml:space="preserve">EY (2024) </w:t>
      </w:r>
      <w:r w:rsidRPr="004F2991">
        <w:rPr>
          <w:rFonts w:eastAsiaTheme="majorEastAsia" w:cs="Times New Roman"/>
          <w:i/>
          <w:iCs/>
          <w:sz w:val="24"/>
          <w:szCs w:val="24"/>
          <w:lang w:eastAsia="en-GB"/>
        </w:rPr>
        <w:t>EU AI Act: Implications for financial services organisations</w:t>
      </w:r>
      <w:r w:rsidRPr="004F2991">
        <w:rPr>
          <w:rFonts w:eastAsia="Times New Roman" w:cs="Times New Roman"/>
          <w:sz w:val="24"/>
          <w:szCs w:val="24"/>
          <w:lang w:eastAsia="en-GB"/>
        </w:rPr>
        <w:t xml:space="preserve">. Available at: </w:t>
      </w:r>
      <w:hyperlink r:id="rId24" w:tgtFrame="_new" w:history="1">
        <w:r w:rsidRPr="004F2991">
          <w:rPr>
            <w:rFonts w:eastAsiaTheme="majorEastAsia" w:cs="Times New Roman"/>
            <w:color w:val="0000FF"/>
            <w:sz w:val="24"/>
            <w:szCs w:val="24"/>
            <w:u w:val="single"/>
            <w:lang w:eastAsia="en-GB"/>
          </w:rPr>
          <w:t>https://www.ey.com</w:t>
        </w:r>
      </w:hyperlink>
    </w:p>
    <w:p w14:paraId="7A4BE11D" w14:textId="77777777" w:rsidR="00CB69BE" w:rsidRPr="007A7B8D" w:rsidRDefault="00CB69BE" w:rsidP="00903366">
      <w:pPr>
        <w:spacing w:before="100" w:beforeAutospacing="1" w:after="100" w:afterAutospacing="1" w:line="360" w:lineRule="auto"/>
        <w:rPr>
          <w:rFonts w:eastAsia="Times New Roman" w:cs="Times New Roman"/>
          <w:sz w:val="24"/>
          <w:szCs w:val="24"/>
          <w:lang w:eastAsia="en-GB"/>
        </w:rPr>
      </w:pPr>
      <w:r w:rsidRPr="007A7B8D">
        <w:rPr>
          <w:rFonts w:eastAsia="Times New Roman" w:cs="Times New Roman"/>
          <w:sz w:val="24"/>
          <w:szCs w:val="24"/>
          <w:lang w:eastAsia="en-GB"/>
        </w:rPr>
        <w:t xml:space="preserve">Financial Conduct Authority (2022) </w:t>
      </w:r>
      <w:r w:rsidRPr="007A7B8D">
        <w:rPr>
          <w:rFonts w:eastAsiaTheme="majorEastAsia" w:cs="Times New Roman"/>
          <w:i/>
          <w:iCs/>
          <w:sz w:val="24"/>
          <w:szCs w:val="24"/>
          <w:lang w:eastAsia="en-GB"/>
        </w:rPr>
        <w:t>Artificial intelligence and machine learning in financial services</w:t>
      </w:r>
      <w:r w:rsidRPr="007A7B8D">
        <w:rPr>
          <w:rFonts w:eastAsia="Times New Roman" w:cs="Times New Roman"/>
          <w:sz w:val="24"/>
          <w:szCs w:val="24"/>
          <w:lang w:eastAsia="en-GB"/>
        </w:rPr>
        <w:t xml:space="preserve">. Available at: </w:t>
      </w:r>
      <w:hyperlink r:id="rId25" w:tgtFrame="_new" w:history="1">
        <w:r w:rsidRPr="007A7B8D">
          <w:rPr>
            <w:rFonts w:eastAsiaTheme="majorEastAsia" w:cs="Times New Roman"/>
            <w:color w:val="0000FF"/>
            <w:sz w:val="24"/>
            <w:szCs w:val="24"/>
            <w:u w:val="single"/>
            <w:lang w:eastAsia="en-GB"/>
          </w:rPr>
          <w:t>https://www.fca.org.uk</w:t>
        </w:r>
      </w:hyperlink>
      <w:r w:rsidRPr="007A7B8D">
        <w:rPr>
          <w:rFonts w:eastAsia="Times New Roman" w:cs="Times New Roman"/>
          <w:sz w:val="24"/>
          <w:szCs w:val="24"/>
          <w:lang w:eastAsia="en-GB"/>
        </w:rPr>
        <w:t xml:space="preserve"> (Accessed: 22 April 2026).</w:t>
      </w:r>
    </w:p>
    <w:p w14:paraId="4C080A33" w14:textId="77777777" w:rsidR="00CB69BE" w:rsidRPr="007A7B8D" w:rsidRDefault="00CB69BE" w:rsidP="00903366">
      <w:pPr>
        <w:spacing w:before="100" w:beforeAutospacing="1" w:after="100" w:afterAutospacing="1" w:line="360" w:lineRule="auto"/>
        <w:rPr>
          <w:rFonts w:eastAsia="Times New Roman" w:cs="Times New Roman"/>
          <w:sz w:val="24"/>
          <w:szCs w:val="24"/>
          <w:lang w:eastAsia="en-GB"/>
        </w:rPr>
      </w:pPr>
      <w:r w:rsidRPr="007A7B8D">
        <w:rPr>
          <w:rFonts w:eastAsia="Times New Roman" w:cs="Times New Roman"/>
          <w:sz w:val="24"/>
          <w:szCs w:val="24"/>
          <w:lang w:eastAsia="en-GB"/>
        </w:rPr>
        <w:t xml:space="preserve">Financial Stability Board (2023) </w:t>
      </w:r>
      <w:r w:rsidRPr="007A7B8D">
        <w:rPr>
          <w:rFonts w:eastAsiaTheme="majorEastAsia" w:cs="Times New Roman"/>
          <w:i/>
          <w:iCs/>
          <w:sz w:val="24"/>
          <w:szCs w:val="24"/>
          <w:lang w:eastAsia="en-GB"/>
        </w:rPr>
        <w:t>Artificial intelligence and machine learning in financial services</w:t>
      </w:r>
      <w:r w:rsidRPr="007A7B8D">
        <w:rPr>
          <w:rFonts w:eastAsia="Times New Roman" w:cs="Times New Roman"/>
          <w:sz w:val="24"/>
          <w:szCs w:val="24"/>
          <w:lang w:eastAsia="en-GB"/>
        </w:rPr>
        <w:t xml:space="preserve">. Available at: </w:t>
      </w:r>
      <w:hyperlink r:id="rId26" w:tgtFrame="_new" w:history="1">
        <w:r w:rsidRPr="007A7B8D">
          <w:rPr>
            <w:rFonts w:eastAsiaTheme="majorEastAsia" w:cs="Times New Roman"/>
            <w:color w:val="0000FF"/>
            <w:sz w:val="24"/>
            <w:szCs w:val="24"/>
            <w:u w:val="single"/>
            <w:lang w:eastAsia="en-GB"/>
          </w:rPr>
          <w:t>https://www.fsb.org</w:t>
        </w:r>
      </w:hyperlink>
    </w:p>
    <w:p w14:paraId="6B7C1952" w14:textId="77777777" w:rsidR="00CB69BE" w:rsidRPr="003B1183" w:rsidRDefault="00CB69BE" w:rsidP="00EC28C0">
      <w:pPr>
        <w:pStyle w:val="NormalWeb"/>
        <w:spacing w:line="360" w:lineRule="auto"/>
        <w:rPr>
          <w:rFonts w:asciiTheme="minorHAnsi" w:hAnsiTheme="minorHAnsi"/>
        </w:rPr>
      </w:pPr>
      <w:r w:rsidRPr="003B1183">
        <w:rPr>
          <w:rFonts w:asciiTheme="minorHAnsi" w:hAnsiTheme="minorHAnsi"/>
        </w:rPr>
        <w:t xml:space="preserve">Fjeld, J., Achten, N., Hilligoss, H., Nagy, A. and Srikumar, M. (2020) </w:t>
      </w:r>
      <w:r w:rsidRPr="003B1183">
        <w:rPr>
          <w:rStyle w:val="Emphasis"/>
          <w:rFonts w:asciiTheme="minorHAnsi" w:eastAsiaTheme="majorEastAsia" w:hAnsiTheme="minorHAnsi"/>
        </w:rPr>
        <w:t>Principled artificial intelligence: Mapping consensus in ethical and rights-based approaches</w:t>
      </w:r>
      <w:r w:rsidRPr="003B1183">
        <w:rPr>
          <w:rFonts w:asciiTheme="minorHAnsi" w:hAnsiTheme="minorHAnsi"/>
        </w:rPr>
        <w:t>. Cambridge, MA: Berkman Klein Center for Internet &amp; Society.</w:t>
      </w:r>
    </w:p>
    <w:p w14:paraId="12E453FB" w14:textId="77777777" w:rsidR="00CB69BE" w:rsidRPr="008D7599" w:rsidRDefault="00CB69BE" w:rsidP="00903366">
      <w:pPr>
        <w:pStyle w:val="NormalWeb"/>
        <w:spacing w:line="360" w:lineRule="auto"/>
        <w:rPr>
          <w:rFonts w:asciiTheme="minorHAnsi" w:hAnsiTheme="minorHAnsi"/>
        </w:rPr>
      </w:pPr>
      <w:r w:rsidRPr="008D7599">
        <w:rPr>
          <w:rFonts w:asciiTheme="minorHAnsi" w:hAnsiTheme="minorHAnsi"/>
        </w:rPr>
        <w:t xml:space="preserve">Floridi, L. and Cowls, J. (2019) ‘A unified framework of five principles for AI in society’, </w:t>
      </w:r>
      <w:r w:rsidRPr="008D7599">
        <w:rPr>
          <w:rStyle w:val="Emphasis"/>
          <w:rFonts w:asciiTheme="minorHAnsi" w:eastAsiaTheme="majorEastAsia" w:hAnsiTheme="minorHAnsi"/>
        </w:rPr>
        <w:t>Harvard Data Science Review</w:t>
      </w:r>
      <w:r w:rsidRPr="008D7599">
        <w:rPr>
          <w:rFonts w:asciiTheme="minorHAnsi" w:hAnsiTheme="minorHAnsi"/>
        </w:rPr>
        <w:t>, 1(1).</w:t>
      </w:r>
    </w:p>
    <w:p w14:paraId="5C767AF4" w14:textId="77777777" w:rsidR="00CB69BE" w:rsidRPr="007A7B8D" w:rsidRDefault="00CB69BE" w:rsidP="00903366">
      <w:pPr>
        <w:spacing w:before="100" w:beforeAutospacing="1" w:after="100" w:afterAutospacing="1" w:line="360" w:lineRule="auto"/>
        <w:rPr>
          <w:rFonts w:eastAsia="Times New Roman" w:cs="Times New Roman"/>
          <w:sz w:val="24"/>
          <w:szCs w:val="24"/>
          <w:lang w:eastAsia="en-GB"/>
        </w:rPr>
      </w:pPr>
      <w:r w:rsidRPr="007A7B8D">
        <w:rPr>
          <w:rFonts w:eastAsia="Times New Roman" w:cs="Times New Roman"/>
          <w:sz w:val="24"/>
          <w:szCs w:val="24"/>
          <w:lang w:eastAsia="en-GB"/>
        </w:rPr>
        <w:t xml:space="preserve">Floridi, L., Cowls, J., Beltrametti, M., Chatila, R., Chazerand, P., Dignum, V., Luetge, C., Madelin, R., Pagallo, U., Rossi, F. and Schafer, B. (2018) ‘AI4People—An ethical framework for a good AI society’, </w:t>
      </w:r>
      <w:r w:rsidRPr="007A7B8D">
        <w:rPr>
          <w:rFonts w:eastAsiaTheme="majorEastAsia" w:cs="Times New Roman"/>
          <w:i/>
          <w:iCs/>
          <w:sz w:val="24"/>
          <w:szCs w:val="24"/>
          <w:lang w:eastAsia="en-GB"/>
        </w:rPr>
        <w:t>Minds and Machines</w:t>
      </w:r>
      <w:r w:rsidRPr="007A7B8D">
        <w:rPr>
          <w:rFonts w:eastAsia="Times New Roman" w:cs="Times New Roman"/>
          <w:sz w:val="24"/>
          <w:szCs w:val="24"/>
          <w:lang w:eastAsia="en-GB"/>
        </w:rPr>
        <w:t>, 28(4), pp. 689–707.</w:t>
      </w:r>
    </w:p>
    <w:p w14:paraId="4857DA60" w14:textId="77777777" w:rsidR="00CB69BE" w:rsidRPr="007A7B8D" w:rsidRDefault="00CB69BE" w:rsidP="00903366">
      <w:pPr>
        <w:spacing w:before="100" w:beforeAutospacing="1" w:after="100" w:afterAutospacing="1" w:line="360" w:lineRule="auto"/>
        <w:rPr>
          <w:rFonts w:eastAsia="Times New Roman" w:cs="Times New Roman"/>
          <w:sz w:val="24"/>
          <w:szCs w:val="24"/>
          <w:lang w:eastAsia="en-GB"/>
        </w:rPr>
      </w:pPr>
      <w:r w:rsidRPr="007A7B8D">
        <w:rPr>
          <w:rFonts w:eastAsia="Times New Roman" w:cs="Times New Roman"/>
          <w:sz w:val="24"/>
          <w:szCs w:val="24"/>
          <w:lang w:eastAsia="en-GB"/>
        </w:rPr>
        <w:t xml:space="preserve">Goodfellow, I., Bengio, Y. and Courville, A. (2016) </w:t>
      </w:r>
      <w:r w:rsidRPr="007A7B8D">
        <w:rPr>
          <w:rFonts w:eastAsiaTheme="majorEastAsia" w:cs="Times New Roman"/>
          <w:i/>
          <w:iCs/>
          <w:sz w:val="24"/>
          <w:szCs w:val="24"/>
          <w:lang w:eastAsia="en-GB"/>
        </w:rPr>
        <w:t>Deep Learning</w:t>
      </w:r>
      <w:r w:rsidRPr="007A7B8D">
        <w:rPr>
          <w:rFonts w:eastAsia="Times New Roman" w:cs="Times New Roman"/>
          <w:sz w:val="24"/>
          <w:szCs w:val="24"/>
          <w:lang w:eastAsia="en-GB"/>
        </w:rPr>
        <w:t>. Cambridge, MA: MIT Press.</w:t>
      </w:r>
    </w:p>
    <w:p w14:paraId="6D6178C1" w14:textId="77777777" w:rsidR="00CB69BE" w:rsidRPr="003B1183" w:rsidRDefault="00CB69BE" w:rsidP="00EC28C0">
      <w:pPr>
        <w:pStyle w:val="NormalWeb"/>
        <w:spacing w:line="360" w:lineRule="auto"/>
        <w:rPr>
          <w:rFonts w:asciiTheme="minorHAnsi" w:hAnsiTheme="minorHAnsi"/>
        </w:rPr>
      </w:pPr>
      <w:r w:rsidRPr="003B1183">
        <w:rPr>
          <w:rFonts w:asciiTheme="minorHAnsi" w:hAnsiTheme="minorHAnsi"/>
        </w:rPr>
        <w:t xml:space="preserve">Hagendorff, T. (2020) ‘The ethics of AI ethics: An evaluation of guidelines’, </w:t>
      </w:r>
      <w:r w:rsidRPr="003B1183">
        <w:rPr>
          <w:rStyle w:val="Emphasis"/>
          <w:rFonts w:asciiTheme="minorHAnsi" w:eastAsiaTheme="majorEastAsia" w:hAnsiTheme="minorHAnsi"/>
        </w:rPr>
        <w:t>Minds and Machines</w:t>
      </w:r>
      <w:r w:rsidRPr="003B1183">
        <w:rPr>
          <w:rFonts w:asciiTheme="minorHAnsi" w:hAnsiTheme="minorHAnsi"/>
        </w:rPr>
        <w:t>, 30(1), pp. 99–120.</w:t>
      </w:r>
    </w:p>
    <w:p w14:paraId="4F6262D2" w14:textId="77777777" w:rsidR="00CB69BE" w:rsidRPr="007A7B8D" w:rsidRDefault="00CB69BE" w:rsidP="00903366">
      <w:pPr>
        <w:spacing w:before="100" w:beforeAutospacing="1" w:after="100" w:afterAutospacing="1" w:line="360" w:lineRule="auto"/>
        <w:rPr>
          <w:rFonts w:eastAsia="Times New Roman" w:cs="Times New Roman"/>
          <w:sz w:val="24"/>
          <w:szCs w:val="24"/>
          <w:lang w:eastAsia="en-GB"/>
        </w:rPr>
      </w:pPr>
      <w:r w:rsidRPr="007A7B8D">
        <w:rPr>
          <w:rFonts w:eastAsia="Times New Roman" w:cs="Times New Roman"/>
          <w:sz w:val="24"/>
          <w:szCs w:val="24"/>
          <w:lang w:eastAsia="en-GB"/>
        </w:rPr>
        <w:t xml:space="preserve">HSBC (2023) </w:t>
      </w:r>
      <w:r w:rsidRPr="007A7B8D">
        <w:rPr>
          <w:rFonts w:eastAsiaTheme="majorEastAsia" w:cs="Times New Roman"/>
          <w:i/>
          <w:iCs/>
          <w:sz w:val="24"/>
          <w:szCs w:val="24"/>
          <w:lang w:eastAsia="en-GB"/>
        </w:rPr>
        <w:t>Annual Report and Accounts 2023</w:t>
      </w:r>
      <w:r w:rsidRPr="007A7B8D">
        <w:rPr>
          <w:rFonts w:eastAsia="Times New Roman" w:cs="Times New Roman"/>
          <w:sz w:val="24"/>
          <w:szCs w:val="24"/>
          <w:lang w:eastAsia="en-GB"/>
        </w:rPr>
        <w:t xml:space="preserve">. Available at: </w:t>
      </w:r>
      <w:hyperlink r:id="rId27" w:tgtFrame="_new" w:history="1">
        <w:r w:rsidRPr="007A7B8D">
          <w:rPr>
            <w:rFonts w:eastAsiaTheme="majorEastAsia" w:cs="Times New Roman"/>
            <w:color w:val="0000FF"/>
            <w:sz w:val="24"/>
            <w:szCs w:val="24"/>
            <w:u w:val="single"/>
            <w:lang w:eastAsia="en-GB"/>
          </w:rPr>
          <w:t>https://www.hsbc.com</w:t>
        </w:r>
      </w:hyperlink>
      <w:r w:rsidRPr="007A7B8D">
        <w:rPr>
          <w:rFonts w:eastAsia="Times New Roman" w:cs="Times New Roman"/>
          <w:sz w:val="24"/>
          <w:szCs w:val="24"/>
          <w:lang w:eastAsia="en-GB"/>
        </w:rPr>
        <w:t xml:space="preserve"> (Accessed: 22 April 2026).</w:t>
      </w:r>
    </w:p>
    <w:p w14:paraId="0C7602E9" w14:textId="77777777" w:rsidR="00CB69BE" w:rsidRPr="007A7B8D" w:rsidRDefault="00CB69BE" w:rsidP="00903366">
      <w:pPr>
        <w:spacing w:before="100" w:beforeAutospacing="1" w:after="100" w:afterAutospacing="1" w:line="360" w:lineRule="auto"/>
        <w:rPr>
          <w:rFonts w:eastAsia="Times New Roman" w:cs="Times New Roman"/>
          <w:sz w:val="24"/>
          <w:szCs w:val="24"/>
          <w:lang w:eastAsia="en-GB"/>
        </w:rPr>
      </w:pPr>
      <w:r w:rsidRPr="007A7B8D">
        <w:rPr>
          <w:rFonts w:eastAsia="Times New Roman" w:cs="Times New Roman"/>
          <w:sz w:val="24"/>
          <w:szCs w:val="24"/>
          <w:lang w:eastAsia="en-GB"/>
        </w:rPr>
        <w:t xml:space="preserve">IBM (2024) </w:t>
      </w:r>
      <w:r w:rsidRPr="007A7B8D">
        <w:rPr>
          <w:rFonts w:eastAsiaTheme="majorEastAsia" w:cs="Times New Roman"/>
          <w:i/>
          <w:iCs/>
          <w:sz w:val="24"/>
          <w:szCs w:val="24"/>
          <w:lang w:eastAsia="en-GB"/>
        </w:rPr>
        <w:t>What is model risk management?</w:t>
      </w:r>
      <w:r w:rsidRPr="007A7B8D">
        <w:rPr>
          <w:rFonts w:eastAsia="Times New Roman" w:cs="Times New Roman"/>
          <w:sz w:val="24"/>
          <w:szCs w:val="24"/>
          <w:lang w:eastAsia="en-GB"/>
        </w:rPr>
        <w:t xml:space="preserve"> Available at: </w:t>
      </w:r>
      <w:hyperlink r:id="rId28" w:tgtFrame="_new" w:history="1">
        <w:r w:rsidRPr="007A7B8D">
          <w:rPr>
            <w:rFonts w:eastAsiaTheme="majorEastAsia" w:cs="Times New Roman"/>
            <w:color w:val="0000FF"/>
            <w:sz w:val="24"/>
            <w:szCs w:val="24"/>
            <w:u w:val="single"/>
            <w:lang w:eastAsia="en-GB"/>
          </w:rPr>
          <w:t>https://www.ibm.com</w:t>
        </w:r>
      </w:hyperlink>
      <w:r w:rsidRPr="007A7B8D">
        <w:rPr>
          <w:rFonts w:eastAsia="Times New Roman" w:cs="Times New Roman"/>
          <w:sz w:val="24"/>
          <w:szCs w:val="24"/>
          <w:lang w:eastAsia="en-GB"/>
        </w:rPr>
        <w:t xml:space="preserve"> (Accessed: 22 April 2026).</w:t>
      </w:r>
    </w:p>
    <w:p w14:paraId="265A5859" w14:textId="77777777" w:rsidR="00CB69BE" w:rsidRPr="007A7B8D" w:rsidRDefault="00CB69BE" w:rsidP="00903366">
      <w:pPr>
        <w:spacing w:before="100" w:beforeAutospacing="1" w:after="100" w:afterAutospacing="1" w:line="360" w:lineRule="auto"/>
        <w:rPr>
          <w:rFonts w:eastAsia="Times New Roman" w:cs="Times New Roman"/>
          <w:sz w:val="24"/>
          <w:szCs w:val="24"/>
          <w:lang w:eastAsia="en-GB"/>
        </w:rPr>
      </w:pPr>
      <w:r w:rsidRPr="007A7B8D">
        <w:rPr>
          <w:rFonts w:eastAsia="Times New Roman" w:cs="Times New Roman"/>
          <w:sz w:val="24"/>
          <w:szCs w:val="24"/>
          <w:lang w:eastAsia="en-GB"/>
        </w:rPr>
        <w:t xml:space="preserve">Information Commissioner’s Office (2023) </w:t>
      </w:r>
      <w:r w:rsidRPr="007A7B8D">
        <w:rPr>
          <w:rFonts w:eastAsiaTheme="majorEastAsia" w:cs="Times New Roman"/>
          <w:i/>
          <w:iCs/>
          <w:sz w:val="24"/>
          <w:szCs w:val="24"/>
          <w:lang w:eastAsia="en-GB"/>
        </w:rPr>
        <w:t>AI and data protection guidance</w:t>
      </w:r>
      <w:r w:rsidRPr="007A7B8D">
        <w:rPr>
          <w:rFonts w:eastAsia="Times New Roman" w:cs="Times New Roman"/>
          <w:sz w:val="24"/>
          <w:szCs w:val="24"/>
          <w:lang w:eastAsia="en-GB"/>
        </w:rPr>
        <w:t xml:space="preserve">. Available at: </w:t>
      </w:r>
      <w:hyperlink r:id="rId29" w:tgtFrame="_new" w:history="1">
        <w:r w:rsidRPr="007A7B8D">
          <w:rPr>
            <w:rFonts w:eastAsiaTheme="majorEastAsia" w:cs="Times New Roman"/>
            <w:color w:val="0000FF"/>
            <w:sz w:val="24"/>
            <w:szCs w:val="24"/>
            <w:u w:val="single"/>
            <w:lang w:eastAsia="en-GB"/>
          </w:rPr>
          <w:t>https://ico.org.uk</w:t>
        </w:r>
      </w:hyperlink>
      <w:r w:rsidRPr="007A7B8D">
        <w:rPr>
          <w:rFonts w:eastAsia="Times New Roman" w:cs="Times New Roman"/>
          <w:sz w:val="24"/>
          <w:szCs w:val="24"/>
          <w:lang w:eastAsia="en-GB"/>
        </w:rPr>
        <w:t xml:space="preserve"> (Accessed: 22 April 2026).</w:t>
      </w:r>
    </w:p>
    <w:p w14:paraId="72FC0E8B" w14:textId="77777777" w:rsidR="00CB69BE" w:rsidRPr="007A7B8D" w:rsidRDefault="00CB69BE" w:rsidP="00903366">
      <w:pPr>
        <w:spacing w:before="100" w:beforeAutospacing="1" w:after="100" w:afterAutospacing="1" w:line="360" w:lineRule="auto"/>
        <w:rPr>
          <w:rFonts w:eastAsia="Times New Roman" w:cs="Times New Roman"/>
          <w:sz w:val="24"/>
          <w:szCs w:val="24"/>
          <w:lang w:eastAsia="en-GB"/>
        </w:rPr>
      </w:pPr>
      <w:r w:rsidRPr="007A7B8D">
        <w:rPr>
          <w:rFonts w:eastAsia="Times New Roman" w:cs="Times New Roman"/>
          <w:sz w:val="24"/>
          <w:szCs w:val="24"/>
          <w:lang w:eastAsia="en-GB"/>
        </w:rPr>
        <w:t xml:space="preserve">Institute of International Finance (2023) </w:t>
      </w:r>
      <w:r w:rsidRPr="007A7B8D">
        <w:rPr>
          <w:rFonts w:eastAsiaTheme="majorEastAsia" w:cs="Times New Roman"/>
          <w:i/>
          <w:iCs/>
          <w:sz w:val="24"/>
          <w:szCs w:val="24"/>
          <w:lang w:eastAsia="en-GB"/>
        </w:rPr>
        <w:t>Principles for responsible AI in financial services</w:t>
      </w:r>
      <w:r w:rsidRPr="007A7B8D">
        <w:rPr>
          <w:rFonts w:eastAsia="Times New Roman" w:cs="Times New Roman"/>
          <w:sz w:val="24"/>
          <w:szCs w:val="24"/>
          <w:lang w:eastAsia="en-GB"/>
        </w:rPr>
        <w:t xml:space="preserve">. Available at: </w:t>
      </w:r>
      <w:hyperlink r:id="rId30" w:tgtFrame="_new" w:history="1">
        <w:r w:rsidRPr="007A7B8D">
          <w:rPr>
            <w:rFonts w:eastAsiaTheme="majorEastAsia" w:cs="Times New Roman"/>
            <w:color w:val="0000FF"/>
            <w:sz w:val="24"/>
            <w:szCs w:val="24"/>
            <w:u w:val="single"/>
            <w:lang w:eastAsia="en-GB"/>
          </w:rPr>
          <w:t>https://www.iif.com</w:t>
        </w:r>
      </w:hyperlink>
    </w:p>
    <w:p w14:paraId="4AC6DDE3" w14:textId="77777777" w:rsidR="00CB69BE" w:rsidRPr="008D7599" w:rsidRDefault="00CB69BE" w:rsidP="00903366">
      <w:pPr>
        <w:pStyle w:val="NormalWeb"/>
        <w:spacing w:line="360" w:lineRule="auto"/>
        <w:rPr>
          <w:rFonts w:asciiTheme="minorHAnsi" w:hAnsiTheme="minorHAnsi"/>
        </w:rPr>
      </w:pPr>
      <w:r w:rsidRPr="008D7599">
        <w:rPr>
          <w:rFonts w:asciiTheme="minorHAnsi" w:hAnsiTheme="minorHAnsi"/>
        </w:rPr>
        <w:t xml:space="preserve">Jobin, A., Ienca, M. and Vayena, E. (2019) ‘The global landscape of AI ethics guidelines’, </w:t>
      </w:r>
      <w:r w:rsidRPr="008D7599">
        <w:rPr>
          <w:rStyle w:val="Emphasis"/>
          <w:rFonts w:asciiTheme="minorHAnsi" w:eastAsiaTheme="majorEastAsia" w:hAnsiTheme="minorHAnsi"/>
        </w:rPr>
        <w:t>Nature Machine Intelligence</w:t>
      </w:r>
      <w:r w:rsidRPr="008D7599">
        <w:rPr>
          <w:rFonts w:asciiTheme="minorHAnsi" w:hAnsiTheme="minorHAnsi"/>
        </w:rPr>
        <w:t>, 1(9), pp. 389–399.</w:t>
      </w:r>
    </w:p>
    <w:p w14:paraId="4A3B1CD0" w14:textId="77777777" w:rsidR="00CB69BE" w:rsidRPr="004F2991" w:rsidRDefault="00CB69BE" w:rsidP="00903366">
      <w:pPr>
        <w:spacing w:before="100" w:beforeAutospacing="1" w:after="100" w:afterAutospacing="1" w:line="360" w:lineRule="auto"/>
        <w:rPr>
          <w:rFonts w:eastAsia="Times New Roman" w:cs="Times New Roman"/>
          <w:sz w:val="24"/>
          <w:szCs w:val="24"/>
          <w:lang w:eastAsia="en-GB"/>
        </w:rPr>
      </w:pPr>
      <w:r w:rsidRPr="004F2991">
        <w:rPr>
          <w:rFonts w:eastAsia="Times New Roman" w:cs="Times New Roman"/>
          <w:sz w:val="24"/>
          <w:szCs w:val="24"/>
          <w:lang w:eastAsia="en-GB"/>
        </w:rPr>
        <w:t xml:space="preserve">KPMG (2023) </w:t>
      </w:r>
      <w:r w:rsidRPr="004F2991">
        <w:rPr>
          <w:rFonts w:eastAsiaTheme="majorEastAsia" w:cs="Times New Roman"/>
          <w:i/>
          <w:iCs/>
          <w:sz w:val="24"/>
          <w:szCs w:val="24"/>
          <w:lang w:eastAsia="en-GB"/>
        </w:rPr>
        <w:t>EU AI Act and its impact on organisations</w:t>
      </w:r>
      <w:r w:rsidRPr="004F2991">
        <w:rPr>
          <w:rFonts w:eastAsia="Times New Roman" w:cs="Times New Roman"/>
          <w:sz w:val="24"/>
          <w:szCs w:val="24"/>
          <w:lang w:eastAsia="en-GB"/>
        </w:rPr>
        <w:t xml:space="preserve">. Available at: </w:t>
      </w:r>
      <w:hyperlink r:id="rId31" w:tgtFrame="_new" w:history="1">
        <w:r w:rsidRPr="004F2991">
          <w:rPr>
            <w:rFonts w:eastAsiaTheme="majorEastAsia" w:cs="Times New Roman"/>
            <w:color w:val="0000FF"/>
            <w:sz w:val="24"/>
            <w:szCs w:val="24"/>
            <w:u w:val="single"/>
            <w:lang w:eastAsia="en-GB"/>
          </w:rPr>
          <w:t>https://www.kpmg.com</w:t>
        </w:r>
      </w:hyperlink>
    </w:p>
    <w:p w14:paraId="58CD3F1D" w14:textId="77777777" w:rsidR="00CB69BE" w:rsidRPr="007A7B8D" w:rsidRDefault="00CB69BE" w:rsidP="00903366">
      <w:pPr>
        <w:spacing w:before="100" w:beforeAutospacing="1" w:after="100" w:afterAutospacing="1" w:line="360" w:lineRule="auto"/>
        <w:rPr>
          <w:rFonts w:eastAsia="Times New Roman" w:cs="Times New Roman"/>
          <w:sz w:val="24"/>
          <w:szCs w:val="24"/>
          <w:lang w:eastAsia="en-GB"/>
        </w:rPr>
      </w:pPr>
      <w:r w:rsidRPr="007A7B8D">
        <w:rPr>
          <w:rFonts w:eastAsia="Times New Roman" w:cs="Times New Roman"/>
          <w:sz w:val="24"/>
          <w:szCs w:val="24"/>
          <w:lang w:eastAsia="en-GB"/>
        </w:rPr>
        <w:t xml:space="preserve">McKinsey &amp; Company (2023) </w:t>
      </w:r>
      <w:r w:rsidRPr="007A7B8D">
        <w:rPr>
          <w:rFonts w:eastAsiaTheme="majorEastAsia" w:cs="Times New Roman"/>
          <w:i/>
          <w:iCs/>
          <w:sz w:val="24"/>
          <w:szCs w:val="24"/>
          <w:lang w:eastAsia="en-GB"/>
        </w:rPr>
        <w:t>The state of AI in 2023: Generative AI’s breakout year</w:t>
      </w:r>
      <w:r w:rsidRPr="007A7B8D">
        <w:rPr>
          <w:rFonts w:eastAsia="Times New Roman" w:cs="Times New Roman"/>
          <w:sz w:val="24"/>
          <w:szCs w:val="24"/>
          <w:lang w:eastAsia="en-GB"/>
        </w:rPr>
        <w:t xml:space="preserve">. Available at: </w:t>
      </w:r>
      <w:hyperlink r:id="rId32" w:tgtFrame="_new" w:history="1">
        <w:r w:rsidRPr="007A7B8D">
          <w:rPr>
            <w:rFonts w:eastAsiaTheme="majorEastAsia" w:cs="Times New Roman"/>
            <w:color w:val="0000FF"/>
            <w:sz w:val="24"/>
            <w:szCs w:val="24"/>
            <w:u w:val="single"/>
            <w:lang w:eastAsia="en-GB"/>
          </w:rPr>
          <w:t>https://www.mckinsey.com</w:t>
        </w:r>
      </w:hyperlink>
      <w:r w:rsidRPr="007A7B8D">
        <w:rPr>
          <w:rFonts w:eastAsia="Times New Roman" w:cs="Times New Roman"/>
          <w:sz w:val="24"/>
          <w:szCs w:val="24"/>
          <w:lang w:eastAsia="en-GB"/>
        </w:rPr>
        <w:t xml:space="preserve"> (Accessed: 22 April 2026).</w:t>
      </w:r>
    </w:p>
    <w:p w14:paraId="54FB166C" w14:textId="77777777" w:rsidR="00CB69BE" w:rsidRPr="00992C20" w:rsidRDefault="00CB69BE" w:rsidP="00992C20">
      <w:pPr>
        <w:spacing w:before="100" w:beforeAutospacing="1" w:after="100" w:afterAutospacing="1" w:line="360" w:lineRule="auto"/>
        <w:rPr>
          <w:rFonts w:eastAsia="Times New Roman" w:cs="Times New Roman"/>
          <w:sz w:val="24"/>
          <w:szCs w:val="24"/>
          <w:lang w:eastAsia="en-GB"/>
        </w:rPr>
      </w:pPr>
      <w:r w:rsidRPr="00992C20">
        <w:rPr>
          <w:rFonts w:eastAsia="Times New Roman" w:cs="Times New Roman"/>
          <w:sz w:val="24"/>
          <w:szCs w:val="24"/>
          <w:lang w:eastAsia="en-GB"/>
        </w:rPr>
        <w:t xml:space="preserve">McKinsey &amp; Company (2024) </w:t>
      </w:r>
      <w:r w:rsidRPr="00992C20">
        <w:rPr>
          <w:rFonts w:eastAsiaTheme="majorEastAsia" w:cs="Times New Roman"/>
          <w:i/>
          <w:iCs/>
          <w:sz w:val="24"/>
          <w:szCs w:val="24"/>
          <w:lang w:eastAsia="en-GB"/>
        </w:rPr>
        <w:t>The economic potential of AI and organisational readiness</w:t>
      </w:r>
      <w:r w:rsidRPr="00992C20">
        <w:rPr>
          <w:rFonts w:eastAsia="Times New Roman" w:cs="Times New Roman"/>
          <w:sz w:val="24"/>
          <w:szCs w:val="24"/>
          <w:lang w:eastAsia="en-GB"/>
        </w:rPr>
        <w:t xml:space="preserve">. Available at: </w:t>
      </w:r>
      <w:hyperlink r:id="rId33" w:tgtFrame="_new" w:history="1">
        <w:r w:rsidRPr="00992C20">
          <w:rPr>
            <w:rFonts w:eastAsiaTheme="majorEastAsia" w:cs="Times New Roman"/>
            <w:color w:val="0000FF"/>
            <w:sz w:val="24"/>
            <w:szCs w:val="24"/>
            <w:u w:val="single"/>
            <w:lang w:eastAsia="en-GB"/>
          </w:rPr>
          <w:t>https://www.mckinsey.com</w:t>
        </w:r>
      </w:hyperlink>
      <w:r w:rsidRPr="00992C20">
        <w:rPr>
          <w:sz w:val="24"/>
          <w:szCs w:val="24"/>
        </w:rPr>
        <w:t xml:space="preserve"> (Accessed: 22 April 2026).</w:t>
      </w:r>
    </w:p>
    <w:p w14:paraId="3F9813BD" w14:textId="77777777" w:rsidR="00CB69BE" w:rsidRPr="00F6476A" w:rsidRDefault="00CB69BE" w:rsidP="00F6476A">
      <w:pPr>
        <w:spacing w:line="360" w:lineRule="auto"/>
        <w:rPr>
          <w:kern w:val="2"/>
          <w:sz w:val="24"/>
          <w:szCs w:val="24"/>
          <w14:ligatures w14:val="standardContextual"/>
        </w:rPr>
      </w:pPr>
      <w:r w:rsidRPr="00F6476A">
        <w:rPr>
          <w:kern w:val="2"/>
          <w:sz w:val="24"/>
          <w:szCs w:val="24"/>
          <w14:ligatures w14:val="standardContextual"/>
        </w:rPr>
        <w:t xml:space="preserve">McKinsey Global Institute (2018) </w:t>
      </w:r>
      <w:r w:rsidRPr="00F6476A">
        <w:rPr>
          <w:i/>
          <w:iCs/>
          <w:kern w:val="2"/>
          <w:sz w:val="24"/>
          <w:szCs w:val="24"/>
          <w14:ligatures w14:val="standardContextual"/>
        </w:rPr>
        <w:t>Notes from the AI frontier: Modelling the impact of AI on the world economy</w:t>
      </w:r>
      <w:r w:rsidRPr="00F6476A">
        <w:rPr>
          <w:kern w:val="2"/>
          <w:sz w:val="24"/>
          <w:szCs w:val="24"/>
          <w14:ligatures w14:val="standardContextual"/>
        </w:rPr>
        <w:t xml:space="preserve">. Available at: </w:t>
      </w:r>
      <w:hyperlink r:id="rId34" w:tgtFrame="_new" w:history="1">
        <w:r w:rsidRPr="00F6476A">
          <w:rPr>
            <w:color w:val="0000FF"/>
            <w:kern w:val="2"/>
            <w:sz w:val="24"/>
            <w:szCs w:val="24"/>
            <w:u w:val="single"/>
            <w14:ligatures w14:val="standardContextual"/>
          </w:rPr>
          <w:t>https://www.mckinsey.com</w:t>
        </w:r>
      </w:hyperlink>
      <w:r w:rsidRPr="00F6476A">
        <w:rPr>
          <w:kern w:val="2"/>
          <w:sz w:val="24"/>
          <w:szCs w:val="24"/>
          <w14:ligatures w14:val="standardContextual"/>
        </w:rPr>
        <w:t xml:space="preserve"> (Accessed: 25 April 2026)</w:t>
      </w:r>
    </w:p>
    <w:p w14:paraId="4839FFB8" w14:textId="77777777" w:rsidR="00CB69BE" w:rsidRPr="0025252D" w:rsidRDefault="00CB69BE" w:rsidP="00903366">
      <w:pPr>
        <w:spacing w:before="100" w:beforeAutospacing="1" w:after="100" w:afterAutospacing="1" w:line="360" w:lineRule="auto"/>
        <w:rPr>
          <w:rFonts w:eastAsia="Times New Roman" w:cs="Times New Roman"/>
          <w:sz w:val="24"/>
          <w:szCs w:val="24"/>
          <w:lang w:eastAsia="en-GB"/>
        </w:rPr>
      </w:pPr>
      <w:r w:rsidRPr="0025252D">
        <w:rPr>
          <w:rFonts w:eastAsia="Times New Roman" w:cs="Times New Roman"/>
          <w:sz w:val="24"/>
          <w:szCs w:val="24"/>
          <w:lang w:eastAsia="en-GB"/>
        </w:rPr>
        <w:t xml:space="preserve">Mehrabi, N., Morstatter, F., Saxena, N., Lerman, K. and Galstyan, A. (2021) ‘A survey on bias and fairness in machine learning’, </w:t>
      </w:r>
      <w:r w:rsidRPr="0025252D">
        <w:rPr>
          <w:rFonts w:eastAsiaTheme="majorEastAsia" w:cs="Times New Roman"/>
          <w:i/>
          <w:iCs/>
          <w:sz w:val="24"/>
          <w:szCs w:val="24"/>
          <w:lang w:eastAsia="en-GB"/>
        </w:rPr>
        <w:t>ACM Computing Surveys</w:t>
      </w:r>
      <w:r w:rsidRPr="0025252D">
        <w:rPr>
          <w:rFonts w:eastAsia="Times New Roman" w:cs="Times New Roman"/>
          <w:sz w:val="24"/>
          <w:szCs w:val="24"/>
          <w:lang w:eastAsia="en-GB"/>
        </w:rPr>
        <w:t>, 54(6).</w:t>
      </w:r>
    </w:p>
    <w:p w14:paraId="74140950" w14:textId="77777777" w:rsidR="00CB69BE" w:rsidRPr="0025252D" w:rsidRDefault="00CB69BE" w:rsidP="00903366">
      <w:pPr>
        <w:spacing w:before="100" w:beforeAutospacing="1" w:after="100" w:afterAutospacing="1" w:line="360" w:lineRule="auto"/>
        <w:rPr>
          <w:rFonts w:eastAsia="Times New Roman" w:cs="Times New Roman"/>
          <w:sz w:val="24"/>
          <w:szCs w:val="24"/>
          <w:lang w:eastAsia="en-GB"/>
        </w:rPr>
      </w:pPr>
      <w:r w:rsidRPr="0025252D">
        <w:rPr>
          <w:rFonts w:eastAsia="Times New Roman" w:cs="Times New Roman"/>
          <w:sz w:val="24"/>
          <w:szCs w:val="24"/>
          <w:lang w:eastAsia="en-GB"/>
        </w:rPr>
        <w:t xml:space="preserve">Microsoft (2022) </w:t>
      </w:r>
      <w:r w:rsidRPr="0025252D">
        <w:rPr>
          <w:rFonts w:eastAsiaTheme="majorEastAsia" w:cs="Times New Roman"/>
          <w:i/>
          <w:iCs/>
          <w:sz w:val="24"/>
          <w:szCs w:val="24"/>
          <w:lang w:eastAsia="en-GB"/>
        </w:rPr>
        <w:t>Responsible AI Standard</w:t>
      </w:r>
      <w:r w:rsidRPr="0025252D">
        <w:rPr>
          <w:rFonts w:eastAsia="Times New Roman" w:cs="Times New Roman"/>
          <w:sz w:val="24"/>
          <w:szCs w:val="24"/>
          <w:lang w:eastAsia="en-GB"/>
        </w:rPr>
        <w:t xml:space="preserve">. Available at: </w:t>
      </w:r>
      <w:hyperlink r:id="rId35" w:tgtFrame="_new" w:history="1">
        <w:r w:rsidRPr="0025252D">
          <w:rPr>
            <w:rFonts w:eastAsiaTheme="majorEastAsia" w:cs="Times New Roman"/>
            <w:color w:val="0000FF"/>
            <w:sz w:val="24"/>
            <w:szCs w:val="24"/>
            <w:u w:val="single"/>
            <w:lang w:eastAsia="en-GB"/>
          </w:rPr>
          <w:t>https://www.microsoft.com</w:t>
        </w:r>
      </w:hyperlink>
      <w:r w:rsidRPr="0025252D">
        <w:rPr>
          <w:rFonts w:eastAsia="Times New Roman" w:cs="Times New Roman"/>
          <w:sz w:val="24"/>
          <w:szCs w:val="24"/>
          <w:lang w:eastAsia="en-GB"/>
        </w:rPr>
        <w:t xml:space="preserve"> (Accessed: 23 April 2026).</w:t>
      </w:r>
    </w:p>
    <w:p w14:paraId="3FB6293D" w14:textId="77777777" w:rsidR="00CB69BE" w:rsidRPr="008D7599" w:rsidRDefault="00CB69BE" w:rsidP="00903366">
      <w:pPr>
        <w:pStyle w:val="NormalWeb"/>
        <w:spacing w:line="360" w:lineRule="auto"/>
        <w:rPr>
          <w:rFonts w:asciiTheme="minorHAnsi" w:hAnsiTheme="minorHAnsi"/>
        </w:rPr>
      </w:pPr>
      <w:r w:rsidRPr="008D7599">
        <w:rPr>
          <w:rFonts w:asciiTheme="minorHAnsi" w:hAnsiTheme="minorHAnsi"/>
        </w:rPr>
        <w:t xml:space="preserve">Mittelstadt, B.D., Allo, P., Taddeo, M., Wachter, S. and Floridi, L. (2016) ‘The ethics of algorithms: Mapping the debate’, </w:t>
      </w:r>
      <w:r w:rsidRPr="008D7599">
        <w:rPr>
          <w:rStyle w:val="Emphasis"/>
          <w:rFonts w:asciiTheme="minorHAnsi" w:eastAsiaTheme="majorEastAsia" w:hAnsiTheme="minorHAnsi"/>
        </w:rPr>
        <w:t>Big Data &amp; Society</w:t>
      </w:r>
      <w:r w:rsidRPr="008D7599">
        <w:rPr>
          <w:rFonts w:asciiTheme="minorHAnsi" w:hAnsiTheme="minorHAnsi"/>
        </w:rPr>
        <w:t>, 3(2).</w:t>
      </w:r>
    </w:p>
    <w:p w14:paraId="4A58E7A5" w14:textId="77777777" w:rsidR="00CB69BE" w:rsidRPr="003B1183" w:rsidRDefault="00CB69BE" w:rsidP="00EC28C0">
      <w:pPr>
        <w:pStyle w:val="NormalWeb"/>
        <w:spacing w:line="360" w:lineRule="auto"/>
        <w:rPr>
          <w:rFonts w:asciiTheme="minorHAnsi" w:hAnsiTheme="minorHAnsi"/>
        </w:rPr>
      </w:pPr>
      <w:r w:rsidRPr="003B1183">
        <w:rPr>
          <w:rFonts w:asciiTheme="minorHAnsi" w:hAnsiTheme="minorHAnsi"/>
        </w:rPr>
        <w:t xml:space="preserve">Morley, J., Floridi, L., Kinsey, L. and Elhalal, A. (2020) ‘From what to how: An overview of AI ethics tools, methods and research’, </w:t>
      </w:r>
      <w:r w:rsidRPr="003B1183">
        <w:rPr>
          <w:rStyle w:val="Emphasis"/>
          <w:rFonts w:asciiTheme="minorHAnsi" w:eastAsiaTheme="majorEastAsia" w:hAnsiTheme="minorHAnsi"/>
        </w:rPr>
        <w:t>Science and Engineering Ethics</w:t>
      </w:r>
      <w:r w:rsidRPr="003B1183">
        <w:rPr>
          <w:rFonts w:asciiTheme="minorHAnsi" w:hAnsiTheme="minorHAnsi"/>
        </w:rPr>
        <w:t>, 26(4), pp. 2141–2168.</w:t>
      </w:r>
    </w:p>
    <w:p w14:paraId="4FBB80A7" w14:textId="77777777" w:rsidR="00CB69BE" w:rsidRPr="007A7B8D" w:rsidRDefault="00CB69BE" w:rsidP="00903366">
      <w:pPr>
        <w:spacing w:before="100" w:beforeAutospacing="1" w:after="100" w:afterAutospacing="1" w:line="360" w:lineRule="auto"/>
        <w:rPr>
          <w:rFonts w:eastAsia="Times New Roman" w:cs="Times New Roman"/>
          <w:sz w:val="24"/>
          <w:szCs w:val="24"/>
          <w:lang w:eastAsia="en-GB"/>
        </w:rPr>
      </w:pPr>
      <w:r w:rsidRPr="007A7B8D">
        <w:rPr>
          <w:rFonts w:eastAsia="Times New Roman" w:cs="Times New Roman"/>
          <w:sz w:val="24"/>
          <w:szCs w:val="24"/>
          <w:lang w:eastAsia="en-GB"/>
        </w:rPr>
        <w:t xml:space="preserve">Morrison, J. (2023) </w:t>
      </w:r>
      <w:r w:rsidRPr="007A7B8D">
        <w:rPr>
          <w:rFonts w:eastAsiaTheme="majorEastAsia" w:cs="Times New Roman"/>
          <w:i/>
          <w:iCs/>
          <w:sz w:val="24"/>
          <w:szCs w:val="24"/>
          <w:lang w:eastAsia="en-GB"/>
        </w:rPr>
        <w:t>The global business environment: Meeting the challenges</w:t>
      </w:r>
      <w:r w:rsidRPr="007A7B8D">
        <w:rPr>
          <w:rFonts w:eastAsia="Times New Roman" w:cs="Times New Roman"/>
          <w:sz w:val="24"/>
          <w:szCs w:val="24"/>
          <w:lang w:eastAsia="en-GB"/>
        </w:rPr>
        <w:t>. 6th edn. London: Palgrave Macmillan.</w:t>
      </w:r>
    </w:p>
    <w:p w14:paraId="67436D18" w14:textId="77777777" w:rsidR="00CB69BE" w:rsidRPr="003B1183" w:rsidRDefault="00CB69BE" w:rsidP="00EC28C0">
      <w:pPr>
        <w:pStyle w:val="NormalWeb"/>
        <w:spacing w:line="360" w:lineRule="auto"/>
        <w:rPr>
          <w:rFonts w:asciiTheme="minorHAnsi" w:hAnsiTheme="minorHAnsi"/>
        </w:rPr>
      </w:pPr>
      <w:r w:rsidRPr="003B1183">
        <w:rPr>
          <w:rFonts w:asciiTheme="minorHAnsi" w:hAnsiTheme="minorHAnsi"/>
        </w:rPr>
        <w:t xml:space="preserve">Munn, L. (2023) ‘The uselessness of AI ethics’, </w:t>
      </w:r>
      <w:r w:rsidRPr="003B1183">
        <w:rPr>
          <w:rStyle w:val="Emphasis"/>
          <w:rFonts w:asciiTheme="minorHAnsi" w:eastAsiaTheme="majorEastAsia" w:hAnsiTheme="minorHAnsi"/>
        </w:rPr>
        <w:t>AI and Ethics</w:t>
      </w:r>
      <w:r w:rsidRPr="003B1183">
        <w:rPr>
          <w:rFonts w:asciiTheme="minorHAnsi" w:hAnsiTheme="minorHAnsi"/>
        </w:rPr>
        <w:t>, 3(3), pp. 869–877.</w:t>
      </w:r>
    </w:p>
    <w:p w14:paraId="20BD172D" w14:textId="77777777" w:rsidR="00CB69BE" w:rsidRPr="007A7B8D" w:rsidRDefault="00CB69BE" w:rsidP="00903366">
      <w:pPr>
        <w:spacing w:before="100" w:beforeAutospacing="1" w:after="100" w:afterAutospacing="1" w:line="360" w:lineRule="auto"/>
        <w:rPr>
          <w:rFonts w:eastAsia="Times New Roman" w:cs="Times New Roman"/>
          <w:sz w:val="24"/>
          <w:szCs w:val="24"/>
          <w:lang w:eastAsia="en-GB"/>
        </w:rPr>
      </w:pPr>
      <w:r w:rsidRPr="007A7B8D">
        <w:rPr>
          <w:rFonts w:eastAsia="Times New Roman" w:cs="Times New Roman"/>
          <w:sz w:val="24"/>
          <w:szCs w:val="24"/>
          <w:lang w:eastAsia="en-GB"/>
        </w:rPr>
        <w:t xml:space="preserve">OECD (2023) </w:t>
      </w:r>
      <w:r w:rsidRPr="007A7B8D">
        <w:rPr>
          <w:rFonts w:eastAsiaTheme="majorEastAsia" w:cs="Times New Roman"/>
          <w:i/>
          <w:iCs/>
          <w:sz w:val="24"/>
          <w:szCs w:val="24"/>
          <w:lang w:eastAsia="en-GB"/>
        </w:rPr>
        <w:t>OECD AI principles overview</w:t>
      </w:r>
      <w:r w:rsidRPr="007A7B8D">
        <w:rPr>
          <w:rFonts w:eastAsia="Times New Roman" w:cs="Times New Roman"/>
          <w:sz w:val="24"/>
          <w:szCs w:val="24"/>
          <w:lang w:eastAsia="en-GB"/>
        </w:rPr>
        <w:t xml:space="preserve">. Available at: </w:t>
      </w:r>
      <w:hyperlink r:id="rId36" w:tgtFrame="_new" w:history="1">
        <w:r w:rsidRPr="007A7B8D">
          <w:rPr>
            <w:rFonts w:eastAsiaTheme="majorEastAsia" w:cs="Times New Roman"/>
            <w:color w:val="0000FF"/>
            <w:sz w:val="24"/>
            <w:szCs w:val="24"/>
            <w:u w:val="single"/>
            <w:lang w:eastAsia="en-GB"/>
          </w:rPr>
          <w:t>https://www.oecd.org</w:t>
        </w:r>
      </w:hyperlink>
      <w:r w:rsidRPr="007A7B8D">
        <w:rPr>
          <w:rFonts w:eastAsia="Times New Roman" w:cs="Times New Roman"/>
          <w:sz w:val="24"/>
          <w:szCs w:val="24"/>
          <w:lang w:eastAsia="en-GB"/>
        </w:rPr>
        <w:t xml:space="preserve"> (Accessed: 12 April 2026).</w:t>
      </w:r>
    </w:p>
    <w:p w14:paraId="112ECA94" w14:textId="77777777" w:rsidR="00CB69BE" w:rsidRPr="004F2991" w:rsidRDefault="00CB69BE" w:rsidP="00903366">
      <w:pPr>
        <w:spacing w:before="100" w:beforeAutospacing="1" w:after="100" w:afterAutospacing="1" w:line="360" w:lineRule="auto"/>
        <w:rPr>
          <w:rFonts w:eastAsia="Times New Roman" w:cs="Times New Roman"/>
          <w:sz w:val="24"/>
          <w:szCs w:val="24"/>
          <w:lang w:eastAsia="en-GB"/>
        </w:rPr>
      </w:pPr>
      <w:r w:rsidRPr="004F2991">
        <w:rPr>
          <w:rFonts w:eastAsia="Times New Roman" w:cs="Times New Roman"/>
          <w:sz w:val="24"/>
          <w:szCs w:val="24"/>
          <w:lang w:eastAsia="en-GB"/>
        </w:rPr>
        <w:t xml:space="preserve">OECD (2024) </w:t>
      </w:r>
      <w:r w:rsidRPr="004F2991">
        <w:rPr>
          <w:rFonts w:eastAsiaTheme="majorEastAsia" w:cs="Times New Roman"/>
          <w:i/>
          <w:iCs/>
          <w:sz w:val="24"/>
          <w:szCs w:val="24"/>
          <w:lang w:eastAsia="en-GB"/>
        </w:rPr>
        <w:t>AI governance and policy developments</w:t>
      </w:r>
      <w:r w:rsidRPr="004F2991">
        <w:rPr>
          <w:rFonts w:eastAsia="Times New Roman" w:cs="Times New Roman"/>
          <w:sz w:val="24"/>
          <w:szCs w:val="24"/>
          <w:lang w:eastAsia="en-GB"/>
        </w:rPr>
        <w:t xml:space="preserve">. Available at: </w:t>
      </w:r>
      <w:hyperlink r:id="rId37" w:tgtFrame="_new" w:history="1">
        <w:r w:rsidRPr="004F2991">
          <w:rPr>
            <w:rFonts w:eastAsiaTheme="majorEastAsia" w:cs="Times New Roman"/>
            <w:color w:val="0000FF"/>
            <w:sz w:val="24"/>
            <w:szCs w:val="24"/>
            <w:u w:val="single"/>
            <w:lang w:eastAsia="en-GB"/>
          </w:rPr>
          <w:t>https://www.oecd.org</w:t>
        </w:r>
      </w:hyperlink>
    </w:p>
    <w:p w14:paraId="4B1E5034" w14:textId="77777777" w:rsidR="00CB69BE" w:rsidRPr="007A7B8D" w:rsidRDefault="00CB69BE" w:rsidP="00903366">
      <w:pPr>
        <w:spacing w:before="100" w:beforeAutospacing="1" w:after="100" w:afterAutospacing="1" w:line="360" w:lineRule="auto"/>
        <w:rPr>
          <w:rFonts w:eastAsia="Times New Roman" w:cs="Times New Roman"/>
          <w:sz w:val="24"/>
          <w:szCs w:val="24"/>
          <w:lang w:eastAsia="en-GB"/>
        </w:rPr>
      </w:pPr>
      <w:r w:rsidRPr="007A7B8D">
        <w:rPr>
          <w:rFonts w:eastAsia="Times New Roman" w:cs="Times New Roman"/>
          <w:sz w:val="24"/>
          <w:szCs w:val="24"/>
          <w:lang w:eastAsia="en-GB"/>
        </w:rPr>
        <w:t xml:space="preserve">PwC (2021) </w:t>
      </w:r>
      <w:r w:rsidRPr="007A7B8D">
        <w:rPr>
          <w:rFonts w:eastAsiaTheme="majorEastAsia" w:cs="Times New Roman"/>
          <w:i/>
          <w:iCs/>
          <w:sz w:val="24"/>
          <w:szCs w:val="24"/>
          <w:lang w:eastAsia="en-GB"/>
        </w:rPr>
        <w:t>Model risk management of AI and machine learning systems</w:t>
      </w:r>
      <w:r w:rsidRPr="007A7B8D">
        <w:rPr>
          <w:rFonts w:eastAsia="Times New Roman" w:cs="Times New Roman"/>
          <w:sz w:val="24"/>
          <w:szCs w:val="24"/>
          <w:lang w:eastAsia="en-GB"/>
        </w:rPr>
        <w:t xml:space="preserve">. Available at: </w:t>
      </w:r>
      <w:hyperlink r:id="rId38" w:tgtFrame="_new" w:history="1">
        <w:r w:rsidRPr="007A7B8D">
          <w:rPr>
            <w:rFonts w:eastAsiaTheme="majorEastAsia" w:cs="Times New Roman"/>
            <w:color w:val="0000FF"/>
            <w:sz w:val="24"/>
            <w:szCs w:val="24"/>
            <w:u w:val="single"/>
            <w:lang w:eastAsia="en-GB"/>
          </w:rPr>
          <w:t>https://www.pwc.co.uk</w:t>
        </w:r>
      </w:hyperlink>
      <w:r w:rsidRPr="007A7B8D">
        <w:rPr>
          <w:rFonts w:eastAsia="Times New Roman" w:cs="Times New Roman"/>
          <w:sz w:val="24"/>
          <w:szCs w:val="24"/>
          <w:lang w:eastAsia="en-GB"/>
        </w:rPr>
        <w:t xml:space="preserve"> (Accessed: 22 April 2026).</w:t>
      </w:r>
    </w:p>
    <w:p w14:paraId="64F7BCD2" w14:textId="77777777" w:rsidR="00CB69BE" w:rsidRPr="007A7B8D" w:rsidRDefault="00CB69BE" w:rsidP="00903366">
      <w:pPr>
        <w:spacing w:before="100" w:beforeAutospacing="1" w:after="100" w:afterAutospacing="1" w:line="360" w:lineRule="auto"/>
        <w:rPr>
          <w:rFonts w:eastAsia="Times New Roman" w:cs="Times New Roman"/>
          <w:sz w:val="24"/>
          <w:szCs w:val="24"/>
          <w:lang w:eastAsia="en-GB"/>
        </w:rPr>
      </w:pPr>
      <w:r w:rsidRPr="007A7B8D">
        <w:rPr>
          <w:rFonts w:eastAsia="Times New Roman" w:cs="Times New Roman"/>
          <w:sz w:val="24"/>
          <w:szCs w:val="24"/>
          <w:lang w:eastAsia="en-GB"/>
        </w:rPr>
        <w:t xml:space="preserve">PwC (2022) </w:t>
      </w:r>
      <w:r w:rsidRPr="007A7B8D">
        <w:rPr>
          <w:rFonts w:eastAsiaTheme="majorEastAsia" w:cs="Times New Roman"/>
          <w:i/>
          <w:iCs/>
          <w:sz w:val="24"/>
          <w:szCs w:val="24"/>
          <w:lang w:eastAsia="en-GB"/>
        </w:rPr>
        <w:t>AI governance: Balancing risk and reward</w:t>
      </w:r>
      <w:r w:rsidRPr="007A7B8D">
        <w:rPr>
          <w:rFonts w:eastAsia="Times New Roman" w:cs="Times New Roman"/>
          <w:sz w:val="24"/>
          <w:szCs w:val="24"/>
          <w:lang w:eastAsia="en-GB"/>
        </w:rPr>
        <w:t xml:space="preserve">. Available at: </w:t>
      </w:r>
      <w:hyperlink r:id="rId39" w:tgtFrame="_new" w:history="1">
        <w:r w:rsidRPr="007A7B8D">
          <w:rPr>
            <w:rFonts w:eastAsiaTheme="majorEastAsia" w:cs="Times New Roman"/>
            <w:color w:val="0000FF"/>
            <w:sz w:val="24"/>
            <w:szCs w:val="24"/>
            <w:u w:val="single"/>
            <w:lang w:eastAsia="en-GB"/>
          </w:rPr>
          <w:t>https://www.pwc.co.uk</w:t>
        </w:r>
      </w:hyperlink>
      <w:r w:rsidRPr="007A7B8D">
        <w:rPr>
          <w:rFonts w:eastAsia="Times New Roman" w:cs="Times New Roman"/>
          <w:sz w:val="24"/>
          <w:szCs w:val="24"/>
          <w:lang w:eastAsia="en-GB"/>
        </w:rPr>
        <w:t xml:space="preserve"> (Accessed: 22 April 2026).</w:t>
      </w:r>
    </w:p>
    <w:p w14:paraId="0F13ADA4" w14:textId="77777777" w:rsidR="00CB69BE" w:rsidRPr="007A7B8D" w:rsidRDefault="00CB69BE" w:rsidP="00903366">
      <w:pPr>
        <w:spacing w:before="100" w:beforeAutospacing="1" w:after="100" w:afterAutospacing="1" w:line="360" w:lineRule="auto"/>
        <w:rPr>
          <w:rFonts w:eastAsia="Times New Roman" w:cs="Times New Roman"/>
          <w:sz w:val="24"/>
          <w:szCs w:val="24"/>
          <w:lang w:eastAsia="en-GB"/>
        </w:rPr>
      </w:pPr>
      <w:r w:rsidRPr="007A7B8D">
        <w:rPr>
          <w:rFonts w:eastAsia="Times New Roman" w:cs="Times New Roman"/>
          <w:sz w:val="24"/>
          <w:szCs w:val="24"/>
          <w:lang w:eastAsia="en-GB"/>
        </w:rPr>
        <w:t xml:space="preserve">Ransbotham, S., Kiron, D., Gerbert, P. and Reeves, M. (2020) ‘Expanding AI’s impact with organisational learning’, </w:t>
      </w:r>
      <w:r w:rsidRPr="007A7B8D">
        <w:rPr>
          <w:rFonts w:eastAsiaTheme="majorEastAsia" w:cs="Times New Roman"/>
          <w:i/>
          <w:iCs/>
          <w:sz w:val="24"/>
          <w:szCs w:val="24"/>
          <w:lang w:eastAsia="en-GB"/>
        </w:rPr>
        <w:t>MIT Sloan Management Review</w:t>
      </w:r>
      <w:r w:rsidRPr="007A7B8D">
        <w:rPr>
          <w:rFonts w:eastAsia="Times New Roman" w:cs="Times New Roman"/>
          <w:sz w:val="24"/>
          <w:szCs w:val="24"/>
          <w:lang w:eastAsia="en-GB"/>
        </w:rPr>
        <w:t>, 61(4).</w:t>
      </w:r>
    </w:p>
    <w:p w14:paraId="00F92EE5" w14:textId="77777777" w:rsidR="00CB69BE" w:rsidRPr="003B1183" w:rsidRDefault="00CB69BE" w:rsidP="00EC28C0">
      <w:pPr>
        <w:pStyle w:val="NormalWeb"/>
        <w:spacing w:line="360" w:lineRule="auto"/>
        <w:rPr>
          <w:rFonts w:asciiTheme="minorHAnsi" w:hAnsiTheme="minorHAnsi"/>
        </w:rPr>
      </w:pPr>
      <w:r w:rsidRPr="003B1183">
        <w:rPr>
          <w:rFonts w:asciiTheme="minorHAnsi" w:hAnsiTheme="minorHAnsi"/>
        </w:rPr>
        <w:t xml:space="preserve">Ryan, M. and Stahl, B.C. (2021) ‘Artificial intelligence ethics guidelines for developers and users: Clarifying their content and normative implications’, </w:t>
      </w:r>
      <w:r w:rsidRPr="003B1183">
        <w:rPr>
          <w:rStyle w:val="Emphasis"/>
          <w:rFonts w:asciiTheme="minorHAnsi" w:eastAsiaTheme="majorEastAsia" w:hAnsiTheme="minorHAnsi"/>
        </w:rPr>
        <w:t>Journal of Information, Communication and Ethics in Society</w:t>
      </w:r>
      <w:r w:rsidRPr="003B1183">
        <w:rPr>
          <w:rFonts w:asciiTheme="minorHAnsi" w:hAnsiTheme="minorHAnsi"/>
        </w:rPr>
        <w:t>, 19(1), pp. 61–86.</w:t>
      </w:r>
    </w:p>
    <w:p w14:paraId="7288B126" w14:textId="77777777" w:rsidR="00CB69BE" w:rsidRPr="007A7B8D" w:rsidRDefault="00CB69BE" w:rsidP="00903366">
      <w:pPr>
        <w:spacing w:before="100" w:beforeAutospacing="1" w:after="100" w:afterAutospacing="1" w:line="360" w:lineRule="auto"/>
        <w:rPr>
          <w:rFonts w:eastAsia="Times New Roman" w:cs="Times New Roman"/>
          <w:sz w:val="24"/>
          <w:szCs w:val="24"/>
          <w:lang w:eastAsia="en-GB"/>
        </w:rPr>
      </w:pPr>
      <w:r w:rsidRPr="007A7B8D">
        <w:rPr>
          <w:rFonts w:eastAsia="Times New Roman" w:cs="Times New Roman"/>
          <w:sz w:val="24"/>
          <w:szCs w:val="24"/>
          <w:lang w:eastAsia="en-GB"/>
        </w:rPr>
        <w:t xml:space="preserve">Schein, E.H. (2010) </w:t>
      </w:r>
      <w:r w:rsidRPr="007A7B8D">
        <w:rPr>
          <w:rFonts w:eastAsiaTheme="majorEastAsia" w:cs="Times New Roman"/>
          <w:i/>
          <w:iCs/>
          <w:sz w:val="24"/>
          <w:szCs w:val="24"/>
          <w:lang w:eastAsia="en-GB"/>
        </w:rPr>
        <w:t>Organisational Culture and Leadership</w:t>
      </w:r>
      <w:r w:rsidRPr="007A7B8D">
        <w:rPr>
          <w:rFonts w:eastAsia="Times New Roman" w:cs="Times New Roman"/>
          <w:sz w:val="24"/>
          <w:szCs w:val="24"/>
          <w:lang w:eastAsia="en-GB"/>
        </w:rPr>
        <w:t>. 4th edn. San Francisco: Jossey-Bass.</w:t>
      </w:r>
    </w:p>
    <w:p w14:paraId="0100F439" w14:textId="77777777" w:rsidR="00CB69BE" w:rsidRPr="003B1183" w:rsidRDefault="00CB69BE" w:rsidP="00EC28C0">
      <w:pPr>
        <w:pStyle w:val="NormalWeb"/>
        <w:spacing w:line="360" w:lineRule="auto"/>
        <w:rPr>
          <w:rFonts w:asciiTheme="minorHAnsi" w:hAnsiTheme="minorHAnsi"/>
        </w:rPr>
      </w:pPr>
      <w:r w:rsidRPr="003B1183">
        <w:rPr>
          <w:rFonts w:asciiTheme="minorHAnsi" w:hAnsiTheme="minorHAnsi"/>
        </w:rPr>
        <w:t xml:space="preserve">Stix, C. (2021) ‘Actionable principles for artificial intelligence policy’, </w:t>
      </w:r>
      <w:r w:rsidRPr="003B1183">
        <w:rPr>
          <w:rStyle w:val="Emphasis"/>
          <w:rFonts w:asciiTheme="minorHAnsi" w:eastAsiaTheme="majorEastAsia" w:hAnsiTheme="minorHAnsi"/>
        </w:rPr>
        <w:t>Philosophy &amp; Technology</w:t>
      </w:r>
      <w:r w:rsidRPr="003B1183">
        <w:rPr>
          <w:rFonts w:asciiTheme="minorHAnsi" w:hAnsiTheme="minorHAnsi"/>
        </w:rPr>
        <w:t>, 34(3), pp. 707–728.</w:t>
      </w:r>
    </w:p>
    <w:p w14:paraId="1CA5DFA3" w14:textId="77777777" w:rsidR="00CB69BE" w:rsidRPr="0025252D" w:rsidRDefault="00CB69BE" w:rsidP="00903366">
      <w:pPr>
        <w:spacing w:before="100" w:beforeAutospacing="1" w:after="100" w:afterAutospacing="1" w:line="360" w:lineRule="auto"/>
        <w:rPr>
          <w:rFonts w:eastAsia="Times New Roman" w:cs="Times New Roman"/>
          <w:sz w:val="24"/>
          <w:szCs w:val="24"/>
          <w:lang w:eastAsia="en-GB"/>
        </w:rPr>
      </w:pPr>
      <w:r w:rsidRPr="0025252D">
        <w:rPr>
          <w:rFonts w:eastAsia="Times New Roman" w:cs="Times New Roman"/>
          <w:sz w:val="24"/>
          <w:szCs w:val="24"/>
          <w:lang w:eastAsia="en-GB"/>
        </w:rPr>
        <w:t xml:space="preserve">UK Finance (2023) </w:t>
      </w:r>
      <w:r w:rsidRPr="0025252D">
        <w:rPr>
          <w:rFonts w:eastAsiaTheme="majorEastAsia" w:cs="Times New Roman"/>
          <w:i/>
          <w:iCs/>
          <w:sz w:val="24"/>
          <w:szCs w:val="24"/>
          <w:lang w:eastAsia="en-GB"/>
        </w:rPr>
        <w:t>Fraud the facts 2023</w:t>
      </w:r>
      <w:r w:rsidRPr="0025252D">
        <w:rPr>
          <w:rFonts w:eastAsia="Times New Roman" w:cs="Times New Roman"/>
          <w:sz w:val="24"/>
          <w:szCs w:val="24"/>
          <w:lang w:eastAsia="en-GB"/>
        </w:rPr>
        <w:t xml:space="preserve">. Available at: </w:t>
      </w:r>
      <w:hyperlink r:id="rId40" w:tgtFrame="_new" w:history="1">
        <w:r w:rsidRPr="0025252D">
          <w:rPr>
            <w:rFonts w:eastAsiaTheme="majorEastAsia" w:cs="Times New Roman"/>
            <w:color w:val="0000FF"/>
            <w:sz w:val="24"/>
            <w:szCs w:val="24"/>
            <w:u w:val="single"/>
            <w:lang w:eastAsia="en-GB"/>
          </w:rPr>
          <w:t>https://www.ukfinance.org.uk</w:t>
        </w:r>
      </w:hyperlink>
      <w:r w:rsidRPr="0025252D">
        <w:rPr>
          <w:rFonts w:eastAsia="Times New Roman" w:cs="Times New Roman"/>
          <w:sz w:val="24"/>
          <w:szCs w:val="24"/>
          <w:lang w:eastAsia="en-GB"/>
        </w:rPr>
        <w:t xml:space="preserve"> (Accessed: 23 April 2026).</w:t>
      </w:r>
    </w:p>
    <w:p w14:paraId="22813B25" w14:textId="77777777" w:rsidR="00CB69BE" w:rsidRPr="007A7B8D" w:rsidRDefault="00CB69BE" w:rsidP="00903366">
      <w:pPr>
        <w:spacing w:before="100" w:beforeAutospacing="1" w:after="100" w:afterAutospacing="1" w:line="360" w:lineRule="auto"/>
        <w:rPr>
          <w:rFonts w:eastAsia="Times New Roman" w:cs="Times New Roman"/>
          <w:sz w:val="24"/>
          <w:szCs w:val="24"/>
          <w:lang w:eastAsia="en-GB"/>
        </w:rPr>
      </w:pPr>
      <w:r w:rsidRPr="007A7B8D">
        <w:rPr>
          <w:rFonts w:eastAsia="Times New Roman" w:cs="Times New Roman"/>
          <w:sz w:val="24"/>
          <w:szCs w:val="24"/>
          <w:lang w:eastAsia="en-GB"/>
        </w:rPr>
        <w:t xml:space="preserve">UK Government (2023) </w:t>
      </w:r>
      <w:r w:rsidRPr="007A7B8D">
        <w:rPr>
          <w:rFonts w:eastAsiaTheme="majorEastAsia" w:cs="Times New Roman"/>
          <w:i/>
          <w:iCs/>
          <w:sz w:val="24"/>
          <w:szCs w:val="24"/>
          <w:lang w:eastAsia="en-GB"/>
        </w:rPr>
        <w:t>A pro-innovation approach to AI regulation</w:t>
      </w:r>
      <w:r w:rsidRPr="007A7B8D">
        <w:rPr>
          <w:rFonts w:eastAsia="Times New Roman" w:cs="Times New Roman"/>
          <w:sz w:val="24"/>
          <w:szCs w:val="24"/>
          <w:lang w:eastAsia="en-GB"/>
        </w:rPr>
        <w:t xml:space="preserve">. Available at: </w:t>
      </w:r>
      <w:hyperlink r:id="rId41" w:tgtFrame="_new" w:history="1">
        <w:r w:rsidRPr="007A7B8D">
          <w:rPr>
            <w:rFonts w:eastAsiaTheme="majorEastAsia" w:cs="Times New Roman"/>
            <w:color w:val="0000FF"/>
            <w:sz w:val="24"/>
            <w:szCs w:val="24"/>
            <w:u w:val="single"/>
            <w:lang w:eastAsia="en-GB"/>
          </w:rPr>
          <w:t>https://www.gov.uk</w:t>
        </w:r>
      </w:hyperlink>
      <w:r w:rsidRPr="007A7B8D">
        <w:rPr>
          <w:rFonts w:eastAsia="Times New Roman" w:cs="Times New Roman"/>
          <w:sz w:val="24"/>
          <w:szCs w:val="24"/>
          <w:lang w:eastAsia="en-GB"/>
        </w:rPr>
        <w:t xml:space="preserve"> (Accessed: 22 April 2026).</w:t>
      </w:r>
    </w:p>
    <w:p w14:paraId="52C6D1FF" w14:textId="77777777" w:rsidR="00CB69BE" w:rsidRPr="007A7B8D" w:rsidRDefault="00CB69BE" w:rsidP="00903366">
      <w:pPr>
        <w:spacing w:before="100" w:beforeAutospacing="1" w:after="100" w:afterAutospacing="1" w:line="360" w:lineRule="auto"/>
        <w:rPr>
          <w:rFonts w:eastAsia="Times New Roman" w:cs="Times New Roman"/>
          <w:sz w:val="24"/>
          <w:szCs w:val="24"/>
          <w:lang w:eastAsia="en-GB"/>
        </w:rPr>
      </w:pPr>
      <w:r w:rsidRPr="007A7B8D">
        <w:rPr>
          <w:rFonts w:eastAsia="Times New Roman" w:cs="Times New Roman"/>
          <w:sz w:val="24"/>
          <w:szCs w:val="24"/>
          <w:lang w:eastAsia="en-GB"/>
        </w:rPr>
        <w:t xml:space="preserve">Whittington, R., Angwin, D., Regnér, P., Johnson, G. and Scholes, K. (2023) </w:t>
      </w:r>
      <w:r w:rsidRPr="007A7B8D">
        <w:rPr>
          <w:rFonts w:eastAsiaTheme="majorEastAsia" w:cs="Times New Roman"/>
          <w:i/>
          <w:iCs/>
          <w:sz w:val="24"/>
          <w:szCs w:val="24"/>
          <w:lang w:eastAsia="en-GB"/>
        </w:rPr>
        <w:t>Exploring strategy: Text and cases</w:t>
      </w:r>
      <w:r w:rsidRPr="007A7B8D">
        <w:rPr>
          <w:rFonts w:eastAsia="Times New Roman" w:cs="Times New Roman"/>
          <w:sz w:val="24"/>
          <w:szCs w:val="24"/>
          <w:lang w:eastAsia="en-GB"/>
        </w:rPr>
        <w:t>. 13th edn. Harlow: Pearson.</w:t>
      </w:r>
    </w:p>
    <w:p w14:paraId="3072F3C6" w14:textId="77777777" w:rsidR="00CB69BE" w:rsidRPr="003B1183" w:rsidRDefault="00CB69BE" w:rsidP="00EC28C0">
      <w:pPr>
        <w:pStyle w:val="NormalWeb"/>
        <w:spacing w:line="360" w:lineRule="auto"/>
        <w:rPr>
          <w:rFonts w:asciiTheme="minorHAnsi" w:hAnsiTheme="minorHAnsi"/>
        </w:rPr>
      </w:pPr>
      <w:r w:rsidRPr="003B1183">
        <w:rPr>
          <w:rFonts w:asciiTheme="minorHAnsi" w:hAnsiTheme="minorHAnsi"/>
        </w:rPr>
        <w:t xml:space="preserve">Whittlestone, J., Nyrup, R., Alexandrova, A., Cave, S. and Bowman, H. (2019) ‘The role and limits of principles in AI ethics’, </w:t>
      </w:r>
      <w:r w:rsidRPr="003B1183">
        <w:rPr>
          <w:rStyle w:val="Emphasis"/>
          <w:rFonts w:asciiTheme="minorHAnsi" w:eastAsiaTheme="majorEastAsia" w:hAnsiTheme="minorHAnsi"/>
        </w:rPr>
        <w:t>Proceedings of the AAAI/ACM Conference on AI Ethics and Society</w:t>
      </w:r>
      <w:r w:rsidRPr="003B1183">
        <w:rPr>
          <w:rFonts w:asciiTheme="minorHAnsi" w:hAnsiTheme="minorHAnsi"/>
        </w:rPr>
        <w:t>, pp. 195–200.</w:t>
      </w:r>
    </w:p>
    <w:p w14:paraId="44FEC3B4" w14:textId="77777777" w:rsidR="00CB69BE" w:rsidRDefault="00CB69BE" w:rsidP="00903366">
      <w:pPr>
        <w:spacing w:before="100" w:beforeAutospacing="1" w:after="100" w:afterAutospacing="1" w:line="360" w:lineRule="auto"/>
        <w:rPr>
          <w:rFonts w:eastAsia="Times New Roman" w:cs="Times New Roman"/>
          <w:sz w:val="24"/>
          <w:szCs w:val="24"/>
          <w:lang w:eastAsia="en-GB"/>
        </w:rPr>
      </w:pPr>
      <w:r w:rsidRPr="007A7B8D">
        <w:rPr>
          <w:rFonts w:eastAsia="Times New Roman" w:cs="Times New Roman"/>
          <w:sz w:val="24"/>
          <w:szCs w:val="24"/>
          <w:lang w:eastAsia="en-GB"/>
        </w:rPr>
        <w:t xml:space="preserve">World Economic Forum (2023) </w:t>
      </w:r>
      <w:r w:rsidRPr="007A7B8D">
        <w:rPr>
          <w:rFonts w:eastAsiaTheme="majorEastAsia" w:cs="Times New Roman"/>
          <w:i/>
          <w:iCs/>
          <w:sz w:val="24"/>
          <w:szCs w:val="24"/>
          <w:lang w:eastAsia="en-GB"/>
        </w:rPr>
        <w:t>The global risks report 2023</w:t>
      </w:r>
      <w:r w:rsidRPr="007A7B8D">
        <w:rPr>
          <w:rFonts w:eastAsia="Times New Roman" w:cs="Times New Roman"/>
          <w:sz w:val="24"/>
          <w:szCs w:val="24"/>
          <w:lang w:eastAsia="en-GB"/>
        </w:rPr>
        <w:t xml:space="preserve">. Available at: </w:t>
      </w:r>
      <w:hyperlink r:id="rId42" w:tgtFrame="_new" w:history="1">
        <w:r w:rsidRPr="007A7B8D">
          <w:rPr>
            <w:rFonts w:eastAsiaTheme="majorEastAsia" w:cs="Times New Roman"/>
            <w:color w:val="0000FF"/>
            <w:sz w:val="24"/>
            <w:szCs w:val="24"/>
            <w:u w:val="single"/>
            <w:lang w:eastAsia="en-GB"/>
          </w:rPr>
          <w:t>https://www.weforum.org</w:t>
        </w:r>
      </w:hyperlink>
      <w:r w:rsidRPr="007A7B8D">
        <w:rPr>
          <w:rFonts w:eastAsia="Times New Roman" w:cs="Times New Roman"/>
          <w:sz w:val="24"/>
          <w:szCs w:val="24"/>
          <w:lang w:eastAsia="en-GB"/>
        </w:rPr>
        <w:t xml:space="preserve"> (Accessed: 22 April 2026).</w:t>
      </w:r>
    </w:p>
    <w:p w14:paraId="7CA6A2E2" w14:textId="77777777" w:rsidR="00CB69BE" w:rsidRPr="00F6476A" w:rsidRDefault="00CB69BE" w:rsidP="00F6476A">
      <w:pPr>
        <w:spacing w:line="360" w:lineRule="auto"/>
        <w:rPr>
          <w:kern w:val="2"/>
          <w:sz w:val="24"/>
          <w:szCs w:val="24"/>
          <w14:ligatures w14:val="standardContextual"/>
        </w:rPr>
      </w:pPr>
      <w:r w:rsidRPr="00FC7269">
        <w:rPr>
          <w:kern w:val="2"/>
          <w:sz w:val="24"/>
          <w:szCs w:val="24"/>
          <w14:ligatures w14:val="standardContextual"/>
        </w:rPr>
        <w:t xml:space="preserve">Zuboff, S. (2019) </w:t>
      </w:r>
      <w:r w:rsidRPr="00FC7269">
        <w:rPr>
          <w:i/>
          <w:iCs/>
          <w:kern w:val="2"/>
          <w:sz w:val="24"/>
          <w:szCs w:val="24"/>
          <w14:ligatures w14:val="standardContextual"/>
        </w:rPr>
        <w:t>The Age of Surveillance Capitalism: The Fight for a Human Future at the New Frontier of Power</w:t>
      </w:r>
      <w:r w:rsidRPr="00FC7269">
        <w:rPr>
          <w:kern w:val="2"/>
          <w:sz w:val="24"/>
          <w:szCs w:val="24"/>
          <w14:ligatures w14:val="standardContextual"/>
        </w:rPr>
        <w:t>. London: Profile Books.</w:t>
      </w:r>
    </w:p>
    <w:p w14:paraId="2873DEE0" w14:textId="77777777" w:rsidR="00F6476A" w:rsidRPr="00FC7269" w:rsidRDefault="00F6476A" w:rsidP="00FC7269">
      <w:pPr>
        <w:spacing w:line="360" w:lineRule="auto"/>
        <w:rPr>
          <w:kern w:val="2"/>
          <w:sz w:val="24"/>
          <w:szCs w:val="24"/>
          <w14:ligatures w14:val="standardContextual"/>
        </w:rPr>
      </w:pPr>
    </w:p>
    <w:p w14:paraId="58D57A8F" w14:textId="77777777" w:rsidR="00FC7269" w:rsidRDefault="00FC7269" w:rsidP="00903366">
      <w:pPr>
        <w:spacing w:before="100" w:beforeAutospacing="1" w:after="100" w:afterAutospacing="1" w:line="360" w:lineRule="auto"/>
        <w:rPr>
          <w:rFonts w:eastAsia="Times New Roman" w:cs="Times New Roman"/>
          <w:sz w:val="24"/>
          <w:szCs w:val="24"/>
          <w:lang w:eastAsia="en-GB"/>
        </w:rPr>
      </w:pPr>
    </w:p>
    <w:p w14:paraId="1995C923" w14:textId="77777777" w:rsidR="00EC28C0" w:rsidRDefault="00EC28C0" w:rsidP="00903366">
      <w:pPr>
        <w:spacing w:before="100" w:beforeAutospacing="1" w:after="100" w:afterAutospacing="1" w:line="360" w:lineRule="auto"/>
        <w:rPr>
          <w:rFonts w:eastAsia="Times New Roman" w:cs="Times New Roman"/>
          <w:sz w:val="24"/>
          <w:szCs w:val="24"/>
          <w:lang w:eastAsia="en-GB"/>
        </w:rPr>
      </w:pPr>
    </w:p>
    <w:p w14:paraId="3C13077D" w14:textId="77777777" w:rsidR="00903366" w:rsidRPr="007A7B8D" w:rsidRDefault="00903366" w:rsidP="007A7B8D">
      <w:pPr>
        <w:spacing w:before="100" w:beforeAutospacing="1" w:after="100" w:afterAutospacing="1" w:line="360" w:lineRule="auto"/>
        <w:rPr>
          <w:rFonts w:eastAsia="Times New Roman" w:cs="Times New Roman"/>
          <w:sz w:val="24"/>
          <w:szCs w:val="24"/>
          <w:lang w:eastAsia="en-GB"/>
        </w:rPr>
      </w:pPr>
    </w:p>
    <w:p w14:paraId="0A8641DE" w14:textId="77777777" w:rsidR="007A7B8D" w:rsidRPr="007A7B8D" w:rsidRDefault="007A7B8D" w:rsidP="007A7B8D">
      <w:pPr>
        <w:spacing w:line="360" w:lineRule="auto"/>
        <w:rPr>
          <w:kern w:val="2"/>
          <w14:ligatures w14:val="standardContextual"/>
        </w:rPr>
      </w:pPr>
    </w:p>
    <w:p w14:paraId="16AF0F57" w14:textId="77777777" w:rsidR="007A7B8D" w:rsidRPr="004F2991" w:rsidRDefault="007A7B8D" w:rsidP="004F2991">
      <w:pPr>
        <w:spacing w:before="100" w:beforeAutospacing="1" w:after="100" w:afterAutospacing="1" w:line="360" w:lineRule="auto"/>
        <w:rPr>
          <w:rFonts w:eastAsia="Times New Roman" w:cs="Times New Roman"/>
          <w:sz w:val="24"/>
          <w:szCs w:val="24"/>
          <w:lang w:eastAsia="en-GB"/>
        </w:rPr>
      </w:pPr>
    </w:p>
    <w:p w14:paraId="444594E8" w14:textId="77777777" w:rsidR="004F2991" w:rsidRDefault="004F2991" w:rsidP="001030F2">
      <w:pPr>
        <w:spacing w:before="100" w:beforeAutospacing="1" w:after="100" w:afterAutospacing="1" w:line="360" w:lineRule="auto"/>
        <w:rPr>
          <w:rFonts w:eastAsia="Times New Roman" w:cs="Times New Roman"/>
          <w:sz w:val="24"/>
          <w:szCs w:val="24"/>
          <w:lang w:eastAsia="en-GB"/>
        </w:rPr>
      </w:pPr>
    </w:p>
    <w:p w14:paraId="678A804E" w14:textId="77777777" w:rsidR="0025252D" w:rsidRPr="0025252D" w:rsidRDefault="0025252D" w:rsidP="0025252D">
      <w:pPr>
        <w:spacing w:line="259" w:lineRule="auto"/>
        <w:rPr>
          <w:kern w:val="2"/>
          <w14:ligatures w14:val="standardContextual"/>
        </w:rPr>
      </w:pPr>
    </w:p>
    <w:p w14:paraId="5D7F8C2B" w14:textId="77777777" w:rsidR="0025252D" w:rsidRDefault="0025252D" w:rsidP="001030F2">
      <w:pPr>
        <w:spacing w:before="100" w:beforeAutospacing="1" w:after="100" w:afterAutospacing="1" w:line="360" w:lineRule="auto"/>
        <w:rPr>
          <w:rFonts w:eastAsia="Times New Roman" w:cs="Times New Roman"/>
          <w:sz w:val="24"/>
          <w:szCs w:val="24"/>
          <w:lang w:eastAsia="en-GB"/>
        </w:rPr>
      </w:pPr>
    </w:p>
    <w:p w14:paraId="535DB141" w14:textId="77777777" w:rsidR="00421A0F" w:rsidRPr="00421A0F" w:rsidRDefault="00421A0F" w:rsidP="00421A0F">
      <w:pPr>
        <w:spacing w:line="259" w:lineRule="auto"/>
        <w:rPr>
          <w:kern w:val="2"/>
          <w14:ligatures w14:val="standardContextual"/>
        </w:rPr>
      </w:pPr>
    </w:p>
    <w:p w14:paraId="59EC338B" w14:textId="77777777" w:rsidR="00421A0F" w:rsidRDefault="00421A0F" w:rsidP="001030F2">
      <w:pPr>
        <w:spacing w:before="100" w:beforeAutospacing="1" w:after="100" w:afterAutospacing="1" w:line="360" w:lineRule="auto"/>
        <w:rPr>
          <w:rFonts w:eastAsia="Times New Roman" w:cs="Times New Roman"/>
          <w:sz w:val="24"/>
          <w:szCs w:val="24"/>
          <w:lang w:eastAsia="en-GB"/>
        </w:rPr>
      </w:pPr>
    </w:p>
    <w:p w14:paraId="645D7D8A" w14:textId="77777777" w:rsidR="001030F2" w:rsidRDefault="001030F2" w:rsidP="002F77DD">
      <w:pPr>
        <w:spacing w:before="100" w:beforeAutospacing="1" w:after="100" w:afterAutospacing="1" w:line="360" w:lineRule="auto"/>
        <w:rPr>
          <w:rFonts w:eastAsia="Times New Roman" w:cs="Times New Roman"/>
          <w:sz w:val="24"/>
          <w:szCs w:val="24"/>
          <w:lang w:eastAsia="en-GB"/>
        </w:rPr>
      </w:pPr>
    </w:p>
    <w:p w14:paraId="04DC1BAE" w14:textId="77777777" w:rsidR="00565871" w:rsidRPr="002F77DD" w:rsidRDefault="00565871" w:rsidP="002F77DD">
      <w:pPr>
        <w:spacing w:before="100" w:beforeAutospacing="1" w:after="100" w:afterAutospacing="1" w:line="360" w:lineRule="auto"/>
        <w:rPr>
          <w:rFonts w:eastAsia="Times New Roman" w:cs="Times New Roman"/>
          <w:sz w:val="24"/>
          <w:szCs w:val="24"/>
          <w:lang w:eastAsia="en-GB"/>
        </w:rPr>
      </w:pPr>
    </w:p>
    <w:p w14:paraId="3EFFD38C" w14:textId="77777777" w:rsidR="002F77DD" w:rsidRDefault="002F77DD"/>
    <w:sectPr w:rsidR="002F77DD">
      <w:footerReference w:type="default" r:id="rId4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254AA98" w14:textId="77777777" w:rsidR="0018162F" w:rsidRDefault="0018162F" w:rsidP="00AD323D">
      <w:pPr>
        <w:spacing w:after="0" w:line="240" w:lineRule="auto"/>
      </w:pPr>
      <w:r>
        <w:separator/>
      </w:r>
    </w:p>
  </w:endnote>
  <w:endnote w:type="continuationSeparator" w:id="0">
    <w:p w14:paraId="4D88C09F" w14:textId="77777777" w:rsidR="0018162F" w:rsidRDefault="0018162F" w:rsidP="00AD323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20741437"/>
      <w:docPartObj>
        <w:docPartGallery w:val="Page Numbers (Bottom of Page)"/>
        <w:docPartUnique/>
      </w:docPartObj>
    </w:sdtPr>
    <w:sdtEndPr/>
    <w:sdtContent>
      <w:p w14:paraId="2CFF3D83" w14:textId="68A27A45" w:rsidR="00AD323D" w:rsidRDefault="00AD323D">
        <w:pPr>
          <w:pStyle w:val="Footer"/>
          <w:jc w:val="center"/>
        </w:pPr>
        <w:r>
          <w:fldChar w:fldCharType="begin"/>
        </w:r>
        <w:r>
          <w:instrText>PAGE   \* MERGEFORMAT</w:instrText>
        </w:r>
        <w:r>
          <w:fldChar w:fldCharType="separate"/>
        </w:r>
        <w:r>
          <w:t>2</w:t>
        </w:r>
        <w:r>
          <w:fldChar w:fldCharType="end"/>
        </w:r>
      </w:p>
    </w:sdtContent>
  </w:sdt>
  <w:p w14:paraId="132B8C48" w14:textId="77777777" w:rsidR="00AD323D" w:rsidRDefault="00AD323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5CF1EDE" w14:textId="77777777" w:rsidR="0018162F" w:rsidRDefault="0018162F" w:rsidP="00AD323D">
      <w:pPr>
        <w:spacing w:after="0" w:line="240" w:lineRule="auto"/>
      </w:pPr>
      <w:r>
        <w:separator/>
      </w:r>
    </w:p>
  </w:footnote>
  <w:footnote w:type="continuationSeparator" w:id="0">
    <w:p w14:paraId="5B785F58" w14:textId="77777777" w:rsidR="0018162F" w:rsidRDefault="0018162F" w:rsidP="00AD323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C90BC2"/>
    <w:multiLevelType w:val="hybridMultilevel"/>
    <w:tmpl w:val="9E467B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0F1EAC"/>
    <w:multiLevelType w:val="hybridMultilevel"/>
    <w:tmpl w:val="33EE7C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7D751E1"/>
    <w:multiLevelType w:val="hybridMultilevel"/>
    <w:tmpl w:val="98300E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66065923">
    <w:abstractNumId w:val="2"/>
  </w:num>
  <w:num w:numId="2" w16cid:durableId="1546520863">
    <w:abstractNumId w:val="0"/>
  </w:num>
  <w:num w:numId="3" w16cid:durableId="56664721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256F"/>
    <w:rsid w:val="00005EFA"/>
    <w:rsid w:val="0001272E"/>
    <w:rsid w:val="00022FE5"/>
    <w:rsid w:val="000234C7"/>
    <w:rsid w:val="0005781E"/>
    <w:rsid w:val="00075937"/>
    <w:rsid w:val="00082542"/>
    <w:rsid w:val="000856E2"/>
    <w:rsid w:val="00087E89"/>
    <w:rsid w:val="000C727D"/>
    <w:rsid w:val="000D7126"/>
    <w:rsid w:val="000F6743"/>
    <w:rsid w:val="001030F2"/>
    <w:rsid w:val="001157C5"/>
    <w:rsid w:val="001220F6"/>
    <w:rsid w:val="00132653"/>
    <w:rsid w:val="001719A2"/>
    <w:rsid w:val="0018162F"/>
    <w:rsid w:val="00187B38"/>
    <w:rsid w:val="001B6D84"/>
    <w:rsid w:val="001D6D92"/>
    <w:rsid w:val="001D718F"/>
    <w:rsid w:val="001E6CBB"/>
    <w:rsid w:val="001E6EF0"/>
    <w:rsid w:val="001F1E28"/>
    <w:rsid w:val="001F4098"/>
    <w:rsid w:val="00213B53"/>
    <w:rsid w:val="0021728D"/>
    <w:rsid w:val="002176BB"/>
    <w:rsid w:val="002202FE"/>
    <w:rsid w:val="0022580A"/>
    <w:rsid w:val="0025252D"/>
    <w:rsid w:val="00253AFD"/>
    <w:rsid w:val="00264187"/>
    <w:rsid w:val="002832E9"/>
    <w:rsid w:val="0028686B"/>
    <w:rsid w:val="002A3955"/>
    <w:rsid w:val="002C298B"/>
    <w:rsid w:val="002C5236"/>
    <w:rsid w:val="002D0528"/>
    <w:rsid w:val="002D36C0"/>
    <w:rsid w:val="002D3B73"/>
    <w:rsid w:val="002D7483"/>
    <w:rsid w:val="002E7D2A"/>
    <w:rsid w:val="002F77DD"/>
    <w:rsid w:val="00303BCB"/>
    <w:rsid w:val="0031095E"/>
    <w:rsid w:val="00333F09"/>
    <w:rsid w:val="00334343"/>
    <w:rsid w:val="003725D6"/>
    <w:rsid w:val="00377109"/>
    <w:rsid w:val="00382ED4"/>
    <w:rsid w:val="00387DF3"/>
    <w:rsid w:val="00395766"/>
    <w:rsid w:val="003B03D0"/>
    <w:rsid w:val="003B15A9"/>
    <w:rsid w:val="003B5DCA"/>
    <w:rsid w:val="003C0108"/>
    <w:rsid w:val="003D04BB"/>
    <w:rsid w:val="003E7844"/>
    <w:rsid w:val="003F711E"/>
    <w:rsid w:val="004006DC"/>
    <w:rsid w:val="00403295"/>
    <w:rsid w:val="00403464"/>
    <w:rsid w:val="004121CB"/>
    <w:rsid w:val="004160DE"/>
    <w:rsid w:val="00421A0F"/>
    <w:rsid w:val="00424893"/>
    <w:rsid w:val="00446D80"/>
    <w:rsid w:val="00452C20"/>
    <w:rsid w:val="00495FC1"/>
    <w:rsid w:val="004A4369"/>
    <w:rsid w:val="004A72C2"/>
    <w:rsid w:val="004A7987"/>
    <w:rsid w:val="004B396E"/>
    <w:rsid w:val="004C1458"/>
    <w:rsid w:val="004D4DC5"/>
    <w:rsid w:val="004D67D3"/>
    <w:rsid w:val="004D7B18"/>
    <w:rsid w:val="004E3710"/>
    <w:rsid w:val="004E4401"/>
    <w:rsid w:val="004F2991"/>
    <w:rsid w:val="00503D36"/>
    <w:rsid w:val="00525ECD"/>
    <w:rsid w:val="00533379"/>
    <w:rsid w:val="0054025D"/>
    <w:rsid w:val="00542F3A"/>
    <w:rsid w:val="00546D21"/>
    <w:rsid w:val="005561E9"/>
    <w:rsid w:val="0056455F"/>
    <w:rsid w:val="00565871"/>
    <w:rsid w:val="005672C0"/>
    <w:rsid w:val="0057385B"/>
    <w:rsid w:val="00581B19"/>
    <w:rsid w:val="005846ED"/>
    <w:rsid w:val="00596510"/>
    <w:rsid w:val="005A6C68"/>
    <w:rsid w:val="006014C3"/>
    <w:rsid w:val="00607790"/>
    <w:rsid w:val="00614E96"/>
    <w:rsid w:val="006219B4"/>
    <w:rsid w:val="00630B9D"/>
    <w:rsid w:val="006369DB"/>
    <w:rsid w:val="006438F4"/>
    <w:rsid w:val="00647614"/>
    <w:rsid w:val="00672852"/>
    <w:rsid w:val="006836C6"/>
    <w:rsid w:val="00687AA0"/>
    <w:rsid w:val="00690D94"/>
    <w:rsid w:val="00692A0D"/>
    <w:rsid w:val="00695B3B"/>
    <w:rsid w:val="006968DE"/>
    <w:rsid w:val="006A3B7C"/>
    <w:rsid w:val="006C0D14"/>
    <w:rsid w:val="006C3FB6"/>
    <w:rsid w:val="006D0116"/>
    <w:rsid w:val="006E7550"/>
    <w:rsid w:val="006F5294"/>
    <w:rsid w:val="00701B27"/>
    <w:rsid w:val="007107C6"/>
    <w:rsid w:val="00712F37"/>
    <w:rsid w:val="007162BE"/>
    <w:rsid w:val="00717833"/>
    <w:rsid w:val="00721B5C"/>
    <w:rsid w:val="00731A6B"/>
    <w:rsid w:val="00744C71"/>
    <w:rsid w:val="00746057"/>
    <w:rsid w:val="00752E30"/>
    <w:rsid w:val="00762F60"/>
    <w:rsid w:val="007709F3"/>
    <w:rsid w:val="00776786"/>
    <w:rsid w:val="00787134"/>
    <w:rsid w:val="00793E19"/>
    <w:rsid w:val="007A01AD"/>
    <w:rsid w:val="007A5E0E"/>
    <w:rsid w:val="007A7B8D"/>
    <w:rsid w:val="007B234C"/>
    <w:rsid w:val="007D1C3E"/>
    <w:rsid w:val="007D5747"/>
    <w:rsid w:val="007F69C0"/>
    <w:rsid w:val="007F7536"/>
    <w:rsid w:val="00827198"/>
    <w:rsid w:val="00832A20"/>
    <w:rsid w:val="00845D9F"/>
    <w:rsid w:val="008466D6"/>
    <w:rsid w:val="0087366E"/>
    <w:rsid w:val="00876553"/>
    <w:rsid w:val="00877CC4"/>
    <w:rsid w:val="00887483"/>
    <w:rsid w:val="008A2A2D"/>
    <w:rsid w:val="008A3099"/>
    <w:rsid w:val="008A3AB5"/>
    <w:rsid w:val="008D61E7"/>
    <w:rsid w:val="00903366"/>
    <w:rsid w:val="009378E1"/>
    <w:rsid w:val="00937A1E"/>
    <w:rsid w:val="00941760"/>
    <w:rsid w:val="009663BB"/>
    <w:rsid w:val="0098731B"/>
    <w:rsid w:val="009927B1"/>
    <w:rsid w:val="00992C20"/>
    <w:rsid w:val="009B5088"/>
    <w:rsid w:val="009C043E"/>
    <w:rsid w:val="009C3F31"/>
    <w:rsid w:val="009C4684"/>
    <w:rsid w:val="009F4EF1"/>
    <w:rsid w:val="009F6CF4"/>
    <w:rsid w:val="00A06F57"/>
    <w:rsid w:val="00A22767"/>
    <w:rsid w:val="00A24162"/>
    <w:rsid w:val="00A47023"/>
    <w:rsid w:val="00A55031"/>
    <w:rsid w:val="00A77417"/>
    <w:rsid w:val="00A82712"/>
    <w:rsid w:val="00A839DC"/>
    <w:rsid w:val="00A91C29"/>
    <w:rsid w:val="00A950C5"/>
    <w:rsid w:val="00AB36EE"/>
    <w:rsid w:val="00AD30AA"/>
    <w:rsid w:val="00AD323D"/>
    <w:rsid w:val="00AD3A4E"/>
    <w:rsid w:val="00AD7A37"/>
    <w:rsid w:val="00AF01D4"/>
    <w:rsid w:val="00AF7018"/>
    <w:rsid w:val="00B43594"/>
    <w:rsid w:val="00B61E0C"/>
    <w:rsid w:val="00B6496E"/>
    <w:rsid w:val="00B7272D"/>
    <w:rsid w:val="00B747AF"/>
    <w:rsid w:val="00B87605"/>
    <w:rsid w:val="00BD5BC3"/>
    <w:rsid w:val="00BF1130"/>
    <w:rsid w:val="00BF323F"/>
    <w:rsid w:val="00BF3DD8"/>
    <w:rsid w:val="00BF59BF"/>
    <w:rsid w:val="00C04861"/>
    <w:rsid w:val="00C10350"/>
    <w:rsid w:val="00C10E34"/>
    <w:rsid w:val="00C11B41"/>
    <w:rsid w:val="00C1408B"/>
    <w:rsid w:val="00C15DD3"/>
    <w:rsid w:val="00C17D88"/>
    <w:rsid w:val="00C23AC8"/>
    <w:rsid w:val="00C25E9C"/>
    <w:rsid w:val="00C301F1"/>
    <w:rsid w:val="00C31ED3"/>
    <w:rsid w:val="00C46C7E"/>
    <w:rsid w:val="00C47332"/>
    <w:rsid w:val="00C67466"/>
    <w:rsid w:val="00C874F5"/>
    <w:rsid w:val="00C97246"/>
    <w:rsid w:val="00CA4970"/>
    <w:rsid w:val="00CA517C"/>
    <w:rsid w:val="00CB69BE"/>
    <w:rsid w:val="00CC24FA"/>
    <w:rsid w:val="00CC3FEB"/>
    <w:rsid w:val="00CC6703"/>
    <w:rsid w:val="00CD2A3B"/>
    <w:rsid w:val="00CD6957"/>
    <w:rsid w:val="00CE38E6"/>
    <w:rsid w:val="00CF3CE4"/>
    <w:rsid w:val="00D03875"/>
    <w:rsid w:val="00D12DC4"/>
    <w:rsid w:val="00D24CAF"/>
    <w:rsid w:val="00D336A0"/>
    <w:rsid w:val="00D40F72"/>
    <w:rsid w:val="00D411C7"/>
    <w:rsid w:val="00D439AA"/>
    <w:rsid w:val="00D45D20"/>
    <w:rsid w:val="00D52F52"/>
    <w:rsid w:val="00D53B9E"/>
    <w:rsid w:val="00D7256F"/>
    <w:rsid w:val="00D86EF1"/>
    <w:rsid w:val="00D95F97"/>
    <w:rsid w:val="00DA6242"/>
    <w:rsid w:val="00DB17B9"/>
    <w:rsid w:val="00DB207C"/>
    <w:rsid w:val="00DB24B7"/>
    <w:rsid w:val="00DF7E55"/>
    <w:rsid w:val="00E10FEF"/>
    <w:rsid w:val="00E133B5"/>
    <w:rsid w:val="00E25327"/>
    <w:rsid w:val="00E464A6"/>
    <w:rsid w:val="00E5692F"/>
    <w:rsid w:val="00E84ABC"/>
    <w:rsid w:val="00E875A0"/>
    <w:rsid w:val="00E93BB3"/>
    <w:rsid w:val="00EC28C0"/>
    <w:rsid w:val="00EC49F2"/>
    <w:rsid w:val="00ED466A"/>
    <w:rsid w:val="00EE0649"/>
    <w:rsid w:val="00EE6CC8"/>
    <w:rsid w:val="00EF3863"/>
    <w:rsid w:val="00F15B3D"/>
    <w:rsid w:val="00F168CD"/>
    <w:rsid w:val="00F17239"/>
    <w:rsid w:val="00F43FB2"/>
    <w:rsid w:val="00F46B84"/>
    <w:rsid w:val="00F63677"/>
    <w:rsid w:val="00F6476A"/>
    <w:rsid w:val="00F8201E"/>
    <w:rsid w:val="00FB76D1"/>
    <w:rsid w:val="00FC7269"/>
    <w:rsid w:val="00FD365B"/>
    <w:rsid w:val="00FF03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BA3375"/>
  <w15:chartTrackingRefBased/>
  <w15:docId w15:val="{E76E6E67-03A2-4DFA-A746-E28E739C85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7256F"/>
    <w:pPr>
      <w:spacing w:line="256" w:lineRule="auto"/>
    </w:pPr>
    <w:rPr>
      <w:kern w:val="0"/>
      <w14:ligatures w14:val="none"/>
    </w:rPr>
  </w:style>
  <w:style w:type="paragraph" w:styleId="Heading1">
    <w:name w:val="heading 1"/>
    <w:basedOn w:val="Normal"/>
    <w:next w:val="Normal"/>
    <w:link w:val="Heading1Char"/>
    <w:uiPriority w:val="9"/>
    <w:qFormat/>
    <w:rsid w:val="00D7256F"/>
    <w:pPr>
      <w:keepNext/>
      <w:keepLines/>
      <w:spacing w:before="360" w:after="80" w:line="259" w:lineRule="auto"/>
      <w:outlineLvl w:val="0"/>
    </w:pPr>
    <w:rPr>
      <w:rFonts w:asciiTheme="majorHAnsi" w:eastAsiaTheme="majorEastAsia" w:hAnsiTheme="majorHAnsi" w:cstheme="majorBidi"/>
      <w:color w:val="0F4761" w:themeColor="accent1" w:themeShade="BF"/>
      <w:kern w:val="2"/>
      <w:sz w:val="40"/>
      <w:szCs w:val="40"/>
      <w14:ligatures w14:val="standardContextual"/>
    </w:rPr>
  </w:style>
  <w:style w:type="paragraph" w:styleId="Heading2">
    <w:name w:val="heading 2"/>
    <w:basedOn w:val="Normal"/>
    <w:next w:val="Normal"/>
    <w:link w:val="Heading2Char"/>
    <w:uiPriority w:val="9"/>
    <w:semiHidden/>
    <w:unhideWhenUsed/>
    <w:qFormat/>
    <w:rsid w:val="00D7256F"/>
    <w:pPr>
      <w:keepNext/>
      <w:keepLines/>
      <w:spacing w:before="160" w:after="80" w:line="259" w:lineRule="auto"/>
      <w:outlineLvl w:val="1"/>
    </w:pPr>
    <w:rPr>
      <w:rFonts w:asciiTheme="majorHAnsi" w:eastAsiaTheme="majorEastAsia" w:hAnsiTheme="majorHAnsi" w:cstheme="majorBidi"/>
      <w:color w:val="0F4761" w:themeColor="accent1" w:themeShade="BF"/>
      <w:kern w:val="2"/>
      <w:sz w:val="32"/>
      <w:szCs w:val="32"/>
      <w14:ligatures w14:val="standardContextual"/>
    </w:rPr>
  </w:style>
  <w:style w:type="paragraph" w:styleId="Heading3">
    <w:name w:val="heading 3"/>
    <w:basedOn w:val="Normal"/>
    <w:next w:val="Normal"/>
    <w:link w:val="Heading3Char"/>
    <w:uiPriority w:val="9"/>
    <w:semiHidden/>
    <w:unhideWhenUsed/>
    <w:qFormat/>
    <w:rsid w:val="00D7256F"/>
    <w:pPr>
      <w:keepNext/>
      <w:keepLines/>
      <w:spacing w:before="160" w:after="80" w:line="259" w:lineRule="auto"/>
      <w:outlineLvl w:val="2"/>
    </w:pPr>
    <w:rPr>
      <w:rFonts w:eastAsiaTheme="majorEastAsia" w:cstheme="majorBidi"/>
      <w:color w:val="0F4761" w:themeColor="accent1" w:themeShade="BF"/>
      <w:kern w:val="2"/>
      <w:sz w:val="28"/>
      <w:szCs w:val="28"/>
      <w14:ligatures w14:val="standardContextual"/>
    </w:rPr>
  </w:style>
  <w:style w:type="paragraph" w:styleId="Heading4">
    <w:name w:val="heading 4"/>
    <w:basedOn w:val="Normal"/>
    <w:next w:val="Normal"/>
    <w:link w:val="Heading4Char"/>
    <w:uiPriority w:val="9"/>
    <w:semiHidden/>
    <w:unhideWhenUsed/>
    <w:qFormat/>
    <w:rsid w:val="00D7256F"/>
    <w:pPr>
      <w:keepNext/>
      <w:keepLines/>
      <w:spacing w:before="80" w:after="40" w:line="259" w:lineRule="auto"/>
      <w:outlineLvl w:val="3"/>
    </w:pPr>
    <w:rPr>
      <w:rFonts w:eastAsiaTheme="majorEastAsia" w:cstheme="majorBidi"/>
      <w:i/>
      <w:iCs/>
      <w:color w:val="0F4761" w:themeColor="accent1" w:themeShade="BF"/>
      <w:kern w:val="2"/>
      <w14:ligatures w14:val="standardContextual"/>
    </w:rPr>
  </w:style>
  <w:style w:type="paragraph" w:styleId="Heading5">
    <w:name w:val="heading 5"/>
    <w:basedOn w:val="Normal"/>
    <w:next w:val="Normal"/>
    <w:link w:val="Heading5Char"/>
    <w:uiPriority w:val="9"/>
    <w:semiHidden/>
    <w:unhideWhenUsed/>
    <w:qFormat/>
    <w:rsid w:val="00D7256F"/>
    <w:pPr>
      <w:keepNext/>
      <w:keepLines/>
      <w:spacing w:before="80" w:after="40" w:line="259" w:lineRule="auto"/>
      <w:outlineLvl w:val="4"/>
    </w:pPr>
    <w:rPr>
      <w:rFonts w:eastAsiaTheme="majorEastAsia" w:cstheme="majorBidi"/>
      <w:color w:val="0F4761" w:themeColor="accent1" w:themeShade="BF"/>
      <w:kern w:val="2"/>
      <w14:ligatures w14:val="standardContextual"/>
    </w:rPr>
  </w:style>
  <w:style w:type="paragraph" w:styleId="Heading6">
    <w:name w:val="heading 6"/>
    <w:basedOn w:val="Normal"/>
    <w:next w:val="Normal"/>
    <w:link w:val="Heading6Char"/>
    <w:uiPriority w:val="9"/>
    <w:semiHidden/>
    <w:unhideWhenUsed/>
    <w:qFormat/>
    <w:rsid w:val="00D7256F"/>
    <w:pPr>
      <w:keepNext/>
      <w:keepLines/>
      <w:spacing w:before="40" w:after="0" w:line="259" w:lineRule="auto"/>
      <w:outlineLvl w:val="5"/>
    </w:pPr>
    <w:rPr>
      <w:rFonts w:eastAsiaTheme="majorEastAsia" w:cstheme="majorBidi"/>
      <w:i/>
      <w:iCs/>
      <w:color w:val="595959" w:themeColor="text1" w:themeTint="A6"/>
      <w:kern w:val="2"/>
      <w14:ligatures w14:val="standardContextual"/>
    </w:rPr>
  </w:style>
  <w:style w:type="paragraph" w:styleId="Heading7">
    <w:name w:val="heading 7"/>
    <w:basedOn w:val="Normal"/>
    <w:next w:val="Normal"/>
    <w:link w:val="Heading7Char"/>
    <w:uiPriority w:val="9"/>
    <w:semiHidden/>
    <w:unhideWhenUsed/>
    <w:qFormat/>
    <w:rsid w:val="00D7256F"/>
    <w:pPr>
      <w:keepNext/>
      <w:keepLines/>
      <w:spacing w:before="40" w:after="0" w:line="259" w:lineRule="auto"/>
      <w:outlineLvl w:val="6"/>
    </w:pPr>
    <w:rPr>
      <w:rFonts w:eastAsiaTheme="majorEastAsia" w:cstheme="majorBidi"/>
      <w:color w:val="595959" w:themeColor="text1" w:themeTint="A6"/>
      <w:kern w:val="2"/>
      <w14:ligatures w14:val="standardContextual"/>
    </w:rPr>
  </w:style>
  <w:style w:type="paragraph" w:styleId="Heading8">
    <w:name w:val="heading 8"/>
    <w:basedOn w:val="Normal"/>
    <w:next w:val="Normal"/>
    <w:link w:val="Heading8Char"/>
    <w:uiPriority w:val="9"/>
    <w:semiHidden/>
    <w:unhideWhenUsed/>
    <w:qFormat/>
    <w:rsid w:val="00D7256F"/>
    <w:pPr>
      <w:keepNext/>
      <w:keepLines/>
      <w:spacing w:after="0" w:line="259" w:lineRule="auto"/>
      <w:outlineLvl w:val="7"/>
    </w:pPr>
    <w:rPr>
      <w:rFonts w:eastAsiaTheme="majorEastAsia" w:cstheme="majorBidi"/>
      <w:i/>
      <w:iCs/>
      <w:color w:val="272727" w:themeColor="text1" w:themeTint="D8"/>
      <w:kern w:val="2"/>
      <w14:ligatures w14:val="standardContextual"/>
    </w:rPr>
  </w:style>
  <w:style w:type="paragraph" w:styleId="Heading9">
    <w:name w:val="heading 9"/>
    <w:basedOn w:val="Normal"/>
    <w:next w:val="Normal"/>
    <w:link w:val="Heading9Char"/>
    <w:uiPriority w:val="9"/>
    <w:semiHidden/>
    <w:unhideWhenUsed/>
    <w:qFormat/>
    <w:rsid w:val="00D7256F"/>
    <w:pPr>
      <w:keepNext/>
      <w:keepLines/>
      <w:spacing w:after="0" w:line="259" w:lineRule="auto"/>
      <w:outlineLvl w:val="8"/>
    </w:pPr>
    <w:rPr>
      <w:rFonts w:eastAsiaTheme="majorEastAsia" w:cstheme="majorBidi"/>
      <w:color w:val="272727" w:themeColor="text1" w:themeTint="D8"/>
      <w:kern w:val="2"/>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7256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7256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7256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7256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7256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7256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7256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7256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7256F"/>
    <w:rPr>
      <w:rFonts w:eastAsiaTheme="majorEastAsia" w:cstheme="majorBidi"/>
      <w:color w:val="272727" w:themeColor="text1" w:themeTint="D8"/>
    </w:rPr>
  </w:style>
  <w:style w:type="paragraph" w:styleId="Title">
    <w:name w:val="Title"/>
    <w:basedOn w:val="Normal"/>
    <w:next w:val="Normal"/>
    <w:link w:val="TitleChar"/>
    <w:uiPriority w:val="10"/>
    <w:qFormat/>
    <w:rsid w:val="00D7256F"/>
    <w:pPr>
      <w:spacing w:after="80" w:line="240" w:lineRule="auto"/>
      <w:contextualSpacing/>
    </w:pPr>
    <w:rPr>
      <w:rFonts w:asciiTheme="majorHAnsi" w:eastAsiaTheme="majorEastAsia" w:hAnsiTheme="majorHAnsi" w:cstheme="majorBidi"/>
      <w:spacing w:val="-10"/>
      <w:kern w:val="28"/>
      <w:sz w:val="56"/>
      <w:szCs w:val="56"/>
      <w14:ligatures w14:val="standardContextual"/>
    </w:rPr>
  </w:style>
  <w:style w:type="character" w:customStyle="1" w:styleId="TitleChar">
    <w:name w:val="Title Char"/>
    <w:basedOn w:val="DefaultParagraphFont"/>
    <w:link w:val="Title"/>
    <w:uiPriority w:val="10"/>
    <w:rsid w:val="00D7256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7256F"/>
    <w:pPr>
      <w:numPr>
        <w:ilvl w:val="1"/>
      </w:numPr>
      <w:spacing w:line="259" w:lineRule="auto"/>
    </w:pPr>
    <w:rPr>
      <w:rFonts w:eastAsiaTheme="majorEastAsia" w:cstheme="majorBidi"/>
      <w:color w:val="595959" w:themeColor="text1" w:themeTint="A6"/>
      <w:spacing w:val="15"/>
      <w:kern w:val="2"/>
      <w:sz w:val="28"/>
      <w:szCs w:val="28"/>
      <w14:ligatures w14:val="standardContextual"/>
    </w:rPr>
  </w:style>
  <w:style w:type="character" w:customStyle="1" w:styleId="SubtitleChar">
    <w:name w:val="Subtitle Char"/>
    <w:basedOn w:val="DefaultParagraphFont"/>
    <w:link w:val="Subtitle"/>
    <w:uiPriority w:val="11"/>
    <w:rsid w:val="00D7256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7256F"/>
    <w:pPr>
      <w:spacing w:before="160" w:line="259" w:lineRule="auto"/>
      <w:jc w:val="center"/>
    </w:pPr>
    <w:rPr>
      <w:i/>
      <w:iCs/>
      <w:color w:val="404040" w:themeColor="text1" w:themeTint="BF"/>
      <w:kern w:val="2"/>
      <w14:ligatures w14:val="standardContextual"/>
    </w:rPr>
  </w:style>
  <w:style w:type="character" w:customStyle="1" w:styleId="QuoteChar">
    <w:name w:val="Quote Char"/>
    <w:basedOn w:val="DefaultParagraphFont"/>
    <w:link w:val="Quote"/>
    <w:uiPriority w:val="29"/>
    <w:rsid w:val="00D7256F"/>
    <w:rPr>
      <w:i/>
      <w:iCs/>
      <w:color w:val="404040" w:themeColor="text1" w:themeTint="BF"/>
    </w:rPr>
  </w:style>
  <w:style w:type="paragraph" w:styleId="ListParagraph">
    <w:name w:val="List Paragraph"/>
    <w:basedOn w:val="Normal"/>
    <w:uiPriority w:val="34"/>
    <w:qFormat/>
    <w:rsid w:val="00D7256F"/>
    <w:pPr>
      <w:spacing w:line="259" w:lineRule="auto"/>
      <w:ind w:left="720"/>
      <w:contextualSpacing/>
    </w:pPr>
    <w:rPr>
      <w:kern w:val="2"/>
      <w14:ligatures w14:val="standardContextual"/>
    </w:rPr>
  </w:style>
  <w:style w:type="character" w:styleId="IntenseEmphasis">
    <w:name w:val="Intense Emphasis"/>
    <w:basedOn w:val="DefaultParagraphFont"/>
    <w:uiPriority w:val="21"/>
    <w:qFormat/>
    <w:rsid w:val="00D7256F"/>
    <w:rPr>
      <w:i/>
      <w:iCs/>
      <w:color w:val="0F4761" w:themeColor="accent1" w:themeShade="BF"/>
    </w:rPr>
  </w:style>
  <w:style w:type="paragraph" w:styleId="IntenseQuote">
    <w:name w:val="Intense Quote"/>
    <w:basedOn w:val="Normal"/>
    <w:next w:val="Normal"/>
    <w:link w:val="IntenseQuoteChar"/>
    <w:uiPriority w:val="30"/>
    <w:qFormat/>
    <w:rsid w:val="00D7256F"/>
    <w:pPr>
      <w:pBdr>
        <w:top w:val="single" w:sz="4" w:space="10" w:color="0F4761" w:themeColor="accent1" w:themeShade="BF"/>
        <w:bottom w:val="single" w:sz="4" w:space="10" w:color="0F4761" w:themeColor="accent1" w:themeShade="BF"/>
      </w:pBdr>
      <w:spacing w:before="360" w:after="360" w:line="259" w:lineRule="auto"/>
      <w:ind w:left="864" w:right="864"/>
      <w:jc w:val="center"/>
    </w:pPr>
    <w:rPr>
      <w:i/>
      <w:iCs/>
      <w:color w:val="0F4761" w:themeColor="accent1" w:themeShade="BF"/>
      <w:kern w:val="2"/>
      <w14:ligatures w14:val="standardContextual"/>
    </w:rPr>
  </w:style>
  <w:style w:type="character" w:customStyle="1" w:styleId="IntenseQuoteChar">
    <w:name w:val="Intense Quote Char"/>
    <w:basedOn w:val="DefaultParagraphFont"/>
    <w:link w:val="IntenseQuote"/>
    <w:uiPriority w:val="30"/>
    <w:rsid w:val="00D7256F"/>
    <w:rPr>
      <w:i/>
      <w:iCs/>
      <w:color w:val="0F4761" w:themeColor="accent1" w:themeShade="BF"/>
    </w:rPr>
  </w:style>
  <w:style w:type="character" w:styleId="IntenseReference">
    <w:name w:val="Intense Reference"/>
    <w:basedOn w:val="DefaultParagraphFont"/>
    <w:uiPriority w:val="32"/>
    <w:qFormat/>
    <w:rsid w:val="00D7256F"/>
    <w:rPr>
      <w:b/>
      <w:bCs/>
      <w:smallCaps/>
      <w:color w:val="0F4761" w:themeColor="accent1" w:themeShade="BF"/>
      <w:spacing w:val="5"/>
    </w:rPr>
  </w:style>
  <w:style w:type="character" w:styleId="Hyperlink">
    <w:name w:val="Hyperlink"/>
    <w:basedOn w:val="DefaultParagraphFont"/>
    <w:uiPriority w:val="99"/>
    <w:unhideWhenUsed/>
    <w:rsid w:val="00D7256F"/>
    <w:rPr>
      <w:color w:val="467886" w:themeColor="hyperlink"/>
      <w:u w:val="single"/>
    </w:rPr>
  </w:style>
  <w:style w:type="paragraph" w:styleId="TOC1">
    <w:name w:val="toc 1"/>
    <w:basedOn w:val="Normal"/>
    <w:next w:val="Normal"/>
    <w:autoRedefine/>
    <w:uiPriority w:val="39"/>
    <w:unhideWhenUsed/>
    <w:rsid w:val="00D7256F"/>
    <w:pPr>
      <w:spacing w:after="100"/>
    </w:pPr>
  </w:style>
  <w:style w:type="paragraph" w:styleId="TOC2">
    <w:name w:val="toc 2"/>
    <w:basedOn w:val="Normal"/>
    <w:next w:val="Normal"/>
    <w:autoRedefine/>
    <w:uiPriority w:val="39"/>
    <w:unhideWhenUsed/>
    <w:rsid w:val="00D7256F"/>
    <w:pPr>
      <w:spacing w:after="100"/>
      <w:ind w:left="220"/>
    </w:pPr>
  </w:style>
  <w:style w:type="character" w:customStyle="1" w:styleId="NoSpacingChar">
    <w:name w:val="No Spacing Char"/>
    <w:basedOn w:val="DefaultParagraphFont"/>
    <w:link w:val="NoSpacing"/>
    <w:uiPriority w:val="1"/>
    <w:locked/>
    <w:rsid w:val="00D7256F"/>
    <w:rPr>
      <w:rFonts w:ascii="SimSun" w:eastAsiaTheme="minorEastAsia" w:hAnsi="SimSun"/>
      <w:lang w:val="en-US"/>
    </w:rPr>
  </w:style>
  <w:style w:type="paragraph" w:styleId="NoSpacing">
    <w:name w:val="No Spacing"/>
    <w:link w:val="NoSpacingChar"/>
    <w:uiPriority w:val="1"/>
    <w:qFormat/>
    <w:rsid w:val="00D7256F"/>
    <w:pPr>
      <w:spacing w:after="0" w:line="240" w:lineRule="auto"/>
    </w:pPr>
    <w:rPr>
      <w:rFonts w:ascii="SimSun" w:eastAsiaTheme="minorEastAsia" w:hAnsi="SimSun"/>
      <w:lang w:val="en-US"/>
    </w:rPr>
  </w:style>
  <w:style w:type="paragraph" w:styleId="TOCHeading">
    <w:name w:val="TOC Heading"/>
    <w:basedOn w:val="Heading1"/>
    <w:next w:val="Normal"/>
    <w:uiPriority w:val="39"/>
    <w:semiHidden/>
    <w:unhideWhenUsed/>
    <w:qFormat/>
    <w:rsid w:val="00D7256F"/>
    <w:pPr>
      <w:spacing w:before="240" w:after="0" w:line="256" w:lineRule="auto"/>
      <w:outlineLvl w:val="9"/>
    </w:pPr>
    <w:rPr>
      <w:kern w:val="0"/>
      <w:sz w:val="32"/>
      <w:szCs w:val="32"/>
      <w:lang w:val="en-US"/>
      <w14:ligatures w14:val="none"/>
    </w:rPr>
  </w:style>
  <w:style w:type="paragraph" w:styleId="NormalWeb">
    <w:name w:val="Normal (Web)"/>
    <w:basedOn w:val="Normal"/>
    <w:uiPriority w:val="99"/>
    <w:unhideWhenUsed/>
    <w:rsid w:val="0059651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whitespace-normal">
    <w:name w:val="whitespace-normal"/>
    <w:basedOn w:val="DefaultParagraphFont"/>
    <w:rsid w:val="00596510"/>
  </w:style>
  <w:style w:type="character" w:styleId="Emphasis">
    <w:name w:val="Emphasis"/>
    <w:basedOn w:val="DefaultParagraphFont"/>
    <w:uiPriority w:val="20"/>
    <w:qFormat/>
    <w:rsid w:val="00903366"/>
    <w:rPr>
      <w:i/>
      <w:iCs/>
    </w:rPr>
  </w:style>
  <w:style w:type="paragraph" w:styleId="Header">
    <w:name w:val="header"/>
    <w:basedOn w:val="Normal"/>
    <w:link w:val="HeaderChar"/>
    <w:uiPriority w:val="99"/>
    <w:unhideWhenUsed/>
    <w:rsid w:val="00AD323D"/>
    <w:pPr>
      <w:tabs>
        <w:tab w:val="center" w:pos="4513"/>
        <w:tab w:val="right" w:pos="9026"/>
      </w:tabs>
      <w:spacing w:after="0" w:line="240" w:lineRule="auto"/>
    </w:pPr>
  </w:style>
  <w:style w:type="character" w:customStyle="1" w:styleId="HeaderChar">
    <w:name w:val="Header Char"/>
    <w:basedOn w:val="DefaultParagraphFont"/>
    <w:link w:val="Header"/>
    <w:uiPriority w:val="99"/>
    <w:rsid w:val="00AD323D"/>
    <w:rPr>
      <w:kern w:val="0"/>
      <w14:ligatures w14:val="none"/>
    </w:rPr>
  </w:style>
  <w:style w:type="paragraph" w:styleId="Footer">
    <w:name w:val="footer"/>
    <w:basedOn w:val="Normal"/>
    <w:link w:val="FooterChar"/>
    <w:uiPriority w:val="99"/>
    <w:unhideWhenUsed/>
    <w:rsid w:val="00AD323D"/>
    <w:pPr>
      <w:tabs>
        <w:tab w:val="center" w:pos="4513"/>
        <w:tab w:val="right" w:pos="9026"/>
      </w:tabs>
      <w:spacing w:after="0" w:line="240" w:lineRule="auto"/>
    </w:pPr>
  </w:style>
  <w:style w:type="character" w:customStyle="1" w:styleId="FooterChar">
    <w:name w:val="Footer Char"/>
    <w:basedOn w:val="DefaultParagraphFont"/>
    <w:link w:val="Footer"/>
    <w:uiPriority w:val="99"/>
    <w:rsid w:val="00AD323D"/>
    <w:rPr>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accenture.com" TargetMode="External"/><Relationship Id="rId18" Type="http://schemas.openxmlformats.org/officeDocument/2006/relationships/hyperlink" Target="https://www2.deloitte.com" TargetMode="External"/><Relationship Id="rId26" Type="http://schemas.openxmlformats.org/officeDocument/2006/relationships/hyperlink" Target="https://www.fsb.org" TargetMode="External"/><Relationship Id="rId39" Type="http://schemas.openxmlformats.org/officeDocument/2006/relationships/hyperlink" Target="https://www.pwc.co.uk" TargetMode="External"/><Relationship Id="rId21" Type="http://schemas.openxmlformats.org/officeDocument/2006/relationships/hyperlink" Target="https://www.ecb.europa.eu" TargetMode="External"/><Relationship Id="rId34" Type="http://schemas.openxmlformats.org/officeDocument/2006/relationships/hyperlink" Target="https://www.mckinsey.com" TargetMode="External"/><Relationship Id="rId42" Type="http://schemas.openxmlformats.org/officeDocument/2006/relationships/hyperlink" Target="https://www.weforum.org" TargetMode="Externa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www.bis.org" TargetMode="External"/><Relationship Id="rId29" Type="http://schemas.openxmlformats.org/officeDocument/2006/relationships/hyperlink" Target="https://ico.org.uk"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ey.com" TargetMode="External"/><Relationship Id="rId32" Type="http://schemas.openxmlformats.org/officeDocument/2006/relationships/hyperlink" Target="https://www.mckinsey.com" TargetMode="External"/><Relationship Id="rId37" Type="http://schemas.openxmlformats.org/officeDocument/2006/relationships/hyperlink" Target="https://www.oecd.org" TargetMode="External"/><Relationship Id="rId40" Type="http://schemas.openxmlformats.org/officeDocument/2006/relationships/hyperlink" Target="https://www.ukfinance.org.uk" TargetMode="External"/><Relationship Id="rId45" Type="http://schemas.openxmlformats.org/officeDocument/2006/relationships/glossaryDocument" Target="glossary/document.xml"/><Relationship Id="rId5" Type="http://schemas.openxmlformats.org/officeDocument/2006/relationships/numbering" Target="numbering.xml"/><Relationship Id="rId15" Type="http://schemas.openxmlformats.org/officeDocument/2006/relationships/hyperlink" Target="https://www.bankofengland.co.uk" TargetMode="External"/><Relationship Id="rId23" Type="http://schemas.openxmlformats.org/officeDocument/2006/relationships/hyperlink" Target="https://www.europarl.europa.eu" TargetMode="External"/><Relationship Id="rId28" Type="http://schemas.openxmlformats.org/officeDocument/2006/relationships/hyperlink" Target="https://www.ibm.com" TargetMode="External"/><Relationship Id="rId36" Type="http://schemas.openxmlformats.org/officeDocument/2006/relationships/hyperlink" Target="https://www.oecd.org" TargetMode="External"/><Relationship Id="rId10" Type="http://schemas.openxmlformats.org/officeDocument/2006/relationships/endnotes" Target="endnotes.xml"/><Relationship Id="rId19" Type="http://schemas.openxmlformats.org/officeDocument/2006/relationships/hyperlink" Target="https://www.gov.uk" TargetMode="External"/><Relationship Id="rId31" Type="http://schemas.openxmlformats.org/officeDocument/2006/relationships/hyperlink" Target="https://www.kpmg.com" TargetMode="External"/><Relationship Id="rId44"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bis.org" TargetMode="External"/><Relationship Id="rId22" Type="http://schemas.openxmlformats.org/officeDocument/2006/relationships/hyperlink" Target="https://www.edpb.europa.eu" TargetMode="External"/><Relationship Id="rId27" Type="http://schemas.openxmlformats.org/officeDocument/2006/relationships/hyperlink" Target="https://www.hsbc.com" TargetMode="External"/><Relationship Id="rId30" Type="http://schemas.openxmlformats.org/officeDocument/2006/relationships/hyperlink" Target="https://www.iif.com" TargetMode="External"/><Relationship Id="rId35" Type="http://schemas.openxmlformats.org/officeDocument/2006/relationships/hyperlink" Target="https://www.microsoft.com" TargetMode="External"/><Relationship Id="rId43" Type="http://schemas.openxmlformats.org/officeDocument/2006/relationships/footer" Target="footer1.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hyperlink" Target="https://www.deloitte.com" TargetMode="External"/><Relationship Id="rId25" Type="http://schemas.openxmlformats.org/officeDocument/2006/relationships/hyperlink" Target="https://www.fca.org.uk" TargetMode="External"/><Relationship Id="rId33" Type="http://schemas.openxmlformats.org/officeDocument/2006/relationships/hyperlink" Target="https://www.mckinsey.com" TargetMode="External"/><Relationship Id="rId38" Type="http://schemas.openxmlformats.org/officeDocument/2006/relationships/hyperlink" Target="https://www.pwc.co.uk" TargetMode="External"/><Relationship Id="rId46" Type="http://schemas.openxmlformats.org/officeDocument/2006/relationships/theme" Target="theme/theme1.xml"/><Relationship Id="rId20" Type="http://schemas.openxmlformats.org/officeDocument/2006/relationships/hyperlink" Target="https://www.eba.europa.eu" TargetMode="External"/><Relationship Id="rId41" Type="http://schemas.openxmlformats.org/officeDocument/2006/relationships/hyperlink" Target="https://www.gov.uk"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C681AFA0CCD4090A862435A584594D0"/>
        <w:category>
          <w:name w:val="General"/>
          <w:gallery w:val="placeholder"/>
        </w:category>
        <w:types>
          <w:type w:val="bbPlcHdr"/>
        </w:types>
        <w:behaviors>
          <w:behavior w:val="content"/>
        </w:behaviors>
        <w:guid w:val="{56B480F3-84CD-4203-8F68-64FBB99FEC2C}"/>
      </w:docPartPr>
      <w:docPartBody>
        <w:p w:rsidR="005535C6" w:rsidRDefault="0042347C" w:rsidP="0042347C">
          <w:pPr>
            <w:pStyle w:val="DC681AFA0CCD4090A862435A584594D0"/>
          </w:pPr>
          <w:r>
            <w:rPr>
              <w:rFonts w:asciiTheme="majorHAnsi" w:eastAsiaTheme="majorEastAsia" w:hAnsiTheme="majorHAnsi" w:cstheme="majorBidi"/>
              <w:caps/>
              <w:color w:val="156082"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347C"/>
    <w:rsid w:val="000336B4"/>
    <w:rsid w:val="001D5E8F"/>
    <w:rsid w:val="001D718F"/>
    <w:rsid w:val="0034248C"/>
    <w:rsid w:val="0042347C"/>
    <w:rsid w:val="004E4401"/>
    <w:rsid w:val="00542F3A"/>
    <w:rsid w:val="005535C6"/>
    <w:rsid w:val="00701B27"/>
    <w:rsid w:val="00A77417"/>
    <w:rsid w:val="00AE4D88"/>
    <w:rsid w:val="00D6267A"/>
    <w:rsid w:val="00EE6C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681AFA0CCD4090A862435A584594D0">
    <w:name w:val="DC681AFA0CCD4090A862435A584594D0"/>
    <w:rsid w:val="0042347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overPageProperties xmlns="http://schemas.microsoft.com/office/2006/coverPageProps">
  <PublishDate>2026-04-06T00:00:00</PublishDate>
  <Abstract/>
  <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1EA93FCFC434443B0AE604161AB70C3" ma:contentTypeVersion="13" ma:contentTypeDescription="Create a new document." ma:contentTypeScope="" ma:versionID="d8c24ea06f7adc96addb9856189de53d">
  <xsd:schema xmlns:xsd="http://www.w3.org/2001/XMLSchema" xmlns:xs="http://www.w3.org/2001/XMLSchema" xmlns:p="http://schemas.microsoft.com/office/2006/metadata/properties" xmlns:ns3="c82ff366-8b5f-4e68-9f1d-9bc90fbcbde6" targetNamespace="http://schemas.microsoft.com/office/2006/metadata/properties" ma:root="true" ma:fieldsID="98168bff9a57adfdc64a17277436a095" ns3:_="">
    <xsd:import namespace="c82ff366-8b5f-4e68-9f1d-9bc90fbcbde6"/>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3:MediaServiceSearchProperties" minOccurs="0"/>
                <xsd:element ref="ns3:_activity" minOccurs="0"/>
                <xsd:element ref="ns3:MediaServiceObjectDetectorVersions" minOccurs="0"/>
                <xsd:element ref="ns3:MediaServiceDateTaken"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82ff366-8b5f-4e68-9f1d-9bc90fbcbde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SearchProperties" ma:index="16" nillable="true" ma:displayName="MediaServiceSearchProperties" ma:hidden="true" ma:internalName="MediaServiceSearchProperties" ma:readOnly="true">
      <xsd:simpleType>
        <xsd:restriction base="dms:Note"/>
      </xsd:simpleType>
    </xsd:element>
    <xsd:element name="_activity" ma:index="17" nillable="true" ma:displayName="_activity" ma:hidden="true" ma:internalName="_activity">
      <xsd:simpleType>
        <xsd:restriction base="dms:Note"/>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DateTaken" ma:index="19" nillable="true" ma:displayName="MediaServiceDateTaken" ma:hidden="true" ma:indexed="true" ma:internalName="MediaServiceDateTaken" ma:readOnly="true">
      <xsd:simpleType>
        <xsd:restriction base="dms:Text"/>
      </xsd:simpleType>
    </xsd:element>
    <xsd:element name="MediaServiceSystemTags" ma:index="20" nillable="true" ma:displayName="MediaServiceSystemTags" ma:hidden="true" ma:internalName="MediaServiceSystemTag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c82ff366-8b5f-4e68-9f1d-9bc90fbcbde6"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CB85E49-E56F-4C74-98E5-01A23F60E95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82ff366-8b5f-4e68-9f1d-9bc90fbcbde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48B23CC-68FF-47DD-8D3D-6B320E25CB0F}">
  <ds:schemaRefs>
    <ds:schemaRef ds:uri="http://schemas.microsoft.com/office/2006/metadata/properties"/>
    <ds:schemaRef ds:uri="http://schemas.microsoft.com/office/infopath/2007/PartnerControls"/>
    <ds:schemaRef ds:uri="c82ff366-8b5f-4e68-9f1d-9bc90fbcbde6"/>
  </ds:schemaRefs>
</ds:datastoreItem>
</file>

<file path=customXml/itemProps4.xml><?xml version="1.0" encoding="utf-8"?>
<ds:datastoreItem xmlns:ds="http://schemas.openxmlformats.org/officeDocument/2006/customXml" ds:itemID="{774D1C20-D9BA-4143-8E26-5912A054CF51}">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631</TotalTime>
  <Pages>6</Pages>
  <Words>7396</Words>
  <Characters>42163</Characters>
  <Application>Microsoft Office Word</Application>
  <DocSecurity>0</DocSecurity>
  <Lines>351</Lines>
  <Paragraphs>98</Paragraphs>
  <ScaleCrop>false</ScaleCrop>
  <Company/>
  <LinksUpToDate>false</LinksUpToDate>
  <CharactersWithSpaces>49461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BMMB7006 gLOBAL BUSINESS CHALLENGES</dc:title>
  <dc:subject>Lyssa Muir (1917752)</dc:subject>
  <dc:creator>Lyssa Muir (1917752)</dc:creator>
  <cp:keywords/>
  <dc:description/>
  <cp:lastModifiedBy>Lyssa Muir (1917752)</cp:lastModifiedBy>
  <cp:revision>263</cp:revision>
  <dcterms:created xsi:type="dcterms:W3CDTF">2026-04-22T17:11:00Z</dcterms:created>
  <dcterms:modified xsi:type="dcterms:W3CDTF">2026-04-27T11:55:00Z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0x01010051EA93FCFC434443B0AE604161AB70C3</vt:lpwstr>
  </property>
</Properties>
</file>