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C0424" w14:textId="77777777" w:rsidR="00E73766" w:rsidRPr="00F600F9" w:rsidRDefault="00E73766" w:rsidP="00E73766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BMMB7012D – Marketing Management</w:t>
      </w:r>
    </w:p>
    <w:p w14:paraId="5E679252" w14:textId="0B0C5B80" w:rsidR="00E73766" w:rsidRDefault="00E73766" w:rsidP="00E73766">
      <w:pPr>
        <w:jc w:val="center"/>
        <w:rPr>
          <w:rFonts w:ascii="Arial" w:hAnsi="Arial" w:cs="Arial"/>
          <w:b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741EEB47" w14:textId="493D8122" w:rsidR="00812241" w:rsidRDefault="00812241" w:rsidP="00E7376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Zafar Qureshi:2014878</w:t>
      </w:r>
    </w:p>
    <w:p w14:paraId="46654B4D" w14:textId="77777777" w:rsidR="00E73766" w:rsidRDefault="00E73766" w:rsidP="00E737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E73766" w14:paraId="3926EE02" w14:textId="77777777" w:rsidTr="00ED1D3C">
        <w:trPr>
          <w:jc w:val="center"/>
        </w:trPr>
        <w:tc>
          <w:tcPr>
            <w:tcW w:w="9016" w:type="dxa"/>
          </w:tcPr>
          <w:p w14:paraId="370697F3" w14:textId="77777777" w:rsidR="00E73766" w:rsidRDefault="00E73766" w:rsidP="00ED1D3C">
            <w:pPr>
              <w:jc w:val="center"/>
              <w:rPr>
                <w:rFonts w:ascii="Arial" w:hAnsi="Arial" w:cs="Arial"/>
              </w:rPr>
            </w:pPr>
          </w:p>
          <w:p w14:paraId="130009FD" w14:textId="77777777" w:rsidR="00E73766" w:rsidRDefault="00E73766" w:rsidP="00ED1D3C">
            <w:pPr>
              <w:jc w:val="center"/>
              <w:rPr>
                <w:rFonts w:ascii="Arial" w:hAnsi="Arial" w:cs="Arial"/>
              </w:rPr>
            </w:pPr>
            <w:r w:rsidRPr="002757B0">
              <w:rPr>
                <w:rFonts w:ascii="Arial" w:hAnsi="Arial" w:cs="Arial"/>
              </w:rPr>
              <w:t>https://youtu.be/JRdsZw7kT0Y</w:t>
            </w:r>
          </w:p>
          <w:p w14:paraId="038BF80B" w14:textId="77777777" w:rsidR="00E73766" w:rsidRDefault="00E73766" w:rsidP="00ED1D3C">
            <w:pPr>
              <w:jc w:val="center"/>
              <w:rPr>
                <w:rFonts w:ascii="Arial" w:hAnsi="Arial" w:cs="Arial"/>
              </w:rPr>
            </w:pPr>
          </w:p>
          <w:p w14:paraId="2BB77C43" w14:textId="77777777" w:rsidR="00E73766" w:rsidRDefault="00E73766" w:rsidP="00ED1D3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5858A23" w14:textId="77777777" w:rsidR="00E73766" w:rsidRDefault="00E73766" w:rsidP="00E73766">
      <w:pPr>
        <w:jc w:val="center"/>
        <w:rPr>
          <w:rFonts w:ascii="Arial" w:hAnsi="Arial" w:cs="Arial"/>
        </w:rPr>
      </w:pPr>
    </w:p>
    <w:p w14:paraId="0F11182A" w14:textId="77777777" w:rsidR="00E73766" w:rsidRDefault="00E73766" w:rsidP="00E737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E73766" w14:paraId="0D1C57D8" w14:textId="77777777" w:rsidTr="00ED1D3C">
        <w:trPr>
          <w:jc w:val="center"/>
        </w:trPr>
        <w:tc>
          <w:tcPr>
            <w:tcW w:w="9016" w:type="dxa"/>
          </w:tcPr>
          <w:p w14:paraId="1DD8C69F" w14:textId="77777777" w:rsidR="00E73766" w:rsidRDefault="00E73766" w:rsidP="00ED1D3C">
            <w:r>
              <w:t xml:space="preserve">Agnihotri, A. (2012) ‘Revisiting the Debate over the Bottom of the Pyramid Market’, </w:t>
            </w:r>
            <w:r>
              <w:rPr>
                <w:i/>
                <w:iCs/>
              </w:rPr>
              <w:t>Journal of Macromarketing</w:t>
            </w:r>
            <w:r>
              <w:t xml:space="preserve">, 32(4), pp. 417–423. doi: </w:t>
            </w:r>
            <w:hyperlink r:id="rId4" w:history="1">
              <w:r>
                <w:rPr>
                  <w:rStyle w:val="Hyperlink"/>
                </w:rPr>
                <w:t>10.1177/0276146712451596</w:t>
              </w:r>
            </w:hyperlink>
            <w:r>
              <w:t>.</w:t>
            </w:r>
          </w:p>
          <w:p w14:paraId="2048808E" w14:textId="77777777" w:rsidR="00E73766" w:rsidRDefault="00E73766" w:rsidP="00ED1D3C">
            <w:r>
              <w:t xml:space="preserve">Berrebi, C., Martorell, F. and Tanner, J. C. (2009) ‘Qatar’s Labor Markets at a Crucial Crossroad’, </w:t>
            </w:r>
            <w:r>
              <w:rPr>
                <w:i/>
                <w:iCs/>
              </w:rPr>
              <w:t>The Middle East Journal</w:t>
            </w:r>
            <w:r>
              <w:t xml:space="preserve">, 63(3), pp. 421–442. doi: </w:t>
            </w:r>
            <w:hyperlink r:id="rId5" w:history="1">
              <w:r>
                <w:rPr>
                  <w:rStyle w:val="Hyperlink"/>
                </w:rPr>
                <w:t>http://dx.doi.org.ezproxy.uwtsd.ac.uk/10.3751/63.3.14</w:t>
              </w:r>
            </w:hyperlink>
            <w:r>
              <w:t>.</w:t>
            </w:r>
          </w:p>
          <w:p w14:paraId="1878834E" w14:textId="77777777" w:rsidR="00E73766" w:rsidRDefault="00E73766" w:rsidP="00ED1D3C">
            <w:r>
              <w:t xml:space="preserve">Cacciolatti, L. and Lee, S. H. (2016) ‘Revisiting the relationship between marketing capabilities and firm performance: The moderating role of market orientation, marketing strategy and organisational power’, </w:t>
            </w:r>
            <w:r>
              <w:rPr>
                <w:i/>
                <w:iCs/>
              </w:rPr>
              <w:t>Journal of Business Research</w:t>
            </w:r>
            <w:r>
              <w:t xml:space="preserve">, 69(12), pp. 5597–5610. doi: </w:t>
            </w:r>
            <w:hyperlink r:id="rId6" w:history="1">
              <w:r>
                <w:rPr>
                  <w:rStyle w:val="Hyperlink"/>
                </w:rPr>
                <w:t>10.1016/j.jbusres.2016.03.067</w:t>
              </w:r>
            </w:hyperlink>
            <w:r>
              <w:t>.</w:t>
            </w:r>
          </w:p>
          <w:p w14:paraId="62521842" w14:textId="77777777" w:rsidR="00E73766" w:rsidRDefault="00E73766" w:rsidP="00ED1D3C">
            <w:r>
              <w:t xml:space="preserve">Gopaldas, A. (2014) ‘Marketplace Sentiments’, </w:t>
            </w:r>
            <w:r>
              <w:rPr>
                <w:i/>
                <w:iCs/>
              </w:rPr>
              <w:t>Journal of Consumer Research</w:t>
            </w:r>
            <w:r>
              <w:t xml:space="preserve">, 41(4), pp. 995–1014. doi: </w:t>
            </w:r>
            <w:hyperlink r:id="rId7" w:history="1">
              <w:r>
                <w:rPr>
                  <w:rStyle w:val="Hyperlink"/>
                </w:rPr>
                <w:t>10.1086/678034</w:t>
              </w:r>
            </w:hyperlink>
            <w:r>
              <w:t>.</w:t>
            </w:r>
          </w:p>
          <w:p w14:paraId="02797C6A" w14:textId="77777777" w:rsidR="00E73766" w:rsidRDefault="00E73766" w:rsidP="00ED1D3C">
            <w:r>
              <w:rPr>
                <w:i/>
                <w:iCs/>
              </w:rPr>
              <w:t>Harvard Business Review</w:t>
            </w:r>
            <w:r>
              <w:t xml:space="preserve"> (2018) ‘How to Sell New Products’, 1 November. Available at: </w:t>
            </w:r>
            <w:hyperlink r:id="rId8" w:history="1">
              <w:r>
                <w:rPr>
                  <w:rStyle w:val="Hyperlink"/>
                </w:rPr>
                <w:t>https://hbr.org/2018/11/how-to-sell-new-products</w:t>
              </w:r>
            </w:hyperlink>
            <w:r>
              <w:t xml:space="preserve"> (Accessed: 5 May 2021).</w:t>
            </w:r>
          </w:p>
          <w:p w14:paraId="09A69938" w14:textId="77777777" w:rsidR="00E73766" w:rsidRDefault="00E73766" w:rsidP="00ED1D3C">
            <w:r>
              <w:t xml:space="preserve">Hedley, B. (1977) ‘Strategy and the “business portfolio”’, </w:t>
            </w:r>
            <w:r>
              <w:rPr>
                <w:i/>
                <w:iCs/>
              </w:rPr>
              <w:t>Long Range Planning</w:t>
            </w:r>
            <w:r>
              <w:t xml:space="preserve">, 10(1), pp. 9–15. doi: </w:t>
            </w:r>
            <w:hyperlink r:id="rId9" w:history="1">
              <w:r>
                <w:rPr>
                  <w:rStyle w:val="Hyperlink"/>
                </w:rPr>
                <w:t>10.1016/0024-6301(77)90042-5</w:t>
              </w:r>
            </w:hyperlink>
            <w:r>
              <w:t>.</w:t>
            </w:r>
          </w:p>
          <w:p w14:paraId="5750C15A" w14:textId="77777777" w:rsidR="00E73766" w:rsidRDefault="00E73766" w:rsidP="00ED1D3C">
            <w:r>
              <w:t xml:space="preserve">Jesse (no date) </w:t>
            </w:r>
            <w:r>
              <w:rPr>
                <w:i/>
                <w:iCs/>
              </w:rPr>
              <w:t>Why You Should Revisit Your Marketing Plan and Goals</w:t>
            </w:r>
            <w:r>
              <w:t xml:space="preserve">. Available at: </w:t>
            </w:r>
            <w:hyperlink r:id="rId10" w:history="1">
              <w:r>
                <w:rPr>
                  <w:rStyle w:val="Hyperlink"/>
                </w:rPr>
                <w:t>https://blog.aspiration.marketing/revisit-revamp-marketing-plan-goals</w:t>
              </w:r>
            </w:hyperlink>
            <w:r>
              <w:t xml:space="preserve"> (Accessed: 5 May 2021).</w:t>
            </w:r>
          </w:p>
          <w:p w14:paraId="50167985" w14:textId="77777777" w:rsidR="00E73766" w:rsidRDefault="00E73766" w:rsidP="00ED1D3C">
            <w:r>
              <w:t xml:space="preserve">Kim, K. H. and Moon, H. (2021) ‘Innovative digital marketing management in B2B markets’, </w:t>
            </w:r>
            <w:r>
              <w:rPr>
                <w:i/>
                <w:iCs/>
              </w:rPr>
              <w:t>Industrial Marketing Management</w:t>
            </w:r>
            <w:r>
              <w:t xml:space="preserve">, 95, pp. 1–4. doi: </w:t>
            </w:r>
            <w:hyperlink r:id="rId11" w:history="1">
              <w:r>
                <w:rPr>
                  <w:rStyle w:val="Hyperlink"/>
                </w:rPr>
                <w:t>10.1016/j.indmarman.2021.01.016</w:t>
              </w:r>
            </w:hyperlink>
            <w:r>
              <w:t>.</w:t>
            </w:r>
          </w:p>
          <w:p w14:paraId="0940BA16" w14:textId="77777777" w:rsidR="00E73766" w:rsidRDefault="00E73766" w:rsidP="00ED1D3C">
            <w:r>
              <w:lastRenderedPageBreak/>
              <w:t xml:space="preserve">Mostafa, M. M. (2013) ‘More than words: Social networks’ text mining for consumer brand sentiments’, </w:t>
            </w:r>
            <w:r>
              <w:rPr>
                <w:i/>
                <w:iCs/>
              </w:rPr>
              <w:t>Expert Systems with Applications</w:t>
            </w:r>
            <w:r>
              <w:t xml:space="preserve">, 40(10), pp. 4241–4251. doi: </w:t>
            </w:r>
            <w:hyperlink r:id="rId12" w:history="1">
              <w:r>
                <w:rPr>
                  <w:rStyle w:val="Hyperlink"/>
                </w:rPr>
                <w:t>10.1016/j.eswa.2013.01.019</w:t>
              </w:r>
            </w:hyperlink>
            <w:r>
              <w:t>.</w:t>
            </w:r>
          </w:p>
          <w:p w14:paraId="132F9E82" w14:textId="77777777" w:rsidR="00E73766" w:rsidRDefault="00E73766" w:rsidP="00ED1D3C">
            <w:r>
              <w:t xml:space="preserve">Pires, G. D., Stanton, J. and Stanton, P. (2011) ‘Revisiting the substantiality criterion: From ethnic marketing to market segmentation’, </w:t>
            </w:r>
            <w:r>
              <w:rPr>
                <w:i/>
                <w:iCs/>
              </w:rPr>
              <w:t>Journal of Business Research</w:t>
            </w:r>
            <w:r>
              <w:t xml:space="preserve">, 64(9), pp. 988–996. doi: </w:t>
            </w:r>
            <w:hyperlink r:id="rId13" w:history="1">
              <w:r>
                <w:rPr>
                  <w:rStyle w:val="Hyperlink"/>
                </w:rPr>
                <w:t>10.1016/j.jbusres.2010.11.022</w:t>
              </w:r>
            </w:hyperlink>
            <w:r>
              <w:t>.</w:t>
            </w:r>
          </w:p>
          <w:p w14:paraId="24E0A3C4" w14:textId="77777777" w:rsidR="00E73766" w:rsidRDefault="00E73766" w:rsidP="00ED1D3C">
            <w:r>
              <w:t xml:space="preserve">Pitta, D. and Pitta, E. (2012) ‘Transforming the nature and scope of new product development’, </w:t>
            </w:r>
            <w:r>
              <w:rPr>
                <w:i/>
                <w:iCs/>
              </w:rPr>
              <w:t>The Journal of Product and Brand Management</w:t>
            </w:r>
            <w:r>
              <w:t xml:space="preserve">, 21(1), pp. 35–46. doi: </w:t>
            </w:r>
            <w:hyperlink r:id="rId14" w:history="1">
              <w:r>
                <w:rPr>
                  <w:rStyle w:val="Hyperlink"/>
                </w:rPr>
                <w:t>http://dx.doi.org.ezproxy.uwtsd.ac.uk/10.1108/10610421211203097</w:t>
              </w:r>
            </w:hyperlink>
            <w:r>
              <w:t>.</w:t>
            </w:r>
          </w:p>
          <w:p w14:paraId="58F75511" w14:textId="77777777" w:rsidR="00E73766" w:rsidRDefault="00E73766" w:rsidP="00ED1D3C">
            <w:r>
              <w:t xml:space="preserve">Paul, J. (2015) ‘Masstige marketing redefined and mapped: Introducing a pyramid model and MMS measure’, </w:t>
            </w:r>
            <w:r>
              <w:rPr>
                <w:i/>
                <w:iCs/>
              </w:rPr>
              <w:t>Marketing Intelligence &amp; Planning</w:t>
            </w:r>
            <w:r>
              <w:t xml:space="preserve">, 33(5), pp. 691–706. doi: </w:t>
            </w:r>
            <w:hyperlink r:id="rId15" w:history="1">
              <w:r>
                <w:rPr>
                  <w:rStyle w:val="Hyperlink"/>
                </w:rPr>
                <w:t>10.1108/MIP-02-2014-0028</w:t>
              </w:r>
            </w:hyperlink>
            <w:r>
              <w:t>.</w:t>
            </w:r>
          </w:p>
          <w:p w14:paraId="2387563A" w14:textId="77777777" w:rsidR="00E73766" w:rsidRDefault="00E73766" w:rsidP="00ED1D3C">
            <w:r>
              <w:t xml:space="preserve">Quester, P. </w:t>
            </w:r>
            <w:r>
              <w:rPr>
                <w:i/>
                <w:iCs/>
              </w:rPr>
              <w:t>et al.</w:t>
            </w:r>
            <w:r>
              <w:t xml:space="preserve"> (2007) </w:t>
            </w:r>
            <w:r>
              <w:rPr>
                <w:i/>
                <w:iCs/>
              </w:rPr>
              <w:t>Consumer behaviour: implications for marketing strategy. 5th ed.</w:t>
            </w:r>
            <w:r>
              <w:t xml:space="preserve"> Sydney: McGraw-Hill. Available at: </w:t>
            </w:r>
            <w:hyperlink r:id="rId16" w:history="1">
              <w:r>
                <w:rPr>
                  <w:rStyle w:val="Hyperlink"/>
                </w:rPr>
                <w:t>http://www.mcgraw-hill.com.au/html/9780074716922.html</w:t>
              </w:r>
            </w:hyperlink>
            <w:r>
              <w:t xml:space="preserve"> (Accessed: 5 May 2021).</w:t>
            </w:r>
          </w:p>
          <w:p w14:paraId="1A03BBE0" w14:textId="77777777" w:rsidR="00E73766" w:rsidRDefault="00E73766" w:rsidP="00ED1D3C">
            <w:r>
              <w:t xml:space="preserve">Smith, C. (2015) ‘Portfolio Management’, in </w:t>
            </w:r>
            <w:r>
              <w:rPr>
                <w:i/>
                <w:iCs/>
              </w:rPr>
              <w:t>Wiley Encyclopedia of Management</w:t>
            </w:r>
            <w:r>
              <w:t xml:space="preserve">. American Cancer Society, pp. 1–3. doi: </w:t>
            </w:r>
            <w:hyperlink r:id="rId17" w:history="1">
              <w:r>
                <w:rPr>
                  <w:rStyle w:val="Hyperlink"/>
                </w:rPr>
                <w:t>10.1002/9781118785317.weom120179</w:t>
              </w:r>
            </w:hyperlink>
            <w:r>
              <w:t>.</w:t>
            </w:r>
          </w:p>
          <w:p w14:paraId="1C4B3AD2" w14:textId="77777777" w:rsidR="00E73766" w:rsidRDefault="00E73766" w:rsidP="00ED1D3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362ACDF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4B8EB1B7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3C4496FE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2E615C20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681806E6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7CCD8622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739FCBB9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54575E55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36CAD2E6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p w14:paraId="1E098A3D" w14:textId="77777777" w:rsidR="00E73766" w:rsidRDefault="00E73766" w:rsidP="00E73766">
      <w:pPr>
        <w:spacing w:line="360" w:lineRule="auto"/>
        <w:ind w:right="-24"/>
        <w:jc w:val="both"/>
        <w:rPr>
          <w:rFonts w:ascii="Arial" w:hAnsi="Arial" w:cs="Arial"/>
        </w:rPr>
      </w:pPr>
    </w:p>
    <w:sectPr w:rsidR="00E737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66"/>
    <w:rsid w:val="00812241"/>
    <w:rsid w:val="00E73766"/>
    <w:rsid w:val="00F0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0103F"/>
  <w15:chartTrackingRefBased/>
  <w15:docId w15:val="{15780684-582E-407C-8879-0CA3E620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66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376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37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br.org/2018/11/how-to-sell-new-products" TargetMode="External"/><Relationship Id="rId13" Type="http://schemas.openxmlformats.org/officeDocument/2006/relationships/hyperlink" Target="https://doi.org/10.1016/j.jbusres.2010.11.022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86/678034" TargetMode="External"/><Relationship Id="rId12" Type="http://schemas.openxmlformats.org/officeDocument/2006/relationships/hyperlink" Target="https://doi.org/10.1016/j.eswa.2013.01.019" TargetMode="External"/><Relationship Id="rId17" Type="http://schemas.openxmlformats.org/officeDocument/2006/relationships/hyperlink" Target="https://doi.org/10.1002/9781118785317.weom120179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mcgraw-hill.com.au/html/9780074716922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6/j.jbusres.2016.03.067" TargetMode="External"/><Relationship Id="rId11" Type="http://schemas.openxmlformats.org/officeDocument/2006/relationships/hyperlink" Target="https://doi.org/10.1016/j.indmarman.2021.01.016" TargetMode="External"/><Relationship Id="rId5" Type="http://schemas.openxmlformats.org/officeDocument/2006/relationships/hyperlink" Target="http://dx.doi.org.ezproxy.uwtsd.ac.uk/10.3751/63.3.14" TargetMode="External"/><Relationship Id="rId15" Type="http://schemas.openxmlformats.org/officeDocument/2006/relationships/hyperlink" Target="https://doi.org/10.1108/MIP-02-2014-0028" TargetMode="External"/><Relationship Id="rId10" Type="http://schemas.openxmlformats.org/officeDocument/2006/relationships/hyperlink" Target="https://blog.aspiration.marketing/revisit-revamp-marketing-plan-goals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doi.org/10.1177/0276146712451596" TargetMode="External"/><Relationship Id="rId9" Type="http://schemas.openxmlformats.org/officeDocument/2006/relationships/hyperlink" Target="https://doi.org/10.1016/0024-6301(77)90042-5" TargetMode="External"/><Relationship Id="rId14" Type="http://schemas.openxmlformats.org/officeDocument/2006/relationships/hyperlink" Target="http://dx.doi.org.ezproxy.uwtsd.ac.uk/10.1108/106104212112030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zafar qureshi</dc:creator>
  <cp:keywords/>
  <dc:description/>
  <cp:lastModifiedBy>zafar qureshi</cp:lastModifiedBy>
  <cp:revision>2</cp:revision>
  <dcterms:created xsi:type="dcterms:W3CDTF">2021-05-05T17:12:00Z</dcterms:created>
  <dcterms:modified xsi:type="dcterms:W3CDTF">2021-05-05T17:26:00Z</dcterms:modified>
</cp:coreProperties>
</file>