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EC79BD" w14:textId="77777777" w:rsidR="00DA7ACF" w:rsidRPr="0036644F" w:rsidRDefault="00DA7ACF" w:rsidP="00DA7ACF">
      <w:pPr>
        <w:ind w:left="720"/>
        <w:rPr>
          <w:rFonts w:ascii="Times New Roman" w:hAnsi="Times New Roman" w:cs="Times New Roman"/>
        </w:rPr>
      </w:pPr>
      <w:r w:rsidRPr="0036644F">
        <w:rPr>
          <w:rFonts w:ascii="Times New Roman" w:hAnsi="Times New Roman" w:cs="Times New Roman"/>
          <w:b/>
          <w:bCs/>
          <w:u w:val="single"/>
          <w:lang w:val="en-US"/>
        </w:rPr>
        <w:t>AI A</w:t>
      </w:r>
      <w:r>
        <w:rPr>
          <w:rFonts w:ascii="Times New Roman" w:hAnsi="Times New Roman" w:cs="Times New Roman"/>
          <w:b/>
          <w:bCs/>
          <w:u w:val="single"/>
          <w:lang w:val="en-US"/>
        </w:rPr>
        <w:t>c</w:t>
      </w:r>
      <w:r w:rsidRPr="0036644F">
        <w:rPr>
          <w:rFonts w:ascii="Times New Roman" w:hAnsi="Times New Roman" w:cs="Times New Roman"/>
          <w:b/>
          <w:bCs/>
          <w:u w:val="single"/>
          <w:lang w:val="en-US"/>
        </w:rPr>
        <w:t>knowledgement</w:t>
      </w:r>
    </w:p>
    <w:p w14:paraId="220706FA" w14:textId="77777777" w:rsidR="00DA7ACF" w:rsidRPr="0036644F" w:rsidRDefault="00DA7ACF" w:rsidP="00DA7ACF">
      <w:pPr>
        <w:ind w:left="720"/>
        <w:rPr>
          <w:rFonts w:ascii="Times New Roman" w:hAnsi="Times New Roman" w:cs="Times New Roman"/>
        </w:rPr>
      </w:pPr>
      <w:r w:rsidRPr="0036644F">
        <w:rPr>
          <w:rFonts w:ascii="Times New Roman" w:hAnsi="Times New Roman" w:cs="Times New Roman"/>
          <w:lang w:val="en-US"/>
        </w:rPr>
        <w:t>I confirm that I have not presented any AI</w:t>
      </w:r>
      <w:r>
        <w:rPr>
          <w:rFonts w:ascii="Times New Roman" w:hAnsi="Times New Roman" w:cs="Times New Roman"/>
          <w:lang w:val="en-US"/>
        </w:rPr>
        <w:t>-</w:t>
      </w:r>
      <w:r w:rsidRPr="0036644F">
        <w:rPr>
          <w:rFonts w:ascii="Times New Roman" w:hAnsi="Times New Roman" w:cs="Times New Roman"/>
          <w:lang w:val="en-US"/>
        </w:rPr>
        <w:t>generated text as my own work. I confirm I have copies of my drafts, notes, and other sources I used before and after the use of AI tools</w:t>
      </w:r>
      <w:r>
        <w:rPr>
          <w:rFonts w:ascii="Times New Roman" w:hAnsi="Times New Roman" w:cs="Times New Roman"/>
          <w:lang w:val="en-US"/>
        </w:rPr>
        <w:t>,</w:t>
      </w:r>
      <w:r w:rsidRPr="0036644F">
        <w:rPr>
          <w:rFonts w:ascii="Times New Roman" w:hAnsi="Times New Roman" w:cs="Times New Roman"/>
          <w:lang w:val="en-US"/>
        </w:rPr>
        <w:t xml:space="preserve"> which I may be asked to provide in evidence. </w:t>
      </w:r>
    </w:p>
    <w:p w14:paraId="490B1DF0"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6CE1257A"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6AAF7690"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09E22B8"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37CC99A"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1AF99D6D"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955E802"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E565F2B"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29A2E3A9"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13A4DAF"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2C7A90C1"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47D6AF2"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62CAD45"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0F25CB1"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631818C1"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2E865110"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E97EA87"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5233ADC6"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D953E05"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6E41C3C"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4618BCA" w14:textId="79511299" w:rsidR="00AD542D" w:rsidRPr="00AD542D" w:rsidRDefault="00AD542D"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r w:rsidRPr="00AD542D">
        <w:rPr>
          <w:rFonts w:ascii="Times New Roman" w:eastAsia="Times New Roman" w:hAnsi="Times New Roman" w:cs="Times New Roman"/>
          <w:color w:val="000000"/>
          <w:kern w:val="36"/>
          <w:sz w:val="28"/>
          <w:szCs w:val="28"/>
          <w:u w:val="single"/>
          <w:lang w:eastAsia="en-GB"/>
          <w14:ligatures w14:val="none"/>
        </w:rPr>
        <w:lastRenderedPageBreak/>
        <w:t xml:space="preserve">Essay Plan: </w:t>
      </w:r>
      <w:r w:rsidRPr="00AD542D">
        <w:rPr>
          <w:rFonts w:ascii="Times New Roman" w:hAnsi="Times New Roman" w:cs="Times New Roman"/>
          <w:color w:val="000000"/>
          <w:sz w:val="28"/>
          <w:szCs w:val="28"/>
          <w:u w:val="single"/>
        </w:rPr>
        <w:t>Discuss how our understanding of melancholia and approaches to treatment have changed over time</w:t>
      </w:r>
    </w:p>
    <w:p w14:paraId="6D3CA198"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Introduction</w:t>
      </w:r>
    </w:p>
    <w:p w14:paraId="4A103390"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Define melancholia (historical term, now linked to depression/major depressive disorder).</w:t>
      </w:r>
    </w:p>
    <w:p w14:paraId="6A96F201"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Briefly explain that understanding has changed over time:</w:t>
      </w:r>
    </w:p>
    <w:p w14:paraId="3BCEF046" w14:textId="77777777" w:rsidR="00AD542D" w:rsidRPr="00AD542D" w:rsidRDefault="00AD542D" w:rsidP="00AD542D">
      <w:pPr>
        <w:numPr>
          <w:ilvl w:val="1"/>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From supernatural beliefs → biological explanations → psychological/medical approaches.</w:t>
      </w:r>
    </w:p>
    <w:p w14:paraId="0CE47417"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Introduce key theme: how both </w:t>
      </w:r>
      <w:r w:rsidRPr="00AD542D">
        <w:rPr>
          <w:rFonts w:ascii="Times New Roman" w:eastAsia="Times New Roman" w:hAnsi="Times New Roman" w:cs="Times New Roman"/>
          <w:b/>
          <w:bCs/>
          <w:color w:val="000000"/>
          <w:kern w:val="0"/>
          <w:lang w:eastAsia="en-GB"/>
          <w14:ligatures w14:val="none"/>
        </w:rPr>
        <w:t>perceptions</w:t>
      </w:r>
      <w:r w:rsidRPr="00AD542D">
        <w:rPr>
          <w:rFonts w:ascii="Times New Roman" w:eastAsia="Times New Roman" w:hAnsi="Times New Roman" w:cs="Times New Roman"/>
          <w:color w:val="000000"/>
          <w:kern w:val="0"/>
          <w:lang w:eastAsia="en-GB"/>
          <w14:ligatures w14:val="none"/>
        </w:rPr>
        <w:t> and </w:t>
      </w:r>
      <w:r w:rsidRPr="00AD542D">
        <w:rPr>
          <w:rFonts w:ascii="Times New Roman" w:eastAsia="Times New Roman" w:hAnsi="Times New Roman" w:cs="Times New Roman"/>
          <w:b/>
          <w:bCs/>
          <w:color w:val="000000"/>
          <w:kern w:val="0"/>
          <w:lang w:eastAsia="en-GB"/>
          <w14:ligatures w14:val="none"/>
        </w:rPr>
        <w:t>treatments</w:t>
      </w:r>
      <w:r w:rsidRPr="00AD542D">
        <w:rPr>
          <w:rFonts w:ascii="Times New Roman" w:eastAsia="Times New Roman" w:hAnsi="Times New Roman" w:cs="Times New Roman"/>
          <w:color w:val="000000"/>
          <w:kern w:val="0"/>
          <w:lang w:eastAsia="en-GB"/>
          <w14:ligatures w14:val="none"/>
        </w:rPr>
        <w:t> have evolved.</w:t>
      </w:r>
    </w:p>
    <w:p w14:paraId="334654D9"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State argument: approaches have shifted from harmful and misunderstood practices to more humane, evidence-based treatments.</w:t>
      </w:r>
    </w:p>
    <w:p w14:paraId="2C31CF0B"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0DE0940B" w14:textId="77777777" w:rsidR="00AD542D" w:rsidRPr="00AD542D" w:rsidRDefault="00AD542D" w:rsidP="00AD542D">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Hippocrates (as cited in historical theory)</w:t>
      </w:r>
    </w:p>
    <w:p w14:paraId="7B9C2290" w14:textId="77777777" w:rsidR="00AD542D" w:rsidRPr="00AD542D" w:rsidRDefault="00AD542D" w:rsidP="00AD542D">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Torrey &amp; Miller (2001)</w:t>
      </w:r>
    </w:p>
    <w:p w14:paraId="2FE6F3D6"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4F2F2064">
          <v:rect id="_x0000_i1032" alt="" style="width:451.3pt;height:.05pt;mso-width-percent:0;mso-height-percent:0;mso-width-percent:0;mso-height-percent:0" o:hralign="center" o:hrstd="t" o:hr="t" fillcolor="#a0a0a0" stroked="f"/>
        </w:pict>
      </w:r>
    </w:p>
    <w:p w14:paraId="4A252671"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Main Body</w:t>
      </w:r>
    </w:p>
    <w:p w14:paraId="0E40A4C1"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1. Ancient Beliefs and the Humoral Theory</w:t>
      </w:r>
    </w:p>
    <w:p w14:paraId="60FD4293"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Mental illness seen as:</w:t>
      </w:r>
    </w:p>
    <w:p w14:paraId="6EEFDFA9"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Punishment from God or evil spirits</w:t>
      </w:r>
    </w:p>
    <w:p w14:paraId="03644392"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 test of faith</w:t>
      </w:r>
    </w:p>
    <w:p w14:paraId="3880DE2E"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Ancient Greek explanation:</w:t>
      </w:r>
    </w:p>
    <w:p w14:paraId="42D84FA5"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Four humours (Hippocrates, Galen)</w:t>
      </w:r>
    </w:p>
    <w:p w14:paraId="7F744AF9"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Melancholia caused by excess black bile</w:t>
      </w:r>
    </w:p>
    <w:p w14:paraId="2B6D3116"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Symptoms described:</w:t>
      </w:r>
    </w:p>
    <w:p w14:paraId="1700F1C9"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Sadness, irrational thinking, loss of appetite</w:t>
      </w:r>
    </w:p>
    <w:p w14:paraId="1A4868DD"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Early treatments based on physical imbalance</w:t>
      </w:r>
    </w:p>
    <w:p w14:paraId="66EBACA4"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7A4AFEEB" w14:textId="77777777" w:rsidR="00AD542D" w:rsidRPr="00AD542D" w:rsidRDefault="00AD542D" w:rsidP="00AD542D">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Hippocrates</w:t>
      </w:r>
    </w:p>
    <w:p w14:paraId="2A227A6E" w14:textId="77777777" w:rsidR="00AD542D" w:rsidRPr="00AD542D" w:rsidRDefault="00AD542D" w:rsidP="00AD542D">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Galen</w:t>
      </w:r>
    </w:p>
    <w:p w14:paraId="07BF8796"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B676CFF">
          <v:rect id="_x0000_i1031" alt="" style="width:451.3pt;height:.05pt;mso-width-percent:0;mso-height-percent:0;mso-width-percent:0;mso-height-percent:0" o:hralign="center" o:hrstd="t" o:hr="t" fillcolor="#a0a0a0" stroked="f"/>
        </w:pict>
      </w:r>
    </w:p>
    <w:p w14:paraId="59C12CC1"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2. 17th–19th Century: Early Medical and Institutional Approaches</w:t>
      </w:r>
    </w:p>
    <w:p w14:paraId="62DEC8D8"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Melancholia still stigmatised → shame for families</w:t>
      </w:r>
    </w:p>
    <w:p w14:paraId="17CBF36B"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Rise of asylums and institutionalisation</w:t>
      </w:r>
    </w:p>
    <w:p w14:paraId="06460766"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Treatments:</w:t>
      </w:r>
    </w:p>
    <w:p w14:paraId="47967805"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Bloodletting</w:t>
      </w:r>
    </w:p>
    <w:p w14:paraId="728738D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lastRenderedPageBreak/>
        <w:t>Induced vomiting/diarrhoea</w:t>
      </w:r>
    </w:p>
    <w:p w14:paraId="489CBF4A"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Water baths</w:t>
      </w:r>
    </w:p>
    <w:p w14:paraId="4063474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Rest cure (especially for women)</w:t>
      </w:r>
    </w:p>
    <w:p w14:paraId="3BB2875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Use of opioids</w:t>
      </w:r>
    </w:p>
    <w:p w14:paraId="4AFF3447"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Issues:</w:t>
      </w:r>
    </w:p>
    <w:p w14:paraId="3B85648E"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Harmful and ineffective</w:t>
      </w:r>
    </w:p>
    <w:p w14:paraId="076F707C"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Focus only on physical symptoms</w:t>
      </w:r>
    </w:p>
    <w:p w14:paraId="593AF0CE"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Addiction risks (opioids)</w:t>
      </w:r>
    </w:p>
    <w:p w14:paraId="4534EBAC"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Conditions in institutions:</w:t>
      </w:r>
    </w:p>
    <w:p w14:paraId="1A42015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Overcrowding</w:t>
      </w:r>
    </w:p>
    <w:p w14:paraId="713A8154"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Poor hygiene</w:t>
      </w:r>
    </w:p>
    <w:p w14:paraId="6C807716"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Patients neglected or hidden</w:t>
      </w:r>
    </w:p>
    <w:p w14:paraId="176585B3"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Case example:</w:t>
      </w:r>
    </w:p>
    <w:p w14:paraId="2CC6DD80" w14:textId="77777777" w:rsidR="00AD542D" w:rsidRPr="00AD542D" w:rsidRDefault="00AD542D" w:rsidP="00AD542D">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Bethlem Hospital (“Bedlam”):</w:t>
      </w:r>
    </w:p>
    <w:p w14:paraId="642C3730" w14:textId="77777777" w:rsidR="00AD542D" w:rsidRPr="00AD542D" w:rsidRDefault="00AD542D" w:rsidP="00AD542D">
      <w:pPr>
        <w:numPr>
          <w:ilvl w:val="1"/>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Inhumane treatment</w:t>
      </w:r>
    </w:p>
    <w:p w14:paraId="0F4E156A" w14:textId="77777777" w:rsidR="00AD542D" w:rsidRPr="00AD542D" w:rsidRDefault="00AD542D" w:rsidP="00AD542D">
      <w:pPr>
        <w:numPr>
          <w:ilvl w:val="1"/>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Patients treated as entertainment</w:t>
      </w:r>
    </w:p>
    <w:p w14:paraId="41984957"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0A42738A" w14:textId="77777777" w:rsidR="00AD542D" w:rsidRPr="00AD542D" w:rsidRDefault="00AD542D" w:rsidP="00AD542D">
      <w:pPr>
        <w:numPr>
          <w:ilvl w:val="0"/>
          <w:numId w:val="7"/>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Wetherell (2022) (for modern comparison of stress understanding)</w:t>
      </w:r>
    </w:p>
    <w:p w14:paraId="32571BF2"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57F2AB7F">
          <v:rect id="_x0000_i1030" alt="" style="width:451.3pt;height:.05pt;mso-width-percent:0;mso-height-percent:0;mso-width-percent:0;mso-height-percent:0" o:hralign="center" o:hrstd="t" o:hr="t" fillcolor="#a0a0a0" stroked="f"/>
        </w:pict>
      </w:r>
    </w:p>
    <w:p w14:paraId="52D7F033"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3. Cultural and Social Views (Renaissance &amp; Enlightenment)</w:t>
      </w:r>
    </w:p>
    <w:p w14:paraId="4126B3D6"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Shift in perception:</w:t>
      </w:r>
    </w:p>
    <w:p w14:paraId="04CDF462"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Melancholia seen as linked to intelligence and creativity</w:t>
      </w:r>
    </w:p>
    <w:p w14:paraId="6C250CB2"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Aristotle’s idea:</w:t>
      </w:r>
    </w:p>
    <w:p w14:paraId="6464F23C"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Great thinkers often melancholic</w:t>
      </w:r>
    </w:p>
    <w:p w14:paraId="0FADE574"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Seen in literature:</w:t>
      </w:r>
    </w:p>
    <w:p w14:paraId="1D485E12"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Shakespeare’s </w:t>
      </w:r>
      <w:r w:rsidRPr="00AD542D">
        <w:rPr>
          <w:rFonts w:ascii="Times New Roman" w:eastAsia="Times New Roman" w:hAnsi="Times New Roman" w:cs="Times New Roman"/>
          <w:i/>
          <w:iCs/>
          <w:color w:val="000000"/>
          <w:kern w:val="0"/>
          <w:lang w:eastAsia="en-GB"/>
          <w14:ligatures w14:val="none"/>
        </w:rPr>
        <w:t>Hamlet</w:t>
      </w:r>
      <w:r w:rsidRPr="00AD542D">
        <w:rPr>
          <w:rFonts w:ascii="Times New Roman" w:eastAsia="Times New Roman" w:hAnsi="Times New Roman" w:cs="Times New Roman"/>
          <w:color w:val="000000"/>
          <w:kern w:val="0"/>
          <w:lang w:eastAsia="en-GB"/>
          <w14:ligatures w14:val="none"/>
        </w:rPr>
        <w:t> → psychological melancholy</w:t>
      </w:r>
    </w:p>
    <w:p w14:paraId="7C4DA497"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i/>
          <w:iCs/>
          <w:color w:val="000000"/>
          <w:kern w:val="0"/>
          <w:lang w:eastAsia="en-GB"/>
          <w14:ligatures w14:val="none"/>
        </w:rPr>
        <w:t>Romeo and Juliet</w:t>
      </w:r>
      <w:r w:rsidRPr="00AD542D">
        <w:rPr>
          <w:rFonts w:ascii="Times New Roman" w:eastAsia="Times New Roman" w:hAnsi="Times New Roman" w:cs="Times New Roman"/>
          <w:color w:val="000000"/>
          <w:kern w:val="0"/>
          <w:lang w:eastAsia="en-GB"/>
          <w14:ligatures w14:val="none"/>
        </w:rPr>
        <w:t> → romantic melancholy</w:t>
      </w:r>
    </w:p>
    <w:p w14:paraId="49B01CB5"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“Lover’s malady” concept</w:t>
      </w:r>
    </w:p>
    <w:p w14:paraId="044A1C28"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Change:</w:t>
      </w:r>
    </w:p>
    <w:p w14:paraId="2A26DA30"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From illness → personality trait (in elites)</w:t>
      </w:r>
    </w:p>
    <w:p w14:paraId="2F8D2AFF"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55B73E05" w14:textId="77777777" w:rsidR="00AD542D" w:rsidRPr="00AD542D" w:rsidRDefault="00AD542D" w:rsidP="00AD542D">
      <w:pPr>
        <w:numPr>
          <w:ilvl w:val="0"/>
          <w:numId w:val="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Aristotle</w:t>
      </w:r>
    </w:p>
    <w:p w14:paraId="71D3274C" w14:textId="77777777" w:rsidR="00AD542D" w:rsidRPr="00AD542D" w:rsidRDefault="00AD542D" w:rsidP="00AD542D">
      <w:pPr>
        <w:numPr>
          <w:ilvl w:val="0"/>
          <w:numId w:val="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w:t>
      </w:r>
    </w:p>
    <w:p w14:paraId="4C977483"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7C5372D9">
          <v:rect id="_x0000_i1029" alt="" style="width:451.3pt;height:.05pt;mso-width-percent:0;mso-height-percent:0;mso-width-percent:0;mso-height-percent:0" o:hralign="center" o:hrstd="t" o:hr="t" fillcolor="#a0a0a0" stroked="f"/>
        </w:pict>
      </w:r>
    </w:p>
    <w:p w14:paraId="695DA0A0"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4. Changes in Language and Understanding</w:t>
      </w:r>
    </w:p>
    <w:p w14:paraId="47E80E90" w14:textId="77777777" w:rsidR="00AD542D" w:rsidRPr="00AD542D" w:rsidRDefault="00AD542D" w:rsidP="00AD542D">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Historical terms:</w:t>
      </w:r>
    </w:p>
    <w:p w14:paraId="2C838E7E" w14:textId="77777777" w:rsidR="00AD542D" w:rsidRPr="00AD542D" w:rsidRDefault="00AD542D" w:rsidP="00AD542D">
      <w:pPr>
        <w:numPr>
          <w:ilvl w:val="1"/>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“Insanity,” “idiot,” etc.</w:t>
      </w:r>
    </w:p>
    <w:p w14:paraId="4DFE4BFE" w14:textId="77777777" w:rsidR="00AD542D" w:rsidRPr="00AD542D" w:rsidRDefault="00AD542D" w:rsidP="00AD542D">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Modern shift to more sensitive and accurate terminology</w:t>
      </w:r>
    </w:p>
    <w:p w14:paraId="2FB62F68" w14:textId="77777777" w:rsidR="00AD542D" w:rsidRPr="00AD542D" w:rsidRDefault="00AD542D" w:rsidP="00AD542D">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lastRenderedPageBreak/>
        <w:t>Recognition that mental illnesses are complex and varied</w:t>
      </w:r>
    </w:p>
    <w:p w14:paraId="7B458457"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w:t>
      </w:r>
    </w:p>
    <w:p w14:paraId="34F2FC76" w14:textId="77777777" w:rsidR="00AD542D" w:rsidRPr="00AD542D" w:rsidRDefault="00AD542D" w:rsidP="00AD542D">
      <w:pPr>
        <w:numPr>
          <w:ilvl w:val="0"/>
          <w:numId w:val="1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Torrey &amp; Miller (2001)</w:t>
      </w:r>
    </w:p>
    <w:p w14:paraId="68CC0246"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2E8D8C33">
          <v:rect id="_x0000_i1028" alt="" style="width:451.3pt;height:.05pt;mso-width-percent:0;mso-height-percent:0;mso-width-percent:0;mso-height-percent:0" o:hralign="center" o:hrstd="t" o:hr="t" fillcolor="#a0a0a0" stroked="f"/>
        </w:pict>
      </w:r>
    </w:p>
    <w:p w14:paraId="7580153D"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5. Modern Understanding of Melancholia (Depression)</w:t>
      </w:r>
    </w:p>
    <w:p w14:paraId="4DBBAEE2"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Now recognised as:</w:t>
      </w:r>
    </w:p>
    <w:p w14:paraId="3430F955"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Major Depressive Disorder</w:t>
      </w:r>
    </w:p>
    <w:p w14:paraId="55D9F490"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Biopsychosocial approach:</w:t>
      </w:r>
    </w:p>
    <w:p w14:paraId="25882B7B"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Biological (brain chemistry)</w:t>
      </w:r>
    </w:p>
    <w:p w14:paraId="73F8C820"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Psychological (thought patterns)</w:t>
      </w:r>
    </w:p>
    <w:p w14:paraId="2A22678A"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Social (environment/support)</w:t>
      </w:r>
    </w:p>
    <w:p w14:paraId="04EAF2FA"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Treatments:</w:t>
      </w:r>
    </w:p>
    <w:p w14:paraId="44780C21"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Antidepressants</w:t>
      </w:r>
    </w:p>
    <w:p w14:paraId="4C762761"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Cognitive Behavioural Therapy (CBT)</w:t>
      </w:r>
    </w:p>
    <w:p w14:paraId="6BD18276"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Electroconvulsive Therapy (ECT) for severe cases</w:t>
      </w:r>
    </w:p>
    <w:p w14:paraId="5F86DAFB"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Lifestyle changes:</w:t>
      </w:r>
    </w:p>
    <w:p w14:paraId="538BC199" w14:textId="77777777" w:rsidR="00AD542D" w:rsidRPr="00AD542D" w:rsidRDefault="00AD542D" w:rsidP="00AD542D">
      <w:pPr>
        <w:numPr>
          <w:ilvl w:val="2"/>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Exercise</w:t>
      </w:r>
    </w:p>
    <w:p w14:paraId="338EF26F" w14:textId="77777777" w:rsidR="00AD542D" w:rsidRPr="00AD542D" w:rsidRDefault="00AD542D" w:rsidP="00AD542D">
      <w:pPr>
        <w:numPr>
          <w:ilvl w:val="2"/>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Diet</w:t>
      </w:r>
    </w:p>
    <w:p w14:paraId="0DF75CBA" w14:textId="77777777" w:rsidR="00AD542D" w:rsidRPr="00AD542D" w:rsidRDefault="00AD542D" w:rsidP="00AD542D">
      <w:pPr>
        <w:numPr>
          <w:ilvl w:val="2"/>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Sleep</w:t>
      </w:r>
    </w:p>
    <w:p w14:paraId="65ACFB39"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Mindfulness (yoga, meditation)</w:t>
      </w:r>
    </w:p>
    <w:p w14:paraId="382EA7A1"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Social support</w:t>
      </w:r>
    </w:p>
    <w:p w14:paraId="70E190DF"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Emphasis:</w:t>
      </w:r>
    </w:p>
    <w:p w14:paraId="187F9C7F"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Holistic care</w:t>
      </w:r>
    </w:p>
    <w:p w14:paraId="72A373C0"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Evidence-based treatments</w:t>
      </w:r>
    </w:p>
    <w:p w14:paraId="039C6EC3"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2351D26F" w14:textId="77777777" w:rsidR="00AD542D" w:rsidRPr="00AD542D" w:rsidRDefault="00AD542D" w:rsidP="00AD542D">
      <w:pPr>
        <w:numPr>
          <w:ilvl w:val="0"/>
          <w:numId w:val="1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Wetherell (2022)</w:t>
      </w:r>
    </w:p>
    <w:p w14:paraId="1502AA85" w14:textId="77777777" w:rsidR="00AD542D" w:rsidRPr="00AD542D" w:rsidRDefault="00AD542D" w:rsidP="00AD542D">
      <w:pPr>
        <w:numPr>
          <w:ilvl w:val="0"/>
          <w:numId w:val="1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NICE guidelines (if added in full essay)</w:t>
      </w:r>
    </w:p>
    <w:p w14:paraId="22545AA7"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66CB2AE7">
          <v:rect id="_x0000_i1027" alt="" style="width:451.3pt;height:.05pt;mso-width-percent:0;mso-height-percent:0;mso-width-percent:0;mso-height-percent:0" o:hralign="center" o:hrstd="t" o:hr="t" fillcolor="#a0a0a0" stroked="f"/>
        </w:pict>
      </w:r>
    </w:p>
    <w:p w14:paraId="19268433"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6. Comparison: Then vs Now</w:t>
      </w:r>
    </w:p>
    <w:p w14:paraId="75AA4F99" w14:textId="77777777" w:rsidR="00AD542D" w:rsidRPr="00AD542D" w:rsidRDefault="00AD542D" w:rsidP="00AD542D">
      <w:pPr>
        <w:numPr>
          <w:ilvl w:val="0"/>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Then:</w:t>
      </w:r>
    </w:p>
    <w:p w14:paraId="21BC8DD4"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Supernatural explanations</w:t>
      </w:r>
    </w:p>
    <w:p w14:paraId="5999D169"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Harmful treatments</w:t>
      </w:r>
    </w:p>
    <w:p w14:paraId="7D038959"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Stigma and isolation</w:t>
      </w:r>
    </w:p>
    <w:p w14:paraId="0BB9243B" w14:textId="77777777" w:rsidR="00AD542D" w:rsidRPr="00AD542D" w:rsidRDefault="00AD542D" w:rsidP="00AD542D">
      <w:pPr>
        <w:numPr>
          <w:ilvl w:val="0"/>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Now:</w:t>
      </w:r>
    </w:p>
    <w:p w14:paraId="58AF9983"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Scientific understanding</w:t>
      </w:r>
    </w:p>
    <w:p w14:paraId="63A12BA0"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Effective treatments</w:t>
      </w:r>
    </w:p>
    <w:p w14:paraId="39138EB0"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Focus on well-being and support</w:t>
      </w:r>
    </w:p>
    <w:p w14:paraId="3E55CF8D" w14:textId="77777777" w:rsidR="00AD542D" w:rsidRPr="00AD542D" w:rsidRDefault="00AD542D" w:rsidP="00AD542D">
      <w:pPr>
        <w:numPr>
          <w:ilvl w:val="0"/>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Key shift:</w:t>
      </w:r>
    </w:p>
    <w:p w14:paraId="7D083759"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From punishment → care and treatment</w:t>
      </w:r>
    </w:p>
    <w:p w14:paraId="3F405D73"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pict w14:anchorId="6CA95EDC">
          <v:rect id="_x0000_i1026" alt="" style="width:451.3pt;height:.05pt;mso-width-percent:0;mso-height-percent:0;mso-width-percent:0;mso-height-percent:0" o:hralign="center" o:hrstd="t" o:hr="t" fillcolor="#a0a0a0" stroked="f"/>
        </w:pict>
      </w:r>
    </w:p>
    <w:p w14:paraId="234DD1E1"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Conclusion</w:t>
      </w:r>
    </w:p>
    <w:p w14:paraId="7B797B0D"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Summarise key progression:</w:t>
      </w:r>
    </w:p>
    <w:p w14:paraId="7E72AB83"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Ancient humoral theory → institutional mistreatment → cultural reinterpretation → modern science</w:t>
      </w:r>
    </w:p>
    <w:p w14:paraId="102AC24B"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Emphasise:</w:t>
      </w:r>
    </w:p>
    <w:p w14:paraId="536C7AE8"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Huge improvement in understanding and treatment</w:t>
      </w:r>
    </w:p>
    <w:p w14:paraId="03B3F0F3"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Highlight:</w:t>
      </w:r>
    </w:p>
    <w:p w14:paraId="292F4583"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Society now encourages seeking help rather than hiding illness</w:t>
      </w:r>
    </w:p>
    <w:p w14:paraId="158A8504"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Final point:</w:t>
      </w:r>
    </w:p>
    <w:p w14:paraId="7E1D966F"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Ongoing research continues to improve mental health care</w:t>
      </w:r>
    </w:p>
    <w:p w14:paraId="50211211" w14:textId="77777777" w:rsidR="00AD542D" w:rsidRPr="00AD542D" w:rsidRDefault="00991BCE"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6182D0F4">
          <v:rect id="_x0000_i1025" alt="" style="width:451.3pt;height:.05pt;mso-width-percent:0;mso-height-percent:0;mso-width-percent:0;mso-height-percent:0" o:hralign="center" o:hrstd="t" o:hr="t" fillcolor="#a0a0a0" stroked="f"/>
        </w:pict>
      </w:r>
    </w:p>
    <w:p w14:paraId="1FBEE5AD"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Reference List (APA 7th)</w:t>
      </w:r>
    </w:p>
    <w:p w14:paraId="797DECF8"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Aristotle. (n.d.).</w:t>
      </w:r>
    </w:p>
    <w:p w14:paraId="6EF8DF1A"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 W. (1603). </w:t>
      </w:r>
      <w:r w:rsidRPr="00AD542D">
        <w:rPr>
          <w:rFonts w:ascii="Times New Roman" w:eastAsia="Times New Roman" w:hAnsi="Times New Roman" w:cs="Times New Roman"/>
          <w:i/>
          <w:iCs/>
          <w:color w:val="000000"/>
          <w:kern w:val="0"/>
          <w:lang w:eastAsia="en-GB"/>
          <w14:ligatures w14:val="none"/>
        </w:rPr>
        <w:t>Hamlet</w:t>
      </w:r>
      <w:r w:rsidRPr="00AD542D">
        <w:rPr>
          <w:rFonts w:ascii="Times New Roman" w:eastAsia="Times New Roman" w:hAnsi="Times New Roman" w:cs="Times New Roman"/>
          <w:color w:val="000000"/>
          <w:kern w:val="0"/>
          <w:lang w:eastAsia="en-GB"/>
          <w14:ligatures w14:val="none"/>
        </w:rPr>
        <w:t>.</w:t>
      </w:r>
    </w:p>
    <w:p w14:paraId="5C93CFC5"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 W. (1597). </w:t>
      </w:r>
      <w:r w:rsidRPr="00AD542D">
        <w:rPr>
          <w:rFonts w:ascii="Times New Roman" w:eastAsia="Times New Roman" w:hAnsi="Times New Roman" w:cs="Times New Roman"/>
          <w:i/>
          <w:iCs/>
          <w:color w:val="000000"/>
          <w:kern w:val="0"/>
          <w:lang w:eastAsia="en-GB"/>
          <w14:ligatures w14:val="none"/>
        </w:rPr>
        <w:t>Romeo and Juliet</w:t>
      </w:r>
      <w:r w:rsidRPr="00AD542D">
        <w:rPr>
          <w:rFonts w:ascii="Times New Roman" w:eastAsia="Times New Roman" w:hAnsi="Times New Roman" w:cs="Times New Roman"/>
          <w:color w:val="000000"/>
          <w:kern w:val="0"/>
          <w:lang w:eastAsia="en-GB"/>
          <w14:ligatures w14:val="none"/>
        </w:rPr>
        <w:t>.</w:t>
      </w:r>
    </w:p>
    <w:p w14:paraId="2D96A4FD"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Torrey, E. F., &amp; Miller, J. (2001). </w:t>
      </w:r>
      <w:r w:rsidRPr="00AD542D">
        <w:rPr>
          <w:rFonts w:ascii="Times New Roman" w:eastAsia="Times New Roman" w:hAnsi="Times New Roman" w:cs="Times New Roman"/>
          <w:i/>
          <w:iCs/>
          <w:color w:val="000000"/>
          <w:kern w:val="0"/>
          <w:lang w:eastAsia="en-GB"/>
          <w14:ligatures w14:val="none"/>
        </w:rPr>
        <w:t>The invisible plague: The rise of mental illness from 1750 to the present</w:t>
      </w:r>
      <w:r w:rsidRPr="00AD542D">
        <w:rPr>
          <w:rFonts w:ascii="Times New Roman" w:eastAsia="Times New Roman" w:hAnsi="Times New Roman" w:cs="Times New Roman"/>
          <w:color w:val="000000"/>
          <w:kern w:val="0"/>
          <w:lang w:eastAsia="en-GB"/>
          <w14:ligatures w14:val="none"/>
        </w:rPr>
        <w:t>.</w:t>
      </w:r>
    </w:p>
    <w:p w14:paraId="21015128" w14:textId="77777777" w:rsidR="005C7E4B" w:rsidRDefault="005C7E4B">
      <w:pPr>
        <w:rPr>
          <w:rFonts w:ascii="Times New Roman" w:hAnsi="Times New Roman" w:cs="Times New Roman"/>
        </w:rPr>
      </w:pPr>
    </w:p>
    <w:p w14:paraId="1AB90ECE" w14:textId="77777777" w:rsidR="005275FF" w:rsidRDefault="005275FF">
      <w:pPr>
        <w:rPr>
          <w:rFonts w:ascii="Times New Roman" w:hAnsi="Times New Roman" w:cs="Times New Roman"/>
        </w:rPr>
      </w:pPr>
    </w:p>
    <w:p w14:paraId="0211EA82" w14:textId="77777777" w:rsidR="005275FF" w:rsidRDefault="005275FF">
      <w:pPr>
        <w:rPr>
          <w:rFonts w:ascii="Times New Roman" w:hAnsi="Times New Roman" w:cs="Times New Roman"/>
        </w:rPr>
      </w:pPr>
    </w:p>
    <w:p w14:paraId="2DEF2A83" w14:textId="77777777" w:rsidR="005275FF" w:rsidRDefault="005275FF">
      <w:pPr>
        <w:rPr>
          <w:rFonts w:ascii="Times New Roman" w:hAnsi="Times New Roman" w:cs="Times New Roman"/>
        </w:rPr>
      </w:pPr>
    </w:p>
    <w:p w14:paraId="4007335C" w14:textId="77777777" w:rsidR="005275FF" w:rsidRDefault="005275FF">
      <w:pPr>
        <w:rPr>
          <w:rFonts w:ascii="Times New Roman" w:hAnsi="Times New Roman" w:cs="Times New Roman"/>
        </w:rPr>
      </w:pPr>
    </w:p>
    <w:p w14:paraId="0D6EE50E" w14:textId="77777777" w:rsidR="005275FF" w:rsidRDefault="005275FF">
      <w:pPr>
        <w:rPr>
          <w:rFonts w:ascii="Times New Roman" w:hAnsi="Times New Roman" w:cs="Times New Roman"/>
        </w:rPr>
      </w:pPr>
    </w:p>
    <w:p w14:paraId="6968BDE9" w14:textId="77777777" w:rsidR="005275FF" w:rsidRDefault="005275FF">
      <w:pPr>
        <w:rPr>
          <w:rFonts w:ascii="Times New Roman" w:hAnsi="Times New Roman" w:cs="Times New Roman"/>
        </w:rPr>
      </w:pPr>
    </w:p>
    <w:p w14:paraId="30FD0A2E" w14:textId="77777777" w:rsidR="005275FF" w:rsidRDefault="005275FF">
      <w:pPr>
        <w:rPr>
          <w:rFonts w:ascii="Times New Roman" w:hAnsi="Times New Roman" w:cs="Times New Roman"/>
        </w:rPr>
      </w:pPr>
    </w:p>
    <w:p w14:paraId="19C7F2F8" w14:textId="77777777" w:rsidR="005275FF" w:rsidRDefault="005275FF">
      <w:pPr>
        <w:rPr>
          <w:rFonts w:ascii="Times New Roman" w:hAnsi="Times New Roman" w:cs="Times New Roman"/>
        </w:rPr>
      </w:pPr>
    </w:p>
    <w:p w14:paraId="50529411" w14:textId="77777777" w:rsidR="005275FF" w:rsidRDefault="005275FF">
      <w:pPr>
        <w:rPr>
          <w:rFonts w:ascii="Times New Roman" w:hAnsi="Times New Roman" w:cs="Times New Roman"/>
        </w:rPr>
      </w:pPr>
    </w:p>
    <w:p w14:paraId="2F2E12BE" w14:textId="77777777" w:rsidR="005275FF" w:rsidRDefault="005275FF">
      <w:pPr>
        <w:rPr>
          <w:rFonts w:ascii="Times New Roman" w:hAnsi="Times New Roman" w:cs="Times New Roman"/>
        </w:rPr>
      </w:pPr>
    </w:p>
    <w:p w14:paraId="1840170C" w14:textId="77777777" w:rsidR="005275FF" w:rsidRDefault="005275FF">
      <w:pPr>
        <w:rPr>
          <w:rFonts w:ascii="Times New Roman" w:hAnsi="Times New Roman" w:cs="Times New Roman"/>
        </w:rPr>
      </w:pPr>
    </w:p>
    <w:p w14:paraId="1A0E1BA0" w14:textId="77777777" w:rsidR="005275FF" w:rsidRDefault="005275FF">
      <w:pPr>
        <w:rPr>
          <w:rFonts w:ascii="Times New Roman" w:hAnsi="Times New Roman" w:cs="Times New Roman"/>
        </w:rPr>
      </w:pPr>
    </w:p>
    <w:p w14:paraId="633EA286" w14:textId="77777777" w:rsidR="005275FF" w:rsidRDefault="005275FF" w:rsidP="005275FF">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Summarise article the Bear Necessities of Stress</w:t>
      </w:r>
    </w:p>
    <w:p w14:paraId="74EDD999" w14:textId="77777777" w:rsidR="005275FF" w:rsidRDefault="005275FF" w:rsidP="005275FF">
      <w:pPr>
        <w:jc w:val="center"/>
        <w:rPr>
          <w:rFonts w:ascii="Times New Roman" w:hAnsi="Times New Roman" w:cs="Times New Roman"/>
          <w:b/>
          <w:bCs/>
          <w:sz w:val="28"/>
          <w:szCs w:val="28"/>
          <w:u w:val="single"/>
        </w:rPr>
      </w:pPr>
    </w:p>
    <w:p w14:paraId="63C1CA80" w14:textId="77777777" w:rsidR="005275FF" w:rsidRDefault="005275FF" w:rsidP="005275FF">
      <w:pPr>
        <w:pStyle w:val="NormalWeb"/>
        <w:ind w:firstLine="720"/>
        <w:rPr>
          <w:color w:val="000000"/>
        </w:rPr>
      </w:pPr>
      <w:r>
        <w:rPr>
          <w:color w:val="000000"/>
        </w:rPr>
        <w:t>This article explains how stress affects both the body and mind, using a clear example of running into a bear in the woods to show how the “fight, flight, or freeze” response works. This example helps show how quickly the body reacts to danger. When we experience stress, it is first processed in the brain, which then activates two main systems in the body. The first is the sympathetic-adrenal-medullary (SAM) system, which releases adrenaline and noradrenaline almost instantly, helping us react quickly. The second is the hypothalamic-pituitary-adrenal (HPA) axis, which works more slowly by releasing cortisol. Cortisol helps keep us going by providing energy and helping us stay focused. Together, these systems increase heart rate, breathing, and blood flow, preparing the body to deal with a threat.</w:t>
      </w:r>
    </w:p>
    <w:p w14:paraId="1C827D60" w14:textId="77777777" w:rsidR="005275FF" w:rsidRDefault="005275FF" w:rsidP="005275FF">
      <w:pPr>
        <w:pStyle w:val="NormalWeb"/>
        <w:ind w:firstLine="720"/>
        <w:rPr>
          <w:color w:val="000000"/>
        </w:rPr>
      </w:pPr>
      <w:r>
        <w:rPr>
          <w:color w:val="000000"/>
        </w:rPr>
        <w:t>In the short term, this stress response is actually helpful. It gives individuals the energy and alertness that is needed to deal with difficult or dangerous situations. However, the article also shows that stress does not just come from real danger—it can also come from how we think about situations. Researchers often study stress in labs using tasks like multitasking, public speaking, or being judged while completing a task. These situations may not be dangerous, but they still cause noticeable increases in heart rate, blood pressure, and stress hormones. Being watched or criticised plays a huge factor in making people feel even more stressed.</w:t>
      </w:r>
    </w:p>
    <w:p w14:paraId="55107C6D" w14:textId="77777777" w:rsidR="005275FF" w:rsidRDefault="005275FF" w:rsidP="005275FF">
      <w:pPr>
        <w:pStyle w:val="NormalWeb"/>
        <w:ind w:firstLine="720"/>
        <w:rPr>
          <w:color w:val="000000"/>
        </w:rPr>
      </w:pPr>
      <w:r>
        <w:rPr>
          <w:color w:val="000000"/>
        </w:rPr>
        <w:t>Another important point in the article is that we can feel stressed even before something happens. For example, just knowing you have to do something stressful, like speaking in front of others or going skydiving, can increase cortisol levels. This is linked to something called the cortisol awakening response, where cortisol rises shortly after waking up to prepare us for the day. If we expect a stressful day, this response is even stronger. On the other hand, if a stressful event is cancelled, stress levels can drop. This shows that stress is not only about what is happening, but also about what we expect to happen.</w:t>
      </w:r>
    </w:p>
    <w:p w14:paraId="74825668" w14:textId="77777777" w:rsidR="005275FF" w:rsidRDefault="005275FF" w:rsidP="005275FF">
      <w:pPr>
        <w:pStyle w:val="NormalWeb"/>
        <w:ind w:firstLine="720"/>
        <w:rPr>
          <w:color w:val="000000"/>
        </w:rPr>
      </w:pPr>
      <w:r>
        <w:rPr>
          <w:color w:val="000000"/>
        </w:rPr>
        <w:t>The article also looks at how different people experience stress differently. For example, first-time skydivers feel much more anxious than experienced ones. However, their bodies still show similar stress responses, especially in terms of cortisol. This suggests that even if we feel calmer, our body still prepares us for possible danger. Other factors like drinking alcohol, drug use, or lack of sleep can also make stress feel worse. People who are hungover or tired tend to find tasks more challenging and stressful.</w:t>
      </w:r>
    </w:p>
    <w:p w14:paraId="4739DACD" w14:textId="77777777" w:rsidR="005275FF" w:rsidRDefault="005275FF" w:rsidP="005275FF">
      <w:pPr>
        <w:pStyle w:val="NormalWeb"/>
        <w:ind w:firstLine="720"/>
        <w:rPr>
          <w:color w:val="000000"/>
        </w:rPr>
      </w:pPr>
      <w:r>
        <w:rPr>
          <w:color w:val="000000"/>
        </w:rPr>
        <w:t>While short-term stress has its place in being helpful, the article highlights that long-term or chronic stress can be harmful. When stress continues over a long period, it can disrupt the body’s normal cortisol patterns. Instead of rising and falling in a healthy way, cortisol levels can become unbalanced. This can affect different systems in the body, including the immune system, digestion, and heart health, and can lead to problems like anxiety, depression, and physical illness. The article uses the example of caregivers of children with autism, who often experience ongoing stress. These individuals tend to report higher levels of stress, more health problems, and less social support.</w:t>
      </w:r>
    </w:p>
    <w:p w14:paraId="118BD074" w14:textId="77777777" w:rsidR="005275FF" w:rsidRDefault="005275FF" w:rsidP="005275FF">
      <w:pPr>
        <w:pStyle w:val="NormalWeb"/>
        <w:ind w:firstLine="720"/>
        <w:rPr>
          <w:color w:val="000000"/>
        </w:rPr>
      </w:pPr>
      <w:r>
        <w:rPr>
          <w:color w:val="000000"/>
        </w:rPr>
        <w:t xml:space="preserve">Despite this, the article also suggests ways to reduce stress. Social support is one of the most important factors, as having people to rely on can make stressful situations easier to manage. Another helpful approach is trying to find positive meaning in difficult situations, </w:t>
      </w:r>
      <w:r>
        <w:rPr>
          <w:color w:val="000000"/>
        </w:rPr>
        <w:lastRenderedPageBreak/>
        <w:t>known as “benefit finding.” For example, some caregivers feel that their experiences have made them stronger or brought their families closer together. Writing about positive experiences or emotions can also help reduce stress, although it does not work for everyone. Even simple things, like chewing gum during stressful tasks, have been shown to lower stress levels.</w:t>
      </w:r>
    </w:p>
    <w:p w14:paraId="3BC8ADC9" w14:textId="77777777" w:rsidR="005275FF" w:rsidRDefault="005275FF" w:rsidP="005275FF">
      <w:pPr>
        <w:pStyle w:val="NormalWeb"/>
        <w:ind w:firstLine="720"/>
        <w:rPr>
          <w:color w:val="000000"/>
        </w:rPr>
      </w:pPr>
      <w:r>
        <w:rPr>
          <w:color w:val="000000"/>
        </w:rPr>
        <w:t>In conclusion, the article shows that stress is a normal part of life and can actually be helpful in small doses. It prepares people to deal with challenges and to be on alert. However, when stress happens too often or lasts too long, it can have negative effects on both physical and mental health. Understanding how stress works can help people find better ways to manage it and improve overall well-being.</w:t>
      </w:r>
    </w:p>
    <w:p w14:paraId="1CBFC1FA" w14:textId="77777777" w:rsidR="005275FF" w:rsidRDefault="005275FF" w:rsidP="005275FF">
      <w:pPr>
        <w:pStyle w:val="NormalWeb"/>
        <w:rPr>
          <w:color w:val="000000"/>
        </w:rPr>
      </w:pPr>
    </w:p>
    <w:p w14:paraId="03815204" w14:textId="77777777" w:rsidR="005275FF" w:rsidRDefault="005275FF" w:rsidP="005275FF">
      <w:pPr>
        <w:pStyle w:val="NormalWeb"/>
        <w:rPr>
          <w:color w:val="000000"/>
        </w:rPr>
      </w:pPr>
    </w:p>
    <w:p w14:paraId="13340DCA" w14:textId="77777777" w:rsidR="005275FF" w:rsidRDefault="005275FF" w:rsidP="005275FF">
      <w:pPr>
        <w:pStyle w:val="NormalWeb"/>
        <w:rPr>
          <w:color w:val="000000"/>
          <w:u w:val="single"/>
        </w:rPr>
      </w:pPr>
      <w:r>
        <w:rPr>
          <w:color w:val="000000"/>
          <w:u w:val="single"/>
        </w:rPr>
        <w:t>Reference</w:t>
      </w:r>
    </w:p>
    <w:p w14:paraId="4F01C9E9" w14:textId="77777777" w:rsidR="005275FF" w:rsidRDefault="005275FF" w:rsidP="005275FF">
      <w:pPr>
        <w:pStyle w:val="NormalWeb"/>
        <w:rPr>
          <w:color w:val="000000"/>
          <w:u w:val="single"/>
        </w:rPr>
      </w:pPr>
    </w:p>
    <w:p w14:paraId="12ABCD15" w14:textId="77777777" w:rsidR="005275FF" w:rsidRDefault="005275FF" w:rsidP="005275FF">
      <w:pPr>
        <w:pStyle w:val="NormalWeb"/>
        <w:rPr>
          <w:rFonts w:ascii="-webkit-standard" w:hAnsi="-webkit-standard"/>
          <w:color w:val="000000"/>
          <w:sz w:val="27"/>
          <w:szCs w:val="27"/>
        </w:rPr>
      </w:pPr>
      <w:r>
        <w:rPr>
          <w:rFonts w:ascii="-webkit-standard" w:hAnsi="-webkit-standard"/>
          <w:color w:val="000000"/>
          <w:sz w:val="27"/>
          <w:szCs w:val="27"/>
        </w:rPr>
        <w:t>Wetherell, M. (2022, September 14).</w:t>
      </w:r>
      <w:r>
        <w:rPr>
          <w:rStyle w:val="apple-converted-space"/>
          <w:rFonts w:ascii="-webkit-standard" w:eastAsiaTheme="majorEastAsia" w:hAnsi="-webkit-standard"/>
          <w:color w:val="000000"/>
          <w:sz w:val="27"/>
          <w:szCs w:val="27"/>
        </w:rPr>
        <w:t> </w:t>
      </w:r>
      <w:r>
        <w:rPr>
          <w:rStyle w:val="Emphasis"/>
          <w:rFonts w:eastAsiaTheme="majorEastAsia"/>
          <w:color w:val="000000"/>
        </w:rPr>
        <w:t>The bear necessities of stress</w:t>
      </w:r>
      <w:r>
        <w:rPr>
          <w:rFonts w:ascii="-webkit-standard" w:hAnsi="-webkit-standard"/>
          <w:color w:val="000000"/>
          <w:sz w:val="27"/>
          <w:szCs w:val="27"/>
        </w:rPr>
        <w:t>.</w:t>
      </w:r>
    </w:p>
    <w:p w14:paraId="1D439FE1" w14:textId="77777777" w:rsidR="0091149E" w:rsidRDefault="0091149E" w:rsidP="005275FF">
      <w:pPr>
        <w:pStyle w:val="NormalWeb"/>
        <w:rPr>
          <w:rFonts w:ascii="-webkit-standard" w:hAnsi="-webkit-standard"/>
          <w:color w:val="000000"/>
          <w:sz w:val="27"/>
          <w:szCs w:val="27"/>
        </w:rPr>
      </w:pPr>
    </w:p>
    <w:p w14:paraId="69CF9D4D" w14:textId="77777777" w:rsidR="0091149E" w:rsidRDefault="0091149E" w:rsidP="005275FF">
      <w:pPr>
        <w:pStyle w:val="NormalWeb"/>
        <w:rPr>
          <w:rFonts w:ascii="-webkit-standard" w:hAnsi="-webkit-standard"/>
          <w:color w:val="000000"/>
          <w:sz w:val="27"/>
          <w:szCs w:val="27"/>
        </w:rPr>
      </w:pPr>
    </w:p>
    <w:p w14:paraId="125CD9F1" w14:textId="77777777" w:rsidR="0091149E" w:rsidRDefault="0091149E" w:rsidP="005275FF">
      <w:pPr>
        <w:pStyle w:val="NormalWeb"/>
        <w:rPr>
          <w:rFonts w:ascii="-webkit-standard" w:hAnsi="-webkit-standard"/>
          <w:color w:val="000000"/>
          <w:sz w:val="27"/>
          <w:szCs w:val="27"/>
        </w:rPr>
      </w:pPr>
    </w:p>
    <w:p w14:paraId="18DFACBC" w14:textId="77777777" w:rsidR="0091149E" w:rsidRDefault="0091149E" w:rsidP="005275FF">
      <w:pPr>
        <w:pStyle w:val="NormalWeb"/>
        <w:rPr>
          <w:rFonts w:ascii="-webkit-standard" w:hAnsi="-webkit-standard"/>
          <w:color w:val="000000"/>
          <w:sz w:val="27"/>
          <w:szCs w:val="27"/>
        </w:rPr>
      </w:pPr>
    </w:p>
    <w:p w14:paraId="0A1EB0EE" w14:textId="77777777" w:rsidR="0091149E" w:rsidRDefault="0091149E" w:rsidP="005275FF">
      <w:pPr>
        <w:pStyle w:val="NormalWeb"/>
        <w:rPr>
          <w:rFonts w:ascii="-webkit-standard" w:hAnsi="-webkit-standard"/>
          <w:color w:val="000000"/>
          <w:sz w:val="27"/>
          <w:szCs w:val="27"/>
        </w:rPr>
      </w:pPr>
    </w:p>
    <w:p w14:paraId="1398C1DD" w14:textId="77777777" w:rsidR="0091149E" w:rsidRDefault="0091149E" w:rsidP="005275FF">
      <w:pPr>
        <w:pStyle w:val="NormalWeb"/>
        <w:rPr>
          <w:rFonts w:ascii="-webkit-standard" w:hAnsi="-webkit-standard"/>
          <w:color w:val="000000"/>
          <w:sz w:val="27"/>
          <w:szCs w:val="27"/>
        </w:rPr>
      </w:pPr>
    </w:p>
    <w:p w14:paraId="70304149" w14:textId="77777777" w:rsidR="0091149E" w:rsidRDefault="0091149E" w:rsidP="005275FF">
      <w:pPr>
        <w:pStyle w:val="NormalWeb"/>
        <w:rPr>
          <w:rFonts w:ascii="-webkit-standard" w:hAnsi="-webkit-standard"/>
          <w:color w:val="000000"/>
          <w:sz w:val="27"/>
          <w:szCs w:val="27"/>
        </w:rPr>
      </w:pPr>
    </w:p>
    <w:p w14:paraId="333E5C45" w14:textId="77777777" w:rsidR="0091149E" w:rsidRDefault="0091149E" w:rsidP="005275FF">
      <w:pPr>
        <w:pStyle w:val="NormalWeb"/>
        <w:rPr>
          <w:rFonts w:ascii="-webkit-standard" w:hAnsi="-webkit-standard"/>
          <w:color w:val="000000"/>
          <w:sz w:val="27"/>
          <w:szCs w:val="27"/>
        </w:rPr>
      </w:pPr>
    </w:p>
    <w:p w14:paraId="49F80BFC" w14:textId="77777777" w:rsidR="0091149E" w:rsidRDefault="0091149E" w:rsidP="005275FF">
      <w:pPr>
        <w:pStyle w:val="NormalWeb"/>
        <w:rPr>
          <w:rFonts w:ascii="-webkit-standard" w:hAnsi="-webkit-standard"/>
          <w:color w:val="000000"/>
          <w:sz w:val="27"/>
          <w:szCs w:val="27"/>
        </w:rPr>
      </w:pPr>
    </w:p>
    <w:p w14:paraId="681C9A1A" w14:textId="77777777" w:rsidR="0091149E" w:rsidRDefault="0091149E" w:rsidP="005275FF">
      <w:pPr>
        <w:pStyle w:val="NormalWeb"/>
        <w:rPr>
          <w:rFonts w:ascii="-webkit-standard" w:hAnsi="-webkit-standard"/>
          <w:color w:val="000000"/>
          <w:sz w:val="27"/>
          <w:szCs w:val="27"/>
        </w:rPr>
      </w:pPr>
    </w:p>
    <w:p w14:paraId="30BEF766" w14:textId="77777777" w:rsidR="0091149E" w:rsidRDefault="0091149E" w:rsidP="005275FF">
      <w:pPr>
        <w:pStyle w:val="NormalWeb"/>
        <w:rPr>
          <w:rFonts w:ascii="-webkit-standard" w:hAnsi="-webkit-standard"/>
          <w:color w:val="000000"/>
          <w:sz w:val="27"/>
          <w:szCs w:val="27"/>
        </w:rPr>
      </w:pPr>
    </w:p>
    <w:p w14:paraId="28465F56" w14:textId="77777777" w:rsidR="0091149E" w:rsidRDefault="0091149E" w:rsidP="005275FF">
      <w:pPr>
        <w:pStyle w:val="NormalWeb"/>
        <w:rPr>
          <w:rFonts w:ascii="-webkit-standard" w:hAnsi="-webkit-standard"/>
          <w:color w:val="000000"/>
          <w:sz w:val="27"/>
          <w:szCs w:val="27"/>
        </w:rPr>
      </w:pPr>
    </w:p>
    <w:p w14:paraId="2C08893F" w14:textId="77777777" w:rsidR="0091149E" w:rsidRDefault="0091149E" w:rsidP="005275FF">
      <w:pPr>
        <w:pStyle w:val="NormalWeb"/>
        <w:rPr>
          <w:rFonts w:ascii="-webkit-standard" w:hAnsi="-webkit-standard"/>
          <w:color w:val="000000"/>
          <w:sz w:val="27"/>
          <w:szCs w:val="27"/>
        </w:rPr>
      </w:pPr>
    </w:p>
    <w:p w14:paraId="640F5BF1" w14:textId="77777777" w:rsidR="00334F31" w:rsidRDefault="00334F31" w:rsidP="00334F31">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 List</w:t>
      </w:r>
    </w:p>
    <w:p w14:paraId="3C471779" w14:textId="77777777" w:rsidR="00334F31" w:rsidRDefault="00334F31" w:rsidP="00334F31">
      <w:pPr>
        <w:rPr>
          <w:rFonts w:hAnsi="Symbol"/>
        </w:rPr>
      </w:pPr>
    </w:p>
    <w:p w14:paraId="0E5C5E84" w14:textId="77777777" w:rsidR="00334F31" w:rsidRDefault="00334F31" w:rsidP="00334F31">
      <w:pPr>
        <w:ind w:left="720" w:hanging="720"/>
      </w:pPr>
      <w:r>
        <w:rPr>
          <w:rFonts w:hAnsi="Symbol"/>
        </w:rPr>
        <w:t></w:t>
      </w:r>
      <w:r>
        <w:t xml:space="preserve">  Department for Environment, Food &amp; Rural Affairs (DEFRA). (2020).</w:t>
      </w:r>
      <w:r>
        <w:rPr>
          <w:rStyle w:val="apple-converted-space"/>
        </w:rPr>
        <w:t> </w:t>
      </w:r>
      <w:r>
        <w:rPr>
          <w:rStyle w:val="Emphasis"/>
        </w:rPr>
        <w:t>UK climate change risk assessment 2020</w:t>
      </w:r>
      <w:r>
        <w:t>. UK Government.</w:t>
      </w:r>
      <w:r>
        <w:rPr>
          <w:rStyle w:val="apple-converted-space"/>
        </w:rPr>
        <w:t> </w:t>
      </w:r>
      <w:hyperlink r:id="rId5" w:tgtFrame="_new" w:history="1">
        <w:r>
          <w:rPr>
            <w:rStyle w:val="Hyperlink"/>
          </w:rPr>
          <w:t>https://www.gov.uk/government/publications/uk-climate-change-risk-assessment-2020</w:t>
        </w:r>
      </w:hyperlink>
    </w:p>
    <w:p w14:paraId="08A2B477" w14:textId="77777777" w:rsidR="00334F31" w:rsidRDefault="00334F31" w:rsidP="00334F31">
      <w:pPr>
        <w:rPr>
          <w:rFonts w:hAnsi="Symbol"/>
        </w:rPr>
      </w:pPr>
    </w:p>
    <w:p w14:paraId="64F1E9C8" w14:textId="77777777" w:rsidR="00334F31" w:rsidRDefault="00334F31" w:rsidP="00334F31">
      <w:pPr>
        <w:ind w:left="720" w:hanging="720"/>
      </w:pPr>
      <w:r>
        <w:rPr>
          <w:rFonts w:hAnsi="Symbol"/>
        </w:rPr>
        <w:t></w:t>
      </w:r>
      <w:r>
        <w:t xml:space="preserve">  Davis, E. R., &amp; Clarke, M. J. (2022).</w:t>
      </w:r>
      <w:r>
        <w:rPr>
          <w:rStyle w:val="apple-converted-space"/>
        </w:rPr>
        <w:t> </w:t>
      </w:r>
      <w:r>
        <w:rPr>
          <w:rStyle w:val="Emphasis"/>
        </w:rPr>
        <w:t>Modern marketing strategies</w:t>
      </w:r>
      <w:r>
        <w:t>. Business Books Publishing.</w:t>
      </w:r>
    </w:p>
    <w:p w14:paraId="2FA29279" w14:textId="77777777" w:rsidR="00334F31" w:rsidRDefault="00334F31" w:rsidP="00334F31">
      <w:pPr>
        <w:rPr>
          <w:rFonts w:hAnsi="Symbol"/>
        </w:rPr>
      </w:pPr>
    </w:p>
    <w:p w14:paraId="0AD9E641" w14:textId="77777777" w:rsidR="00334F31" w:rsidRDefault="00334F31" w:rsidP="00334F31">
      <w:pPr>
        <w:ind w:left="720" w:hanging="720"/>
      </w:pPr>
      <w:r>
        <w:rPr>
          <w:rFonts w:hAnsi="Symbol"/>
        </w:rPr>
        <w:t></w:t>
      </w:r>
      <w:r>
        <w:t xml:space="preserve">  Garcia, M. T. (2022, March 5).</w:t>
      </w:r>
      <w:r>
        <w:rPr>
          <w:rStyle w:val="apple-converted-space"/>
        </w:rPr>
        <w:t> </w:t>
      </w:r>
      <w:r>
        <w:rPr>
          <w:rStyle w:val="Emphasis"/>
        </w:rPr>
        <w:t>Climate change impacts on coastal cities</w:t>
      </w:r>
      <w:r>
        <w:t>. The Global Times.</w:t>
      </w:r>
      <w:r>
        <w:rPr>
          <w:rStyle w:val="apple-converted-space"/>
        </w:rPr>
        <w:t> </w:t>
      </w:r>
      <w:hyperlink r:id="rId6" w:tgtFrame="_new" w:history="1">
        <w:r>
          <w:rPr>
            <w:rStyle w:val="Hyperlink"/>
          </w:rPr>
          <w:t>https://globaltimes.com/climate/coastal-impact</w:t>
        </w:r>
      </w:hyperlink>
    </w:p>
    <w:p w14:paraId="64630B3A" w14:textId="77777777" w:rsidR="00334F31" w:rsidRDefault="00334F31" w:rsidP="00334F31">
      <w:pPr>
        <w:rPr>
          <w:rFonts w:hAnsi="Symbol"/>
        </w:rPr>
      </w:pPr>
    </w:p>
    <w:p w14:paraId="46B29214" w14:textId="77777777" w:rsidR="00334F31" w:rsidRDefault="00334F31" w:rsidP="00334F31">
      <w:pPr>
        <w:ind w:left="720" w:hanging="720"/>
      </w:pPr>
      <w:r>
        <w:rPr>
          <w:rFonts w:hAnsi="Symbol"/>
        </w:rPr>
        <w:t></w:t>
      </w:r>
      <w:r>
        <w:t xml:space="preserve">  Kim, S. H., Patel, R., &amp; Wilson, J. D. (2021). Virtual reality in education: A meta-analysis.</w:t>
      </w:r>
      <w:r>
        <w:rPr>
          <w:rStyle w:val="apple-converted-space"/>
        </w:rPr>
        <w:t> </w:t>
      </w:r>
      <w:r>
        <w:rPr>
          <w:rStyle w:val="Emphasis"/>
        </w:rPr>
        <w:t>Educational Technology Research and Development, 69</w:t>
      </w:r>
      <w:r>
        <w:t>(2), 1105–1123.</w:t>
      </w:r>
      <w:r>
        <w:rPr>
          <w:rStyle w:val="apple-converted-space"/>
        </w:rPr>
        <w:t> </w:t>
      </w:r>
      <w:hyperlink r:id="rId7" w:tgtFrame="_new" w:history="1">
        <w:r>
          <w:rPr>
            <w:rStyle w:val="Hyperlink"/>
          </w:rPr>
          <w:t>https://doi.org/10.1007/s11423-020-09834-7</w:t>
        </w:r>
      </w:hyperlink>
    </w:p>
    <w:p w14:paraId="4B9AD338" w14:textId="77777777" w:rsidR="00334F31" w:rsidRDefault="00334F31" w:rsidP="00334F31">
      <w:pPr>
        <w:rPr>
          <w:rFonts w:hAnsi="Symbol"/>
        </w:rPr>
      </w:pPr>
    </w:p>
    <w:p w14:paraId="0DA5EFE7" w14:textId="77777777" w:rsidR="00334F31" w:rsidRDefault="00334F31" w:rsidP="00334F31">
      <w:pPr>
        <w:ind w:left="720" w:hanging="720"/>
      </w:pPr>
      <w:r>
        <w:rPr>
          <w:rFonts w:hAnsi="Symbol"/>
        </w:rPr>
        <w:t></w:t>
      </w:r>
      <w:r>
        <w:t xml:space="preserve">  Lee, A. M. (2020). Cognitive development in early childhood. In P. Brown &amp; L. Green (Eds.),</w:t>
      </w:r>
      <w:r>
        <w:rPr>
          <w:rStyle w:val="apple-converted-space"/>
        </w:rPr>
        <w:t> </w:t>
      </w:r>
      <w:r>
        <w:rPr>
          <w:rStyle w:val="Emphasis"/>
        </w:rPr>
        <w:t>Child development theories</w:t>
      </w:r>
      <w:r>
        <w:t>(pp. 45–67). Springer.</w:t>
      </w:r>
    </w:p>
    <w:p w14:paraId="31F11B41" w14:textId="77777777" w:rsidR="00334F31" w:rsidRDefault="00334F31" w:rsidP="00334F31">
      <w:pPr>
        <w:rPr>
          <w:rFonts w:hAnsi="Symbol"/>
        </w:rPr>
      </w:pPr>
    </w:p>
    <w:p w14:paraId="09AF5825" w14:textId="77777777" w:rsidR="00334F31" w:rsidRDefault="00334F31" w:rsidP="00334F31">
      <w:pPr>
        <w:ind w:left="720" w:hanging="720"/>
      </w:pPr>
      <w:r>
        <w:rPr>
          <w:rFonts w:hAnsi="Symbol"/>
        </w:rPr>
        <w:t></w:t>
      </w:r>
      <w:r>
        <w:t xml:space="preserve">  Martinez, S. L. (2022, October 14). Advances in renewable energy storage [Symposium presentation].</w:t>
      </w:r>
      <w:r>
        <w:rPr>
          <w:rStyle w:val="apple-converted-space"/>
        </w:rPr>
        <w:t> </w:t>
      </w:r>
      <w:r>
        <w:rPr>
          <w:rStyle w:val="Emphasis"/>
        </w:rPr>
        <w:t>International Symposium on Sustainable Energy</w:t>
      </w:r>
      <w:r>
        <w:t>, Berlin, Germany.</w:t>
      </w:r>
    </w:p>
    <w:p w14:paraId="26D53A84" w14:textId="77777777" w:rsidR="00334F31" w:rsidRDefault="00334F31" w:rsidP="00334F31">
      <w:pPr>
        <w:rPr>
          <w:rFonts w:hAnsi="Symbol"/>
        </w:rPr>
      </w:pPr>
    </w:p>
    <w:p w14:paraId="5D32A0D5" w14:textId="77777777" w:rsidR="00334F31" w:rsidRDefault="00334F31" w:rsidP="00334F31">
      <w:pPr>
        <w:ind w:left="720" w:hanging="720"/>
      </w:pPr>
      <w:r>
        <w:rPr>
          <w:rFonts w:hAnsi="Symbol"/>
        </w:rPr>
        <w:t></w:t>
      </w:r>
      <w:r>
        <w:t xml:space="preserve">  Morgan, D. S. (2021).</w:t>
      </w:r>
      <w:r>
        <w:rPr>
          <w:rStyle w:val="apple-converted-space"/>
        </w:rPr>
        <w:t> </w:t>
      </w:r>
      <w:r>
        <w:rPr>
          <w:rStyle w:val="Emphasis"/>
        </w:rPr>
        <w:t>Machine learning applications in healthcare diagnostics</w:t>
      </w:r>
      <w:r>
        <w:rPr>
          <w:rStyle w:val="apple-converted-space"/>
        </w:rPr>
        <w:t> </w:t>
      </w:r>
      <w:r>
        <w:t>[Doctoral dissertation, University of Edinburgh]. ProQuest Dissertations &amp; Theses Global.</w:t>
      </w:r>
      <w:r>
        <w:rPr>
          <w:rStyle w:val="apple-converted-space"/>
        </w:rPr>
        <w:t> </w:t>
      </w:r>
      <w:hyperlink r:id="rId8" w:tgtFrame="_new" w:history="1">
        <w:r>
          <w:rPr>
            <w:rStyle w:val="Hyperlink"/>
          </w:rPr>
          <w:t>https://www.proquest.com/docview/12345678</w:t>
        </w:r>
      </w:hyperlink>
    </w:p>
    <w:p w14:paraId="7A510522" w14:textId="77777777" w:rsidR="00334F31" w:rsidRDefault="00334F31" w:rsidP="00334F31">
      <w:pPr>
        <w:rPr>
          <w:rFonts w:hAnsi="Symbol"/>
        </w:rPr>
      </w:pPr>
    </w:p>
    <w:p w14:paraId="113EEFED" w14:textId="77777777" w:rsidR="00334F31" w:rsidRDefault="00334F31" w:rsidP="00334F31">
      <w:pPr>
        <w:ind w:left="720" w:hanging="720"/>
      </w:pPr>
      <w:r>
        <w:rPr>
          <w:rFonts w:hAnsi="Symbol"/>
        </w:rPr>
        <w:t></w:t>
      </w:r>
      <w:r>
        <w:t xml:space="preserve">  Nguyen, H. P. (2018). Blockchain technology in finance. In R. Singh &amp; A. Cohen (Eds.),</w:t>
      </w:r>
      <w:r>
        <w:rPr>
          <w:rStyle w:val="apple-converted-space"/>
        </w:rPr>
        <w:t> </w:t>
      </w:r>
      <w:r>
        <w:rPr>
          <w:rStyle w:val="Emphasis"/>
        </w:rPr>
        <w:t>Innovations in financial technology</w:t>
      </w:r>
      <w:r>
        <w:rPr>
          <w:rStyle w:val="apple-converted-space"/>
        </w:rPr>
        <w:t> </w:t>
      </w:r>
      <w:r>
        <w:t>(pp. 122–139). Wiley Online Library.</w:t>
      </w:r>
    </w:p>
    <w:p w14:paraId="36871344" w14:textId="77777777" w:rsidR="00334F31" w:rsidRDefault="00334F31" w:rsidP="00334F31">
      <w:pPr>
        <w:rPr>
          <w:rFonts w:hAnsi="Symbol"/>
        </w:rPr>
      </w:pPr>
    </w:p>
    <w:p w14:paraId="76FAEC12" w14:textId="77777777" w:rsidR="00334F31" w:rsidRDefault="00334F31" w:rsidP="00334F31">
      <w:pPr>
        <w:ind w:left="720" w:hanging="720"/>
      </w:pPr>
      <w:r>
        <w:rPr>
          <w:rFonts w:hAnsi="Symbol"/>
        </w:rPr>
        <w:lastRenderedPageBreak/>
        <w:t></w:t>
      </w:r>
      <w:r>
        <w:t xml:space="preserve">  Nguyen, L. T., O'Connell, M. A., Li, S. J., Rivera, P. M., Adams, F. R., Chen, H. Y., Bailey, T. K., Jones, A. R., Walker, C. L., &amp; Ahmed, S. E. (2022). Cognitive flexibility and executive function in early adulthood.</w:t>
      </w:r>
      <w:r>
        <w:rPr>
          <w:rStyle w:val="apple-converted-space"/>
        </w:rPr>
        <w:t> </w:t>
      </w:r>
      <w:r>
        <w:rPr>
          <w:rStyle w:val="Emphasis"/>
        </w:rPr>
        <w:t>Journal of Experimental Psychology: General, 151</w:t>
      </w:r>
      <w:r>
        <w:t>(4), 789–805.</w:t>
      </w:r>
      <w:r>
        <w:rPr>
          <w:rStyle w:val="apple-converted-space"/>
        </w:rPr>
        <w:t> </w:t>
      </w:r>
      <w:hyperlink r:id="rId9" w:tgtFrame="_new" w:history="1">
        <w:r>
          <w:rPr>
            <w:rStyle w:val="Hyperlink"/>
          </w:rPr>
          <w:t>https://doi.org/10.1037/xge0001223</w:t>
        </w:r>
      </w:hyperlink>
    </w:p>
    <w:p w14:paraId="133F5C9D" w14:textId="77777777" w:rsidR="00334F31" w:rsidRDefault="00334F31" w:rsidP="00334F31">
      <w:pPr>
        <w:rPr>
          <w:rFonts w:hAnsi="Symbol"/>
        </w:rPr>
      </w:pPr>
    </w:p>
    <w:p w14:paraId="00D0A012" w14:textId="77777777" w:rsidR="00334F31" w:rsidRDefault="00334F31" w:rsidP="00334F31">
      <w:pPr>
        <w:ind w:left="720" w:hanging="720"/>
      </w:pPr>
      <w:r>
        <w:rPr>
          <w:rFonts w:hAnsi="Symbol"/>
        </w:rPr>
        <w:t></w:t>
      </w:r>
      <w:r>
        <w:t xml:space="preserve">  NHS Greater London Trust. (2022).</w:t>
      </w:r>
      <w:r>
        <w:rPr>
          <w:rStyle w:val="apple-converted-space"/>
        </w:rPr>
        <w:t> </w:t>
      </w:r>
      <w:r>
        <w:rPr>
          <w:rStyle w:val="Emphasis"/>
        </w:rPr>
        <w:t>Annual patient satisfaction survey report</w:t>
      </w:r>
      <w:r>
        <w:t>. London, UK.</w:t>
      </w:r>
    </w:p>
    <w:p w14:paraId="5E998C62" w14:textId="77777777" w:rsidR="00334F31" w:rsidRDefault="00334F31" w:rsidP="00334F31">
      <w:pPr>
        <w:rPr>
          <w:rFonts w:hAnsi="Symbol"/>
        </w:rPr>
      </w:pPr>
    </w:p>
    <w:p w14:paraId="43AB6E22" w14:textId="77777777" w:rsidR="00334F31" w:rsidRDefault="00334F31" w:rsidP="00334F31">
      <w:pPr>
        <w:ind w:left="720" w:hanging="720"/>
      </w:pPr>
      <w:r>
        <w:rPr>
          <w:rFonts w:hAnsi="Symbol"/>
        </w:rPr>
        <w:t></w:t>
      </w:r>
      <w:r>
        <w:t xml:space="preserve">  Patel, S. R. (2020). The rise of digital therapy.</w:t>
      </w:r>
      <w:r>
        <w:rPr>
          <w:rStyle w:val="apple-converted-space"/>
        </w:rPr>
        <w:t> </w:t>
      </w:r>
      <w:r>
        <w:rPr>
          <w:rStyle w:val="Emphasis"/>
        </w:rPr>
        <w:t>The Psychologist, 33</w:t>
      </w:r>
      <w:r>
        <w:t>(6), 48–53.</w:t>
      </w:r>
    </w:p>
    <w:p w14:paraId="22ACEE30" w14:textId="77777777" w:rsidR="00334F31" w:rsidRDefault="00334F31" w:rsidP="00334F31">
      <w:pPr>
        <w:rPr>
          <w:rFonts w:hAnsi="Symbol"/>
        </w:rPr>
      </w:pPr>
    </w:p>
    <w:p w14:paraId="5F3A6720" w14:textId="77777777" w:rsidR="00334F31" w:rsidRDefault="00334F31" w:rsidP="00334F31">
      <w:pPr>
        <w:ind w:left="720" w:hanging="720"/>
      </w:pPr>
      <w:r>
        <w:rPr>
          <w:rFonts w:hAnsi="Symbol"/>
        </w:rPr>
        <w:t></w:t>
      </w:r>
      <w:r>
        <w:t xml:space="preserve">  Reynolds, K. M. (2023).</w:t>
      </w:r>
      <w:r>
        <w:rPr>
          <w:rStyle w:val="apple-converted-space"/>
        </w:rPr>
        <w:t> </w:t>
      </w:r>
      <w:r>
        <w:rPr>
          <w:rStyle w:val="Emphasis"/>
        </w:rPr>
        <w:t>How mindfulness improves productivity</w:t>
      </w:r>
      <w:r>
        <w:t>. Mindful Living.</w:t>
      </w:r>
      <w:r>
        <w:rPr>
          <w:rStyle w:val="apple-converted-space"/>
        </w:rPr>
        <w:t> </w:t>
      </w:r>
      <w:hyperlink r:id="rId10" w:tgtFrame="_new" w:history="1">
        <w:r>
          <w:rPr>
            <w:rStyle w:val="Hyperlink"/>
          </w:rPr>
          <w:t>https://mindfulliving.com/how-mindfulness-improves-productivity</w:t>
        </w:r>
      </w:hyperlink>
    </w:p>
    <w:p w14:paraId="5E931F99" w14:textId="77777777" w:rsidR="00334F31" w:rsidRDefault="00334F31" w:rsidP="00334F31">
      <w:pPr>
        <w:rPr>
          <w:rFonts w:hAnsi="Symbol"/>
        </w:rPr>
      </w:pPr>
    </w:p>
    <w:p w14:paraId="4D301CC7" w14:textId="77777777" w:rsidR="00334F31" w:rsidRDefault="00334F31" w:rsidP="00334F31">
      <w:r>
        <w:rPr>
          <w:rFonts w:hAnsi="Symbol"/>
        </w:rPr>
        <w:t></w:t>
      </w:r>
      <w:r>
        <w:t xml:space="preserve">  Smith, J. A. (2019).</w:t>
      </w:r>
      <w:r>
        <w:rPr>
          <w:rStyle w:val="apple-converted-space"/>
        </w:rPr>
        <w:t> </w:t>
      </w:r>
      <w:r>
        <w:rPr>
          <w:rStyle w:val="Emphasis"/>
        </w:rPr>
        <w:t>Understanding psychology</w:t>
      </w:r>
      <w:r>
        <w:rPr>
          <w:rStyle w:val="apple-converted-space"/>
        </w:rPr>
        <w:t> </w:t>
      </w:r>
      <w:r>
        <w:t>(3rd ed.). Academic Press.</w:t>
      </w:r>
    </w:p>
    <w:p w14:paraId="49CCE339" w14:textId="77777777" w:rsidR="00334F31" w:rsidRDefault="00334F31" w:rsidP="00334F31">
      <w:pPr>
        <w:rPr>
          <w:rFonts w:hAnsi="Symbol"/>
        </w:rPr>
      </w:pPr>
    </w:p>
    <w:p w14:paraId="5435CEE2" w14:textId="77777777" w:rsidR="00334F31" w:rsidRDefault="00334F31" w:rsidP="00334F31">
      <w:pPr>
        <w:ind w:left="720" w:hanging="720"/>
      </w:pPr>
      <w:r>
        <w:rPr>
          <w:rFonts w:hAnsi="Symbol"/>
        </w:rPr>
        <w:t></w:t>
      </w:r>
      <w:r>
        <w:t xml:space="preserve">  Thompson, R. E. (2018). Social media effects on adolescent mental health.</w:t>
      </w:r>
      <w:r>
        <w:rPr>
          <w:rStyle w:val="apple-converted-space"/>
        </w:rPr>
        <w:t> </w:t>
      </w:r>
      <w:r>
        <w:rPr>
          <w:rStyle w:val="Emphasis"/>
        </w:rPr>
        <w:t>Journal of Adolescent Health, 62</w:t>
      </w:r>
      <w:r>
        <w:t>(4), 410–417.</w:t>
      </w:r>
      <w:r>
        <w:rPr>
          <w:rStyle w:val="apple-converted-space"/>
        </w:rPr>
        <w:t> </w:t>
      </w:r>
      <w:hyperlink r:id="rId11" w:tgtFrame="_new" w:history="1">
        <w:r>
          <w:rPr>
            <w:rStyle w:val="Hyperlink"/>
          </w:rPr>
          <w:t>https://doi.org/10.1016/j.jadohealth.2017.11.290</w:t>
        </w:r>
      </w:hyperlink>
    </w:p>
    <w:p w14:paraId="2F4E9163" w14:textId="77777777" w:rsidR="00334F31" w:rsidRDefault="00334F31" w:rsidP="00334F31">
      <w:pPr>
        <w:rPr>
          <w:rFonts w:hAnsi="Symbol"/>
        </w:rPr>
      </w:pPr>
    </w:p>
    <w:p w14:paraId="742C6245" w14:textId="77777777" w:rsidR="00334F31" w:rsidRDefault="00334F31" w:rsidP="00334F31">
      <w:pPr>
        <w:ind w:left="720" w:hanging="720"/>
      </w:pPr>
      <w:r>
        <w:rPr>
          <w:rFonts w:hAnsi="Symbol"/>
        </w:rPr>
        <w:t></w:t>
      </w:r>
      <w:r>
        <w:t xml:space="preserve">  U.S. Department of Education. (2017).</w:t>
      </w:r>
      <w:r>
        <w:rPr>
          <w:rStyle w:val="apple-converted-space"/>
        </w:rPr>
        <w:t> </w:t>
      </w:r>
      <w:r>
        <w:rPr>
          <w:rStyle w:val="Emphasis"/>
        </w:rPr>
        <w:t>National education technology plan 2017</w:t>
      </w:r>
      <w:r>
        <w:rPr>
          <w:rStyle w:val="apple-converted-space"/>
        </w:rPr>
        <w:t> </w:t>
      </w:r>
      <w:r>
        <w:t>(Report No. ED-ICT-17-01).</w:t>
      </w:r>
      <w:r>
        <w:rPr>
          <w:rStyle w:val="apple-converted-space"/>
        </w:rPr>
        <w:t> </w:t>
      </w:r>
      <w:hyperlink r:id="rId12" w:tgtFrame="_new" w:history="1">
        <w:r>
          <w:rPr>
            <w:rStyle w:val="Hyperlink"/>
          </w:rPr>
          <w:t>https://tech.ed.gov/netp</w:t>
        </w:r>
      </w:hyperlink>
    </w:p>
    <w:p w14:paraId="65C2F311" w14:textId="77777777" w:rsidR="00334F31" w:rsidRDefault="00334F31" w:rsidP="00334F31">
      <w:pPr>
        <w:rPr>
          <w:rFonts w:hAnsi="Symbol"/>
        </w:rPr>
      </w:pPr>
    </w:p>
    <w:p w14:paraId="02F3B2B7" w14:textId="77777777" w:rsidR="00334F31" w:rsidRDefault="00334F31" w:rsidP="00334F31">
      <w:pPr>
        <w:ind w:left="720" w:hanging="720"/>
      </w:pPr>
      <w:r>
        <w:rPr>
          <w:rFonts w:hAnsi="Symbol"/>
        </w:rPr>
        <w:t></w:t>
      </w:r>
      <w:r>
        <w:t xml:space="preserve">  University of Oxford. (2022).</w:t>
      </w:r>
      <w:r>
        <w:rPr>
          <w:rStyle w:val="apple-converted-space"/>
        </w:rPr>
        <w:t> </w:t>
      </w:r>
      <w:r>
        <w:rPr>
          <w:rStyle w:val="Emphasis"/>
        </w:rPr>
        <w:t>Referencing and citation guide</w:t>
      </w:r>
      <w:r>
        <w:t>.</w:t>
      </w:r>
      <w:r>
        <w:rPr>
          <w:rStyle w:val="apple-converted-space"/>
        </w:rPr>
        <w:t> </w:t>
      </w:r>
      <w:hyperlink r:id="rId13" w:tgtFrame="_new" w:history="1">
        <w:r>
          <w:rPr>
            <w:rStyle w:val="Hyperlink"/>
          </w:rPr>
          <w:t>https://www.ox.ac.uk/students/academic/referencing</w:t>
        </w:r>
      </w:hyperlink>
    </w:p>
    <w:p w14:paraId="5A1BBA4C" w14:textId="77777777" w:rsidR="00334F31" w:rsidRDefault="00334F31" w:rsidP="00334F31">
      <w:pPr>
        <w:rPr>
          <w:rFonts w:hAnsi="Symbol"/>
        </w:rPr>
      </w:pPr>
    </w:p>
    <w:p w14:paraId="74C6C8B4" w14:textId="77777777" w:rsidR="00334F31" w:rsidRDefault="00334F31" w:rsidP="00334F31">
      <w:pPr>
        <w:ind w:left="720" w:hanging="720"/>
      </w:pPr>
      <w:r>
        <w:rPr>
          <w:rFonts w:hAnsi="Symbol"/>
        </w:rPr>
        <w:t></w:t>
      </w:r>
      <w:r>
        <w:t xml:space="preserve">  Williams, J. L. (2020).</w:t>
      </w:r>
      <w:r>
        <w:rPr>
          <w:rStyle w:val="apple-converted-space"/>
        </w:rPr>
        <w:t> </w:t>
      </w:r>
      <w:r>
        <w:rPr>
          <w:rStyle w:val="Emphasis"/>
        </w:rPr>
        <w:t>Exploring sustainable urban development</w:t>
      </w:r>
      <w:r>
        <w:rPr>
          <w:rStyle w:val="apple-converted-space"/>
        </w:rPr>
        <w:t> </w:t>
      </w:r>
      <w:r>
        <w:t>[Doctoral dissertation, University of California].</w:t>
      </w:r>
      <w:r>
        <w:rPr>
          <w:rStyle w:val="apple-converted-space"/>
        </w:rPr>
        <w:t> </w:t>
      </w:r>
      <w:hyperlink r:id="rId14" w:tgtFrame="_new" w:history="1">
        <w:r>
          <w:rPr>
            <w:rStyle w:val="Hyperlink"/>
          </w:rPr>
          <w:t>https://escholarship.org/uc/item/7gp4v2cd</w:t>
        </w:r>
      </w:hyperlink>
    </w:p>
    <w:p w14:paraId="090EA318" w14:textId="77777777" w:rsidR="00334F31" w:rsidRDefault="00334F31" w:rsidP="00334F31">
      <w:pPr>
        <w:rPr>
          <w:rFonts w:hAnsi="Symbol"/>
        </w:rPr>
      </w:pPr>
    </w:p>
    <w:p w14:paraId="11939362" w14:textId="77777777" w:rsidR="00334F31" w:rsidRDefault="00334F31" w:rsidP="00334F31">
      <w:pPr>
        <w:ind w:left="720" w:hanging="720"/>
      </w:pPr>
      <w:r>
        <w:rPr>
          <w:rFonts w:hAnsi="Symbol"/>
        </w:rPr>
        <w:t></w:t>
      </w:r>
      <w:r>
        <w:t xml:space="preserve">  World Health Organization. (2023).</w:t>
      </w:r>
      <w:r>
        <w:rPr>
          <w:rStyle w:val="apple-converted-space"/>
        </w:rPr>
        <w:t> </w:t>
      </w:r>
      <w:r>
        <w:rPr>
          <w:rStyle w:val="Emphasis"/>
        </w:rPr>
        <w:t>Mental health and COVID-19</w:t>
      </w:r>
      <w:r>
        <w:t>.</w:t>
      </w:r>
      <w:r>
        <w:rPr>
          <w:rStyle w:val="apple-converted-space"/>
        </w:rPr>
        <w:t> </w:t>
      </w:r>
      <w:hyperlink r:id="rId15" w:tgtFrame="_new" w:history="1">
        <w:r>
          <w:rPr>
            <w:rStyle w:val="Hyperlink"/>
          </w:rPr>
          <w:t>https://www.who.int/mental_health/covid-19</w:t>
        </w:r>
      </w:hyperlink>
    </w:p>
    <w:p w14:paraId="6589CAE6" w14:textId="77777777" w:rsidR="00334F31" w:rsidRPr="00083176" w:rsidRDefault="00334F31" w:rsidP="00334F31">
      <w:pPr>
        <w:pStyle w:val="ListParagraph"/>
        <w:ind w:left="1440" w:hanging="720"/>
        <w:rPr>
          <w:rFonts w:ascii="Times New Roman" w:hAnsi="Times New Roman" w:cs="Times New Roman"/>
        </w:rPr>
      </w:pPr>
      <w:r>
        <w:rPr>
          <w:rFonts w:hAnsi="Symbol"/>
        </w:rPr>
        <w:lastRenderedPageBreak/>
        <w:t></w:t>
      </w:r>
      <w:r>
        <w:t xml:space="preserve">  Zhao, L. (2019). Enhancing user experience in mobile apps. In</w:t>
      </w:r>
      <w:r>
        <w:rPr>
          <w:rStyle w:val="apple-converted-space"/>
        </w:rPr>
        <w:t> </w:t>
      </w:r>
      <w:r>
        <w:rPr>
          <w:rStyle w:val="Emphasis"/>
        </w:rPr>
        <w:t>Proceedings of the International Conference on Human-Computer Interaction</w:t>
      </w:r>
      <w:r>
        <w:rPr>
          <w:rStyle w:val="apple-converted-space"/>
        </w:rPr>
        <w:t> </w:t>
      </w:r>
      <w:r>
        <w:t>(pp. 102–110). ACM Press.</w:t>
      </w:r>
      <w:r>
        <w:rPr>
          <w:rStyle w:val="apple-converted-space"/>
        </w:rPr>
        <w:t> </w:t>
      </w:r>
      <w:hyperlink r:id="rId16" w:tgtFrame="_new" w:history="1">
        <w:r>
          <w:rPr>
            <w:rStyle w:val="Hyperlink"/>
          </w:rPr>
          <w:t>https://doi.org/10.1145/3313831.3376310</w:t>
        </w:r>
      </w:hyperlink>
    </w:p>
    <w:p w14:paraId="733AC047" w14:textId="77777777" w:rsidR="0091149E" w:rsidRPr="00980A87" w:rsidRDefault="0091149E" w:rsidP="005275FF">
      <w:pPr>
        <w:pStyle w:val="NormalWeb"/>
        <w:rPr>
          <w:color w:val="000000"/>
        </w:rPr>
      </w:pPr>
    </w:p>
    <w:p w14:paraId="4254BFB8" w14:textId="77777777" w:rsidR="005275FF" w:rsidRPr="00AD542D" w:rsidRDefault="005275FF">
      <w:pPr>
        <w:rPr>
          <w:rFonts w:ascii="Times New Roman" w:hAnsi="Times New Roman" w:cs="Times New Roman"/>
        </w:rPr>
      </w:pPr>
    </w:p>
    <w:sectPr w:rsidR="005275FF" w:rsidRPr="00AD5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F0126"/>
    <w:multiLevelType w:val="multilevel"/>
    <w:tmpl w:val="91889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61355"/>
    <w:multiLevelType w:val="multilevel"/>
    <w:tmpl w:val="D1321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E1A7F"/>
    <w:multiLevelType w:val="multilevel"/>
    <w:tmpl w:val="6BB0CA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87D86"/>
    <w:multiLevelType w:val="multilevel"/>
    <w:tmpl w:val="C660FD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F4146"/>
    <w:multiLevelType w:val="multilevel"/>
    <w:tmpl w:val="98D21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2D160E"/>
    <w:multiLevelType w:val="multilevel"/>
    <w:tmpl w:val="A2A874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294680"/>
    <w:multiLevelType w:val="multilevel"/>
    <w:tmpl w:val="D2709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F436F6"/>
    <w:multiLevelType w:val="multilevel"/>
    <w:tmpl w:val="7568B3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8B4AA3"/>
    <w:multiLevelType w:val="multilevel"/>
    <w:tmpl w:val="20D27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EA43BD"/>
    <w:multiLevelType w:val="multilevel"/>
    <w:tmpl w:val="B606A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9635E3"/>
    <w:multiLevelType w:val="multilevel"/>
    <w:tmpl w:val="2362CE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A53430"/>
    <w:multiLevelType w:val="multilevel"/>
    <w:tmpl w:val="86749E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9548DF"/>
    <w:multiLevelType w:val="multilevel"/>
    <w:tmpl w:val="AC2CC3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C10BD4"/>
    <w:multiLevelType w:val="multilevel"/>
    <w:tmpl w:val="00ECC6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9E1B6F"/>
    <w:multiLevelType w:val="multilevel"/>
    <w:tmpl w:val="6554A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73225">
    <w:abstractNumId w:val="13"/>
  </w:num>
  <w:num w:numId="2" w16cid:durableId="131096961">
    <w:abstractNumId w:val="8"/>
  </w:num>
  <w:num w:numId="3" w16cid:durableId="1054620106">
    <w:abstractNumId w:val="11"/>
  </w:num>
  <w:num w:numId="4" w16cid:durableId="1888224456">
    <w:abstractNumId w:val="6"/>
  </w:num>
  <w:num w:numId="5" w16cid:durableId="1362897292">
    <w:abstractNumId w:val="4"/>
  </w:num>
  <w:num w:numId="6" w16cid:durableId="2023313286">
    <w:abstractNumId w:val="3"/>
  </w:num>
  <w:num w:numId="7" w16cid:durableId="162744831">
    <w:abstractNumId w:val="14"/>
  </w:num>
  <w:num w:numId="8" w16cid:durableId="412094163">
    <w:abstractNumId w:val="2"/>
  </w:num>
  <w:num w:numId="9" w16cid:durableId="1628198491">
    <w:abstractNumId w:val="9"/>
  </w:num>
  <w:num w:numId="10" w16cid:durableId="411778051">
    <w:abstractNumId w:val="5"/>
  </w:num>
  <w:num w:numId="11" w16cid:durableId="761687088">
    <w:abstractNumId w:val="1"/>
  </w:num>
  <w:num w:numId="12" w16cid:durableId="1955555324">
    <w:abstractNumId w:val="7"/>
  </w:num>
  <w:num w:numId="13" w16cid:durableId="804782545">
    <w:abstractNumId w:val="0"/>
  </w:num>
  <w:num w:numId="14" w16cid:durableId="907153674">
    <w:abstractNumId w:val="10"/>
  </w:num>
  <w:num w:numId="15" w16cid:durableId="172864435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42D"/>
    <w:rsid w:val="00141645"/>
    <w:rsid w:val="002B7733"/>
    <w:rsid w:val="002C489B"/>
    <w:rsid w:val="00334F31"/>
    <w:rsid w:val="004969F0"/>
    <w:rsid w:val="005275FF"/>
    <w:rsid w:val="00591DAC"/>
    <w:rsid w:val="005C7E4B"/>
    <w:rsid w:val="007858B5"/>
    <w:rsid w:val="0091149E"/>
    <w:rsid w:val="00991BCE"/>
    <w:rsid w:val="00AD542D"/>
    <w:rsid w:val="00C85B88"/>
    <w:rsid w:val="00CE6DA6"/>
    <w:rsid w:val="00DA7ACF"/>
    <w:rsid w:val="00E84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A6DA2"/>
  <w15:chartTrackingRefBased/>
  <w15:docId w15:val="{2041E5F7-C007-2D43-8054-F50E30345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5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5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5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5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5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5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5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5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5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5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5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5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5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5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5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542D"/>
    <w:rPr>
      <w:rFonts w:eastAsiaTheme="majorEastAsia" w:cstheme="majorBidi"/>
      <w:color w:val="272727" w:themeColor="text1" w:themeTint="D8"/>
    </w:rPr>
  </w:style>
  <w:style w:type="paragraph" w:styleId="Title">
    <w:name w:val="Title"/>
    <w:basedOn w:val="Normal"/>
    <w:next w:val="Normal"/>
    <w:link w:val="TitleChar"/>
    <w:uiPriority w:val="10"/>
    <w:qFormat/>
    <w:rsid w:val="00AD5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5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5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542D"/>
    <w:pPr>
      <w:spacing w:before="160"/>
      <w:jc w:val="center"/>
    </w:pPr>
    <w:rPr>
      <w:i/>
      <w:iCs/>
      <w:color w:val="404040" w:themeColor="text1" w:themeTint="BF"/>
    </w:rPr>
  </w:style>
  <w:style w:type="character" w:customStyle="1" w:styleId="QuoteChar">
    <w:name w:val="Quote Char"/>
    <w:basedOn w:val="DefaultParagraphFont"/>
    <w:link w:val="Quote"/>
    <w:uiPriority w:val="29"/>
    <w:rsid w:val="00AD542D"/>
    <w:rPr>
      <w:i/>
      <w:iCs/>
      <w:color w:val="404040" w:themeColor="text1" w:themeTint="BF"/>
    </w:rPr>
  </w:style>
  <w:style w:type="paragraph" w:styleId="ListParagraph">
    <w:name w:val="List Paragraph"/>
    <w:basedOn w:val="Normal"/>
    <w:uiPriority w:val="34"/>
    <w:qFormat/>
    <w:rsid w:val="00AD542D"/>
    <w:pPr>
      <w:ind w:left="720"/>
      <w:contextualSpacing/>
    </w:pPr>
  </w:style>
  <w:style w:type="character" w:styleId="IntenseEmphasis">
    <w:name w:val="Intense Emphasis"/>
    <w:basedOn w:val="DefaultParagraphFont"/>
    <w:uiPriority w:val="21"/>
    <w:qFormat/>
    <w:rsid w:val="00AD542D"/>
    <w:rPr>
      <w:i/>
      <w:iCs/>
      <w:color w:val="0F4761" w:themeColor="accent1" w:themeShade="BF"/>
    </w:rPr>
  </w:style>
  <w:style w:type="paragraph" w:styleId="IntenseQuote">
    <w:name w:val="Intense Quote"/>
    <w:basedOn w:val="Normal"/>
    <w:next w:val="Normal"/>
    <w:link w:val="IntenseQuoteChar"/>
    <w:uiPriority w:val="30"/>
    <w:qFormat/>
    <w:rsid w:val="00AD5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542D"/>
    <w:rPr>
      <w:i/>
      <w:iCs/>
      <w:color w:val="0F4761" w:themeColor="accent1" w:themeShade="BF"/>
    </w:rPr>
  </w:style>
  <w:style w:type="character" w:styleId="IntenseReference">
    <w:name w:val="Intense Reference"/>
    <w:basedOn w:val="DefaultParagraphFont"/>
    <w:uiPriority w:val="32"/>
    <w:qFormat/>
    <w:rsid w:val="00AD542D"/>
    <w:rPr>
      <w:b/>
      <w:bCs/>
      <w:smallCaps/>
      <w:color w:val="0F4761" w:themeColor="accent1" w:themeShade="BF"/>
      <w:spacing w:val="5"/>
    </w:rPr>
  </w:style>
  <w:style w:type="character" w:styleId="Strong">
    <w:name w:val="Strong"/>
    <w:basedOn w:val="DefaultParagraphFont"/>
    <w:uiPriority w:val="22"/>
    <w:qFormat/>
    <w:rsid w:val="00AD542D"/>
    <w:rPr>
      <w:b/>
      <w:bCs/>
    </w:rPr>
  </w:style>
  <w:style w:type="character" w:customStyle="1" w:styleId="apple-converted-space">
    <w:name w:val="apple-converted-space"/>
    <w:basedOn w:val="DefaultParagraphFont"/>
    <w:rsid w:val="00AD542D"/>
  </w:style>
  <w:style w:type="paragraph" w:styleId="NormalWeb">
    <w:name w:val="Normal (Web)"/>
    <w:basedOn w:val="Normal"/>
    <w:uiPriority w:val="99"/>
    <w:semiHidden/>
    <w:unhideWhenUsed/>
    <w:rsid w:val="00AD54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D542D"/>
    <w:rPr>
      <w:i/>
      <w:iCs/>
    </w:rPr>
  </w:style>
  <w:style w:type="character" w:styleId="Hyperlink">
    <w:name w:val="Hyperlink"/>
    <w:basedOn w:val="DefaultParagraphFont"/>
    <w:uiPriority w:val="99"/>
    <w:unhideWhenUsed/>
    <w:rsid w:val="00334F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2345678" TargetMode="External"/><Relationship Id="rId13" Type="http://schemas.openxmlformats.org/officeDocument/2006/relationships/hyperlink" Target="https://www.ox.ac.uk/students/academic/referenc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s11423-020-09834-7" TargetMode="External"/><Relationship Id="rId12" Type="http://schemas.openxmlformats.org/officeDocument/2006/relationships/hyperlink" Target="https://tech.ed.gov/net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45/3313831.3376310" TargetMode="External"/><Relationship Id="rId1" Type="http://schemas.openxmlformats.org/officeDocument/2006/relationships/numbering" Target="numbering.xml"/><Relationship Id="rId6" Type="http://schemas.openxmlformats.org/officeDocument/2006/relationships/hyperlink" Target="https://globaltimes.com/climate/coastal-impact" TargetMode="External"/><Relationship Id="rId11" Type="http://schemas.openxmlformats.org/officeDocument/2006/relationships/hyperlink" Target="https://doi.org/10.1016/j.jadohealth.2017.11.290" TargetMode="External"/><Relationship Id="rId5" Type="http://schemas.openxmlformats.org/officeDocument/2006/relationships/hyperlink" Target="https://www.gov.uk/government/publications/uk-climate-change-risk-assessment-2020" TargetMode="External"/><Relationship Id="rId15" Type="http://schemas.openxmlformats.org/officeDocument/2006/relationships/hyperlink" Target="https://www.who.int/mental_health/covid-19" TargetMode="External"/><Relationship Id="rId10" Type="http://schemas.openxmlformats.org/officeDocument/2006/relationships/hyperlink" Target="https://mindfulliving.com/how-mindfulness-improves-productivity" TargetMode="External"/><Relationship Id="rId4" Type="http://schemas.openxmlformats.org/officeDocument/2006/relationships/webSettings" Target="webSettings.xml"/><Relationship Id="rId9" Type="http://schemas.openxmlformats.org/officeDocument/2006/relationships/hyperlink" Target="https://doi.org/10.1037/xge0001223" TargetMode="External"/><Relationship Id="rId14" Type="http://schemas.openxmlformats.org/officeDocument/2006/relationships/hyperlink" Target="https://escholarship.org/uc/item/7gp4v2c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10</Pages>
  <Words>1753</Words>
  <Characters>10505</Characters>
  <Application>Microsoft Office Word</Application>
  <DocSecurity>0</DocSecurity>
  <Lines>328</Lines>
  <Paragraphs>182</Paragraphs>
  <ScaleCrop>false</ScaleCrop>
  <Company/>
  <LinksUpToDate>false</LinksUpToDate>
  <CharactersWithSpaces>12076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Cameron (2502539)</dc:creator>
  <cp:keywords/>
  <dc:description/>
  <cp:lastModifiedBy>Aimee Cameron (2502539)</cp:lastModifiedBy>
  <cp:revision>6</cp:revision>
  <dcterms:created xsi:type="dcterms:W3CDTF">2026-04-12T13:51:00Z</dcterms:created>
  <dcterms:modified xsi:type="dcterms:W3CDTF">2026-04-12T14:07:00Z</dcterms:modified>
</cp:coreProperties>
</file>