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7167C8" w14:textId="52D81011" w:rsidR="00831C18" w:rsidRPr="00D2662A" w:rsidRDefault="00D2662A" w:rsidP="00434644">
      <w:pPr>
        <w:pStyle w:val="Header"/>
        <w:spacing w:line="360" w:lineRule="auto"/>
        <w:jc w:val="center"/>
        <w:rPr>
          <w:rFonts w:ascii="Calibri" w:hAnsi="Calibri" w:cs="Calibri"/>
          <w:b/>
          <w:bCs/>
          <w:caps/>
          <w:sz w:val="72"/>
          <w:szCs w:val="72"/>
          <w:u w:val="single"/>
        </w:rPr>
      </w:pPr>
      <w:r w:rsidRPr="00D2662A">
        <w:rPr>
          <w:rFonts w:asciiTheme="majorHAnsi" w:eastAsiaTheme="majorEastAsia" w:hAnsiTheme="majorHAnsi" w:cstheme="majorBidi"/>
          <w:caps/>
          <w:noProof/>
          <w:lang w:eastAsia="en-GB"/>
        </w:rPr>
        <w:drawing>
          <wp:inline distT="0" distB="0" distL="0" distR="0" wp14:anchorId="45ED496C" wp14:editId="3B2687A1">
            <wp:extent cx="4388485" cy="1948813"/>
            <wp:effectExtent l="0" t="0" r="0" b="0"/>
            <wp:docPr id="12" name="Picture 12" descr="Image result for university of wales trinity saint david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bad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40471" cy="1971898"/>
                    </a:xfrm>
                    <a:prstGeom prst="rect">
                      <a:avLst/>
                    </a:prstGeom>
                    <a:noFill/>
                    <a:ln>
                      <a:noFill/>
                    </a:ln>
                  </pic:spPr>
                </pic:pic>
              </a:graphicData>
            </a:graphic>
          </wp:inline>
        </w:drawing>
      </w:r>
    </w:p>
    <w:p w14:paraId="2AF5C2D1" w14:textId="77777777" w:rsidR="001A4F27" w:rsidRPr="00D2662A" w:rsidRDefault="001A4F27" w:rsidP="00434644">
      <w:pPr>
        <w:pStyle w:val="Header"/>
        <w:spacing w:line="360" w:lineRule="auto"/>
        <w:jc w:val="center"/>
        <w:rPr>
          <w:b/>
          <w:bCs/>
          <w:sz w:val="32"/>
          <w:szCs w:val="32"/>
        </w:rPr>
      </w:pPr>
    </w:p>
    <w:p w14:paraId="6D29B707" w14:textId="77777777" w:rsidR="001A4F27" w:rsidRPr="00D2662A" w:rsidRDefault="001A4F27" w:rsidP="00434644">
      <w:pPr>
        <w:pStyle w:val="Header"/>
        <w:spacing w:line="360" w:lineRule="auto"/>
        <w:jc w:val="center"/>
        <w:rPr>
          <w:b/>
          <w:bCs/>
          <w:sz w:val="32"/>
          <w:szCs w:val="32"/>
        </w:rPr>
      </w:pPr>
    </w:p>
    <w:p w14:paraId="0AF3D53F" w14:textId="77777777" w:rsidR="001A4F27" w:rsidRPr="00D2662A" w:rsidRDefault="001A4F27" w:rsidP="00434644">
      <w:pPr>
        <w:pStyle w:val="Header"/>
        <w:spacing w:line="360" w:lineRule="auto"/>
        <w:jc w:val="center"/>
        <w:rPr>
          <w:b/>
          <w:bCs/>
          <w:sz w:val="32"/>
          <w:szCs w:val="32"/>
        </w:rPr>
      </w:pPr>
    </w:p>
    <w:p w14:paraId="5D3A3549" w14:textId="4B171860" w:rsidR="0085635D" w:rsidRPr="00D2662A" w:rsidRDefault="001A4F27" w:rsidP="00434644">
      <w:pPr>
        <w:pStyle w:val="Header"/>
        <w:spacing w:line="360" w:lineRule="auto"/>
        <w:jc w:val="center"/>
        <w:rPr>
          <w:caps/>
          <w:sz w:val="32"/>
          <w:szCs w:val="32"/>
        </w:rPr>
      </w:pPr>
      <w:r w:rsidRPr="00D2662A">
        <w:rPr>
          <w:b/>
          <w:bCs/>
          <w:sz w:val="32"/>
          <w:szCs w:val="32"/>
        </w:rPr>
        <w:t xml:space="preserve">FUTURE-PROOFING LOCAL GOVERNMENT: </w:t>
      </w:r>
      <w:r w:rsidRPr="00D2662A">
        <w:rPr>
          <w:sz w:val="32"/>
          <w:szCs w:val="32"/>
        </w:rPr>
        <w:t xml:space="preserve">A CASE STUDY OF GEN Z AND </w:t>
      </w:r>
      <w:r w:rsidR="009F304D" w:rsidRPr="00D2662A">
        <w:rPr>
          <w:sz w:val="32"/>
          <w:szCs w:val="32"/>
        </w:rPr>
        <w:t>T</w:t>
      </w:r>
      <w:r w:rsidR="00295B33" w:rsidRPr="00D2662A">
        <w:rPr>
          <w:sz w:val="32"/>
          <w:szCs w:val="32"/>
        </w:rPr>
        <w:t xml:space="preserve">ALENT MANAGEMENT </w:t>
      </w:r>
      <w:r w:rsidRPr="00D2662A">
        <w:rPr>
          <w:sz w:val="32"/>
          <w:szCs w:val="32"/>
        </w:rPr>
        <w:t>AT NEWPORT CITY COUNCIL</w:t>
      </w:r>
    </w:p>
    <w:p w14:paraId="114B55B1" w14:textId="043856E2" w:rsidR="00831C18" w:rsidRPr="00D2662A" w:rsidRDefault="00831C18" w:rsidP="00434644">
      <w:pPr>
        <w:pStyle w:val="Header"/>
        <w:spacing w:line="360" w:lineRule="auto"/>
        <w:jc w:val="center"/>
        <w:rPr>
          <w:b/>
          <w:bCs/>
          <w:caps/>
          <w:sz w:val="72"/>
          <w:szCs w:val="72"/>
          <w:u w:val="single"/>
        </w:rPr>
      </w:pPr>
    </w:p>
    <w:p w14:paraId="622E0990" w14:textId="12EE8168" w:rsidR="0085635D" w:rsidRPr="00D2662A" w:rsidRDefault="0085635D" w:rsidP="00434644">
      <w:pPr>
        <w:pStyle w:val="Header"/>
        <w:spacing w:line="360" w:lineRule="auto"/>
        <w:jc w:val="center"/>
        <w:rPr>
          <w:caps/>
          <w:szCs w:val="24"/>
        </w:rPr>
      </w:pPr>
      <w:r w:rsidRPr="00D2662A">
        <w:rPr>
          <w:caps/>
          <w:szCs w:val="24"/>
        </w:rPr>
        <w:t>A</w:t>
      </w:r>
      <w:r w:rsidRPr="00D2662A">
        <w:rPr>
          <w:szCs w:val="24"/>
        </w:rPr>
        <w:t xml:space="preserve"> dissertation submitted </w:t>
      </w:r>
    </w:p>
    <w:p w14:paraId="7BA9522B" w14:textId="59547C68" w:rsidR="00831C18" w:rsidRPr="00D2662A" w:rsidRDefault="0085635D" w:rsidP="00434644">
      <w:pPr>
        <w:pStyle w:val="Header"/>
        <w:spacing w:line="360" w:lineRule="auto"/>
        <w:jc w:val="center"/>
        <w:rPr>
          <w:caps/>
          <w:szCs w:val="24"/>
        </w:rPr>
      </w:pPr>
      <w:r w:rsidRPr="00D2662A">
        <w:rPr>
          <w:szCs w:val="24"/>
        </w:rPr>
        <w:t xml:space="preserve">by </w:t>
      </w:r>
    </w:p>
    <w:p w14:paraId="3AE084B6" w14:textId="77777777" w:rsidR="00831C18" w:rsidRPr="00D2662A" w:rsidRDefault="00831C18" w:rsidP="00434644">
      <w:pPr>
        <w:pStyle w:val="Header"/>
        <w:spacing w:line="360" w:lineRule="auto"/>
        <w:rPr>
          <w:b/>
          <w:bCs/>
          <w:caps/>
          <w:sz w:val="44"/>
          <w:szCs w:val="44"/>
        </w:rPr>
      </w:pPr>
    </w:p>
    <w:p w14:paraId="29C2365B" w14:textId="33AC163F" w:rsidR="00831C18" w:rsidRPr="00D2662A" w:rsidRDefault="00831C18" w:rsidP="00434644">
      <w:pPr>
        <w:pStyle w:val="Header"/>
        <w:spacing w:line="360" w:lineRule="auto"/>
        <w:jc w:val="center"/>
        <w:rPr>
          <w:szCs w:val="24"/>
        </w:rPr>
      </w:pPr>
      <w:r w:rsidRPr="00D2662A">
        <w:rPr>
          <w:b/>
          <w:bCs/>
          <w:szCs w:val="24"/>
        </w:rPr>
        <w:t>Paige Grey</w:t>
      </w:r>
      <w:r w:rsidRPr="00D2662A">
        <w:rPr>
          <w:szCs w:val="24"/>
        </w:rPr>
        <w:br/>
      </w:r>
      <w:r w:rsidR="0085635D" w:rsidRPr="00D2662A">
        <w:rPr>
          <w:szCs w:val="24"/>
        </w:rPr>
        <w:t>231695</w:t>
      </w:r>
    </w:p>
    <w:p w14:paraId="7900F072" w14:textId="5230EF60" w:rsidR="0085635D" w:rsidRPr="00D2662A" w:rsidRDefault="00D029DC" w:rsidP="00434644">
      <w:pPr>
        <w:pStyle w:val="Header"/>
        <w:spacing w:line="360" w:lineRule="auto"/>
        <w:jc w:val="center"/>
        <w:rPr>
          <w:szCs w:val="24"/>
        </w:rPr>
      </w:pPr>
      <w:r w:rsidRPr="00D2662A">
        <w:rPr>
          <w:szCs w:val="24"/>
        </w:rPr>
        <w:t>June</w:t>
      </w:r>
      <w:r w:rsidR="0085635D" w:rsidRPr="00D2662A">
        <w:rPr>
          <w:szCs w:val="24"/>
        </w:rPr>
        <w:t xml:space="preserve"> 2026</w:t>
      </w:r>
    </w:p>
    <w:p w14:paraId="5DFE0782" w14:textId="77777777" w:rsidR="0085635D" w:rsidRPr="00D2662A" w:rsidRDefault="0085635D" w:rsidP="00434644">
      <w:pPr>
        <w:pStyle w:val="Header"/>
        <w:spacing w:line="360" w:lineRule="auto"/>
        <w:jc w:val="center"/>
        <w:rPr>
          <w:szCs w:val="24"/>
        </w:rPr>
      </w:pPr>
    </w:p>
    <w:p w14:paraId="2345C60C" w14:textId="77777777" w:rsidR="0085635D" w:rsidRPr="00D2662A" w:rsidRDefault="0085635D" w:rsidP="00434644">
      <w:pPr>
        <w:pStyle w:val="Header"/>
        <w:spacing w:line="360" w:lineRule="auto"/>
        <w:jc w:val="center"/>
        <w:rPr>
          <w:szCs w:val="24"/>
        </w:rPr>
      </w:pPr>
    </w:p>
    <w:p w14:paraId="08D3934B" w14:textId="5ED138AD" w:rsidR="0085635D" w:rsidRPr="00D2662A" w:rsidRDefault="0085635D" w:rsidP="00434644">
      <w:pPr>
        <w:pStyle w:val="Header"/>
        <w:spacing w:line="360" w:lineRule="auto"/>
        <w:jc w:val="center"/>
        <w:rPr>
          <w:szCs w:val="24"/>
        </w:rPr>
      </w:pPr>
      <w:r w:rsidRPr="00D2662A">
        <w:rPr>
          <w:szCs w:val="24"/>
        </w:rPr>
        <w:t>UNIVERSITY OF WALES TRINITY SAINT DAVID</w:t>
      </w:r>
    </w:p>
    <w:p w14:paraId="73CFA204" w14:textId="77777777" w:rsidR="00402A1C" w:rsidRPr="00D2662A" w:rsidRDefault="00402A1C" w:rsidP="00402A1C">
      <w:pPr>
        <w:pStyle w:val="Header"/>
        <w:spacing w:line="360" w:lineRule="auto"/>
        <w:jc w:val="center"/>
        <w:rPr>
          <w:szCs w:val="24"/>
        </w:rPr>
      </w:pPr>
      <w:r w:rsidRPr="00D2662A">
        <w:rPr>
          <w:szCs w:val="24"/>
        </w:rPr>
        <w:t>Master of Business Administration</w:t>
      </w:r>
    </w:p>
    <w:p w14:paraId="13B5F580" w14:textId="77777777" w:rsidR="005D0994" w:rsidRPr="00D2662A" w:rsidRDefault="005D0994" w:rsidP="00434644">
      <w:pPr>
        <w:spacing w:line="360" w:lineRule="auto"/>
        <w:rPr>
          <w:b/>
          <w:bCs/>
        </w:rPr>
      </w:pPr>
      <w:bookmarkStart w:id="0" w:name="_Toc205278457"/>
      <w:bookmarkStart w:id="1" w:name="_Hlk199252407"/>
      <w:bookmarkStart w:id="2" w:name="_Hlk201323402"/>
      <w:bookmarkStart w:id="3" w:name="_Hlk201743055"/>
      <w:bookmarkStart w:id="4" w:name="_Hlk202779016"/>
    </w:p>
    <w:p w14:paraId="28E7EA50" w14:textId="77777777" w:rsidR="009F0C2C" w:rsidRPr="00D2662A" w:rsidRDefault="009F0C2C" w:rsidP="00434644">
      <w:pPr>
        <w:spacing w:line="360" w:lineRule="auto"/>
        <w:jc w:val="both"/>
        <w:rPr>
          <w:b/>
          <w:bCs/>
        </w:rPr>
      </w:pPr>
    </w:p>
    <w:tbl>
      <w:tblPr>
        <w:tblW w:w="9812" w:type="dxa"/>
        <w:tblLayout w:type="fixed"/>
        <w:tblCellMar>
          <w:left w:w="120" w:type="dxa"/>
          <w:right w:w="120" w:type="dxa"/>
        </w:tblCellMar>
        <w:tblLook w:val="0000" w:firstRow="0" w:lastRow="0" w:firstColumn="0" w:lastColumn="0" w:noHBand="0" w:noVBand="0"/>
      </w:tblPr>
      <w:tblGrid>
        <w:gridCol w:w="9812"/>
      </w:tblGrid>
      <w:tr w:rsidR="00843B8E" w:rsidRPr="00E913B3" w14:paraId="0983F135" w14:textId="77777777" w:rsidTr="00AD7224">
        <w:trPr>
          <w:cantSplit/>
          <w:trHeight w:val="1134"/>
        </w:trPr>
        <w:tc>
          <w:tcPr>
            <w:tcW w:w="9812" w:type="dxa"/>
            <w:tcBorders>
              <w:top w:val="double" w:sz="6" w:space="0" w:color="auto"/>
              <w:left w:val="double" w:sz="6" w:space="0" w:color="auto"/>
              <w:bottom w:val="double" w:sz="6" w:space="0" w:color="auto"/>
              <w:right w:val="double" w:sz="6" w:space="0" w:color="auto"/>
            </w:tcBorders>
          </w:tcPr>
          <w:p w14:paraId="1D56740D" w14:textId="77777777" w:rsidR="00843B8E" w:rsidRPr="006A5985" w:rsidRDefault="00843B8E" w:rsidP="00AD7224">
            <w:pPr>
              <w:tabs>
                <w:tab w:val="left" w:pos="-720"/>
              </w:tabs>
              <w:suppressAutoHyphens/>
              <w:spacing w:after="0" w:line="240" w:lineRule="auto"/>
              <w:rPr>
                <w:rFonts w:ascii="Arial" w:hAnsi="Arial" w:cs="Arial"/>
                <w:b/>
                <w:spacing w:val="-2"/>
              </w:rPr>
            </w:pPr>
            <w:r w:rsidRPr="006A5985">
              <w:rPr>
                <w:rFonts w:ascii="Arial" w:hAnsi="Arial" w:cs="Arial"/>
              </w:rPr>
              <w:lastRenderedPageBreak/>
              <w:br w:type="page"/>
            </w:r>
          </w:p>
          <w:p w14:paraId="18AEC747" w14:textId="77777777" w:rsidR="00843B8E" w:rsidRPr="006A5985" w:rsidRDefault="00843B8E" w:rsidP="00AD7224">
            <w:pPr>
              <w:tabs>
                <w:tab w:val="center" w:pos="4786"/>
              </w:tabs>
              <w:suppressAutoHyphens/>
              <w:spacing w:after="0" w:line="240" w:lineRule="auto"/>
              <w:jc w:val="center"/>
              <w:rPr>
                <w:rFonts w:ascii="Arial" w:hAnsi="Arial" w:cs="Arial"/>
                <w:b/>
                <w:spacing w:val="-2"/>
              </w:rPr>
            </w:pPr>
            <w:r w:rsidRPr="006A5985">
              <w:rPr>
                <w:rFonts w:ascii="Arial" w:hAnsi="Arial" w:cs="Arial"/>
                <w:b/>
                <w:spacing w:val="-2"/>
              </w:rPr>
              <w:t xml:space="preserve">EXAMINATION OF TAUGHT MASTER'S DEGREE DISSERTATION: </w:t>
            </w:r>
            <w:r w:rsidRPr="006A5985">
              <w:rPr>
                <w:rFonts w:ascii="Arial" w:hAnsi="Arial" w:cs="Arial"/>
                <w:b/>
                <w:spacing w:val="-2"/>
              </w:rPr>
              <w:br w:type="textWrapping" w:clear="all"/>
            </w:r>
          </w:p>
          <w:p w14:paraId="041FBD3F" w14:textId="77777777" w:rsidR="00843B8E" w:rsidRPr="006A5985" w:rsidRDefault="00843B8E" w:rsidP="00AD7224">
            <w:pPr>
              <w:spacing w:after="0" w:line="240" w:lineRule="auto"/>
              <w:jc w:val="center"/>
              <w:rPr>
                <w:rFonts w:ascii="Arial" w:hAnsi="Arial" w:cs="Arial"/>
              </w:rPr>
            </w:pPr>
            <w:r w:rsidRPr="006A5985">
              <w:rPr>
                <w:rFonts w:ascii="Arial" w:hAnsi="Arial" w:cs="Arial"/>
                <w:b/>
                <w:spacing w:val="-2"/>
              </w:rPr>
              <w:t>NOTICE OF CANDIDATURE FORM</w:t>
            </w:r>
          </w:p>
          <w:p w14:paraId="50ABD42E" w14:textId="77777777" w:rsidR="00843B8E" w:rsidRPr="006A5985" w:rsidRDefault="00843B8E" w:rsidP="00AD7224">
            <w:pPr>
              <w:pStyle w:val="Caption"/>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ind w:right="1456"/>
              <w:jc w:val="both"/>
              <w:rPr>
                <w:rFonts w:ascii="Arial" w:hAnsi="Arial" w:cs="Arial"/>
                <w:vanish/>
                <w:spacing w:val="-2"/>
                <w:sz w:val="22"/>
                <w:szCs w:val="22"/>
              </w:rPr>
            </w:pPr>
            <w:r w:rsidRPr="006A5985">
              <w:rPr>
                <w:rFonts w:ascii="Arial" w:hAnsi="Arial" w:cs="Arial"/>
                <w:vanish/>
                <w:spacing w:val="-2"/>
                <w:sz w:val="22"/>
                <w:szCs w:val="22"/>
              </w:rPr>
              <w:fldChar w:fldCharType="begin"/>
            </w:r>
            <w:r w:rsidRPr="006A5985">
              <w:rPr>
                <w:rFonts w:ascii="Arial" w:hAnsi="Arial" w:cs="Arial"/>
                <w:vanish/>
                <w:spacing w:val="-2"/>
                <w:sz w:val="22"/>
                <w:szCs w:val="22"/>
              </w:rPr>
              <w:instrText>seq Text_Box  \* Arabic</w:instrText>
            </w:r>
            <w:r w:rsidRPr="006A5985">
              <w:rPr>
                <w:rFonts w:ascii="Arial" w:hAnsi="Arial" w:cs="Arial"/>
                <w:vanish/>
                <w:spacing w:val="-2"/>
                <w:sz w:val="22"/>
                <w:szCs w:val="22"/>
              </w:rPr>
              <w:fldChar w:fldCharType="separate"/>
            </w:r>
            <w:r w:rsidRPr="006A5985">
              <w:rPr>
                <w:rFonts w:ascii="Arial" w:hAnsi="Arial" w:cs="Arial"/>
                <w:noProof/>
                <w:vanish/>
                <w:spacing w:val="-2"/>
                <w:sz w:val="22"/>
                <w:szCs w:val="22"/>
              </w:rPr>
              <w:t>1</w:t>
            </w:r>
            <w:r w:rsidRPr="006A5985">
              <w:rPr>
                <w:rFonts w:ascii="Arial" w:hAnsi="Arial" w:cs="Arial"/>
                <w:vanish/>
                <w:spacing w:val="-2"/>
                <w:sz w:val="22"/>
                <w:szCs w:val="22"/>
              </w:rPr>
              <w:fldChar w:fldCharType="end"/>
            </w:r>
          </w:p>
          <w:p w14:paraId="6AF7CEB0" w14:textId="77777777" w:rsidR="00843B8E" w:rsidRPr="006A5985" w:rsidRDefault="00843B8E" w:rsidP="00AD7224">
            <w:pPr>
              <w:tabs>
                <w:tab w:val="left" w:pos="-720"/>
              </w:tabs>
              <w:suppressAutoHyphens/>
              <w:spacing w:after="0" w:line="240" w:lineRule="auto"/>
              <w:rPr>
                <w:rFonts w:ascii="Arial" w:hAnsi="Arial" w:cs="Arial"/>
                <w:spacing w:val="-2"/>
              </w:rPr>
            </w:pPr>
          </w:p>
          <w:p w14:paraId="3FC117F2" w14:textId="77777777" w:rsidR="00843B8E" w:rsidRPr="006A5985" w:rsidRDefault="00843B8E" w:rsidP="00AD7224">
            <w:pPr>
              <w:tabs>
                <w:tab w:val="left" w:pos="-720"/>
              </w:tabs>
              <w:suppressAutoHyphens/>
              <w:spacing w:after="0" w:line="240" w:lineRule="auto"/>
              <w:jc w:val="both"/>
              <w:rPr>
                <w:rFonts w:ascii="Arial" w:hAnsi="Arial" w:cs="Arial"/>
                <w:spacing w:val="-2"/>
              </w:rPr>
            </w:pPr>
            <w:r w:rsidRPr="006A5985">
              <w:rPr>
                <w:rFonts w:ascii="Arial" w:hAnsi="Arial" w:cs="Arial"/>
                <w:spacing w:val="-2"/>
              </w:rPr>
              <w:t xml:space="preserve">Please complete this form when your dissertation is ready to be submitted for examination.  </w:t>
            </w:r>
          </w:p>
          <w:p w14:paraId="6DC068DE" w14:textId="77777777" w:rsidR="00843B8E" w:rsidRPr="006A5985" w:rsidRDefault="00843B8E" w:rsidP="00AD7224">
            <w:pPr>
              <w:tabs>
                <w:tab w:val="center" w:pos="4786"/>
              </w:tabs>
              <w:suppressAutoHyphens/>
              <w:spacing w:after="0" w:line="240" w:lineRule="auto"/>
              <w:rPr>
                <w:rFonts w:ascii="Arial" w:hAnsi="Arial" w:cs="Arial"/>
                <w:spacing w:val="-2"/>
              </w:rPr>
            </w:pPr>
          </w:p>
        </w:tc>
      </w:tr>
      <w:tr w:rsidR="00843B8E" w:rsidRPr="00E913B3" w14:paraId="4FCDB5A5" w14:textId="77777777" w:rsidTr="00AD7224">
        <w:tc>
          <w:tcPr>
            <w:tcW w:w="9812" w:type="dxa"/>
            <w:tcBorders>
              <w:top w:val="double" w:sz="6" w:space="0" w:color="auto"/>
              <w:left w:val="double" w:sz="6" w:space="0" w:color="auto"/>
              <w:bottom w:val="single" w:sz="4" w:space="0" w:color="auto"/>
              <w:right w:val="double" w:sz="6" w:space="0" w:color="auto"/>
            </w:tcBorders>
          </w:tcPr>
          <w:p w14:paraId="25C928BD" w14:textId="77777777" w:rsidR="00843B8E" w:rsidRPr="006A5985" w:rsidRDefault="00843B8E" w:rsidP="00AD7224">
            <w:pPr>
              <w:tabs>
                <w:tab w:val="right" w:leader="dot" w:pos="7200"/>
                <w:tab w:val="right" w:leader="dot" w:pos="9571"/>
              </w:tabs>
              <w:suppressAutoHyphens/>
              <w:spacing w:after="0" w:line="240" w:lineRule="auto"/>
              <w:rPr>
                <w:rFonts w:ascii="Arial" w:hAnsi="Arial" w:cs="Arial"/>
                <w:spacing w:val="-2"/>
              </w:rPr>
            </w:pPr>
          </w:p>
          <w:p w14:paraId="312CB420" w14:textId="3648FFC7" w:rsidR="00843B8E" w:rsidRPr="006A5985" w:rsidRDefault="00843B8E" w:rsidP="00843B8E">
            <w:pPr>
              <w:tabs>
                <w:tab w:val="left" w:pos="3805"/>
                <w:tab w:val="right" w:leader="dot" w:pos="7200"/>
                <w:tab w:val="right" w:leader="dot" w:pos="9571"/>
              </w:tabs>
              <w:suppressAutoHyphens/>
              <w:spacing w:after="0" w:line="240" w:lineRule="auto"/>
              <w:rPr>
                <w:rFonts w:ascii="Arial" w:hAnsi="Arial" w:cs="Arial"/>
                <w:b/>
                <w:bCs/>
                <w:spacing w:val="-2"/>
              </w:rPr>
            </w:pPr>
            <w:r w:rsidRPr="006A5985">
              <w:rPr>
                <w:rFonts w:ascii="Arial" w:hAnsi="Arial" w:cs="Arial"/>
                <w:spacing w:val="-2"/>
              </w:rPr>
              <w:t xml:space="preserve">Surname/Family Name- </w:t>
            </w:r>
            <w:r w:rsidRPr="006A5985">
              <w:rPr>
                <w:rFonts w:ascii="Arial" w:hAnsi="Arial" w:cs="Arial"/>
                <w:b/>
                <w:bCs/>
                <w:spacing w:val="-2"/>
              </w:rPr>
              <w:t xml:space="preserve">Grey        </w:t>
            </w:r>
            <w:r w:rsidRPr="006A5985">
              <w:rPr>
                <w:rFonts w:ascii="Arial" w:hAnsi="Arial" w:cs="Arial"/>
                <w:spacing w:val="-2"/>
              </w:rPr>
              <w:t xml:space="preserve">                              Date of Birth </w:t>
            </w:r>
            <w:r w:rsidR="00203F55" w:rsidRPr="006A5985">
              <w:rPr>
                <w:rFonts w:ascii="Arial" w:hAnsi="Arial" w:cs="Arial"/>
                <w:b/>
                <w:bCs/>
                <w:spacing w:val="-2"/>
              </w:rPr>
              <w:t>14.05.96.</w:t>
            </w:r>
            <w:r w:rsidRPr="006A5985">
              <w:rPr>
                <w:rFonts w:ascii="Arial" w:hAnsi="Arial" w:cs="Arial"/>
                <w:b/>
                <w:bCs/>
                <w:spacing w:val="-2"/>
              </w:rPr>
              <w:t xml:space="preserve"> </w:t>
            </w:r>
          </w:p>
          <w:p w14:paraId="1B0704D2" w14:textId="6C88BDE6" w:rsidR="00843B8E" w:rsidRPr="006A5985" w:rsidRDefault="00843B8E" w:rsidP="00AD7224">
            <w:pPr>
              <w:tabs>
                <w:tab w:val="right" w:leader="dot" w:pos="7200"/>
                <w:tab w:val="right" w:leader="dot" w:pos="9571"/>
              </w:tabs>
              <w:suppressAutoHyphens/>
              <w:spacing w:after="0" w:line="240" w:lineRule="auto"/>
              <w:rPr>
                <w:rFonts w:ascii="Arial" w:hAnsi="Arial" w:cs="Arial"/>
                <w:spacing w:val="-2"/>
              </w:rPr>
            </w:pPr>
            <w:r w:rsidRPr="006A5985">
              <w:rPr>
                <w:rFonts w:ascii="Arial" w:hAnsi="Arial" w:cs="Arial"/>
                <w:spacing w:val="-2"/>
              </w:rPr>
              <w:t xml:space="preserve">Forenames (in full) </w:t>
            </w:r>
            <w:r w:rsidRPr="006A5985">
              <w:rPr>
                <w:rFonts w:ascii="Arial" w:hAnsi="Arial" w:cs="Arial"/>
                <w:b/>
                <w:bCs/>
                <w:spacing w:val="-2"/>
              </w:rPr>
              <w:t>Paige Leanne</w:t>
            </w:r>
            <w:r w:rsidRPr="006A5985">
              <w:rPr>
                <w:rFonts w:ascii="Arial" w:hAnsi="Arial" w:cs="Arial"/>
                <w:spacing w:val="-2"/>
              </w:rPr>
              <w:t xml:space="preserve">                                                   Title </w:t>
            </w:r>
            <w:r w:rsidRPr="006A5985">
              <w:rPr>
                <w:rFonts w:ascii="Arial" w:hAnsi="Arial" w:cs="Arial"/>
                <w:b/>
                <w:bCs/>
                <w:spacing w:val="-2"/>
              </w:rPr>
              <w:t xml:space="preserve">Mrs       </w:t>
            </w:r>
          </w:p>
          <w:p w14:paraId="7750B3EB" w14:textId="392F0159" w:rsidR="00843B8E" w:rsidRPr="006A5985" w:rsidRDefault="00843B8E" w:rsidP="00AD7224">
            <w:pPr>
              <w:tabs>
                <w:tab w:val="right" w:leader="dot" w:pos="9571"/>
              </w:tabs>
              <w:suppressAutoHyphens/>
              <w:spacing w:after="0" w:line="240" w:lineRule="auto"/>
              <w:rPr>
                <w:rFonts w:ascii="Arial" w:hAnsi="Arial" w:cs="Arial"/>
                <w:spacing w:val="-2"/>
              </w:rPr>
            </w:pPr>
            <w:r w:rsidRPr="006A5985">
              <w:rPr>
                <w:rFonts w:ascii="Arial" w:hAnsi="Arial" w:cs="Arial"/>
                <w:spacing w:val="-2"/>
              </w:rPr>
              <w:t>Institution Number (if known)</w:t>
            </w:r>
            <w:r w:rsidR="006A5985">
              <w:rPr>
                <w:rFonts w:ascii="Arial" w:hAnsi="Arial" w:cs="Arial"/>
                <w:spacing w:val="-2"/>
              </w:rPr>
              <w:t xml:space="preserve">- </w:t>
            </w:r>
            <w:r w:rsidR="006A5985" w:rsidRPr="006A5985">
              <w:rPr>
                <w:rFonts w:ascii="Arial" w:hAnsi="Arial" w:cs="Arial"/>
                <w:b/>
                <w:bCs/>
                <w:spacing w:val="-2"/>
              </w:rPr>
              <w:t>N/A</w:t>
            </w:r>
          </w:p>
          <w:p w14:paraId="6E133115" w14:textId="72CD4E65" w:rsidR="00843B8E" w:rsidRPr="006A5985" w:rsidRDefault="00843B8E" w:rsidP="00AD7224">
            <w:pPr>
              <w:tabs>
                <w:tab w:val="right" w:leader="dot" w:pos="9571"/>
              </w:tabs>
              <w:suppressAutoHyphens/>
              <w:spacing w:after="0" w:line="240" w:lineRule="auto"/>
              <w:rPr>
                <w:rFonts w:ascii="Arial" w:hAnsi="Arial" w:cs="Arial"/>
                <w:spacing w:val="-2"/>
              </w:rPr>
            </w:pPr>
            <w:r w:rsidRPr="006A5985">
              <w:rPr>
                <w:rFonts w:ascii="Arial" w:hAnsi="Arial" w:cs="Arial"/>
                <w:spacing w:val="-2"/>
              </w:rPr>
              <w:t>Title of Degree (eg MA, MSc, MBA etc</w:t>
            </w:r>
            <w:r w:rsidR="00203F55" w:rsidRPr="006A5985">
              <w:rPr>
                <w:rFonts w:ascii="Arial" w:hAnsi="Arial" w:cs="Arial"/>
                <w:spacing w:val="-2"/>
              </w:rPr>
              <w:t>). -</w:t>
            </w:r>
            <w:r w:rsidRPr="006A5985">
              <w:rPr>
                <w:rFonts w:ascii="Arial" w:hAnsi="Arial" w:cs="Arial"/>
                <w:spacing w:val="-2"/>
              </w:rPr>
              <w:t xml:space="preserve"> </w:t>
            </w:r>
            <w:r w:rsidRPr="006A5985">
              <w:rPr>
                <w:rFonts w:ascii="Arial" w:hAnsi="Arial" w:cs="Arial"/>
                <w:b/>
                <w:bCs/>
                <w:spacing w:val="-2"/>
              </w:rPr>
              <w:t>MBA</w:t>
            </w:r>
          </w:p>
          <w:p w14:paraId="7D50A0EA" w14:textId="773F8FBB" w:rsidR="00843B8E" w:rsidRPr="006A5985" w:rsidRDefault="00843B8E" w:rsidP="006A5985">
            <w:pPr>
              <w:tabs>
                <w:tab w:val="right" w:leader="dot" w:pos="10528"/>
              </w:tabs>
              <w:suppressAutoHyphens/>
              <w:spacing w:after="0" w:line="240" w:lineRule="auto"/>
              <w:rPr>
                <w:rFonts w:ascii="Arial" w:hAnsi="Arial" w:cs="Arial"/>
                <w:b/>
                <w:bCs/>
                <w:spacing w:val="-2"/>
              </w:rPr>
            </w:pPr>
            <w:r w:rsidRPr="006A5985">
              <w:rPr>
                <w:rFonts w:ascii="Arial" w:hAnsi="Arial" w:cs="Arial"/>
                <w:spacing w:val="-2"/>
              </w:rPr>
              <w:t xml:space="preserve">Title of Taught Master's degree scheme followed (eg Equine Studies) </w:t>
            </w:r>
            <w:r w:rsidR="006A5985" w:rsidRPr="006A5985">
              <w:rPr>
                <w:rFonts w:ascii="Arial" w:hAnsi="Arial" w:cs="Arial"/>
                <w:b/>
                <w:bCs/>
                <w:spacing w:val="-2"/>
              </w:rPr>
              <w:t>N/A</w:t>
            </w:r>
          </w:p>
          <w:p w14:paraId="193A31D0" w14:textId="1E669C70" w:rsidR="00843B8E" w:rsidRPr="006A5985" w:rsidRDefault="00843B8E" w:rsidP="00AD7224">
            <w:pPr>
              <w:tabs>
                <w:tab w:val="right" w:leader="dot" w:pos="9571"/>
              </w:tabs>
              <w:suppressAutoHyphens/>
              <w:spacing w:after="0" w:line="240" w:lineRule="auto"/>
              <w:rPr>
                <w:rFonts w:ascii="Arial" w:hAnsi="Arial" w:cs="Arial"/>
                <w:spacing w:val="-2"/>
              </w:rPr>
            </w:pPr>
            <w:r w:rsidRPr="006A5985">
              <w:rPr>
                <w:rFonts w:ascii="Arial" w:hAnsi="Arial" w:cs="Arial"/>
                <w:spacing w:val="-2"/>
              </w:rPr>
              <w:t>Department/School in which study pursued</w:t>
            </w:r>
            <w:r w:rsidR="006A5985" w:rsidRPr="006A5985">
              <w:rPr>
                <w:rFonts w:ascii="Arial" w:hAnsi="Arial" w:cs="Arial"/>
                <w:spacing w:val="-2"/>
              </w:rPr>
              <w:t xml:space="preserve">- </w:t>
            </w:r>
            <w:r w:rsidR="006A5985" w:rsidRPr="006A5985">
              <w:rPr>
                <w:rFonts w:ascii="Arial" w:hAnsi="Arial" w:cs="Arial"/>
                <w:b/>
                <w:bCs/>
                <w:spacing w:val="-2"/>
              </w:rPr>
              <w:t>Distance Learning</w:t>
            </w:r>
          </w:p>
          <w:p w14:paraId="6895B554" w14:textId="309BF388" w:rsidR="00843B8E" w:rsidRPr="006A5985" w:rsidRDefault="00843B8E" w:rsidP="00AD7224">
            <w:pPr>
              <w:tabs>
                <w:tab w:val="right" w:leader="dot" w:pos="9571"/>
              </w:tabs>
              <w:suppressAutoHyphens/>
              <w:spacing w:after="0" w:line="240" w:lineRule="auto"/>
              <w:rPr>
                <w:rFonts w:ascii="Arial" w:hAnsi="Arial" w:cs="Arial"/>
                <w:spacing w:val="-2"/>
              </w:rPr>
            </w:pPr>
            <w:r w:rsidRPr="006A5985">
              <w:rPr>
                <w:rFonts w:ascii="Arial" w:hAnsi="Arial" w:cs="Arial"/>
                <w:spacing w:val="-2"/>
              </w:rPr>
              <w:t>Name of your Supervisor</w:t>
            </w:r>
            <w:r w:rsidR="006A5985" w:rsidRPr="006A5985">
              <w:rPr>
                <w:rFonts w:ascii="Arial" w:hAnsi="Arial" w:cs="Arial"/>
                <w:spacing w:val="-2"/>
              </w:rPr>
              <w:t xml:space="preserve">- </w:t>
            </w:r>
            <w:r w:rsidR="006A5985" w:rsidRPr="006A5985">
              <w:rPr>
                <w:rFonts w:ascii="Arial" w:hAnsi="Arial" w:cs="Arial"/>
                <w:b/>
                <w:bCs/>
                <w:spacing w:val="-2"/>
              </w:rPr>
              <w:t>Helen Evans</w:t>
            </w:r>
          </w:p>
          <w:p w14:paraId="2CB640F1" w14:textId="75B01DA4" w:rsidR="00843B8E" w:rsidRDefault="00843B8E" w:rsidP="006A5985">
            <w:pPr>
              <w:pStyle w:val="Header"/>
              <w:rPr>
                <w:rFonts w:ascii="Arial" w:hAnsi="Arial" w:cs="Arial"/>
                <w:b/>
                <w:bCs/>
                <w:szCs w:val="24"/>
              </w:rPr>
            </w:pPr>
            <w:r w:rsidRPr="006A5985">
              <w:rPr>
                <w:rFonts w:ascii="Arial" w:hAnsi="Arial" w:cs="Arial"/>
                <w:spacing w:val="-2"/>
              </w:rPr>
              <w:t>Full Title of dissertation submitted</w:t>
            </w:r>
            <w:r w:rsidR="006A5985" w:rsidRPr="006A5985">
              <w:rPr>
                <w:rFonts w:ascii="Arial" w:hAnsi="Arial" w:cs="Arial"/>
                <w:spacing w:val="-2"/>
              </w:rPr>
              <w:t xml:space="preserve">- </w:t>
            </w:r>
            <w:r w:rsidR="006A5985" w:rsidRPr="006A5985">
              <w:rPr>
                <w:rFonts w:ascii="Arial" w:hAnsi="Arial" w:cs="Arial"/>
                <w:b/>
                <w:bCs/>
                <w:szCs w:val="24"/>
              </w:rPr>
              <w:t>Future</w:t>
            </w:r>
            <w:r w:rsidR="00164A09">
              <w:rPr>
                <w:rFonts w:ascii="Arial" w:hAnsi="Arial" w:cs="Arial"/>
                <w:b/>
                <w:bCs/>
                <w:szCs w:val="24"/>
              </w:rPr>
              <w:t>-</w:t>
            </w:r>
            <w:r w:rsidR="006A5985" w:rsidRPr="006A5985">
              <w:rPr>
                <w:rFonts w:ascii="Arial" w:hAnsi="Arial" w:cs="Arial"/>
                <w:b/>
                <w:bCs/>
                <w:szCs w:val="24"/>
              </w:rPr>
              <w:t xml:space="preserve">Proofing Local Government: A Case Study of Gen Z and </w:t>
            </w:r>
            <w:r w:rsidR="009F304D">
              <w:rPr>
                <w:rFonts w:ascii="Arial" w:hAnsi="Arial" w:cs="Arial"/>
                <w:b/>
                <w:bCs/>
                <w:szCs w:val="24"/>
              </w:rPr>
              <w:t>T</w:t>
            </w:r>
            <w:r w:rsidR="00295B33">
              <w:rPr>
                <w:rFonts w:ascii="Arial" w:hAnsi="Arial" w:cs="Arial"/>
                <w:b/>
                <w:bCs/>
                <w:szCs w:val="24"/>
              </w:rPr>
              <w:t>alent Management</w:t>
            </w:r>
            <w:r w:rsidR="006A5985" w:rsidRPr="006A5985">
              <w:rPr>
                <w:rFonts w:ascii="Arial" w:hAnsi="Arial" w:cs="Arial"/>
                <w:b/>
                <w:bCs/>
                <w:szCs w:val="24"/>
              </w:rPr>
              <w:t xml:space="preserve"> at Newport City Council</w:t>
            </w:r>
          </w:p>
          <w:p w14:paraId="515C9934" w14:textId="77777777" w:rsidR="006A5985" w:rsidRPr="006A5985" w:rsidRDefault="006A5985" w:rsidP="006A5985">
            <w:pPr>
              <w:pStyle w:val="Header"/>
              <w:rPr>
                <w:rFonts w:ascii="Arial" w:hAnsi="Arial" w:cs="Arial"/>
                <w:caps/>
                <w:szCs w:val="24"/>
              </w:rPr>
            </w:pPr>
          </w:p>
          <w:p w14:paraId="53B9D3C3" w14:textId="77777777" w:rsidR="003A396C" w:rsidRDefault="00843B8E" w:rsidP="003A396C">
            <w:pPr>
              <w:tabs>
                <w:tab w:val="left" w:pos="-720"/>
              </w:tabs>
              <w:suppressAutoHyphens/>
              <w:spacing w:after="0" w:line="240" w:lineRule="auto"/>
              <w:rPr>
                <w:rFonts w:ascii="Arial" w:hAnsi="Arial" w:cs="Arial"/>
                <w:spacing w:val="-2"/>
              </w:rPr>
            </w:pPr>
            <w:r w:rsidRPr="006A5985">
              <w:rPr>
                <w:rFonts w:ascii="Arial" w:hAnsi="Arial" w:cs="Arial"/>
                <w:spacing w:val="-2"/>
              </w:rPr>
              <w:t>Please indicate that the following will all be submitted along with this form:</w:t>
            </w:r>
          </w:p>
          <w:p w14:paraId="0663C8EE" w14:textId="77777777" w:rsidR="003A396C" w:rsidRDefault="003A396C" w:rsidP="003A396C">
            <w:pPr>
              <w:tabs>
                <w:tab w:val="left" w:pos="-720"/>
              </w:tabs>
              <w:suppressAutoHyphens/>
              <w:spacing w:after="0" w:line="240" w:lineRule="auto"/>
              <w:rPr>
                <w:rFonts w:ascii="Arial" w:hAnsi="Arial" w:cs="Arial"/>
                <w:spacing w:val="-2"/>
              </w:rPr>
            </w:pPr>
          </w:p>
          <w:p w14:paraId="2497FAAA" w14:textId="61DF6F33" w:rsidR="00843B8E" w:rsidRPr="006A5985" w:rsidRDefault="003A396C" w:rsidP="003A396C">
            <w:pPr>
              <w:tabs>
                <w:tab w:val="left" w:pos="-720"/>
              </w:tabs>
              <w:suppressAutoHyphens/>
              <w:spacing w:after="0" w:line="240" w:lineRule="auto"/>
              <w:rPr>
                <w:rFonts w:ascii="Arial" w:hAnsi="Arial" w:cs="Arial"/>
                <w:spacing w:val="-2"/>
              </w:rPr>
            </w:pPr>
            <w:r>
              <w:rPr>
                <w:rFonts w:ascii="Arial" w:hAnsi="Arial" w:cs="Arial"/>
                <w:spacing w:val="-2"/>
              </w:rPr>
              <w:sym w:font="Wingdings 2" w:char="F050"/>
            </w:r>
            <w:r w:rsidR="00843B8E" w:rsidRPr="006A5985">
              <w:rPr>
                <w:rFonts w:ascii="Arial" w:hAnsi="Arial" w:cs="Arial"/>
                <w:spacing w:val="-2"/>
              </w:rPr>
              <w:t xml:space="preserve"> 1 electronic copy submitted via Turnitin;</w:t>
            </w:r>
            <w:r>
              <w:rPr>
                <w:rFonts w:ascii="Arial" w:hAnsi="Arial" w:cs="Arial"/>
                <w:spacing w:val="-2"/>
              </w:rPr>
              <w:t xml:space="preserve"> </w:t>
            </w:r>
          </w:p>
          <w:p w14:paraId="7578085F" w14:textId="1AFDD0AF" w:rsidR="00843B8E" w:rsidRPr="006A5985" w:rsidRDefault="006A5985" w:rsidP="00AD7224">
            <w:pPr>
              <w:tabs>
                <w:tab w:val="left" w:pos="-720"/>
              </w:tabs>
              <w:suppressAutoHyphens/>
              <w:spacing w:after="0" w:line="240" w:lineRule="auto"/>
              <w:rPr>
                <w:rFonts w:ascii="Arial" w:hAnsi="Arial" w:cs="Arial"/>
                <w:spacing w:val="-2"/>
              </w:rPr>
            </w:pPr>
            <w:r>
              <w:rPr>
                <w:rFonts w:ascii="Arial" w:hAnsi="Arial" w:cs="Arial"/>
                <w:noProof/>
                <w:lang w:eastAsia="en-GB"/>
              </w:rPr>
              <mc:AlternateContent>
                <mc:Choice Requires="wpc">
                  <w:drawing>
                    <wp:inline distT="0" distB="0" distL="0" distR="0" wp14:anchorId="5BED69C2" wp14:editId="648E1427">
                      <wp:extent cx="0" cy="0"/>
                      <wp:effectExtent l="0" t="0" r="0" b="0"/>
                      <wp:docPr id="715551733"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c:wpc>
                        </a:graphicData>
                      </a:graphic>
                    </wp:inline>
                  </w:drawing>
                </mc:Choice>
                <mc:Fallback>
                  <w:pict>
                    <v:group w14:anchorId="45CFC830" id="Canvas 2" o:spid="_x0000_s1026" editas="canvas" style="width:0;height:0;mso-position-horizontal-relative:char;mso-position-vertical-relative:line" coordsize="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0;height:0;visibility:visible;mso-wrap-style:square" filled="t">
                        <v:fill o:detectmouseclick="t"/>
                        <v:path o:connecttype="none"/>
                      </v:shape>
                      <w10:anchorlock/>
                    </v:group>
                  </w:pict>
                </mc:Fallback>
              </mc:AlternateContent>
            </w:r>
          </w:p>
          <w:p w14:paraId="18E622B2" w14:textId="77777777" w:rsidR="00843B8E" w:rsidRPr="006A5985" w:rsidRDefault="00843B8E" w:rsidP="00AD7224">
            <w:pPr>
              <w:tabs>
                <w:tab w:val="left" w:pos="-720"/>
              </w:tabs>
              <w:suppressAutoHyphens/>
              <w:spacing w:after="0" w:line="240" w:lineRule="auto"/>
              <w:rPr>
                <w:rFonts w:ascii="Arial" w:hAnsi="Arial" w:cs="Arial"/>
                <w:spacing w:val="-2"/>
              </w:rPr>
            </w:pPr>
            <w:r w:rsidRPr="006A5985">
              <w:rPr>
                <w:rFonts w:ascii="Arial" w:hAnsi="Arial" w:cs="Arial"/>
                <w:spacing w:val="-2"/>
              </w:rPr>
              <w:tab/>
              <w:t xml:space="preserve"> </w:t>
            </w:r>
          </w:p>
        </w:tc>
      </w:tr>
    </w:tbl>
    <w:p w14:paraId="26675760" w14:textId="77777777" w:rsidR="00843B8E" w:rsidRDefault="00843B8E" w:rsidP="00434644">
      <w:pPr>
        <w:spacing w:line="360" w:lineRule="auto"/>
        <w:jc w:val="both"/>
        <w:rPr>
          <w:b/>
          <w:bCs/>
        </w:rPr>
      </w:pPr>
    </w:p>
    <w:p w14:paraId="5682D953" w14:textId="77777777" w:rsidR="00843B8E" w:rsidRDefault="00843B8E" w:rsidP="00434644">
      <w:pPr>
        <w:spacing w:line="360" w:lineRule="auto"/>
        <w:jc w:val="both"/>
        <w:rPr>
          <w:b/>
          <w:bCs/>
        </w:rPr>
      </w:pPr>
    </w:p>
    <w:p w14:paraId="140C33B4" w14:textId="77777777" w:rsidR="00843B8E" w:rsidRDefault="00843B8E" w:rsidP="00434644">
      <w:pPr>
        <w:spacing w:line="360" w:lineRule="auto"/>
        <w:jc w:val="both"/>
        <w:rPr>
          <w:b/>
          <w:bCs/>
        </w:rPr>
      </w:pPr>
    </w:p>
    <w:p w14:paraId="47477241" w14:textId="77777777" w:rsidR="00843B8E" w:rsidRDefault="00843B8E" w:rsidP="00434644">
      <w:pPr>
        <w:spacing w:line="360" w:lineRule="auto"/>
        <w:jc w:val="both"/>
        <w:rPr>
          <w:b/>
          <w:bCs/>
        </w:rPr>
      </w:pPr>
    </w:p>
    <w:p w14:paraId="6CF6FBE8" w14:textId="77777777" w:rsidR="00843B8E" w:rsidRDefault="00843B8E" w:rsidP="00434644">
      <w:pPr>
        <w:spacing w:line="360" w:lineRule="auto"/>
        <w:jc w:val="both"/>
        <w:rPr>
          <w:b/>
          <w:bCs/>
        </w:rPr>
      </w:pPr>
    </w:p>
    <w:p w14:paraId="6721E1CB" w14:textId="77777777" w:rsidR="00843B8E" w:rsidRDefault="00843B8E" w:rsidP="00434644">
      <w:pPr>
        <w:spacing w:line="360" w:lineRule="auto"/>
        <w:jc w:val="both"/>
        <w:rPr>
          <w:b/>
          <w:bCs/>
        </w:rPr>
      </w:pPr>
    </w:p>
    <w:p w14:paraId="188C0A6D" w14:textId="77777777" w:rsidR="00843B8E" w:rsidRDefault="00843B8E" w:rsidP="00434644">
      <w:pPr>
        <w:spacing w:line="360" w:lineRule="auto"/>
        <w:jc w:val="both"/>
        <w:rPr>
          <w:b/>
          <w:bCs/>
        </w:rPr>
      </w:pPr>
    </w:p>
    <w:p w14:paraId="7692A80B" w14:textId="77777777" w:rsidR="00843B8E" w:rsidRDefault="00843B8E" w:rsidP="00434644">
      <w:pPr>
        <w:spacing w:line="360" w:lineRule="auto"/>
        <w:jc w:val="both"/>
        <w:rPr>
          <w:b/>
          <w:bCs/>
        </w:rPr>
      </w:pPr>
    </w:p>
    <w:p w14:paraId="0E534C95" w14:textId="77777777" w:rsidR="001E2A36" w:rsidRDefault="001E2A36" w:rsidP="00434644">
      <w:pPr>
        <w:spacing w:line="360" w:lineRule="auto"/>
        <w:jc w:val="both"/>
        <w:rPr>
          <w:b/>
          <w:bCs/>
        </w:rPr>
      </w:pPr>
    </w:p>
    <w:p w14:paraId="1266A2C3" w14:textId="77777777" w:rsidR="001E2A36" w:rsidRDefault="001E2A36" w:rsidP="00434644">
      <w:pPr>
        <w:spacing w:line="360" w:lineRule="auto"/>
        <w:jc w:val="both"/>
        <w:rPr>
          <w:b/>
          <w:bCs/>
        </w:rPr>
      </w:pPr>
    </w:p>
    <w:p w14:paraId="49347B78" w14:textId="77777777" w:rsidR="001E2A36" w:rsidRDefault="001E2A36" w:rsidP="00434644">
      <w:pPr>
        <w:spacing w:line="360" w:lineRule="auto"/>
        <w:jc w:val="both"/>
        <w:rPr>
          <w:b/>
          <w:bCs/>
        </w:rPr>
      </w:pPr>
    </w:p>
    <w:p w14:paraId="04EFDF26" w14:textId="77777777" w:rsidR="001E2A36" w:rsidRDefault="001E2A36" w:rsidP="00434644">
      <w:pPr>
        <w:spacing w:line="360" w:lineRule="auto"/>
        <w:jc w:val="both"/>
        <w:rPr>
          <w:b/>
          <w:bCs/>
        </w:rPr>
      </w:pPr>
    </w:p>
    <w:p w14:paraId="7CE2FBC8" w14:textId="77777777" w:rsidR="006A5985" w:rsidRDefault="006A5985" w:rsidP="00843B8E">
      <w:pPr>
        <w:tabs>
          <w:tab w:val="left" w:pos="7020"/>
          <w:tab w:val="right" w:pos="10826"/>
        </w:tabs>
        <w:suppressAutoHyphens/>
        <w:spacing w:after="0" w:line="240" w:lineRule="auto"/>
        <w:jc w:val="both"/>
        <w:rPr>
          <w:rFonts w:ascii="Arial" w:hAnsi="Arial" w:cs="Arial"/>
          <w:spacing w:val="-2"/>
        </w:rPr>
      </w:pPr>
    </w:p>
    <w:p w14:paraId="7F56277D" w14:textId="4ACDD23F" w:rsidR="00A459AB" w:rsidRDefault="00843B8E" w:rsidP="00843B8E">
      <w:pPr>
        <w:tabs>
          <w:tab w:val="left" w:pos="7020"/>
          <w:tab w:val="right" w:pos="10826"/>
        </w:tabs>
        <w:suppressAutoHyphens/>
        <w:spacing w:after="0" w:line="240" w:lineRule="auto"/>
        <w:jc w:val="both"/>
        <w:rPr>
          <w:rFonts w:ascii="Arial" w:hAnsi="Arial" w:cs="Arial"/>
          <w:b/>
          <w:spacing w:val="-2"/>
        </w:rPr>
      </w:pPr>
      <w:r w:rsidRPr="00E913B3">
        <w:rPr>
          <w:rFonts w:ascii="Arial" w:hAnsi="Arial" w:cs="Arial"/>
          <w:spacing w:val="-2"/>
        </w:rPr>
        <w:tab/>
      </w:r>
    </w:p>
    <w:p w14:paraId="4A287E90" w14:textId="1D05B750" w:rsidR="00843B8E" w:rsidRPr="00843B8E" w:rsidRDefault="00843B8E" w:rsidP="00843B8E">
      <w:pPr>
        <w:tabs>
          <w:tab w:val="left" w:pos="7020"/>
          <w:tab w:val="right" w:pos="10826"/>
        </w:tabs>
        <w:suppressAutoHyphens/>
        <w:spacing w:after="0" w:line="240" w:lineRule="auto"/>
        <w:jc w:val="both"/>
        <w:rPr>
          <w:rFonts w:ascii="Arial" w:hAnsi="Arial" w:cs="Arial"/>
          <w:b/>
          <w:spacing w:val="-2"/>
        </w:rPr>
      </w:pPr>
      <w:r w:rsidRPr="00E913B3">
        <w:rPr>
          <w:rFonts w:ascii="Arial" w:hAnsi="Arial" w:cs="Arial"/>
          <w:spacing w:val="-2"/>
        </w:rPr>
        <w:lastRenderedPageBreak/>
        <w:t>DECLARATION</w:t>
      </w:r>
    </w:p>
    <w:p w14:paraId="0E8C2DA3" w14:textId="77777777" w:rsidR="00843B8E" w:rsidRPr="00E913B3" w:rsidRDefault="00843B8E" w:rsidP="00843B8E">
      <w:pPr>
        <w:spacing w:after="0" w:line="240" w:lineRule="auto"/>
        <w:ind w:left="720" w:hanging="630"/>
        <w:jc w:val="both"/>
        <w:rPr>
          <w:rFonts w:ascii="Arial" w:hAnsi="Arial" w:cs="Arial"/>
          <w:spacing w:val="-2"/>
        </w:rPr>
      </w:pPr>
      <w:r w:rsidRPr="00E913B3">
        <w:rPr>
          <w:rFonts w:ascii="Arial" w:hAnsi="Arial" w:cs="Arial"/>
          <w:spacing w:val="-2"/>
        </w:rPr>
        <w:tab/>
      </w:r>
    </w:p>
    <w:p w14:paraId="32BF7918" w14:textId="77777777" w:rsidR="00843B8E" w:rsidRPr="00E913B3" w:rsidRDefault="00843B8E" w:rsidP="00843B8E">
      <w:pPr>
        <w:spacing w:after="0" w:line="240" w:lineRule="auto"/>
        <w:ind w:left="720"/>
        <w:jc w:val="both"/>
        <w:rPr>
          <w:rFonts w:ascii="Arial" w:hAnsi="Arial" w:cs="Arial"/>
          <w:spacing w:val="-2"/>
        </w:rPr>
      </w:pPr>
      <w:r w:rsidRPr="00E913B3">
        <w:rPr>
          <w:rFonts w:ascii="Arial" w:hAnsi="Arial" w:cs="Arial"/>
          <w:spacing w:val="-2"/>
        </w:rPr>
        <w:t>This work has not previously been accepted in substance for any degree and is not being concurrently submitted in candidature for any degree.</w:t>
      </w:r>
      <w:r w:rsidRPr="00E913B3">
        <w:rPr>
          <w:rFonts w:ascii="Arial" w:hAnsi="Arial" w:cs="Arial"/>
          <w:spacing w:val="-2"/>
        </w:rPr>
        <w:tab/>
      </w:r>
    </w:p>
    <w:p w14:paraId="58DE76B8" w14:textId="77777777" w:rsidR="00843B8E" w:rsidRPr="00E913B3" w:rsidRDefault="00843B8E" w:rsidP="006A5985">
      <w:pPr>
        <w:spacing w:after="0" w:line="240" w:lineRule="auto"/>
        <w:jc w:val="both"/>
        <w:rPr>
          <w:rFonts w:ascii="Arial" w:hAnsi="Arial" w:cs="Arial"/>
          <w:spacing w:val="-2"/>
        </w:rPr>
      </w:pPr>
    </w:p>
    <w:p w14:paraId="697D6282" w14:textId="0BFC81FA" w:rsidR="00843B8E" w:rsidRPr="00E913B3" w:rsidRDefault="00843B8E" w:rsidP="00843B8E">
      <w:pPr>
        <w:spacing w:after="0" w:line="240" w:lineRule="auto"/>
        <w:ind w:left="720"/>
        <w:jc w:val="both"/>
        <w:rPr>
          <w:rFonts w:ascii="Arial" w:hAnsi="Arial" w:cs="Arial"/>
          <w:spacing w:val="-2"/>
        </w:rPr>
      </w:pPr>
      <w:r w:rsidRPr="00E913B3">
        <w:rPr>
          <w:rFonts w:ascii="Arial" w:hAnsi="Arial" w:cs="Arial"/>
          <w:spacing w:val="-2"/>
        </w:rPr>
        <w:t>Signed</w:t>
      </w:r>
      <w:r w:rsidR="006A5985">
        <w:rPr>
          <w:rFonts w:ascii="Arial" w:hAnsi="Arial" w:cs="Arial"/>
          <w:spacing w:val="-2"/>
        </w:rPr>
        <w:t xml:space="preserve">- </w:t>
      </w:r>
      <w:r w:rsidR="006A5985" w:rsidRPr="006A5985">
        <w:rPr>
          <w:rFonts w:ascii="Rastanty Cortez" w:hAnsi="Rastanty Cortez" w:cs="Arial"/>
          <w:spacing w:val="-2"/>
          <w:sz w:val="40"/>
          <w:szCs w:val="40"/>
        </w:rPr>
        <w:t>Paige Grey</w:t>
      </w:r>
      <w:r w:rsidRPr="00E913B3">
        <w:rPr>
          <w:rFonts w:ascii="Arial" w:hAnsi="Arial" w:cs="Arial"/>
          <w:spacing w:val="-2"/>
        </w:rPr>
        <w:t xml:space="preserve"> (candidate)</w:t>
      </w:r>
      <w:r w:rsidRPr="00E913B3">
        <w:rPr>
          <w:rFonts w:ascii="Arial" w:hAnsi="Arial" w:cs="Arial"/>
          <w:spacing w:val="-2"/>
        </w:rPr>
        <w:tab/>
      </w:r>
    </w:p>
    <w:p w14:paraId="0A390420" w14:textId="77777777" w:rsidR="00843B8E" w:rsidRPr="00E913B3" w:rsidRDefault="00843B8E" w:rsidP="00843B8E">
      <w:pPr>
        <w:spacing w:after="0" w:line="240" w:lineRule="auto"/>
        <w:ind w:left="720"/>
        <w:jc w:val="both"/>
        <w:rPr>
          <w:rFonts w:ascii="Arial" w:hAnsi="Arial" w:cs="Arial"/>
          <w:spacing w:val="-2"/>
        </w:rPr>
      </w:pPr>
    </w:p>
    <w:p w14:paraId="485FEC82" w14:textId="593DAA49" w:rsidR="00843B8E" w:rsidRPr="00E913B3" w:rsidRDefault="00843B8E" w:rsidP="00843B8E">
      <w:pPr>
        <w:spacing w:after="0" w:line="240" w:lineRule="auto"/>
        <w:ind w:left="720"/>
        <w:jc w:val="both"/>
        <w:rPr>
          <w:rFonts w:ascii="Arial" w:hAnsi="Arial" w:cs="Arial"/>
          <w:spacing w:val="-2"/>
        </w:rPr>
      </w:pPr>
      <w:r w:rsidRPr="00E913B3">
        <w:rPr>
          <w:rFonts w:ascii="Arial" w:hAnsi="Arial" w:cs="Arial"/>
          <w:spacing w:val="-2"/>
        </w:rPr>
        <w:t>Date</w:t>
      </w:r>
      <w:r w:rsidR="006A5985">
        <w:rPr>
          <w:rFonts w:ascii="Arial" w:hAnsi="Arial" w:cs="Arial"/>
          <w:spacing w:val="-2"/>
        </w:rPr>
        <w:t>- 22/06/2026</w:t>
      </w:r>
      <w:r w:rsidRPr="00E913B3">
        <w:rPr>
          <w:rFonts w:ascii="Arial" w:hAnsi="Arial" w:cs="Arial"/>
          <w:spacing w:val="-2"/>
        </w:rPr>
        <w:tab/>
      </w:r>
    </w:p>
    <w:p w14:paraId="23010980" w14:textId="77777777" w:rsidR="00843B8E" w:rsidRPr="00E913B3" w:rsidRDefault="00843B8E" w:rsidP="00843B8E">
      <w:pPr>
        <w:spacing w:after="0" w:line="240" w:lineRule="auto"/>
        <w:ind w:left="720"/>
        <w:jc w:val="both"/>
        <w:rPr>
          <w:rFonts w:ascii="Arial" w:hAnsi="Arial" w:cs="Arial"/>
          <w:spacing w:val="-2"/>
        </w:rPr>
      </w:pPr>
    </w:p>
    <w:p w14:paraId="79D637E8" w14:textId="77777777" w:rsidR="00843B8E" w:rsidRPr="00E913B3" w:rsidRDefault="00843B8E" w:rsidP="00843B8E">
      <w:pPr>
        <w:spacing w:after="0" w:line="240" w:lineRule="auto"/>
        <w:ind w:left="720"/>
        <w:jc w:val="both"/>
        <w:rPr>
          <w:rFonts w:ascii="Arial" w:hAnsi="Arial" w:cs="Arial"/>
          <w:spacing w:val="-2"/>
        </w:rPr>
      </w:pPr>
    </w:p>
    <w:p w14:paraId="2A2BB944" w14:textId="77777777" w:rsidR="00843B8E" w:rsidRPr="00E913B3" w:rsidRDefault="00843B8E" w:rsidP="00843B8E">
      <w:pPr>
        <w:spacing w:after="0" w:line="240" w:lineRule="auto"/>
        <w:ind w:left="720"/>
        <w:jc w:val="both"/>
        <w:rPr>
          <w:rFonts w:ascii="Arial" w:hAnsi="Arial" w:cs="Arial"/>
          <w:spacing w:val="-2"/>
        </w:rPr>
      </w:pPr>
      <w:r w:rsidRPr="00E913B3">
        <w:rPr>
          <w:rFonts w:ascii="Arial" w:hAnsi="Arial" w:cs="Arial"/>
          <w:spacing w:val="-2"/>
        </w:rPr>
        <w:t>STATEMENT 1</w:t>
      </w:r>
      <w:r w:rsidRPr="00E913B3">
        <w:rPr>
          <w:rFonts w:ascii="Arial" w:hAnsi="Arial" w:cs="Arial"/>
          <w:spacing w:val="-2"/>
        </w:rPr>
        <w:tab/>
      </w:r>
    </w:p>
    <w:p w14:paraId="6A6F3473" w14:textId="77777777" w:rsidR="00843B8E" w:rsidRPr="00E913B3" w:rsidRDefault="00843B8E" w:rsidP="00843B8E">
      <w:pPr>
        <w:spacing w:after="0" w:line="240" w:lineRule="auto"/>
        <w:ind w:left="720"/>
        <w:jc w:val="both"/>
        <w:rPr>
          <w:rFonts w:ascii="Arial" w:hAnsi="Arial" w:cs="Arial"/>
          <w:spacing w:val="-2"/>
        </w:rPr>
      </w:pPr>
    </w:p>
    <w:p w14:paraId="473C1C4F" w14:textId="77777777" w:rsidR="00843B8E" w:rsidRPr="00E913B3" w:rsidRDefault="00843B8E" w:rsidP="00843B8E">
      <w:pPr>
        <w:spacing w:after="0" w:line="240" w:lineRule="auto"/>
        <w:ind w:left="720"/>
        <w:jc w:val="both"/>
        <w:rPr>
          <w:rFonts w:ascii="Arial" w:hAnsi="Arial" w:cs="Arial"/>
          <w:spacing w:val="-2"/>
        </w:rPr>
      </w:pPr>
      <w:r w:rsidRPr="00E913B3">
        <w:rPr>
          <w:rFonts w:ascii="Arial" w:hAnsi="Arial" w:cs="Arial"/>
          <w:spacing w:val="-2"/>
        </w:rPr>
        <w:t xml:space="preserve">This work is the result of my own investigations, except where otherwise stated. </w:t>
      </w:r>
    </w:p>
    <w:p w14:paraId="6816D831" w14:textId="77777777" w:rsidR="00843B8E" w:rsidRPr="00E913B3" w:rsidRDefault="00843B8E" w:rsidP="00843B8E">
      <w:pPr>
        <w:spacing w:after="0" w:line="240" w:lineRule="auto"/>
        <w:ind w:left="720"/>
        <w:jc w:val="both"/>
        <w:rPr>
          <w:rFonts w:ascii="Arial" w:hAnsi="Arial" w:cs="Arial"/>
          <w:spacing w:val="-2"/>
        </w:rPr>
      </w:pPr>
    </w:p>
    <w:p w14:paraId="319B9991" w14:textId="30E8321D" w:rsidR="00843B8E" w:rsidRPr="00E913B3" w:rsidRDefault="00843B8E" w:rsidP="00A459AB">
      <w:pPr>
        <w:spacing w:after="0" w:line="240" w:lineRule="auto"/>
        <w:ind w:left="720"/>
        <w:jc w:val="both"/>
        <w:rPr>
          <w:rFonts w:ascii="Arial" w:hAnsi="Arial" w:cs="Arial"/>
          <w:spacing w:val="-2"/>
        </w:rPr>
      </w:pPr>
      <w:r w:rsidRPr="00E913B3">
        <w:rPr>
          <w:rFonts w:ascii="Arial" w:hAnsi="Arial" w:cs="Arial"/>
          <w:spacing w:val="-2"/>
        </w:rPr>
        <w:t>Other sources are acknowledged by footnotes giving explicit references.  A bibliography is appended.</w:t>
      </w:r>
    </w:p>
    <w:p w14:paraId="395F2E89" w14:textId="77777777" w:rsidR="00843B8E" w:rsidRPr="00E913B3" w:rsidRDefault="00843B8E" w:rsidP="00843B8E">
      <w:pPr>
        <w:spacing w:after="0" w:line="240" w:lineRule="auto"/>
        <w:ind w:left="720"/>
        <w:jc w:val="both"/>
        <w:rPr>
          <w:rFonts w:ascii="Arial" w:hAnsi="Arial" w:cs="Arial"/>
          <w:spacing w:val="-2"/>
        </w:rPr>
      </w:pPr>
    </w:p>
    <w:p w14:paraId="138915F7" w14:textId="65CE335C" w:rsidR="00843B8E" w:rsidRPr="00E913B3" w:rsidRDefault="00843B8E" w:rsidP="00843B8E">
      <w:pPr>
        <w:spacing w:after="0" w:line="240" w:lineRule="auto"/>
        <w:ind w:left="720"/>
        <w:jc w:val="both"/>
        <w:rPr>
          <w:rFonts w:ascii="Arial" w:hAnsi="Arial" w:cs="Arial"/>
          <w:spacing w:val="-2"/>
        </w:rPr>
      </w:pPr>
      <w:r w:rsidRPr="00E913B3">
        <w:rPr>
          <w:rFonts w:ascii="Arial" w:hAnsi="Arial" w:cs="Arial"/>
          <w:spacing w:val="-2"/>
        </w:rPr>
        <w:t xml:space="preserve">Signed </w:t>
      </w:r>
      <w:r w:rsidR="006A5985" w:rsidRPr="006A5985">
        <w:rPr>
          <w:rFonts w:ascii="Rastanty Cortez" w:hAnsi="Rastanty Cortez" w:cs="Arial"/>
          <w:spacing w:val="-2"/>
          <w:sz w:val="40"/>
          <w:szCs w:val="40"/>
        </w:rPr>
        <w:t>Paige Grey</w:t>
      </w:r>
      <w:r w:rsidRPr="00E913B3">
        <w:rPr>
          <w:rFonts w:ascii="Arial" w:hAnsi="Arial" w:cs="Arial"/>
          <w:spacing w:val="-2"/>
        </w:rPr>
        <w:tab/>
      </w:r>
    </w:p>
    <w:p w14:paraId="0D1C5031" w14:textId="77777777" w:rsidR="00843B8E" w:rsidRPr="00E913B3" w:rsidRDefault="00843B8E" w:rsidP="00843B8E">
      <w:pPr>
        <w:spacing w:after="0" w:line="240" w:lineRule="auto"/>
        <w:ind w:left="720"/>
        <w:jc w:val="both"/>
        <w:rPr>
          <w:rFonts w:ascii="Arial" w:hAnsi="Arial" w:cs="Arial"/>
          <w:spacing w:val="-2"/>
        </w:rPr>
      </w:pPr>
    </w:p>
    <w:p w14:paraId="4F51AD2F" w14:textId="107C79D0" w:rsidR="00843B8E" w:rsidRPr="00E913B3" w:rsidRDefault="006A5985" w:rsidP="00843B8E">
      <w:pPr>
        <w:spacing w:after="0" w:line="240" w:lineRule="auto"/>
        <w:ind w:left="720"/>
        <w:jc w:val="both"/>
        <w:rPr>
          <w:rFonts w:ascii="Arial" w:hAnsi="Arial" w:cs="Arial"/>
          <w:spacing w:val="-2"/>
        </w:rPr>
      </w:pPr>
      <w:r w:rsidRPr="00E913B3">
        <w:rPr>
          <w:rFonts w:ascii="Arial" w:hAnsi="Arial" w:cs="Arial"/>
          <w:spacing w:val="-2"/>
        </w:rPr>
        <w:t>Date</w:t>
      </w:r>
      <w:r>
        <w:rPr>
          <w:rFonts w:ascii="Arial" w:hAnsi="Arial" w:cs="Arial"/>
          <w:spacing w:val="-2"/>
        </w:rPr>
        <w:t>- 22/06/2026</w:t>
      </w:r>
    </w:p>
    <w:p w14:paraId="0B6DD6F1" w14:textId="77777777" w:rsidR="00843B8E" w:rsidRPr="00E913B3" w:rsidRDefault="00843B8E" w:rsidP="00843B8E">
      <w:pPr>
        <w:spacing w:after="0" w:line="240" w:lineRule="auto"/>
        <w:ind w:left="720"/>
        <w:jc w:val="both"/>
        <w:rPr>
          <w:rFonts w:ascii="Arial" w:hAnsi="Arial" w:cs="Arial"/>
          <w:spacing w:val="-2"/>
        </w:rPr>
      </w:pPr>
    </w:p>
    <w:p w14:paraId="0FDBA07D" w14:textId="77777777" w:rsidR="00843B8E" w:rsidRPr="00E913B3" w:rsidRDefault="00843B8E" w:rsidP="00843B8E">
      <w:pPr>
        <w:spacing w:after="0" w:line="240" w:lineRule="auto"/>
        <w:ind w:left="720"/>
        <w:jc w:val="both"/>
        <w:rPr>
          <w:rFonts w:ascii="Arial" w:hAnsi="Arial" w:cs="Arial"/>
          <w:spacing w:val="-2"/>
        </w:rPr>
      </w:pPr>
      <w:r w:rsidRPr="00E913B3">
        <w:rPr>
          <w:rFonts w:ascii="Arial" w:hAnsi="Arial" w:cs="Arial"/>
          <w:spacing w:val="-2"/>
        </w:rPr>
        <w:t>STATEMENT 2</w:t>
      </w:r>
      <w:r w:rsidRPr="00E913B3">
        <w:rPr>
          <w:rFonts w:ascii="Arial" w:hAnsi="Arial" w:cs="Arial"/>
          <w:spacing w:val="-2"/>
        </w:rPr>
        <w:tab/>
      </w:r>
    </w:p>
    <w:p w14:paraId="77A89314" w14:textId="77777777" w:rsidR="00843B8E" w:rsidRPr="00E913B3" w:rsidRDefault="00843B8E" w:rsidP="00843B8E">
      <w:pPr>
        <w:spacing w:after="0" w:line="240" w:lineRule="auto"/>
        <w:ind w:left="720"/>
        <w:jc w:val="both"/>
        <w:rPr>
          <w:rFonts w:ascii="Arial" w:hAnsi="Arial" w:cs="Arial"/>
          <w:spacing w:val="-2"/>
        </w:rPr>
      </w:pPr>
    </w:p>
    <w:p w14:paraId="191F64E6" w14:textId="77777777" w:rsidR="00843B8E" w:rsidRPr="00E913B3" w:rsidRDefault="00843B8E" w:rsidP="00843B8E">
      <w:pPr>
        <w:spacing w:after="0" w:line="240" w:lineRule="auto"/>
        <w:ind w:left="720"/>
        <w:jc w:val="both"/>
        <w:rPr>
          <w:rFonts w:ascii="Arial" w:hAnsi="Arial" w:cs="Arial"/>
          <w:spacing w:val="-2"/>
        </w:rPr>
      </w:pPr>
      <w:r w:rsidRPr="00E913B3">
        <w:rPr>
          <w:rFonts w:ascii="Arial" w:hAnsi="Arial" w:cs="Arial"/>
          <w:spacing w:val="-2"/>
        </w:rPr>
        <w:t>I hereby give consent for my work, if accepted, to be available for photocopying and for inter-library loan, and for the title and summary to be made available to outside organisations.</w:t>
      </w:r>
      <w:r w:rsidRPr="00E913B3">
        <w:rPr>
          <w:rFonts w:ascii="Arial" w:hAnsi="Arial" w:cs="Arial"/>
          <w:spacing w:val="-2"/>
        </w:rPr>
        <w:tab/>
      </w:r>
    </w:p>
    <w:p w14:paraId="646E7E21" w14:textId="77777777" w:rsidR="00843B8E" w:rsidRPr="00E913B3" w:rsidRDefault="00843B8E" w:rsidP="00843B8E">
      <w:pPr>
        <w:spacing w:after="0" w:line="240" w:lineRule="auto"/>
        <w:ind w:left="720"/>
        <w:jc w:val="both"/>
        <w:rPr>
          <w:rFonts w:ascii="Arial" w:hAnsi="Arial" w:cs="Arial"/>
          <w:spacing w:val="-2"/>
        </w:rPr>
      </w:pPr>
    </w:p>
    <w:p w14:paraId="7DE9A920" w14:textId="77777777" w:rsidR="00843B8E" w:rsidRPr="00E913B3" w:rsidRDefault="00843B8E" w:rsidP="00843B8E">
      <w:pPr>
        <w:spacing w:after="0" w:line="240" w:lineRule="auto"/>
        <w:ind w:left="720"/>
        <w:jc w:val="both"/>
        <w:rPr>
          <w:rFonts w:ascii="Arial" w:hAnsi="Arial" w:cs="Arial"/>
          <w:spacing w:val="-2"/>
        </w:rPr>
      </w:pPr>
    </w:p>
    <w:p w14:paraId="080A3B79" w14:textId="1B497427" w:rsidR="00843B8E" w:rsidRPr="00E913B3" w:rsidRDefault="00843B8E" w:rsidP="00843B8E">
      <w:pPr>
        <w:spacing w:after="0" w:line="240" w:lineRule="auto"/>
        <w:ind w:left="720"/>
        <w:jc w:val="both"/>
        <w:rPr>
          <w:rFonts w:ascii="Arial" w:hAnsi="Arial" w:cs="Arial"/>
          <w:spacing w:val="-2"/>
        </w:rPr>
      </w:pPr>
      <w:r w:rsidRPr="00E913B3">
        <w:rPr>
          <w:rFonts w:ascii="Arial" w:hAnsi="Arial" w:cs="Arial"/>
          <w:spacing w:val="-2"/>
        </w:rPr>
        <w:t>Signed</w:t>
      </w:r>
      <w:r w:rsidR="002948B9">
        <w:rPr>
          <w:rFonts w:ascii="Arial" w:hAnsi="Arial" w:cs="Arial"/>
          <w:spacing w:val="-2"/>
        </w:rPr>
        <w:t xml:space="preserve"> </w:t>
      </w:r>
      <w:r w:rsidR="002948B9" w:rsidRPr="006A5985">
        <w:rPr>
          <w:rFonts w:ascii="Rastanty Cortez" w:hAnsi="Rastanty Cortez" w:cs="Arial"/>
          <w:spacing w:val="-2"/>
          <w:sz w:val="40"/>
          <w:szCs w:val="40"/>
        </w:rPr>
        <w:t>Paige Grey</w:t>
      </w:r>
      <w:r w:rsidRPr="00E913B3">
        <w:rPr>
          <w:rFonts w:ascii="Arial" w:hAnsi="Arial" w:cs="Arial"/>
          <w:spacing w:val="-2"/>
        </w:rPr>
        <w:tab/>
      </w:r>
    </w:p>
    <w:p w14:paraId="0B983467" w14:textId="77777777" w:rsidR="00843B8E" w:rsidRPr="00E913B3" w:rsidRDefault="00843B8E" w:rsidP="00843B8E">
      <w:pPr>
        <w:spacing w:after="0" w:line="240" w:lineRule="auto"/>
        <w:ind w:left="720"/>
        <w:jc w:val="both"/>
        <w:rPr>
          <w:rFonts w:ascii="Arial" w:hAnsi="Arial" w:cs="Arial"/>
          <w:spacing w:val="-2"/>
        </w:rPr>
      </w:pPr>
    </w:p>
    <w:p w14:paraId="691F03AB" w14:textId="187FA9CF" w:rsidR="00843B8E" w:rsidRPr="00E913B3" w:rsidRDefault="00843B8E" w:rsidP="00843B8E">
      <w:pPr>
        <w:spacing w:after="0" w:line="240" w:lineRule="auto"/>
        <w:ind w:left="720"/>
        <w:jc w:val="both"/>
        <w:rPr>
          <w:rFonts w:ascii="Arial" w:hAnsi="Arial" w:cs="Arial"/>
          <w:spacing w:val="-2"/>
        </w:rPr>
      </w:pPr>
      <w:r w:rsidRPr="00E913B3">
        <w:rPr>
          <w:rFonts w:ascii="Arial" w:hAnsi="Arial" w:cs="Arial"/>
          <w:spacing w:val="-2"/>
        </w:rPr>
        <w:t>Date</w:t>
      </w:r>
      <w:r w:rsidR="002948B9">
        <w:rPr>
          <w:rFonts w:ascii="Arial" w:hAnsi="Arial" w:cs="Arial"/>
          <w:spacing w:val="-2"/>
        </w:rPr>
        <w:t xml:space="preserve">- </w:t>
      </w:r>
      <w:r w:rsidR="002948B9" w:rsidRPr="002948B9">
        <w:rPr>
          <w:rFonts w:ascii="Arial" w:hAnsi="Arial" w:cs="Arial"/>
          <w:spacing w:val="-2"/>
        </w:rPr>
        <w:t>22</w:t>
      </w:r>
      <w:r w:rsidR="002948B9">
        <w:rPr>
          <w:rFonts w:ascii="Arial" w:hAnsi="Arial" w:cs="Arial"/>
          <w:spacing w:val="-2"/>
        </w:rPr>
        <w:t>/06/2026</w:t>
      </w:r>
    </w:p>
    <w:p w14:paraId="65DCB66C" w14:textId="77777777" w:rsidR="00843B8E" w:rsidRPr="00E913B3" w:rsidRDefault="00843B8E" w:rsidP="00843B8E">
      <w:pPr>
        <w:spacing w:after="0" w:line="240" w:lineRule="auto"/>
        <w:ind w:left="720"/>
        <w:jc w:val="both"/>
        <w:rPr>
          <w:rFonts w:ascii="Arial" w:hAnsi="Arial" w:cs="Arial"/>
          <w:spacing w:val="-2"/>
        </w:rPr>
      </w:pPr>
    </w:p>
    <w:p w14:paraId="5F4F3E60" w14:textId="77777777" w:rsidR="00843B8E" w:rsidRPr="00E913B3" w:rsidRDefault="00843B8E" w:rsidP="00843B8E">
      <w:pPr>
        <w:spacing w:after="0" w:line="240" w:lineRule="auto"/>
        <w:ind w:left="720"/>
        <w:jc w:val="both"/>
        <w:rPr>
          <w:rFonts w:ascii="Arial" w:hAnsi="Arial" w:cs="Arial"/>
          <w:spacing w:val="-2"/>
        </w:rPr>
      </w:pPr>
    </w:p>
    <w:p w14:paraId="7E0E18CD" w14:textId="77777777" w:rsidR="00843B8E" w:rsidRDefault="00843B8E" w:rsidP="00843B8E">
      <w:pPr>
        <w:tabs>
          <w:tab w:val="left" w:pos="-720"/>
        </w:tabs>
        <w:suppressAutoHyphens/>
        <w:spacing w:after="0" w:line="240" w:lineRule="auto"/>
        <w:jc w:val="both"/>
        <w:rPr>
          <w:rFonts w:ascii="Arial" w:hAnsi="Arial" w:cs="Arial"/>
          <w:b/>
          <w:spacing w:val="-2"/>
        </w:rPr>
      </w:pPr>
    </w:p>
    <w:p w14:paraId="04CEDD94" w14:textId="77777777" w:rsidR="00A52045" w:rsidRDefault="00A52045" w:rsidP="00843B8E">
      <w:pPr>
        <w:tabs>
          <w:tab w:val="left" w:pos="-720"/>
        </w:tabs>
        <w:suppressAutoHyphens/>
        <w:spacing w:after="0" w:line="240" w:lineRule="auto"/>
        <w:jc w:val="both"/>
        <w:rPr>
          <w:rFonts w:ascii="Arial" w:hAnsi="Arial" w:cs="Arial"/>
          <w:b/>
          <w:spacing w:val="-2"/>
        </w:rPr>
      </w:pPr>
    </w:p>
    <w:p w14:paraId="0973FEE7" w14:textId="77777777" w:rsidR="00A52045" w:rsidRDefault="00A52045" w:rsidP="00843B8E">
      <w:pPr>
        <w:tabs>
          <w:tab w:val="left" w:pos="-720"/>
        </w:tabs>
        <w:suppressAutoHyphens/>
        <w:spacing w:after="0" w:line="240" w:lineRule="auto"/>
        <w:jc w:val="both"/>
        <w:rPr>
          <w:rFonts w:ascii="Arial" w:hAnsi="Arial" w:cs="Arial"/>
          <w:b/>
          <w:spacing w:val="-2"/>
        </w:rPr>
      </w:pPr>
    </w:p>
    <w:p w14:paraId="11DF4FE2" w14:textId="77777777" w:rsidR="00A52045" w:rsidRDefault="00A52045" w:rsidP="00843B8E">
      <w:pPr>
        <w:tabs>
          <w:tab w:val="left" w:pos="-720"/>
        </w:tabs>
        <w:suppressAutoHyphens/>
        <w:spacing w:after="0" w:line="240" w:lineRule="auto"/>
        <w:jc w:val="both"/>
        <w:rPr>
          <w:rFonts w:ascii="Arial" w:hAnsi="Arial" w:cs="Arial"/>
          <w:b/>
          <w:spacing w:val="-2"/>
        </w:rPr>
      </w:pPr>
    </w:p>
    <w:p w14:paraId="3DA2D7C3" w14:textId="77777777" w:rsidR="00A52045" w:rsidRDefault="00A52045" w:rsidP="00843B8E">
      <w:pPr>
        <w:tabs>
          <w:tab w:val="left" w:pos="-720"/>
        </w:tabs>
        <w:suppressAutoHyphens/>
        <w:spacing w:after="0" w:line="240" w:lineRule="auto"/>
        <w:jc w:val="both"/>
        <w:rPr>
          <w:rFonts w:ascii="Arial" w:hAnsi="Arial" w:cs="Arial"/>
          <w:b/>
          <w:spacing w:val="-2"/>
        </w:rPr>
      </w:pPr>
    </w:p>
    <w:p w14:paraId="3EB13DE2" w14:textId="77777777" w:rsidR="00A52045" w:rsidRDefault="00A52045" w:rsidP="00843B8E">
      <w:pPr>
        <w:tabs>
          <w:tab w:val="left" w:pos="-720"/>
        </w:tabs>
        <w:suppressAutoHyphens/>
        <w:spacing w:after="0" w:line="240" w:lineRule="auto"/>
        <w:jc w:val="both"/>
        <w:rPr>
          <w:rFonts w:ascii="Arial" w:hAnsi="Arial" w:cs="Arial"/>
          <w:b/>
          <w:spacing w:val="-2"/>
        </w:rPr>
      </w:pPr>
    </w:p>
    <w:p w14:paraId="00741001" w14:textId="77777777" w:rsidR="00A52045" w:rsidRDefault="00A52045" w:rsidP="00843B8E">
      <w:pPr>
        <w:tabs>
          <w:tab w:val="left" w:pos="-720"/>
        </w:tabs>
        <w:suppressAutoHyphens/>
        <w:spacing w:after="0" w:line="240" w:lineRule="auto"/>
        <w:jc w:val="both"/>
        <w:rPr>
          <w:rFonts w:ascii="Arial" w:hAnsi="Arial" w:cs="Arial"/>
          <w:b/>
          <w:spacing w:val="-2"/>
        </w:rPr>
      </w:pPr>
    </w:p>
    <w:p w14:paraId="4FE20717" w14:textId="77777777" w:rsidR="00A52045" w:rsidRDefault="00A52045" w:rsidP="00843B8E">
      <w:pPr>
        <w:tabs>
          <w:tab w:val="left" w:pos="-720"/>
        </w:tabs>
        <w:suppressAutoHyphens/>
        <w:spacing w:after="0" w:line="240" w:lineRule="auto"/>
        <w:jc w:val="both"/>
        <w:rPr>
          <w:rFonts w:ascii="Arial" w:hAnsi="Arial" w:cs="Arial"/>
          <w:b/>
          <w:spacing w:val="-2"/>
        </w:rPr>
      </w:pPr>
    </w:p>
    <w:p w14:paraId="2EB34AC4" w14:textId="77777777" w:rsidR="00A52045" w:rsidRDefault="00A52045" w:rsidP="00843B8E">
      <w:pPr>
        <w:tabs>
          <w:tab w:val="left" w:pos="-720"/>
        </w:tabs>
        <w:suppressAutoHyphens/>
        <w:spacing w:after="0" w:line="240" w:lineRule="auto"/>
        <w:jc w:val="both"/>
        <w:rPr>
          <w:rFonts w:ascii="Arial" w:hAnsi="Arial" w:cs="Arial"/>
          <w:b/>
          <w:spacing w:val="-2"/>
        </w:rPr>
      </w:pPr>
    </w:p>
    <w:p w14:paraId="788231DC" w14:textId="77777777" w:rsidR="00A52045" w:rsidRDefault="00A52045" w:rsidP="00843B8E">
      <w:pPr>
        <w:tabs>
          <w:tab w:val="left" w:pos="-720"/>
        </w:tabs>
        <w:suppressAutoHyphens/>
        <w:spacing w:after="0" w:line="240" w:lineRule="auto"/>
        <w:jc w:val="both"/>
        <w:rPr>
          <w:rFonts w:ascii="Arial" w:hAnsi="Arial" w:cs="Arial"/>
          <w:b/>
          <w:spacing w:val="-2"/>
        </w:rPr>
      </w:pPr>
    </w:p>
    <w:p w14:paraId="1836B72B" w14:textId="77777777" w:rsidR="00A52045" w:rsidRDefault="00A52045" w:rsidP="00843B8E">
      <w:pPr>
        <w:tabs>
          <w:tab w:val="left" w:pos="-720"/>
        </w:tabs>
        <w:suppressAutoHyphens/>
        <w:spacing w:after="0" w:line="240" w:lineRule="auto"/>
        <w:jc w:val="both"/>
        <w:rPr>
          <w:rFonts w:ascii="Arial" w:hAnsi="Arial" w:cs="Arial"/>
          <w:b/>
          <w:spacing w:val="-2"/>
        </w:rPr>
      </w:pPr>
    </w:p>
    <w:p w14:paraId="3C4E3154" w14:textId="77777777" w:rsidR="00A52045" w:rsidRDefault="00A52045" w:rsidP="00843B8E">
      <w:pPr>
        <w:tabs>
          <w:tab w:val="left" w:pos="-720"/>
        </w:tabs>
        <w:suppressAutoHyphens/>
        <w:spacing w:after="0" w:line="240" w:lineRule="auto"/>
        <w:jc w:val="both"/>
        <w:rPr>
          <w:rFonts w:ascii="Arial" w:hAnsi="Arial" w:cs="Arial"/>
          <w:b/>
          <w:spacing w:val="-2"/>
        </w:rPr>
      </w:pPr>
    </w:p>
    <w:p w14:paraId="5BE0055C" w14:textId="77777777" w:rsidR="00A52045" w:rsidRPr="00E913B3" w:rsidRDefault="00A52045" w:rsidP="00843B8E">
      <w:pPr>
        <w:tabs>
          <w:tab w:val="left" w:pos="-720"/>
        </w:tabs>
        <w:suppressAutoHyphens/>
        <w:spacing w:after="0" w:line="240" w:lineRule="auto"/>
        <w:jc w:val="both"/>
        <w:rPr>
          <w:rFonts w:ascii="Arial" w:hAnsi="Arial" w:cs="Arial"/>
          <w:spacing w:val="-2"/>
        </w:rPr>
      </w:pPr>
    </w:p>
    <w:p w14:paraId="701C8C20" w14:textId="2337B356" w:rsidR="00A459AB" w:rsidRPr="002948B9" w:rsidRDefault="00843B8E" w:rsidP="002948B9">
      <w:pPr>
        <w:tabs>
          <w:tab w:val="left" w:pos="-720"/>
        </w:tabs>
        <w:suppressAutoHyphens/>
        <w:spacing w:after="0" w:line="240" w:lineRule="auto"/>
        <w:jc w:val="both"/>
        <w:rPr>
          <w:rFonts w:ascii="Arial" w:hAnsi="Arial" w:cs="Arial"/>
          <w:spacing w:val="-2"/>
        </w:rPr>
      </w:pPr>
      <w:r w:rsidRPr="0017749A">
        <w:rPr>
          <w:rFonts w:ascii="Arial" w:hAnsi="Arial" w:cs="Arial"/>
          <w:spacing w:val="-2"/>
        </w:rPr>
        <w:t xml:space="preserve">         </w:t>
      </w:r>
      <w:r>
        <w:rPr>
          <w:rFonts w:ascii="Arial" w:hAnsi="Arial" w:cs="Arial"/>
          <w:spacing w:val="-2"/>
        </w:rPr>
        <w:tab/>
      </w:r>
    </w:p>
    <w:p w14:paraId="34BC8211" w14:textId="76568440" w:rsidR="005D0994" w:rsidRPr="00ED69CB" w:rsidRDefault="0085635D" w:rsidP="00434644">
      <w:pPr>
        <w:spacing w:line="360" w:lineRule="auto"/>
        <w:jc w:val="both"/>
        <w:rPr>
          <w:b/>
          <w:bCs/>
          <w:szCs w:val="24"/>
        </w:rPr>
      </w:pPr>
      <w:r w:rsidRPr="00ED69CB">
        <w:rPr>
          <w:b/>
          <w:bCs/>
          <w:szCs w:val="24"/>
        </w:rPr>
        <w:lastRenderedPageBreak/>
        <w:t>Abstract</w:t>
      </w:r>
    </w:p>
    <w:p w14:paraId="32F4907E" w14:textId="069BF634" w:rsidR="001C2D22" w:rsidRPr="00295B33" w:rsidRDefault="001C2D22" w:rsidP="00295B33">
      <w:pPr>
        <w:pStyle w:val="Uni-Normal"/>
        <w:jc w:val="both"/>
      </w:pPr>
      <w:r w:rsidRPr="00295B33">
        <w:t xml:space="preserve">This dissertation examines how </w:t>
      </w:r>
      <w:r w:rsidR="009F304D" w:rsidRPr="00295B33">
        <w:t>Talent Management (TM)</w:t>
      </w:r>
      <w:r w:rsidRPr="00295B33">
        <w:t xml:space="preserve"> practices influence the attraction, engagement and retention of Generation Z employees within UK local government, addressing a gap in empirical public sector research. The study is situated within the context of workforce ageing, increasing service demand and recruitment challenges. A quantitative survey was distributed to Gen Z employees at Newport City Council</w:t>
      </w:r>
      <w:r w:rsidR="00BA0D10">
        <w:t xml:space="preserve"> (NCC)</w:t>
      </w:r>
      <w:r w:rsidRPr="00295B33">
        <w:t xml:space="preserve">, with descriptive statistical analysis supported by thematic analysis of open-ended responses. Findings indicate that career progression, work–life balance and job security are the most significant drivers of attraction and retention, while awareness of formal </w:t>
      </w:r>
      <w:r w:rsidR="009F304D" w:rsidRPr="00295B33">
        <w:t>TM</w:t>
      </w:r>
      <w:r w:rsidRPr="00295B33">
        <w:t xml:space="preserve"> strategies remains limited. The study identifies a misalignment between formal </w:t>
      </w:r>
      <w:r w:rsidR="009F304D" w:rsidRPr="00295B33">
        <w:t>TM</w:t>
      </w:r>
      <w:r w:rsidRPr="00295B33">
        <w:t xml:space="preserve"> provision and employee experience, particularly regarding progression visibility and development pathways. It concludes that improving the clarity, accessibility and integration of </w:t>
      </w:r>
      <w:r w:rsidR="009F304D" w:rsidRPr="00295B33">
        <w:t>TM</w:t>
      </w:r>
      <w:r w:rsidRPr="00295B33">
        <w:t xml:space="preserve"> practices, alongside strengthening the employee value proposition, is essential for enhancing retention and workforce sustainability. The research contributes context-specific insights into </w:t>
      </w:r>
      <w:r w:rsidR="009F304D" w:rsidRPr="00295B33">
        <w:t>TM</w:t>
      </w:r>
      <w:r w:rsidRPr="00295B33">
        <w:t xml:space="preserve"> within UK local </w:t>
      </w:r>
      <w:r w:rsidR="001E356A" w:rsidRPr="00295B33">
        <w:t>government.</w:t>
      </w:r>
    </w:p>
    <w:p w14:paraId="44876276" w14:textId="77777777" w:rsidR="001C2D22" w:rsidRPr="00ED69CB" w:rsidRDefault="001C2D22" w:rsidP="00F72089">
      <w:pPr>
        <w:pStyle w:val="Uni-Normal"/>
        <w:jc w:val="both"/>
        <w:rPr>
          <w:szCs w:val="24"/>
        </w:rPr>
      </w:pPr>
    </w:p>
    <w:p w14:paraId="5DF2A177" w14:textId="77777777" w:rsidR="001C2D22" w:rsidRPr="00ED69CB" w:rsidRDefault="001C2D22" w:rsidP="00F72089">
      <w:pPr>
        <w:pStyle w:val="Uni-Normal"/>
        <w:jc w:val="both"/>
        <w:rPr>
          <w:szCs w:val="24"/>
        </w:rPr>
      </w:pPr>
    </w:p>
    <w:p w14:paraId="63B3B227" w14:textId="77777777" w:rsidR="001C2D22" w:rsidRPr="00ED69CB" w:rsidRDefault="001C2D22" w:rsidP="00434644">
      <w:pPr>
        <w:spacing w:line="360" w:lineRule="auto"/>
        <w:rPr>
          <w:b/>
          <w:bCs/>
          <w:szCs w:val="24"/>
        </w:rPr>
      </w:pPr>
    </w:p>
    <w:p w14:paraId="69857677" w14:textId="77777777" w:rsidR="00E878B0" w:rsidRPr="00ED69CB" w:rsidRDefault="00E878B0" w:rsidP="00434644">
      <w:pPr>
        <w:spacing w:line="360" w:lineRule="auto"/>
        <w:rPr>
          <w:b/>
          <w:bCs/>
          <w:szCs w:val="24"/>
        </w:rPr>
      </w:pPr>
      <w:r w:rsidRPr="00ED69CB">
        <w:rPr>
          <w:b/>
          <w:bCs/>
          <w:szCs w:val="24"/>
        </w:rPr>
        <w:t>Abbreviations</w:t>
      </w:r>
    </w:p>
    <w:p w14:paraId="4FAE7D3F" w14:textId="75F3E88E" w:rsidR="00F62304" w:rsidRPr="00ED69CB" w:rsidRDefault="00F62304" w:rsidP="00434644">
      <w:pPr>
        <w:numPr>
          <w:ilvl w:val="0"/>
          <w:numId w:val="19"/>
        </w:numPr>
        <w:spacing w:line="360" w:lineRule="auto"/>
        <w:rPr>
          <w:szCs w:val="24"/>
        </w:rPr>
      </w:pPr>
      <w:r w:rsidRPr="00ED69CB">
        <w:rPr>
          <w:szCs w:val="24"/>
        </w:rPr>
        <w:t>DEI</w:t>
      </w:r>
      <w:r w:rsidR="00AE551E">
        <w:rPr>
          <w:szCs w:val="24"/>
        </w:rPr>
        <w:t xml:space="preserve">- </w:t>
      </w:r>
      <w:r w:rsidRPr="00ED69CB">
        <w:rPr>
          <w:szCs w:val="24"/>
        </w:rPr>
        <w:t xml:space="preserve">Diversity, </w:t>
      </w:r>
      <w:r w:rsidR="00413EDB" w:rsidRPr="00ED69CB">
        <w:rPr>
          <w:szCs w:val="24"/>
        </w:rPr>
        <w:t>Equity and</w:t>
      </w:r>
      <w:r w:rsidRPr="00ED69CB">
        <w:rPr>
          <w:szCs w:val="24"/>
        </w:rPr>
        <w:t xml:space="preserve"> Inclusion </w:t>
      </w:r>
    </w:p>
    <w:p w14:paraId="7407AF9A" w14:textId="285640AA" w:rsidR="00F62304" w:rsidRPr="00ED69CB" w:rsidRDefault="00F62304" w:rsidP="00434644">
      <w:pPr>
        <w:numPr>
          <w:ilvl w:val="0"/>
          <w:numId w:val="19"/>
        </w:numPr>
        <w:spacing w:line="360" w:lineRule="auto"/>
        <w:rPr>
          <w:szCs w:val="24"/>
        </w:rPr>
      </w:pPr>
      <w:r w:rsidRPr="00ED69CB">
        <w:rPr>
          <w:szCs w:val="24"/>
        </w:rPr>
        <w:t>EVP</w:t>
      </w:r>
      <w:r w:rsidR="00AE551E">
        <w:rPr>
          <w:szCs w:val="24"/>
        </w:rPr>
        <w:t xml:space="preserve">- </w:t>
      </w:r>
      <w:r w:rsidRPr="00ED69CB">
        <w:rPr>
          <w:szCs w:val="24"/>
        </w:rPr>
        <w:t xml:space="preserve">Employee Value Proposition </w:t>
      </w:r>
    </w:p>
    <w:p w14:paraId="65E89F5A" w14:textId="3E9CF0F0" w:rsidR="00F62304" w:rsidRPr="00ED69CB" w:rsidRDefault="00F62304" w:rsidP="00434644">
      <w:pPr>
        <w:numPr>
          <w:ilvl w:val="0"/>
          <w:numId w:val="19"/>
        </w:numPr>
        <w:spacing w:line="360" w:lineRule="auto"/>
        <w:rPr>
          <w:szCs w:val="24"/>
        </w:rPr>
      </w:pPr>
      <w:r w:rsidRPr="00ED69CB">
        <w:rPr>
          <w:szCs w:val="24"/>
        </w:rPr>
        <w:t>Gen Z</w:t>
      </w:r>
      <w:r w:rsidR="00AE551E">
        <w:rPr>
          <w:szCs w:val="24"/>
        </w:rPr>
        <w:t xml:space="preserve">- </w:t>
      </w:r>
      <w:r w:rsidR="00AE551E" w:rsidRPr="00ED69CB">
        <w:rPr>
          <w:szCs w:val="24"/>
        </w:rPr>
        <w:t>Generation</w:t>
      </w:r>
      <w:r w:rsidRPr="00ED69CB">
        <w:rPr>
          <w:szCs w:val="24"/>
        </w:rPr>
        <w:t xml:space="preserve"> Z </w:t>
      </w:r>
    </w:p>
    <w:p w14:paraId="28363C01" w14:textId="34B7A548" w:rsidR="00F62304" w:rsidRPr="00ED69CB" w:rsidRDefault="00F62304" w:rsidP="00434644">
      <w:pPr>
        <w:numPr>
          <w:ilvl w:val="0"/>
          <w:numId w:val="19"/>
        </w:numPr>
        <w:spacing w:line="360" w:lineRule="auto"/>
        <w:rPr>
          <w:szCs w:val="24"/>
        </w:rPr>
      </w:pPr>
      <w:r w:rsidRPr="00ED69CB">
        <w:rPr>
          <w:szCs w:val="24"/>
        </w:rPr>
        <w:t>HR</w:t>
      </w:r>
      <w:r w:rsidR="00AE551E">
        <w:rPr>
          <w:szCs w:val="24"/>
        </w:rPr>
        <w:t xml:space="preserve">- </w:t>
      </w:r>
      <w:r w:rsidRPr="00ED69CB">
        <w:rPr>
          <w:szCs w:val="24"/>
        </w:rPr>
        <w:t xml:space="preserve">Human Resources </w:t>
      </w:r>
    </w:p>
    <w:p w14:paraId="43A8B2F4" w14:textId="4AA00E43" w:rsidR="00F62304" w:rsidRPr="00ED69CB" w:rsidRDefault="00F62304" w:rsidP="00434644">
      <w:pPr>
        <w:numPr>
          <w:ilvl w:val="0"/>
          <w:numId w:val="19"/>
        </w:numPr>
        <w:spacing w:line="360" w:lineRule="auto"/>
        <w:rPr>
          <w:szCs w:val="24"/>
        </w:rPr>
      </w:pPr>
      <w:r w:rsidRPr="00ED69CB">
        <w:rPr>
          <w:szCs w:val="24"/>
        </w:rPr>
        <w:t>NCC</w:t>
      </w:r>
      <w:r w:rsidR="00AE551E">
        <w:rPr>
          <w:szCs w:val="24"/>
        </w:rPr>
        <w:t xml:space="preserve">- </w:t>
      </w:r>
      <w:r w:rsidRPr="00ED69CB">
        <w:rPr>
          <w:szCs w:val="24"/>
        </w:rPr>
        <w:t xml:space="preserve">Newport City Council </w:t>
      </w:r>
    </w:p>
    <w:p w14:paraId="51A12B30" w14:textId="0310F847" w:rsidR="009F0C2C" w:rsidRDefault="00F62304" w:rsidP="009F0C2C">
      <w:pPr>
        <w:numPr>
          <w:ilvl w:val="0"/>
          <w:numId w:val="19"/>
        </w:numPr>
        <w:spacing w:line="360" w:lineRule="auto"/>
        <w:rPr>
          <w:szCs w:val="24"/>
        </w:rPr>
      </w:pPr>
      <w:r w:rsidRPr="00ED69CB">
        <w:rPr>
          <w:szCs w:val="24"/>
        </w:rPr>
        <w:t>NPS</w:t>
      </w:r>
      <w:r w:rsidR="00AE551E">
        <w:rPr>
          <w:szCs w:val="24"/>
        </w:rPr>
        <w:t xml:space="preserve">- </w:t>
      </w:r>
      <w:r w:rsidRPr="00ED69CB">
        <w:rPr>
          <w:szCs w:val="24"/>
        </w:rPr>
        <w:t xml:space="preserve">Net Promoter Score </w:t>
      </w:r>
    </w:p>
    <w:p w14:paraId="02B78EDB" w14:textId="5E30E79B" w:rsidR="009F304D" w:rsidRPr="00ED69CB" w:rsidRDefault="009F304D" w:rsidP="009F0C2C">
      <w:pPr>
        <w:numPr>
          <w:ilvl w:val="0"/>
          <w:numId w:val="19"/>
        </w:numPr>
        <w:spacing w:line="360" w:lineRule="auto"/>
        <w:rPr>
          <w:szCs w:val="24"/>
        </w:rPr>
      </w:pPr>
      <w:r>
        <w:rPr>
          <w:szCs w:val="24"/>
        </w:rPr>
        <w:t xml:space="preserve">TM- Talent Management </w:t>
      </w:r>
    </w:p>
    <w:p w14:paraId="46471020" w14:textId="0AC3C421" w:rsidR="001C2D22" w:rsidRPr="00ED69CB" w:rsidRDefault="00E40CCA" w:rsidP="004C173F">
      <w:pPr>
        <w:rPr>
          <w:szCs w:val="24"/>
        </w:rPr>
      </w:pPr>
      <w:r>
        <w:rPr>
          <w:szCs w:val="24"/>
        </w:rPr>
        <w:br w:type="page"/>
      </w:r>
    </w:p>
    <w:sdt>
      <w:sdtPr>
        <w:rPr>
          <w:rFonts w:ascii="Times New Roman" w:eastAsiaTheme="minorHAnsi" w:hAnsi="Times New Roman" w:cs="Times New Roman"/>
          <w:color w:val="auto"/>
          <w:sz w:val="24"/>
          <w:szCs w:val="24"/>
          <w:lang w:val="en-GB"/>
        </w:rPr>
        <w:id w:val="551349689"/>
        <w:docPartObj>
          <w:docPartGallery w:val="Table of Contents"/>
          <w:docPartUnique/>
        </w:docPartObj>
      </w:sdtPr>
      <w:sdtEndPr>
        <w:rPr>
          <w:b/>
          <w:bCs/>
        </w:rPr>
      </w:sdtEndPr>
      <w:sdtContent>
        <w:p w14:paraId="3EDD552F" w14:textId="6118D348" w:rsidR="005B6FE1" w:rsidRPr="00B16E69" w:rsidRDefault="005B6FE1" w:rsidP="00B16E69">
          <w:pPr>
            <w:pStyle w:val="TOCHeading"/>
            <w:spacing w:line="360" w:lineRule="auto"/>
            <w:jc w:val="center"/>
            <w:rPr>
              <w:rFonts w:ascii="Times New Roman" w:hAnsi="Times New Roman" w:cs="Times New Roman"/>
              <w:b/>
              <w:bCs/>
              <w:color w:val="auto"/>
            </w:rPr>
          </w:pPr>
          <w:r w:rsidRPr="00B16E69">
            <w:rPr>
              <w:rFonts w:ascii="Times New Roman" w:hAnsi="Times New Roman" w:cs="Times New Roman"/>
              <w:b/>
              <w:bCs/>
              <w:color w:val="auto"/>
              <w:lang w:val="en-GB"/>
            </w:rPr>
            <w:t>Table of Contents</w:t>
          </w:r>
        </w:p>
        <w:p w14:paraId="46BBD2E6" w14:textId="05DDBA14" w:rsidR="00B16E69" w:rsidRDefault="005B6FE1">
          <w:pPr>
            <w:pStyle w:val="TOC1"/>
            <w:rPr>
              <w:rFonts w:asciiTheme="minorHAnsi" w:hAnsiTheme="minorHAnsi" w:cstheme="minorBidi"/>
              <w:kern w:val="2"/>
              <w:szCs w:val="24"/>
              <w:lang w:val="en-GB" w:eastAsia="en-GB"/>
              <w14:ligatures w14:val="standardContextual"/>
            </w:rPr>
          </w:pPr>
          <w:r w:rsidRPr="00ED69CB">
            <w:rPr>
              <w:szCs w:val="24"/>
            </w:rPr>
            <w:fldChar w:fldCharType="begin"/>
          </w:r>
          <w:r w:rsidRPr="00ED69CB">
            <w:rPr>
              <w:szCs w:val="24"/>
            </w:rPr>
            <w:instrText xml:space="preserve"> TOC \o "1-3" \h \z \u </w:instrText>
          </w:r>
          <w:r w:rsidRPr="00ED69CB">
            <w:rPr>
              <w:szCs w:val="24"/>
            </w:rPr>
            <w:fldChar w:fldCharType="separate"/>
          </w:r>
          <w:hyperlink w:anchor="_Toc234319602" w:history="1">
            <w:r w:rsidR="00B16E69" w:rsidRPr="00D06A60">
              <w:rPr>
                <w:rStyle w:val="Hyperlink"/>
              </w:rPr>
              <w:t>CHAPTER 1</w:t>
            </w:r>
            <w:r w:rsidR="00B16E69">
              <w:rPr>
                <w:webHidden/>
              </w:rPr>
              <w:tab/>
            </w:r>
            <w:r w:rsidR="00B16E69">
              <w:rPr>
                <w:webHidden/>
              </w:rPr>
              <w:fldChar w:fldCharType="begin"/>
            </w:r>
            <w:r w:rsidR="00B16E69">
              <w:rPr>
                <w:webHidden/>
              </w:rPr>
              <w:instrText xml:space="preserve"> PAGEREF _Toc234319602 \h </w:instrText>
            </w:r>
            <w:r w:rsidR="00B16E69">
              <w:rPr>
                <w:webHidden/>
              </w:rPr>
            </w:r>
            <w:r w:rsidR="00B16E69">
              <w:rPr>
                <w:webHidden/>
              </w:rPr>
              <w:fldChar w:fldCharType="separate"/>
            </w:r>
            <w:r w:rsidR="00631AE5">
              <w:rPr>
                <w:webHidden/>
              </w:rPr>
              <w:t>8</w:t>
            </w:r>
            <w:r w:rsidR="00B16E69">
              <w:rPr>
                <w:webHidden/>
              </w:rPr>
              <w:fldChar w:fldCharType="end"/>
            </w:r>
          </w:hyperlink>
        </w:p>
        <w:p w14:paraId="2E968CC9" w14:textId="01D2B99A" w:rsidR="00B16E69" w:rsidRDefault="00B16E69">
          <w:pPr>
            <w:pStyle w:val="TOC1"/>
            <w:rPr>
              <w:rFonts w:asciiTheme="minorHAnsi" w:hAnsiTheme="minorHAnsi" w:cstheme="minorBidi"/>
              <w:kern w:val="2"/>
              <w:szCs w:val="24"/>
              <w:lang w:val="en-GB" w:eastAsia="en-GB"/>
              <w14:ligatures w14:val="standardContextual"/>
            </w:rPr>
          </w:pPr>
          <w:hyperlink w:anchor="_Toc234319603" w:history="1">
            <w:r w:rsidRPr="00D06A60">
              <w:rPr>
                <w:rStyle w:val="Hyperlink"/>
              </w:rPr>
              <w:t>INTRODUCTION</w:t>
            </w:r>
            <w:r>
              <w:rPr>
                <w:webHidden/>
              </w:rPr>
              <w:tab/>
            </w:r>
            <w:r>
              <w:rPr>
                <w:webHidden/>
              </w:rPr>
              <w:fldChar w:fldCharType="begin"/>
            </w:r>
            <w:r>
              <w:rPr>
                <w:webHidden/>
              </w:rPr>
              <w:instrText xml:space="preserve"> PAGEREF _Toc234319603 \h </w:instrText>
            </w:r>
            <w:r>
              <w:rPr>
                <w:webHidden/>
              </w:rPr>
            </w:r>
            <w:r>
              <w:rPr>
                <w:webHidden/>
              </w:rPr>
              <w:fldChar w:fldCharType="separate"/>
            </w:r>
            <w:r w:rsidR="00631AE5">
              <w:rPr>
                <w:webHidden/>
              </w:rPr>
              <w:t>8</w:t>
            </w:r>
            <w:r>
              <w:rPr>
                <w:webHidden/>
              </w:rPr>
              <w:fldChar w:fldCharType="end"/>
            </w:r>
          </w:hyperlink>
        </w:p>
        <w:p w14:paraId="60A3BC95" w14:textId="411C7FE5"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04" w:history="1">
            <w:r w:rsidRPr="00D06A60">
              <w:rPr>
                <w:rStyle w:val="Hyperlink"/>
                <w:noProof/>
              </w:rPr>
              <w:t>1.1 Chapter Introduction</w:t>
            </w:r>
            <w:r>
              <w:rPr>
                <w:noProof/>
                <w:webHidden/>
              </w:rPr>
              <w:tab/>
            </w:r>
            <w:r>
              <w:rPr>
                <w:noProof/>
                <w:webHidden/>
              </w:rPr>
              <w:fldChar w:fldCharType="begin"/>
            </w:r>
            <w:r>
              <w:rPr>
                <w:noProof/>
                <w:webHidden/>
              </w:rPr>
              <w:instrText xml:space="preserve"> PAGEREF _Toc234319604 \h </w:instrText>
            </w:r>
            <w:r>
              <w:rPr>
                <w:noProof/>
                <w:webHidden/>
              </w:rPr>
            </w:r>
            <w:r>
              <w:rPr>
                <w:noProof/>
                <w:webHidden/>
              </w:rPr>
              <w:fldChar w:fldCharType="separate"/>
            </w:r>
            <w:r w:rsidR="00631AE5">
              <w:rPr>
                <w:noProof/>
                <w:webHidden/>
              </w:rPr>
              <w:t>8</w:t>
            </w:r>
            <w:r>
              <w:rPr>
                <w:noProof/>
                <w:webHidden/>
              </w:rPr>
              <w:fldChar w:fldCharType="end"/>
            </w:r>
          </w:hyperlink>
        </w:p>
        <w:p w14:paraId="04867780" w14:textId="7474B8CB"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05" w:history="1">
            <w:r w:rsidRPr="00D06A60">
              <w:rPr>
                <w:rStyle w:val="Hyperlink"/>
                <w:noProof/>
              </w:rPr>
              <w:t>1.2 Background and Context</w:t>
            </w:r>
            <w:r>
              <w:rPr>
                <w:noProof/>
                <w:webHidden/>
              </w:rPr>
              <w:tab/>
            </w:r>
            <w:r>
              <w:rPr>
                <w:noProof/>
                <w:webHidden/>
              </w:rPr>
              <w:fldChar w:fldCharType="begin"/>
            </w:r>
            <w:r>
              <w:rPr>
                <w:noProof/>
                <w:webHidden/>
              </w:rPr>
              <w:instrText xml:space="preserve"> PAGEREF _Toc234319605 \h </w:instrText>
            </w:r>
            <w:r>
              <w:rPr>
                <w:noProof/>
                <w:webHidden/>
              </w:rPr>
            </w:r>
            <w:r>
              <w:rPr>
                <w:noProof/>
                <w:webHidden/>
              </w:rPr>
              <w:fldChar w:fldCharType="separate"/>
            </w:r>
            <w:r w:rsidR="00631AE5">
              <w:rPr>
                <w:noProof/>
                <w:webHidden/>
              </w:rPr>
              <w:t>8</w:t>
            </w:r>
            <w:r>
              <w:rPr>
                <w:noProof/>
                <w:webHidden/>
              </w:rPr>
              <w:fldChar w:fldCharType="end"/>
            </w:r>
          </w:hyperlink>
        </w:p>
        <w:p w14:paraId="35A31509" w14:textId="4EAAA3E4"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06" w:history="1">
            <w:r w:rsidRPr="00D06A60">
              <w:rPr>
                <w:rStyle w:val="Hyperlink"/>
                <w:noProof/>
              </w:rPr>
              <w:t>1.3 Case Study Organisation – NCC</w:t>
            </w:r>
            <w:r>
              <w:rPr>
                <w:noProof/>
                <w:webHidden/>
              </w:rPr>
              <w:tab/>
            </w:r>
            <w:r>
              <w:rPr>
                <w:noProof/>
                <w:webHidden/>
              </w:rPr>
              <w:fldChar w:fldCharType="begin"/>
            </w:r>
            <w:r>
              <w:rPr>
                <w:noProof/>
                <w:webHidden/>
              </w:rPr>
              <w:instrText xml:space="preserve"> PAGEREF _Toc234319606 \h </w:instrText>
            </w:r>
            <w:r>
              <w:rPr>
                <w:noProof/>
                <w:webHidden/>
              </w:rPr>
            </w:r>
            <w:r>
              <w:rPr>
                <w:noProof/>
                <w:webHidden/>
              </w:rPr>
              <w:fldChar w:fldCharType="separate"/>
            </w:r>
            <w:r w:rsidR="00631AE5">
              <w:rPr>
                <w:noProof/>
                <w:webHidden/>
              </w:rPr>
              <w:t>9</w:t>
            </w:r>
            <w:r>
              <w:rPr>
                <w:noProof/>
                <w:webHidden/>
              </w:rPr>
              <w:fldChar w:fldCharType="end"/>
            </w:r>
          </w:hyperlink>
        </w:p>
        <w:p w14:paraId="4C6AC233" w14:textId="04AEA26C"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07" w:history="1">
            <w:r w:rsidRPr="00D06A60">
              <w:rPr>
                <w:rStyle w:val="Hyperlink"/>
                <w:noProof/>
              </w:rPr>
              <w:t>1.4 The Research Problem</w:t>
            </w:r>
            <w:r>
              <w:rPr>
                <w:noProof/>
                <w:webHidden/>
              </w:rPr>
              <w:tab/>
            </w:r>
            <w:r>
              <w:rPr>
                <w:noProof/>
                <w:webHidden/>
              </w:rPr>
              <w:fldChar w:fldCharType="begin"/>
            </w:r>
            <w:r>
              <w:rPr>
                <w:noProof/>
                <w:webHidden/>
              </w:rPr>
              <w:instrText xml:space="preserve"> PAGEREF _Toc234319607 \h </w:instrText>
            </w:r>
            <w:r>
              <w:rPr>
                <w:noProof/>
                <w:webHidden/>
              </w:rPr>
            </w:r>
            <w:r>
              <w:rPr>
                <w:noProof/>
                <w:webHidden/>
              </w:rPr>
              <w:fldChar w:fldCharType="separate"/>
            </w:r>
            <w:r w:rsidR="00631AE5">
              <w:rPr>
                <w:noProof/>
                <w:webHidden/>
              </w:rPr>
              <w:t>10</w:t>
            </w:r>
            <w:r>
              <w:rPr>
                <w:noProof/>
                <w:webHidden/>
              </w:rPr>
              <w:fldChar w:fldCharType="end"/>
            </w:r>
          </w:hyperlink>
        </w:p>
        <w:p w14:paraId="36A906C1" w14:textId="0AC410AC"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08" w:history="1">
            <w:r w:rsidRPr="00D06A60">
              <w:rPr>
                <w:rStyle w:val="Hyperlink"/>
                <w:noProof/>
                <w:lang w:eastAsia="en-GB"/>
              </w:rPr>
              <w:t>1.5 Research</w:t>
            </w:r>
            <w:r w:rsidRPr="00D06A60">
              <w:rPr>
                <w:rStyle w:val="Hyperlink"/>
                <w:noProof/>
              </w:rPr>
              <w:t xml:space="preserve"> Aims, Objectives and Questions</w:t>
            </w:r>
            <w:r>
              <w:rPr>
                <w:noProof/>
                <w:webHidden/>
              </w:rPr>
              <w:tab/>
            </w:r>
            <w:r>
              <w:rPr>
                <w:noProof/>
                <w:webHidden/>
              </w:rPr>
              <w:fldChar w:fldCharType="begin"/>
            </w:r>
            <w:r>
              <w:rPr>
                <w:noProof/>
                <w:webHidden/>
              </w:rPr>
              <w:instrText xml:space="preserve"> PAGEREF _Toc234319608 \h </w:instrText>
            </w:r>
            <w:r>
              <w:rPr>
                <w:noProof/>
                <w:webHidden/>
              </w:rPr>
            </w:r>
            <w:r>
              <w:rPr>
                <w:noProof/>
                <w:webHidden/>
              </w:rPr>
              <w:fldChar w:fldCharType="separate"/>
            </w:r>
            <w:r w:rsidR="00631AE5">
              <w:rPr>
                <w:noProof/>
                <w:webHidden/>
              </w:rPr>
              <w:t>10</w:t>
            </w:r>
            <w:r>
              <w:rPr>
                <w:noProof/>
                <w:webHidden/>
              </w:rPr>
              <w:fldChar w:fldCharType="end"/>
            </w:r>
          </w:hyperlink>
        </w:p>
        <w:p w14:paraId="0D74E6FE" w14:textId="591CC91C"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09" w:history="1">
            <w:r w:rsidRPr="00D06A60">
              <w:rPr>
                <w:rStyle w:val="Hyperlink"/>
                <w:noProof/>
              </w:rPr>
              <w:t>1.6 Research Scope</w:t>
            </w:r>
            <w:r>
              <w:rPr>
                <w:noProof/>
                <w:webHidden/>
              </w:rPr>
              <w:tab/>
            </w:r>
            <w:r>
              <w:rPr>
                <w:noProof/>
                <w:webHidden/>
              </w:rPr>
              <w:fldChar w:fldCharType="begin"/>
            </w:r>
            <w:r>
              <w:rPr>
                <w:noProof/>
                <w:webHidden/>
              </w:rPr>
              <w:instrText xml:space="preserve"> PAGEREF _Toc234319609 \h </w:instrText>
            </w:r>
            <w:r>
              <w:rPr>
                <w:noProof/>
                <w:webHidden/>
              </w:rPr>
            </w:r>
            <w:r>
              <w:rPr>
                <w:noProof/>
                <w:webHidden/>
              </w:rPr>
              <w:fldChar w:fldCharType="separate"/>
            </w:r>
            <w:r w:rsidR="00631AE5">
              <w:rPr>
                <w:noProof/>
                <w:webHidden/>
              </w:rPr>
              <w:t>11</w:t>
            </w:r>
            <w:r>
              <w:rPr>
                <w:noProof/>
                <w:webHidden/>
              </w:rPr>
              <w:fldChar w:fldCharType="end"/>
            </w:r>
          </w:hyperlink>
        </w:p>
        <w:p w14:paraId="58CE5FAF" w14:textId="1B933F5A"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10" w:history="1">
            <w:r w:rsidRPr="00D06A60">
              <w:rPr>
                <w:rStyle w:val="Hyperlink"/>
                <w:noProof/>
              </w:rPr>
              <w:t>1.7 Justification</w:t>
            </w:r>
            <w:r>
              <w:rPr>
                <w:noProof/>
                <w:webHidden/>
              </w:rPr>
              <w:tab/>
            </w:r>
            <w:r>
              <w:rPr>
                <w:noProof/>
                <w:webHidden/>
              </w:rPr>
              <w:fldChar w:fldCharType="begin"/>
            </w:r>
            <w:r>
              <w:rPr>
                <w:noProof/>
                <w:webHidden/>
              </w:rPr>
              <w:instrText xml:space="preserve"> PAGEREF _Toc234319610 \h </w:instrText>
            </w:r>
            <w:r>
              <w:rPr>
                <w:noProof/>
                <w:webHidden/>
              </w:rPr>
            </w:r>
            <w:r>
              <w:rPr>
                <w:noProof/>
                <w:webHidden/>
              </w:rPr>
              <w:fldChar w:fldCharType="separate"/>
            </w:r>
            <w:r w:rsidR="00631AE5">
              <w:rPr>
                <w:noProof/>
                <w:webHidden/>
              </w:rPr>
              <w:t>12</w:t>
            </w:r>
            <w:r>
              <w:rPr>
                <w:noProof/>
                <w:webHidden/>
              </w:rPr>
              <w:fldChar w:fldCharType="end"/>
            </w:r>
          </w:hyperlink>
        </w:p>
        <w:p w14:paraId="0039AC5F" w14:textId="3445A9FC"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11" w:history="1">
            <w:r w:rsidRPr="00D06A60">
              <w:rPr>
                <w:rStyle w:val="Hyperlink"/>
                <w:noProof/>
              </w:rPr>
              <w:t>1.8 Structure of the study</w:t>
            </w:r>
            <w:r>
              <w:rPr>
                <w:noProof/>
                <w:webHidden/>
              </w:rPr>
              <w:tab/>
            </w:r>
            <w:r>
              <w:rPr>
                <w:noProof/>
                <w:webHidden/>
              </w:rPr>
              <w:fldChar w:fldCharType="begin"/>
            </w:r>
            <w:r>
              <w:rPr>
                <w:noProof/>
                <w:webHidden/>
              </w:rPr>
              <w:instrText xml:space="preserve"> PAGEREF _Toc234319611 \h </w:instrText>
            </w:r>
            <w:r>
              <w:rPr>
                <w:noProof/>
                <w:webHidden/>
              </w:rPr>
            </w:r>
            <w:r>
              <w:rPr>
                <w:noProof/>
                <w:webHidden/>
              </w:rPr>
              <w:fldChar w:fldCharType="separate"/>
            </w:r>
            <w:r w:rsidR="00631AE5">
              <w:rPr>
                <w:noProof/>
                <w:webHidden/>
              </w:rPr>
              <w:t>13</w:t>
            </w:r>
            <w:r>
              <w:rPr>
                <w:noProof/>
                <w:webHidden/>
              </w:rPr>
              <w:fldChar w:fldCharType="end"/>
            </w:r>
          </w:hyperlink>
        </w:p>
        <w:p w14:paraId="3F966C4A" w14:textId="2808502A"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12" w:history="1">
            <w:r w:rsidRPr="00D06A60">
              <w:rPr>
                <w:rStyle w:val="Hyperlink"/>
                <w:noProof/>
              </w:rPr>
              <w:t>1.9 Chapter Summary</w:t>
            </w:r>
            <w:r>
              <w:rPr>
                <w:noProof/>
                <w:webHidden/>
              </w:rPr>
              <w:tab/>
            </w:r>
            <w:r>
              <w:rPr>
                <w:noProof/>
                <w:webHidden/>
              </w:rPr>
              <w:fldChar w:fldCharType="begin"/>
            </w:r>
            <w:r>
              <w:rPr>
                <w:noProof/>
                <w:webHidden/>
              </w:rPr>
              <w:instrText xml:space="preserve"> PAGEREF _Toc234319612 \h </w:instrText>
            </w:r>
            <w:r>
              <w:rPr>
                <w:noProof/>
                <w:webHidden/>
              </w:rPr>
            </w:r>
            <w:r>
              <w:rPr>
                <w:noProof/>
                <w:webHidden/>
              </w:rPr>
              <w:fldChar w:fldCharType="separate"/>
            </w:r>
            <w:r w:rsidR="00631AE5">
              <w:rPr>
                <w:noProof/>
                <w:webHidden/>
              </w:rPr>
              <w:t>13</w:t>
            </w:r>
            <w:r>
              <w:rPr>
                <w:noProof/>
                <w:webHidden/>
              </w:rPr>
              <w:fldChar w:fldCharType="end"/>
            </w:r>
          </w:hyperlink>
        </w:p>
        <w:p w14:paraId="08C51A12" w14:textId="392DF0A1" w:rsidR="00B16E69" w:rsidRDefault="00B16E69">
          <w:pPr>
            <w:pStyle w:val="TOC1"/>
            <w:rPr>
              <w:rFonts w:asciiTheme="minorHAnsi" w:hAnsiTheme="minorHAnsi" w:cstheme="minorBidi"/>
              <w:kern w:val="2"/>
              <w:szCs w:val="24"/>
              <w:lang w:val="en-GB" w:eastAsia="en-GB"/>
              <w14:ligatures w14:val="standardContextual"/>
            </w:rPr>
          </w:pPr>
          <w:hyperlink w:anchor="_Toc234319613" w:history="1">
            <w:r w:rsidRPr="00D06A60">
              <w:rPr>
                <w:rStyle w:val="Hyperlink"/>
              </w:rPr>
              <w:t>CHAPTER 2</w:t>
            </w:r>
            <w:r>
              <w:rPr>
                <w:webHidden/>
              </w:rPr>
              <w:tab/>
            </w:r>
            <w:r>
              <w:rPr>
                <w:webHidden/>
              </w:rPr>
              <w:fldChar w:fldCharType="begin"/>
            </w:r>
            <w:r>
              <w:rPr>
                <w:webHidden/>
              </w:rPr>
              <w:instrText xml:space="preserve"> PAGEREF _Toc234319613 \h </w:instrText>
            </w:r>
            <w:r>
              <w:rPr>
                <w:webHidden/>
              </w:rPr>
            </w:r>
            <w:r>
              <w:rPr>
                <w:webHidden/>
              </w:rPr>
              <w:fldChar w:fldCharType="separate"/>
            </w:r>
            <w:r w:rsidR="00631AE5">
              <w:rPr>
                <w:webHidden/>
              </w:rPr>
              <w:t>14</w:t>
            </w:r>
            <w:r>
              <w:rPr>
                <w:webHidden/>
              </w:rPr>
              <w:fldChar w:fldCharType="end"/>
            </w:r>
          </w:hyperlink>
        </w:p>
        <w:p w14:paraId="0C85D579" w14:textId="55433A85" w:rsidR="00B16E69" w:rsidRDefault="00B16E69">
          <w:pPr>
            <w:pStyle w:val="TOC1"/>
            <w:rPr>
              <w:rFonts w:asciiTheme="minorHAnsi" w:hAnsiTheme="minorHAnsi" w:cstheme="minorBidi"/>
              <w:kern w:val="2"/>
              <w:szCs w:val="24"/>
              <w:lang w:val="en-GB" w:eastAsia="en-GB"/>
              <w14:ligatures w14:val="standardContextual"/>
            </w:rPr>
          </w:pPr>
          <w:hyperlink w:anchor="_Toc234319614" w:history="1">
            <w:r w:rsidRPr="00D06A60">
              <w:rPr>
                <w:rStyle w:val="Hyperlink"/>
              </w:rPr>
              <w:t>LITERATURE REVIEW</w:t>
            </w:r>
            <w:r>
              <w:rPr>
                <w:webHidden/>
              </w:rPr>
              <w:tab/>
            </w:r>
            <w:r>
              <w:rPr>
                <w:webHidden/>
              </w:rPr>
              <w:fldChar w:fldCharType="begin"/>
            </w:r>
            <w:r>
              <w:rPr>
                <w:webHidden/>
              </w:rPr>
              <w:instrText xml:space="preserve"> PAGEREF _Toc234319614 \h </w:instrText>
            </w:r>
            <w:r>
              <w:rPr>
                <w:webHidden/>
              </w:rPr>
            </w:r>
            <w:r>
              <w:rPr>
                <w:webHidden/>
              </w:rPr>
              <w:fldChar w:fldCharType="separate"/>
            </w:r>
            <w:r w:rsidR="00631AE5">
              <w:rPr>
                <w:webHidden/>
              </w:rPr>
              <w:t>14</w:t>
            </w:r>
            <w:r>
              <w:rPr>
                <w:webHidden/>
              </w:rPr>
              <w:fldChar w:fldCharType="end"/>
            </w:r>
          </w:hyperlink>
        </w:p>
        <w:p w14:paraId="055B2787" w14:textId="07B0F24B"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15" w:history="1">
            <w:r w:rsidRPr="00D06A60">
              <w:rPr>
                <w:rStyle w:val="Hyperlink"/>
                <w:noProof/>
              </w:rPr>
              <w:t>2.1 Chapter Introduction</w:t>
            </w:r>
            <w:r>
              <w:rPr>
                <w:noProof/>
                <w:webHidden/>
              </w:rPr>
              <w:tab/>
            </w:r>
            <w:r>
              <w:rPr>
                <w:noProof/>
                <w:webHidden/>
              </w:rPr>
              <w:fldChar w:fldCharType="begin"/>
            </w:r>
            <w:r>
              <w:rPr>
                <w:noProof/>
                <w:webHidden/>
              </w:rPr>
              <w:instrText xml:space="preserve"> PAGEREF _Toc234319615 \h </w:instrText>
            </w:r>
            <w:r>
              <w:rPr>
                <w:noProof/>
                <w:webHidden/>
              </w:rPr>
            </w:r>
            <w:r>
              <w:rPr>
                <w:noProof/>
                <w:webHidden/>
              </w:rPr>
              <w:fldChar w:fldCharType="separate"/>
            </w:r>
            <w:r w:rsidR="00631AE5">
              <w:rPr>
                <w:noProof/>
                <w:webHidden/>
              </w:rPr>
              <w:t>14</w:t>
            </w:r>
            <w:r>
              <w:rPr>
                <w:noProof/>
                <w:webHidden/>
              </w:rPr>
              <w:fldChar w:fldCharType="end"/>
            </w:r>
          </w:hyperlink>
        </w:p>
        <w:p w14:paraId="15080BBC" w14:textId="3F495700"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16" w:history="1">
            <w:r w:rsidRPr="00D06A60">
              <w:rPr>
                <w:rStyle w:val="Hyperlink"/>
                <w:noProof/>
              </w:rPr>
              <w:t>2.2 Foundations and Evolution of Talent Management</w:t>
            </w:r>
            <w:r>
              <w:rPr>
                <w:noProof/>
                <w:webHidden/>
              </w:rPr>
              <w:tab/>
            </w:r>
            <w:r>
              <w:rPr>
                <w:noProof/>
                <w:webHidden/>
              </w:rPr>
              <w:fldChar w:fldCharType="begin"/>
            </w:r>
            <w:r>
              <w:rPr>
                <w:noProof/>
                <w:webHidden/>
              </w:rPr>
              <w:instrText xml:space="preserve"> PAGEREF _Toc234319616 \h </w:instrText>
            </w:r>
            <w:r>
              <w:rPr>
                <w:noProof/>
                <w:webHidden/>
              </w:rPr>
            </w:r>
            <w:r>
              <w:rPr>
                <w:noProof/>
                <w:webHidden/>
              </w:rPr>
              <w:fldChar w:fldCharType="separate"/>
            </w:r>
            <w:r w:rsidR="00631AE5">
              <w:rPr>
                <w:noProof/>
                <w:webHidden/>
              </w:rPr>
              <w:t>14</w:t>
            </w:r>
            <w:r>
              <w:rPr>
                <w:noProof/>
                <w:webHidden/>
              </w:rPr>
              <w:fldChar w:fldCharType="end"/>
            </w:r>
          </w:hyperlink>
        </w:p>
        <w:p w14:paraId="70B6ECC8" w14:textId="2857E419"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17" w:history="1">
            <w:r w:rsidRPr="00D06A60">
              <w:rPr>
                <w:rStyle w:val="Hyperlink"/>
                <w:noProof/>
              </w:rPr>
              <w:t>2.3 Talent Management in the Public Sector</w:t>
            </w:r>
            <w:r>
              <w:rPr>
                <w:noProof/>
                <w:webHidden/>
              </w:rPr>
              <w:tab/>
            </w:r>
            <w:r>
              <w:rPr>
                <w:noProof/>
                <w:webHidden/>
              </w:rPr>
              <w:fldChar w:fldCharType="begin"/>
            </w:r>
            <w:r>
              <w:rPr>
                <w:noProof/>
                <w:webHidden/>
              </w:rPr>
              <w:instrText xml:space="preserve"> PAGEREF _Toc234319617 \h </w:instrText>
            </w:r>
            <w:r>
              <w:rPr>
                <w:noProof/>
                <w:webHidden/>
              </w:rPr>
            </w:r>
            <w:r>
              <w:rPr>
                <w:noProof/>
                <w:webHidden/>
              </w:rPr>
              <w:fldChar w:fldCharType="separate"/>
            </w:r>
            <w:r w:rsidR="00631AE5">
              <w:rPr>
                <w:noProof/>
                <w:webHidden/>
              </w:rPr>
              <w:t>15</w:t>
            </w:r>
            <w:r>
              <w:rPr>
                <w:noProof/>
                <w:webHidden/>
              </w:rPr>
              <w:fldChar w:fldCharType="end"/>
            </w:r>
          </w:hyperlink>
        </w:p>
        <w:p w14:paraId="34A6AB6B" w14:textId="064ABA7B"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18" w:history="1">
            <w:r w:rsidRPr="00D06A60">
              <w:rPr>
                <w:rStyle w:val="Hyperlink"/>
                <w:noProof/>
              </w:rPr>
              <w:t>2.4 Workforce Ageing and Talent Management Pressures in Wales</w:t>
            </w:r>
            <w:r>
              <w:rPr>
                <w:noProof/>
                <w:webHidden/>
              </w:rPr>
              <w:tab/>
            </w:r>
            <w:r>
              <w:rPr>
                <w:noProof/>
                <w:webHidden/>
              </w:rPr>
              <w:fldChar w:fldCharType="begin"/>
            </w:r>
            <w:r>
              <w:rPr>
                <w:noProof/>
                <w:webHidden/>
              </w:rPr>
              <w:instrText xml:space="preserve"> PAGEREF _Toc234319618 \h </w:instrText>
            </w:r>
            <w:r>
              <w:rPr>
                <w:noProof/>
                <w:webHidden/>
              </w:rPr>
            </w:r>
            <w:r>
              <w:rPr>
                <w:noProof/>
                <w:webHidden/>
              </w:rPr>
              <w:fldChar w:fldCharType="separate"/>
            </w:r>
            <w:r w:rsidR="00631AE5">
              <w:rPr>
                <w:noProof/>
                <w:webHidden/>
              </w:rPr>
              <w:t>19</w:t>
            </w:r>
            <w:r>
              <w:rPr>
                <w:noProof/>
                <w:webHidden/>
              </w:rPr>
              <w:fldChar w:fldCharType="end"/>
            </w:r>
          </w:hyperlink>
        </w:p>
        <w:p w14:paraId="790AFDF6" w14:textId="6BA05BE7"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19" w:history="1">
            <w:r w:rsidRPr="00D06A60">
              <w:rPr>
                <w:rStyle w:val="Hyperlink"/>
                <w:noProof/>
              </w:rPr>
              <w:t>2.5 Understanding Gen Z: Workplace Expectations, Preferences and Behaviours</w:t>
            </w:r>
            <w:r>
              <w:rPr>
                <w:noProof/>
                <w:webHidden/>
              </w:rPr>
              <w:tab/>
            </w:r>
            <w:r>
              <w:rPr>
                <w:noProof/>
                <w:webHidden/>
              </w:rPr>
              <w:fldChar w:fldCharType="begin"/>
            </w:r>
            <w:r>
              <w:rPr>
                <w:noProof/>
                <w:webHidden/>
              </w:rPr>
              <w:instrText xml:space="preserve"> PAGEREF _Toc234319619 \h </w:instrText>
            </w:r>
            <w:r>
              <w:rPr>
                <w:noProof/>
                <w:webHidden/>
              </w:rPr>
            </w:r>
            <w:r>
              <w:rPr>
                <w:noProof/>
                <w:webHidden/>
              </w:rPr>
              <w:fldChar w:fldCharType="separate"/>
            </w:r>
            <w:r w:rsidR="00631AE5">
              <w:rPr>
                <w:noProof/>
                <w:webHidden/>
              </w:rPr>
              <w:t>20</w:t>
            </w:r>
            <w:r>
              <w:rPr>
                <w:noProof/>
                <w:webHidden/>
              </w:rPr>
              <w:fldChar w:fldCharType="end"/>
            </w:r>
          </w:hyperlink>
        </w:p>
        <w:p w14:paraId="35BDBB42" w14:textId="2FA85C12"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20" w:history="1">
            <w:r w:rsidRPr="00D06A60">
              <w:rPr>
                <w:rStyle w:val="Hyperlink"/>
                <w:noProof/>
              </w:rPr>
              <w:t>2.6 Gen Z in the Public Sector</w:t>
            </w:r>
            <w:r>
              <w:rPr>
                <w:noProof/>
                <w:webHidden/>
              </w:rPr>
              <w:tab/>
            </w:r>
            <w:r>
              <w:rPr>
                <w:noProof/>
                <w:webHidden/>
              </w:rPr>
              <w:fldChar w:fldCharType="begin"/>
            </w:r>
            <w:r>
              <w:rPr>
                <w:noProof/>
                <w:webHidden/>
              </w:rPr>
              <w:instrText xml:space="preserve"> PAGEREF _Toc234319620 \h </w:instrText>
            </w:r>
            <w:r>
              <w:rPr>
                <w:noProof/>
                <w:webHidden/>
              </w:rPr>
            </w:r>
            <w:r>
              <w:rPr>
                <w:noProof/>
                <w:webHidden/>
              </w:rPr>
              <w:fldChar w:fldCharType="separate"/>
            </w:r>
            <w:r w:rsidR="00631AE5">
              <w:rPr>
                <w:noProof/>
                <w:webHidden/>
              </w:rPr>
              <w:t>24</w:t>
            </w:r>
            <w:r>
              <w:rPr>
                <w:noProof/>
                <w:webHidden/>
              </w:rPr>
              <w:fldChar w:fldCharType="end"/>
            </w:r>
          </w:hyperlink>
        </w:p>
        <w:p w14:paraId="4AC5943D" w14:textId="3BA4EA79"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21" w:history="1">
            <w:r w:rsidRPr="00D06A60">
              <w:rPr>
                <w:rStyle w:val="Hyperlink"/>
                <w:noProof/>
              </w:rPr>
              <w:t>2.7 Literature Gaps</w:t>
            </w:r>
            <w:r>
              <w:rPr>
                <w:noProof/>
                <w:webHidden/>
              </w:rPr>
              <w:tab/>
            </w:r>
            <w:r>
              <w:rPr>
                <w:noProof/>
                <w:webHidden/>
              </w:rPr>
              <w:fldChar w:fldCharType="begin"/>
            </w:r>
            <w:r>
              <w:rPr>
                <w:noProof/>
                <w:webHidden/>
              </w:rPr>
              <w:instrText xml:space="preserve"> PAGEREF _Toc234319621 \h </w:instrText>
            </w:r>
            <w:r>
              <w:rPr>
                <w:noProof/>
                <w:webHidden/>
              </w:rPr>
            </w:r>
            <w:r>
              <w:rPr>
                <w:noProof/>
                <w:webHidden/>
              </w:rPr>
              <w:fldChar w:fldCharType="separate"/>
            </w:r>
            <w:r w:rsidR="00631AE5">
              <w:rPr>
                <w:noProof/>
                <w:webHidden/>
              </w:rPr>
              <w:t>27</w:t>
            </w:r>
            <w:r>
              <w:rPr>
                <w:noProof/>
                <w:webHidden/>
              </w:rPr>
              <w:fldChar w:fldCharType="end"/>
            </w:r>
          </w:hyperlink>
        </w:p>
        <w:p w14:paraId="18D4CA05" w14:textId="5E75B771"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22" w:history="1">
            <w:r w:rsidRPr="00D06A60">
              <w:rPr>
                <w:rStyle w:val="Hyperlink"/>
                <w:noProof/>
              </w:rPr>
              <w:t>2.8 Chapter Summary</w:t>
            </w:r>
            <w:r>
              <w:rPr>
                <w:noProof/>
                <w:webHidden/>
              </w:rPr>
              <w:tab/>
            </w:r>
            <w:r>
              <w:rPr>
                <w:noProof/>
                <w:webHidden/>
              </w:rPr>
              <w:fldChar w:fldCharType="begin"/>
            </w:r>
            <w:r>
              <w:rPr>
                <w:noProof/>
                <w:webHidden/>
              </w:rPr>
              <w:instrText xml:space="preserve"> PAGEREF _Toc234319622 \h </w:instrText>
            </w:r>
            <w:r>
              <w:rPr>
                <w:noProof/>
                <w:webHidden/>
              </w:rPr>
            </w:r>
            <w:r>
              <w:rPr>
                <w:noProof/>
                <w:webHidden/>
              </w:rPr>
              <w:fldChar w:fldCharType="separate"/>
            </w:r>
            <w:r w:rsidR="00631AE5">
              <w:rPr>
                <w:noProof/>
                <w:webHidden/>
              </w:rPr>
              <w:t>27</w:t>
            </w:r>
            <w:r>
              <w:rPr>
                <w:noProof/>
                <w:webHidden/>
              </w:rPr>
              <w:fldChar w:fldCharType="end"/>
            </w:r>
          </w:hyperlink>
        </w:p>
        <w:p w14:paraId="3656DDD6" w14:textId="5BBE30C0" w:rsidR="00B16E69" w:rsidRDefault="00B16E69" w:rsidP="00B16E69">
          <w:pPr>
            <w:pStyle w:val="TOC2"/>
            <w:tabs>
              <w:tab w:val="right" w:leader="dot" w:pos="9016"/>
            </w:tabs>
            <w:ind w:left="0"/>
            <w:rPr>
              <w:rFonts w:asciiTheme="minorHAnsi" w:hAnsiTheme="minorHAnsi" w:cstheme="minorBidi"/>
              <w:noProof/>
              <w:kern w:val="2"/>
              <w:szCs w:val="24"/>
              <w:lang w:val="en-GB" w:eastAsia="en-GB"/>
              <w14:ligatures w14:val="standardContextual"/>
            </w:rPr>
          </w:pPr>
          <w:hyperlink w:anchor="_Toc234319623" w:history="1">
            <w:r w:rsidRPr="00D06A60">
              <w:rPr>
                <w:rStyle w:val="Hyperlink"/>
                <w:noProof/>
              </w:rPr>
              <w:t>CHAPTER 3</w:t>
            </w:r>
            <w:r>
              <w:rPr>
                <w:noProof/>
                <w:webHidden/>
              </w:rPr>
              <w:tab/>
            </w:r>
            <w:r>
              <w:rPr>
                <w:noProof/>
                <w:webHidden/>
              </w:rPr>
              <w:fldChar w:fldCharType="begin"/>
            </w:r>
            <w:r>
              <w:rPr>
                <w:noProof/>
                <w:webHidden/>
              </w:rPr>
              <w:instrText xml:space="preserve"> PAGEREF _Toc234319623 \h </w:instrText>
            </w:r>
            <w:r>
              <w:rPr>
                <w:noProof/>
                <w:webHidden/>
              </w:rPr>
            </w:r>
            <w:r>
              <w:rPr>
                <w:noProof/>
                <w:webHidden/>
              </w:rPr>
              <w:fldChar w:fldCharType="separate"/>
            </w:r>
            <w:r w:rsidR="00631AE5">
              <w:rPr>
                <w:noProof/>
                <w:webHidden/>
              </w:rPr>
              <w:t>28</w:t>
            </w:r>
            <w:r>
              <w:rPr>
                <w:noProof/>
                <w:webHidden/>
              </w:rPr>
              <w:fldChar w:fldCharType="end"/>
            </w:r>
          </w:hyperlink>
        </w:p>
        <w:p w14:paraId="3D89212D" w14:textId="72EE59DC" w:rsidR="00B16E69" w:rsidRDefault="00B16E69">
          <w:pPr>
            <w:pStyle w:val="TOC1"/>
            <w:rPr>
              <w:rFonts w:asciiTheme="minorHAnsi" w:hAnsiTheme="minorHAnsi" w:cstheme="minorBidi"/>
              <w:kern w:val="2"/>
              <w:szCs w:val="24"/>
              <w:lang w:val="en-GB" w:eastAsia="en-GB"/>
              <w14:ligatures w14:val="standardContextual"/>
            </w:rPr>
          </w:pPr>
          <w:hyperlink w:anchor="_Toc234319624" w:history="1">
            <w:r w:rsidRPr="00D06A60">
              <w:rPr>
                <w:rStyle w:val="Hyperlink"/>
              </w:rPr>
              <w:t>RESEARCH METHODOLOGY</w:t>
            </w:r>
            <w:r>
              <w:rPr>
                <w:webHidden/>
              </w:rPr>
              <w:tab/>
            </w:r>
            <w:r>
              <w:rPr>
                <w:webHidden/>
              </w:rPr>
              <w:fldChar w:fldCharType="begin"/>
            </w:r>
            <w:r>
              <w:rPr>
                <w:webHidden/>
              </w:rPr>
              <w:instrText xml:space="preserve"> PAGEREF _Toc234319624 \h </w:instrText>
            </w:r>
            <w:r>
              <w:rPr>
                <w:webHidden/>
              </w:rPr>
            </w:r>
            <w:r>
              <w:rPr>
                <w:webHidden/>
              </w:rPr>
              <w:fldChar w:fldCharType="separate"/>
            </w:r>
            <w:r w:rsidR="00631AE5">
              <w:rPr>
                <w:webHidden/>
              </w:rPr>
              <w:t>28</w:t>
            </w:r>
            <w:r>
              <w:rPr>
                <w:webHidden/>
              </w:rPr>
              <w:fldChar w:fldCharType="end"/>
            </w:r>
          </w:hyperlink>
        </w:p>
        <w:p w14:paraId="50CA8B4C" w14:textId="747025F6"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25" w:history="1">
            <w:r w:rsidRPr="00D06A60">
              <w:rPr>
                <w:rStyle w:val="Hyperlink"/>
                <w:noProof/>
              </w:rPr>
              <w:t>3.1 Chapter Introduction</w:t>
            </w:r>
            <w:r>
              <w:rPr>
                <w:noProof/>
                <w:webHidden/>
              </w:rPr>
              <w:tab/>
            </w:r>
            <w:r>
              <w:rPr>
                <w:noProof/>
                <w:webHidden/>
              </w:rPr>
              <w:fldChar w:fldCharType="begin"/>
            </w:r>
            <w:r>
              <w:rPr>
                <w:noProof/>
                <w:webHidden/>
              </w:rPr>
              <w:instrText xml:space="preserve"> PAGEREF _Toc234319625 \h </w:instrText>
            </w:r>
            <w:r>
              <w:rPr>
                <w:noProof/>
                <w:webHidden/>
              </w:rPr>
            </w:r>
            <w:r>
              <w:rPr>
                <w:noProof/>
                <w:webHidden/>
              </w:rPr>
              <w:fldChar w:fldCharType="separate"/>
            </w:r>
            <w:r w:rsidR="00631AE5">
              <w:rPr>
                <w:noProof/>
                <w:webHidden/>
              </w:rPr>
              <w:t>28</w:t>
            </w:r>
            <w:r>
              <w:rPr>
                <w:noProof/>
                <w:webHidden/>
              </w:rPr>
              <w:fldChar w:fldCharType="end"/>
            </w:r>
          </w:hyperlink>
        </w:p>
        <w:p w14:paraId="054EB52F" w14:textId="38224EC2"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26" w:history="1">
            <w:r w:rsidRPr="00D06A60">
              <w:rPr>
                <w:rStyle w:val="Hyperlink"/>
                <w:noProof/>
              </w:rPr>
              <w:t>3.2 Research Philosophy</w:t>
            </w:r>
            <w:r>
              <w:rPr>
                <w:noProof/>
                <w:webHidden/>
              </w:rPr>
              <w:tab/>
            </w:r>
            <w:r>
              <w:rPr>
                <w:noProof/>
                <w:webHidden/>
              </w:rPr>
              <w:fldChar w:fldCharType="begin"/>
            </w:r>
            <w:r>
              <w:rPr>
                <w:noProof/>
                <w:webHidden/>
              </w:rPr>
              <w:instrText xml:space="preserve"> PAGEREF _Toc234319626 \h </w:instrText>
            </w:r>
            <w:r>
              <w:rPr>
                <w:noProof/>
                <w:webHidden/>
              </w:rPr>
            </w:r>
            <w:r>
              <w:rPr>
                <w:noProof/>
                <w:webHidden/>
              </w:rPr>
              <w:fldChar w:fldCharType="separate"/>
            </w:r>
            <w:r w:rsidR="00631AE5">
              <w:rPr>
                <w:noProof/>
                <w:webHidden/>
              </w:rPr>
              <w:t>28</w:t>
            </w:r>
            <w:r>
              <w:rPr>
                <w:noProof/>
                <w:webHidden/>
              </w:rPr>
              <w:fldChar w:fldCharType="end"/>
            </w:r>
          </w:hyperlink>
        </w:p>
        <w:p w14:paraId="378985FF" w14:textId="7DE5B6CF"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27" w:history="1">
            <w:r w:rsidRPr="00D06A60">
              <w:rPr>
                <w:rStyle w:val="Hyperlink"/>
                <w:noProof/>
              </w:rPr>
              <w:t>3.3 Research Approach</w:t>
            </w:r>
            <w:r>
              <w:rPr>
                <w:noProof/>
                <w:webHidden/>
              </w:rPr>
              <w:tab/>
            </w:r>
            <w:r>
              <w:rPr>
                <w:noProof/>
                <w:webHidden/>
              </w:rPr>
              <w:fldChar w:fldCharType="begin"/>
            </w:r>
            <w:r>
              <w:rPr>
                <w:noProof/>
                <w:webHidden/>
              </w:rPr>
              <w:instrText xml:space="preserve"> PAGEREF _Toc234319627 \h </w:instrText>
            </w:r>
            <w:r>
              <w:rPr>
                <w:noProof/>
                <w:webHidden/>
              </w:rPr>
            </w:r>
            <w:r>
              <w:rPr>
                <w:noProof/>
                <w:webHidden/>
              </w:rPr>
              <w:fldChar w:fldCharType="separate"/>
            </w:r>
            <w:r w:rsidR="00631AE5">
              <w:rPr>
                <w:noProof/>
                <w:webHidden/>
              </w:rPr>
              <w:t>29</w:t>
            </w:r>
            <w:r>
              <w:rPr>
                <w:noProof/>
                <w:webHidden/>
              </w:rPr>
              <w:fldChar w:fldCharType="end"/>
            </w:r>
          </w:hyperlink>
        </w:p>
        <w:p w14:paraId="31E64AC6" w14:textId="750CBE97"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28" w:history="1">
            <w:r w:rsidRPr="00D06A60">
              <w:rPr>
                <w:rStyle w:val="Hyperlink"/>
                <w:noProof/>
              </w:rPr>
              <w:t>3.4 Methodological Choice</w:t>
            </w:r>
            <w:r>
              <w:rPr>
                <w:noProof/>
                <w:webHidden/>
              </w:rPr>
              <w:tab/>
            </w:r>
            <w:r>
              <w:rPr>
                <w:noProof/>
                <w:webHidden/>
              </w:rPr>
              <w:fldChar w:fldCharType="begin"/>
            </w:r>
            <w:r>
              <w:rPr>
                <w:noProof/>
                <w:webHidden/>
              </w:rPr>
              <w:instrText xml:space="preserve"> PAGEREF _Toc234319628 \h </w:instrText>
            </w:r>
            <w:r>
              <w:rPr>
                <w:noProof/>
                <w:webHidden/>
              </w:rPr>
            </w:r>
            <w:r>
              <w:rPr>
                <w:noProof/>
                <w:webHidden/>
              </w:rPr>
              <w:fldChar w:fldCharType="separate"/>
            </w:r>
            <w:r w:rsidR="00631AE5">
              <w:rPr>
                <w:noProof/>
                <w:webHidden/>
              </w:rPr>
              <w:t>30</w:t>
            </w:r>
            <w:r>
              <w:rPr>
                <w:noProof/>
                <w:webHidden/>
              </w:rPr>
              <w:fldChar w:fldCharType="end"/>
            </w:r>
          </w:hyperlink>
        </w:p>
        <w:p w14:paraId="6ACF5E2D" w14:textId="486654A8"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29" w:history="1">
            <w:r w:rsidRPr="00D06A60">
              <w:rPr>
                <w:rStyle w:val="Hyperlink"/>
                <w:noProof/>
              </w:rPr>
              <w:t>3.5 Research Strategy</w:t>
            </w:r>
            <w:r>
              <w:rPr>
                <w:noProof/>
                <w:webHidden/>
              </w:rPr>
              <w:tab/>
            </w:r>
            <w:r>
              <w:rPr>
                <w:noProof/>
                <w:webHidden/>
              </w:rPr>
              <w:fldChar w:fldCharType="begin"/>
            </w:r>
            <w:r>
              <w:rPr>
                <w:noProof/>
                <w:webHidden/>
              </w:rPr>
              <w:instrText xml:space="preserve"> PAGEREF _Toc234319629 \h </w:instrText>
            </w:r>
            <w:r>
              <w:rPr>
                <w:noProof/>
                <w:webHidden/>
              </w:rPr>
            </w:r>
            <w:r>
              <w:rPr>
                <w:noProof/>
                <w:webHidden/>
              </w:rPr>
              <w:fldChar w:fldCharType="separate"/>
            </w:r>
            <w:r w:rsidR="00631AE5">
              <w:rPr>
                <w:noProof/>
                <w:webHidden/>
              </w:rPr>
              <w:t>30</w:t>
            </w:r>
            <w:r>
              <w:rPr>
                <w:noProof/>
                <w:webHidden/>
              </w:rPr>
              <w:fldChar w:fldCharType="end"/>
            </w:r>
          </w:hyperlink>
        </w:p>
        <w:p w14:paraId="305CD2CB" w14:textId="26C4C576"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30" w:history="1">
            <w:r w:rsidRPr="00D06A60">
              <w:rPr>
                <w:rStyle w:val="Hyperlink"/>
                <w:noProof/>
              </w:rPr>
              <w:t>3.6 Population, Sampling and Sample Size</w:t>
            </w:r>
            <w:r>
              <w:rPr>
                <w:noProof/>
                <w:webHidden/>
              </w:rPr>
              <w:tab/>
            </w:r>
            <w:r>
              <w:rPr>
                <w:noProof/>
                <w:webHidden/>
              </w:rPr>
              <w:fldChar w:fldCharType="begin"/>
            </w:r>
            <w:r>
              <w:rPr>
                <w:noProof/>
                <w:webHidden/>
              </w:rPr>
              <w:instrText xml:space="preserve"> PAGEREF _Toc234319630 \h </w:instrText>
            </w:r>
            <w:r>
              <w:rPr>
                <w:noProof/>
                <w:webHidden/>
              </w:rPr>
            </w:r>
            <w:r>
              <w:rPr>
                <w:noProof/>
                <w:webHidden/>
              </w:rPr>
              <w:fldChar w:fldCharType="separate"/>
            </w:r>
            <w:r w:rsidR="00631AE5">
              <w:rPr>
                <w:noProof/>
                <w:webHidden/>
              </w:rPr>
              <w:t>32</w:t>
            </w:r>
            <w:r>
              <w:rPr>
                <w:noProof/>
                <w:webHidden/>
              </w:rPr>
              <w:fldChar w:fldCharType="end"/>
            </w:r>
          </w:hyperlink>
        </w:p>
        <w:p w14:paraId="740F85B1" w14:textId="42E2CC8A"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31" w:history="1">
            <w:r w:rsidRPr="00D06A60">
              <w:rPr>
                <w:rStyle w:val="Hyperlink"/>
                <w:noProof/>
              </w:rPr>
              <w:t>3.7 Time Horizons</w:t>
            </w:r>
            <w:r>
              <w:rPr>
                <w:noProof/>
                <w:webHidden/>
              </w:rPr>
              <w:tab/>
            </w:r>
            <w:r>
              <w:rPr>
                <w:noProof/>
                <w:webHidden/>
              </w:rPr>
              <w:fldChar w:fldCharType="begin"/>
            </w:r>
            <w:r>
              <w:rPr>
                <w:noProof/>
                <w:webHidden/>
              </w:rPr>
              <w:instrText xml:space="preserve"> PAGEREF _Toc234319631 \h </w:instrText>
            </w:r>
            <w:r>
              <w:rPr>
                <w:noProof/>
                <w:webHidden/>
              </w:rPr>
            </w:r>
            <w:r>
              <w:rPr>
                <w:noProof/>
                <w:webHidden/>
              </w:rPr>
              <w:fldChar w:fldCharType="separate"/>
            </w:r>
            <w:r w:rsidR="00631AE5">
              <w:rPr>
                <w:noProof/>
                <w:webHidden/>
              </w:rPr>
              <w:t>33</w:t>
            </w:r>
            <w:r>
              <w:rPr>
                <w:noProof/>
                <w:webHidden/>
              </w:rPr>
              <w:fldChar w:fldCharType="end"/>
            </w:r>
          </w:hyperlink>
        </w:p>
        <w:p w14:paraId="1288D03D" w14:textId="11A5557A"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32" w:history="1">
            <w:r w:rsidRPr="00D06A60">
              <w:rPr>
                <w:rStyle w:val="Hyperlink"/>
                <w:noProof/>
              </w:rPr>
              <w:t>3.8 Data Collection</w:t>
            </w:r>
            <w:r>
              <w:rPr>
                <w:noProof/>
                <w:webHidden/>
              </w:rPr>
              <w:tab/>
            </w:r>
            <w:r>
              <w:rPr>
                <w:noProof/>
                <w:webHidden/>
              </w:rPr>
              <w:fldChar w:fldCharType="begin"/>
            </w:r>
            <w:r>
              <w:rPr>
                <w:noProof/>
                <w:webHidden/>
              </w:rPr>
              <w:instrText xml:space="preserve"> PAGEREF _Toc234319632 \h </w:instrText>
            </w:r>
            <w:r>
              <w:rPr>
                <w:noProof/>
                <w:webHidden/>
              </w:rPr>
            </w:r>
            <w:r>
              <w:rPr>
                <w:noProof/>
                <w:webHidden/>
              </w:rPr>
              <w:fldChar w:fldCharType="separate"/>
            </w:r>
            <w:r w:rsidR="00631AE5">
              <w:rPr>
                <w:noProof/>
                <w:webHidden/>
              </w:rPr>
              <w:t>33</w:t>
            </w:r>
            <w:r>
              <w:rPr>
                <w:noProof/>
                <w:webHidden/>
              </w:rPr>
              <w:fldChar w:fldCharType="end"/>
            </w:r>
          </w:hyperlink>
        </w:p>
        <w:p w14:paraId="25A96E3B" w14:textId="07F87074"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33" w:history="1">
            <w:r w:rsidRPr="00D06A60">
              <w:rPr>
                <w:rStyle w:val="Hyperlink"/>
                <w:noProof/>
              </w:rPr>
              <w:t>3.9 Data Analysis</w:t>
            </w:r>
            <w:r>
              <w:rPr>
                <w:noProof/>
                <w:webHidden/>
              </w:rPr>
              <w:tab/>
            </w:r>
            <w:r>
              <w:rPr>
                <w:noProof/>
                <w:webHidden/>
              </w:rPr>
              <w:fldChar w:fldCharType="begin"/>
            </w:r>
            <w:r>
              <w:rPr>
                <w:noProof/>
                <w:webHidden/>
              </w:rPr>
              <w:instrText xml:space="preserve"> PAGEREF _Toc234319633 \h </w:instrText>
            </w:r>
            <w:r>
              <w:rPr>
                <w:noProof/>
                <w:webHidden/>
              </w:rPr>
            </w:r>
            <w:r>
              <w:rPr>
                <w:noProof/>
                <w:webHidden/>
              </w:rPr>
              <w:fldChar w:fldCharType="separate"/>
            </w:r>
            <w:r w:rsidR="00631AE5">
              <w:rPr>
                <w:noProof/>
                <w:webHidden/>
              </w:rPr>
              <w:t>34</w:t>
            </w:r>
            <w:r>
              <w:rPr>
                <w:noProof/>
                <w:webHidden/>
              </w:rPr>
              <w:fldChar w:fldCharType="end"/>
            </w:r>
          </w:hyperlink>
        </w:p>
        <w:p w14:paraId="6FF69E81" w14:textId="6459744B"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34" w:history="1">
            <w:r w:rsidRPr="00D06A60">
              <w:rPr>
                <w:rStyle w:val="Hyperlink"/>
                <w:noProof/>
              </w:rPr>
              <w:t>3.10 Validity and Reliability</w:t>
            </w:r>
            <w:r>
              <w:rPr>
                <w:noProof/>
                <w:webHidden/>
              </w:rPr>
              <w:tab/>
            </w:r>
            <w:r>
              <w:rPr>
                <w:noProof/>
                <w:webHidden/>
              </w:rPr>
              <w:fldChar w:fldCharType="begin"/>
            </w:r>
            <w:r>
              <w:rPr>
                <w:noProof/>
                <w:webHidden/>
              </w:rPr>
              <w:instrText xml:space="preserve"> PAGEREF _Toc234319634 \h </w:instrText>
            </w:r>
            <w:r>
              <w:rPr>
                <w:noProof/>
                <w:webHidden/>
              </w:rPr>
            </w:r>
            <w:r>
              <w:rPr>
                <w:noProof/>
                <w:webHidden/>
              </w:rPr>
              <w:fldChar w:fldCharType="separate"/>
            </w:r>
            <w:r w:rsidR="00631AE5">
              <w:rPr>
                <w:noProof/>
                <w:webHidden/>
              </w:rPr>
              <w:t>35</w:t>
            </w:r>
            <w:r>
              <w:rPr>
                <w:noProof/>
                <w:webHidden/>
              </w:rPr>
              <w:fldChar w:fldCharType="end"/>
            </w:r>
          </w:hyperlink>
        </w:p>
        <w:p w14:paraId="632BA93B" w14:textId="0C4AC074"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35" w:history="1">
            <w:r w:rsidRPr="00D06A60">
              <w:rPr>
                <w:rStyle w:val="Hyperlink"/>
                <w:noProof/>
              </w:rPr>
              <w:t>3.11 Ethical Considerations</w:t>
            </w:r>
            <w:r>
              <w:rPr>
                <w:noProof/>
                <w:webHidden/>
              </w:rPr>
              <w:tab/>
            </w:r>
            <w:r>
              <w:rPr>
                <w:noProof/>
                <w:webHidden/>
              </w:rPr>
              <w:fldChar w:fldCharType="begin"/>
            </w:r>
            <w:r>
              <w:rPr>
                <w:noProof/>
                <w:webHidden/>
              </w:rPr>
              <w:instrText xml:space="preserve"> PAGEREF _Toc234319635 \h </w:instrText>
            </w:r>
            <w:r>
              <w:rPr>
                <w:noProof/>
                <w:webHidden/>
              </w:rPr>
            </w:r>
            <w:r>
              <w:rPr>
                <w:noProof/>
                <w:webHidden/>
              </w:rPr>
              <w:fldChar w:fldCharType="separate"/>
            </w:r>
            <w:r w:rsidR="00631AE5">
              <w:rPr>
                <w:noProof/>
                <w:webHidden/>
              </w:rPr>
              <w:t>36</w:t>
            </w:r>
            <w:r>
              <w:rPr>
                <w:noProof/>
                <w:webHidden/>
              </w:rPr>
              <w:fldChar w:fldCharType="end"/>
            </w:r>
          </w:hyperlink>
        </w:p>
        <w:p w14:paraId="1D082BB4" w14:textId="2AE31EFD"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36" w:history="1">
            <w:r w:rsidRPr="00D06A60">
              <w:rPr>
                <w:rStyle w:val="Hyperlink"/>
                <w:noProof/>
              </w:rPr>
              <w:t>3.12 Research Limitations</w:t>
            </w:r>
            <w:r>
              <w:rPr>
                <w:noProof/>
                <w:webHidden/>
              </w:rPr>
              <w:tab/>
            </w:r>
            <w:r>
              <w:rPr>
                <w:noProof/>
                <w:webHidden/>
              </w:rPr>
              <w:fldChar w:fldCharType="begin"/>
            </w:r>
            <w:r>
              <w:rPr>
                <w:noProof/>
                <w:webHidden/>
              </w:rPr>
              <w:instrText xml:space="preserve"> PAGEREF _Toc234319636 \h </w:instrText>
            </w:r>
            <w:r>
              <w:rPr>
                <w:noProof/>
                <w:webHidden/>
              </w:rPr>
            </w:r>
            <w:r>
              <w:rPr>
                <w:noProof/>
                <w:webHidden/>
              </w:rPr>
              <w:fldChar w:fldCharType="separate"/>
            </w:r>
            <w:r w:rsidR="00631AE5">
              <w:rPr>
                <w:noProof/>
                <w:webHidden/>
              </w:rPr>
              <w:t>37</w:t>
            </w:r>
            <w:r>
              <w:rPr>
                <w:noProof/>
                <w:webHidden/>
              </w:rPr>
              <w:fldChar w:fldCharType="end"/>
            </w:r>
          </w:hyperlink>
        </w:p>
        <w:p w14:paraId="5D81681D" w14:textId="0C1B450E"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37" w:history="1">
            <w:r w:rsidRPr="00D06A60">
              <w:rPr>
                <w:rStyle w:val="Hyperlink"/>
                <w:noProof/>
              </w:rPr>
              <w:t>3.13 Chapter Summary</w:t>
            </w:r>
            <w:r>
              <w:rPr>
                <w:noProof/>
                <w:webHidden/>
              </w:rPr>
              <w:tab/>
            </w:r>
            <w:r>
              <w:rPr>
                <w:noProof/>
                <w:webHidden/>
              </w:rPr>
              <w:fldChar w:fldCharType="begin"/>
            </w:r>
            <w:r>
              <w:rPr>
                <w:noProof/>
                <w:webHidden/>
              </w:rPr>
              <w:instrText xml:space="preserve"> PAGEREF _Toc234319637 \h </w:instrText>
            </w:r>
            <w:r>
              <w:rPr>
                <w:noProof/>
                <w:webHidden/>
              </w:rPr>
            </w:r>
            <w:r>
              <w:rPr>
                <w:noProof/>
                <w:webHidden/>
              </w:rPr>
              <w:fldChar w:fldCharType="separate"/>
            </w:r>
            <w:r w:rsidR="00631AE5">
              <w:rPr>
                <w:noProof/>
                <w:webHidden/>
              </w:rPr>
              <w:t>37</w:t>
            </w:r>
            <w:r>
              <w:rPr>
                <w:noProof/>
                <w:webHidden/>
              </w:rPr>
              <w:fldChar w:fldCharType="end"/>
            </w:r>
          </w:hyperlink>
        </w:p>
        <w:p w14:paraId="48840490" w14:textId="597408EC" w:rsidR="00B16E69" w:rsidRDefault="00B16E69">
          <w:pPr>
            <w:pStyle w:val="TOC1"/>
            <w:rPr>
              <w:rFonts w:asciiTheme="minorHAnsi" w:hAnsiTheme="minorHAnsi" w:cstheme="minorBidi"/>
              <w:kern w:val="2"/>
              <w:szCs w:val="24"/>
              <w:lang w:val="en-GB" w:eastAsia="en-GB"/>
              <w14:ligatures w14:val="standardContextual"/>
            </w:rPr>
          </w:pPr>
          <w:hyperlink w:anchor="_Toc234319638" w:history="1">
            <w:r w:rsidRPr="00D06A60">
              <w:rPr>
                <w:rStyle w:val="Hyperlink"/>
              </w:rPr>
              <w:t>CHAPTER 4</w:t>
            </w:r>
            <w:r>
              <w:rPr>
                <w:webHidden/>
              </w:rPr>
              <w:tab/>
            </w:r>
            <w:r>
              <w:rPr>
                <w:webHidden/>
              </w:rPr>
              <w:fldChar w:fldCharType="begin"/>
            </w:r>
            <w:r>
              <w:rPr>
                <w:webHidden/>
              </w:rPr>
              <w:instrText xml:space="preserve"> PAGEREF _Toc234319638 \h </w:instrText>
            </w:r>
            <w:r>
              <w:rPr>
                <w:webHidden/>
              </w:rPr>
            </w:r>
            <w:r>
              <w:rPr>
                <w:webHidden/>
              </w:rPr>
              <w:fldChar w:fldCharType="separate"/>
            </w:r>
            <w:r w:rsidR="00631AE5">
              <w:rPr>
                <w:webHidden/>
              </w:rPr>
              <w:t>39</w:t>
            </w:r>
            <w:r>
              <w:rPr>
                <w:webHidden/>
              </w:rPr>
              <w:fldChar w:fldCharType="end"/>
            </w:r>
          </w:hyperlink>
        </w:p>
        <w:p w14:paraId="0BAFF4F6" w14:textId="35B02CAE" w:rsidR="00B16E69" w:rsidRDefault="00B16E69">
          <w:pPr>
            <w:pStyle w:val="TOC1"/>
            <w:rPr>
              <w:rFonts w:asciiTheme="minorHAnsi" w:hAnsiTheme="minorHAnsi" w:cstheme="minorBidi"/>
              <w:kern w:val="2"/>
              <w:szCs w:val="24"/>
              <w:lang w:val="en-GB" w:eastAsia="en-GB"/>
              <w14:ligatures w14:val="standardContextual"/>
            </w:rPr>
          </w:pPr>
          <w:hyperlink w:anchor="_Toc234319639" w:history="1">
            <w:r w:rsidRPr="00D06A60">
              <w:rPr>
                <w:rStyle w:val="Hyperlink"/>
              </w:rPr>
              <w:t>DATA ANALYSIS</w:t>
            </w:r>
            <w:r>
              <w:rPr>
                <w:webHidden/>
              </w:rPr>
              <w:tab/>
            </w:r>
            <w:r>
              <w:rPr>
                <w:webHidden/>
              </w:rPr>
              <w:fldChar w:fldCharType="begin"/>
            </w:r>
            <w:r>
              <w:rPr>
                <w:webHidden/>
              </w:rPr>
              <w:instrText xml:space="preserve"> PAGEREF _Toc234319639 \h </w:instrText>
            </w:r>
            <w:r>
              <w:rPr>
                <w:webHidden/>
              </w:rPr>
            </w:r>
            <w:r>
              <w:rPr>
                <w:webHidden/>
              </w:rPr>
              <w:fldChar w:fldCharType="separate"/>
            </w:r>
            <w:r w:rsidR="00631AE5">
              <w:rPr>
                <w:webHidden/>
              </w:rPr>
              <w:t>39</w:t>
            </w:r>
            <w:r>
              <w:rPr>
                <w:webHidden/>
              </w:rPr>
              <w:fldChar w:fldCharType="end"/>
            </w:r>
          </w:hyperlink>
        </w:p>
        <w:p w14:paraId="78554360" w14:textId="59255F02"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40" w:history="1">
            <w:r w:rsidRPr="00D06A60">
              <w:rPr>
                <w:rStyle w:val="Hyperlink"/>
                <w:noProof/>
              </w:rPr>
              <w:t>4.1 Chapter Introduction</w:t>
            </w:r>
            <w:r>
              <w:rPr>
                <w:noProof/>
                <w:webHidden/>
              </w:rPr>
              <w:tab/>
            </w:r>
            <w:r>
              <w:rPr>
                <w:noProof/>
                <w:webHidden/>
              </w:rPr>
              <w:fldChar w:fldCharType="begin"/>
            </w:r>
            <w:r>
              <w:rPr>
                <w:noProof/>
                <w:webHidden/>
              </w:rPr>
              <w:instrText xml:space="preserve"> PAGEREF _Toc234319640 \h </w:instrText>
            </w:r>
            <w:r>
              <w:rPr>
                <w:noProof/>
                <w:webHidden/>
              </w:rPr>
            </w:r>
            <w:r>
              <w:rPr>
                <w:noProof/>
                <w:webHidden/>
              </w:rPr>
              <w:fldChar w:fldCharType="separate"/>
            </w:r>
            <w:r w:rsidR="00631AE5">
              <w:rPr>
                <w:noProof/>
                <w:webHidden/>
              </w:rPr>
              <w:t>39</w:t>
            </w:r>
            <w:r>
              <w:rPr>
                <w:noProof/>
                <w:webHidden/>
              </w:rPr>
              <w:fldChar w:fldCharType="end"/>
            </w:r>
          </w:hyperlink>
        </w:p>
        <w:p w14:paraId="7A06BB0C" w14:textId="1A50DD3E"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41" w:history="1">
            <w:r w:rsidRPr="00D06A60">
              <w:rPr>
                <w:rStyle w:val="Hyperlink"/>
                <w:noProof/>
              </w:rPr>
              <w:t>4.2 Description and Analysis of Results</w:t>
            </w:r>
            <w:r>
              <w:rPr>
                <w:noProof/>
                <w:webHidden/>
              </w:rPr>
              <w:tab/>
            </w:r>
            <w:r>
              <w:rPr>
                <w:noProof/>
                <w:webHidden/>
              </w:rPr>
              <w:fldChar w:fldCharType="begin"/>
            </w:r>
            <w:r>
              <w:rPr>
                <w:noProof/>
                <w:webHidden/>
              </w:rPr>
              <w:instrText xml:space="preserve"> PAGEREF _Toc234319641 \h </w:instrText>
            </w:r>
            <w:r>
              <w:rPr>
                <w:noProof/>
                <w:webHidden/>
              </w:rPr>
            </w:r>
            <w:r>
              <w:rPr>
                <w:noProof/>
                <w:webHidden/>
              </w:rPr>
              <w:fldChar w:fldCharType="separate"/>
            </w:r>
            <w:r w:rsidR="00631AE5">
              <w:rPr>
                <w:noProof/>
                <w:webHidden/>
              </w:rPr>
              <w:t>39</w:t>
            </w:r>
            <w:r>
              <w:rPr>
                <w:noProof/>
                <w:webHidden/>
              </w:rPr>
              <w:fldChar w:fldCharType="end"/>
            </w:r>
          </w:hyperlink>
        </w:p>
        <w:p w14:paraId="6F42C141" w14:textId="7C5DB562"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42" w:history="1">
            <w:r w:rsidRPr="00D06A60">
              <w:rPr>
                <w:rStyle w:val="Hyperlink"/>
                <w:noProof/>
              </w:rPr>
              <w:t>4.3 Key Findings and Discussion</w:t>
            </w:r>
            <w:r>
              <w:rPr>
                <w:noProof/>
                <w:webHidden/>
              </w:rPr>
              <w:tab/>
            </w:r>
            <w:r>
              <w:rPr>
                <w:noProof/>
                <w:webHidden/>
              </w:rPr>
              <w:fldChar w:fldCharType="begin"/>
            </w:r>
            <w:r>
              <w:rPr>
                <w:noProof/>
                <w:webHidden/>
              </w:rPr>
              <w:instrText xml:space="preserve"> PAGEREF _Toc234319642 \h </w:instrText>
            </w:r>
            <w:r>
              <w:rPr>
                <w:noProof/>
                <w:webHidden/>
              </w:rPr>
            </w:r>
            <w:r>
              <w:rPr>
                <w:noProof/>
                <w:webHidden/>
              </w:rPr>
              <w:fldChar w:fldCharType="separate"/>
            </w:r>
            <w:r w:rsidR="00631AE5">
              <w:rPr>
                <w:noProof/>
                <w:webHidden/>
              </w:rPr>
              <w:t>49</w:t>
            </w:r>
            <w:r>
              <w:rPr>
                <w:noProof/>
                <w:webHidden/>
              </w:rPr>
              <w:fldChar w:fldCharType="end"/>
            </w:r>
          </w:hyperlink>
        </w:p>
        <w:p w14:paraId="6EFCCB3A" w14:textId="47823941"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43" w:history="1">
            <w:r w:rsidRPr="00D06A60">
              <w:rPr>
                <w:rStyle w:val="Hyperlink"/>
                <w:noProof/>
              </w:rPr>
              <w:t>4.4 Chapter Summary</w:t>
            </w:r>
            <w:r>
              <w:rPr>
                <w:noProof/>
                <w:webHidden/>
              </w:rPr>
              <w:tab/>
            </w:r>
            <w:r>
              <w:rPr>
                <w:noProof/>
                <w:webHidden/>
              </w:rPr>
              <w:fldChar w:fldCharType="begin"/>
            </w:r>
            <w:r>
              <w:rPr>
                <w:noProof/>
                <w:webHidden/>
              </w:rPr>
              <w:instrText xml:space="preserve"> PAGEREF _Toc234319643 \h </w:instrText>
            </w:r>
            <w:r>
              <w:rPr>
                <w:noProof/>
                <w:webHidden/>
              </w:rPr>
            </w:r>
            <w:r>
              <w:rPr>
                <w:noProof/>
                <w:webHidden/>
              </w:rPr>
              <w:fldChar w:fldCharType="separate"/>
            </w:r>
            <w:r w:rsidR="00631AE5">
              <w:rPr>
                <w:noProof/>
                <w:webHidden/>
              </w:rPr>
              <w:t>52</w:t>
            </w:r>
            <w:r>
              <w:rPr>
                <w:noProof/>
                <w:webHidden/>
              </w:rPr>
              <w:fldChar w:fldCharType="end"/>
            </w:r>
          </w:hyperlink>
        </w:p>
        <w:p w14:paraId="730D7092" w14:textId="6A9EFCC2" w:rsidR="00B16E69" w:rsidRDefault="00B16E69">
          <w:pPr>
            <w:pStyle w:val="TOC1"/>
            <w:rPr>
              <w:rFonts w:asciiTheme="minorHAnsi" w:hAnsiTheme="minorHAnsi" w:cstheme="minorBidi"/>
              <w:kern w:val="2"/>
              <w:szCs w:val="24"/>
              <w:lang w:val="en-GB" w:eastAsia="en-GB"/>
              <w14:ligatures w14:val="standardContextual"/>
            </w:rPr>
          </w:pPr>
          <w:hyperlink w:anchor="_Toc234319644" w:history="1">
            <w:r w:rsidRPr="00D06A60">
              <w:rPr>
                <w:rStyle w:val="Hyperlink"/>
              </w:rPr>
              <w:t>CHAPTER 5</w:t>
            </w:r>
            <w:r>
              <w:rPr>
                <w:webHidden/>
              </w:rPr>
              <w:tab/>
            </w:r>
            <w:r>
              <w:rPr>
                <w:webHidden/>
              </w:rPr>
              <w:fldChar w:fldCharType="begin"/>
            </w:r>
            <w:r>
              <w:rPr>
                <w:webHidden/>
              </w:rPr>
              <w:instrText xml:space="preserve"> PAGEREF _Toc234319644 \h </w:instrText>
            </w:r>
            <w:r>
              <w:rPr>
                <w:webHidden/>
              </w:rPr>
            </w:r>
            <w:r>
              <w:rPr>
                <w:webHidden/>
              </w:rPr>
              <w:fldChar w:fldCharType="separate"/>
            </w:r>
            <w:r w:rsidR="00631AE5">
              <w:rPr>
                <w:webHidden/>
              </w:rPr>
              <w:t>53</w:t>
            </w:r>
            <w:r>
              <w:rPr>
                <w:webHidden/>
              </w:rPr>
              <w:fldChar w:fldCharType="end"/>
            </w:r>
          </w:hyperlink>
        </w:p>
        <w:p w14:paraId="65A47EA8" w14:textId="1BE6AA7E" w:rsidR="00B16E69" w:rsidRDefault="00B16E69">
          <w:pPr>
            <w:pStyle w:val="TOC1"/>
            <w:rPr>
              <w:rFonts w:asciiTheme="minorHAnsi" w:hAnsiTheme="minorHAnsi" w:cstheme="minorBidi"/>
              <w:kern w:val="2"/>
              <w:szCs w:val="24"/>
              <w:lang w:val="en-GB" w:eastAsia="en-GB"/>
              <w14:ligatures w14:val="standardContextual"/>
            </w:rPr>
          </w:pPr>
          <w:hyperlink w:anchor="_Toc234319645" w:history="1">
            <w:r w:rsidRPr="00D06A60">
              <w:rPr>
                <w:rStyle w:val="Hyperlink"/>
              </w:rPr>
              <w:t>CONCLUSIONS AND RECOMMENDATIONS</w:t>
            </w:r>
            <w:r>
              <w:rPr>
                <w:webHidden/>
              </w:rPr>
              <w:tab/>
            </w:r>
            <w:r>
              <w:rPr>
                <w:webHidden/>
              </w:rPr>
              <w:fldChar w:fldCharType="begin"/>
            </w:r>
            <w:r>
              <w:rPr>
                <w:webHidden/>
              </w:rPr>
              <w:instrText xml:space="preserve"> PAGEREF _Toc234319645 \h </w:instrText>
            </w:r>
            <w:r>
              <w:rPr>
                <w:webHidden/>
              </w:rPr>
            </w:r>
            <w:r>
              <w:rPr>
                <w:webHidden/>
              </w:rPr>
              <w:fldChar w:fldCharType="separate"/>
            </w:r>
            <w:r w:rsidR="00631AE5">
              <w:rPr>
                <w:webHidden/>
              </w:rPr>
              <w:t>53</w:t>
            </w:r>
            <w:r>
              <w:rPr>
                <w:webHidden/>
              </w:rPr>
              <w:fldChar w:fldCharType="end"/>
            </w:r>
          </w:hyperlink>
        </w:p>
        <w:p w14:paraId="729BE957" w14:textId="1463B967"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46" w:history="1">
            <w:r w:rsidRPr="00D06A60">
              <w:rPr>
                <w:rStyle w:val="Hyperlink"/>
                <w:noProof/>
              </w:rPr>
              <w:t>5.1 Chapter Introduction</w:t>
            </w:r>
            <w:r>
              <w:rPr>
                <w:noProof/>
                <w:webHidden/>
              </w:rPr>
              <w:tab/>
            </w:r>
            <w:r>
              <w:rPr>
                <w:noProof/>
                <w:webHidden/>
              </w:rPr>
              <w:fldChar w:fldCharType="begin"/>
            </w:r>
            <w:r>
              <w:rPr>
                <w:noProof/>
                <w:webHidden/>
              </w:rPr>
              <w:instrText xml:space="preserve"> PAGEREF _Toc234319646 \h </w:instrText>
            </w:r>
            <w:r>
              <w:rPr>
                <w:noProof/>
                <w:webHidden/>
              </w:rPr>
            </w:r>
            <w:r>
              <w:rPr>
                <w:noProof/>
                <w:webHidden/>
              </w:rPr>
              <w:fldChar w:fldCharType="separate"/>
            </w:r>
            <w:r w:rsidR="00631AE5">
              <w:rPr>
                <w:noProof/>
                <w:webHidden/>
              </w:rPr>
              <w:t>53</w:t>
            </w:r>
            <w:r>
              <w:rPr>
                <w:noProof/>
                <w:webHidden/>
              </w:rPr>
              <w:fldChar w:fldCharType="end"/>
            </w:r>
          </w:hyperlink>
        </w:p>
        <w:p w14:paraId="6253A78A" w14:textId="432D7B7A"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47" w:history="1">
            <w:r w:rsidRPr="00D06A60">
              <w:rPr>
                <w:rStyle w:val="Hyperlink"/>
                <w:noProof/>
              </w:rPr>
              <w:t>5.2 Conclusions</w:t>
            </w:r>
            <w:r>
              <w:rPr>
                <w:noProof/>
                <w:webHidden/>
              </w:rPr>
              <w:tab/>
            </w:r>
            <w:r>
              <w:rPr>
                <w:noProof/>
                <w:webHidden/>
              </w:rPr>
              <w:fldChar w:fldCharType="begin"/>
            </w:r>
            <w:r>
              <w:rPr>
                <w:noProof/>
                <w:webHidden/>
              </w:rPr>
              <w:instrText xml:space="preserve"> PAGEREF _Toc234319647 \h </w:instrText>
            </w:r>
            <w:r>
              <w:rPr>
                <w:noProof/>
                <w:webHidden/>
              </w:rPr>
            </w:r>
            <w:r>
              <w:rPr>
                <w:noProof/>
                <w:webHidden/>
              </w:rPr>
              <w:fldChar w:fldCharType="separate"/>
            </w:r>
            <w:r w:rsidR="00631AE5">
              <w:rPr>
                <w:noProof/>
                <w:webHidden/>
              </w:rPr>
              <w:t>53</w:t>
            </w:r>
            <w:r>
              <w:rPr>
                <w:noProof/>
                <w:webHidden/>
              </w:rPr>
              <w:fldChar w:fldCharType="end"/>
            </w:r>
          </w:hyperlink>
        </w:p>
        <w:p w14:paraId="3E4F3991" w14:textId="3F72680A"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48" w:history="1">
            <w:r w:rsidRPr="00D06A60">
              <w:rPr>
                <w:rStyle w:val="Hyperlink"/>
                <w:noProof/>
              </w:rPr>
              <w:t>5.3 Recommendations</w:t>
            </w:r>
            <w:r>
              <w:rPr>
                <w:noProof/>
                <w:webHidden/>
              </w:rPr>
              <w:tab/>
            </w:r>
            <w:r>
              <w:rPr>
                <w:noProof/>
                <w:webHidden/>
              </w:rPr>
              <w:fldChar w:fldCharType="begin"/>
            </w:r>
            <w:r>
              <w:rPr>
                <w:noProof/>
                <w:webHidden/>
              </w:rPr>
              <w:instrText xml:space="preserve"> PAGEREF _Toc234319648 \h </w:instrText>
            </w:r>
            <w:r>
              <w:rPr>
                <w:noProof/>
                <w:webHidden/>
              </w:rPr>
            </w:r>
            <w:r>
              <w:rPr>
                <w:noProof/>
                <w:webHidden/>
              </w:rPr>
              <w:fldChar w:fldCharType="separate"/>
            </w:r>
            <w:r w:rsidR="00631AE5">
              <w:rPr>
                <w:noProof/>
                <w:webHidden/>
              </w:rPr>
              <w:t>55</w:t>
            </w:r>
            <w:r>
              <w:rPr>
                <w:noProof/>
                <w:webHidden/>
              </w:rPr>
              <w:fldChar w:fldCharType="end"/>
            </w:r>
          </w:hyperlink>
        </w:p>
        <w:p w14:paraId="006040C1" w14:textId="27005929"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49" w:history="1">
            <w:r w:rsidRPr="00D06A60">
              <w:rPr>
                <w:rStyle w:val="Hyperlink"/>
                <w:noProof/>
              </w:rPr>
              <w:t>5.4 Implementation Considerations</w:t>
            </w:r>
            <w:r>
              <w:rPr>
                <w:noProof/>
                <w:webHidden/>
              </w:rPr>
              <w:tab/>
            </w:r>
            <w:r>
              <w:rPr>
                <w:noProof/>
                <w:webHidden/>
              </w:rPr>
              <w:fldChar w:fldCharType="begin"/>
            </w:r>
            <w:r>
              <w:rPr>
                <w:noProof/>
                <w:webHidden/>
              </w:rPr>
              <w:instrText xml:space="preserve"> PAGEREF _Toc234319649 \h </w:instrText>
            </w:r>
            <w:r>
              <w:rPr>
                <w:noProof/>
                <w:webHidden/>
              </w:rPr>
            </w:r>
            <w:r>
              <w:rPr>
                <w:noProof/>
                <w:webHidden/>
              </w:rPr>
              <w:fldChar w:fldCharType="separate"/>
            </w:r>
            <w:r w:rsidR="00631AE5">
              <w:rPr>
                <w:noProof/>
                <w:webHidden/>
              </w:rPr>
              <w:t>56</w:t>
            </w:r>
            <w:r>
              <w:rPr>
                <w:noProof/>
                <w:webHidden/>
              </w:rPr>
              <w:fldChar w:fldCharType="end"/>
            </w:r>
          </w:hyperlink>
        </w:p>
        <w:p w14:paraId="07A0CDC3" w14:textId="197DEF9F"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50" w:history="1">
            <w:r w:rsidRPr="00D06A60">
              <w:rPr>
                <w:rStyle w:val="Hyperlink"/>
                <w:noProof/>
              </w:rPr>
              <w:t>5.5 Contribution to Knowledge</w:t>
            </w:r>
            <w:r>
              <w:rPr>
                <w:noProof/>
                <w:webHidden/>
              </w:rPr>
              <w:tab/>
            </w:r>
            <w:r>
              <w:rPr>
                <w:noProof/>
                <w:webHidden/>
              </w:rPr>
              <w:fldChar w:fldCharType="begin"/>
            </w:r>
            <w:r>
              <w:rPr>
                <w:noProof/>
                <w:webHidden/>
              </w:rPr>
              <w:instrText xml:space="preserve"> PAGEREF _Toc234319650 \h </w:instrText>
            </w:r>
            <w:r>
              <w:rPr>
                <w:noProof/>
                <w:webHidden/>
              </w:rPr>
            </w:r>
            <w:r>
              <w:rPr>
                <w:noProof/>
                <w:webHidden/>
              </w:rPr>
              <w:fldChar w:fldCharType="separate"/>
            </w:r>
            <w:r w:rsidR="00631AE5">
              <w:rPr>
                <w:noProof/>
                <w:webHidden/>
              </w:rPr>
              <w:t>57</w:t>
            </w:r>
            <w:r>
              <w:rPr>
                <w:noProof/>
                <w:webHidden/>
              </w:rPr>
              <w:fldChar w:fldCharType="end"/>
            </w:r>
          </w:hyperlink>
        </w:p>
        <w:p w14:paraId="3F02544F" w14:textId="127F5698"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51" w:history="1">
            <w:r w:rsidRPr="00D06A60">
              <w:rPr>
                <w:rStyle w:val="Hyperlink"/>
                <w:noProof/>
              </w:rPr>
              <w:t>5.6 Limitations of the Study</w:t>
            </w:r>
            <w:r>
              <w:rPr>
                <w:noProof/>
                <w:webHidden/>
              </w:rPr>
              <w:tab/>
            </w:r>
            <w:r>
              <w:rPr>
                <w:noProof/>
                <w:webHidden/>
              </w:rPr>
              <w:fldChar w:fldCharType="begin"/>
            </w:r>
            <w:r>
              <w:rPr>
                <w:noProof/>
                <w:webHidden/>
              </w:rPr>
              <w:instrText xml:space="preserve"> PAGEREF _Toc234319651 \h </w:instrText>
            </w:r>
            <w:r>
              <w:rPr>
                <w:noProof/>
                <w:webHidden/>
              </w:rPr>
            </w:r>
            <w:r>
              <w:rPr>
                <w:noProof/>
                <w:webHidden/>
              </w:rPr>
              <w:fldChar w:fldCharType="separate"/>
            </w:r>
            <w:r w:rsidR="00631AE5">
              <w:rPr>
                <w:noProof/>
                <w:webHidden/>
              </w:rPr>
              <w:t>57</w:t>
            </w:r>
            <w:r>
              <w:rPr>
                <w:noProof/>
                <w:webHidden/>
              </w:rPr>
              <w:fldChar w:fldCharType="end"/>
            </w:r>
          </w:hyperlink>
        </w:p>
        <w:p w14:paraId="576931D5" w14:textId="52F6BA7C"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52" w:history="1">
            <w:r w:rsidRPr="00D06A60">
              <w:rPr>
                <w:rStyle w:val="Hyperlink"/>
                <w:noProof/>
              </w:rPr>
              <w:t>5.7 Future Research Directions</w:t>
            </w:r>
            <w:r>
              <w:rPr>
                <w:noProof/>
                <w:webHidden/>
              </w:rPr>
              <w:tab/>
            </w:r>
            <w:r>
              <w:rPr>
                <w:noProof/>
                <w:webHidden/>
              </w:rPr>
              <w:fldChar w:fldCharType="begin"/>
            </w:r>
            <w:r>
              <w:rPr>
                <w:noProof/>
                <w:webHidden/>
              </w:rPr>
              <w:instrText xml:space="preserve"> PAGEREF _Toc234319652 \h </w:instrText>
            </w:r>
            <w:r>
              <w:rPr>
                <w:noProof/>
                <w:webHidden/>
              </w:rPr>
            </w:r>
            <w:r>
              <w:rPr>
                <w:noProof/>
                <w:webHidden/>
              </w:rPr>
              <w:fldChar w:fldCharType="separate"/>
            </w:r>
            <w:r w:rsidR="00631AE5">
              <w:rPr>
                <w:noProof/>
                <w:webHidden/>
              </w:rPr>
              <w:t>58</w:t>
            </w:r>
            <w:r>
              <w:rPr>
                <w:noProof/>
                <w:webHidden/>
              </w:rPr>
              <w:fldChar w:fldCharType="end"/>
            </w:r>
          </w:hyperlink>
        </w:p>
        <w:p w14:paraId="79A98C72" w14:textId="02B903DB" w:rsidR="00B16E69" w:rsidRDefault="00B16E69">
          <w:pPr>
            <w:pStyle w:val="TOC2"/>
            <w:tabs>
              <w:tab w:val="right" w:leader="dot" w:pos="9016"/>
            </w:tabs>
            <w:rPr>
              <w:rFonts w:asciiTheme="minorHAnsi" w:hAnsiTheme="minorHAnsi" w:cstheme="minorBidi"/>
              <w:noProof/>
              <w:kern w:val="2"/>
              <w:szCs w:val="24"/>
              <w:lang w:val="en-GB" w:eastAsia="en-GB"/>
              <w14:ligatures w14:val="standardContextual"/>
            </w:rPr>
          </w:pPr>
          <w:hyperlink w:anchor="_Toc234319653" w:history="1">
            <w:r w:rsidRPr="00D06A60">
              <w:rPr>
                <w:rStyle w:val="Hyperlink"/>
                <w:noProof/>
              </w:rPr>
              <w:t>5.8 Chapter Summary</w:t>
            </w:r>
            <w:r>
              <w:rPr>
                <w:noProof/>
                <w:webHidden/>
              </w:rPr>
              <w:tab/>
            </w:r>
            <w:r>
              <w:rPr>
                <w:noProof/>
                <w:webHidden/>
              </w:rPr>
              <w:fldChar w:fldCharType="begin"/>
            </w:r>
            <w:r>
              <w:rPr>
                <w:noProof/>
                <w:webHidden/>
              </w:rPr>
              <w:instrText xml:space="preserve"> PAGEREF _Toc234319653 \h </w:instrText>
            </w:r>
            <w:r>
              <w:rPr>
                <w:noProof/>
                <w:webHidden/>
              </w:rPr>
            </w:r>
            <w:r>
              <w:rPr>
                <w:noProof/>
                <w:webHidden/>
              </w:rPr>
              <w:fldChar w:fldCharType="separate"/>
            </w:r>
            <w:r w:rsidR="00631AE5">
              <w:rPr>
                <w:noProof/>
                <w:webHidden/>
              </w:rPr>
              <w:t>58</w:t>
            </w:r>
            <w:r>
              <w:rPr>
                <w:noProof/>
                <w:webHidden/>
              </w:rPr>
              <w:fldChar w:fldCharType="end"/>
            </w:r>
          </w:hyperlink>
        </w:p>
        <w:p w14:paraId="787DE9F8" w14:textId="19DA09A4" w:rsidR="00B16E69" w:rsidRDefault="00B16E69">
          <w:pPr>
            <w:pStyle w:val="TOC1"/>
            <w:rPr>
              <w:rFonts w:asciiTheme="minorHAnsi" w:hAnsiTheme="minorHAnsi" w:cstheme="minorBidi"/>
              <w:kern w:val="2"/>
              <w:szCs w:val="24"/>
              <w:lang w:val="en-GB" w:eastAsia="en-GB"/>
              <w14:ligatures w14:val="standardContextual"/>
            </w:rPr>
          </w:pPr>
          <w:hyperlink w:anchor="_Toc234319654" w:history="1">
            <w:r w:rsidRPr="00D06A60">
              <w:rPr>
                <w:rStyle w:val="Hyperlink"/>
                <w:rFonts w:eastAsia="Times New Roman"/>
                <w:lang w:eastAsia="en-GB"/>
              </w:rPr>
              <w:t>REFERENCES</w:t>
            </w:r>
            <w:r>
              <w:rPr>
                <w:webHidden/>
              </w:rPr>
              <w:tab/>
            </w:r>
            <w:r>
              <w:rPr>
                <w:webHidden/>
              </w:rPr>
              <w:fldChar w:fldCharType="begin"/>
            </w:r>
            <w:r>
              <w:rPr>
                <w:webHidden/>
              </w:rPr>
              <w:instrText xml:space="preserve"> PAGEREF _Toc234319654 \h </w:instrText>
            </w:r>
            <w:r>
              <w:rPr>
                <w:webHidden/>
              </w:rPr>
            </w:r>
            <w:r>
              <w:rPr>
                <w:webHidden/>
              </w:rPr>
              <w:fldChar w:fldCharType="separate"/>
            </w:r>
            <w:r w:rsidR="00631AE5">
              <w:rPr>
                <w:webHidden/>
              </w:rPr>
              <w:t>60</w:t>
            </w:r>
            <w:r>
              <w:rPr>
                <w:webHidden/>
              </w:rPr>
              <w:fldChar w:fldCharType="end"/>
            </w:r>
          </w:hyperlink>
        </w:p>
        <w:p w14:paraId="1185D957" w14:textId="1FB94E1C" w:rsidR="00B16E69" w:rsidRDefault="00B16E69">
          <w:pPr>
            <w:pStyle w:val="TOC1"/>
            <w:rPr>
              <w:rFonts w:asciiTheme="minorHAnsi" w:hAnsiTheme="minorHAnsi" w:cstheme="minorBidi"/>
              <w:kern w:val="2"/>
              <w:szCs w:val="24"/>
              <w:lang w:val="en-GB" w:eastAsia="en-GB"/>
              <w14:ligatures w14:val="standardContextual"/>
            </w:rPr>
          </w:pPr>
          <w:hyperlink w:anchor="_Toc234319655" w:history="1">
            <w:r w:rsidRPr="00D06A60">
              <w:rPr>
                <w:rStyle w:val="Hyperlink"/>
                <w:rFonts w:eastAsia="Times New Roman"/>
                <w:lang w:eastAsia="en-GB"/>
              </w:rPr>
              <w:t>APPENDICES</w:t>
            </w:r>
            <w:r>
              <w:rPr>
                <w:webHidden/>
              </w:rPr>
              <w:tab/>
            </w:r>
            <w:r>
              <w:rPr>
                <w:webHidden/>
              </w:rPr>
              <w:fldChar w:fldCharType="begin"/>
            </w:r>
            <w:r>
              <w:rPr>
                <w:webHidden/>
              </w:rPr>
              <w:instrText xml:space="preserve"> PAGEREF _Toc234319655 \h </w:instrText>
            </w:r>
            <w:r>
              <w:rPr>
                <w:webHidden/>
              </w:rPr>
            </w:r>
            <w:r>
              <w:rPr>
                <w:webHidden/>
              </w:rPr>
              <w:fldChar w:fldCharType="separate"/>
            </w:r>
            <w:r w:rsidR="00631AE5">
              <w:rPr>
                <w:webHidden/>
              </w:rPr>
              <w:t>71</w:t>
            </w:r>
            <w:r>
              <w:rPr>
                <w:webHidden/>
              </w:rPr>
              <w:fldChar w:fldCharType="end"/>
            </w:r>
          </w:hyperlink>
        </w:p>
        <w:p w14:paraId="54360BA3" w14:textId="56EF9707" w:rsidR="00510A74" w:rsidRPr="00ED69CB" w:rsidRDefault="005B6FE1" w:rsidP="00510A74">
          <w:pPr>
            <w:spacing w:line="360" w:lineRule="auto"/>
            <w:jc w:val="both"/>
            <w:rPr>
              <w:b/>
              <w:bCs/>
              <w:szCs w:val="24"/>
            </w:rPr>
          </w:pPr>
          <w:r w:rsidRPr="00ED69CB">
            <w:rPr>
              <w:b/>
              <w:bCs/>
              <w:szCs w:val="24"/>
            </w:rPr>
            <w:fldChar w:fldCharType="end"/>
          </w:r>
        </w:p>
        <w:p w14:paraId="3D6BADD2" w14:textId="77777777" w:rsidR="00510A74" w:rsidRPr="00ED69CB" w:rsidRDefault="00510A74" w:rsidP="00510A74">
          <w:pPr>
            <w:spacing w:line="360" w:lineRule="auto"/>
            <w:jc w:val="both"/>
            <w:rPr>
              <w:b/>
              <w:bCs/>
              <w:szCs w:val="24"/>
            </w:rPr>
          </w:pPr>
        </w:p>
        <w:p w14:paraId="1F38680C" w14:textId="38695EEE" w:rsidR="00A459AB" w:rsidRPr="00ED69CB" w:rsidRDefault="001E3583" w:rsidP="00510A74">
          <w:pPr>
            <w:spacing w:line="360" w:lineRule="auto"/>
            <w:jc w:val="both"/>
            <w:rPr>
              <w:szCs w:val="24"/>
            </w:rPr>
          </w:pPr>
        </w:p>
      </w:sdtContent>
    </w:sdt>
    <w:p w14:paraId="54A5B414" w14:textId="77777777" w:rsidR="006918F0" w:rsidRDefault="006918F0" w:rsidP="00E129B2">
      <w:pPr>
        <w:pStyle w:val="Uni-Normal"/>
        <w:jc w:val="both"/>
        <w:rPr>
          <w:b/>
          <w:bCs/>
          <w:szCs w:val="24"/>
        </w:rPr>
      </w:pPr>
      <w:bookmarkStart w:id="5" w:name="_Toc217916754"/>
      <w:bookmarkStart w:id="6" w:name="_Toc218671369"/>
      <w:bookmarkStart w:id="7" w:name="_Toc218671371"/>
      <w:bookmarkEnd w:id="0"/>
      <w:bookmarkEnd w:id="1"/>
      <w:bookmarkEnd w:id="2"/>
      <w:bookmarkEnd w:id="3"/>
      <w:bookmarkEnd w:id="4"/>
    </w:p>
    <w:p w14:paraId="6EEE7543" w14:textId="77777777" w:rsidR="00E03DFB" w:rsidRDefault="00E03DFB" w:rsidP="00E129B2">
      <w:pPr>
        <w:pStyle w:val="Uni-Normal"/>
        <w:jc w:val="both"/>
        <w:rPr>
          <w:b/>
          <w:bCs/>
          <w:szCs w:val="24"/>
        </w:rPr>
      </w:pPr>
    </w:p>
    <w:p w14:paraId="46CE88E3" w14:textId="77777777" w:rsidR="002D7FDA" w:rsidRDefault="002D7FDA" w:rsidP="00E129B2">
      <w:pPr>
        <w:pStyle w:val="Uni-Normal"/>
        <w:jc w:val="both"/>
        <w:rPr>
          <w:b/>
          <w:bCs/>
          <w:szCs w:val="24"/>
        </w:rPr>
      </w:pPr>
    </w:p>
    <w:p w14:paraId="2392C88D" w14:textId="4A005B84" w:rsidR="002D7FDA" w:rsidRPr="00ED69CB" w:rsidRDefault="002D7FDA" w:rsidP="004C173F">
      <w:pPr>
        <w:rPr>
          <w:b/>
          <w:bCs/>
          <w:szCs w:val="24"/>
        </w:rPr>
      </w:pPr>
    </w:p>
    <w:p w14:paraId="2791F093" w14:textId="71B555B3" w:rsidR="00E129B2" w:rsidRPr="00ED69CB" w:rsidRDefault="00E129B2" w:rsidP="00B16E69">
      <w:pPr>
        <w:pStyle w:val="Uni-Normal"/>
        <w:jc w:val="both"/>
        <w:rPr>
          <w:b/>
          <w:bCs/>
          <w:szCs w:val="24"/>
        </w:rPr>
      </w:pPr>
      <w:r w:rsidRPr="00ED69CB">
        <w:rPr>
          <w:b/>
          <w:bCs/>
          <w:szCs w:val="24"/>
        </w:rPr>
        <w:lastRenderedPageBreak/>
        <w:t>LIST OF FIGURES</w:t>
      </w:r>
      <w:r w:rsidRPr="00ED69CB">
        <w:rPr>
          <w:szCs w:val="24"/>
        </w:rPr>
        <w:tab/>
      </w:r>
    </w:p>
    <w:p w14:paraId="6BC3FF50" w14:textId="688B95A9" w:rsidR="0029077C" w:rsidRDefault="00E129B2" w:rsidP="0029077C">
      <w:pPr>
        <w:pStyle w:val="TableofFigures"/>
        <w:tabs>
          <w:tab w:val="right" w:leader="dot" w:pos="9016"/>
        </w:tabs>
        <w:spacing w:line="360" w:lineRule="auto"/>
        <w:rPr>
          <w:rFonts w:asciiTheme="minorHAnsi" w:eastAsiaTheme="minorEastAsia" w:hAnsiTheme="minorHAnsi" w:cstheme="minorBidi"/>
          <w:noProof/>
          <w:kern w:val="2"/>
          <w:szCs w:val="24"/>
          <w:lang w:eastAsia="en-GB"/>
          <w14:ligatures w14:val="standardContextual"/>
        </w:rPr>
      </w:pPr>
      <w:r w:rsidRPr="00ED69CB">
        <w:rPr>
          <w:szCs w:val="24"/>
        </w:rPr>
        <w:fldChar w:fldCharType="begin"/>
      </w:r>
      <w:r w:rsidRPr="00ED69CB">
        <w:rPr>
          <w:szCs w:val="24"/>
        </w:rPr>
        <w:instrText xml:space="preserve"> TOC \f F \h \z \t "Caption" \c </w:instrText>
      </w:r>
      <w:r w:rsidRPr="00ED69CB">
        <w:rPr>
          <w:szCs w:val="24"/>
        </w:rPr>
        <w:fldChar w:fldCharType="separate"/>
      </w:r>
      <w:hyperlink w:anchor="_Toc234320774" w:history="1">
        <w:r w:rsidR="0029077C" w:rsidRPr="00B45A23">
          <w:rPr>
            <w:rStyle w:val="Hyperlink"/>
            <w:noProof/>
          </w:rPr>
          <w:t>Figure 2.1: Generations Data (NCC, 2025)</w:t>
        </w:r>
        <w:r w:rsidR="0029077C">
          <w:rPr>
            <w:noProof/>
            <w:webHidden/>
          </w:rPr>
          <w:tab/>
        </w:r>
        <w:r w:rsidR="0029077C">
          <w:rPr>
            <w:noProof/>
            <w:webHidden/>
          </w:rPr>
          <w:fldChar w:fldCharType="begin"/>
        </w:r>
        <w:r w:rsidR="0029077C">
          <w:rPr>
            <w:noProof/>
            <w:webHidden/>
          </w:rPr>
          <w:instrText xml:space="preserve"> PAGEREF _Toc234320774 \h </w:instrText>
        </w:r>
        <w:r w:rsidR="0029077C">
          <w:rPr>
            <w:noProof/>
            <w:webHidden/>
          </w:rPr>
        </w:r>
        <w:r w:rsidR="0029077C">
          <w:rPr>
            <w:noProof/>
            <w:webHidden/>
          </w:rPr>
          <w:fldChar w:fldCharType="separate"/>
        </w:r>
        <w:r w:rsidR="0029077C">
          <w:rPr>
            <w:noProof/>
            <w:webHidden/>
          </w:rPr>
          <w:t>19</w:t>
        </w:r>
        <w:r w:rsidR="0029077C">
          <w:rPr>
            <w:noProof/>
            <w:webHidden/>
          </w:rPr>
          <w:fldChar w:fldCharType="end"/>
        </w:r>
      </w:hyperlink>
    </w:p>
    <w:p w14:paraId="59267FD2" w14:textId="72B948C1" w:rsidR="0029077C" w:rsidRDefault="0029077C" w:rsidP="0029077C">
      <w:pPr>
        <w:pStyle w:val="TableofFigures"/>
        <w:tabs>
          <w:tab w:val="right" w:leader="dot" w:pos="9016"/>
        </w:tabs>
        <w:spacing w:line="360" w:lineRule="auto"/>
        <w:rPr>
          <w:rFonts w:asciiTheme="minorHAnsi" w:eastAsiaTheme="minorEastAsia" w:hAnsiTheme="minorHAnsi" w:cstheme="minorBidi"/>
          <w:noProof/>
          <w:kern w:val="2"/>
          <w:szCs w:val="24"/>
          <w:lang w:eastAsia="en-GB"/>
          <w14:ligatures w14:val="standardContextual"/>
        </w:rPr>
      </w:pPr>
      <w:hyperlink w:anchor="_Toc234320775" w:history="1">
        <w:r w:rsidRPr="00B45A23">
          <w:rPr>
            <w:rStyle w:val="Hyperlink"/>
            <w:noProof/>
          </w:rPr>
          <w:t>Figure 2.2: Early Retirement Trends (NCC, 2025)</w:t>
        </w:r>
        <w:r>
          <w:rPr>
            <w:noProof/>
            <w:webHidden/>
          </w:rPr>
          <w:tab/>
        </w:r>
        <w:r>
          <w:rPr>
            <w:noProof/>
            <w:webHidden/>
          </w:rPr>
          <w:fldChar w:fldCharType="begin"/>
        </w:r>
        <w:r>
          <w:rPr>
            <w:noProof/>
            <w:webHidden/>
          </w:rPr>
          <w:instrText xml:space="preserve"> PAGEREF _Toc234320775 \h </w:instrText>
        </w:r>
        <w:r>
          <w:rPr>
            <w:noProof/>
            <w:webHidden/>
          </w:rPr>
        </w:r>
        <w:r>
          <w:rPr>
            <w:noProof/>
            <w:webHidden/>
          </w:rPr>
          <w:fldChar w:fldCharType="separate"/>
        </w:r>
        <w:r>
          <w:rPr>
            <w:noProof/>
            <w:webHidden/>
          </w:rPr>
          <w:t>19</w:t>
        </w:r>
        <w:r>
          <w:rPr>
            <w:noProof/>
            <w:webHidden/>
          </w:rPr>
          <w:fldChar w:fldCharType="end"/>
        </w:r>
      </w:hyperlink>
    </w:p>
    <w:p w14:paraId="35027A86" w14:textId="48CC2FDC" w:rsidR="0029077C" w:rsidRDefault="0029077C" w:rsidP="0029077C">
      <w:pPr>
        <w:pStyle w:val="TableofFigures"/>
        <w:tabs>
          <w:tab w:val="right" w:leader="dot" w:pos="9016"/>
        </w:tabs>
        <w:spacing w:line="360" w:lineRule="auto"/>
        <w:rPr>
          <w:rFonts w:asciiTheme="minorHAnsi" w:eastAsiaTheme="minorEastAsia" w:hAnsiTheme="minorHAnsi" w:cstheme="minorBidi"/>
          <w:noProof/>
          <w:kern w:val="2"/>
          <w:szCs w:val="24"/>
          <w:lang w:eastAsia="en-GB"/>
          <w14:ligatures w14:val="standardContextual"/>
        </w:rPr>
      </w:pPr>
      <w:hyperlink w:anchor="_Toc234320776" w:history="1">
        <w:r w:rsidRPr="00B45A23">
          <w:rPr>
            <w:rStyle w:val="Hyperlink"/>
            <w:noProof/>
          </w:rPr>
          <w:t>Figure 3.1: Six-Phase Thematic Analysis (Adapted from Braun and Clarke, 2006)</w:t>
        </w:r>
        <w:r>
          <w:rPr>
            <w:noProof/>
            <w:webHidden/>
          </w:rPr>
          <w:tab/>
        </w:r>
        <w:r>
          <w:rPr>
            <w:noProof/>
            <w:webHidden/>
          </w:rPr>
          <w:fldChar w:fldCharType="begin"/>
        </w:r>
        <w:r>
          <w:rPr>
            <w:noProof/>
            <w:webHidden/>
          </w:rPr>
          <w:instrText xml:space="preserve"> PAGEREF _Toc234320776 \h </w:instrText>
        </w:r>
        <w:r>
          <w:rPr>
            <w:noProof/>
            <w:webHidden/>
          </w:rPr>
        </w:r>
        <w:r>
          <w:rPr>
            <w:noProof/>
            <w:webHidden/>
          </w:rPr>
          <w:fldChar w:fldCharType="separate"/>
        </w:r>
        <w:r>
          <w:rPr>
            <w:noProof/>
            <w:webHidden/>
          </w:rPr>
          <w:t>35</w:t>
        </w:r>
        <w:r>
          <w:rPr>
            <w:noProof/>
            <w:webHidden/>
          </w:rPr>
          <w:fldChar w:fldCharType="end"/>
        </w:r>
      </w:hyperlink>
    </w:p>
    <w:p w14:paraId="3B233B59" w14:textId="4259E1AC" w:rsidR="0029077C" w:rsidRDefault="0029077C" w:rsidP="0029077C">
      <w:pPr>
        <w:pStyle w:val="TableofFigures"/>
        <w:tabs>
          <w:tab w:val="right" w:leader="dot" w:pos="9016"/>
        </w:tabs>
        <w:spacing w:line="360" w:lineRule="auto"/>
        <w:rPr>
          <w:rFonts w:asciiTheme="minorHAnsi" w:eastAsiaTheme="minorEastAsia" w:hAnsiTheme="minorHAnsi" w:cstheme="minorBidi"/>
          <w:noProof/>
          <w:kern w:val="2"/>
          <w:szCs w:val="24"/>
          <w:lang w:eastAsia="en-GB"/>
          <w14:ligatures w14:val="standardContextual"/>
        </w:rPr>
      </w:pPr>
      <w:hyperlink w:anchor="_Toc234320777" w:history="1">
        <w:r w:rsidRPr="00B45A23">
          <w:rPr>
            <w:rStyle w:val="Hyperlink"/>
            <w:noProof/>
          </w:rPr>
          <w:t>Figure 4.1: Factors influencing the decision to join NCC (Question 3)</w:t>
        </w:r>
        <w:r>
          <w:rPr>
            <w:noProof/>
            <w:webHidden/>
          </w:rPr>
          <w:tab/>
        </w:r>
        <w:r>
          <w:rPr>
            <w:noProof/>
            <w:webHidden/>
          </w:rPr>
          <w:fldChar w:fldCharType="begin"/>
        </w:r>
        <w:r>
          <w:rPr>
            <w:noProof/>
            <w:webHidden/>
          </w:rPr>
          <w:instrText xml:space="preserve"> PAGEREF _Toc234320777 \h </w:instrText>
        </w:r>
        <w:r>
          <w:rPr>
            <w:noProof/>
            <w:webHidden/>
          </w:rPr>
        </w:r>
        <w:r>
          <w:rPr>
            <w:noProof/>
            <w:webHidden/>
          </w:rPr>
          <w:fldChar w:fldCharType="separate"/>
        </w:r>
        <w:r>
          <w:rPr>
            <w:noProof/>
            <w:webHidden/>
          </w:rPr>
          <w:t>39</w:t>
        </w:r>
        <w:r>
          <w:rPr>
            <w:noProof/>
            <w:webHidden/>
          </w:rPr>
          <w:fldChar w:fldCharType="end"/>
        </w:r>
      </w:hyperlink>
    </w:p>
    <w:p w14:paraId="51A8A8E9" w14:textId="06C0E8A1" w:rsidR="0029077C" w:rsidRDefault="0029077C" w:rsidP="0029077C">
      <w:pPr>
        <w:pStyle w:val="TableofFigures"/>
        <w:tabs>
          <w:tab w:val="right" w:leader="dot" w:pos="9016"/>
        </w:tabs>
        <w:spacing w:line="360" w:lineRule="auto"/>
        <w:rPr>
          <w:rFonts w:asciiTheme="minorHAnsi" w:eastAsiaTheme="minorEastAsia" w:hAnsiTheme="minorHAnsi" w:cstheme="minorBidi"/>
          <w:noProof/>
          <w:kern w:val="2"/>
          <w:szCs w:val="24"/>
          <w:lang w:eastAsia="en-GB"/>
          <w14:ligatures w14:val="standardContextual"/>
        </w:rPr>
      </w:pPr>
      <w:hyperlink w:anchor="_Toc234320778" w:history="1">
        <w:r w:rsidRPr="00B45A23">
          <w:rPr>
            <w:rStyle w:val="Hyperlink"/>
            <w:noProof/>
          </w:rPr>
          <w:t>Figure 4.2: Importance of meaningful work (Question 5)</w:t>
        </w:r>
        <w:r>
          <w:rPr>
            <w:noProof/>
            <w:webHidden/>
          </w:rPr>
          <w:tab/>
        </w:r>
        <w:r>
          <w:rPr>
            <w:noProof/>
            <w:webHidden/>
          </w:rPr>
          <w:fldChar w:fldCharType="begin"/>
        </w:r>
        <w:r>
          <w:rPr>
            <w:noProof/>
            <w:webHidden/>
          </w:rPr>
          <w:instrText xml:space="preserve"> PAGEREF _Toc234320778 \h </w:instrText>
        </w:r>
        <w:r>
          <w:rPr>
            <w:noProof/>
            <w:webHidden/>
          </w:rPr>
        </w:r>
        <w:r>
          <w:rPr>
            <w:noProof/>
            <w:webHidden/>
          </w:rPr>
          <w:fldChar w:fldCharType="separate"/>
        </w:r>
        <w:r>
          <w:rPr>
            <w:noProof/>
            <w:webHidden/>
          </w:rPr>
          <w:t>40</w:t>
        </w:r>
        <w:r>
          <w:rPr>
            <w:noProof/>
            <w:webHidden/>
          </w:rPr>
          <w:fldChar w:fldCharType="end"/>
        </w:r>
      </w:hyperlink>
    </w:p>
    <w:p w14:paraId="4E64DBD8" w14:textId="409139AB" w:rsidR="0029077C" w:rsidRDefault="0029077C" w:rsidP="0029077C">
      <w:pPr>
        <w:pStyle w:val="TableofFigures"/>
        <w:tabs>
          <w:tab w:val="right" w:leader="dot" w:pos="9016"/>
        </w:tabs>
        <w:spacing w:line="360" w:lineRule="auto"/>
        <w:rPr>
          <w:rFonts w:asciiTheme="minorHAnsi" w:eastAsiaTheme="minorEastAsia" w:hAnsiTheme="minorHAnsi" w:cstheme="minorBidi"/>
          <w:noProof/>
          <w:kern w:val="2"/>
          <w:szCs w:val="24"/>
          <w:lang w:eastAsia="en-GB"/>
          <w14:ligatures w14:val="standardContextual"/>
        </w:rPr>
      </w:pPr>
      <w:hyperlink w:anchor="_Toc234320779" w:history="1">
        <w:r w:rsidRPr="00B45A23">
          <w:rPr>
            <w:rStyle w:val="Hyperlink"/>
            <w:noProof/>
          </w:rPr>
          <w:t>Figure 4.3: Expected timeframe for career progression (Question 10)</w:t>
        </w:r>
        <w:r>
          <w:rPr>
            <w:noProof/>
            <w:webHidden/>
          </w:rPr>
          <w:tab/>
        </w:r>
        <w:r>
          <w:rPr>
            <w:noProof/>
            <w:webHidden/>
          </w:rPr>
          <w:fldChar w:fldCharType="begin"/>
        </w:r>
        <w:r>
          <w:rPr>
            <w:noProof/>
            <w:webHidden/>
          </w:rPr>
          <w:instrText xml:space="preserve"> PAGEREF _Toc234320779 \h </w:instrText>
        </w:r>
        <w:r>
          <w:rPr>
            <w:noProof/>
            <w:webHidden/>
          </w:rPr>
        </w:r>
        <w:r>
          <w:rPr>
            <w:noProof/>
            <w:webHidden/>
          </w:rPr>
          <w:fldChar w:fldCharType="separate"/>
        </w:r>
        <w:r>
          <w:rPr>
            <w:noProof/>
            <w:webHidden/>
          </w:rPr>
          <w:t>41</w:t>
        </w:r>
        <w:r>
          <w:rPr>
            <w:noProof/>
            <w:webHidden/>
          </w:rPr>
          <w:fldChar w:fldCharType="end"/>
        </w:r>
      </w:hyperlink>
    </w:p>
    <w:p w14:paraId="0E52C836" w14:textId="1EA6C042" w:rsidR="0029077C" w:rsidRDefault="0029077C" w:rsidP="0029077C">
      <w:pPr>
        <w:pStyle w:val="TableofFigures"/>
        <w:tabs>
          <w:tab w:val="right" w:leader="dot" w:pos="9016"/>
        </w:tabs>
        <w:spacing w:line="360" w:lineRule="auto"/>
        <w:rPr>
          <w:rFonts w:asciiTheme="minorHAnsi" w:eastAsiaTheme="minorEastAsia" w:hAnsiTheme="minorHAnsi" w:cstheme="minorBidi"/>
          <w:noProof/>
          <w:kern w:val="2"/>
          <w:szCs w:val="24"/>
          <w:lang w:eastAsia="en-GB"/>
          <w14:ligatures w14:val="standardContextual"/>
        </w:rPr>
      </w:pPr>
      <w:hyperlink w:anchor="_Toc234320780" w:history="1">
        <w:r w:rsidRPr="00B45A23">
          <w:rPr>
            <w:rStyle w:val="Hyperlink"/>
            <w:noProof/>
          </w:rPr>
          <w:t>Figure 4.4: Factors influencing retention (Question 9)</w:t>
        </w:r>
        <w:r>
          <w:rPr>
            <w:noProof/>
            <w:webHidden/>
          </w:rPr>
          <w:tab/>
        </w:r>
        <w:r>
          <w:rPr>
            <w:noProof/>
            <w:webHidden/>
          </w:rPr>
          <w:fldChar w:fldCharType="begin"/>
        </w:r>
        <w:r>
          <w:rPr>
            <w:noProof/>
            <w:webHidden/>
          </w:rPr>
          <w:instrText xml:space="preserve"> PAGEREF _Toc234320780 \h </w:instrText>
        </w:r>
        <w:r>
          <w:rPr>
            <w:noProof/>
            <w:webHidden/>
          </w:rPr>
        </w:r>
        <w:r>
          <w:rPr>
            <w:noProof/>
            <w:webHidden/>
          </w:rPr>
          <w:fldChar w:fldCharType="separate"/>
        </w:r>
        <w:r>
          <w:rPr>
            <w:noProof/>
            <w:webHidden/>
          </w:rPr>
          <w:t>43</w:t>
        </w:r>
        <w:r>
          <w:rPr>
            <w:noProof/>
            <w:webHidden/>
          </w:rPr>
          <w:fldChar w:fldCharType="end"/>
        </w:r>
      </w:hyperlink>
    </w:p>
    <w:p w14:paraId="18D771D2" w14:textId="397DEDE8" w:rsidR="0029077C" w:rsidRDefault="0029077C" w:rsidP="0029077C">
      <w:pPr>
        <w:pStyle w:val="TableofFigures"/>
        <w:tabs>
          <w:tab w:val="right" w:leader="dot" w:pos="9016"/>
        </w:tabs>
        <w:spacing w:line="360" w:lineRule="auto"/>
        <w:rPr>
          <w:rFonts w:asciiTheme="minorHAnsi" w:eastAsiaTheme="minorEastAsia" w:hAnsiTheme="minorHAnsi" w:cstheme="minorBidi"/>
          <w:noProof/>
          <w:kern w:val="2"/>
          <w:szCs w:val="24"/>
          <w:lang w:eastAsia="en-GB"/>
          <w14:ligatures w14:val="standardContextual"/>
        </w:rPr>
      </w:pPr>
      <w:hyperlink w:anchor="_Toc234320781" w:history="1">
        <w:r w:rsidRPr="00B45A23">
          <w:rPr>
            <w:rStyle w:val="Hyperlink"/>
            <w:noProof/>
          </w:rPr>
          <w:t>Figure 4.5: Perceived Gen Z interest in local government careers (Question 12)</w:t>
        </w:r>
        <w:r>
          <w:rPr>
            <w:noProof/>
            <w:webHidden/>
          </w:rPr>
          <w:tab/>
        </w:r>
        <w:r>
          <w:rPr>
            <w:noProof/>
            <w:webHidden/>
          </w:rPr>
          <w:fldChar w:fldCharType="begin"/>
        </w:r>
        <w:r>
          <w:rPr>
            <w:noProof/>
            <w:webHidden/>
          </w:rPr>
          <w:instrText xml:space="preserve"> PAGEREF _Toc234320781 \h </w:instrText>
        </w:r>
        <w:r>
          <w:rPr>
            <w:noProof/>
            <w:webHidden/>
          </w:rPr>
        </w:r>
        <w:r>
          <w:rPr>
            <w:noProof/>
            <w:webHidden/>
          </w:rPr>
          <w:fldChar w:fldCharType="separate"/>
        </w:r>
        <w:r>
          <w:rPr>
            <w:noProof/>
            <w:webHidden/>
          </w:rPr>
          <w:t>44</w:t>
        </w:r>
        <w:r>
          <w:rPr>
            <w:noProof/>
            <w:webHidden/>
          </w:rPr>
          <w:fldChar w:fldCharType="end"/>
        </w:r>
      </w:hyperlink>
    </w:p>
    <w:p w14:paraId="1C365397" w14:textId="7D08A227" w:rsidR="0029077C" w:rsidRDefault="0029077C" w:rsidP="0029077C">
      <w:pPr>
        <w:pStyle w:val="TableofFigures"/>
        <w:tabs>
          <w:tab w:val="right" w:leader="dot" w:pos="9016"/>
        </w:tabs>
        <w:spacing w:line="360" w:lineRule="auto"/>
        <w:rPr>
          <w:rFonts w:asciiTheme="minorHAnsi" w:eastAsiaTheme="minorEastAsia" w:hAnsiTheme="minorHAnsi" w:cstheme="minorBidi"/>
          <w:noProof/>
          <w:kern w:val="2"/>
          <w:szCs w:val="24"/>
          <w:lang w:eastAsia="en-GB"/>
          <w14:ligatures w14:val="standardContextual"/>
        </w:rPr>
      </w:pPr>
      <w:hyperlink w:anchor="_Toc234320782" w:history="1">
        <w:r w:rsidRPr="00B45A23">
          <w:rPr>
            <w:rStyle w:val="Hyperlink"/>
            <w:noProof/>
          </w:rPr>
          <w:t>Figure 4.6: Familiarity with the Talent Framework (Question 6)</w:t>
        </w:r>
        <w:r>
          <w:rPr>
            <w:noProof/>
            <w:webHidden/>
          </w:rPr>
          <w:tab/>
        </w:r>
        <w:r>
          <w:rPr>
            <w:noProof/>
            <w:webHidden/>
          </w:rPr>
          <w:fldChar w:fldCharType="begin"/>
        </w:r>
        <w:r>
          <w:rPr>
            <w:noProof/>
            <w:webHidden/>
          </w:rPr>
          <w:instrText xml:space="preserve"> PAGEREF _Toc234320782 \h </w:instrText>
        </w:r>
        <w:r>
          <w:rPr>
            <w:noProof/>
            <w:webHidden/>
          </w:rPr>
        </w:r>
        <w:r>
          <w:rPr>
            <w:noProof/>
            <w:webHidden/>
          </w:rPr>
          <w:fldChar w:fldCharType="separate"/>
        </w:r>
        <w:r>
          <w:rPr>
            <w:noProof/>
            <w:webHidden/>
          </w:rPr>
          <w:t>47</w:t>
        </w:r>
        <w:r>
          <w:rPr>
            <w:noProof/>
            <w:webHidden/>
          </w:rPr>
          <w:fldChar w:fldCharType="end"/>
        </w:r>
      </w:hyperlink>
    </w:p>
    <w:p w14:paraId="6B319A93" w14:textId="25B84005" w:rsidR="0029077C" w:rsidRDefault="0029077C" w:rsidP="0029077C">
      <w:pPr>
        <w:pStyle w:val="TableofFigures"/>
        <w:tabs>
          <w:tab w:val="right" w:leader="dot" w:pos="9016"/>
        </w:tabs>
        <w:spacing w:line="360" w:lineRule="auto"/>
        <w:rPr>
          <w:rFonts w:asciiTheme="minorHAnsi" w:eastAsiaTheme="minorEastAsia" w:hAnsiTheme="minorHAnsi" w:cstheme="minorBidi"/>
          <w:noProof/>
          <w:kern w:val="2"/>
          <w:szCs w:val="24"/>
          <w:lang w:eastAsia="en-GB"/>
          <w14:ligatures w14:val="standardContextual"/>
        </w:rPr>
      </w:pPr>
      <w:hyperlink w:anchor="_Toc234320783" w:history="1">
        <w:r w:rsidRPr="00B45A23">
          <w:rPr>
            <w:rStyle w:val="Hyperlink"/>
            <w:noProof/>
          </w:rPr>
          <w:t>Figure 4.7: Net Promoter Score for TM approach (Question 15)</w:t>
        </w:r>
        <w:r>
          <w:rPr>
            <w:noProof/>
            <w:webHidden/>
          </w:rPr>
          <w:tab/>
        </w:r>
        <w:r>
          <w:rPr>
            <w:noProof/>
            <w:webHidden/>
          </w:rPr>
          <w:fldChar w:fldCharType="begin"/>
        </w:r>
        <w:r>
          <w:rPr>
            <w:noProof/>
            <w:webHidden/>
          </w:rPr>
          <w:instrText xml:space="preserve"> PAGEREF _Toc234320783 \h </w:instrText>
        </w:r>
        <w:r>
          <w:rPr>
            <w:noProof/>
            <w:webHidden/>
          </w:rPr>
        </w:r>
        <w:r>
          <w:rPr>
            <w:noProof/>
            <w:webHidden/>
          </w:rPr>
          <w:fldChar w:fldCharType="separate"/>
        </w:r>
        <w:r>
          <w:rPr>
            <w:noProof/>
            <w:webHidden/>
          </w:rPr>
          <w:t>47</w:t>
        </w:r>
        <w:r>
          <w:rPr>
            <w:noProof/>
            <w:webHidden/>
          </w:rPr>
          <w:fldChar w:fldCharType="end"/>
        </w:r>
      </w:hyperlink>
    </w:p>
    <w:p w14:paraId="6903E79F" w14:textId="56808D2E" w:rsidR="0029077C" w:rsidRDefault="0029077C" w:rsidP="0029077C">
      <w:pPr>
        <w:pStyle w:val="TableofFigures"/>
        <w:tabs>
          <w:tab w:val="right" w:leader="dot" w:pos="9016"/>
        </w:tabs>
        <w:spacing w:line="360" w:lineRule="auto"/>
        <w:rPr>
          <w:rFonts w:asciiTheme="minorHAnsi" w:eastAsiaTheme="minorEastAsia" w:hAnsiTheme="minorHAnsi" w:cstheme="minorBidi"/>
          <w:noProof/>
          <w:kern w:val="2"/>
          <w:szCs w:val="24"/>
          <w:lang w:eastAsia="en-GB"/>
          <w14:ligatures w14:val="standardContextual"/>
        </w:rPr>
      </w:pPr>
      <w:hyperlink w:anchor="_Toc234320784" w:history="1">
        <w:r w:rsidRPr="00B45A23">
          <w:rPr>
            <w:rStyle w:val="Hyperlink"/>
            <w:noProof/>
          </w:rPr>
          <w:t>Figure 4.8: Perceptions of NCC as an employer (Question 13)</w:t>
        </w:r>
        <w:r>
          <w:rPr>
            <w:noProof/>
            <w:webHidden/>
          </w:rPr>
          <w:tab/>
        </w:r>
        <w:r>
          <w:rPr>
            <w:noProof/>
            <w:webHidden/>
          </w:rPr>
          <w:fldChar w:fldCharType="begin"/>
        </w:r>
        <w:r>
          <w:rPr>
            <w:noProof/>
            <w:webHidden/>
          </w:rPr>
          <w:instrText xml:space="preserve"> PAGEREF _Toc234320784 \h </w:instrText>
        </w:r>
        <w:r>
          <w:rPr>
            <w:noProof/>
            <w:webHidden/>
          </w:rPr>
        </w:r>
        <w:r>
          <w:rPr>
            <w:noProof/>
            <w:webHidden/>
          </w:rPr>
          <w:fldChar w:fldCharType="separate"/>
        </w:r>
        <w:r>
          <w:rPr>
            <w:noProof/>
            <w:webHidden/>
          </w:rPr>
          <w:t>48</w:t>
        </w:r>
        <w:r>
          <w:rPr>
            <w:noProof/>
            <w:webHidden/>
          </w:rPr>
          <w:fldChar w:fldCharType="end"/>
        </w:r>
      </w:hyperlink>
    </w:p>
    <w:p w14:paraId="46F752DE" w14:textId="55D9A018" w:rsidR="00E129B2" w:rsidRPr="00ED69CB" w:rsidRDefault="00E129B2" w:rsidP="00B16E69">
      <w:pPr>
        <w:spacing w:line="360" w:lineRule="auto"/>
        <w:rPr>
          <w:szCs w:val="24"/>
        </w:rPr>
      </w:pPr>
      <w:r w:rsidRPr="00ED69CB">
        <w:rPr>
          <w:szCs w:val="24"/>
        </w:rPr>
        <w:fldChar w:fldCharType="end"/>
      </w:r>
    </w:p>
    <w:p w14:paraId="6A7A3064" w14:textId="77777777" w:rsidR="005B6FE1" w:rsidRPr="00ED69CB" w:rsidRDefault="005B6FE1" w:rsidP="002D7FDA">
      <w:pPr>
        <w:spacing w:line="360" w:lineRule="auto"/>
        <w:rPr>
          <w:szCs w:val="24"/>
        </w:rPr>
      </w:pPr>
    </w:p>
    <w:p w14:paraId="77FB8CFC" w14:textId="77777777" w:rsidR="006A5985" w:rsidRPr="00ED69CB" w:rsidRDefault="006A5985" w:rsidP="002D7FDA">
      <w:pPr>
        <w:spacing w:line="360" w:lineRule="auto"/>
        <w:rPr>
          <w:szCs w:val="24"/>
        </w:rPr>
      </w:pPr>
    </w:p>
    <w:p w14:paraId="67CD9BDE" w14:textId="77777777" w:rsidR="006A5985" w:rsidRPr="00ED69CB" w:rsidRDefault="006A5985" w:rsidP="00A459AB">
      <w:pPr>
        <w:rPr>
          <w:szCs w:val="24"/>
        </w:rPr>
      </w:pPr>
    </w:p>
    <w:p w14:paraId="0572978C" w14:textId="77777777" w:rsidR="00A459AB" w:rsidRPr="00ED69CB" w:rsidRDefault="00A459AB" w:rsidP="00A459AB">
      <w:pPr>
        <w:rPr>
          <w:szCs w:val="24"/>
        </w:rPr>
      </w:pPr>
    </w:p>
    <w:p w14:paraId="7D10F745" w14:textId="77777777" w:rsidR="00A459AB" w:rsidRPr="00ED69CB" w:rsidRDefault="00A459AB" w:rsidP="00A459AB">
      <w:pPr>
        <w:rPr>
          <w:szCs w:val="24"/>
        </w:rPr>
      </w:pPr>
    </w:p>
    <w:p w14:paraId="678DFC66" w14:textId="77777777" w:rsidR="00A459AB" w:rsidRPr="00ED69CB" w:rsidRDefault="00A459AB" w:rsidP="00A459AB">
      <w:pPr>
        <w:rPr>
          <w:szCs w:val="24"/>
        </w:rPr>
      </w:pPr>
    </w:p>
    <w:p w14:paraId="4BC5C1A4" w14:textId="77777777" w:rsidR="00A459AB" w:rsidRDefault="00A459AB" w:rsidP="00A459AB">
      <w:pPr>
        <w:rPr>
          <w:szCs w:val="24"/>
        </w:rPr>
      </w:pPr>
    </w:p>
    <w:p w14:paraId="3FEF8F00" w14:textId="77777777" w:rsidR="002D7FDA" w:rsidRDefault="002D7FDA" w:rsidP="00A459AB">
      <w:pPr>
        <w:rPr>
          <w:szCs w:val="24"/>
        </w:rPr>
      </w:pPr>
    </w:p>
    <w:p w14:paraId="150C048F" w14:textId="77777777" w:rsidR="002D7FDA" w:rsidRPr="00ED69CB" w:rsidRDefault="002D7FDA" w:rsidP="00A459AB">
      <w:pPr>
        <w:rPr>
          <w:szCs w:val="24"/>
        </w:rPr>
      </w:pPr>
    </w:p>
    <w:p w14:paraId="035454A8" w14:textId="77777777" w:rsidR="00A459AB" w:rsidRPr="00ED69CB" w:rsidRDefault="00A459AB" w:rsidP="00A459AB">
      <w:pPr>
        <w:rPr>
          <w:szCs w:val="24"/>
        </w:rPr>
      </w:pPr>
    </w:p>
    <w:p w14:paraId="24E083EF" w14:textId="77777777" w:rsidR="00A459AB" w:rsidRPr="00ED69CB" w:rsidRDefault="00A459AB" w:rsidP="00A459AB">
      <w:pPr>
        <w:rPr>
          <w:szCs w:val="24"/>
        </w:rPr>
      </w:pPr>
    </w:p>
    <w:p w14:paraId="245367DC" w14:textId="77777777" w:rsidR="00A459AB" w:rsidRPr="00ED69CB" w:rsidRDefault="00A459AB" w:rsidP="00A459AB">
      <w:pPr>
        <w:rPr>
          <w:szCs w:val="24"/>
        </w:rPr>
      </w:pPr>
    </w:p>
    <w:p w14:paraId="02D5EDEA" w14:textId="327B16CB" w:rsidR="002D7FDA" w:rsidRDefault="00E40CCA" w:rsidP="002D7FDA">
      <w:r>
        <w:br w:type="page"/>
      </w:r>
    </w:p>
    <w:p w14:paraId="281B7D3B" w14:textId="5AB02956" w:rsidR="00A74165" w:rsidRPr="00ED69CB" w:rsidRDefault="00A74165" w:rsidP="009D6FE0">
      <w:pPr>
        <w:pStyle w:val="1ChapterHeading"/>
        <w:spacing w:line="360" w:lineRule="auto"/>
        <w:rPr>
          <w:szCs w:val="24"/>
        </w:rPr>
      </w:pPr>
      <w:bookmarkStart w:id="8" w:name="_Toc234319602"/>
      <w:r w:rsidRPr="00ED69CB">
        <w:rPr>
          <w:szCs w:val="24"/>
        </w:rPr>
        <w:lastRenderedPageBreak/>
        <w:t>CHAPTER 1</w:t>
      </w:r>
      <w:bookmarkEnd w:id="5"/>
      <w:bookmarkEnd w:id="6"/>
      <w:bookmarkEnd w:id="8"/>
    </w:p>
    <w:p w14:paraId="196C1A61" w14:textId="1E04A6BC" w:rsidR="00A74165" w:rsidRPr="00ED69CB" w:rsidRDefault="00A74165" w:rsidP="002D7FDA">
      <w:pPr>
        <w:pStyle w:val="1ChapterHeading"/>
        <w:spacing w:line="360" w:lineRule="auto"/>
        <w:rPr>
          <w:szCs w:val="24"/>
        </w:rPr>
      </w:pPr>
      <w:bookmarkStart w:id="9" w:name="_Toc217916755"/>
      <w:bookmarkStart w:id="10" w:name="_Toc218671370"/>
      <w:bookmarkStart w:id="11" w:name="_Toc234319603"/>
      <w:r w:rsidRPr="00ED69CB">
        <w:rPr>
          <w:szCs w:val="24"/>
        </w:rPr>
        <w:t>INTRODUCTION</w:t>
      </w:r>
      <w:bookmarkEnd w:id="9"/>
      <w:bookmarkEnd w:id="10"/>
      <w:bookmarkEnd w:id="11"/>
    </w:p>
    <w:p w14:paraId="5816E208" w14:textId="2F939E6D" w:rsidR="00A74165" w:rsidRPr="00ED69CB" w:rsidRDefault="00A74165" w:rsidP="004B4162">
      <w:pPr>
        <w:pStyle w:val="2Sectionheading"/>
        <w:spacing w:line="360" w:lineRule="auto"/>
        <w:jc w:val="both"/>
        <w:rPr>
          <w:rFonts w:cs="Times New Roman"/>
          <w:szCs w:val="24"/>
        </w:rPr>
      </w:pPr>
      <w:bookmarkStart w:id="12" w:name="_Toc234319604"/>
      <w:r w:rsidRPr="00ED69CB">
        <w:rPr>
          <w:rFonts w:cs="Times New Roman"/>
          <w:szCs w:val="24"/>
        </w:rPr>
        <w:t xml:space="preserve">1.1 Chapter </w:t>
      </w:r>
      <w:bookmarkEnd w:id="7"/>
      <w:r w:rsidRPr="00ED69CB">
        <w:rPr>
          <w:rFonts w:cs="Times New Roman"/>
          <w:szCs w:val="24"/>
        </w:rPr>
        <w:t>Introduction</w:t>
      </w:r>
      <w:bookmarkEnd w:id="12"/>
      <w:r w:rsidRPr="00ED69CB">
        <w:rPr>
          <w:rFonts w:cs="Times New Roman"/>
          <w:szCs w:val="24"/>
        </w:rPr>
        <w:t xml:space="preserve"> </w:t>
      </w:r>
    </w:p>
    <w:p w14:paraId="2CC2D108" w14:textId="51DAC403" w:rsidR="004874A7" w:rsidRPr="00ED69CB" w:rsidRDefault="004874A7" w:rsidP="004B4162">
      <w:pPr>
        <w:spacing w:line="360" w:lineRule="auto"/>
        <w:jc w:val="both"/>
        <w:rPr>
          <w:szCs w:val="24"/>
        </w:rPr>
      </w:pPr>
      <w:bookmarkStart w:id="13" w:name="_Toc217916759"/>
      <w:bookmarkStart w:id="14" w:name="_Toc218671374"/>
      <w:bookmarkStart w:id="15" w:name="_Hlk207289140"/>
      <w:r w:rsidRPr="00ED69CB">
        <w:rPr>
          <w:szCs w:val="24"/>
        </w:rPr>
        <w:t xml:space="preserve">This chapter introduces the dissertation and outlines the context in which the study is situated. It examines workforce challenges facing UK local government, including an ageing workforce and difficulties attracting and retaining younger employees. </w:t>
      </w:r>
      <w:r w:rsidR="00437047" w:rsidRPr="00437047">
        <w:rPr>
          <w:szCs w:val="24"/>
        </w:rPr>
        <w:t xml:space="preserve">Within this context, Gen Z represents a critical group for workforce sustainability, yet there is limited understanding of how </w:t>
      </w:r>
      <w:r w:rsidR="009F304D">
        <w:rPr>
          <w:szCs w:val="24"/>
        </w:rPr>
        <w:t>Talent Management (TM)</w:t>
      </w:r>
      <w:r w:rsidR="00437047" w:rsidRPr="00437047">
        <w:rPr>
          <w:szCs w:val="24"/>
        </w:rPr>
        <w:t xml:space="preserve"> aligns with their expectations in the public sector.</w:t>
      </w:r>
      <w:r w:rsidRPr="00ED69CB">
        <w:rPr>
          <w:szCs w:val="24"/>
        </w:rPr>
        <w:t xml:space="preserve"> This chapter outlines the research problem, </w:t>
      </w:r>
      <w:r w:rsidR="00E71136" w:rsidRPr="00ED69CB">
        <w:rPr>
          <w:szCs w:val="24"/>
        </w:rPr>
        <w:t>aims</w:t>
      </w:r>
      <w:r w:rsidR="00D4542F">
        <w:rPr>
          <w:szCs w:val="24"/>
        </w:rPr>
        <w:t xml:space="preserve"> </w:t>
      </w:r>
      <w:r w:rsidR="00413EDB" w:rsidRPr="00ED69CB">
        <w:rPr>
          <w:szCs w:val="24"/>
        </w:rPr>
        <w:t>and</w:t>
      </w:r>
      <w:r w:rsidRPr="00ED69CB">
        <w:rPr>
          <w:szCs w:val="24"/>
        </w:rPr>
        <w:t xml:space="preserve"> </w:t>
      </w:r>
      <w:r w:rsidR="00413EDB" w:rsidRPr="00ED69CB">
        <w:rPr>
          <w:szCs w:val="24"/>
        </w:rPr>
        <w:t>questions and</w:t>
      </w:r>
      <w:r w:rsidRPr="00ED69CB">
        <w:rPr>
          <w:szCs w:val="24"/>
        </w:rPr>
        <w:t xml:space="preserve"> introduces the structure of the dissertation.</w:t>
      </w:r>
    </w:p>
    <w:p w14:paraId="30D8CF91" w14:textId="77777777" w:rsidR="00A74165" w:rsidRPr="00ED69CB" w:rsidRDefault="00A74165" w:rsidP="004B4162">
      <w:pPr>
        <w:pStyle w:val="2Sectionheading"/>
        <w:spacing w:line="360" w:lineRule="auto"/>
        <w:jc w:val="both"/>
        <w:rPr>
          <w:rFonts w:cs="Times New Roman"/>
          <w:szCs w:val="24"/>
        </w:rPr>
      </w:pPr>
      <w:bookmarkStart w:id="16" w:name="_Toc234319605"/>
      <w:r w:rsidRPr="00ED69CB">
        <w:rPr>
          <w:rFonts w:cs="Times New Roman"/>
          <w:szCs w:val="24"/>
        </w:rPr>
        <w:t>1.2 Background and Context</w:t>
      </w:r>
      <w:bookmarkEnd w:id="16"/>
    </w:p>
    <w:p w14:paraId="089FCDDA" w14:textId="4BC443EB" w:rsidR="00A74165" w:rsidRPr="00ED69CB" w:rsidRDefault="00801CC1" w:rsidP="004B4162">
      <w:pPr>
        <w:pStyle w:val="Uni-Normal"/>
        <w:jc w:val="both"/>
        <w:rPr>
          <w:szCs w:val="24"/>
        </w:rPr>
      </w:pPr>
      <w:r w:rsidRPr="00801CC1">
        <w:rPr>
          <w:szCs w:val="24"/>
        </w:rPr>
        <w:t>Local government organisations across the UK are under increasing pressure to sustain workforce capacity in the face of financial constraints, rising service demand and the need to modernise public services (Local Government Association, n.d.).</w:t>
      </w:r>
      <w:r w:rsidR="002341B1">
        <w:rPr>
          <w:szCs w:val="24"/>
        </w:rPr>
        <w:t xml:space="preserve"> </w:t>
      </w:r>
      <w:r w:rsidR="00A74165" w:rsidRPr="00ED69CB">
        <w:rPr>
          <w:szCs w:val="24"/>
        </w:rPr>
        <w:t>These pressures are occurring alongside significant demographic change within the public</w:t>
      </w:r>
      <w:r w:rsidR="00B609DB" w:rsidRPr="00ED69CB">
        <w:rPr>
          <w:szCs w:val="24"/>
        </w:rPr>
        <w:t xml:space="preserve"> </w:t>
      </w:r>
      <w:r w:rsidR="00A74165" w:rsidRPr="00ED69CB">
        <w:rPr>
          <w:szCs w:val="24"/>
        </w:rPr>
        <w:t xml:space="preserve">sector workforce, </w:t>
      </w:r>
      <w:r w:rsidR="00A23849">
        <w:rPr>
          <w:szCs w:val="24"/>
        </w:rPr>
        <w:t xml:space="preserve">as </w:t>
      </w:r>
      <w:r w:rsidR="00A74165" w:rsidRPr="00ED69CB">
        <w:rPr>
          <w:szCs w:val="24"/>
        </w:rPr>
        <w:t xml:space="preserve">Baby Boomers, Generation X, </w:t>
      </w:r>
      <w:r w:rsidR="00413EDB" w:rsidRPr="00ED69CB">
        <w:rPr>
          <w:szCs w:val="24"/>
        </w:rPr>
        <w:t>Millennials and</w:t>
      </w:r>
      <w:r w:rsidR="00A74165" w:rsidRPr="00ED69CB">
        <w:rPr>
          <w:szCs w:val="24"/>
        </w:rPr>
        <w:t xml:space="preserve"> </w:t>
      </w:r>
      <w:r w:rsidR="0017563B" w:rsidRPr="00ED69CB">
        <w:rPr>
          <w:szCs w:val="24"/>
        </w:rPr>
        <w:t>Gen Z</w:t>
      </w:r>
      <w:r w:rsidR="00A74165" w:rsidRPr="00ED69CB">
        <w:rPr>
          <w:szCs w:val="24"/>
        </w:rPr>
        <w:t xml:space="preserve"> </w:t>
      </w:r>
      <w:r w:rsidR="0069777F">
        <w:rPr>
          <w:szCs w:val="24"/>
        </w:rPr>
        <w:t xml:space="preserve">are </w:t>
      </w:r>
      <w:r w:rsidR="00A74165" w:rsidRPr="00ED69CB">
        <w:rPr>
          <w:szCs w:val="24"/>
        </w:rPr>
        <w:t xml:space="preserve">now working alongside one another within the same organisations (Marsh McLennan Agency, </w:t>
      </w:r>
      <w:r w:rsidR="00F43919" w:rsidRPr="00ED69CB">
        <w:rPr>
          <w:szCs w:val="24"/>
        </w:rPr>
        <w:t>2024)</w:t>
      </w:r>
      <w:r w:rsidR="006D0C61" w:rsidRPr="00ED69CB">
        <w:rPr>
          <w:szCs w:val="24"/>
        </w:rPr>
        <w:t xml:space="preserve">. </w:t>
      </w:r>
      <w:r w:rsidR="00A74165" w:rsidRPr="00ED69CB">
        <w:rPr>
          <w:szCs w:val="24"/>
        </w:rPr>
        <w:t xml:space="preserve">While this generational diversity has the potential to bring varied perspectives and skills, it also increases the complexity of workforce planning and </w:t>
      </w:r>
      <w:r w:rsidR="009F304D">
        <w:rPr>
          <w:szCs w:val="24"/>
        </w:rPr>
        <w:t>TM</w:t>
      </w:r>
      <w:r w:rsidR="00A74165" w:rsidRPr="00ED69CB">
        <w:rPr>
          <w:szCs w:val="24"/>
        </w:rPr>
        <w:t>.</w:t>
      </w:r>
    </w:p>
    <w:p w14:paraId="13D75781" w14:textId="334A4AA6" w:rsidR="005437EC" w:rsidRPr="00ED69CB" w:rsidRDefault="00A74165" w:rsidP="004B4162">
      <w:pPr>
        <w:pStyle w:val="Uni-Normal"/>
        <w:jc w:val="both"/>
        <w:rPr>
          <w:szCs w:val="24"/>
        </w:rPr>
      </w:pPr>
      <w:r w:rsidRPr="00ED69CB">
        <w:rPr>
          <w:szCs w:val="24"/>
        </w:rPr>
        <w:t xml:space="preserve">A major challenge facing local authorities is the </w:t>
      </w:r>
      <w:r w:rsidR="00E71136" w:rsidRPr="00ED69CB">
        <w:rPr>
          <w:szCs w:val="24"/>
        </w:rPr>
        <w:t>considerable proportion</w:t>
      </w:r>
      <w:r w:rsidRPr="00ED69CB">
        <w:rPr>
          <w:szCs w:val="24"/>
        </w:rPr>
        <w:t xml:space="preserve"> of employees approaching retirement, which increases the risk of skills shortages and loss of institutional knowledge </w:t>
      </w:r>
      <w:r w:rsidR="00030F7F" w:rsidRPr="00ED69CB">
        <w:rPr>
          <w:szCs w:val="24"/>
        </w:rPr>
        <w:t>(OECD, 2021</w:t>
      </w:r>
      <w:r w:rsidRPr="00ED69CB">
        <w:rPr>
          <w:szCs w:val="24"/>
        </w:rPr>
        <w:t>). Research suggests that public</w:t>
      </w:r>
      <w:r w:rsidR="00B609DB" w:rsidRPr="00ED69CB">
        <w:rPr>
          <w:szCs w:val="24"/>
        </w:rPr>
        <w:t xml:space="preserve"> </w:t>
      </w:r>
      <w:r w:rsidRPr="00ED69CB">
        <w:rPr>
          <w:szCs w:val="24"/>
        </w:rPr>
        <w:t>sector employers are already struggling to replace experienced staff at a sufficient rate to maintain workforce capacity (Deegan et al., 2024). The continued departure of older employees, combined with difficulties attracting younger people to the sector, has raised concerns about organisational resilience and succession planning (Deegan et al., 2024; Calo, 2008).</w:t>
      </w:r>
      <w:r w:rsidR="005437EC" w:rsidRPr="00ED69CB">
        <w:rPr>
          <w:rFonts w:eastAsia="Times New Roman"/>
          <w:szCs w:val="24"/>
          <w:lang w:eastAsia="en-GB"/>
        </w:rPr>
        <w:t xml:space="preserve"> </w:t>
      </w:r>
      <w:r w:rsidR="005F7632" w:rsidRPr="005F7632">
        <w:rPr>
          <w:szCs w:val="24"/>
        </w:rPr>
        <w:t>This highlights not only a demographic imbalance but also growing challenges in attracting younger talent into the sector</w:t>
      </w:r>
      <w:r w:rsidR="00B46F1E">
        <w:rPr>
          <w:szCs w:val="24"/>
        </w:rPr>
        <w:t>.</w:t>
      </w:r>
    </w:p>
    <w:p w14:paraId="674E9B46" w14:textId="0CF3B2BE" w:rsidR="00A74165" w:rsidRPr="00ED69CB" w:rsidRDefault="00A74165" w:rsidP="004B4162">
      <w:pPr>
        <w:pStyle w:val="Uni-Normal"/>
        <w:jc w:val="both"/>
        <w:rPr>
          <w:szCs w:val="24"/>
        </w:rPr>
      </w:pPr>
      <w:r w:rsidRPr="00ED69CB">
        <w:rPr>
          <w:szCs w:val="24"/>
        </w:rPr>
        <w:t xml:space="preserve">At the same time, </w:t>
      </w:r>
      <w:r w:rsidR="0017563B" w:rsidRPr="00ED69CB">
        <w:rPr>
          <w:szCs w:val="24"/>
        </w:rPr>
        <w:t>Gen Z</w:t>
      </w:r>
      <w:r w:rsidRPr="00ED69CB">
        <w:rPr>
          <w:szCs w:val="24"/>
        </w:rPr>
        <w:t>, the newest entrant to the workforce, is beginning to form a larger share of UK employment. Early research shows that this cohort holds distinct expectations in relation to technology, communication, values</w:t>
      </w:r>
      <w:r w:rsidRPr="00ED69CB">
        <w:rPr>
          <w:szCs w:val="24"/>
        </w:rPr>
        <w:noBreakHyphen/>
        <w:t xml:space="preserve">driven work, </w:t>
      </w:r>
      <w:r w:rsidR="00413EDB" w:rsidRPr="00ED69CB">
        <w:rPr>
          <w:szCs w:val="24"/>
        </w:rPr>
        <w:t>flexibility and</w:t>
      </w:r>
      <w:r w:rsidRPr="00ED69CB">
        <w:rPr>
          <w:szCs w:val="24"/>
        </w:rPr>
        <w:t xml:space="preserve"> career development </w:t>
      </w:r>
      <w:r w:rsidRPr="00ED69CB">
        <w:rPr>
          <w:szCs w:val="24"/>
        </w:rPr>
        <w:lastRenderedPageBreak/>
        <w:t xml:space="preserve">(Francis </w:t>
      </w:r>
      <w:r w:rsidR="003607B1">
        <w:rPr>
          <w:szCs w:val="24"/>
        </w:rPr>
        <w:t xml:space="preserve">and </w:t>
      </w:r>
      <w:r w:rsidRPr="00ED69CB">
        <w:rPr>
          <w:szCs w:val="24"/>
        </w:rPr>
        <w:t>Hoefel, 2018). However, much of this research has been conducted in private</w:t>
      </w:r>
      <w:r w:rsidR="00B609DB" w:rsidRPr="00ED69CB">
        <w:rPr>
          <w:szCs w:val="24"/>
        </w:rPr>
        <w:t xml:space="preserve"> </w:t>
      </w:r>
      <w:r w:rsidRPr="00ED69CB">
        <w:rPr>
          <w:szCs w:val="24"/>
        </w:rPr>
        <w:t xml:space="preserve">sector or international contexts, with limited evidence available to help UK local authorities understand what matters most to </w:t>
      </w:r>
      <w:r w:rsidR="0017563B" w:rsidRPr="00ED69CB">
        <w:rPr>
          <w:szCs w:val="24"/>
        </w:rPr>
        <w:t>Gen Z</w:t>
      </w:r>
      <w:r w:rsidRPr="00ED69CB">
        <w:rPr>
          <w:szCs w:val="24"/>
        </w:rPr>
        <w:t xml:space="preserve"> in public</w:t>
      </w:r>
      <w:r w:rsidR="00B609DB" w:rsidRPr="00ED69CB">
        <w:rPr>
          <w:szCs w:val="24"/>
        </w:rPr>
        <w:t xml:space="preserve"> </w:t>
      </w:r>
      <w:r w:rsidRPr="00ED69CB">
        <w:rPr>
          <w:szCs w:val="24"/>
        </w:rPr>
        <w:t>sector roles.</w:t>
      </w:r>
      <w:r w:rsidR="006D0C61" w:rsidRPr="00ED69CB">
        <w:rPr>
          <w:szCs w:val="24"/>
        </w:rPr>
        <w:t xml:space="preserve"> </w:t>
      </w:r>
    </w:p>
    <w:p w14:paraId="394C2B73" w14:textId="2C5B4DCD" w:rsidR="00015733" w:rsidRPr="00ED69CB" w:rsidRDefault="00015733" w:rsidP="004B4162">
      <w:pPr>
        <w:pStyle w:val="Uni-Normal"/>
        <w:jc w:val="both"/>
        <w:rPr>
          <w:szCs w:val="24"/>
        </w:rPr>
      </w:pPr>
      <w:r w:rsidRPr="00015733">
        <w:rPr>
          <w:szCs w:val="24"/>
        </w:rPr>
        <w:t xml:space="preserve">This creates a critical gap for councils, which operate within environments shaped by statutory responsibilities, financial pressures and distinct organisational cultures. As the Local Government Association (2024) notes, “the fundamental challenge facing the sector is that cost and demand pressures are rising faster than funding”. These conditions influence how workforce strategies are designed and implemented, meaning TM approaches developed in private sector or international contexts cannot be assumed to translate effectively to UK local government. </w:t>
      </w:r>
    </w:p>
    <w:p w14:paraId="36A4D414" w14:textId="0C6D71DE" w:rsidR="00A74165" w:rsidRPr="00ED69CB" w:rsidRDefault="00A74165" w:rsidP="004B4162">
      <w:pPr>
        <w:pStyle w:val="2Sectionheading"/>
        <w:spacing w:line="360" w:lineRule="auto"/>
        <w:jc w:val="both"/>
        <w:rPr>
          <w:rFonts w:cs="Times New Roman"/>
          <w:szCs w:val="24"/>
        </w:rPr>
      </w:pPr>
      <w:bookmarkStart w:id="17" w:name="_Toc234319606"/>
      <w:r w:rsidRPr="00ED69CB">
        <w:rPr>
          <w:rFonts w:cs="Times New Roman"/>
          <w:szCs w:val="24"/>
        </w:rPr>
        <w:t xml:space="preserve">1.3 Case Study Organisation – </w:t>
      </w:r>
      <w:r w:rsidR="00015733">
        <w:rPr>
          <w:rFonts w:cs="Times New Roman"/>
          <w:szCs w:val="24"/>
        </w:rPr>
        <w:t>NCC</w:t>
      </w:r>
      <w:bookmarkEnd w:id="17"/>
    </w:p>
    <w:p w14:paraId="6E41A69C" w14:textId="77777777" w:rsidR="005F7632" w:rsidRPr="005F7632" w:rsidRDefault="005F7632" w:rsidP="005F7632">
      <w:pPr>
        <w:pStyle w:val="Uni-Normal"/>
        <w:jc w:val="both"/>
        <w:rPr>
          <w:szCs w:val="24"/>
        </w:rPr>
      </w:pPr>
      <w:r w:rsidRPr="005F7632">
        <w:rPr>
          <w:szCs w:val="24"/>
        </w:rPr>
        <w:t>NCC was selected as the case study organisation for this research because it faces workforce challenges that reflect wider issues across UK local government. As a large local authority in South Wales, NCC employs approximately 6,500 staff and delivers a wide range of public services, including education, social care, housing, environmental services and community (NCC, n.d.). The size and diversity of its workforce make it a suitable setting for examining how workforce challenges and TM practices are experienced in a public sector context.</w:t>
      </w:r>
    </w:p>
    <w:p w14:paraId="0F1C594B" w14:textId="1A54376C" w:rsidR="00A74165" w:rsidRPr="00ED69CB" w:rsidRDefault="00A74165" w:rsidP="004B4162">
      <w:pPr>
        <w:pStyle w:val="Uni-Normal"/>
        <w:jc w:val="both"/>
        <w:rPr>
          <w:szCs w:val="24"/>
        </w:rPr>
      </w:pPr>
      <w:r w:rsidRPr="00ED69CB">
        <w:rPr>
          <w:szCs w:val="24"/>
        </w:rPr>
        <w:t>Internal workforce data indicates an ageing employee profile, with a significant proportion of employees eligible for retirement in the coming years (</w:t>
      </w:r>
      <w:r w:rsidR="009F304D">
        <w:rPr>
          <w:szCs w:val="24"/>
        </w:rPr>
        <w:t>NCC,</w:t>
      </w:r>
      <w:r w:rsidRPr="00ED69CB">
        <w:rPr>
          <w:szCs w:val="24"/>
        </w:rPr>
        <w:t xml:space="preserve"> 2025). In response, NCC has introduced initiatives aimed at improving recruitment and retention, including apprenticeship programmes, graduate pathways, flexible working </w:t>
      </w:r>
      <w:r w:rsidR="00413EDB" w:rsidRPr="00ED69CB">
        <w:rPr>
          <w:szCs w:val="24"/>
        </w:rPr>
        <w:t>arrangements and</w:t>
      </w:r>
      <w:r w:rsidRPr="00ED69CB">
        <w:rPr>
          <w:szCs w:val="24"/>
        </w:rPr>
        <w:t xml:space="preserve"> professional development opportunities (</w:t>
      </w:r>
      <w:r w:rsidR="009F304D">
        <w:rPr>
          <w:szCs w:val="24"/>
        </w:rPr>
        <w:t>NCC,</w:t>
      </w:r>
      <w:r w:rsidRPr="00ED69CB">
        <w:rPr>
          <w:szCs w:val="24"/>
        </w:rPr>
        <w:t xml:space="preserve"> 2023). </w:t>
      </w:r>
      <w:r w:rsidR="00B609DB" w:rsidRPr="00ED69CB">
        <w:rPr>
          <w:szCs w:val="24"/>
        </w:rPr>
        <w:t>However, there remains limited evidence on how effectively these initiatives align with the expectation</w:t>
      </w:r>
      <w:r w:rsidR="0055135E">
        <w:rPr>
          <w:szCs w:val="24"/>
        </w:rPr>
        <w:t>s</w:t>
      </w:r>
      <w:r w:rsidR="00B609DB" w:rsidRPr="00ED69CB">
        <w:rPr>
          <w:szCs w:val="24"/>
        </w:rPr>
        <w:t xml:space="preserve"> and experience</w:t>
      </w:r>
      <w:r w:rsidR="0055135E">
        <w:rPr>
          <w:szCs w:val="24"/>
        </w:rPr>
        <w:t>s</w:t>
      </w:r>
      <w:r w:rsidR="00B609DB" w:rsidRPr="00ED69CB">
        <w:rPr>
          <w:szCs w:val="24"/>
        </w:rPr>
        <w:t xml:space="preserve"> of Gen Z employee</w:t>
      </w:r>
      <w:r w:rsidR="0092643B">
        <w:rPr>
          <w:szCs w:val="24"/>
        </w:rPr>
        <w:t>s</w:t>
      </w:r>
      <w:r w:rsidR="00B609DB" w:rsidRPr="00ED69CB">
        <w:rPr>
          <w:szCs w:val="24"/>
        </w:rPr>
        <w:t xml:space="preserve"> within this context. </w:t>
      </w:r>
    </w:p>
    <w:p w14:paraId="2B4DD989" w14:textId="7C88D222" w:rsidR="00B609DB" w:rsidRPr="00ED69CB" w:rsidRDefault="00966968" w:rsidP="004B4162">
      <w:pPr>
        <w:pStyle w:val="Uni-Normal"/>
        <w:jc w:val="both"/>
        <w:rPr>
          <w:szCs w:val="24"/>
        </w:rPr>
      </w:pPr>
      <w:r w:rsidRPr="00A23849">
        <w:rPr>
          <w:szCs w:val="24"/>
        </w:rPr>
        <w:t xml:space="preserve">This workforce challenge must be understood within its wider local demographic context. </w:t>
      </w:r>
      <w:r w:rsidR="00B609DB" w:rsidRPr="00A23849">
        <w:rPr>
          <w:szCs w:val="24"/>
        </w:rPr>
        <w:t xml:space="preserve">Census data indicates that Newport has a comparatively young population profile, ranking as the second youngest local authority in Wales after Cardiff, with a median age of 38 (Office for National Statistics, 2023). </w:t>
      </w:r>
      <w:r w:rsidR="00A23849" w:rsidRPr="00A23849">
        <w:rPr>
          <w:szCs w:val="24"/>
        </w:rPr>
        <w:t>This data shows that, despite an ageing workforce, there is a relatively strong presence of younger people within Newport</w:t>
      </w:r>
      <w:r w:rsidR="00B609DB" w:rsidRPr="00A23849">
        <w:rPr>
          <w:szCs w:val="24"/>
        </w:rPr>
        <w:t xml:space="preserve">. While this does not remove the pressures associated with workforce ageing, it highlights a potential opportunity for NCC to draw on a local pipeline of younger talent. This makes NCC a relevant case study for exploring how effectively </w:t>
      </w:r>
      <w:r w:rsidR="009F304D">
        <w:rPr>
          <w:szCs w:val="24"/>
        </w:rPr>
        <w:t>TM</w:t>
      </w:r>
      <w:r w:rsidR="00B609DB" w:rsidRPr="00A23849">
        <w:rPr>
          <w:szCs w:val="24"/>
        </w:rPr>
        <w:t xml:space="preserve"> practices align with the expectations of Gen Z employees.</w:t>
      </w:r>
    </w:p>
    <w:p w14:paraId="4D9A46EC" w14:textId="77777777" w:rsidR="00A74165" w:rsidRPr="00ED69CB" w:rsidRDefault="00A74165" w:rsidP="004B4162">
      <w:pPr>
        <w:pStyle w:val="2Sectionheading"/>
        <w:spacing w:line="360" w:lineRule="auto"/>
        <w:jc w:val="both"/>
        <w:rPr>
          <w:rFonts w:cs="Times New Roman"/>
          <w:szCs w:val="24"/>
        </w:rPr>
      </w:pPr>
      <w:bookmarkStart w:id="18" w:name="_Toc234319607"/>
      <w:r w:rsidRPr="00ED69CB">
        <w:rPr>
          <w:rFonts w:cs="Times New Roman"/>
          <w:szCs w:val="24"/>
        </w:rPr>
        <w:lastRenderedPageBreak/>
        <w:t>1.4 The Research Problem</w:t>
      </w:r>
      <w:bookmarkEnd w:id="13"/>
      <w:bookmarkEnd w:id="14"/>
      <w:bookmarkEnd w:id="18"/>
    </w:p>
    <w:p w14:paraId="329F99D0" w14:textId="4F7F67C5" w:rsidR="00A74165" w:rsidRPr="002D7FDA" w:rsidRDefault="00A74165" w:rsidP="002D7FDA">
      <w:pPr>
        <w:pStyle w:val="Uni-Normal"/>
        <w:jc w:val="both"/>
      </w:pPr>
      <w:r w:rsidRPr="002D7FDA">
        <w:t>Local government organisations, including NCC, face growing workforce vulnerabilities driven by demographic change. Evidence from the local government sector identifies population ageing as a structural risk to workforce sustainability, with retirement rates increasingly outpacing replacement and skills demands intensifying (Evandrou et al., 2015). Within this context, NCC’s People Plan 2023–2028 recognises the importance of sustaining organisational capability, developing talent and supporting workforce transformation to ensure continued service delivery in an evolving employment environment (</w:t>
      </w:r>
      <w:r w:rsidR="009F304D" w:rsidRPr="002D7FDA">
        <w:t>NCC</w:t>
      </w:r>
      <w:r w:rsidRPr="002D7FDA">
        <w:t xml:space="preserve">, 2023). </w:t>
      </w:r>
      <w:r w:rsidR="00242F74" w:rsidRPr="002D7FDA">
        <w:t>These conditions</w:t>
      </w:r>
      <w:r w:rsidRPr="002D7FDA">
        <w:t xml:space="preserve"> </w:t>
      </w:r>
      <w:r w:rsidR="001D7283" w:rsidRPr="002D7FDA">
        <w:t xml:space="preserve">present </w:t>
      </w:r>
      <w:r w:rsidR="00242F74" w:rsidRPr="002D7FDA">
        <w:t>critical challenges for</w:t>
      </w:r>
      <w:r w:rsidRPr="002D7FDA">
        <w:t xml:space="preserve"> how local authorities can effectively manage talent across generations to maintain</w:t>
      </w:r>
      <w:r w:rsidR="00242F74" w:rsidRPr="002D7FDA">
        <w:t xml:space="preserve"> workforce</w:t>
      </w:r>
      <w:r w:rsidRPr="002D7FDA">
        <w:t xml:space="preserve"> continuity, capability and organisational resilience.</w:t>
      </w:r>
      <w:r w:rsidR="00920375" w:rsidRPr="002D7FDA">
        <w:t xml:space="preserve"> Failure to attract, engage and retain younger employees presents a strategic risk to succession planning, organisational resilience and the future capacity of local authorities to deliver public services.</w:t>
      </w:r>
    </w:p>
    <w:p w14:paraId="3FFB645B" w14:textId="299C3B10" w:rsidR="003959CA" w:rsidRPr="003959CA" w:rsidRDefault="003959CA" w:rsidP="00254B47">
      <w:pPr>
        <w:pStyle w:val="Uni-Normal"/>
        <w:jc w:val="both"/>
      </w:pPr>
      <w:bookmarkStart w:id="19" w:name="_Toc217916762"/>
      <w:bookmarkStart w:id="20" w:name="_Toc218671375"/>
      <w:r w:rsidRPr="003959CA">
        <w:t>Despite the importance of these challenges, there remains limited empirical research examining how TM practices influence the attraction, engagement and retention of Gen Z employees within local government. Existing literature largely focuses on private sector settings, broader generational comparisons or general HR preferences, with limited consideration of the workforce challenges facing public sector organisations (Thunnissen and Buttiens, 2017). As councils operate within statutory, procedural and financial constraints, TM practices cannot be assumed to transfer directly from private sector models. This research therefore examines their relevance and applicability to managing Gen Z within a local government context.</w:t>
      </w:r>
    </w:p>
    <w:p w14:paraId="735190E5" w14:textId="6F3002A4" w:rsidR="003959CA" w:rsidRPr="003959CA" w:rsidRDefault="00A74165" w:rsidP="003959CA">
      <w:pPr>
        <w:pStyle w:val="2Sectionheading"/>
        <w:spacing w:line="360" w:lineRule="auto"/>
        <w:jc w:val="both"/>
        <w:rPr>
          <w:rFonts w:cs="Times New Roman"/>
          <w:szCs w:val="24"/>
        </w:rPr>
      </w:pPr>
      <w:bookmarkStart w:id="21" w:name="_Toc234319608"/>
      <w:r w:rsidRPr="00ED69CB">
        <w:rPr>
          <w:rFonts w:cs="Times New Roman"/>
          <w:szCs w:val="24"/>
          <w:lang w:eastAsia="en-GB"/>
        </w:rPr>
        <w:t>1.5 Research</w:t>
      </w:r>
      <w:r w:rsidRPr="00ED69CB">
        <w:rPr>
          <w:rFonts w:cs="Times New Roman"/>
          <w:szCs w:val="24"/>
        </w:rPr>
        <w:t xml:space="preserve"> </w:t>
      </w:r>
      <w:bookmarkEnd w:id="19"/>
      <w:r w:rsidRPr="00ED69CB">
        <w:rPr>
          <w:rFonts w:cs="Times New Roman"/>
          <w:szCs w:val="24"/>
        </w:rPr>
        <w:t>Aims, Objectives and Questions</w:t>
      </w:r>
      <w:bookmarkEnd w:id="20"/>
      <w:bookmarkEnd w:id="21"/>
    </w:p>
    <w:p w14:paraId="3A65B84C" w14:textId="77777777" w:rsidR="003959CA" w:rsidRDefault="00B609DB" w:rsidP="003959CA">
      <w:pPr>
        <w:pStyle w:val="Uni-Normal"/>
        <w:rPr>
          <w:b/>
          <w:bCs/>
          <w:szCs w:val="24"/>
        </w:rPr>
      </w:pPr>
      <w:r w:rsidRPr="00ED69CB">
        <w:rPr>
          <w:b/>
          <w:bCs/>
          <w:szCs w:val="24"/>
        </w:rPr>
        <w:t>Aims</w:t>
      </w:r>
    </w:p>
    <w:p w14:paraId="48F3573B" w14:textId="114DFE4A" w:rsidR="003959CA" w:rsidRDefault="00A74165" w:rsidP="00CF4E27">
      <w:pPr>
        <w:pStyle w:val="Uni-Normal"/>
        <w:rPr>
          <w:b/>
          <w:bCs/>
          <w:szCs w:val="24"/>
        </w:rPr>
      </w:pPr>
      <w:r w:rsidRPr="00ED69CB">
        <w:rPr>
          <w:szCs w:val="24"/>
        </w:rPr>
        <w:t xml:space="preserve">To critically assess how </w:t>
      </w:r>
      <w:r w:rsidR="00865CD5" w:rsidRPr="00ED69CB">
        <w:rPr>
          <w:szCs w:val="24"/>
        </w:rPr>
        <w:t>NCC</w:t>
      </w:r>
      <w:r w:rsidRPr="00ED69CB">
        <w:rPr>
          <w:szCs w:val="24"/>
        </w:rPr>
        <w:t xml:space="preserve"> can adapt </w:t>
      </w:r>
      <w:r w:rsidR="009F304D">
        <w:rPr>
          <w:szCs w:val="24"/>
        </w:rPr>
        <w:t>TM</w:t>
      </w:r>
      <w:r w:rsidRPr="00ED69CB">
        <w:rPr>
          <w:szCs w:val="24"/>
        </w:rPr>
        <w:t xml:space="preserve"> approaches to engage </w:t>
      </w:r>
      <w:r w:rsidR="0017563B" w:rsidRPr="00ED69CB">
        <w:rPr>
          <w:szCs w:val="24"/>
        </w:rPr>
        <w:t>Gen Z</w:t>
      </w:r>
      <w:r w:rsidRPr="00ED69CB">
        <w:rPr>
          <w:szCs w:val="24"/>
        </w:rPr>
        <w:t xml:space="preserve"> and strengthen workforce resilience for the future.</w:t>
      </w:r>
    </w:p>
    <w:p w14:paraId="63848BC6" w14:textId="62D9648D" w:rsidR="00A74165" w:rsidRPr="00ED69CB" w:rsidRDefault="00A74165" w:rsidP="004B4162">
      <w:pPr>
        <w:pStyle w:val="Uni-Normal"/>
        <w:jc w:val="both"/>
        <w:rPr>
          <w:szCs w:val="24"/>
        </w:rPr>
      </w:pPr>
      <w:r w:rsidRPr="00ED69CB">
        <w:rPr>
          <w:b/>
          <w:bCs/>
          <w:szCs w:val="24"/>
        </w:rPr>
        <w:t>Objectives</w:t>
      </w:r>
      <w:r w:rsidRPr="00ED69CB">
        <w:rPr>
          <w:szCs w:val="24"/>
        </w:rPr>
        <w:t> </w:t>
      </w:r>
    </w:p>
    <w:p w14:paraId="636BC0F1" w14:textId="485F5A44" w:rsidR="00DE4CF2" w:rsidRPr="00ED69CB" w:rsidRDefault="00DE4CF2" w:rsidP="002D7FDA">
      <w:pPr>
        <w:pStyle w:val="Uni-Normal"/>
        <w:numPr>
          <w:ilvl w:val="0"/>
          <w:numId w:val="31"/>
        </w:numPr>
        <w:jc w:val="both"/>
        <w:rPr>
          <w:szCs w:val="24"/>
          <w:lang w:eastAsia="en-GB"/>
        </w:rPr>
      </w:pPr>
      <w:r w:rsidRPr="00ED69CB">
        <w:rPr>
          <w:szCs w:val="24"/>
          <w:lang w:eastAsia="en-GB"/>
        </w:rPr>
        <w:t xml:space="preserve">To explore the workplace expectations, preferences and behaviours of Gen Z and how these relate to </w:t>
      </w:r>
      <w:r w:rsidR="009F304D">
        <w:rPr>
          <w:szCs w:val="24"/>
          <w:lang w:eastAsia="en-GB"/>
        </w:rPr>
        <w:t>TM</w:t>
      </w:r>
      <w:r w:rsidRPr="00ED69CB">
        <w:rPr>
          <w:szCs w:val="24"/>
          <w:lang w:eastAsia="en-GB"/>
        </w:rPr>
        <w:t xml:space="preserve"> practices in UK local </w:t>
      </w:r>
      <w:r w:rsidR="00345A33" w:rsidRPr="00ED69CB">
        <w:rPr>
          <w:szCs w:val="24"/>
          <w:lang w:eastAsia="en-GB"/>
        </w:rPr>
        <w:t>government.</w:t>
      </w:r>
    </w:p>
    <w:p w14:paraId="0196CB5B" w14:textId="4377B773" w:rsidR="00A74165" w:rsidRPr="00ED69CB" w:rsidRDefault="00A74165" w:rsidP="002D7FDA">
      <w:pPr>
        <w:pStyle w:val="Uni-Normal"/>
        <w:numPr>
          <w:ilvl w:val="0"/>
          <w:numId w:val="31"/>
        </w:numPr>
        <w:jc w:val="both"/>
        <w:rPr>
          <w:szCs w:val="24"/>
          <w:lang w:eastAsia="en-GB"/>
        </w:rPr>
      </w:pPr>
      <w:r w:rsidRPr="00ED69CB">
        <w:rPr>
          <w:szCs w:val="24"/>
          <w:lang w:eastAsia="en-GB"/>
        </w:rPr>
        <w:lastRenderedPageBreak/>
        <w:t xml:space="preserve">To investigate the challenges and opportunities of engaging and retaining </w:t>
      </w:r>
      <w:r w:rsidR="0017563B" w:rsidRPr="00ED69CB">
        <w:rPr>
          <w:szCs w:val="24"/>
          <w:lang w:eastAsia="en-GB"/>
        </w:rPr>
        <w:t>Gen Z</w:t>
      </w:r>
      <w:r w:rsidRPr="00ED69CB">
        <w:rPr>
          <w:szCs w:val="24"/>
          <w:lang w:eastAsia="en-GB"/>
        </w:rPr>
        <w:t xml:space="preserve"> in UK local government, focusing on the impact of </w:t>
      </w:r>
      <w:r w:rsidR="009F304D">
        <w:rPr>
          <w:szCs w:val="24"/>
          <w:lang w:eastAsia="en-GB"/>
        </w:rPr>
        <w:t>TM</w:t>
      </w:r>
      <w:r w:rsidRPr="00ED69CB">
        <w:rPr>
          <w:szCs w:val="24"/>
          <w:lang w:eastAsia="en-GB"/>
        </w:rPr>
        <w:t xml:space="preserve"> practices on organisational culture, career </w:t>
      </w:r>
      <w:r w:rsidR="00413EDB" w:rsidRPr="00ED69CB">
        <w:rPr>
          <w:szCs w:val="24"/>
          <w:lang w:eastAsia="en-GB"/>
        </w:rPr>
        <w:t>development and</w:t>
      </w:r>
      <w:r w:rsidRPr="00ED69CB">
        <w:rPr>
          <w:szCs w:val="24"/>
          <w:lang w:eastAsia="en-GB"/>
        </w:rPr>
        <w:t xml:space="preserve"> employee engagement.</w:t>
      </w:r>
    </w:p>
    <w:p w14:paraId="1104128A" w14:textId="520D1AC4" w:rsidR="00A74165" w:rsidRPr="00ED69CB" w:rsidRDefault="00A74165" w:rsidP="002D7FDA">
      <w:pPr>
        <w:pStyle w:val="Uni-Normal"/>
        <w:numPr>
          <w:ilvl w:val="0"/>
          <w:numId w:val="31"/>
        </w:numPr>
        <w:jc w:val="both"/>
        <w:rPr>
          <w:szCs w:val="24"/>
          <w:lang w:eastAsia="en-GB"/>
        </w:rPr>
      </w:pPr>
      <w:r w:rsidRPr="00ED69CB">
        <w:rPr>
          <w:szCs w:val="24"/>
          <w:lang w:eastAsia="en-GB"/>
        </w:rPr>
        <w:t xml:space="preserve">To critically evaluate the effectiveness and alignment of current </w:t>
      </w:r>
      <w:r w:rsidR="009F304D">
        <w:rPr>
          <w:szCs w:val="24"/>
          <w:lang w:eastAsia="en-GB"/>
        </w:rPr>
        <w:t>TM</w:t>
      </w:r>
      <w:r w:rsidRPr="00ED69CB">
        <w:rPr>
          <w:szCs w:val="24"/>
          <w:lang w:eastAsia="en-GB"/>
        </w:rPr>
        <w:t xml:space="preserve"> strategies and initiatives in attracting and retaining </w:t>
      </w:r>
      <w:r w:rsidR="0017563B" w:rsidRPr="00ED69CB">
        <w:rPr>
          <w:szCs w:val="24"/>
          <w:lang w:eastAsia="en-GB"/>
        </w:rPr>
        <w:t>Gen Z</w:t>
      </w:r>
      <w:r w:rsidRPr="00ED69CB">
        <w:rPr>
          <w:szCs w:val="24"/>
          <w:lang w:eastAsia="en-GB"/>
        </w:rPr>
        <w:t xml:space="preserve"> employees within local government.</w:t>
      </w:r>
    </w:p>
    <w:p w14:paraId="1AF5A707" w14:textId="77777777" w:rsidR="00720684" w:rsidRDefault="00A74165" w:rsidP="002D7FDA">
      <w:pPr>
        <w:pStyle w:val="Uni-Normal"/>
        <w:numPr>
          <w:ilvl w:val="0"/>
          <w:numId w:val="31"/>
        </w:numPr>
        <w:jc w:val="both"/>
        <w:rPr>
          <w:szCs w:val="24"/>
          <w:lang w:eastAsia="en-GB"/>
        </w:rPr>
      </w:pPr>
      <w:r w:rsidRPr="00ED69CB">
        <w:rPr>
          <w:szCs w:val="24"/>
          <w:lang w:eastAsia="en-GB"/>
        </w:rPr>
        <w:t xml:space="preserve">To recommend evidence-based strategies for </w:t>
      </w:r>
      <w:r w:rsidR="00865CD5" w:rsidRPr="00ED69CB">
        <w:rPr>
          <w:szCs w:val="24"/>
          <w:lang w:eastAsia="en-GB"/>
        </w:rPr>
        <w:t>NCC</w:t>
      </w:r>
      <w:r w:rsidRPr="00ED69CB">
        <w:rPr>
          <w:szCs w:val="24"/>
          <w:lang w:eastAsia="en-GB"/>
        </w:rPr>
        <w:t xml:space="preserve"> to enhance </w:t>
      </w:r>
      <w:r w:rsidR="009F304D">
        <w:rPr>
          <w:szCs w:val="24"/>
          <w:lang w:eastAsia="en-GB"/>
        </w:rPr>
        <w:t>TM</w:t>
      </w:r>
      <w:r w:rsidRPr="00ED69CB">
        <w:rPr>
          <w:szCs w:val="24"/>
          <w:lang w:eastAsia="en-GB"/>
        </w:rPr>
        <w:t xml:space="preserve"> practices, ensuring effective engagement, </w:t>
      </w:r>
      <w:r w:rsidR="00413EDB" w:rsidRPr="00ED69CB">
        <w:rPr>
          <w:szCs w:val="24"/>
          <w:lang w:eastAsia="en-GB"/>
        </w:rPr>
        <w:t>retention and</w:t>
      </w:r>
      <w:r w:rsidRPr="00ED69CB">
        <w:rPr>
          <w:szCs w:val="24"/>
          <w:lang w:eastAsia="en-GB"/>
        </w:rPr>
        <w:t xml:space="preserve"> workforce sustainability for </w:t>
      </w:r>
      <w:r w:rsidR="0017563B" w:rsidRPr="00ED69CB">
        <w:rPr>
          <w:szCs w:val="24"/>
          <w:lang w:eastAsia="en-GB"/>
        </w:rPr>
        <w:t>Gen Z</w:t>
      </w:r>
      <w:r w:rsidRPr="00ED69CB">
        <w:rPr>
          <w:szCs w:val="24"/>
          <w:lang w:eastAsia="en-GB"/>
        </w:rPr>
        <w:t xml:space="preserve"> employees.</w:t>
      </w:r>
      <w:bookmarkStart w:id="22" w:name="_Toc217916763"/>
    </w:p>
    <w:p w14:paraId="39261A51" w14:textId="2B634909" w:rsidR="00A74165" w:rsidRPr="00720684" w:rsidRDefault="00A74165" w:rsidP="00720684">
      <w:pPr>
        <w:pStyle w:val="Uni-Normal"/>
        <w:jc w:val="both"/>
        <w:rPr>
          <w:szCs w:val="24"/>
          <w:lang w:eastAsia="en-GB"/>
        </w:rPr>
      </w:pPr>
      <w:r w:rsidRPr="00720684">
        <w:rPr>
          <w:b/>
          <w:bCs/>
          <w:szCs w:val="24"/>
        </w:rPr>
        <w:t>Research Questions</w:t>
      </w:r>
      <w:bookmarkEnd w:id="22"/>
    </w:p>
    <w:p w14:paraId="05CC635B" w14:textId="77777777" w:rsidR="00A74165" w:rsidRPr="00ED69CB" w:rsidRDefault="00A74165" w:rsidP="002D7FDA">
      <w:pPr>
        <w:pStyle w:val="Uni-Normal"/>
        <w:jc w:val="both"/>
        <w:rPr>
          <w:szCs w:val="24"/>
        </w:rPr>
      </w:pPr>
      <w:r w:rsidRPr="00ED69CB">
        <w:rPr>
          <w:szCs w:val="24"/>
        </w:rPr>
        <w:t>To guide this exploratory study, the following research questions will be addressed:</w:t>
      </w:r>
    </w:p>
    <w:p w14:paraId="5EDA2695" w14:textId="3491E797" w:rsidR="00DE4CF2" w:rsidRPr="00ED69CB" w:rsidRDefault="00A74165" w:rsidP="002D7FDA">
      <w:pPr>
        <w:pStyle w:val="Uni-Normal"/>
        <w:jc w:val="both"/>
        <w:rPr>
          <w:szCs w:val="24"/>
        </w:rPr>
      </w:pPr>
      <w:r w:rsidRPr="00ED69CB">
        <w:rPr>
          <w:b/>
          <w:bCs/>
          <w:szCs w:val="24"/>
        </w:rPr>
        <w:t>RQ1.</w:t>
      </w:r>
      <w:r w:rsidRPr="00ED69CB">
        <w:rPr>
          <w:szCs w:val="24"/>
        </w:rPr>
        <w:t xml:space="preserve"> </w:t>
      </w:r>
      <w:r w:rsidR="00DE4CF2" w:rsidRPr="00ED69CB">
        <w:rPr>
          <w:szCs w:val="24"/>
        </w:rPr>
        <w:t xml:space="preserve">What are the workplace expectations, preferences and behaviours of Gen Z employees within UK local government and how do these relate to </w:t>
      </w:r>
      <w:r w:rsidR="009F304D">
        <w:rPr>
          <w:szCs w:val="24"/>
        </w:rPr>
        <w:t>TM</w:t>
      </w:r>
      <w:r w:rsidR="00DE4CF2" w:rsidRPr="00ED69CB">
        <w:rPr>
          <w:szCs w:val="24"/>
        </w:rPr>
        <w:t xml:space="preserve"> practices?</w:t>
      </w:r>
    </w:p>
    <w:p w14:paraId="2B7D58A7" w14:textId="1162D94C" w:rsidR="00A74165" w:rsidRPr="00ED69CB" w:rsidRDefault="00A74165" w:rsidP="002D7FDA">
      <w:pPr>
        <w:pStyle w:val="Uni-Normal"/>
        <w:jc w:val="both"/>
        <w:rPr>
          <w:szCs w:val="24"/>
        </w:rPr>
      </w:pPr>
      <w:r w:rsidRPr="00ED69CB">
        <w:rPr>
          <w:b/>
          <w:bCs/>
          <w:szCs w:val="24"/>
        </w:rPr>
        <w:t>RQ2.</w:t>
      </w:r>
      <w:r w:rsidRPr="00ED69CB">
        <w:rPr>
          <w:szCs w:val="24"/>
        </w:rPr>
        <w:t xml:space="preserve"> What challenges and opportunities exist in engaging and retaining </w:t>
      </w:r>
      <w:r w:rsidR="0017563B" w:rsidRPr="00ED69CB">
        <w:rPr>
          <w:szCs w:val="24"/>
        </w:rPr>
        <w:t>Gen Z</w:t>
      </w:r>
      <w:r w:rsidRPr="00ED69CB">
        <w:rPr>
          <w:szCs w:val="24"/>
        </w:rPr>
        <w:t xml:space="preserve"> in UK local </w:t>
      </w:r>
      <w:r w:rsidR="00413EDB" w:rsidRPr="00ED69CB">
        <w:rPr>
          <w:szCs w:val="24"/>
        </w:rPr>
        <w:t>government and</w:t>
      </w:r>
      <w:r w:rsidRPr="00ED69CB">
        <w:rPr>
          <w:szCs w:val="24"/>
        </w:rPr>
        <w:t xml:space="preserve"> how do </w:t>
      </w:r>
      <w:r w:rsidR="009F304D">
        <w:rPr>
          <w:szCs w:val="24"/>
        </w:rPr>
        <w:t>TM</w:t>
      </w:r>
      <w:r w:rsidRPr="00ED69CB">
        <w:rPr>
          <w:szCs w:val="24"/>
        </w:rPr>
        <w:t xml:space="preserve"> practices influence organisational culture, career </w:t>
      </w:r>
      <w:r w:rsidR="00413EDB" w:rsidRPr="00ED69CB">
        <w:rPr>
          <w:szCs w:val="24"/>
        </w:rPr>
        <w:t>development and</w:t>
      </w:r>
      <w:r w:rsidRPr="00ED69CB">
        <w:rPr>
          <w:szCs w:val="24"/>
        </w:rPr>
        <w:t xml:space="preserve"> employee engagement?</w:t>
      </w:r>
    </w:p>
    <w:p w14:paraId="02BEB7B1" w14:textId="0F8A2878" w:rsidR="00A74165" w:rsidRPr="00ED69CB" w:rsidRDefault="00A74165" w:rsidP="002D7FDA">
      <w:pPr>
        <w:pStyle w:val="Uni-Normal"/>
        <w:jc w:val="both"/>
        <w:rPr>
          <w:szCs w:val="24"/>
        </w:rPr>
      </w:pPr>
      <w:r w:rsidRPr="00ED69CB">
        <w:rPr>
          <w:b/>
          <w:bCs/>
          <w:szCs w:val="24"/>
        </w:rPr>
        <w:t>RQ3.</w:t>
      </w:r>
      <w:r w:rsidRPr="00ED69CB">
        <w:rPr>
          <w:szCs w:val="24"/>
        </w:rPr>
        <w:t xml:space="preserve"> To what extent are current </w:t>
      </w:r>
      <w:r w:rsidR="009F304D">
        <w:rPr>
          <w:szCs w:val="24"/>
        </w:rPr>
        <w:t>TM</w:t>
      </w:r>
      <w:r w:rsidRPr="00ED69CB">
        <w:rPr>
          <w:szCs w:val="24"/>
        </w:rPr>
        <w:t xml:space="preserve"> strategies and initiatives effective and aligned in attracting and retaining </w:t>
      </w:r>
      <w:r w:rsidR="0017563B" w:rsidRPr="00ED69CB">
        <w:rPr>
          <w:szCs w:val="24"/>
        </w:rPr>
        <w:t>Gen Z</w:t>
      </w:r>
      <w:r w:rsidRPr="00ED69CB">
        <w:rPr>
          <w:szCs w:val="24"/>
        </w:rPr>
        <w:t xml:space="preserve"> employees within local government?</w:t>
      </w:r>
    </w:p>
    <w:p w14:paraId="6999BD8A" w14:textId="0C78B300" w:rsidR="00A74165" w:rsidRPr="00ED69CB" w:rsidRDefault="00A74165" w:rsidP="002D7FDA">
      <w:pPr>
        <w:pStyle w:val="Uni-Normal"/>
        <w:jc w:val="both"/>
        <w:rPr>
          <w:szCs w:val="24"/>
        </w:rPr>
      </w:pPr>
      <w:r w:rsidRPr="00ED69CB">
        <w:rPr>
          <w:b/>
          <w:bCs/>
          <w:szCs w:val="24"/>
        </w:rPr>
        <w:t>RQ4.</w:t>
      </w:r>
      <w:r w:rsidRPr="00ED69CB">
        <w:rPr>
          <w:rFonts w:eastAsia="Times New Roman"/>
          <w:szCs w:val="24"/>
          <w:lang w:eastAsia="en-GB"/>
        </w:rPr>
        <w:t xml:space="preserve"> </w:t>
      </w:r>
      <w:r w:rsidRPr="00ED69CB">
        <w:rPr>
          <w:szCs w:val="24"/>
        </w:rPr>
        <w:t xml:space="preserve">What evidence-based strategies can </w:t>
      </w:r>
      <w:r w:rsidR="00865CD5" w:rsidRPr="00ED69CB">
        <w:rPr>
          <w:szCs w:val="24"/>
        </w:rPr>
        <w:t>NCC</w:t>
      </w:r>
      <w:r w:rsidRPr="00ED69CB">
        <w:rPr>
          <w:szCs w:val="24"/>
        </w:rPr>
        <w:t xml:space="preserve"> adopt to enhance </w:t>
      </w:r>
      <w:r w:rsidR="009F304D">
        <w:rPr>
          <w:szCs w:val="24"/>
        </w:rPr>
        <w:t>TM</w:t>
      </w:r>
      <w:r w:rsidRPr="00ED69CB">
        <w:rPr>
          <w:szCs w:val="24"/>
        </w:rPr>
        <w:t xml:space="preserve"> practices for </w:t>
      </w:r>
      <w:r w:rsidR="0017563B" w:rsidRPr="00ED69CB">
        <w:rPr>
          <w:szCs w:val="24"/>
        </w:rPr>
        <w:t>Gen Z</w:t>
      </w:r>
      <w:r w:rsidRPr="00ED69CB">
        <w:rPr>
          <w:szCs w:val="24"/>
        </w:rPr>
        <w:t xml:space="preserve">, ensuring engagement, </w:t>
      </w:r>
      <w:r w:rsidR="00413EDB" w:rsidRPr="00ED69CB">
        <w:rPr>
          <w:szCs w:val="24"/>
        </w:rPr>
        <w:t>retention and</w:t>
      </w:r>
      <w:r w:rsidRPr="00ED69CB">
        <w:rPr>
          <w:szCs w:val="24"/>
        </w:rPr>
        <w:t xml:space="preserve"> workforce sustainability?</w:t>
      </w:r>
    </w:p>
    <w:p w14:paraId="4A0958D6" w14:textId="77777777" w:rsidR="00A74165" w:rsidRPr="00ED69CB" w:rsidRDefault="00A74165" w:rsidP="004B4162">
      <w:pPr>
        <w:pStyle w:val="2Sectionheading"/>
        <w:spacing w:line="360" w:lineRule="auto"/>
        <w:jc w:val="both"/>
        <w:rPr>
          <w:rFonts w:cs="Times New Roman"/>
          <w:szCs w:val="24"/>
        </w:rPr>
      </w:pPr>
      <w:bookmarkStart w:id="23" w:name="_Toc217916761"/>
      <w:bookmarkStart w:id="24" w:name="_Toc218671376"/>
      <w:bookmarkStart w:id="25" w:name="_Toc234319609"/>
      <w:r w:rsidRPr="00ED69CB">
        <w:rPr>
          <w:rFonts w:cs="Times New Roman"/>
          <w:szCs w:val="24"/>
        </w:rPr>
        <w:t>1.6 Research Scope</w:t>
      </w:r>
      <w:bookmarkEnd w:id="23"/>
      <w:bookmarkEnd w:id="24"/>
      <w:bookmarkEnd w:id="25"/>
    </w:p>
    <w:p w14:paraId="63A1E454" w14:textId="5E13F1CD" w:rsidR="00A74165" w:rsidRPr="00ED69CB" w:rsidRDefault="00A74165" w:rsidP="004B4162">
      <w:pPr>
        <w:pStyle w:val="Uni-Normal"/>
        <w:jc w:val="both"/>
        <w:rPr>
          <w:szCs w:val="24"/>
        </w:rPr>
      </w:pPr>
      <w:r w:rsidRPr="00ED69CB">
        <w:rPr>
          <w:szCs w:val="24"/>
        </w:rPr>
        <w:t xml:space="preserve">This study focuses exclusively on </w:t>
      </w:r>
      <w:r w:rsidR="0017563B" w:rsidRPr="00ED69CB">
        <w:rPr>
          <w:szCs w:val="24"/>
        </w:rPr>
        <w:t>Gen Z</w:t>
      </w:r>
      <w:r w:rsidRPr="00ED69CB">
        <w:rPr>
          <w:szCs w:val="24"/>
        </w:rPr>
        <w:t xml:space="preserve"> employees at </w:t>
      </w:r>
      <w:r w:rsidR="00865CD5" w:rsidRPr="00ED69CB">
        <w:rPr>
          <w:szCs w:val="24"/>
        </w:rPr>
        <w:t>NCC</w:t>
      </w:r>
      <w:r w:rsidRPr="00ED69CB">
        <w:rPr>
          <w:szCs w:val="24"/>
        </w:rPr>
        <w:t xml:space="preserve">. The research </w:t>
      </w:r>
      <w:r w:rsidR="00AA5A99">
        <w:rPr>
          <w:szCs w:val="24"/>
        </w:rPr>
        <w:t xml:space="preserve">employed </w:t>
      </w:r>
      <w:r w:rsidRPr="00ED69CB">
        <w:rPr>
          <w:szCs w:val="24"/>
        </w:rPr>
        <w:t xml:space="preserve">a quantitative approach, using surveys to gather data on the experiences, </w:t>
      </w:r>
      <w:r w:rsidR="00413EDB" w:rsidRPr="00ED69CB">
        <w:rPr>
          <w:szCs w:val="24"/>
        </w:rPr>
        <w:t>expectations and</w:t>
      </w:r>
      <w:r w:rsidRPr="00ED69CB">
        <w:rPr>
          <w:szCs w:val="24"/>
        </w:rPr>
        <w:t xml:space="preserve"> engagement of </w:t>
      </w:r>
      <w:r w:rsidR="0017563B" w:rsidRPr="00ED69CB">
        <w:rPr>
          <w:szCs w:val="24"/>
        </w:rPr>
        <w:t>Gen Z</w:t>
      </w:r>
      <w:r w:rsidRPr="00ED69CB">
        <w:rPr>
          <w:szCs w:val="24"/>
        </w:rPr>
        <w:t xml:space="preserve"> within the organisation. Surveys </w:t>
      </w:r>
      <w:r w:rsidR="001C1810">
        <w:rPr>
          <w:szCs w:val="24"/>
        </w:rPr>
        <w:t xml:space="preserve">were distributed </w:t>
      </w:r>
      <w:r w:rsidRPr="00ED69CB">
        <w:rPr>
          <w:szCs w:val="24"/>
        </w:rPr>
        <w:t xml:space="preserve">to 685 </w:t>
      </w:r>
      <w:r w:rsidR="0017563B" w:rsidRPr="00ED69CB">
        <w:rPr>
          <w:szCs w:val="24"/>
        </w:rPr>
        <w:t>Gen Z</w:t>
      </w:r>
      <w:r w:rsidRPr="00ED69CB">
        <w:rPr>
          <w:szCs w:val="24"/>
        </w:rPr>
        <w:t xml:space="preserve"> employees within the council </w:t>
      </w:r>
      <w:r w:rsidRPr="00ED69CB">
        <w:rPr>
          <w:noProof/>
          <w:szCs w:val="24"/>
        </w:rPr>
        <w:t>(</w:t>
      </w:r>
      <w:r w:rsidR="009F304D">
        <w:rPr>
          <w:szCs w:val="24"/>
        </w:rPr>
        <w:t>NCC</w:t>
      </w:r>
      <w:r w:rsidRPr="00ED69CB">
        <w:rPr>
          <w:szCs w:val="24"/>
        </w:rPr>
        <w:t xml:space="preserve">, 2025). The study is limited to current employees of </w:t>
      </w:r>
      <w:r w:rsidR="00865CD5" w:rsidRPr="00ED69CB">
        <w:rPr>
          <w:szCs w:val="24"/>
        </w:rPr>
        <w:t>NCC</w:t>
      </w:r>
      <w:r w:rsidRPr="00ED69CB">
        <w:rPr>
          <w:szCs w:val="24"/>
        </w:rPr>
        <w:t xml:space="preserve"> and does not include other generational groups or other local authorities. By concentrating on this specific context and demographic, the research aims to provide actionable insights for </w:t>
      </w:r>
      <w:r w:rsidR="009F304D">
        <w:rPr>
          <w:szCs w:val="24"/>
        </w:rPr>
        <w:t>TM</w:t>
      </w:r>
      <w:r w:rsidRPr="00ED69CB">
        <w:rPr>
          <w:szCs w:val="24"/>
        </w:rPr>
        <w:t xml:space="preserve"> strategies tailored to the needs of </w:t>
      </w:r>
      <w:r w:rsidR="0017563B" w:rsidRPr="00ED69CB">
        <w:rPr>
          <w:szCs w:val="24"/>
        </w:rPr>
        <w:t>Gen Z</w:t>
      </w:r>
      <w:r w:rsidRPr="00ED69CB">
        <w:rPr>
          <w:szCs w:val="24"/>
        </w:rPr>
        <w:t xml:space="preserve"> in local government.</w:t>
      </w:r>
      <w:r w:rsidRPr="00ED69CB">
        <w:rPr>
          <w:rFonts w:eastAsia="Times New Roman"/>
          <w:szCs w:val="24"/>
          <w:lang w:eastAsia="en-GB"/>
        </w:rPr>
        <w:t xml:space="preserve"> </w:t>
      </w:r>
      <w:r w:rsidRPr="00ED69CB">
        <w:rPr>
          <w:szCs w:val="24"/>
        </w:rPr>
        <w:t xml:space="preserve">It is acknowledged that while this </w:t>
      </w:r>
      <w:r w:rsidRPr="00ED69CB">
        <w:rPr>
          <w:szCs w:val="24"/>
        </w:rPr>
        <w:lastRenderedPageBreak/>
        <w:t xml:space="preserve">scope provides valuable insight for </w:t>
      </w:r>
      <w:r w:rsidR="00865CD5" w:rsidRPr="00ED69CB">
        <w:rPr>
          <w:szCs w:val="24"/>
        </w:rPr>
        <w:t>NCC</w:t>
      </w:r>
      <w:r w:rsidRPr="00ED69CB">
        <w:rPr>
          <w:szCs w:val="24"/>
        </w:rPr>
        <w:t>, its exclusive focus may limit the generalisability of findings to other public sector organisations or local authorities.</w:t>
      </w:r>
    </w:p>
    <w:p w14:paraId="54C15B82" w14:textId="77777777" w:rsidR="00A74165" w:rsidRPr="00ED69CB" w:rsidRDefault="00A74165" w:rsidP="004B4162">
      <w:pPr>
        <w:pStyle w:val="2Sectionheading"/>
        <w:spacing w:line="360" w:lineRule="auto"/>
        <w:jc w:val="both"/>
        <w:rPr>
          <w:rFonts w:cs="Times New Roman"/>
          <w:szCs w:val="24"/>
        </w:rPr>
      </w:pPr>
      <w:bookmarkStart w:id="26" w:name="_Toc218671377"/>
      <w:bookmarkStart w:id="27" w:name="_Toc234319610"/>
      <w:bookmarkStart w:id="28" w:name="_Toc217916760"/>
      <w:bookmarkStart w:id="29" w:name="_Toc217916764"/>
      <w:bookmarkStart w:id="30" w:name="_Toc218671378"/>
      <w:bookmarkEnd w:id="15"/>
      <w:r w:rsidRPr="00ED69CB">
        <w:rPr>
          <w:rFonts w:cs="Times New Roman"/>
          <w:szCs w:val="24"/>
        </w:rPr>
        <w:t>1.7 Justification</w:t>
      </w:r>
      <w:bookmarkEnd w:id="26"/>
      <w:bookmarkEnd w:id="27"/>
      <w:r w:rsidRPr="00ED69CB">
        <w:rPr>
          <w:rFonts w:cs="Times New Roman"/>
          <w:szCs w:val="24"/>
        </w:rPr>
        <w:t xml:space="preserve"> </w:t>
      </w:r>
      <w:bookmarkEnd w:id="28"/>
    </w:p>
    <w:p w14:paraId="18E060C5" w14:textId="59712BFB" w:rsidR="00A74165" w:rsidRPr="00ED69CB" w:rsidRDefault="00A74165" w:rsidP="004B4162">
      <w:pPr>
        <w:pStyle w:val="Uni-Normal"/>
        <w:jc w:val="both"/>
        <w:rPr>
          <w:szCs w:val="24"/>
        </w:rPr>
      </w:pPr>
      <w:r w:rsidRPr="00ED69CB">
        <w:rPr>
          <w:szCs w:val="24"/>
        </w:rPr>
        <w:t xml:space="preserve">There is a clear gap in research on </w:t>
      </w:r>
      <w:r w:rsidR="009F304D">
        <w:rPr>
          <w:szCs w:val="24"/>
        </w:rPr>
        <w:t>TM</w:t>
      </w:r>
      <w:r w:rsidRPr="00ED69CB">
        <w:rPr>
          <w:szCs w:val="24"/>
        </w:rPr>
        <w:t xml:space="preserve"> within UK local authorities, particularly regarding generational differences in the workforce. Councils are facing unprecedented challenges: severe financial constraints, escalating service </w:t>
      </w:r>
      <w:r w:rsidR="00413EDB" w:rsidRPr="00ED69CB">
        <w:rPr>
          <w:szCs w:val="24"/>
        </w:rPr>
        <w:t>demands and</w:t>
      </w:r>
      <w:r w:rsidRPr="00ED69CB">
        <w:rPr>
          <w:szCs w:val="24"/>
        </w:rPr>
        <w:t xml:space="preserve"> an acute need to attract and retain younger employees (</w:t>
      </w:r>
      <w:r w:rsidR="00922985" w:rsidRPr="00ED69CB">
        <w:rPr>
          <w:szCs w:val="24"/>
        </w:rPr>
        <w:t>Forvis Mazars</w:t>
      </w:r>
      <w:r w:rsidRPr="00ED69CB">
        <w:rPr>
          <w:szCs w:val="24"/>
        </w:rPr>
        <w:t xml:space="preserve">, 2023). As Deegan et al. (2024), writing for the County Councils Network’s </w:t>
      </w:r>
      <w:r w:rsidRPr="00F36AAA">
        <w:rPr>
          <w:szCs w:val="24"/>
        </w:rPr>
        <w:t>Workforce of the Future</w:t>
      </w:r>
      <w:r w:rsidRPr="00ED69CB">
        <w:rPr>
          <w:szCs w:val="24"/>
        </w:rPr>
        <w:t xml:space="preserve"> report, highlight, the combination of limited workforce capacity, an ageing </w:t>
      </w:r>
      <w:r w:rsidR="00413EDB" w:rsidRPr="00ED69CB">
        <w:rPr>
          <w:szCs w:val="24"/>
        </w:rPr>
        <w:t>population and</w:t>
      </w:r>
      <w:r w:rsidRPr="00ED69CB">
        <w:rPr>
          <w:szCs w:val="24"/>
        </w:rPr>
        <w:t xml:space="preserve"> insufficient younger talent poses serious risks to local government’s ability to deliver essential services. Notably, under</w:t>
      </w:r>
      <w:r w:rsidRPr="00ED69CB">
        <w:rPr>
          <w:szCs w:val="24"/>
        </w:rPr>
        <w:noBreakHyphen/>
        <w:t>25s comprise just 4.6% of the local government workforce in England and Wales, while 66.9% are aged 40–64, a demographic imbalance that threatens long</w:t>
      </w:r>
      <w:r w:rsidRPr="00ED69CB">
        <w:rPr>
          <w:szCs w:val="24"/>
        </w:rPr>
        <w:noBreakHyphen/>
        <w:t xml:space="preserve">term </w:t>
      </w:r>
      <w:r w:rsidR="00242F74" w:rsidRPr="00ED69CB">
        <w:rPr>
          <w:szCs w:val="24"/>
        </w:rPr>
        <w:t xml:space="preserve">workforce </w:t>
      </w:r>
      <w:r w:rsidRPr="00ED69CB">
        <w:rPr>
          <w:szCs w:val="24"/>
        </w:rPr>
        <w:t xml:space="preserve">sustainability (Deegan et al., 2024). If these issues remain unaddressed, councils risk workforce instability, increased recruitment </w:t>
      </w:r>
      <w:r w:rsidR="00413EDB" w:rsidRPr="00ED69CB">
        <w:rPr>
          <w:szCs w:val="24"/>
        </w:rPr>
        <w:t>costs and</w:t>
      </w:r>
      <w:r w:rsidRPr="00ED69CB">
        <w:rPr>
          <w:szCs w:val="24"/>
        </w:rPr>
        <w:t xml:space="preserve"> compromised service delivery, ultimately undermining public trust and organisational resilience.</w:t>
      </w:r>
    </w:p>
    <w:p w14:paraId="72ED3789" w14:textId="4B589419" w:rsidR="00A74165" w:rsidRPr="00ED69CB" w:rsidRDefault="00A74165" w:rsidP="004B4162">
      <w:pPr>
        <w:pStyle w:val="Uni-Normal"/>
        <w:jc w:val="both"/>
        <w:rPr>
          <w:szCs w:val="24"/>
        </w:rPr>
      </w:pPr>
      <w:r w:rsidRPr="00ED69CB">
        <w:rPr>
          <w:szCs w:val="24"/>
        </w:rPr>
        <w:t xml:space="preserve">The urgency of this issue is amplified by demographic realities. </w:t>
      </w:r>
      <w:r w:rsidR="0017563B" w:rsidRPr="00ED69CB">
        <w:rPr>
          <w:szCs w:val="24"/>
        </w:rPr>
        <w:t>Gen Z</w:t>
      </w:r>
      <w:r w:rsidRPr="00ED69CB">
        <w:rPr>
          <w:szCs w:val="24"/>
        </w:rPr>
        <w:t xml:space="preserve"> accounts for approximately 30% of the global population and is projected to represent 27% of the global workforce by 2025 (Demetriou, 2024). Their integration into local government is therefore critical for future</w:t>
      </w:r>
      <w:r w:rsidR="00164A09" w:rsidRPr="00ED69CB">
        <w:rPr>
          <w:szCs w:val="24"/>
        </w:rPr>
        <w:t>-</w:t>
      </w:r>
      <w:r w:rsidRPr="00ED69CB">
        <w:rPr>
          <w:szCs w:val="24"/>
        </w:rPr>
        <w:t xml:space="preserve">proofing public sector sustainability. Yet, while previous studies have examined </w:t>
      </w:r>
      <w:r w:rsidR="009F304D">
        <w:rPr>
          <w:szCs w:val="24"/>
        </w:rPr>
        <w:t>TM</w:t>
      </w:r>
      <w:r w:rsidRPr="00ED69CB">
        <w:rPr>
          <w:szCs w:val="24"/>
        </w:rPr>
        <w:t xml:space="preserve">, very few have explored how </w:t>
      </w:r>
      <w:r w:rsidR="0017563B" w:rsidRPr="00ED69CB">
        <w:rPr>
          <w:szCs w:val="24"/>
        </w:rPr>
        <w:t>Gen Z</w:t>
      </w:r>
      <w:r w:rsidRPr="00ED69CB">
        <w:rPr>
          <w:szCs w:val="24"/>
        </w:rPr>
        <w:t xml:space="preserve"> is entering and shaping the UK </w:t>
      </w:r>
      <w:r w:rsidR="00242F74" w:rsidRPr="00ED69CB">
        <w:rPr>
          <w:szCs w:val="24"/>
        </w:rPr>
        <w:t>p</w:t>
      </w:r>
      <w:r w:rsidRPr="00ED69CB">
        <w:rPr>
          <w:szCs w:val="24"/>
        </w:rPr>
        <w:t xml:space="preserve">ublic </w:t>
      </w:r>
      <w:r w:rsidR="00242F74" w:rsidRPr="00ED69CB">
        <w:rPr>
          <w:szCs w:val="24"/>
        </w:rPr>
        <w:t>sector</w:t>
      </w:r>
      <w:r w:rsidRPr="00ED69CB">
        <w:rPr>
          <w:szCs w:val="24"/>
        </w:rPr>
        <w:t xml:space="preserve"> workforce. This cohort brings distinct values such as flexibility, </w:t>
      </w:r>
      <w:r w:rsidR="00413EDB" w:rsidRPr="00ED69CB">
        <w:rPr>
          <w:szCs w:val="24"/>
        </w:rPr>
        <w:t>inclusivity and</w:t>
      </w:r>
      <w:r w:rsidRPr="00ED69CB">
        <w:rPr>
          <w:szCs w:val="24"/>
        </w:rPr>
        <w:t xml:space="preserve"> digital fluency that often conflict with traditional hierarchical structures and rigid pay frameworks (Shinde </w:t>
      </w:r>
      <w:r w:rsidR="003607B1">
        <w:rPr>
          <w:szCs w:val="24"/>
        </w:rPr>
        <w:t>and</w:t>
      </w:r>
      <w:r w:rsidRPr="00ED69CB">
        <w:rPr>
          <w:szCs w:val="24"/>
        </w:rPr>
        <w:t xml:space="preserve"> Surve, 2025). Although writing in a South African context, Thusi </w:t>
      </w:r>
      <w:r w:rsidR="003607B1">
        <w:rPr>
          <w:szCs w:val="24"/>
        </w:rPr>
        <w:t xml:space="preserve">and </w:t>
      </w:r>
      <w:r w:rsidRPr="00ED69CB">
        <w:rPr>
          <w:szCs w:val="24"/>
        </w:rPr>
        <w:t xml:space="preserve">Chauke (2023) similarly highlight that misalignment between employee expectations and public sector working conditions contributes to dissatisfaction and higher turnover, a challenge </w:t>
      </w:r>
      <w:r w:rsidR="003959CA">
        <w:rPr>
          <w:szCs w:val="24"/>
        </w:rPr>
        <w:t xml:space="preserve">potentially </w:t>
      </w:r>
      <w:r w:rsidRPr="00ED69CB">
        <w:rPr>
          <w:szCs w:val="24"/>
        </w:rPr>
        <w:t xml:space="preserve">mirrored in UK local authorities. Furthermore, Kravariti </w:t>
      </w:r>
      <w:r w:rsidR="003607B1">
        <w:rPr>
          <w:szCs w:val="24"/>
        </w:rPr>
        <w:t>and</w:t>
      </w:r>
      <w:r w:rsidRPr="00ED69CB">
        <w:rPr>
          <w:szCs w:val="24"/>
        </w:rPr>
        <w:t xml:space="preserve"> Johnston (20</w:t>
      </w:r>
      <w:r w:rsidR="000311AB">
        <w:rPr>
          <w:szCs w:val="24"/>
        </w:rPr>
        <w:t>20</w:t>
      </w:r>
      <w:r w:rsidRPr="00ED69CB">
        <w:rPr>
          <w:szCs w:val="24"/>
        </w:rPr>
        <w:t xml:space="preserve">) underscore the scarcity of research on public sector </w:t>
      </w:r>
      <w:r w:rsidR="00413EDB" w:rsidRPr="00ED69CB">
        <w:rPr>
          <w:szCs w:val="24"/>
        </w:rPr>
        <w:t>organisations and</w:t>
      </w:r>
      <w:r w:rsidRPr="00ED69CB">
        <w:rPr>
          <w:szCs w:val="24"/>
        </w:rPr>
        <w:t xml:space="preserve"> </w:t>
      </w:r>
      <w:r w:rsidR="00F43919" w:rsidRPr="00ED69CB">
        <w:rPr>
          <w:szCs w:val="24"/>
        </w:rPr>
        <w:t>Boselie</w:t>
      </w:r>
      <w:r w:rsidR="00357295">
        <w:rPr>
          <w:szCs w:val="24"/>
        </w:rPr>
        <w:t xml:space="preserve"> </w:t>
      </w:r>
      <w:r w:rsidR="00F43919" w:rsidRPr="00ED69CB">
        <w:rPr>
          <w:szCs w:val="24"/>
        </w:rPr>
        <w:t xml:space="preserve">et al. (2017) </w:t>
      </w:r>
      <w:r w:rsidRPr="00ED69CB">
        <w:rPr>
          <w:szCs w:val="24"/>
        </w:rPr>
        <w:t xml:space="preserve">emphasise that </w:t>
      </w:r>
      <w:r w:rsidR="009F304D">
        <w:rPr>
          <w:szCs w:val="24"/>
        </w:rPr>
        <w:t>TM</w:t>
      </w:r>
      <w:r w:rsidRPr="00ED69CB">
        <w:rPr>
          <w:szCs w:val="24"/>
        </w:rPr>
        <w:t xml:space="preserve"> in this context remains underexplored compared to the private sector.</w:t>
      </w:r>
    </w:p>
    <w:p w14:paraId="3A2F2F0F" w14:textId="559C62D4" w:rsidR="00242F74" w:rsidRPr="00ED69CB" w:rsidRDefault="00A74165" w:rsidP="004B4162">
      <w:pPr>
        <w:pStyle w:val="Uni-Normal"/>
        <w:jc w:val="both"/>
        <w:rPr>
          <w:szCs w:val="24"/>
        </w:rPr>
      </w:pPr>
      <w:r w:rsidRPr="00ED69CB">
        <w:rPr>
          <w:szCs w:val="24"/>
        </w:rPr>
        <w:t xml:space="preserve">The lack of evidence on how councils can adapt to meet </w:t>
      </w:r>
      <w:r w:rsidR="0017563B" w:rsidRPr="00ED69CB">
        <w:rPr>
          <w:szCs w:val="24"/>
        </w:rPr>
        <w:t>Gen Z</w:t>
      </w:r>
      <w:r w:rsidRPr="00ED69CB">
        <w:rPr>
          <w:szCs w:val="24"/>
        </w:rPr>
        <w:t xml:space="preserve">’s expectations underscores the critical need for this study. By focusing on </w:t>
      </w:r>
      <w:r w:rsidR="00865CD5" w:rsidRPr="00ED69CB">
        <w:rPr>
          <w:szCs w:val="24"/>
        </w:rPr>
        <w:t>NCC</w:t>
      </w:r>
      <w:r w:rsidRPr="00ED69CB">
        <w:rPr>
          <w:szCs w:val="24"/>
        </w:rPr>
        <w:t xml:space="preserve"> as a case study, this research directly addresses these gaps. It will provide evidence-based insights into how </w:t>
      </w:r>
      <w:r w:rsidR="009F304D">
        <w:rPr>
          <w:szCs w:val="24"/>
        </w:rPr>
        <w:t>TM</w:t>
      </w:r>
      <w:r w:rsidRPr="00ED69CB">
        <w:rPr>
          <w:szCs w:val="24"/>
        </w:rPr>
        <w:t xml:space="preserve"> practices are experienced by </w:t>
      </w:r>
      <w:r w:rsidR="0017563B" w:rsidRPr="00ED69CB">
        <w:rPr>
          <w:szCs w:val="24"/>
        </w:rPr>
        <w:lastRenderedPageBreak/>
        <w:t>Gen Z</w:t>
      </w:r>
      <w:r w:rsidRPr="00ED69CB">
        <w:rPr>
          <w:szCs w:val="24"/>
        </w:rPr>
        <w:t xml:space="preserve"> employees in a public sector context. The findings will inform local policy and practice while contributing to </w:t>
      </w:r>
      <w:r w:rsidR="00E652AA" w:rsidRPr="00ED69CB">
        <w:rPr>
          <w:szCs w:val="24"/>
        </w:rPr>
        <w:t>literature</w:t>
      </w:r>
      <w:r w:rsidRPr="00ED69CB">
        <w:rPr>
          <w:szCs w:val="24"/>
        </w:rPr>
        <w:t xml:space="preserve"> on workforce sustainability and generational change in the public sector. In doing so, the study advances understanding of how councils can move beyond generic </w:t>
      </w:r>
      <w:r w:rsidR="009F304D">
        <w:rPr>
          <w:szCs w:val="24"/>
        </w:rPr>
        <w:t>TM</w:t>
      </w:r>
      <w:r w:rsidRPr="00ED69CB">
        <w:rPr>
          <w:szCs w:val="24"/>
        </w:rPr>
        <w:t xml:space="preserve"> approaches </w:t>
      </w:r>
      <w:r w:rsidR="00242F74" w:rsidRPr="00ED69CB">
        <w:rPr>
          <w:szCs w:val="24"/>
        </w:rPr>
        <w:t>and develop more context-sensitive strategies that better reflect the expectations of younger employees.</w:t>
      </w:r>
    </w:p>
    <w:p w14:paraId="10626F1B" w14:textId="3F2D1C67" w:rsidR="00271693" w:rsidRPr="00ED69CB" w:rsidRDefault="00A74165" w:rsidP="004B4162">
      <w:pPr>
        <w:pStyle w:val="2Sectionheading"/>
        <w:spacing w:line="360" w:lineRule="auto"/>
        <w:rPr>
          <w:rFonts w:cs="Times New Roman"/>
          <w:szCs w:val="24"/>
        </w:rPr>
      </w:pPr>
      <w:bookmarkStart w:id="31" w:name="_Toc234319611"/>
      <w:r w:rsidRPr="00ED69CB">
        <w:rPr>
          <w:rFonts w:cs="Times New Roman"/>
          <w:szCs w:val="24"/>
        </w:rPr>
        <w:t>1.8 Structure of the study</w:t>
      </w:r>
      <w:bookmarkEnd w:id="29"/>
      <w:bookmarkEnd w:id="30"/>
      <w:bookmarkEnd w:id="31"/>
      <w:r w:rsidRPr="00ED69CB">
        <w:rPr>
          <w:rFonts w:cs="Times New Roman"/>
          <w:szCs w:val="24"/>
        </w:rPr>
        <w:t xml:space="preserve"> </w:t>
      </w:r>
    </w:p>
    <w:p w14:paraId="44E3DDCF" w14:textId="5BF11FBA" w:rsidR="00653B16" w:rsidRPr="00ED69CB" w:rsidRDefault="00653B16" w:rsidP="004B4162">
      <w:pPr>
        <w:pStyle w:val="Uni-Normal"/>
        <w:numPr>
          <w:ilvl w:val="0"/>
          <w:numId w:val="23"/>
        </w:numPr>
        <w:jc w:val="both"/>
        <w:rPr>
          <w:szCs w:val="24"/>
        </w:rPr>
      </w:pPr>
      <w:bookmarkStart w:id="32" w:name="_Toc217916766"/>
      <w:bookmarkStart w:id="33" w:name="_Toc218671380"/>
      <w:r w:rsidRPr="00ED69CB">
        <w:rPr>
          <w:b/>
          <w:bCs/>
          <w:szCs w:val="24"/>
        </w:rPr>
        <w:t>Chapter 1</w:t>
      </w:r>
      <w:r w:rsidRPr="00ED69CB">
        <w:rPr>
          <w:szCs w:val="24"/>
        </w:rPr>
        <w:t xml:space="preserve"> introduces the research, outlining the background, research problem, aims and context for examining </w:t>
      </w:r>
      <w:r w:rsidR="009F304D">
        <w:rPr>
          <w:szCs w:val="24"/>
        </w:rPr>
        <w:t>TM</w:t>
      </w:r>
      <w:r w:rsidRPr="00ED69CB">
        <w:rPr>
          <w:szCs w:val="24"/>
        </w:rPr>
        <w:t xml:space="preserve"> and Gen Z within local government.</w:t>
      </w:r>
    </w:p>
    <w:p w14:paraId="7338B307" w14:textId="592D7E57" w:rsidR="00653B16" w:rsidRPr="00ED69CB" w:rsidRDefault="00653B16" w:rsidP="004B4162">
      <w:pPr>
        <w:pStyle w:val="Uni-Normal"/>
        <w:numPr>
          <w:ilvl w:val="0"/>
          <w:numId w:val="23"/>
        </w:numPr>
        <w:jc w:val="both"/>
        <w:rPr>
          <w:szCs w:val="24"/>
        </w:rPr>
      </w:pPr>
      <w:r w:rsidRPr="00ED69CB">
        <w:rPr>
          <w:b/>
          <w:bCs/>
          <w:szCs w:val="24"/>
        </w:rPr>
        <w:t>Chapter 2</w:t>
      </w:r>
      <w:r w:rsidRPr="00ED69CB">
        <w:rPr>
          <w:szCs w:val="24"/>
        </w:rPr>
        <w:t xml:space="preserve"> critically reviews the literature, exploring </w:t>
      </w:r>
      <w:r w:rsidR="009F304D">
        <w:rPr>
          <w:szCs w:val="24"/>
        </w:rPr>
        <w:t>TM</w:t>
      </w:r>
      <w:r w:rsidRPr="00ED69CB">
        <w:rPr>
          <w:szCs w:val="24"/>
        </w:rPr>
        <w:t xml:space="preserve"> theory, public sector challenges and Gen Z workplace expectations to identify key gaps. </w:t>
      </w:r>
    </w:p>
    <w:p w14:paraId="2284EBD3" w14:textId="77777777" w:rsidR="00653B16" w:rsidRPr="00ED69CB" w:rsidRDefault="00653B16" w:rsidP="004B4162">
      <w:pPr>
        <w:pStyle w:val="Uni-Normal"/>
        <w:numPr>
          <w:ilvl w:val="0"/>
          <w:numId w:val="23"/>
        </w:numPr>
        <w:jc w:val="both"/>
        <w:rPr>
          <w:szCs w:val="24"/>
        </w:rPr>
      </w:pPr>
      <w:r w:rsidRPr="00ED69CB">
        <w:rPr>
          <w:b/>
          <w:bCs/>
          <w:szCs w:val="24"/>
        </w:rPr>
        <w:t>Chapter 3</w:t>
      </w:r>
      <w:r w:rsidRPr="00ED69CB">
        <w:rPr>
          <w:szCs w:val="24"/>
        </w:rPr>
        <w:t xml:space="preserve"> outlines the research methodology, justifying the philosophical approach, research design, data collection and analytical methods adopted to address the research objectives.</w:t>
      </w:r>
    </w:p>
    <w:p w14:paraId="7D2E5F40" w14:textId="42F17AD1" w:rsidR="00653B16" w:rsidRPr="00ED69CB" w:rsidRDefault="00653B16" w:rsidP="004B4162">
      <w:pPr>
        <w:pStyle w:val="Uni-Normal"/>
        <w:numPr>
          <w:ilvl w:val="0"/>
          <w:numId w:val="23"/>
        </w:numPr>
        <w:jc w:val="both"/>
        <w:rPr>
          <w:szCs w:val="24"/>
        </w:rPr>
      </w:pPr>
      <w:r w:rsidRPr="00ED69CB">
        <w:rPr>
          <w:b/>
          <w:bCs/>
          <w:szCs w:val="24"/>
        </w:rPr>
        <w:t>Chapter 4</w:t>
      </w:r>
      <w:r w:rsidRPr="00ED69CB">
        <w:rPr>
          <w:szCs w:val="24"/>
        </w:rPr>
        <w:t xml:space="preserve"> </w:t>
      </w:r>
      <w:r w:rsidR="006C72F7" w:rsidRPr="00ED69CB">
        <w:rPr>
          <w:szCs w:val="24"/>
        </w:rPr>
        <w:t>presents, analyses and synthesises the findings, integrating quantitative and qualitative data and critically linking these to the literature to evaluate key themes in relation to the research objectives.</w:t>
      </w:r>
    </w:p>
    <w:p w14:paraId="38C3F9A8" w14:textId="172F9850" w:rsidR="004B4162" w:rsidRPr="00E71136" w:rsidRDefault="00653B16" w:rsidP="00E71136">
      <w:pPr>
        <w:pStyle w:val="Uni-Normal"/>
        <w:numPr>
          <w:ilvl w:val="0"/>
          <w:numId w:val="23"/>
        </w:numPr>
        <w:jc w:val="both"/>
        <w:rPr>
          <w:szCs w:val="24"/>
        </w:rPr>
      </w:pPr>
      <w:r w:rsidRPr="00ED69CB">
        <w:rPr>
          <w:b/>
          <w:bCs/>
          <w:szCs w:val="24"/>
        </w:rPr>
        <w:t>Chapter 5</w:t>
      </w:r>
      <w:r w:rsidRPr="00ED69CB">
        <w:rPr>
          <w:szCs w:val="24"/>
        </w:rPr>
        <w:t xml:space="preserve"> </w:t>
      </w:r>
      <w:r w:rsidR="004916A8" w:rsidRPr="00ED69CB">
        <w:rPr>
          <w:szCs w:val="24"/>
        </w:rPr>
        <w:t>presents overall conclusions in relation to the research objectives and provides evidence-based recommendations.</w:t>
      </w:r>
    </w:p>
    <w:p w14:paraId="1B1662DD" w14:textId="49CB2EB0" w:rsidR="00A74165" w:rsidRPr="00ED69CB" w:rsidRDefault="00A74165" w:rsidP="004B4162">
      <w:pPr>
        <w:pStyle w:val="2Sectionheading"/>
        <w:spacing w:line="360" w:lineRule="auto"/>
        <w:rPr>
          <w:rFonts w:cs="Times New Roman"/>
          <w:szCs w:val="24"/>
        </w:rPr>
      </w:pPr>
      <w:bookmarkStart w:id="34" w:name="_Toc234319612"/>
      <w:r w:rsidRPr="00ED69CB">
        <w:rPr>
          <w:rFonts w:cs="Times New Roman"/>
          <w:szCs w:val="24"/>
        </w:rPr>
        <w:t xml:space="preserve">1.9 </w:t>
      </w:r>
      <w:r w:rsidR="00C6530D" w:rsidRPr="00ED69CB">
        <w:rPr>
          <w:rFonts w:cs="Times New Roman"/>
          <w:szCs w:val="24"/>
        </w:rPr>
        <w:t xml:space="preserve">Chapter </w:t>
      </w:r>
      <w:r w:rsidRPr="00ED69CB">
        <w:rPr>
          <w:rFonts w:cs="Times New Roman"/>
          <w:szCs w:val="24"/>
        </w:rPr>
        <w:t>Summary</w:t>
      </w:r>
      <w:bookmarkEnd w:id="32"/>
      <w:bookmarkEnd w:id="33"/>
      <w:bookmarkEnd w:id="34"/>
    </w:p>
    <w:p w14:paraId="0D43466F" w14:textId="77777777" w:rsidR="00BB3F4A" w:rsidRPr="00ED69CB" w:rsidRDefault="00B2123C" w:rsidP="00295B33">
      <w:pPr>
        <w:pStyle w:val="Uni-Normal"/>
        <w:jc w:val="both"/>
        <w:rPr>
          <w:szCs w:val="24"/>
        </w:rPr>
      </w:pPr>
      <w:r w:rsidRPr="00ED69CB">
        <w:rPr>
          <w:szCs w:val="24"/>
        </w:rPr>
        <w:t xml:space="preserve">This chapter established the context and rationale for the study, defined the research </w:t>
      </w:r>
      <w:r w:rsidR="00413EDB" w:rsidRPr="00ED69CB">
        <w:rPr>
          <w:szCs w:val="24"/>
        </w:rPr>
        <w:t>problem and</w:t>
      </w:r>
      <w:r w:rsidRPr="00ED69CB">
        <w:rPr>
          <w:szCs w:val="24"/>
        </w:rPr>
        <w:t xml:space="preserve"> outlined the aims, </w:t>
      </w:r>
      <w:r w:rsidR="00413EDB" w:rsidRPr="00ED69CB">
        <w:rPr>
          <w:szCs w:val="24"/>
        </w:rPr>
        <w:t>objectives and</w:t>
      </w:r>
      <w:r w:rsidRPr="00ED69CB">
        <w:rPr>
          <w:szCs w:val="24"/>
        </w:rPr>
        <w:t xml:space="preserve"> research questions. It outlined the demographic challenges of an ageing workforce and the need to attract and retain younger employees, situating the study within the broader public sector workforce context. The next chapter presents a critical review of the literature on </w:t>
      </w:r>
      <w:r w:rsidR="009F304D">
        <w:rPr>
          <w:szCs w:val="24"/>
        </w:rPr>
        <w:t>TM</w:t>
      </w:r>
      <w:r w:rsidRPr="00ED69CB">
        <w:rPr>
          <w:szCs w:val="24"/>
        </w:rPr>
        <w:t xml:space="preserve"> and </w:t>
      </w:r>
      <w:r w:rsidR="0017563B" w:rsidRPr="00ED69CB">
        <w:rPr>
          <w:szCs w:val="24"/>
        </w:rPr>
        <w:t>Gen Z</w:t>
      </w:r>
      <w:r w:rsidRPr="00ED69CB">
        <w:rPr>
          <w:szCs w:val="24"/>
        </w:rPr>
        <w:t>, identifying gaps that inform the study’s conceptual framework.</w:t>
      </w:r>
      <w:bookmarkStart w:id="35" w:name="_Toc220001934"/>
    </w:p>
    <w:p w14:paraId="1935D223" w14:textId="59BC4A65" w:rsidR="00A74165" w:rsidRPr="00ED69CB" w:rsidRDefault="00A74165" w:rsidP="009D6FE0">
      <w:pPr>
        <w:pStyle w:val="1ChapterHeading"/>
        <w:pageBreakBefore/>
        <w:spacing w:line="360" w:lineRule="auto"/>
        <w:rPr>
          <w:szCs w:val="24"/>
        </w:rPr>
      </w:pPr>
      <w:bookmarkStart w:id="36" w:name="_Toc234319613"/>
      <w:r w:rsidRPr="00ED69CB">
        <w:rPr>
          <w:szCs w:val="24"/>
        </w:rPr>
        <w:lastRenderedPageBreak/>
        <w:t>CHAPTER 2</w:t>
      </w:r>
      <w:bookmarkEnd w:id="35"/>
      <w:bookmarkEnd w:id="36"/>
    </w:p>
    <w:p w14:paraId="40CB4243" w14:textId="62A4538E" w:rsidR="00A74165" w:rsidRPr="00ED69CB" w:rsidRDefault="00EA2B4E" w:rsidP="00EA2B4E">
      <w:pPr>
        <w:pStyle w:val="1ChapterHeading"/>
        <w:tabs>
          <w:tab w:val="left" w:pos="1318"/>
          <w:tab w:val="center" w:pos="4513"/>
        </w:tabs>
        <w:spacing w:line="360" w:lineRule="auto"/>
        <w:jc w:val="left"/>
        <w:rPr>
          <w:szCs w:val="24"/>
        </w:rPr>
      </w:pPr>
      <w:bookmarkStart w:id="37" w:name="_Toc220001935"/>
      <w:r>
        <w:rPr>
          <w:szCs w:val="24"/>
        </w:rPr>
        <w:tab/>
      </w:r>
      <w:r>
        <w:rPr>
          <w:szCs w:val="24"/>
        </w:rPr>
        <w:tab/>
      </w:r>
      <w:bookmarkStart w:id="38" w:name="_Toc234319614"/>
      <w:r w:rsidR="00A74165" w:rsidRPr="00ED69CB">
        <w:rPr>
          <w:szCs w:val="24"/>
        </w:rPr>
        <w:t>LITERATURE REVIEW</w:t>
      </w:r>
      <w:bookmarkEnd w:id="37"/>
      <w:bookmarkEnd w:id="38"/>
    </w:p>
    <w:p w14:paraId="5250D5E0" w14:textId="194CC870" w:rsidR="00A74165" w:rsidRPr="00ED69CB" w:rsidRDefault="00A74165" w:rsidP="004B4162">
      <w:pPr>
        <w:pStyle w:val="2Sectionheading"/>
        <w:spacing w:line="360" w:lineRule="auto"/>
        <w:jc w:val="both"/>
        <w:rPr>
          <w:rFonts w:cs="Times New Roman"/>
          <w:szCs w:val="24"/>
        </w:rPr>
      </w:pPr>
      <w:bookmarkStart w:id="39" w:name="_Toc207618243"/>
      <w:bookmarkStart w:id="40" w:name="_Toc220001936"/>
      <w:bookmarkStart w:id="41" w:name="_Toc234319615"/>
      <w:r w:rsidRPr="00ED69CB">
        <w:rPr>
          <w:rFonts w:cs="Times New Roman"/>
          <w:szCs w:val="24"/>
        </w:rPr>
        <w:t xml:space="preserve">2.1 </w:t>
      </w:r>
      <w:bookmarkEnd w:id="39"/>
      <w:bookmarkEnd w:id="40"/>
      <w:r w:rsidRPr="00ED69CB">
        <w:rPr>
          <w:rFonts w:cs="Times New Roman"/>
          <w:szCs w:val="24"/>
        </w:rPr>
        <w:t>Chapter Introduction</w:t>
      </w:r>
      <w:bookmarkEnd w:id="41"/>
    </w:p>
    <w:p w14:paraId="0229D669" w14:textId="61538B41" w:rsidR="00A74165" w:rsidRPr="000602E3" w:rsidRDefault="006918F0" w:rsidP="004B4162">
      <w:pPr>
        <w:pStyle w:val="Uni-Normal"/>
        <w:jc w:val="both"/>
        <w:rPr>
          <w:szCs w:val="24"/>
        </w:rPr>
      </w:pPr>
      <w:r w:rsidRPr="000602E3">
        <w:rPr>
          <w:szCs w:val="24"/>
        </w:rPr>
        <w:t xml:space="preserve">This chapter critically reviews literature on </w:t>
      </w:r>
      <w:r w:rsidR="009F304D" w:rsidRPr="000602E3">
        <w:rPr>
          <w:szCs w:val="24"/>
        </w:rPr>
        <w:t>TM</w:t>
      </w:r>
      <w:r w:rsidRPr="000602E3">
        <w:rPr>
          <w:szCs w:val="24"/>
        </w:rPr>
        <w:t>, focusing on its relevance to the public sector and the experiences of Gen Z</w:t>
      </w:r>
      <w:r w:rsidR="00A74165" w:rsidRPr="000602E3">
        <w:rPr>
          <w:szCs w:val="24"/>
        </w:rPr>
        <w:t>.</w:t>
      </w:r>
      <w:r w:rsidRPr="000602E3">
        <w:rPr>
          <w:szCs w:val="24"/>
        </w:rPr>
        <w:t xml:space="preserve"> It begins by outlining the theoretical foundations and evolution of </w:t>
      </w:r>
      <w:r w:rsidR="009F304D" w:rsidRPr="000602E3">
        <w:rPr>
          <w:szCs w:val="24"/>
        </w:rPr>
        <w:t>TM</w:t>
      </w:r>
      <w:r w:rsidRPr="000602E3">
        <w:rPr>
          <w:szCs w:val="24"/>
        </w:rPr>
        <w:t xml:space="preserve"> before examining its application within local government contexts. The chapter then explores generational differences in workforce expectations, with particular attention to Gen Z values and emerging research on attracting, engaging and retaining younger employees in local government roles. </w:t>
      </w:r>
      <w:r w:rsidR="00A74165" w:rsidRPr="000602E3">
        <w:rPr>
          <w:szCs w:val="24"/>
        </w:rPr>
        <w:t xml:space="preserve">The chapter concludes by identifying gaps </w:t>
      </w:r>
      <w:r w:rsidR="00162D92" w:rsidRPr="000602E3">
        <w:rPr>
          <w:szCs w:val="24"/>
        </w:rPr>
        <w:t xml:space="preserve">which </w:t>
      </w:r>
      <w:r w:rsidR="00A0755F" w:rsidRPr="000602E3">
        <w:rPr>
          <w:szCs w:val="24"/>
        </w:rPr>
        <w:t>inform</w:t>
      </w:r>
      <w:r w:rsidR="00162D92" w:rsidRPr="000602E3">
        <w:rPr>
          <w:szCs w:val="24"/>
        </w:rPr>
        <w:t xml:space="preserve"> the focus of this research.</w:t>
      </w:r>
    </w:p>
    <w:p w14:paraId="1A131A11" w14:textId="08CC0BC2" w:rsidR="00A74165" w:rsidRPr="009F304D" w:rsidRDefault="00A74165" w:rsidP="004B4162">
      <w:pPr>
        <w:pStyle w:val="2Sectionheading"/>
        <w:spacing w:line="360" w:lineRule="auto"/>
        <w:jc w:val="both"/>
        <w:rPr>
          <w:szCs w:val="24"/>
        </w:rPr>
      </w:pPr>
      <w:bookmarkStart w:id="42" w:name="_Toc220001937"/>
      <w:bookmarkStart w:id="43" w:name="_Toc234319616"/>
      <w:r w:rsidRPr="00ED69CB">
        <w:rPr>
          <w:rFonts w:cs="Times New Roman"/>
          <w:szCs w:val="24"/>
        </w:rPr>
        <w:t xml:space="preserve">2.2 Foundations and Evolution of </w:t>
      </w:r>
      <w:bookmarkEnd w:id="42"/>
      <w:r w:rsidR="009F304D">
        <w:rPr>
          <w:rFonts w:cs="Times New Roman"/>
          <w:szCs w:val="24"/>
        </w:rPr>
        <w:t>T</w:t>
      </w:r>
      <w:r w:rsidR="009F304D" w:rsidRPr="009F304D">
        <w:rPr>
          <w:szCs w:val="24"/>
        </w:rPr>
        <w:t>alent Management</w:t>
      </w:r>
      <w:bookmarkEnd w:id="43"/>
    </w:p>
    <w:p w14:paraId="69DBC030" w14:textId="0324B60D" w:rsidR="00A74165" w:rsidRPr="000602E3" w:rsidRDefault="009F304D" w:rsidP="004B4162">
      <w:pPr>
        <w:pStyle w:val="Uni-Normal"/>
        <w:jc w:val="both"/>
        <w:rPr>
          <w:szCs w:val="24"/>
        </w:rPr>
      </w:pPr>
      <w:r w:rsidRPr="000602E3">
        <w:rPr>
          <w:szCs w:val="24"/>
        </w:rPr>
        <w:t>TM</w:t>
      </w:r>
      <w:r w:rsidR="00D16C2D" w:rsidRPr="000602E3">
        <w:rPr>
          <w:szCs w:val="24"/>
        </w:rPr>
        <w:t xml:space="preserve"> emerged in the late 1990s in response to skilled labour shortages and competition for talent. War for Talent framed attraction and retention as strategic priorities rather than transactional HR concerns (Cappelli and Keller, 2017). Its foundations are commonly linked to Human Capital Theory, which treats employee skills as investments that improve </w:t>
      </w:r>
      <w:r w:rsidR="00413EDB" w:rsidRPr="000602E3">
        <w:rPr>
          <w:szCs w:val="24"/>
        </w:rPr>
        <w:t>outcomes and</w:t>
      </w:r>
      <w:r w:rsidR="00D16C2D" w:rsidRPr="000602E3">
        <w:rPr>
          <w:szCs w:val="24"/>
        </w:rPr>
        <w:t xml:space="preserve"> the Resource-Based View, which sees talent as a source of competitive advantage (Becker, 1993; Oliver, 1997).</w:t>
      </w:r>
      <w:r w:rsidR="00D16C2D" w:rsidRPr="000602E3">
        <w:rPr>
          <w:kern w:val="2"/>
          <w:szCs w:val="24"/>
          <w:lang w:eastAsia="en-GB"/>
          <w14:ligatures w14:val="standardContextual"/>
        </w:rPr>
        <w:t xml:space="preserve"> </w:t>
      </w:r>
      <w:r w:rsidR="00BB3F4A" w:rsidRPr="000602E3">
        <w:rPr>
          <w:szCs w:val="24"/>
        </w:rPr>
        <w:t>Although these theories differ, both emphasise the critical role of people in organisations.</w:t>
      </w:r>
    </w:p>
    <w:p w14:paraId="20306320" w14:textId="2332AC1B" w:rsidR="00D16C2D" w:rsidRPr="000602E3" w:rsidRDefault="00D16C2D" w:rsidP="004B4162">
      <w:pPr>
        <w:pStyle w:val="Uni-Normal"/>
        <w:jc w:val="both"/>
        <w:rPr>
          <w:kern w:val="2"/>
          <w:szCs w:val="24"/>
          <w:lang w:eastAsia="en-GB"/>
          <w14:ligatures w14:val="standardContextual"/>
        </w:rPr>
      </w:pPr>
      <w:r w:rsidRPr="000602E3">
        <w:rPr>
          <w:szCs w:val="24"/>
        </w:rPr>
        <w:t>CIPD (202</w:t>
      </w:r>
      <w:r w:rsidR="00354B68" w:rsidRPr="000602E3">
        <w:rPr>
          <w:szCs w:val="24"/>
        </w:rPr>
        <w:t>5</w:t>
      </w:r>
      <w:r w:rsidR="002048FE" w:rsidRPr="000602E3">
        <w:rPr>
          <w:szCs w:val="24"/>
        </w:rPr>
        <w:t>a</w:t>
      </w:r>
      <w:r w:rsidRPr="000602E3">
        <w:rPr>
          <w:szCs w:val="24"/>
        </w:rPr>
        <w:t>)</w:t>
      </w:r>
      <w:r w:rsidR="00A5195E" w:rsidRPr="000602E3">
        <w:rPr>
          <w:szCs w:val="24"/>
        </w:rPr>
        <w:t xml:space="preserve"> </w:t>
      </w:r>
      <w:r w:rsidRPr="000602E3">
        <w:rPr>
          <w:szCs w:val="24"/>
        </w:rPr>
        <w:t xml:space="preserve">defines </w:t>
      </w:r>
      <w:r w:rsidR="009F304D" w:rsidRPr="000602E3">
        <w:rPr>
          <w:szCs w:val="24"/>
        </w:rPr>
        <w:t>TM</w:t>
      </w:r>
      <w:r w:rsidRPr="000602E3">
        <w:rPr>
          <w:szCs w:val="24"/>
        </w:rPr>
        <w:t xml:space="preserve"> as the processes used to attract, identify, develop, engage and retain people who add organisational value. Approaches vary from inclusive models that develop the whole workforce to exclusive models focused on high-potential staff, with some organisations using blended approaches. Roy and Devi (2017) argue that the most suitable model depends on organisational context, while Cross Walker (2020) links inclusive approaches to equity and knowledge sharing in public </w:t>
      </w:r>
      <w:r w:rsidR="004C58F2" w:rsidRPr="000602E3">
        <w:rPr>
          <w:szCs w:val="24"/>
        </w:rPr>
        <w:t>services,</w:t>
      </w:r>
      <w:r w:rsidR="004C58F2">
        <w:rPr>
          <w:szCs w:val="24"/>
        </w:rPr>
        <w:t xml:space="preserve"> although</w:t>
      </w:r>
      <w:r w:rsidR="00D673CE">
        <w:rPr>
          <w:szCs w:val="24"/>
        </w:rPr>
        <w:t xml:space="preserve"> </w:t>
      </w:r>
      <w:r w:rsidRPr="000602E3">
        <w:rPr>
          <w:szCs w:val="24"/>
        </w:rPr>
        <w:t xml:space="preserve">their ability to address critical skills shortages remains debated (Roy </w:t>
      </w:r>
      <w:r w:rsidR="003607B1" w:rsidRPr="000602E3">
        <w:rPr>
          <w:szCs w:val="24"/>
        </w:rPr>
        <w:t>and</w:t>
      </w:r>
      <w:r w:rsidRPr="000602E3">
        <w:rPr>
          <w:szCs w:val="24"/>
        </w:rPr>
        <w:t xml:space="preserve"> Devi, 2017).</w:t>
      </w:r>
    </w:p>
    <w:p w14:paraId="08E30B16" w14:textId="6BB069A3" w:rsidR="00A74165" w:rsidRPr="000602E3" w:rsidRDefault="009F304D" w:rsidP="004B4162">
      <w:pPr>
        <w:pStyle w:val="Uni-Normal"/>
        <w:jc w:val="both"/>
        <w:rPr>
          <w:szCs w:val="24"/>
        </w:rPr>
      </w:pPr>
      <w:r w:rsidRPr="000602E3">
        <w:rPr>
          <w:szCs w:val="24"/>
        </w:rPr>
        <w:t>TM</w:t>
      </w:r>
      <w:r w:rsidR="00BB3F4A" w:rsidRPr="000602E3">
        <w:rPr>
          <w:szCs w:val="24"/>
        </w:rPr>
        <w:t xml:space="preserve"> has evolved beyond attraction to include practices such as </w:t>
      </w:r>
      <w:r w:rsidR="00A52045" w:rsidRPr="000602E3">
        <w:rPr>
          <w:szCs w:val="24"/>
        </w:rPr>
        <w:t xml:space="preserve">employee value proposition </w:t>
      </w:r>
      <w:r w:rsidR="00A52045">
        <w:rPr>
          <w:szCs w:val="24"/>
        </w:rPr>
        <w:t>(</w:t>
      </w:r>
      <w:r w:rsidR="00BB3F4A" w:rsidRPr="000602E3">
        <w:rPr>
          <w:szCs w:val="24"/>
        </w:rPr>
        <w:t>EVP</w:t>
      </w:r>
      <w:r w:rsidR="00A52045">
        <w:rPr>
          <w:szCs w:val="24"/>
        </w:rPr>
        <w:t>)</w:t>
      </w:r>
      <w:r w:rsidR="00BB3F4A" w:rsidRPr="000602E3">
        <w:rPr>
          <w:szCs w:val="24"/>
        </w:rPr>
        <w:t xml:space="preserve">, wellbeing initiatives and flexible working. </w:t>
      </w:r>
      <w:r w:rsidR="00A74165" w:rsidRPr="000602E3">
        <w:rPr>
          <w:szCs w:val="24"/>
        </w:rPr>
        <w:t>CIPD</w:t>
      </w:r>
      <w:r w:rsidR="00354B68" w:rsidRPr="000602E3">
        <w:rPr>
          <w:szCs w:val="24"/>
        </w:rPr>
        <w:t xml:space="preserve"> (2025</w:t>
      </w:r>
      <w:r w:rsidR="002048FE" w:rsidRPr="000602E3">
        <w:rPr>
          <w:szCs w:val="24"/>
        </w:rPr>
        <w:t>a</w:t>
      </w:r>
      <w:r w:rsidR="00354B68" w:rsidRPr="000602E3">
        <w:rPr>
          <w:szCs w:val="24"/>
        </w:rPr>
        <w:t>)</w:t>
      </w:r>
      <w:r w:rsidR="00A74165" w:rsidRPr="000602E3">
        <w:rPr>
          <w:szCs w:val="24"/>
        </w:rPr>
        <w:t xml:space="preserve"> further highlights </w:t>
      </w:r>
      <w:r w:rsidR="004B4162" w:rsidRPr="000602E3">
        <w:rPr>
          <w:szCs w:val="24"/>
        </w:rPr>
        <w:t xml:space="preserve">that attraction alone is insufficient, </w:t>
      </w:r>
      <w:r w:rsidR="00A112D0" w:rsidRPr="00A112D0">
        <w:rPr>
          <w:szCs w:val="24"/>
        </w:rPr>
        <w:t>emphasising</w:t>
      </w:r>
      <w:r w:rsidR="0029077C">
        <w:rPr>
          <w:szCs w:val="24"/>
        </w:rPr>
        <w:t xml:space="preserve"> </w:t>
      </w:r>
      <w:r w:rsidR="004B4162" w:rsidRPr="000602E3">
        <w:rPr>
          <w:szCs w:val="24"/>
        </w:rPr>
        <w:t>the importance of development, retention and strategic workforce planning.</w:t>
      </w:r>
      <w:r w:rsidR="00A74165" w:rsidRPr="000602E3">
        <w:rPr>
          <w:szCs w:val="24"/>
        </w:rPr>
        <w:t xml:space="preserve"> To support this, CIPD </w:t>
      </w:r>
      <w:r w:rsidR="00A5195E" w:rsidRPr="000602E3">
        <w:rPr>
          <w:szCs w:val="24"/>
        </w:rPr>
        <w:t>(2025</w:t>
      </w:r>
      <w:r w:rsidR="002048FE" w:rsidRPr="000602E3">
        <w:rPr>
          <w:szCs w:val="24"/>
        </w:rPr>
        <w:t>b</w:t>
      </w:r>
      <w:r w:rsidR="00A5195E" w:rsidRPr="000602E3">
        <w:rPr>
          <w:szCs w:val="24"/>
        </w:rPr>
        <w:t xml:space="preserve">) </w:t>
      </w:r>
      <w:r w:rsidR="00A74165" w:rsidRPr="000602E3">
        <w:rPr>
          <w:szCs w:val="24"/>
        </w:rPr>
        <w:t xml:space="preserve">recommends </w:t>
      </w:r>
      <w:r w:rsidR="002B605A" w:rsidRPr="000602E3">
        <w:rPr>
          <w:szCs w:val="24"/>
        </w:rPr>
        <w:t>a strategic approach to workforce planning and internal development programmes to upskill employees.</w:t>
      </w:r>
      <w:r w:rsidR="00A74165" w:rsidRPr="000602E3">
        <w:rPr>
          <w:szCs w:val="24"/>
        </w:rPr>
        <w:t xml:space="preserve"> </w:t>
      </w:r>
      <w:r w:rsidR="00BB3F4A" w:rsidRPr="000602E3">
        <w:rPr>
          <w:szCs w:val="24"/>
        </w:rPr>
        <w:t xml:space="preserve">This </w:t>
      </w:r>
      <w:r w:rsidR="00BB3F4A" w:rsidRPr="000602E3">
        <w:rPr>
          <w:szCs w:val="24"/>
        </w:rPr>
        <w:lastRenderedPageBreak/>
        <w:t xml:space="preserve">reflects a broader recognition that organisational success depends on developing capability across key roles, making </w:t>
      </w:r>
      <w:r w:rsidRPr="000602E3">
        <w:rPr>
          <w:szCs w:val="24"/>
        </w:rPr>
        <w:t>TM</w:t>
      </w:r>
      <w:r w:rsidR="00BB3F4A" w:rsidRPr="000602E3">
        <w:rPr>
          <w:szCs w:val="24"/>
        </w:rPr>
        <w:t xml:space="preserve"> a strategic priority</w:t>
      </w:r>
      <w:r w:rsidR="00A74165" w:rsidRPr="000602E3">
        <w:rPr>
          <w:szCs w:val="24"/>
        </w:rPr>
        <w:t xml:space="preserve"> (Cappelli </w:t>
      </w:r>
      <w:r w:rsidR="003607B1" w:rsidRPr="000602E3">
        <w:rPr>
          <w:szCs w:val="24"/>
        </w:rPr>
        <w:t xml:space="preserve">and </w:t>
      </w:r>
      <w:r w:rsidR="00A74165" w:rsidRPr="000602E3">
        <w:rPr>
          <w:szCs w:val="24"/>
        </w:rPr>
        <w:t>Keller, 2017).</w:t>
      </w:r>
    </w:p>
    <w:p w14:paraId="092CEFA3" w14:textId="3794758F" w:rsidR="00A74165" w:rsidRPr="000602E3" w:rsidRDefault="00A74165" w:rsidP="004B4162">
      <w:pPr>
        <w:pStyle w:val="Uni-Normal"/>
        <w:jc w:val="both"/>
        <w:rPr>
          <w:szCs w:val="24"/>
        </w:rPr>
      </w:pPr>
      <w:r w:rsidRPr="000602E3">
        <w:rPr>
          <w:szCs w:val="24"/>
        </w:rPr>
        <w:t xml:space="preserve">Recent research highlights the transformative role of technology, data </w:t>
      </w:r>
      <w:r w:rsidR="00413EDB" w:rsidRPr="000602E3">
        <w:rPr>
          <w:szCs w:val="24"/>
        </w:rPr>
        <w:t>analytics and</w:t>
      </w:r>
      <w:r w:rsidRPr="000602E3">
        <w:rPr>
          <w:szCs w:val="24"/>
        </w:rPr>
        <w:t xml:space="preserve"> artificial intelligence in shaping modern talent strategies. Acharya and Seshadri (2025) emphasise that </w:t>
      </w:r>
      <w:r w:rsidR="009F304D" w:rsidRPr="000602E3">
        <w:rPr>
          <w:szCs w:val="24"/>
        </w:rPr>
        <w:t>TM</w:t>
      </w:r>
      <w:r w:rsidRPr="000602E3">
        <w:rPr>
          <w:szCs w:val="24"/>
        </w:rPr>
        <w:t xml:space="preserve"> is now dynamic and deeply embedded within business strategy, prioritising adaptability, continuous </w:t>
      </w:r>
      <w:r w:rsidR="00413EDB" w:rsidRPr="000602E3">
        <w:rPr>
          <w:szCs w:val="24"/>
        </w:rPr>
        <w:t>learning and</w:t>
      </w:r>
      <w:r w:rsidRPr="000602E3">
        <w:rPr>
          <w:szCs w:val="24"/>
        </w:rPr>
        <w:t xml:space="preserve"> digital integration. Similarly, Arora et al. (2024) contend that digital transformation and agile business models have made </w:t>
      </w:r>
      <w:r w:rsidR="009F304D" w:rsidRPr="000602E3">
        <w:rPr>
          <w:szCs w:val="24"/>
        </w:rPr>
        <w:t>TM</w:t>
      </w:r>
      <w:r w:rsidRPr="000602E3">
        <w:rPr>
          <w:szCs w:val="24"/>
        </w:rPr>
        <w:t xml:space="preserve"> essential for maintaining competitiveness in a rapidly changing environment. The rise of AI, data </w:t>
      </w:r>
      <w:r w:rsidR="00413EDB" w:rsidRPr="000602E3">
        <w:rPr>
          <w:szCs w:val="24"/>
        </w:rPr>
        <w:t>analytics and</w:t>
      </w:r>
      <w:r w:rsidRPr="000602E3">
        <w:rPr>
          <w:szCs w:val="24"/>
        </w:rPr>
        <w:t xml:space="preserve"> digital service delivery is redefining skill requirements across industries, demanding new technical competencies alongside soft skills such as adaptability and problem-solving (Acharya </w:t>
      </w:r>
      <w:r w:rsidR="003607B1" w:rsidRPr="000602E3">
        <w:rPr>
          <w:szCs w:val="24"/>
        </w:rPr>
        <w:t>and</w:t>
      </w:r>
      <w:r w:rsidRPr="000602E3">
        <w:rPr>
          <w:szCs w:val="24"/>
        </w:rPr>
        <w:t xml:space="preserve"> Seshadri, 2025).</w:t>
      </w:r>
    </w:p>
    <w:p w14:paraId="2C0589F1" w14:textId="4317231A" w:rsidR="00893A55" w:rsidRPr="000602E3" w:rsidRDefault="00893A55" w:rsidP="004B4162">
      <w:pPr>
        <w:pStyle w:val="Uni-Normal"/>
        <w:jc w:val="both"/>
        <w:rPr>
          <w:szCs w:val="24"/>
        </w:rPr>
      </w:pPr>
      <w:r w:rsidRPr="000602E3">
        <w:rPr>
          <w:szCs w:val="24"/>
        </w:rPr>
        <w:t xml:space="preserve">Alongside these developments, diversity and inclusion are increasingly emphasised within talent strategies, with organisations prioritising fairness and representation (Groenewald et al., 2024; Acharya and Seshadri, 2025). The integration of diversity, </w:t>
      </w:r>
      <w:r w:rsidR="00413EDB" w:rsidRPr="000602E3">
        <w:rPr>
          <w:szCs w:val="24"/>
        </w:rPr>
        <w:t>equity and</w:t>
      </w:r>
      <w:r w:rsidRPr="000602E3">
        <w:rPr>
          <w:szCs w:val="24"/>
        </w:rPr>
        <w:t xml:space="preserve"> inclusion (DEI) is associated with employee engagement and organisational performance, while the absence of inclusive practices is linked to disengagement and reduced competitiveness. These developments underscore the need for talent strategies that are agile, technology-</w:t>
      </w:r>
      <w:r w:rsidR="00413EDB" w:rsidRPr="000602E3">
        <w:rPr>
          <w:szCs w:val="24"/>
        </w:rPr>
        <w:t>enabled and</w:t>
      </w:r>
      <w:r w:rsidRPr="000602E3">
        <w:rPr>
          <w:szCs w:val="24"/>
        </w:rPr>
        <w:t xml:space="preserve"> aligned with contemporary workforce planning (Groenewald et al., 2024; Acharya and Seshadri, 2025).</w:t>
      </w:r>
    </w:p>
    <w:p w14:paraId="2B190ABE" w14:textId="784FC545" w:rsidR="00A74165" w:rsidRPr="009F304D" w:rsidRDefault="00A74165" w:rsidP="004B4162">
      <w:pPr>
        <w:pStyle w:val="2Sectionheading"/>
        <w:spacing w:line="360" w:lineRule="auto"/>
        <w:jc w:val="both"/>
        <w:rPr>
          <w:szCs w:val="24"/>
        </w:rPr>
      </w:pPr>
      <w:bookmarkStart w:id="44" w:name="_Toc220001938"/>
      <w:bookmarkStart w:id="45" w:name="_Toc234319617"/>
      <w:r w:rsidRPr="00ED69CB">
        <w:rPr>
          <w:rFonts w:cs="Times New Roman"/>
          <w:szCs w:val="24"/>
        </w:rPr>
        <w:t xml:space="preserve">2.3 </w:t>
      </w:r>
      <w:bookmarkEnd w:id="44"/>
      <w:r w:rsidR="009F304D" w:rsidRPr="009F304D">
        <w:rPr>
          <w:szCs w:val="24"/>
        </w:rPr>
        <w:t>Talent Management in the Public Sector</w:t>
      </w:r>
      <w:bookmarkEnd w:id="45"/>
    </w:p>
    <w:p w14:paraId="71DBD8FB" w14:textId="1AD2E073" w:rsidR="00E355FA" w:rsidRPr="00E355FA" w:rsidRDefault="00E355FA" w:rsidP="00E355FA">
      <w:pPr>
        <w:pStyle w:val="Uni-Normal"/>
        <w:jc w:val="both"/>
        <w:rPr>
          <w:szCs w:val="24"/>
        </w:rPr>
      </w:pPr>
      <w:r w:rsidRPr="00E355FA">
        <w:rPr>
          <w:szCs w:val="24"/>
        </w:rPr>
        <w:t xml:space="preserve">Although </w:t>
      </w:r>
      <w:r w:rsidR="00AA5A99">
        <w:rPr>
          <w:szCs w:val="24"/>
        </w:rPr>
        <w:t xml:space="preserve">TM </w:t>
      </w:r>
      <w:r w:rsidRPr="00E355FA">
        <w:rPr>
          <w:szCs w:val="24"/>
        </w:rPr>
        <w:t xml:space="preserve">has become a prominent feature of organisational strategy, its implementation within the public sector remains comparatively underdeveloped (Cross Walker, 2020; Thunnissen and Buttiens, 2017; Al Jawali et al., 2022). Cross Walker (2020) argues that public sector organisations face many of the same challenges as private organisations, including workforce ageing, skills shortages and the potential loss of organisational knowledge, yet </w:t>
      </w:r>
      <w:r w:rsidR="00AA5A99">
        <w:rPr>
          <w:szCs w:val="24"/>
        </w:rPr>
        <w:t>TM</w:t>
      </w:r>
      <w:r w:rsidRPr="00E355FA">
        <w:rPr>
          <w:szCs w:val="24"/>
        </w:rPr>
        <w:t xml:space="preserve"> has received relatively limited attention in public-sector research and practice. As a result, understanding how </w:t>
      </w:r>
      <w:r w:rsidR="00AA5A99">
        <w:rPr>
          <w:szCs w:val="24"/>
        </w:rPr>
        <w:t>TM</w:t>
      </w:r>
      <w:r w:rsidRPr="00E355FA">
        <w:rPr>
          <w:szCs w:val="24"/>
        </w:rPr>
        <w:t xml:space="preserve"> can be applied within the constraints of public organisations has become an increasingly important area of study.</w:t>
      </w:r>
    </w:p>
    <w:p w14:paraId="630BC39B" w14:textId="39B1E5E0" w:rsidR="00A74165" w:rsidRPr="000602E3" w:rsidRDefault="00A74165" w:rsidP="004B4162">
      <w:pPr>
        <w:pStyle w:val="Uni-Normal"/>
        <w:jc w:val="both"/>
        <w:rPr>
          <w:szCs w:val="24"/>
        </w:rPr>
      </w:pPr>
      <w:r w:rsidRPr="00E355FA">
        <w:rPr>
          <w:szCs w:val="24"/>
        </w:rPr>
        <w:t xml:space="preserve">Historically, </w:t>
      </w:r>
      <w:r w:rsidR="009F304D" w:rsidRPr="00E355FA">
        <w:rPr>
          <w:szCs w:val="24"/>
        </w:rPr>
        <w:t>TM</w:t>
      </w:r>
      <w:r w:rsidRPr="00E355FA">
        <w:rPr>
          <w:szCs w:val="24"/>
        </w:rPr>
        <w:t xml:space="preserve"> originated in the private sector. Kravariti and Johnston (2020) note that while private</w:t>
      </w:r>
      <w:r w:rsidRPr="000602E3">
        <w:rPr>
          <w:szCs w:val="24"/>
        </w:rPr>
        <w:t xml:space="preserve"> organisations adopted these practices early, the public sector advanced more slowly due to reliance on traditional employment models and budget constraints</w:t>
      </w:r>
      <w:r w:rsidR="00F43919" w:rsidRPr="000602E3">
        <w:rPr>
          <w:szCs w:val="24"/>
        </w:rPr>
        <w:t>. Boselie et al. (2017)</w:t>
      </w:r>
      <w:r w:rsidRPr="000602E3">
        <w:rPr>
          <w:szCs w:val="24"/>
        </w:rPr>
        <w:t xml:space="preserve"> note </w:t>
      </w:r>
      <w:r w:rsidRPr="000602E3">
        <w:rPr>
          <w:szCs w:val="24"/>
        </w:rPr>
        <w:lastRenderedPageBreak/>
        <w:t xml:space="preserve">that this slower development is also linked to the public sector’s distinct environment, where employment arrangements were traditionally designed around stability, equal treatment and long-term careers, rather than strategic differentiation. These features shaped how workforce development </w:t>
      </w:r>
      <w:r w:rsidR="002B605A" w:rsidRPr="000602E3">
        <w:rPr>
          <w:szCs w:val="24"/>
        </w:rPr>
        <w:t xml:space="preserve">was approached </w:t>
      </w:r>
      <w:r w:rsidRPr="000602E3">
        <w:rPr>
          <w:szCs w:val="24"/>
        </w:rPr>
        <w:t xml:space="preserve">and meant that </w:t>
      </w:r>
      <w:r w:rsidR="009F304D" w:rsidRPr="000602E3">
        <w:rPr>
          <w:szCs w:val="24"/>
        </w:rPr>
        <w:t>TM</w:t>
      </w:r>
      <w:r w:rsidRPr="000602E3">
        <w:rPr>
          <w:szCs w:val="24"/>
        </w:rPr>
        <w:t xml:space="preserve"> was not initially seen as a strategic priority.</w:t>
      </w:r>
    </w:p>
    <w:p w14:paraId="555BEAB2" w14:textId="60C20A40" w:rsidR="00A74165" w:rsidRPr="000602E3" w:rsidRDefault="00A74165" w:rsidP="004B4162">
      <w:pPr>
        <w:pStyle w:val="Uni-Normal"/>
        <w:jc w:val="both"/>
        <w:rPr>
          <w:szCs w:val="24"/>
        </w:rPr>
      </w:pPr>
      <w:r w:rsidRPr="000602E3">
        <w:rPr>
          <w:szCs w:val="24"/>
        </w:rPr>
        <w:t xml:space="preserve">Implementing </w:t>
      </w:r>
      <w:r w:rsidR="009F304D" w:rsidRPr="000602E3">
        <w:rPr>
          <w:szCs w:val="24"/>
        </w:rPr>
        <w:t>TM</w:t>
      </w:r>
      <w:r w:rsidRPr="000602E3">
        <w:rPr>
          <w:szCs w:val="24"/>
        </w:rPr>
        <w:t xml:space="preserve"> in the public sector is complex because of diverse organisational structures, making strategies less visible and harder to operationalise (Kravariti </w:t>
      </w:r>
      <w:r w:rsidR="003607B1" w:rsidRPr="000602E3">
        <w:rPr>
          <w:szCs w:val="24"/>
        </w:rPr>
        <w:t xml:space="preserve">and </w:t>
      </w:r>
      <w:r w:rsidRPr="000602E3">
        <w:rPr>
          <w:szCs w:val="24"/>
        </w:rPr>
        <w:t xml:space="preserve">Johnston, 2020). Sector-wide analysis shows a cumulative 32% reduction in local government headcount since 2012, reflecting how service redesign and funding pressures have eroded workforce capacity (Deegan et al., 2024). </w:t>
      </w:r>
      <w:r w:rsidR="00F43919" w:rsidRPr="000602E3">
        <w:rPr>
          <w:szCs w:val="24"/>
        </w:rPr>
        <w:t xml:space="preserve">Boselie et al. (2017), </w:t>
      </w:r>
      <w:r w:rsidRPr="000602E3">
        <w:rPr>
          <w:szCs w:val="24"/>
        </w:rPr>
        <w:t xml:space="preserve">emphasise that approaches must be adaptable and sector-specific, as private sector models often fail to address public sector constraints. </w:t>
      </w:r>
    </w:p>
    <w:p w14:paraId="651770A3" w14:textId="540B4203" w:rsidR="008E3A7D" w:rsidRPr="008E3A7D" w:rsidRDefault="00A74165" w:rsidP="008E3A7D">
      <w:pPr>
        <w:pStyle w:val="Uni-Normal"/>
        <w:jc w:val="both"/>
        <w:rPr>
          <w:szCs w:val="24"/>
        </w:rPr>
      </w:pPr>
      <w:r w:rsidRPr="000602E3">
        <w:rPr>
          <w:szCs w:val="24"/>
        </w:rPr>
        <w:t>A growing body of literature identifies the EVP as a key factor influencing attraction and retention outcomes (CIPD, 202</w:t>
      </w:r>
      <w:r w:rsidR="00354B68" w:rsidRPr="000602E3">
        <w:rPr>
          <w:szCs w:val="24"/>
        </w:rPr>
        <w:t>5</w:t>
      </w:r>
      <w:r w:rsidR="00265AAC">
        <w:rPr>
          <w:szCs w:val="24"/>
        </w:rPr>
        <w:t>a</w:t>
      </w:r>
      <w:r w:rsidRPr="000602E3">
        <w:rPr>
          <w:szCs w:val="24"/>
        </w:rPr>
        <w:t>; Deegan et al., 2024). Recent guidance for public sector employers suggests that a</w:t>
      </w:r>
      <w:r w:rsidR="002B605A" w:rsidRPr="000602E3">
        <w:rPr>
          <w:szCs w:val="24"/>
        </w:rPr>
        <w:t xml:space="preserve">n </w:t>
      </w:r>
      <w:r w:rsidRPr="000602E3">
        <w:rPr>
          <w:szCs w:val="24"/>
        </w:rPr>
        <w:t xml:space="preserve">authentic EVP that reflects what employees </w:t>
      </w:r>
      <w:proofErr w:type="gramStart"/>
      <w:r w:rsidR="00B609DB" w:rsidRPr="000602E3">
        <w:rPr>
          <w:szCs w:val="24"/>
        </w:rPr>
        <w:t xml:space="preserve">actually </w:t>
      </w:r>
      <w:r w:rsidRPr="000602E3">
        <w:rPr>
          <w:szCs w:val="24"/>
        </w:rPr>
        <w:t>value</w:t>
      </w:r>
      <w:proofErr w:type="gramEnd"/>
      <w:r w:rsidRPr="000602E3">
        <w:rPr>
          <w:szCs w:val="24"/>
        </w:rPr>
        <w:t xml:space="preserve">, such as hybrid working, career </w:t>
      </w:r>
      <w:r w:rsidR="00413EDB" w:rsidRPr="000602E3">
        <w:rPr>
          <w:szCs w:val="24"/>
        </w:rPr>
        <w:t>development and</w:t>
      </w:r>
      <w:r w:rsidRPr="000602E3">
        <w:rPr>
          <w:szCs w:val="24"/>
        </w:rPr>
        <w:t xml:space="preserve"> work-life balance, can significantly enhance an organisation’s ability to attract, </w:t>
      </w:r>
      <w:r w:rsidR="00413EDB" w:rsidRPr="000602E3">
        <w:rPr>
          <w:szCs w:val="24"/>
        </w:rPr>
        <w:t>recruit and</w:t>
      </w:r>
      <w:r w:rsidRPr="000602E3">
        <w:rPr>
          <w:szCs w:val="24"/>
        </w:rPr>
        <w:t xml:space="preserve"> retain talent (Jobs Go Public, n.d.). Retention pressures are further intensified by competitive pay dynamics between sectors. Evidence from local government employers indicates that, since the COVID</w:t>
      </w:r>
      <w:r w:rsidRPr="000602E3">
        <w:rPr>
          <w:szCs w:val="24"/>
        </w:rPr>
        <w:noBreakHyphen/>
        <w:t>19 pandemic, public organisations have increasingly lost staff to higher</w:t>
      </w:r>
      <w:r w:rsidR="00C3087E" w:rsidRPr="000602E3">
        <w:rPr>
          <w:szCs w:val="24"/>
        </w:rPr>
        <w:t xml:space="preserve"> </w:t>
      </w:r>
      <w:r w:rsidRPr="000602E3">
        <w:rPr>
          <w:szCs w:val="24"/>
        </w:rPr>
        <w:t>paying private</w:t>
      </w:r>
      <w:r w:rsidR="00B609DB" w:rsidRPr="000602E3">
        <w:rPr>
          <w:szCs w:val="24"/>
        </w:rPr>
        <w:t xml:space="preserve"> </w:t>
      </w:r>
      <w:r w:rsidRPr="000602E3">
        <w:rPr>
          <w:szCs w:val="24"/>
        </w:rPr>
        <w:t xml:space="preserve">sector roles made accessible through remote working (Deegan et al., 2024). Thusi and Chauke (2023) illustrate this dynamic in the South African public sector, where competition for scarce skills has led to elevated turnover rates, prolonged </w:t>
      </w:r>
      <w:r w:rsidR="00413EDB" w:rsidRPr="000602E3">
        <w:rPr>
          <w:szCs w:val="24"/>
        </w:rPr>
        <w:t>vacancies and</w:t>
      </w:r>
      <w:r w:rsidRPr="000602E3">
        <w:rPr>
          <w:szCs w:val="24"/>
        </w:rPr>
        <w:t xml:space="preserve"> escalating recruitment costs, factors that ultimately compromise service delivery. These findings point to a tension noted in the literature between workforce expectations and the resource constraints facing </w:t>
      </w:r>
      <w:r w:rsidR="002B605A" w:rsidRPr="000602E3">
        <w:rPr>
          <w:szCs w:val="24"/>
        </w:rPr>
        <w:t>organisations</w:t>
      </w:r>
      <w:r w:rsidRPr="000602E3">
        <w:rPr>
          <w:szCs w:val="24"/>
        </w:rPr>
        <w:t xml:space="preserve">. </w:t>
      </w:r>
      <w:r w:rsidR="00B609DB" w:rsidRPr="000602E3">
        <w:rPr>
          <w:szCs w:val="24"/>
        </w:rPr>
        <w:t xml:space="preserve">According to a survey conducted by Deegan et al. (2024), two-thirds of respondents answered “no” to the question, “Do you think local government is perceived as an attractive employer for those who don’t currently work in the sector?”. However, the same survey revealed that 73% of respondents would recommend working in local government. </w:t>
      </w:r>
      <w:r w:rsidR="008E3A7D" w:rsidRPr="008E3A7D">
        <w:rPr>
          <w:szCs w:val="24"/>
        </w:rPr>
        <w:t>This suggests a disconnect between external perceptions of local government and the experiences of existing employees, indicating that clearer employer branding and values-based messaging may strengthen attraction and employee advocacy.</w:t>
      </w:r>
    </w:p>
    <w:p w14:paraId="4247A341" w14:textId="4F491BD8" w:rsidR="00A74165" w:rsidRPr="000602E3" w:rsidRDefault="00A74165" w:rsidP="004B4162">
      <w:pPr>
        <w:pStyle w:val="Uni-Normal"/>
        <w:jc w:val="both"/>
        <w:rPr>
          <w:szCs w:val="24"/>
        </w:rPr>
      </w:pPr>
    </w:p>
    <w:p w14:paraId="514EC05D" w14:textId="1717D129" w:rsidR="00A74165" w:rsidRPr="000602E3" w:rsidRDefault="00A74165" w:rsidP="004B4162">
      <w:pPr>
        <w:pStyle w:val="Uni-Normal"/>
        <w:jc w:val="both"/>
        <w:rPr>
          <w:szCs w:val="24"/>
        </w:rPr>
      </w:pPr>
      <w:r w:rsidRPr="000602E3">
        <w:rPr>
          <w:szCs w:val="24"/>
        </w:rPr>
        <w:lastRenderedPageBreak/>
        <w:t xml:space="preserve">Inclusive </w:t>
      </w:r>
      <w:r w:rsidR="009F304D" w:rsidRPr="000602E3">
        <w:rPr>
          <w:szCs w:val="24"/>
        </w:rPr>
        <w:t>TM</w:t>
      </w:r>
      <w:r w:rsidRPr="000602E3">
        <w:rPr>
          <w:szCs w:val="24"/>
        </w:rPr>
        <w:t xml:space="preserve"> is emerging as a practical, sustainable approach in public services. Rather than concentrating solely on high performers, this model focuses on developing the entire workforce. Cross Walker (2020) argues that such an organisation-wide strategy builds social capital and encourages knowledge sharing, which helps counteract the rigid structures and bureaucracy. By harnessing the strengths of all employees and fostering collaboration, public sector organisations can better address skills shortages, improve </w:t>
      </w:r>
      <w:r w:rsidR="00413EDB" w:rsidRPr="000602E3">
        <w:rPr>
          <w:szCs w:val="24"/>
        </w:rPr>
        <w:t>retention and</w:t>
      </w:r>
      <w:r w:rsidRPr="000602E3">
        <w:rPr>
          <w:szCs w:val="24"/>
        </w:rPr>
        <w:t xml:space="preserve"> strengthen their capacity to deliver high-quality services to the communities they serve.</w:t>
      </w:r>
    </w:p>
    <w:p w14:paraId="5536A220" w14:textId="03550569" w:rsidR="00A74165" w:rsidRPr="000602E3" w:rsidRDefault="00A74165" w:rsidP="004B4162">
      <w:pPr>
        <w:pStyle w:val="Uni-Normal"/>
        <w:jc w:val="both"/>
        <w:rPr>
          <w:szCs w:val="24"/>
        </w:rPr>
      </w:pPr>
      <w:r w:rsidRPr="000602E3">
        <w:rPr>
          <w:szCs w:val="24"/>
        </w:rPr>
        <w:t xml:space="preserve">Recent insights from the </w:t>
      </w:r>
      <w:r w:rsidR="00922985" w:rsidRPr="000602E3">
        <w:rPr>
          <w:szCs w:val="24"/>
        </w:rPr>
        <w:t xml:space="preserve">Forvis </w:t>
      </w:r>
      <w:r w:rsidRPr="000602E3">
        <w:rPr>
          <w:szCs w:val="24"/>
        </w:rPr>
        <w:t xml:space="preserve">Mazars (2023) contribute further contemporary evidence of these challenges. </w:t>
      </w:r>
      <w:r w:rsidR="00922985" w:rsidRPr="000602E3">
        <w:rPr>
          <w:szCs w:val="24"/>
        </w:rPr>
        <w:t xml:space="preserve">The report </w:t>
      </w:r>
      <w:r w:rsidRPr="000602E3">
        <w:rPr>
          <w:szCs w:val="24"/>
        </w:rPr>
        <w:t xml:space="preserve">found that employees place high value on wellbeing support, flexible and hybrid </w:t>
      </w:r>
      <w:r w:rsidR="00413EDB" w:rsidRPr="000602E3">
        <w:rPr>
          <w:szCs w:val="24"/>
        </w:rPr>
        <w:t>working and</w:t>
      </w:r>
      <w:r w:rsidRPr="000602E3">
        <w:rPr>
          <w:szCs w:val="24"/>
        </w:rPr>
        <w:t xml:space="preserve"> opportunities for recognition and career progression, with 97% of respondents agreeing that good health and wellbeing are essential to workplace productivity. However, the report also highlights significant constraints that limit the consistent implementation of these practices. Notably, 56% of respondents identified limited resources as the primary barrier to providing training and development, alongside resistance to organisational change and short</w:t>
      </w:r>
      <w:r w:rsidRPr="000602E3">
        <w:rPr>
          <w:szCs w:val="24"/>
        </w:rPr>
        <w:noBreakHyphen/>
        <w:t xml:space="preserve">term operational focus that inhibits strategic workforce planning. The literature suggests </w:t>
      </w:r>
      <w:r w:rsidR="0073355E" w:rsidRPr="000602E3">
        <w:rPr>
          <w:szCs w:val="24"/>
        </w:rPr>
        <w:t>these</w:t>
      </w:r>
      <w:r w:rsidRPr="000602E3">
        <w:rPr>
          <w:szCs w:val="24"/>
        </w:rPr>
        <w:t xml:space="preserve"> constraints may limit the extent to which organisations can invest in long</w:t>
      </w:r>
      <w:r w:rsidRPr="000602E3">
        <w:rPr>
          <w:szCs w:val="24"/>
        </w:rPr>
        <w:noBreakHyphen/>
        <w:t>term talent pipelines or adapt to shifting workforce expectations.</w:t>
      </w:r>
      <w:r w:rsidRPr="000602E3">
        <w:rPr>
          <w:szCs w:val="24"/>
          <w:lang w:eastAsia="en-GB"/>
        </w:rPr>
        <w:t xml:space="preserve"> </w:t>
      </w:r>
      <w:r w:rsidRPr="000602E3">
        <w:rPr>
          <w:szCs w:val="24"/>
        </w:rPr>
        <w:t>This challenge is amplified in the Welsh public sector, where the Public Services Staff Commission (2017) notes that many organisations</w:t>
      </w:r>
      <w:r w:rsidR="00265AAC">
        <w:rPr>
          <w:szCs w:val="24"/>
        </w:rPr>
        <w:t xml:space="preserve"> </w:t>
      </w:r>
      <w:r w:rsidRPr="000602E3">
        <w:rPr>
          <w:szCs w:val="24"/>
        </w:rPr>
        <w:t>do not currently have robust enough systems in place to gather or analyse the workforce data required for effective planning, further undermining the feasibility of evidence</w:t>
      </w:r>
      <w:r w:rsidRPr="000602E3">
        <w:rPr>
          <w:szCs w:val="24"/>
        </w:rPr>
        <w:noBreakHyphen/>
        <w:t xml:space="preserve">led </w:t>
      </w:r>
      <w:r w:rsidR="009F304D" w:rsidRPr="000602E3">
        <w:rPr>
          <w:szCs w:val="24"/>
        </w:rPr>
        <w:t>TM</w:t>
      </w:r>
      <w:r w:rsidRPr="000602E3">
        <w:rPr>
          <w:szCs w:val="24"/>
        </w:rPr>
        <w:t xml:space="preserve">. </w:t>
      </w:r>
    </w:p>
    <w:p w14:paraId="2BF68682" w14:textId="68CE6BEC" w:rsidR="00A74165" w:rsidRPr="000602E3" w:rsidRDefault="00A74165" w:rsidP="004B4162">
      <w:pPr>
        <w:pStyle w:val="Uni-Normal"/>
        <w:jc w:val="both"/>
        <w:rPr>
          <w:szCs w:val="24"/>
        </w:rPr>
      </w:pPr>
      <w:r w:rsidRPr="000602E3">
        <w:rPr>
          <w:szCs w:val="24"/>
        </w:rPr>
        <w:t>Clarke and Scurry (2020) find that, although fast</w:t>
      </w:r>
      <w:r w:rsidRPr="000602E3">
        <w:rPr>
          <w:szCs w:val="24"/>
        </w:rPr>
        <w:noBreakHyphen/>
        <w:t>track graduate programmes are widely promoted as a public</w:t>
      </w:r>
      <w:r w:rsidR="00B609DB" w:rsidRPr="000602E3">
        <w:rPr>
          <w:szCs w:val="24"/>
        </w:rPr>
        <w:t xml:space="preserve"> </w:t>
      </w:r>
      <w:r w:rsidRPr="000602E3">
        <w:rPr>
          <w:szCs w:val="24"/>
        </w:rPr>
        <w:t xml:space="preserve">sector </w:t>
      </w:r>
      <w:r w:rsidR="009F304D" w:rsidRPr="000602E3">
        <w:rPr>
          <w:szCs w:val="24"/>
        </w:rPr>
        <w:t>TM</w:t>
      </w:r>
      <w:r w:rsidRPr="000602E3">
        <w:rPr>
          <w:szCs w:val="24"/>
        </w:rPr>
        <w:t xml:space="preserve"> solution, their effectiveness is often limited by organisational constraints, uneven </w:t>
      </w:r>
      <w:r w:rsidR="00413EDB" w:rsidRPr="000602E3">
        <w:rPr>
          <w:szCs w:val="24"/>
        </w:rPr>
        <w:t>delivery and</w:t>
      </w:r>
      <w:r w:rsidRPr="000602E3">
        <w:rPr>
          <w:szCs w:val="24"/>
        </w:rPr>
        <w:t xml:space="preserve"> variable support from line managers. They show that clear communication about what graduates can expect and consistent line</w:t>
      </w:r>
      <w:r w:rsidRPr="000602E3">
        <w:rPr>
          <w:szCs w:val="24"/>
        </w:rPr>
        <w:noBreakHyphen/>
        <w:t>manager involvement are critical if these schemes are to genuinely develop and retain graduate talent. Similar issues, especially the dependence on job placement quality and line</w:t>
      </w:r>
      <w:r w:rsidRPr="000602E3">
        <w:rPr>
          <w:szCs w:val="24"/>
        </w:rPr>
        <w:noBreakHyphen/>
        <w:t>manager support are also reported in an Australian public</w:t>
      </w:r>
      <w:r w:rsidR="00B609DB" w:rsidRPr="000602E3">
        <w:rPr>
          <w:szCs w:val="24"/>
        </w:rPr>
        <w:t xml:space="preserve"> </w:t>
      </w:r>
      <w:r w:rsidRPr="000602E3">
        <w:rPr>
          <w:szCs w:val="24"/>
        </w:rPr>
        <w:t xml:space="preserve">sector case study by Clarke (2017). Furthermore, research conducted by the Local Government Association (n.d.) highlights that strategic and financial pressures on public services often result in limited resources being allocated to immediate service delivery rather than long-term </w:t>
      </w:r>
      <w:r w:rsidRPr="00720684">
        <w:rPr>
          <w:szCs w:val="24"/>
        </w:rPr>
        <w:t xml:space="preserve">workforce planning. This misalignment is further reflected in Welsh workforce planning guidance, which expects public bodies to “share information beyond their </w:t>
      </w:r>
      <w:r w:rsidRPr="00720684">
        <w:rPr>
          <w:szCs w:val="24"/>
        </w:rPr>
        <w:lastRenderedPageBreak/>
        <w:t>organisational boundaries” and adopt fully “integrated planning” across workforce, service and financial domains, despite the well</w:t>
      </w:r>
      <w:r w:rsidRPr="00720684">
        <w:rPr>
          <w:szCs w:val="24"/>
        </w:rPr>
        <w:noBreakHyphen/>
        <w:t xml:space="preserve">documented fragmentation and operational pressures that make such collaboration difficult to achieve in practice (Public Services Staff Commission, 2017, pp.5–7).  Consequently, </w:t>
      </w:r>
      <w:r w:rsidR="009F304D" w:rsidRPr="00720684">
        <w:rPr>
          <w:szCs w:val="24"/>
        </w:rPr>
        <w:t>TM</w:t>
      </w:r>
      <w:r w:rsidRPr="00720684">
        <w:rPr>
          <w:szCs w:val="24"/>
        </w:rPr>
        <w:t xml:space="preserve"> is frequently perceived as a “nice to do” rather than a core priority (Local Government Association, n.d).</w:t>
      </w:r>
    </w:p>
    <w:p w14:paraId="4917C1D5" w14:textId="78E8C89D" w:rsidR="00210012" w:rsidRPr="000602E3" w:rsidRDefault="00392838" w:rsidP="004B4162">
      <w:pPr>
        <w:pStyle w:val="Uni-Normal"/>
        <w:jc w:val="both"/>
        <w:rPr>
          <w:szCs w:val="24"/>
        </w:rPr>
      </w:pPr>
      <w:r w:rsidRPr="000602E3">
        <w:rPr>
          <w:szCs w:val="24"/>
        </w:rPr>
        <w:t>These organisational challenges are further complicated by demographic shifts. Over two-thirds (67%) of council staff are aged between 40 and 64, with a mean age of 47. Retirement-related workforce pressures are also increasing, with retirements from the Local Government Pension Scheme rising by 11.2% 2024/25 (Local Government Association, 2026)</w:t>
      </w:r>
      <w:r w:rsidR="00A74165" w:rsidRPr="000602E3">
        <w:rPr>
          <w:szCs w:val="24"/>
        </w:rPr>
        <w:t xml:space="preserve">. Traditional incentives such as job security appear to be losing salience for younger workers, who increasingly prioritise flexibility, opportunities for </w:t>
      </w:r>
      <w:r w:rsidR="00413EDB" w:rsidRPr="000602E3">
        <w:rPr>
          <w:szCs w:val="24"/>
        </w:rPr>
        <w:t>development and</w:t>
      </w:r>
      <w:r w:rsidR="00A74165" w:rsidRPr="000602E3">
        <w:rPr>
          <w:szCs w:val="24"/>
        </w:rPr>
        <w:t xml:space="preserve"> inclusive workplace cultures (Mangan et al., 2024). Similar challenges are evident internationally. Kurniawan and Wijoyo (2024), examining the Indonesian public sector, identify persistent difficulties in attracting and retaining skilled staff, largely due to budgetary constraints and uncompetitive public sector compensation policies when compared with the private sector. Their research highlights that, beyond remuneration, unclear career pathways and limited opportunities for professional development further undermine retention efforts. Several authors argue that public sector competitiveness is increasingly associated with investment in learning, </w:t>
      </w:r>
      <w:r w:rsidR="00413EDB" w:rsidRPr="000602E3">
        <w:rPr>
          <w:szCs w:val="24"/>
        </w:rPr>
        <w:t>development and</w:t>
      </w:r>
      <w:r w:rsidR="00A74165" w:rsidRPr="000602E3">
        <w:rPr>
          <w:szCs w:val="24"/>
        </w:rPr>
        <w:t xml:space="preserve"> modern recruitment practices; however, the extent to which these approaches can be applied within resource</w:t>
      </w:r>
      <w:r w:rsidR="00A74165" w:rsidRPr="000602E3">
        <w:rPr>
          <w:szCs w:val="24"/>
        </w:rPr>
        <w:noBreakHyphen/>
        <w:t xml:space="preserve">constrained local authorities remains contested (Kravariti and Johnston, 2020; </w:t>
      </w:r>
      <w:r w:rsidR="00F43919" w:rsidRPr="000602E3">
        <w:rPr>
          <w:szCs w:val="24"/>
        </w:rPr>
        <w:t>Boselie et al., 2017</w:t>
      </w:r>
      <w:r w:rsidR="00A74165" w:rsidRPr="000602E3">
        <w:rPr>
          <w:szCs w:val="24"/>
        </w:rPr>
        <w:t>).</w:t>
      </w:r>
    </w:p>
    <w:p w14:paraId="0960E59E" w14:textId="77777777" w:rsidR="00F36AAA" w:rsidRDefault="00A74165" w:rsidP="00F36AAA">
      <w:pPr>
        <w:pStyle w:val="Uni-Normal"/>
        <w:jc w:val="both"/>
        <w:rPr>
          <w:szCs w:val="24"/>
        </w:rPr>
      </w:pPr>
      <w:r w:rsidRPr="000602E3">
        <w:rPr>
          <w:szCs w:val="24"/>
        </w:rPr>
        <w:t>Digital transformation is also reshaping public sector talent requirements. Deloitte (2022) and McKinsey (2024) emphasise the growing need for upskilling, updated recruitment approaches</w:t>
      </w:r>
      <w:r w:rsidR="00AA56E0" w:rsidRPr="000602E3">
        <w:rPr>
          <w:szCs w:val="24"/>
        </w:rPr>
        <w:t xml:space="preserve"> </w:t>
      </w:r>
      <w:r w:rsidR="00413EDB" w:rsidRPr="000602E3">
        <w:rPr>
          <w:szCs w:val="24"/>
        </w:rPr>
        <w:t>and</w:t>
      </w:r>
      <w:r w:rsidRPr="000602E3">
        <w:rPr>
          <w:szCs w:val="24"/>
        </w:rPr>
        <w:t xml:space="preserve"> support for hybrid work models. </w:t>
      </w:r>
      <w:r w:rsidR="00922985" w:rsidRPr="000602E3">
        <w:rPr>
          <w:szCs w:val="24"/>
        </w:rPr>
        <w:t>Forvis Mazars</w:t>
      </w:r>
      <w:r w:rsidRPr="000602E3">
        <w:rPr>
          <w:szCs w:val="24"/>
        </w:rPr>
        <w:t xml:space="preserve"> (2023) similarly reports persistent skills shortages across technical, digital</w:t>
      </w:r>
      <w:r w:rsidR="00AA56E0" w:rsidRPr="000602E3">
        <w:rPr>
          <w:szCs w:val="24"/>
        </w:rPr>
        <w:t xml:space="preserve"> </w:t>
      </w:r>
      <w:r w:rsidR="00413EDB" w:rsidRPr="000602E3">
        <w:rPr>
          <w:szCs w:val="24"/>
        </w:rPr>
        <w:t>and</w:t>
      </w:r>
      <w:r w:rsidRPr="000602E3">
        <w:rPr>
          <w:szCs w:val="24"/>
        </w:rPr>
        <w:t xml:space="preserve"> corporate service roles, advocating improved recruitment, training </w:t>
      </w:r>
      <w:r w:rsidR="00413EDB" w:rsidRPr="000602E3">
        <w:rPr>
          <w:szCs w:val="24"/>
        </w:rPr>
        <w:t>investment and</w:t>
      </w:r>
      <w:r w:rsidRPr="000602E3">
        <w:rPr>
          <w:szCs w:val="24"/>
        </w:rPr>
        <w:t xml:space="preserve"> clearer progression routes. While these measures are frequently promoted, the literature also highlights that structural and financial constraints can limit the feasibility and consistency of implementation across public bodies (</w:t>
      </w:r>
      <w:r w:rsidR="00922985" w:rsidRPr="000602E3">
        <w:rPr>
          <w:szCs w:val="24"/>
        </w:rPr>
        <w:t>Forvis Mazars</w:t>
      </w:r>
      <w:r w:rsidRPr="000602E3">
        <w:rPr>
          <w:szCs w:val="24"/>
        </w:rPr>
        <w:t xml:space="preserve">, 2023; </w:t>
      </w:r>
      <w:r w:rsidR="00F43919" w:rsidRPr="000602E3">
        <w:rPr>
          <w:szCs w:val="24"/>
        </w:rPr>
        <w:t>Boselie et al., 2017)</w:t>
      </w:r>
      <w:r w:rsidRPr="000602E3">
        <w:rPr>
          <w:szCs w:val="24"/>
        </w:rPr>
        <w:t xml:space="preserve">. </w:t>
      </w:r>
      <w:r w:rsidR="00210012" w:rsidRPr="000602E3">
        <w:rPr>
          <w:szCs w:val="24"/>
        </w:rPr>
        <w:t xml:space="preserve">Collectively, these studies highlight public sector </w:t>
      </w:r>
      <w:r w:rsidR="009F304D" w:rsidRPr="000602E3">
        <w:rPr>
          <w:szCs w:val="24"/>
        </w:rPr>
        <w:t>TM</w:t>
      </w:r>
      <w:r w:rsidR="00210012" w:rsidRPr="000602E3">
        <w:rPr>
          <w:szCs w:val="24"/>
        </w:rPr>
        <w:t xml:space="preserve"> pressures, but their applicability to UK local government is limited by differences in governance, funding, employment frameworks and labour market conditions.</w:t>
      </w:r>
    </w:p>
    <w:p w14:paraId="1EAD23FD" w14:textId="21565E00" w:rsidR="00A74165" w:rsidRPr="00ED69CB" w:rsidRDefault="00A74165" w:rsidP="00F36AAA">
      <w:pPr>
        <w:pStyle w:val="2Sectionheading"/>
      </w:pPr>
      <w:bookmarkStart w:id="46" w:name="_Toc234319618"/>
      <w:r w:rsidRPr="00ED69CB">
        <w:lastRenderedPageBreak/>
        <w:t xml:space="preserve">2.4 Workforce Ageing and </w:t>
      </w:r>
      <w:r w:rsidR="009F304D">
        <w:t>Talent Management</w:t>
      </w:r>
      <w:r w:rsidRPr="00ED69CB">
        <w:t xml:space="preserve"> Pressures in Wales</w:t>
      </w:r>
      <w:bookmarkEnd w:id="46"/>
      <w:r w:rsidRPr="00ED69CB">
        <w:t xml:space="preserve"> </w:t>
      </w:r>
    </w:p>
    <w:p w14:paraId="4FC6F218" w14:textId="1EDD43FB" w:rsidR="008E1353" w:rsidRPr="000602E3" w:rsidRDefault="00210012" w:rsidP="004B4162">
      <w:pPr>
        <w:pStyle w:val="Uni-Normal"/>
        <w:jc w:val="both"/>
        <w:rPr>
          <w:szCs w:val="24"/>
        </w:rPr>
      </w:pPr>
      <w:r w:rsidRPr="000602E3">
        <w:rPr>
          <w:szCs w:val="24"/>
        </w:rPr>
        <w:t xml:space="preserve">Demographic change in Wales provides important context for understanding talent challenges facing local authorities. </w:t>
      </w:r>
      <w:r w:rsidR="00EA49F0" w:rsidRPr="000602E3">
        <w:rPr>
          <w:szCs w:val="24"/>
        </w:rPr>
        <w:t xml:space="preserve">Wales is experiencing a sustained demographic shift towards an ageing population, raising concerns around workforce sustainability and future skills supply as the working-age population declines and demand for labour increases (Universities Wales, 2019). </w:t>
      </w:r>
      <w:r w:rsidR="00A74165" w:rsidRPr="000602E3">
        <w:rPr>
          <w:szCs w:val="24"/>
        </w:rPr>
        <w:t>This reduces the pipeline of younger entrants and intensifies competition for talent, particularly in sectors already facing persistent recruitment difficulties. NCC’s workforce mirrors these national patterns</w:t>
      </w:r>
      <w:r w:rsidR="00D673CE">
        <w:rPr>
          <w:szCs w:val="24"/>
        </w:rPr>
        <w:t xml:space="preserve">, </w:t>
      </w:r>
      <w:r w:rsidR="00A74165" w:rsidRPr="000602E3">
        <w:rPr>
          <w:szCs w:val="24"/>
        </w:rPr>
        <w:t xml:space="preserve">as shown in </w:t>
      </w:r>
      <w:r w:rsidR="00A74165" w:rsidRPr="002D7FDA">
        <w:rPr>
          <w:szCs w:val="24"/>
        </w:rPr>
        <w:t xml:space="preserve">Figure </w:t>
      </w:r>
      <w:r w:rsidR="00812D78" w:rsidRPr="002D7FDA">
        <w:rPr>
          <w:szCs w:val="24"/>
        </w:rPr>
        <w:t>2.</w:t>
      </w:r>
      <w:r w:rsidR="00C83B24" w:rsidRPr="002D7FDA">
        <w:rPr>
          <w:szCs w:val="24"/>
        </w:rPr>
        <w:t>1</w:t>
      </w:r>
      <w:r w:rsidR="0029077C">
        <w:rPr>
          <w:szCs w:val="24"/>
        </w:rPr>
        <w:t xml:space="preserve"> and 2.2</w:t>
      </w:r>
      <w:r w:rsidR="00A74165" w:rsidRPr="000602E3">
        <w:rPr>
          <w:szCs w:val="24"/>
        </w:rPr>
        <w:t>, only 11</w:t>
      </w:r>
      <w:r w:rsidR="00471BCA" w:rsidRPr="000602E3">
        <w:rPr>
          <w:szCs w:val="24"/>
        </w:rPr>
        <w:t>.0</w:t>
      </w:r>
      <w:r w:rsidR="00A74165" w:rsidRPr="000602E3">
        <w:rPr>
          <w:szCs w:val="24"/>
        </w:rPr>
        <w:t xml:space="preserve">% of employees belong to </w:t>
      </w:r>
      <w:r w:rsidR="0017563B" w:rsidRPr="000602E3">
        <w:rPr>
          <w:szCs w:val="24"/>
        </w:rPr>
        <w:t>Gen Z</w:t>
      </w:r>
      <w:r w:rsidR="00A74165" w:rsidRPr="000602E3">
        <w:rPr>
          <w:szCs w:val="24"/>
        </w:rPr>
        <w:t>, while 40</w:t>
      </w:r>
      <w:r w:rsidR="00471BCA" w:rsidRPr="000602E3">
        <w:rPr>
          <w:szCs w:val="24"/>
        </w:rPr>
        <w:t>.0</w:t>
      </w:r>
      <w:r w:rsidR="00A74165" w:rsidRPr="000602E3">
        <w:rPr>
          <w:szCs w:val="24"/>
        </w:rPr>
        <w:t>% are Millennials and 39</w:t>
      </w:r>
      <w:r w:rsidR="00471BCA" w:rsidRPr="000602E3">
        <w:rPr>
          <w:szCs w:val="24"/>
        </w:rPr>
        <w:t>.0</w:t>
      </w:r>
      <w:r w:rsidR="00A74165" w:rsidRPr="000602E3">
        <w:rPr>
          <w:szCs w:val="24"/>
        </w:rPr>
        <w:t xml:space="preserve">% are Generation </w:t>
      </w:r>
      <w:r w:rsidR="00D673CE" w:rsidRPr="000602E3">
        <w:rPr>
          <w:szCs w:val="24"/>
        </w:rPr>
        <w:t>X.</w:t>
      </w:r>
      <w:r w:rsidR="00D673CE">
        <w:rPr>
          <w:szCs w:val="24"/>
        </w:rPr>
        <w:t xml:space="preserve"> I</w:t>
      </w:r>
      <w:r w:rsidR="00C83B24" w:rsidRPr="000602E3">
        <w:rPr>
          <w:szCs w:val="24"/>
        </w:rPr>
        <w:t>t also</w:t>
      </w:r>
      <w:r w:rsidR="00A74165" w:rsidRPr="000602E3">
        <w:rPr>
          <w:szCs w:val="24"/>
        </w:rPr>
        <w:t xml:space="preserve"> indicates that 23</w:t>
      </w:r>
      <w:r w:rsidR="00471BCA" w:rsidRPr="000602E3">
        <w:rPr>
          <w:szCs w:val="24"/>
        </w:rPr>
        <w:t>.0</w:t>
      </w:r>
      <w:r w:rsidR="00A74165" w:rsidRPr="000602E3">
        <w:rPr>
          <w:szCs w:val="24"/>
        </w:rPr>
        <w:t>% of the workforce is already eligible for early retirement (</w:t>
      </w:r>
      <w:r w:rsidR="009F304D" w:rsidRPr="000602E3">
        <w:rPr>
          <w:szCs w:val="24"/>
        </w:rPr>
        <w:t>NCC</w:t>
      </w:r>
      <w:r w:rsidR="00A74165" w:rsidRPr="000602E3">
        <w:rPr>
          <w:szCs w:val="24"/>
        </w:rPr>
        <w:t xml:space="preserve">, 2025). </w:t>
      </w:r>
      <w:r w:rsidR="00966968" w:rsidRPr="000602E3">
        <w:rPr>
          <w:szCs w:val="24"/>
        </w:rPr>
        <w:t xml:space="preserve">This creates both replacement demand and structural workforce constraints </w:t>
      </w:r>
      <w:r w:rsidR="00F43919" w:rsidRPr="000602E3">
        <w:rPr>
          <w:szCs w:val="24"/>
        </w:rPr>
        <w:t>(Boselie et al., 2017).</w:t>
      </w:r>
    </w:p>
    <w:p w14:paraId="569D807A" w14:textId="766507E8" w:rsidR="00E129B2" w:rsidRPr="000602E3" w:rsidRDefault="00A74165" w:rsidP="004B4162">
      <w:pPr>
        <w:pStyle w:val="Uni-Normal"/>
        <w:jc w:val="both"/>
        <w:rPr>
          <w:szCs w:val="24"/>
        </w:rPr>
      </w:pPr>
      <w:r w:rsidRPr="000602E3">
        <w:rPr>
          <w:szCs w:val="24"/>
        </w:rPr>
        <w:t>Skills shortages further compound these pressures. Wales reports the highest proportion of employers experiencing skills gaps across the UK, with 58 per cent identifying shortages and only 31 per cent implementing initiatives aimed at recruiting or developing under</w:t>
      </w:r>
      <w:r w:rsidR="007C39B1" w:rsidRPr="000602E3">
        <w:rPr>
          <w:szCs w:val="24"/>
        </w:rPr>
        <w:t>-</w:t>
      </w:r>
      <w:r w:rsidRPr="000602E3">
        <w:rPr>
          <w:szCs w:val="24"/>
        </w:rPr>
        <w:t xml:space="preserve">25s (Open University, 2024). At the same time, </w:t>
      </w:r>
      <w:r w:rsidR="00210012" w:rsidRPr="000602E3">
        <w:rPr>
          <w:szCs w:val="24"/>
        </w:rPr>
        <w:t>Gen Z respondents show strong interest in growth areas such as AI-related roles and are more likely to remain with employers offering meaningful development opportunities</w:t>
      </w:r>
      <w:r w:rsidRPr="000602E3">
        <w:rPr>
          <w:szCs w:val="24"/>
        </w:rPr>
        <w:t xml:space="preserve">. Yet only 20 per cent of Welsh employers feel confident in delivering their artificial intelligence strategies due to capability constraints (Open University, 2024). </w:t>
      </w:r>
      <w:r w:rsidR="008E1353" w:rsidRPr="000602E3">
        <w:rPr>
          <w:szCs w:val="24"/>
        </w:rPr>
        <w:t xml:space="preserve">This </w:t>
      </w:r>
      <w:r w:rsidR="00133DAE" w:rsidRPr="000602E3">
        <w:rPr>
          <w:szCs w:val="24"/>
        </w:rPr>
        <w:t>indicate</w:t>
      </w:r>
      <w:r w:rsidR="008E1353" w:rsidRPr="000602E3">
        <w:rPr>
          <w:szCs w:val="24"/>
        </w:rPr>
        <w:t>s a capability gap between workforce expectations and organisational readiness</w:t>
      </w:r>
      <w:r w:rsidRPr="000602E3">
        <w:rPr>
          <w:szCs w:val="24"/>
        </w:rPr>
        <w:t xml:space="preserve">. </w:t>
      </w:r>
      <w:r w:rsidR="00210012" w:rsidRPr="000602E3">
        <w:rPr>
          <w:szCs w:val="24"/>
        </w:rPr>
        <w:t>The literature highlights the scale of the challenge but offers limited guidance for resource-constrained local authorities, underscoring the need for context-specific talent strategies to address demographic and structural workforce pressures.</w:t>
      </w:r>
    </w:p>
    <w:p w14:paraId="3123F650" w14:textId="61297D72" w:rsidR="004B4162" w:rsidRPr="00ED69CB" w:rsidRDefault="0029077C" w:rsidP="004B4162">
      <w:pPr>
        <w:pStyle w:val="Uni-Normal"/>
        <w:jc w:val="both"/>
        <w:rPr>
          <w:szCs w:val="24"/>
        </w:rPr>
      </w:pPr>
      <w:r w:rsidRPr="00ED69CB">
        <w:rPr>
          <w:noProof/>
          <w:szCs w:val="24"/>
        </w:rPr>
        <w:drawing>
          <wp:anchor distT="0" distB="0" distL="114300" distR="114300" simplePos="0" relativeHeight="251663360" behindDoc="0" locked="0" layoutInCell="1" allowOverlap="1" wp14:anchorId="28095555" wp14:editId="3BC95851">
            <wp:simplePos x="0" y="0"/>
            <wp:positionH relativeFrom="margin">
              <wp:posOffset>3111500</wp:posOffset>
            </wp:positionH>
            <wp:positionV relativeFrom="paragraph">
              <wp:posOffset>5715</wp:posOffset>
            </wp:positionV>
            <wp:extent cx="2446655" cy="2505710"/>
            <wp:effectExtent l="0" t="0" r="0" b="8890"/>
            <wp:wrapNone/>
            <wp:docPr id="687632555"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894426" name="Picture 1" descr="A close-up of a graph&#10;&#10;AI-generated content may be incorrect."/>
                    <pic:cNvPicPr/>
                  </pic:nvPicPr>
                  <pic:blipFill rotWithShape="1">
                    <a:blip r:embed="rId9">
                      <a:extLst>
                        <a:ext uri="{28A0092B-C50C-407E-A947-70E740481C1C}">
                          <a14:useLocalDpi xmlns:a14="http://schemas.microsoft.com/office/drawing/2010/main" val="0"/>
                        </a:ext>
                      </a:extLst>
                    </a:blip>
                    <a:srcRect l="50396" t="8509"/>
                    <a:stretch>
                      <a:fillRect/>
                    </a:stretch>
                  </pic:blipFill>
                  <pic:spPr bwMode="auto">
                    <a:xfrm>
                      <a:off x="0" y="0"/>
                      <a:ext cx="2446655" cy="2505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D69CB">
        <w:rPr>
          <w:noProof/>
          <w:szCs w:val="24"/>
        </w:rPr>
        <w:drawing>
          <wp:anchor distT="0" distB="0" distL="114300" distR="114300" simplePos="0" relativeHeight="251659264" behindDoc="0" locked="0" layoutInCell="1" allowOverlap="1" wp14:anchorId="2B524B71" wp14:editId="327FB48F">
            <wp:simplePos x="0" y="0"/>
            <wp:positionH relativeFrom="margin">
              <wp:align>left</wp:align>
            </wp:positionH>
            <wp:positionV relativeFrom="paragraph">
              <wp:posOffset>6350</wp:posOffset>
            </wp:positionV>
            <wp:extent cx="2428875" cy="2505710"/>
            <wp:effectExtent l="0" t="0" r="9525" b="8890"/>
            <wp:wrapNone/>
            <wp:docPr id="1942894426"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894426" name="Picture 1" descr="A close-up of a graph&#10;&#10;AI-generated content may be incorrect."/>
                    <pic:cNvPicPr/>
                  </pic:nvPicPr>
                  <pic:blipFill rotWithShape="1">
                    <a:blip r:embed="rId9">
                      <a:extLst>
                        <a:ext uri="{28A0092B-C50C-407E-A947-70E740481C1C}">
                          <a14:useLocalDpi xmlns:a14="http://schemas.microsoft.com/office/drawing/2010/main" val="0"/>
                        </a:ext>
                      </a:extLst>
                    </a:blip>
                    <a:srcRect l="1" t="9879" r="50761"/>
                    <a:stretch>
                      <a:fillRect/>
                    </a:stretch>
                  </pic:blipFill>
                  <pic:spPr bwMode="auto">
                    <a:xfrm>
                      <a:off x="0" y="0"/>
                      <a:ext cx="2428875" cy="2505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000563A9" wp14:editId="62DC05FF">
                <wp:simplePos x="0" y="0"/>
                <wp:positionH relativeFrom="column">
                  <wp:posOffset>0</wp:posOffset>
                </wp:positionH>
                <wp:positionV relativeFrom="paragraph">
                  <wp:posOffset>2562860</wp:posOffset>
                </wp:positionV>
                <wp:extent cx="2428875" cy="635"/>
                <wp:effectExtent l="0" t="0" r="0" b="0"/>
                <wp:wrapNone/>
                <wp:docPr id="481419316" name="Text Box 1"/>
                <wp:cNvGraphicFramePr/>
                <a:graphic xmlns:a="http://schemas.openxmlformats.org/drawingml/2006/main">
                  <a:graphicData uri="http://schemas.microsoft.com/office/word/2010/wordprocessingShape">
                    <wps:wsp>
                      <wps:cNvSpPr txBox="1"/>
                      <wps:spPr>
                        <a:xfrm>
                          <a:off x="0" y="0"/>
                          <a:ext cx="2428875" cy="635"/>
                        </a:xfrm>
                        <a:prstGeom prst="rect">
                          <a:avLst/>
                        </a:prstGeom>
                        <a:solidFill>
                          <a:prstClr val="white"/>
                        </a:solidFill>
                        <a:ln>
                          <a:noFill/>
                        </a:ln>
                      </wps:spPr>
                      <wps:txbx>
                        <w:txbxContent>
                          <w:p w14:paraId="4DC050B6" w14:textId="6D78A47F" w:rsidR="0029077C" w:rsidRPr="005A23D8" w:rsidRDefault="0029077C" w:rsidP="0029077C">
                            <w:pPr>
                              <w:pStyle w:val="Caption"/>
                              <w:rPr>
                                <w:noProof/>
                              </w:rPr>
                            </w:pPr>
                            <w:bookmarkStart w:id="47" w:name="_Toc234320774"/>
                            <w:r>
                              <w:t>Figure 2.1: Generations Data (NCC, 2025)</w:t>
                            </w:r>
                            <w:bookmarkEnd w:id="47"/>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00563A9" id="_x0000_t202" coordsize="21600,21600" o:spt="202" path="m,l,21600r21600,l21600,xe">
                <v:stroke joinstyle="miter"/>
                <v:path gradientshapeok="t" o:connecttype="rect"/>
              </v:shapetype>
              <v:shape id="Text Box 1" o:spid="_x0000_s1026" type="#_x0000_t202" style="position:absolute;left:0;text-align:left;margin-left:0;margin-top:201.8pt;width:191.2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" stroked="f">
                <v:textbox style="mso-fit-shape-to-text:t" inset="0,0,0,0">
                  <w:txbxContent>
                    <w:p w14:paraId="4DC050B6" w14:textId="6D78A47F" w:rsidR="0029077C" w:rsidRPr="005A23D8" w:rsidRDefault="0029077C" w:rsidP="0029077C">
                      <w:pPr>
                        <w:pStyle w:val="Caption"/>
                        <w:rPr>
                          <w:noProof/>
                        </w:rPr>
                      </w:pPr>
                      <w:bookmarkStart w:id="48" w:name="_Toc234320774"/>
                      <w:r>
                        <w:t>Figure 2.1: Generations Data (NCC, 2025)</w:t>
                      </w:r>
                      <w:bookmarkEnd w:id="48"/>
                      <w:r>
                        <w:t xml:space="preserve"> </w:t>
                      </w:r>
                    </w:p>
                  </w:txbxContent>
                </v:textbox>
              </v:shape>
            </w:pict>
          </mc:Fallback>
        </mc:AlternateContent>
      </w:r>
    </w:p>
    <w:p w14:paraId="36126DCC" w14:textId="339AD3B5" w:rsidR="004B4162" w:rsidRPr="00ED69CB" w:rsidRDefault="004B4162" w:rsidP="004B4162">
      <w:pPr>
        <w:pStyle w:val="Uni-Normal"/>
        <w:jc w:val="both"/>
        <w:rPr>
          <w:szCs w:val="24"/>
        </w:rPr>
      </w:pPr>
    </w:p>
    <w:p w14:paraId="62A30321" w14:textId="7E4D8CC2" w:rsidR="004B4162" w:rsidRPr="00ED69CB" w:rsidRDefault="004B4162" w:rsidP="004B4162">
      <w:pPr>
        <w:pStyle w:val="Uni-Normal"/>
        <w:jc w:val="both"/>
        <w:rPr>
          <w:szCs w:val="24"/>
        </w:rPr>
      </w:pPr>
    </w:p>
    <w:p w14:paraId="59DBD600" w14:textId="00852543" w:rsidR="004B4162" w:rsidRPr="00ED69CB" w:rsidRDefault="004B4162" w:rsidP="004B4162">
      <w:pPr>
        <w:pStyle w:val="Uni-Normal"/>
        <w:jc w:val="both"/>
        <w:rPr>
          <w:szCs w:val="24"/>
        </w:rPr>
      </w:pPr>
    </w:p>
    <w:p w14:paraId="5AFD0579" w14:textId="77777777" w:rsidR="004B4162" w:rsidRDefault="004B4162" w:rsidP="004B4162">
      <w:pPr>
        <w:pStyle w:val="Uni-Normal"/>
        <w:jc w:val="both"/>
        <w:rPr>
          <w:szCs w:val="24"/>
        </w:rPr>
      </w:pPr>
    </w:p>
    <w:p w14:paraId="139B0DE6" w14:textId="0FBE588E" w:rsidR="00295B33" w:rsidRPr="00ED69CB" w:rsidRDefault="0029077C" w:rsidP="004B4162">
      <w:pPr>
        <w:pStyle w:val="Uni-Normal"/>
        <w:jc w:val="both"/>
        <w:rPr>
          <w:szCs w:val="24"/>
        </w:rPr>
      </w:pPr>
      <w:r>
        <w:rPr>
          <w:noProof/>
        </w:rPr>
        <mc:AlternateContent>
          <mc:Choice Requires="wps">
            <w:drawing>
              <wp:anchor distT="0" distB="0" distL="114300" distR="114300" simplePos="0" relativeHeight="251665408" behindDoc="0" locked="0" layoutInCell="1" allowOverlap="1" wp14:anchorId="71D0EB78" wp14:editId="610DE78B">
                <wp:simplePos x="0" y="0"/>
                <wp:positionH relativeFrom="column">
                  <wp:posOffset>3009900</wp:posOffset>
                </wp:positionH>
                <wp:positionV relativeFrom="paragraph">
                  <wp:posOffset>363220</wp:posOffset>
                </wp:positionV>
                <wp:extent cx="2446655" cy="635"/>
                <wp:effectExtent l="0" t="0" r="0" b="0"/>
                <wp:wrapNone/>
                <wp:docPr id="27114482" name="Text Box 1"/>
                <wp:cNvGraphicFramePr/>
                <a:graphic xmlns:a="http://schemas.openxmlformats.org/drawingml/2006/main">
                  <a:graphicData uri="http://schemas.microsoft.com/office/word/2010/wordprocessingShape">
                    <wps:wsp>
                      <wps:cNvSpPr txBox="1"/>
                      <wps:spPr>
                        <a:xfrm>
                          <a:off x="0" y="0"/>
                          <a:ext cx="2446655" cy="635"/>
                        </a:xfrm>
                        <a:prstGeom prst="rect">
                          <a:avLst/>
                        </a:prstGeom>
                        <a:solidFill>
                          <a:prstClr val="white"/>
                        </a:solidFill>
                        <a:ln>
                          <a:noFill/>
                        </a:ln>
                      </wps:spPr>
                      <wps:txbx>
                        <w:txbxContent>
                          <w:p w14:paraId="432D2B21" w14:textId="63A2A74B" w:rsidR="0029077C" w:rsidRPr="006B7B91" w:rsidRDefault="0029077C" w:rsidP="0029077C">
                            <w:pPr>
                              <w:pStyle w:val="Caption"/>
                              <w:rPr>
                                <w:noProof/>
                              </w:rPr>
                            </w:pPr>
                            <w:bookmarkStart w:id="48" w:name="_Toc234320775"/>
                            <w:r>
                              <w:t>Figure 2.2: Early Retirement Trends (NCC, 2025)</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D0EB78" id="_x0000_s1027" type="#_x0000_t202" style="position:absolute;left:0;text-align:left;margin-left:237pt;margin-top:28.6pt;width:192.6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" stroked="f">
                <v:textbox style="mso-fit-shape-to-text:t" inset="0,0,0,0">
                  <w:txbxContent>
                    <w:p w14:paraId="432D2B21" w14:textId="63A2A74B" w:rsidR="0029077C" w:rsidRPr="006B7B91" w:rsidRDefault="0029077C" w:rsidP="0029077C">
                      <w:pPr>
                        <w:pStyle w:val="Caption"/>
                        <w:rPr>
                          <w:noProof/>
                        </w:rPr>
                      </w:pPr>
                      <w:bookmarkStart w:id="50" w:name="_Toc234320775"/>
                      <w:r>
                        <w:t>Figure 2.2: Early Retirement Trends (NCC, 2025)</w:t>
                      </w:r>
                      <w:bookmarkEnd w:id="50"/>
                    </w:p>
                  </w:txbxContent>
                </v:textbox>
              </v:shape>
            </w:pict>
          </mc:Fallback>
        </mc:AlternateContent>
      </w:r>
    </w:p>
    <w:p w14:paraId="3B18B769" w14:textId="09238026" w:rsidR="00A74165" w:rsidRPr="00ED69CB" w:rsidRDefault="00A74165" w:rsidP="004B4162">
      <w:pPr>
        <w:pStyle w:val="2Sectionheading"/>
        <w:spacing w:line="360" w:lineRule="auto"/>
        <w:jc w:val="both"/>
        <w:rPr>
          <w:rFonts w:cs="Times New Roman"/>
          <w:szCs w:val="24"/>
        </w:rPr>
      </w:pPr>
      <w:bookmarkStart w:id="49" w:name="_Toc234319619"/>
      <w:r w:rsidRPr="00ED69CB">
        <w:rPr>
          <w:rFonts w:cs="Times New Roman"/>
          <w:szCs w:val="24"/>
        </w:rPr>
        <w:lastRenderedPageBreak/>
        <w:t xml:space="preserve">2.5 Understanding </w:t>
      </w:r>
      <w:r w:rsidR="0017563B" w:rsidRPr="00ED69CB">
        <w:rPr>
          <w:rFonts w:cs="Times New Roman"/>
          <w:szCs w:val="24"/>
        </w:rPr>
        <w:t>Gen Z</w:t>
      </w:r>
      <w:r w:rsidRPr="00ED69CB">
        <w:rPr>
          <w:rFonts w:cs="Times New Roman"/>
          <w:szCs w:val="24"/>
        </w:rPr>
        <w:t xml:space="preserve">: Workplace Expectations, </w:t>
      </w:r>
      <w:r w:rsidR="00413EDB" w:rsidRPr="00ED69CB">
        <w:rPr>
          <w:rFonts w:cs="Times New Roman"/>
          <w:szCs w:val="24"/>
        </w:rPr>
        <w:t>Preferences and</w:t>
      </w:r>
      <w:r w:rsidRPr="00ED69CB">
        <w:rPr>
          <w:rFonts w:cs="Times New Roman"/>
          <w:szCs w:val="24"/>
        </w:rPr>
        <w:t xml:space="preserve"> Behaviours</w:t>
      </w:r>
      <w:bookmarkEnd w:id="49"/>
    </w:p>
    <w:p w14:paraId="51D6CE96" w14:textId="745350FC" w:rsidR="00D16C2D" w:rsidRPr="000602E3" w:rsidRDefault="00F0718D" w:rsidP="004B4162">
      <w:pPr>
        <w:pStyle w:val="Uni-Normal"/>
        <w:jc w:val="both"/>
        <w:rPr>
          <w:szCs w:val="24"/>
        </w:rPr>
      </w:pPr>
      <w:bookmarkStart w:id="50" w:name="_Hlk214549231"/>
      <w:r w:rsidRPr="000602E3">
        <w:rPr>
          <w:szCs w:val="24"/>
        </w:rPr>
        <w:t xml:space="preserve">By 2025, Gen Z was projected to comprise approximately 27% of the workforce (Top Employers Institute, 2024). </w:t>
      </w:r>
      <w:r w:rsidR="00D16C2D" w:rsidRPr="000602E3">
        <w:rPr>
          <w:szCs w:val="24"/>
        </w:rPr>
        <w:t>They typically value flexibility, meaningful work, rapid progression and effective digital tools</w:t>
      </w:r>
      <w:r w:rsidR="00353D6A" w:rsidRPr="000602E3">
        <w:rPr>
          <w:szCs w:val="24"/>
        </w:rPr>
        <w:t xml:space="preserve"> </w:t>
      </w:r>
      <w:r w:rsidR="00D16C2D" w:rsidRPr="000602E3">
        <w:rPr>
          <w:szCs w:val="24"/>
        </w:rPr>
        <w:t xml:space="preserve">but these expectations often clash with structured processes, limited budgets and legacy systems (Schroth, 2019). Employer attractiveness is also shaped by ethics, sustainability and social responsibility (Rzemieniak </w:t>
      </w:r>
      <w:r w:rsidR="003607B1" w:rsidRPr="000602E3">
        <w:rPr>
          <w:szCs w:val="24"/>
        </w:rPr>
        <w:t>and</w:t>
      </w:r>
      <w:r w:rsidR="00D16C2D" w:rsidRPr="000602E3">
        <w:rPr>
          <w:szCs w:val="24"/>
        </w:rPr>
        <w:t xml:space="preserve"> Wawer, 2021). For councils, understanding these preferences is important when considering how Gen Z expectations align</w:t>
      </w:r>
      <w:r w:rsidR="00E5168E" w:rsidRPr="000602E3">
        <w:rPr>
          <w:szCs w:val="24"/>
        </w:rPr>
        <w:t xml:space="preserve"> </w:t>
      </w:r>
      <w:r w:rsidR="00D16C2D" w:rsidRPr="000602E3">
        <w:rPr>
          <w:szCs w:val="24"/>
        </w:rPr>
        <w:t>or conflict</w:t>
      </w:r>
      <w:r w:rsidR="00B36051" w:rsidRPr="000602E3">
        <w:rPr>
          <w:szCs w:val="24"/>
        </w:rPr>
        <w:t xml:space="preserve"> </w:t>
      </w:r>
      <w:r w:rsidR="00D16C2D" w:rsidRPr="000602E3">
        <w:rPr>
          <w:szCs w:val="24"/>
        </w:rPr>
        <w:t>with public sector realities.</w:t>
      </w:r>
    </w:p>
    <w:p w14:paraId="60CB0A01" w14:textId="583B1254" w:rsidR="00A74165" w:rsidRPr="000602E3" w:rsidRDefault="00A74165" w:rsidP="004B4162">
      <w:pPr>
        <w:pStyle w:val="Uni-Normal"/>
        <w:jc w:val="both"/>
        <w:rPr>
          <w:szCs w:val="24"/>
        </w:rPr>
      </w:pPr>
      <w:r w:rsidRPr="000602E3">
        <w:rPr>
          <w:szCs w:val="24"/>
        </w:rPr>
        <w:t>Strauss and Howe’s (1991) Generational Theory offers a useful framework for understanding this generation’s workplace attitudes, suggesting that historical events and socio-economic conditions shape each generation’s values and behaviours. This perspective is echoed by Gifford (2020), who argues that formative experiences during upbringing and entry into the labour market have a lasting influence on priorities and life choices. Nieżurawska</w:t>
      </w:r>
      <w:r w:rsidRPr="000602E3">
        <w:rPr>
          <w:szCs w:val="24"/>
        </w:rPr>
        <w:noBreakHyphen/>
        <w:t xml:space="preserve">Zają̨c, Kycia and Niemczynowicz (2023) similarly apply a generational lens, comparing Gen Z with older cohorts to understand their distinctive workplace expectations, motivational </w:t>
      </w:r>
      <w:r w:rsidR="00413EDB" w:rsidRPr="000602E3">
        <w:rPr>
          <w:szCs w:val="24"/>
        </w:rPr>
        <w:t>drivers and</w:t>
      </w:r>
      <w:r w:rsidRPr="000602E3">
        <w:rPr>
          <w:szCs w:val="24"/>
        </w:rPr>
        <w:t xml:space="preserve"> attitudes toward work. However, </w:t>
      </w:r>
      <w:r w:rsidR="00F63854" w:rsidRPr="000602E3">
        <w:rPr>
          <w:szCs w:val="24"/>
        </w:rPr>
        <w:t>George, Baskar and Srikaanth (2024)</w:t>
      </w:r>
      <w:r w:rsidRPr="000602E3">
        <w:rPr>
          <w:szCs w:val="24"/>
        </w:rPr>
        <w:t xml:space="preserve"> warn that generational traits are often overgeneralised, with variation within generations sometimes exceeding differences between them. </w:t>
      </w:r>
    </w:p>
    <w:p w14:paraId="2374DB3C" w14:textId="0D749163" w:rsidR="00893A55" w:rsidRPr="000602E3" w:rsidRDefault="00893A55" w:rsidP="004B4162">
      <w:pPr>
        <w:pStyle w:val="Uni-Normal"/>
        <w:jc w:val="both"/>
        <w:rPr>
          <w:szCs w:val="24"/>
        </w:rPr>
      </w:pPr>
      <w:r w:rsidRPr="000602E3">
        <w:rPr>
          <w:szCs w:val="24"/>
        </w:rPr>
        <w:t xml:space="preserve">A </w:t>
      </w:r>
      <w:r w:rsidR="00413EDB" w:rsidRPr="000602E3">
        <w:rPr>
          <w:szCs w:val="24"/>
        </w:rPr>
        <w:t>significant contextual influence shaping Gen Z’s workplace expectation</w:t>
      </w:r>
      <w:r w:rsidRPr="000602E3">
        <w:rPr>
          <w:szCs w:val="24"/>
        </w:rPr>
        <w:t xml:space="preserve"> is the COVID-19 pandemic, as identified by Jayathilake et al. (2021) and </w:t>
      </w:r>
      <w:r w:rsidR="00541A25" w:rsidRPr="000602E3">
        <w:rPr>
          <w:szCs w:val="24"/>
        </w:rPr>
        <w:t xml:space="preserve">Harari, Sela and Bareket-Bojmel (2023). </w:t>
      </w:r>
      <w:r w:rsidRPr="000602E3">
        <w:rPr>
          <w:szCs w:val="24"/>
        </w:rPr>
        <w:t xml:space="preserve">Experiencing the pandemic during key stages of education and early career, many adapted to hybrid learning and remote work. This has fostered a preference for flexibility, digital </w:t>
      </w:r>
      <w:r w:rsidR="00413EDB" w:rsidRPr="000602E3">
        <w:rPr>
          <w:szCs w:val="24"/>
        </w:rPr>
        <w:t>engagement and</w:t>
      </w:r>
      <w:r w:rsidRPr="000602E3">
        <w:rPr>
          <w:szCs w:val="24"/>
        </w:rPr>
        <w:t xml:space="preserve"> continuous learning, alongside a heightened focus on well-being and mental health (</w:t>
      </w:r>
      <w:r w:rsidR="00541A25" w:rsidRPr="000602E3">
        <w:rPr>
          <w:szCs w:val="24"/>
        </w:rPr>
        <w:t>Harari, Sela and Bareket-Bojmel, 2023</w:t>
      </w:r>
      <w:r w:rsidRPr="000602E3">
        <w:rPr>
          <w:szCs w:val="24"/>
        </w:rPr>
        <w:t xml:space="preserve">; Jayathilake et al., 2021). </w:t>
      </w:r>
      <w:r w:rsidR="00AE551E" w:rsidRPr="00AE551E">
        <w:rPr>
          <w:szCs w:val="24"/>
        </w:rPr>
        <w:t xml:space="preserve">Harari, Sela and Bareket-Bojmel (2023) found that, during the COVID-19 crisis, Generation Z demonstrated lower resilience than Generation X, but higher levels of openness to change and self-enhancement. Jayathilake et al. (2021), focusing specifically on the post-COVID-19 workplace, argue that employee development approaches such as </w:t>
      </w:r>
      <w:r w:rsidR="00AE551E">
        <w:rPr>
          <w:szCs w:val="24"/>
        </w:rPr>
        <w:t>personalised</w:t>
      </w:r>
      <w:r w:rsidR="00AE551E" w:rsidRPr="00AE551E">
        <w:rPr>
          <w:szCs w:val="24"/>
        </w:rPr>
        <w:t xml:space="preserve"> learning, reverse mentoring and intrapreneurship may support Gen</w:t>
      </w:r>
      <w:r w:rsidR="00AE551E">
        <w:rPr>
          <w:szCs w:val="24"/>
        </w:rPr>
        <w:t xml:space="preserve"> </w:t>
      </w:r>
      <w:r w:rsidR="00AE551E" w:rsidRPr="00AE551E">
        <w:rPr>
          <w:szCs w:val="24"/>
        </w:rPr>
        <w:t>Z retention and organisational performance.</w:t>
      </w:r>
      <w:r w:rsidR="00AE551E">
        <w:rPr>
          <w:szCs w:val="24"/>
        </w:rPr>
        <w:t xml:space="preserve"> </w:t>
      </w:r>
      <w:r w:rsidR="0000673B" w:rsidRPr="0000673B">
        <w:rPr>
          <w:szCs w:val="24"/>
        </w:rPr>
        <w:t>Although the long-term effects remain unclear, the pandemic appears to have had a lasting influence on Gen Z attitudes towards work and career development (Harari, Sela and Bareket-Bojmel, 2023; Jayathilake et al., 2021)</w:t>
      </w:r>
      <w:r w:rsidR="00CF4E27">
        <w:rPr>
          <w:szCs w:val="24"/>
        </w:rPr>
        <w:t>.</w:t>
      </w:r>
    </w:p>
    <w:p w14:paraId="5D1591F5" w14:textId="647ED82A" w:rsidR="00893A55" w:rsidRPr="000602E3" w:rsidRDefault="00893A55" w:rsidP="004B4162">
      <w:pPr>
        <w:pStyle w:val="Uni-Normal"/>
        <w:jc w:val="both"/>
        <w:rPr>
          <w:szCs w:val="24"/>
        </w:rPr>
      </w:pPr>
      <w:r w:rsidRPr="000602E3">
        <w:rPr>
          <w:szCs w:val="24"/>
        </w:rPr>
        <w:lastRenderedPageBreak/>
        <w:t xml:space="preserve">These influences are most clearly reflected in Gen Z’s strong preference for flexibility. Research by Kästner and Mattutat (2024) indicates that flexibility is a primary workplace priority for Gen Z. Similarly, Shinde and Surve (2025) and </w:t>
      </w:r>
      <w:r w:rsidR="00BA25F8" w:rsidRPr="000602E3">
        <w:rPr>
          <w:szCs w:val="24"/>
        </w:rPr>
        <w:t xml:space="preserve">Zahra, Handoyo and Fajrianthi </w:t>
      </w:r>
      <w:r w:rsidRPr="000602E3">
        <w:rPr>
          <w:szCs w:val="24"/>
        </w:rPr>
        <w:t xml:space="preserve">(2025) identify work–life balance, flexible </w:t>
      </w:r>
      <w:r w:rsidR="00413EDB" w:rsidRPr="000602E3">
        <w:rPr>
          <w:szCs w:val="24"/>
        </w:rPr>
        <w:t>hours and</w:t>
      </w:r>
      <w:r w:rsidRPr="000602E3">
        <w:rPr>
          <w:szCs w:val="24"/>
        </w:rPr>
        <w:t xml:space="preserve"> hybrid or remote working as highly valued benefits. These preferences reflect a desire for autonomy and the integration of work and personal life, challenging traditional office-based models (Shinde and Surve, 2025). This trend is also evident within UK local government, where 88% of employees aged 18–34 consider hybrid or remote working important (Deegan et al., 2024).</w:t>
      </w:r>
      <w:r w:rsidRPr="000602E3">
        <w:rPr>
          <w:rFonts w:eastAsia="Times New Roman"/>
          <w:szCs w:val="24"/>
          <w:lang w:eastAsia="en-GB"/>
        </w:rPr>
        <w:t xml:space="preserve"> </w:t>
      </w:r>
      <w:r w:rsidRPr="000602E3">
        <w:rPr>
          <w:szCs w:val="24"/>
        </w:rPr>
        <w:t>However, the literature presents contrasting perspectives. Romero (2025) challenges the assumption that Gen Z resists office-based work, suggesting instead that Millennials and Gen X show greater resistance. Gen Z, by contrast, values collaborative and socially engaging environments alongside flexibility. Iorgulescu (2016) similarly found that 47.7% of Gen Z respondents preferred working in large teams, compared to 34.6% who favoured independent work. This highlights the need to avoid overgeneralisation and to understand Gen Z preferences within specific contexts</w:t>
      </w:r>
      <w:r w:rsidR="006C601B">
        <w:rPr>
          <w:szCs w:val="24"/>
        </w:rPr>
        <w:t>.</w:t>
      </w:r>
    </w:p>
    <w:p w14:paraId="69896FC7" w14:textId="7D04A434" w:rsidR="00A74165" w:rsidRPr="000602E3" w:rsidRDefault="00A74165" w:rsidP="004B4162">
      <w:pPr>
        <w:pStyle w:val="Uni-Normal"/>
        <w:jc w:val="both"/>
        <w:rPr>
          <w:rFonts w:eastAsia="Times New Roman"/>
          <w:szCs w:val="24"/>
          <w:lang w:eastAsia="en-GB"/>
        </w:rPr>
      </w:pPr>
      <w:r w:rsidRPr="000602E3">
        <w:rPr>
          <w:szCs w:val="24"/>
        </w:rPr>
        <w:t xml:space="preserve">Gen Z places strong emphasis on DEI, with 91% believing everyone should be treated equally (Schroth, 2019). As the most racially and ethnically diverse generation, they expect employers to uphold social responsibility and inclusivity. For this cohort, employer appeal is strongly shaped by perceptions of environmental responsibility, social </w:t>
      </w:r>
      <w:r w:rsidR="00413EDB" w:rsidRPr="000602E3">
        <w:rPr>
          <w:szCs w:val="24"/>
        </w:rPr>
        <w:t>responsibility and</w:t>
      </w:r>
      <w:r w:rsidRPr="000602E3">
        <w:rPr>
          <w:szCs w:val="24"/>
        </w:rPr>
        <w:t xml:space="preserve"> community engagement, which they view as important indicators of an organisation’s values (Dangmei </w:t>
      </w:r>
      <w:r w:rsidR="003607B1" w:rsidRPr="000602E3">
        <w:rPr>
          <w:szCs w:val="24"/>
        </w:rPr>
        <w:t>and</w:t>
      </w:r>
      <w:r w:rsidRPr="000602E3">
        <w:rPr>
          <w:szCs w:val="24"/>
        </w:rPr>
        <w:t xml:space="preserve"> Singh, 2016). Organisations that demonstrate authenticity in these areas are more likely to attract and retain this talent. However, the literature also highlights tensions. Schroth (2019) notes that Gen Z’s strong stance on equality can lead to challenges around free speech and organisational culture, particularly in hierarchical environments.</w:t>
      </w:r>
      <w:r w:rsidRPr="000602E3">
        <w:rPr>
          <w:rFonts w:eastAsia="Times New Roman"/>
          <w:szCs w:val="24"/>
          <w:lang w:eastAsia="en-GB"/>
        </w:rPr>
        <w:t xml:space="preserve"> This is especially relevant for public sector employers, where more rigid structures and slower progression may reduce role attractiveness despite strong alignment with Gen Z’s social value priorities.</w:t>
      </w:r>
    </w:p>
    <w:p w14:paraId="589212C3" w14:textId="509E80EE" w:rsidR="00A74165" w:rsidRPr="00A61B63" w:rsidRDefault="00A61B63" w:rsidP="004B4162">
      <w:pPr>
        <w:pStyle w:val="Uni-Normal"/>
        <w:jc w:val="both"/>
        <w:rPr>
          <w:rFonts w:eastAsia="Times New Roman"/>
          <w:szCs w:val="24"/>
          <w:lang w:eastAsia="en-GB"/>
        </w:rPr>
      </w:pPr>
      <w:r w:rsidRPr="00A61B63">
        <w:rPr>
          <w:rFonts w:eastAsia="Times New Roman"/>
          <w:szCs w:val="24"/>
          <w:lang w:eastAsia="en-GB"/>
        </w:rPr>
        <w:t>Pandita (2022) extends this discussion by demonstrating how DEI principles should be embedded within organisational design rather than confined to policy statements. The study suggests that Gen Z’s preference for “undefined identities” aligns with flatter hierarchies, flexible career pathways and less rigid job titles, signalling inclusion through the structure of work itself rather than through formal commitments alone.</w:t>
      </w:r>
      <w:r>
        <w:rPr>
          <w:rFonts w:eastAsia="Times New Roman"/>
          <w:szCs w:val="24"/>
          <w:lang w:eastAsia="en-GB"/>
        </w:rPr>
        <w:t xml:space="preserve"> </w:t>
      </w:r>
      <w:r w:rsidR="00A74165" w:rsidRPr="000602E3">
        <w:rPr>
          <w:szCs w:val="24"/>
        </w:rPr>
        <w:t xml:space="preserve">Recent research by Rzemieniak and Wawer (2021) both supports and extends these observations. Their findings confirm that sustainability, </w:t>
      </w:r>
      <w:r w:rsidR="00413EDB" w:rsidRPr="000602E3">
        <w:rPr>
          <w:szCs w:val="24"/>
        </w:rPr>
        <w:t>ethics and</w:t>
      </w:r>
      <w:r w:rsidR="00A74165" w:rsidRPr="000602E3">
        <w:rPr>
          <w:szCs w:val="24"/>
        </w:rPr>
        <w:t xml:space="preserve"> diversity are indeed highly valued by Gen Z, echoing the themes </w:t>
      </w:r>
      <w:r w:rsidR="00A74165" w:rsidRPr="000602E3">
        <w:rPr>
          <w:szCs w:val="24"/>
        </w:rPr>
        <w:lastRenderedPageBreak/>
        <w:t xml:space="preserve">identified by Schroth (2019) and Dangmei </w:t>
      </w:r>
      <w:r w:rsidR="003607B1" w:rsidRPr="000602E3">
        <w:rPr>
          <w:szCs w:val="24"/>
        </w:rPr>
        <w:t xml:space="preserve">and </w:t>
      </w:r>
      <w:r w:rsidR="00A74165" w:rsidRPr="000602E3">
        <w:rPr>
          <w:szCs w:val="24"/>
        </w:rPr>
        <w:t xml:space="preserve">Singh (2016). Rzemieniak and Wawer (2021) add a gendered dimension, demonstrating that women from Gen Z are significantly more likely than men to appreciate and be motivated by companies that actively promote these values. This suggests that while DEI and sustainability initiatives are broadly attractive to Gen Z, their impact may vary within the cohort, particularly between genders. Consequently, organisations seeking to attract and retain Gen Z talent should embed DEI principles not only in policy but in practice, ensuring that organisational culture reflects these values authentically and is responsive to the diverse expectations within Gen Z </w:t>
      </w:r>
      <w:r w:rsidR="00BA25F8" w:rsidRPr="000602E3">
        <w:rPr>
          <w:szCs w:val="24"/>
        </w:rPr>
        <w:t>(Zahra, Handoyo and Fajrianthi, 2025).</w:t>
      </w:r>
    </w:p>
    <w:p w14:paraId="76E6AB23" w14:textId="6947B994" w:rsidR="00A74165" w:rsidRPr="000602E3" w:rsidRDefault="00A74165" w:rsidP="004B4162">
      <w:pPr>
        <w:pStyle w:val="Uni-Normal"/>
        <w:jc w:val="both"/>
        <w:rPr>
          <w:szCs w:val="24"/>
        </w:rPr>
      </w:pPr>
      <w:r w:rsidRPr="000602E3">
        <w:rPr>
          <w:szCs w:val="24"/>
        </w:rPr>
        <w:t xml:space="preserve">A dominant theme in the literature is the characterisation of Gen Z as ‘digital natives,’ having grown up in a world shaped by mobile phones, digital communication, social </w:t>
      </w:r>
      <w:r w:rsidR="00413EDB" w:rsidRPr="000602E3">
        <w:rPr>
          <w:szCs w:val="24"/>
        </w:rPr>
        <w:t>media and</w:t>
      </w:r>
      <w:r w:rsidRPr="000602E3">
        <w:rPr>
          <w:szCs w:val="24"/>
        </w:rPr>
        <w:t xml:space="preserve"> the internet (Francis </w:t>
      </w:r>
      <w:r w:rsidR="003607B1" w:rsidRPr="000602E3">
        <w:rPr>
          <w:szCs w:val="24"/>
        </w:rPr>
        <w:t>and</w:t>
      </w:r>
      <w:r w:rsidRPr="000602E3">
        <w:rPr>
          <w:szCs w:val="24"/>
        </w:rPr>
        <w:t xml:space="preserve"> Hoefel, 2018; Dangmei </w:t>
      </w:r>
      <w:r w:rsidR="003607B1" w:rsidRPr="000602E3">
        <w:rPr>
          <w:szCs w:val="24"/>
        </w:rPr>
        <w:t>and</w:t>
      </w:r>
      <w:r w:rsidRPr="000602E3">
        <w:rPr>
          <w:szCs w:val="24"/>
        </w:rPr>
        <w:t xml:space="preserve"> Singh, 2016;</w:t>
      </w:r>
      <w:r w:rsidRPr="000602E3">
        <w:rPr>
          <w:rFonts w:eastAsia="Times New Roman"/>
          <w:szCs w:val="24"/>
          <w:lang w:eastAsia="en-GB"/>
        </w:rPr>
        <w:t xml:space="preserve"> </w:t>
      </w:r>
      <w:r w:rsidRPr="000602E3">
        <w:rPr>
          <w:szCs w:val="24"/>
        </w:rPr>
        <w:t xml:space="preserve">Jayathilake et al., 2021; Pandita, 2022). Pandita (2022) suggests that this digital upbringing has made Gen Z analytical, self-directed learners who multitask efficiently. </w:t>
      </w:r>
      <w:r w:rsidR="00F63854" w:rsidRPr="000602E3">
        <w:rPr>
          <w:szCs w:val="24"/>
        </w:rPr>
        <w:t xml:space="preserve">Vieira, Costa and Santos (2024) </w:t>
      </w:r>
      <w:r w:rsidRPr="000602E3">
        <w:rPr>
          <w:szCs w:val="24"/>
        </w:rPr>
        <w:t xml:space="preserve">further highlight that </w:t>
      </w:r>
      <w:r w:rsidR="0017563B" w:rsidRPr="000602E3">
        <w:rPr>
          <w:szCs w:val="24"/>
        </w:rPr>
        <w:t>Gen Z</w:t>
      </w:r>
      <w:r w:rsidRPr="000602E3">
        <w:rPr>
          <w:szCs w:val="24"/>
        </w:rPr>
        <w:t xml:space="preserve"> expects technology to be embedded throughout their working lives and places strong emphasis on diversity, </w:t>
      </w:r>
      <w:r w:rsidR="00413EDB" w:rsidRPr="000602E3">
        <w:rPr>
          <w:szCs w:val="24"/>
        </w:rPr>
        <w:t>inclusion and</w:t>
      </w:r>
      <w:r w:rsidRPr="000602E3">
        <w:rPr>
          <w:szCs w:val="24"/>
        </w:rPr>
        <w:t xml:space="preserve"> supportive workplace cultures, including wellbeing and work–life balance. Recruitment, </w:t>
      </w:r>
      <w:r w:rsidR="00413EDB" w:rsidRPr="000602E3">
        <w:rPr>
          <w:szCs w:val="24"/>
        </w:rPr>
        <w:t>onboarding and</w:t>
      </w:r>
      <w:r w:rsidRPr="000602E3">
        <w:rPr>
          <w:szCs w:val="24"/>
        </w:rPr>
        <w:t xml:space="preserve"> career management processes must therefore evolve to align with these expectations. However, Dangmei </w:t>
      </w:r>
      <w:r w:rsidR="003607B1" w:rsidRPr="000602E3">
        <w:rPr>
          <w:szCs w:val="24"/>
        </w:rPr>
        <w:t>and</w:t>
      </w:r>
      <w:r w:rsidRPr="000602E3">
        <w:rPr>
          <w:szCs w:val="24"/>
        </w:rPr>
        <w:t xml:space="preserve"> Singh (2016) caution that heavy reliance on technology may lead to impatience, shorter attention </w:t>
      </w:r>
      <w:r w:rsidR="00413EDB" w:rsidRPr="000602E3">
        <w:rPr>
          <w:szCs w:val="24"/>
        </w:rPr>
        <w:t>spans and</w:t>
      </w:r>
      <w:r w:rsidRPr="000602E3">
        <w:rPr>
          <w:szCs w:val="24"/>
        </w:rPr>
        <w:t xml:space="preserve"> a preference for instant solutions, illustrating the complexity of this cohort’s relationship with technology. While these traits offer opportunities for innovation in the public sector, many councils still face challenges in keeping pace with rapid digital change, creating a potential misalignment between organisational capabilities and generational expectations. </w:t>
      </w:r>
      <w:r w:rsidR="00BA25F8" w:rsidRPr="000602E3">
        <w:rPr>
          <w:szCs w:val="24"/>
        </w:rPr>
        <w:t xml:space="preserve">Zahra, Handoyo and Fajrianthi (2025) </w:t>
      </w:r>
      <w:r w:rsidRPr="000602E3">
        <w:rPr>
          <w:szCs w:val="24"/>
        </w:rPr>
        <w:t xml:space="preserve">note that insufficient or outdated technological tools can lead to frustration and diminished engagement among Gen Z employees, with potential implications for retention. </w:t>
      </w:r>
      <w:r w:rsidR="00A61B63" w:rsidRPr="00A61B63">
        <w:rPr>
          <w:szCs w:val="24"/>
        </w:rPr>
        <w:t>These challenges mirror broader barriers to digital innovation across local government. Key obstacles include financial constraints, reported by more than half of councils, legacy-system integration difficulties affecting nearly two-fifths</w:t>
      </w:r>
      <w:r w:rsidR="00D4542F">
        <w:rPr>
          <w:szCs w:val="24"/>
        </w:rPr>
        <w:t xml:space="preserve"> </w:t>
      </w:r>
      <w:r w:rsidR="00A61B63" w:rsidRPr="00A61B63">
        <w:rPr>
          <w:szCs w:val="24"/>
        </w:rPr>
        <w:t>and persistent workforce digital skills gaps identified in 40% of authorities (Civica, 2025).</w:t>
      </w:r>
    </w:p>
    <w:p w14:paraId="1D3462FB" w14:textId="77777777" w:rsidR="00A61B63" w:rsidRPr="00A61B63" w:rsidRDefault="00922985" w:rsidP="00A61B63">
      <w:pPr>
        <w:pStyle w:val="Uni-Normal"/>
        <w:jc w:val="both"/>
        <w:rPr>
          <w:szCs w:val="24"/>
        </w:rPr>
      </w:pPr>
      <w:r w:rsidRPr="000602E3">
        <w:rPr>
          <w:szCs w:val="24"/>
        </w:rPr>
        <w:t>Forvis Mazars’</w:t>
      </w:r>
      <w:r w:rsidR="00A74165" w:rsidRPr="000602E3">
        <w:rPr>
          <w:szCs w:val="24"/>
        </w:rPr>
        <w:t xml:space="preserve"> public sector survey reinforces this perspective, revealing significant challenges for councils and other public bodies in meeting Gen Z’s expectations. One survey participant noted that the sector is not appealing due to outdated systems and bureaucratic processes, which Gen Z finds unattractive (</w:t>
      </w:r>
      <w:r w:rsidRPr="000602E3">
        <w:rPr>
          <w:szCs w:val="24"/>
        </w:rPr>
        <w:t>Forvis Mazars</w:t>
      </w:r>
      <w:r w:rsidR="00A74165" w:rsidRPr="000602E3">
        <w:rPr>
          <w:szCs w:val="24"/>
        </w:rPr>
        <w:t>, 202</w:t>
      </w:r>
      <w:r w:rsidR="00AE227D" w:rsidRPr="000602E3">
        <w:rPr>
          <w:szCs w:val="24"/>
        </w:rPr>
        <w:t>3</w:t>
      </w:r>
      <w:r w:rsidR="00A74165" w:rsidRPr="000602E3">
        <w:rPr>
          <w:szCs w:val="24"/>
        </w:rPr>
        <w:t xml:space="preserve">). The survey highlights that </w:t>
      </w:r>
      <w:r w:rsidR="00A74165" w:rsidRPr="000602E3">
        <w:rPr>
          <w:szCs w:val="24"/>
        </w:rPr>
        <w:lastRenderedPageBreak/>
        <w:t xml:space="preserve">public sector organisations often </w:t>
      </w:r>
      <w:proofErr w:type="gramStart"/>
      <w:r w:rsidR="00A74165" w:rsidRPr="000602E3">
        <w:rPr>
          <w:szCs w:val="24"/>
        </w:rPr>
        <w:t>lag behind</w:t>
      </w:r>
      <w:proofErr w:type="gramEnd"/>
      <w:r w:rsidR="00A74165" w:rsidRPr="000602E3">
        <w:rPr>
          <w:szCs w:val="24"/>
        </w:rPr>
        <w:t xml:space="preserve"> in adopting advanced technologies, constrained by budgetary limitations and bureaucratic structures (</w:t>
      </w:r>
      <w:r w:rsidRPr="000602E3">
        <w:rPr>
          <w:szCs w:val="24"/>
        </w:rPr>
        <w:t>Forvis Mazars</w:t>
      </w:r>
      <w:r w:rsidR="00A74165" w:rsidRPr="000602E3">
        <w:rPr>
          <w:szCs w:val="24"/>
        </w:rPr>
        <w:t>, 202</w:t>
      </w:r>
      <w:r w:rsidR="00AE227D" w:rsidRPr="000602E3">
        <w:rPr>
          <w:szCs w:val="24"/>
        </w:rPr>
        <w:t>3</w:t>
      </w:r>
      <w:r w:rsidR="00A74165" w:rsidRPr="000602E3">
        <w:rPr>
          <w:szCs w:val="24"/>
        </w:rPr>
        <w:t xml:space="preserve">). </w:t>
      </w:r>
      <w:r w:rsidR="00A61B63" w:rsidRPr="00A61B63">
        <w:rPr>
          <w:szCs w:val="24"/>
        </w:rPr>
        <w:t>This creates a disconnect between organisational capabilities and generational expectations. Research suggests that Gen Z places a high value on innovation, flexibility, autonomy and inclusive workplace cultures (Pandita, 2022; Schroth, 2019). Where organisational modernisation is limited, these expectations may be more difficult to meet, potentially affecting the attractiveness of employers to younger talent.</w:t>
      </w:r>
    </w:p>
    <w:p w14:paraId="69CE2134" w14:textId="7DC5FE49" w:rsidR="00631B76" w:rsidRPr="000602E3" w:rsidRDefault="00A74165" w:rsidP="004B4162">
      <w:pPr>
        <w:pStyle w:val="Uni-Normal"/>
        <w:jc w:val="both"/>
        <w:rPr>
          <w:szCs w:val="24"/>
        </w:rPr>
      </w:pPr>
      <w:r w:rsidRPr="000602E3">
        <w:rPr>
          <w:szCs w:val="24"/>
        </w:rPr>
        <w:t xml:space="preserve">Building on Gen Z’s digital nativity and preference for flexibility, another key theme emerging in the literature is their strong desire for career development. Recent research challenges stereotypes of Gen Z as “lazy,” indicating that 65% are eager for professional development and career growth (Silicon UK, 2024). Iorgulescu (2016) reinforces this view, noting that Gen Z seeks careers that are meaningful, </w:t>
      </w:r>
      <w:r w:rsidR="00353D6A" w:rsidRPr="000602E3">
        <w:rPr>
          <w:szCs w:val="24"/>
        </w:rPr>
        <w:t>autonomous and</w:t>
      </w:r>
      <w:r w:rsidRPr="000602E3">
        <w:rPr>
          <w:szCs w:val="24"/>
        </w:rPr>
        <w:t xml:space="preserve"> intellectually stimulating. 87.18% of Gen Z respondents in the survey identified opportunities for advancement and career development as their top priority when selecting a full-time job</w:t>
      </w:r>
      <w:r w:rsidR="00EA49F0" w:rsidRPr="000602E3">
        <w:rPr>
          <w:szCs w:val="24"/>
        </w:rPr>
        <w:t>.</w:t>
      </w:r>
      <w:r w:rsidRPr="000602E3">
        <w:rPr>
          <w:szCs w:val="24"/>
        </w:rPr>
        <w:t xml:space="preserve"> Similarly, Madan and Nandan’s (2024) study identifies growth and autonomy as central factors shaping their job expectations. Notably, the ‘economic aspect’ was ranked fifth by both genders, </w:t>
      </w:r>
      <w:bookmarkStart w:id="51" w:name="_Hlk217311418"/>
      <w:r w:rsidR="00631B76" w:rsidRPr="000602E3">
        <w:rPr>
          <w:szCs w:val="24"/>
        </w:rPr>
        <w:t>indicating that extrinsic benefits such as salary and rewards are given less priority compared to intrinsic factors that contribute to personal satisfaction.</w:t>
      </w:r>
    </w:p>
    <w:p w14:paraId="1B0B9201" w14:textId="297DC07D" w:rsidR="00A74165" w:rsidRPr="000602E3" w:rsidRDefault="00A74165" w:rsidP="004B4162">
      <w:pPr>
        <w:pStyle w:val="Uni-Normal"/>
        <w:jc w:val="both"/>
        <w:rPr>
          <w:szCs w:val="24"/>
        </w:rPr>
      </w:pPr>
      <w:r w:rsidRPr="000602E3">
        <w:rPr>
          <w:szCs w:val="24"/>
        </w:rPr>
        <w:t xml:space="preserve">Learning and development remain a central theme in the literature, with studies indicating that Gen Z value workplaces offering mentoring, continuous </w:t>
      </w:r>
      <w:r w:rsidR="00353D6A" w:rsidRPr="000602E3">
        <w:rPr>
          <w:szCs w:val="24"/>
        </w:rPr>
        <w:t>learning and</w:t>
      </w:r>
      <w:r w:rsidRPr="000602E3">
        <w:rPr>
          <w:szCs w:val="24"/>
        </w:rPr>
        <w:t xml:space="preserve"> opportunities for professional growth (Bridges, 2015, as cited in Dangmei </w:t>
      </w:r>
      <w:r w:rsidR="003607B1" w:rsidRPr="000602E3">
        <w:rPr>
          <w:szCs w:val="24"/>
        </w:rPr>
        <w:t>and</w:t>
      </w:r>
      <w:r w:rsidRPr="000602E3">
        <w:rPr>
          <w:szCs w:val="24"/>
        </w:rPr>
        <w:t xml:space="preserve"> Singh, 2016; Iorgulescu, 2016). In Iorgulescu’s (2016) study, Gen Z rated the ability to constantly learn new things as the most important skill for building a successful career, even though their top priorities when choosing a full</w:t>
      </w:r>
      <w:r w:rsidRPr="000602E3">
        <w:rPr>
          <w:szCs w:val="24"/>
        </w:rPr>
        <w:noBreakHyphen/>
        <w:t xml:space="preserve">time job were advancement opportunities, </w:t>
      </w:r>
      <w:r w:rsidR="00353D6A" w:rsidRPr="000602E3">
        <w:rPr>
          <w:szCs w:val="24"/>
        </w:rPr>
        <w:t>pay and</w:t>
      </w:r>
      <w:r w:rsidRPr="000602E3">
        <w:rPr>
          <w:szCs w:val="24"/>
        </w:rPr>
        <w:t xml:space="preserve"> job security. However, this interpretation is challenged by Madan and Nandan (2024), who reported that meaning and purpose outweigh opportunities for formal development, with development ranked as the least important factor</w:t>
      </w:r>
      <w:r w:rsidR="00EA49F0" w:rsidRPr="000602E3">
        <w:rPr>
          <w:szCs w:val="24"/>
        </w:rPr>
        <w:t>.</w:t>
      </w:r>
      <w:r w:rsidRPr="000602E3">
        <w:rPr>
          <w:szCs w:val="24"/>
        </w:rPr>
        <w:t xml:space="preserve"> </w:t>
      </w:r>
      <w:r w:rsidR="00F30354" w:rsidRPr="000602E3">
        <w:rPr>
          <w:szCs w:val="24"/>
        </w:rPr>
        <w:t>This suggests a preference for roles centred on meaningful contribution and responsibility rather than formal development pathways.</w:t>
      </w:r>
      <w:r w:rsidRPr="000602E3">
        <w:rPr>
          <w:szCs w:val="24"/>
        </w:rPr>
        <w:t xml:space="preserve"> Agarwal and Vaghela (2018) offer a differ</w:t>
      </w:r>
      <w:r w:rsidR="00EA49F0" w:rsidRPr="000602E3">
        <w:rPr>
          <w:szCs w:val="24"/>
        </w:rPr>
        <w:t>ent</w:t>
      </w:r>
      <w:r w:rsidRPr="000602E3">
        <w:rPr>
          <w:szCs w:val="24"/>
        </w:rPr>
        <w:t xml:space="preserve"> viewpoint, suggesting that learning remains core to the generation. They argue </w:t>
      </w:r>
      <w:r w:rsidR="00353D6A" w:rsidRPr="000602E3">
        <w:rPr>
          <w:szCs w:val="24"/>
        </w:rPr>
        <w:t>that</w:t>
      </w:r>
      <w:r w:rsidRPr="000602E3">
        <w:rPr>
          <w:szCs w:val="24"/>
        </w:rPr>
        <w:t xml:space="preserve"> having grown up in a digital era with instant access to platforms such as YouTube, Gen Z expects quick learning paths and on-demand resources. As a result, they recommend that organisations adopt more adaptable strategies, such as implementing rotational </w:t>
      </w:r>
      <w:r w:rsidR="00EA49F0" w:rsidRPr="000602E3">
        <w:rPr>
          <w:szCs w:val="24"/>
        </w:rPr>
        <w:t>programmes</w:t>
      </w:r>
      <w:r w:rsidRPr="000602E3">
        <w:rPr>
          <w:szCs w:val="24"/>
        </w:rPr>
        <w:t xml:space="preserve">, </w:t>
      </w:r>
      <w:r w:rsidRPr="000602E3">
        <w:rPr>
          <w:szCs w:val="24"/>
        </w:rPr>
        <w:lastRenderedPageBreak/>
        <w:t xml:space="preserve">exploratory </w:t>
      </w:r>
      <w:r w:rsidR="00353D6A" w:rsidRPr="000602E3">
        <w:rPr>
          <w:szCs w:val="24"/>
        </w:rPr>
        <w:t>assignments and</w:t>
      </w:r>
      <w:r w:rsidRPr="000602E3">
        <w:rPr>
          <w:szCs w:val="24"/>
        </w:rPr>
        <w:t xml:space="preserve"> expanding opportunities for continuous learning and development. </w:t>
      </w:r>
    </w:p>
    <w:p w14:paraId="10938B3D" w14:textId="7BA043B6" w:rsidR="00A74165" w:rsidRPr="00ED69CB" w:rsidRDefault="00A74165" w:rsidP="004B4162">
      <w:pPr>
        <w:pStyle w:val="2Sectionheading"/>
        <w:spacing w:line="360" w:lineRule="auto"/>
        <w:jc w:val="both"/>
        <w:rPr>
          <w:rFonts w:cs="Times New Roman"/>
          <w:szCs w:val="24"/>
        </w:rPr>
      </w:pPr>
      <w:bookmarkStart w:id="52" w:name="_Toc220001940"/>
      <w:bookmarkStart w:id="53" w:name="_Toc234319620"/>
      <w:bookmarkEnd w:id="51"/>
      <w:r w:rsidRPr="00ED69CB">
        <w:rPr>
          <w:rFonts w:cs="Times New Roman"/>
          <w:szCs w:val="24"/>
        </w:rPr>
        <w:t xml:space="preserve">2.6 </w:t>
      </w:r>
      <w:r w:rsidR="0017563B" w:rsidRPr="00ED69CB">
        <w:rPr>
          <w:rFonts w:cs="Times New Roman"/>
          <w:szCs w:val="24"/>
        </w:rPr>
        <w:t>Gen Z</w:t>
      </w:r>
      <w:r w:rsidRPr="00ED69CB">
        <w:rPr>
          <w:rFonts w:cs="Times New Roman"/>
          <w:szCs w:val="24"/>
        </w:rPr>
        <w:t xml:space="preserve"> in the Public Sector</w:t>
      </w:r>
      <w:bookmarkEnd w:id="50"/>
      <w:bookmarkEnd w:id="52"/>
      <w:bookmarkEnd w:id="53"/>
      <w:r w:rsidRPr="00ED69CB">
        <w:rPr>
          <w:rFonts w:cs="Times New Roman"/>
          <w:szCs w:val="24"/>
        </w:rPr>
        <w:t xml:space="preserve"> </w:t>
      </w:r>
    </w:p>
    <w:p w14:paraId="07516A6C" w14:textId="39B5925B" w:rsidR="00A74165" w:rsidRPr="0092643B" w:rsidRDefault="00A74165" w:rsidP="0092643B">
      <w:pPr>
        <w:pStyle w:val="Uni-Normal"/>
        <w:jc w:val="both"/>
      </w:pPr>
      <w:r w:rsidRPr="0092643B">
        <w:t xml:space="preserve">Gen Z is entering the workforce at a time when public sector organisations are grappling with a “perfect storm” of workforce </w:t>
      </w:r>
      <w:r w:rsidR="00353D6A" w:rsidRPr="0092643B">
        <w:t>shortage</w:t>
      </w:r>
      <w:r w:rsidR="00F30354" w:rsidRPr="0092643B">
        <w:t>, economic pressures</w:t>
      </w:r>
      <w:r w:rsidR="00353D6A" w:rsidRPr="0092643B">
        <w:t xml:space="preserve"> and</w:t>
      </w:r>
      <w:r w:rsidRPr="0092643B">
        <w:t xml:space="preserve"> rising demand for services (Forvis Mazars, 2026). </w:t>
      </w:r>
      <w:r w:rsidR="009F304D" w:rsidRPr="0092643B">
        <w:t>TM</w:t>
      </w:r>
      <w:r w:rsidRPr="0092643B">
        <w:t xml:space="preserve"> literature highlights that attracting and retaining Gen Z requires a fundamental rethink of traditional public sector workforce strategies (Deegan et al., 2024). The Workforce of the Future report notes that Gen Z </w:t>
      </w:r>
      <w:r w:rsidR="00EA49F0" w:rsidRPr="0092643B">
        <w:t>are</w:t>
      </w:r>
      <w:r w:rsidRPr="0092643B">
        <w:t xml:space="preserve"> motivated by mission</w:t>
      </w:r>
      <w:r w:rsidRPr="0092643B">
        <w:noBreakHyphen/>
        <w:t>led roles and opportunities to make a positive impact, yet local government has not fully harnessed this potential, with under</w:t>
      </w:r>
      <w:r w:rsidRPr="0092643B">
        <w:noBreakHyphen/>
        <w:t>25s representing only 4.6% of the workforce (Deegan et al., 2024). While the mission</w:t>
      </w:r>
      <w:r w:rsidRPr="0092643B">
        <w:noBreakHyphen/>
        <w:t xml:space="preserve">driven ethos of public service aligns with Gen Z’s preference for meaningful work and inclusive environments, existing </w:t>
      </w:r>
      <w:r w:rsidR="009F304D" w:rsidRPr="0092643B">
        <w:t>TM</w:t>
      </w:r>
      <w:r w:rsidRPr="0092643B">
        <w:t xml:space="preserve"> practices do not always reflect these priorities (Deegan et al., 2024). </w:t>
      </w:r>
      <w:r w:rsidR="00094CDE" w:rsidRPr="0092643B">
        <w:t xml:space="preserve">This reflects a broader mismatch, discussed earlier, between public sector structures and Gen Z expectations for flexibility, early </w:t>
      </w:r>
      <w:r w:rsidR="00353D6A" w:rsidRPr="0092643B">
        <w:t>responsibility and</w:t>
      </w:r>
      <w:r w:rsidR="00094CDE" w:rsidRPr="0092643B">
        <w:t xml:space="preserve"> visible career progression (Mangan et al., 2024).</w:t>
      </w:r>
      <w:r w:rsidR="00402A1C" w:rsidRPr="0092643B">
        <w:t xml:space="preserve"> </w:t>
      </w:r>
      <w:r w:rsidRPr="0092643B">
        <w:t xml:space="preserve">As digital natives, Gen Z are quick to notice outdated </w:t>
      </w:r>
      <w:r w:rsidR="00353D6A" w:rsidRPr="0092643B">
        <w:t>systems and</w:t>
      </w:r>
      <w:r w:rsidRPr="0092643B">
        <w:t xml:space="preserve"> </w:t>
      </w:r>
      <w:r w:rsidR="00094CDE" w:rsidRPr="0092643B">
        <w:t xml:space="preserve">limited investment in modern tools and innovation may weaken engagement and retention (McConnell </w:t>
      </w:r>
      <w:r w:rsidR="003607B1" w:rsidRPr="0092643B">
        <w:t>and</w:t>
      </w:r>
      <w:r w:rsidR="00094CDE" w:rsidRPr="0092643B">
        <w:t xml:space="preserve"> Blackburn, 2025).</w:t>
      </w:r>
    </w:p>
    <w:p w14:paraId="596C5ABE" w14:textId="02B6C1D8" w:rsidR="00A74165" w:rsidRPr="0092643B" w:rsidRDefault="00A74165" w:rsidP="0092643B">
      <w:pPr>
        <w:pStyle w:val="Uni-Normal"/>
        <w:jc w:val="both"/>
      </w:pPr>
      <w:r w:rsidRPr="0092643B">
        <w:t xml:space="preserve">Mangan et al. (2024) highlight that local government roles have evolved from transactional tasks to more relational and strategic work. However, </w:t>
      </w:r>
      <w:r w:rsidR="00094CDE" w:rsidRPr="0092643B">
        <w:t>this progress is often constrained by structural and financial limitations, making it harder to attract and retain younger generations such as Gen Z</w:t>
      </w:r>
      <w:r w:rsidRPr="0092643B">
        <w:t xml:space="preserve">. While younger workers seek meaningful work, rapid </w:t>
      </w:r>
      <w:r w:rsidR="00353D6A" w:rsidRPr="0092643B">
        <w:t>progression and</w:t>
      </w:r>
      <w:r w:rsidRPr="0092643B">
        <w:t xml:space="preserve"> alignment with their values, local government is often perceived as slow to innovate and less responsive to these priorities. The authors argue that councils should clearly demonstrate how public service roles make a difference or risk losing appeal to new talent. Similarly, UK survey data confirms that purpose, specifically a ‘passion for public service’, remains a key attractor, yet it is under</w:t>
      </w:r>
      <w:r w:rsidRPr="0092643B">
        <w:noBreakHyphen/>
        <w:t>leveraged in employer branding and recruitment messaging. Almost half of respondents reported being drawn to local government by the opportunity to pursue purpose</w:t>
      </w:r>
      <w:r w:rsidRPr="0092643B">
        <w:noBreakHyphen/>
        <w:t xml:space="preserve">driven roles that make a positive impact. Despite this, Deegan et al. (2024) find that councils do not invest enough in showcasing their values, </w:t>
      </w:r>
      <w:r w:rsidR="00353D6A" w:rsidRPr="0092643B">
        <w:t>purpose and</w:t>
      </w:r>
      <w:r w:rsidRPr="0092643B">
        <w:t xml:space="preserve"> societal impact to prospective employees, contributing to a weak employer brand. </w:t>
      </w:r>
    </w:p>
    <w:p w14:paraId="2CE21CFE" w14:textId="50E5C158" w:rsidR="00A74165" w:rsidRPr="0092643B" w:rsidRDefault="00A74165" w:rsidP="0092643B">
      <w:pPr>
        <w:pStyle w:val="Uni-Normal"/>
        <w:jc w:val="both"/>
      </w:pPr>
      <w:r w:rsidRPr="0092643B">
        <w:lastRenderedPageBreak/>
        <w:t xml:space="preserve">Research shows that </w:t>
      </w:r>
      <w:r w:rsidR="0017563B" w:rsidRPr="0092643B">
        <w:t>Gen Z</w:t>
      </w:r>
      <w:r w:rsidRPr="0092643B">
        <w:t xml:space="preserve"> places strong importance on job security, organisational social responsibility, flexible </w:t>
      </w:r>
      <w:r w:rsidR="00353D6A" w:rsidRPr="0092643B">
        <w:t>working and</w:t>
      </w:r>
      <w:r w:rsidRPr="0092643B">
        <w:t xml:space="preserve"> modern benefits systems (Nieżurawska</w:t>
      </w:r>
      <w:r w:rsidRPr="0092643B">
        <w:noBreakHyphen/>
        <w:t xml:space="preserve">Zając, Kycia </w:t>
      </w:r>
      <w:r w:rsidR="003607B1" w:rsidRPr="0092643B">
        <w:t xml:space="preserve">and </w:t>
      </w:r>
      <w:r w:rsidRPr="0092643B">
        <w:t xml:space="preserve">Niemczynowicz, 2023). Although this study does not focus on the public sector, these preferences closely align with what many public roles offer. Acheampong (2021) further demonstrates that public sector employers can attract Gen Z by combining secure and competitive employment with intrinsic rewards such as meaningful work, autonomy, supportive </w:t>
      </w:r>
      <w:r w:rsidR="00353D6A" w:rsidRPr="0092643B">
        <w:t>leadership and</w:t>
      </w:r>
      <w:r w:rsidRPr="0092643B">
        <w:t xml:space="preserve"> clear development pathways. Krajec and Buzeti (2024) likewise argue that job stability and salary alone are no longer sufficient to attract young talent into public administration. Their findings emphasise the importance of work–life balance, flexible working arrangements, varied and interesting work, organisational reputation, employee development, </w:t>
      </w:r>
      <w:r w:rsidR="00353D6A" w:rsidRPr="0092643B">
        <w:t>wellbeing and</w:t>
      </w:r>
      <w:r w:rsidRPr="0092643B">
        <w:t xml:space="preserve"> visible social responsibility. </w:t>
      </w:r>
    </w:p>
    <w:p w14:paraId="797EFA50" w14:textId="59D9A97F" w:rsidR="00A74165" w:rsidRPr="0092643B" w:rsidRDefault="00A74165" w:rsidP="0092643B">
      <w:pPr>
        <w:pStyle w:val="Uni-Normal"/>
        <w:jc w:val="both"/>
      </w:pPr>
      <w:r w:rsidRPr="0092643B">
        <w:t>Recent survey data reflect these broader trends: in the U.S., 90% of Gen Z respondents prioritise flexible working and 87% value long</w:t>
      </w:r>
      <w:r w:rsidRPr="0092643B">
        <w:noBreakHyphen/>
        <w:t xml:space="preserve">term job security (McConnell </w:t>
      </w:r>
      <w:r w:rsidR="003607B1" w:rsidRPr="0092643B">
        <w:t>and</w:t>
      </w:r>
      <w:r w:rsidRPr="0092643B">
        <w:t> Blackburn, 2025), while UK figures show that 88% of employees aged 18–34 consider hybrid or remote work important (Deegan et al., 2024). Although age</w:t>
      </w:r>
      <w:r w:rsidRPr="0092643B">
        <w:noBreakHyphen/>
        <w:t>based rather than generation specific, these findings mirror Gen Z expectations within local government settings.</w:t>
      </w:r>
    </w:p>
    <w:p w14:paraId="0CA83CC2" w14:textId="12551EE5" w:rsidR="00273324" w:rsidRPr="0092643B" w:rsidRDefault="00A74165" w:rsidP="0092643B">
      <w:pPr>
        <w:pStyle w:val="Uni-Normal"/>
        <w:jc w:val="both"/>
      </w:pPr>
      <w:r w:rsidRPr="0092643B">
        <w:t xml:space="preserve">To address leadership and knowledge gaps in the public sector, local councils have implemented a range of </w:t>
      </w:r>
      <w:r w:rsidR="009F304D" w:rsidRPr="0092643B">
        <w:t>TM</w:t>
      </w:r>
      <w:r w:rsidRPr="0092643B">
        <w:t xml:space="preserve"> schemes, such as accelerated career development or ‘fast-track’ graduate programmes (Clarke </w:t>
      </w:r>
      <w:r w:rsidR="003607B1" w:rsidRPr="0092643B">
        <w:t>and</w:t>
      </w:r>
      <w:r w:rsidRPr="0092643B">
        <w:t xml:space="preserve"> Scurry, 2020). </w:t>
      </w:r>
      <w:r w:rsidR="00094CDE" w:rsidRPr="0092643B">
        <w:t>Graduate entry schemes and apprenticeships are widely promoted as key mechanisms for attracting and developing talent.</w:t>
      </w:r>
      <w:r w:rsidRPr="0092643B">
        <w:t xml:space="preserve"> According to the Local Government Association, 90% of councils have an apprenticeship strategy or plan being developed however, only 49% believe that apprenticeships are effectively addressing recruitment and retention challenges (Local Government Association, 202</w:t>
      </w:r>
      <w:r w:rsidR="00FE1AA6" w:rsidRPr="0092643B">
        <w:t>6</w:t>
      </w:r>
      <w:r w:rsidRPr="0092643B">
        <w:t>). While these initiatives aim to accelerate progression and build leadership capacity</w:t>
      </w:r>
      <w:r w:rsidR="00D673CE">
        <w:t>,</w:t>
      </w:r>
      <w:r w:rsidRPr="0092643B">
        <w:t xml:space="preserve"> </w:t>
      </w:r>
      <w:r w:rsidR="00C46531" w:rsidRPr="0092643B">
        <w:t xml:space="preserve">evidence suggests their effectiveness remains inconsistent. </w:t>
      </w:r>
      <w:r w:rsidR="00922985" w:rsidRPr="0092643B">
        <w:t>Forvis Mazars</w:t>
      </w:r>
      <w:r w:rsidRPr="0092643B">
        <w:t xml:space="preserve"> (202</w:t>
      </w:r>
      <w:r w:rsidR="00AE227D" w:rsidRPr="0092643B">
        <w:t>6)</w:t>
      </w:r>
      <w:r w:rsidRPr="0092643B">
        <w:t xml:space="preserve"> echoes this uncertainty, highlighting that many organisations are not making the most of resources like the Apprenticeship Levy, often due to temporary contracts and a lack of senior officer buy-in. Furthermore, a study by Clarke (2017) found that the graduate development programme in an Australian public sector organisation only partially supported employability</w:t>
      </w:r>
      <w:r w:rsidR="00273324" w:rsidRPr="0092643B">
        <w:t xml:space="preserve">, with outcomes often dependent on job fit and line manager support. This results in inconsistent development experiences and does not guarantee continued employment. </w:t>
      </w:r>
      <w:r w:rsidR="0073355E" w:rsidRPr="0092643B">
        <w:t>This</w:t>
      </w:r>
      <w:r w:rsidR="00273324" w:rsidRPr="0092643B">
        <w:t xml:space="preserve"> highlights a gap between the widespread promotion of </w:t>
      </w:r>
      <w:r w:rsidR="00273324" w:rsidRPr="0092643B">
        <w:lastRenderedPageBreak/>
        <w:t>graduate and apprenticeship schemes and the limited empirical evidence of their long-term effectiveness in addressing recruitment and retention challenges.</w:t>
      </w:r>
    </w:p>
    <w:p w14:paraId="587323EC" w14:textId="0DB0BF8C" w:rsidR="006D0C61" w:rsidRPr="0092643B" w:rsidRDefault="00273324" w:rsidP="0092643B">
      <w:pPr>
        <w:pStyle w:val="Uni-Normal"/>
        <w:jc w:val="both"/>
      </w:pPr>
      <w:r w:rsidRPr="0092643B">
        <w:t>The urgency is amplified by structural challenges such as cost</w:t>
      </w:r>
      <w:r w:rsidRPr="0092643B">
        <w:noBreakHyphen/>
        <w:t xml:space="preserve">cutting pressures and rising service demand, which continue to place strain on public sector organisations (Clarke </w:t>
      </w:r>
      <w:r w:rsidR="003607B1" w:rsidRPr="0092643B">
        <w:t>and</w:t>
      </w:r>
      <w:r w:rsidRPr="0092643B">
        <w:t xml:space="preserve"> Scurry, 2020). </w:t>
      </w:r>
      <w:r w:rsidR="004508BA" w:rsidRPr="0092643B">
        <w:t>These challenges are compounded by Wales’s projected demographic changes, with the proportion of older people increasing while the share of younger and working-age populations declines. This shift is expected to contribute to a shrinking labour force and increased demand for public services, intensifying competition for a reduced working-age population (Welsh Government,</w:t>
      </w:r>
      <w:r w:rsidR="00B36051" w:rsidRPr="0092643B">
        <w:t xml:space="preserve"> </w:t>
      </w:r>
      <w:r w:rsidR="004508BA" w:rsidRPr="0092643B">
        <w:t>202</w:t>
      </w:r>
      <w:r w:rsidR="00B36051" w:rsidRPr="0092643B">
        <w:t>6)</w:t>
      </w:r>
      <w:r w:rsidR="004508BA" w:rsidRPr="0092643B">
        <w:t>. Without</w:t>
      </w:r>
      <w:r w:rsidRPr="0092643B">
        <w:t xml:space="preserve"> effective strategies, organisations risk recruitment and retention challenges, particularly as experienced staff retire (Clarke </w:t>
      </w:r>
      <w:r w:rsidR="003607B1" w:rsidRPr="0092643B">
        <w:t>and</w:t>
      </w:r>
      <w:r w:rsidRPr="0092643B">
        <w:t xml:space="preserve"> Scurry, 2020; Calo, 2008). </w:t>
      </w:r>
    </w:p>
    <w:p w14:paraId="60669F6F" w14:textId="32D62B41" w:rsidR="00273324" w:rsidRPr="0092643B" w:rsidRDefault="00273324" w:rsidP="0092643B">
      <w:pPr>
        <w:pStyle w:val="Uni-Normal"/>
        <w:jc w:val="both"/>
      </w:pPr>
      <w:r w:rsidRPr="0092643B">
        <w:t xml:space="preserve">Traditional public sector models, characterised by stability and hierarchy, may not align with the expectations of new graduates, creating risks for future recruitment and skills pipelines (Clarke </w:t>
      </w:r>
      <w:r w:rsidR="003607B1" w:rsidRPr="0092643B">
        <w:t>and</w:t>
      </w:r>
      <w:r w:rsidRPr="0092643B">
        <w:t xml:space="preserve"> Scurry, 2020). Deegan et al. (2024) reinforce this challenge, noting that limited opportunities for progression within expected career timelines remain a significant barrier. They further argue that weaknesses in progression and limited post</w:t>
      </w:r>
      <w:r w:rsidRPr="0092643B">
        <w:noBreakHyphen/>
        <w:t xml:space="preserve">scheme opportunities frequently undermine the retention of early career employees. </w:t>
      </w:r>
      <w:r w:rsidR="00F30354" w:rsidRPr="0092643B">
        <w:t>Audit Wales (2023) highlights a mismatch between expected workforce growth and increasing service demand, suggesting that expanding staffing levels alone will not address these challenges and reinforcing the need for sustainable, long-term workforce strategies.</w:t>
      </w:r>
      <w:r w:rsidR="006D0C61" w:rsidRPr="0092643B">
        <w:t xml:space="preserve"> </w:t>
      </w:r>
      <w:r w:rsidRPr="0092643B">
        <w:t>Evidence also suggests that unclear career pathways contribute to retention challenges, with early career employees reporting frustration at ‘hitting the ceiling’ due to limited progression opportunities (Deegan et al., 2024).</w:t>
      </w:r>
    </w:p>
    <w:p w14:paraId="2885F874" w14:textId="14CF9FD6" w:rsidR="008E3A7D" w:rsidRPr="008E3A7D" w:rsidRDefault="00A74165" w:rsidP="008E3A7D">
      <w:pPr>
        <w:pStyle w:val="Uni-Normal"/>
        <w:jc w:val="both"/>
      </w:pPr>
      <w:r w:rsidRPr="0092643B">
        <w:t xml:space="preserve">Deegan et al. (2024) emphasise that addressing workforce challenges requires coordinated </w:t>
      </w:r>
      <w:r w:rsidRPr="0092643B">
        <w:rPr>
          <w:rStyle w:val="Uni-NormalChar"/>
          <w:kern w:val="0"/>
          <w14:ligatures w14:val="none"/>
        </w:rPr>
        <w:t xml:space="preserve">action beyond individual councils, with the report framing this shift as essential for attracting the next generation of the local government workforce. </w:t>
      </w:r>
      <w:r w:rsidR="00EB2F01" w:rsidRPr="0092643B">
        <w:rPr>
          <w:rStyle w:val="Uni-NormalChar"/>
          <w:kern w:val="0"/>
          <w14:ligatures w14:val="none"/>
        </w:rPr>
        <w:t>It</w:t>
      </w:r>
      <w:r w:rsidRPr="0092643B">
        <w:rPr>
          <w:rStyle w:val="Uni-NormalChar"/>
          <w:kern w:val="0"/>
          <w14:ligatures w14:val="none"/>
        </w:rPr>
        <w:t xml:space="preserve"> stresses that councils need greater influence over the skills agenda, stronger and more consistent employer </w:t>
      </w:r>
      <w:r w:rsidR="00353D6A" w:rsidRPr="0092643B">
        <w:rPr>
          <w:rStyle w:val="Uni-NormalChar"/>
          <w:kern w:val="0"/>
          <w14:ligatures w14:val="none"/>
        </w:rPr>
        <w:t>branding and</w:t>
      </w:r>
      <w:r w:rsidRPr="0092643B">
        <w:rPr>
          <w:rStyle w:val="Uni-NormalChar"/>
          <w:kern w:val="0"/>
          <w14:ligatures w14:val="none"/>
        </w:rPr>
        <w:t xml:space="preserve"> more flexible career development routes, all of which are necessary to meet the expectations of younger workers seeking clearer progression and modernised opportunities. </w:t>
      </w:r>
      <w:bookmarkStart w:id="54" w:name="_Toc220001941"/>
      <w:r w:rsidR="008E3A7D" w:rsidRPr="008E3A7D">
        <w:t xml:space="preserve">These insights are particularly relevant for Welsh local authorities. However, there remains limited empirical evidence on how Gen Z employees experience these workforce challenges in practice or how effectively local government </w:t>
      </w:r>
      <w:r w:rsidR="00AA5A99">
        <w:t>TM</w:t>
      </w:r>
      <w:r w:rsidR="008E3A7D" w:rsidRPr="008E3A7D">
        <w:t xml:space="preserve"> strategies address their expectations.</w:t>
      </w:r>
    </w:p>
    <w:p w14:paraId="5049535E" w14:textId="36993350" w:rsidR="00A74165" w:rsidRPr="00ED69CB" w:rsidRDefault="00A74165" w:rsidP="008E3A7D">
      <w:pPr>
        <w:pStyle w:val="2Sectionheading"/>
      </w:pPr>
      <w:bookmarkStart w:id="55" w:name="_Toc234319621"/>
      <w:r w:rsidRPr="00ED69CB">
        <w:lastRenderedPageBreak/>
        <w:t xml:space="preserve">2.7 Literature </w:t>
      </w:r>
      <w:r w:rsidR="00E03DFB">
        <w:t>G</w:t>
      </w:r>
      <w:r w:rsidRPr="00ED69CB">
        <w:t>aps</w:t>
      </w:r>
      <w:bookmarkEnd w:id="54"/>
      <w:bookmarkEnd w:id="55"/>
      <w:r w:rsidRPr="00ED69CB">
        <w:t xml:space="preserve"> </w:t>
      </w:r>
    </w:p>
    <w:p w14:paraId="281013C4" w14:textId="081E497E" w:rsidR="00A74165" w:rsidRPr="000602E3" w:rsidRDefault="00A74165" w:rsidP="004B4162">
      <w:pPr>
        <w:pStyle w:val="Uni-Normal"/>
        <w:jc w:val="both"/>
        <w:rPr>
          <w:szCs w:val="24"/>
        </w:rPr>
      </w:pPr>
      <w:r w:rsidRPr="000602E3">
        <w:rPr>
          <w:szCs w:val="24"/>
        </w:rPr>
        <w:t xml:space="preserve">Although </w:t>
      </w:r>
      <w:r w:rsidR="009F304D" w:rsidRPr="000602E3">
        <w:rPr>
          <w:szCs w:val="24"/>
        </w:rPr>
        <w:t>TM</w:t>
      </w:r>
      <w:r w:rsidRPr="000602E3">
        <w:rPr>
          <w:szCs w:val="24"/>
        </w:rPr>
        <w:t xml:space="preserve"> is widely studied, most research is private sector focused and does not address the unique operational and statutory realities of UK local government. Evidence on Gen Z within local authorities is particularly </w:t>
      </w:r>
      <w:r w:rsidR="00353D6A" w:rsidRPr="000602E3">
        <w:rPr>
          <w:szCs w:val="24"/>
        </w:rPr>
        <w:t>scarce and</w:t>
      </w:r>
      <w:r w:rsidRPr="000602E3">
        <w:rPr>
          <w:szCs w:val="24"/>
        </w:rPr>
        <w:t xml:space="preserve"> there is a lack of practical guidance for translating theory into effective council strategies. For NCC, targeted, context-specific evidence is needed to guide practice. Deegan et al.’s (2024) findings provide an essential sector baseline but do not focus on Gen Z specifically or local authorities in Wales, whose budgetary context differs from the wider UK. Welsh workforce planning guidance also highlights that the shrinking supply of younger workers in Wales will intensify competition for future talent, making effective </w:t>
      </w:r>
      <w:r w:rsidR="009F304D" w:rsidRPr="000602E3">
        <w:rPr>
          <w:szCs w:val="24"/>
        </w:rPr>
        <w:t>TM</w:t>
      </w:r>
      <w:r w:rsidRPr="000602E3">
        <w:rPr>
          <w:szCs w:val="24"/>
        </w:rPr>
        <w:t xml:space="preserve"> increasingly critical for councils such as NCC as they confront long</w:t>
      </w:r>
      <w:r w:rsidRPr="000602E3">
        <w:rPr>
          <w:szCs w:val="24"/>
        </w:rPr>
        <w:noBreakHyphen/>
        <w:t xml:space="preserve">term demographic decline (Public Services Staff Commission, 2017). </w:t>
      </w:r>
    </w:p>
    <w:p w14:paraId="0BD31F26" w14:textId="3821517D" w:rsidR="00A74165" w:rsidRPr="00ED69CB" w:rsidRDefault="00A74165" w:rsidP="004B4162">
      <w:pPr>
        <w:pStyle w:val="2Sectionheading"/>
        <w:spacing w:line="360" w:lineRule="auto"/>
        <w:jc w:val="both"/>
        <w:rPr>
          <w:rFonts w:cs="Times New Roman"/>
          <w:szCs w:val="24"/>
        </w:rPr>
      </w:pPr>
      <w:bookmarkStart w:id="56" w:name="_Toc220001942"/>
      <w:bookmarkStart w:id="57" w:name="_Toc234319622"/>
      <w:r w:rsidRPr="00ED69CB">
        <w:rPr>
          <w:rFonts w:cs="Times New Roman"/>
          <w:szCs w:val="24"/>
        </w:rPr>
        <w:t>2.8 Chapter Summary</w:t>
      </w:r>
      <w:bookmarkEnd w:id="56"/>
      <w:bookmarkEnd w:id="57"/>
      <w:r w:rsidRPr="00ED69CB">
        <w:rPr>
          <w:rFonts w:cs="Times New Roman"/>
          <w:szCs w:val="24"/>
        </w:rPr>
        <w:t xml:space="preserve"> </w:t>
      </w:r>
    </w:p>
    <w:p w14:paraId="6AD69B90" w14:textId="257D73DF" w:rsidR="0017563B" w:rsidRPr="000602E3" w:rsidRDefault="0097613E" w:rsidP="004B4162">
      <w:pPr>
        <w:pStyle w:val="Uni-Normal"/>
        <w:jc w:val="both"/>
        <w:rPr>
          <w:szCs w:val="24"/>
        </w:rPr>
      </w:pPr>
      <w:r w:rsidRPr="000602E3">
        <w:rPr>
          <w:szCs w:val="24"/>
        </w:rPr>
        <w:t xml:space="preserve">This chapter reviewed the literature on </w:t>
      </w:r>
      <w:r w:rsidR="009F304D" w:rsidRPr="000602E3">
        <w:rPr>
          <w:szCs w:val="24"/>
        </w:rPr>
        <w:t>TM</w:t>
      </w:r>
      <w:r w:rsidRPr="000602E3">
        <w:rPr>
          <w:szCs w:val="24"/>
        </w:rPr>
        <w:t xml:space="preserve"> and </w:t>
      </w:r>
      <w:r w:rsidR="0017563B" w:rsidRPr="000602E3">
        <w:rPr>
          <w:szCs w:val="24"/>
        </w:rPr>
        <w:t>Gen Z</w:t>
      </w:r>
      <w:r w:rsidRPr="000602E3">
        <w:rPr>
          <w:szCs w:val="24"/>
        </w:rPr>
        <w:t xml:space="preserve">, highlighting key themes and identifying gaps within the UK local government context. While the literature provides a useful foundation, its limited applicability to a Welsh local authority such as </w:t>
      </w:r>
      <w:r w:rsidR="00161284" w:rsidRPr="000602E3">
        <w:rPr>
          <w:szCs w:val="24"/>
        </w:rPr>
        <w:t>NCC</w:t>
      </w:r>
      <w:r w:rsidRPr="000602E3">
        <w:rPr>
          <w:szCs w:val="24"/>
        </w:rPr>
        <w:t xml:space="preserve"> highlights the need for further primary research. The next chapter outlines the research methodology.</w:t>
      </w:r>
      <w:bookmarkStart w:id="58" w:name="_Toc224743097"/>
      <w:bookmarkStart w:id="59" w:name="_Toc224743099"/>
    </w:p>
    <w:p w14:paraId="6EBD80E6" w14:textId="77777777" w:rsidR="004B4162" w:rsidRPr="000602E3" w:rsidRDefault="004B4162" w:rsidP="004B4162">
      <w:pPr>
        <w:rPr>
          <w:szCs w:val="24"/>
        </w:rPr>
      </w:pPr>
    </w:p>
    <w:p w14:paraId="6047ABA3" w14:textId="77777777" w:rsidR="004B4162" w:rsidRDefault="004B4162" w:rsidP="004B4162">
      <w:pPr>
        <w:rPr>
          <w:szCs w:val="24"/>
        </w:rPr>
      </w:pPr>
    </w:p>
    <w:p w14:paraId="5F633603" w14:textId="77777777" w:rsidR="008E3A7D" w:rsidRDefault="008E3A7D" w:rsidP="004B4162">
      <w:pPr>
        <w:rPr>
          <w:szCs w:val="24"/>
        </w:rPr>
      </w:pPr>
    </w:p>
    <w:p w14:paraId="0A9B9FA1" w14:textId="77777777" w:rsidR="008E3A7D" w:rsidRDefault="008E3A7D" w:rsidP="004B4162">
      <w:pPr>
        <w:rPr>
          <w:szCs w:val="24"/>
        </w:rPr>
      </w:pPr>
    </w:p>
    <w:p w14:paraId="6EC69AC3" w14:textId="77777777" w:rsidR="008E3A7D" w:rsidRDefault="008E3A7D" w:rsidP="004B4162">
      <w:pPr>
        <w:rPr>
          <w:szCs w:val="24"/>
        </w:rPr>
      </w:pPr>
    </w:p>
    <w:p w14:paraId="56239466" w14:textId="77777777" w:rsidR="00D673CE" w:rsidRDefault="00D673CE" w:rsidP="004B4162">
      <w:pPr>
        <w:rPr>
          <w:szCs w:val="24"/>
        </w:rPr>
      </w:pPr>
    </w:p>
    <w:p w14:paraId="748406E7" w14:textId="77777777" w:rsidR="00D673CE" w:rsidRDefault="00D673CE" w:rsidP="004B4162">
      <w:pPr>
        <w:rPr>
          <w:szCs w:val="24"/>
        </w:rPr>
      </w:pPr>
    </w:p>
    <w:p w14:paraId="7947C5D5" w14:textId="77777777" w:rsidR="00D673CE" w:rsidRPr="00ED69CB" w:rsidRDefault="00D673CE" w:rsidP="004B4162">
      <w:pPr>
        <w:rPr>
          <w:szCs w:val="24"/>
        </w:rPr>
      </w:pPr>
    </w:p>
    <w:p w14:paraId="305A8013" w14:textId="37263367" w:rsidR="004B4162" w:rsidRPr="00ED69CB" w:rsidRDefault="00E40CCA" w:rsidP="004B4162">
      <w:pPr>
        <w:rPr>
          <w:szCs w:val="24"/>
        </w:rPr>
      </w:pPr>
      <w:r>
        <w:rPr>
          <w:szCs w:val="24"/>
        </w:rPr>
        <w:br w:type="page"/>
      </w:r>
    </w:p>
    <w:p w14:paraId="2BE8729C" w14:textId="193598C1" w:rsidR="00A74165" w:rsidRPr="008F4FDD" w:rsidRDefault="00A74165" w:rsidP="002D7FDA">
      <w:pPr>
        <w:pStyle w:val="2Sectionheading"/>
        <w:spacing w:line="360" w:lineRule="auto"/>
        <w:jc w:val="center"/>
        <w:rPr>
          <w:rFonts w:cs="Times New Roman"/>
          <w:szCs w:val="24"/>
        </w:rPr>
      </w:pPr>
      <w:bookmarkStart w:id="60" w:name="_Toc234319623"/>
      <w:r w:rsidRPr="008F4FDD">
        <w:rPr>
          <w:rFonts w:cs="Times New Roman"/>
          <w:szCs w:val="24"/>
        </w:rPr>
        <w:lastRenderedPageBreak/>
        <w:t>CHAPTER 3</w:t>
      </w:r>
      <w:bookmarkEnd w:id="58"/>
      <w:bookmarkEnd w:id="60"/>
    </w:p>
    <w:p w14:paraId="608365E2" w14:textId="31E9089C" w:rsidR="00A74165" w:rsidRPr="008F4FDD" w:rsidRDefault="00A74165" w:rsidP="00F36AAA">
      <w:pPr>
        <w:pStyle w:val="1ChapterHeading"/>
        <w:spacing w:line="360" w:lineRule="auto"/>
        <w:rPr>
          <w:szCs w:val="24"/>
        </w:rPr>
      </w:pPr>
      <w:bookmarkStart w:id="61" w:name="_Toc207618254"/>
      <w:bookmarkStart w:id="62" w:name="_Toc224743098"/>
      <w:bookmarkStart w:id="63" w:name="_Toc234319624"/>
      <w:r w:rsidRPr="008F4FDD">
        <w:rPr>
          <w:szCs w:val="24"/>
        </w:rPr>
        <w:t>RESEARCH METHODOLOGY</w:t>
      </w:r>
      <w:bookmarkEnd w:id="61"/>
      <w:bookmarkEnd w:id="62"/>
      <w:bookmarkEnd w:id="63"/>
    </w:p>
    <w:p w14:paraId="3DE3B86E" w14:textId="472B0AB7" w:rsidR="00A74165" w:rsidRPr="008F4FDD" w:rsidRDefault="00A74165" w:rsidP="004B4162">
      <w:pPr>
        <w:pStyle w:val="2Sectionheading"/>
        <w:spacing w:line="360" w:lineRule="auto"/>
        <w:jc w:val="both"/>
        <w:rPr>
          <w:rFonts w:cs="Times New Roman"/>
          <w:szCs w:val="24"/>
        </w:rPr>
      </w:pPr>
      <w:bookmarkStart w:id="64" w:name="_Toc234319625"/>
      <w:r w:rsidRPr="008F4FDD">
        <w:rPr>
          <w:rFonts w:cs="Times New Roman"/>
          <w:szCs w:val="24"/>
        </w:rPr>
        <w:t>3.1 Chapter Introduction</w:t>
      </w:r>
      <w:bookmarkEnd w:id="59"/>
      <w:bookmarkEnd w:id="64"/>
    </w:p>
    <w:p w14:paraId="0DAB60DD" w14:textId="323BC363" w:rsidR="003D47B0" w:rsidRPr="008F4FDD" w:rsidRDefault="00966968" w:rsidP="004B4162">
      <w:pPr>
        <w:pStyle w:val="Uni-Normal"/>
        <w:jc w:val="both"/>
        <w:rPr>
          <w:szCs w:val="24"/>
        </w:rPr>
      </w:pPr>
      <w:bookmarkStart w:id="65" w:name="_Hlk207724039"/>
      <w:r w:rsidRPr="008F4FDD">
        <w:rPr>
          <w:szCs w:val="24"/>
        </w:rPr>
        <w:t>The chapter analyses</w:t>
      </w:r>
      <w:r w:rsidR="0073355E" w:rsidRPr="008F4FDD">
        <w:rPr>
          <w:szCs w:val="24"/>
        </w:rPr>
        <w:t xml:space="preserve"> </w:t>
      </w:r>
      <w:r w:rsidR="00A74165" w:rsidRPr="008F4FDD">
        <w:rPr>
          <w:szCs w:val="24"/>
        </w:rPr>
        <w:t xml:space="preserve">the research design used to explore how </w:t>
      </w:r>
      <w:r w:rsidR="009F304D" w:rsidRPr="008F4FDD">
        <w:rPr>
          <w:szCs w:val="24"/>
        </w:rPr>
        <w:t>TM</w:t>
      </w:r>
      <w:r w:rsidR="00A74165" w:rsidRPr="008F4FDD">
        <w:rPr>
          <w:szCs w:val="24"/>
        </w:rPr>
        <w:t xml:space="preserve"> practices align with the needs of Gen Z within </w:t>
      </w:r>
      <w:r w:rsidR="00161284" w:rsidRPr="008F4FDD">
        <w:rPr>
          <w:szCs w:val="24"/>
        </w:rPr>
        <w:t>NCC</w:t>
      </w:r>
      <w:r w:rsidR="00A74165" w:rsidRPr="008F4FDD">
        <w:rPr>
          <w:szCs w:val="24"/>
        </w:rPr>
        <w:t xml:space="preserve">. </w:t>
      </w:r>
      <w:r w:rsidR="00291C67" w:rsidRPr="008F4FDD">
        <w:rPr>
          <w:szCs w:val="24"/>
        </w:rPr>
        <w:t xml:space="preserve">The methodology is structured using </w:t>
      </w:r>
      <w:r w:rsidR="00F63854" w:rsidRPr="008F4FDD">
        <w:rPr>
          <w:szCs w:val="24"/>
        </w:rPr>
        <w:t>Saunders, Lewis and Thornhill</w:t>
      </w:r>
      <w:r w:rsidR="00823808" w:rsidRPr="008F4FDD">
        <w:rPr>
          <w:szCs w:val="24"/>
        </w:rPr>
        <w:t>’s</w:t>
      </w:r>
      <w:r w:rsidR="00F63854" w:rsidRPr="008F4FDD">
        <w:rPr>
          <w:szCs w:val="24"/>
        </w:rPr>
        <w:t xml:space="preserve"> (2016) </w:t>
      </w:r>
      <w:r w:rsidR="0029077C">
        <w:rPr>
          <w:szCs w:val="24"/>
        </w:rPr>
        <w:t>r</w:t>
      </w:r>
      <w:r w:rsidR="00291C67" w:rsidRPr="008F4FDD">
        <w:rPr>
          <w:szCs w:val="24"/>
        </w:rPr>
        <w:t xml:space="preserve">esearch </w:t>
      </w:r>
      <w:r w:rsidR="0029077C">
        <w:rPr>
          <w:szCs w:val="24"/>
        </w:rPr>
        <w:t>o</w:t>
      </w:r>
      <w:r w:rsidR="00291C67" w:rsidRPr="008F4FDD">
        <w:rPr>
          <w:szCs w:val="24"/>
        </w:rPr>
        <w:t>nion as a guiding framework, which provides a structured approach to organising methodological decisions, from research philosophy and approach through to strategy and data collection techniques</w:t>
      </w:r>
      <w:bookmarkStart w:id="66" w:name="_Toc224743100"/>
      <w:r w:rsidR="00402A1C" w:rsidRPr="008F4FDD">
        <w:rPr>
          <w:szCs w:val="24"/>
        </w:rPr>
        <w:t xml:space="preserve">. </w:t>
      </w:r>
      <w:r w:rsidR="003D47B0" w:rsidRPr="008F4FDD">
        <w:rPr>
          <w:szCs w:val="24"/>
        </w:rPr>
        <w:t xml:space="preserve">The study adopts a quantitative survey within NCC, supported by decisions on sampling, instrument </w:t>
      </w:r>
      <w:r w:rsidR="00353D6A" w:rsidRPr="008F4FDD">
        <w:rPr>
          <w:szCs w:val="24"/>
        </w:rPr>
        <w:t>design and</w:t>
      </w:r>
      <w:r w:rsidR="003D47B0" w:rsidRPr="008F4FDD">
        <w:rPr>
          <w:szCs w:val="24"/>
        </w:rPr>
        <w:t xml:space="preserve"> ethical considerations.</w:t>
      </w:r>
    </w:p>
    <w:p w14:paraId="58FB0973" w14:textId="0A396DCB" w:rsidR="00A74165" w:rsidRPr="008F4FDD" w:rsidRDefault="00A74165" w:rsidP="004B4162">
      <w:pPr>
        <w:pStyle w:val="2Sectionheading"/>
        <w:spacing w:line="360" w:lineRule="auto"/>
        <w:jc w:val="both"/>
        <w:rPr>
          <w:rFonts w:cs="Times New Roman"/>
          <w:szCs w:val="24"/>
        </w:rPr>
      </w:pPr>
      <w:bookmarkStart w:id="67" w:name="_Toc234319626"/>
      <w:r w:rsidRPr="008F4FDD">
        <w:rPr>
          <w:rFonts w:cs="Times New Roman"/>
          <w:szCs w:val="24"/>
        </w:rPr>
        <w:t>3.2 Research Philosophy</w:t>
      </w:r>
      <w:bookmarkEnd w:id="66"/>
      <w:bookmarkEnd w:id="67"/>
    </w:p>
    <w:p w14:paraId="047090DE" w14:textId="4628C646" w:rsidR="00FB6426" w:rsidRPr="008F4FDD" w:rsidRDefault="00F63854" w:rsidP="004B4162">
      <w:pPr>
        <w:pStyle w:val="Uni-Normal"/>
        <w:jc w:val="both"/>
        <w:rPr>
          <w:szCs w:val="24"/>
        </w:rPr>
      </w:pPr>
      <w:r w:rsidRPr="008F4FDD">
        <w:rPr>
          <w:szCs w:val="24"/>
        </w:rPr>
        <w:t xml:space="preserve">Saunders, Lewis and Thornhill (2016) </w:t>
      </w:r>
      <w:r w:rsidR="00A74165" w:rsidRPr="008F4FDD">
        <w:rPr>
          <w:szCs w:val="24"/>
        </w:rPr>
        <w:t xml:space="preserve">identify five major research philosophies in business and management: positivism, critical realism, interpretivism, postmodernism and pragmatism. In this study a positivist stance was adopted because it </w:t>
      </w:r>
      <w:r w:rsidR="000800DA" w:rsidRPr="008F4FDD">
        <w:rPr>
          <w:szCs w:val="24"/>
        </w:rPr>
        <w:t>focuses on generating</w:t>
      </w:r>
      <w:r w:rsidR="00A74165" w:rsidRPr="008F4FDD">
        <w:rPr>
          <w:szCs w:val="24"/>
        </w:rPr>
        <w:t xml:space="preserve"> objective, measurable insights. </w:t>
      </w:r>
      <w:r w:rsidR="00437047" w:rsidRPr="008F4FDD">
        <w:rPr>
          <w:szCs w:val="24"/>
        </w:rPr>
        <w:t>This approach treats Gen Z employees’ perceptions as measurable phenomena</w:t>
      </w:r>
      <w:r w:rsidR="00A74165" w:rsidRPr="008F4FDD">
        <w:rPr>
          <w:szCs w:val="24"/>
        </w:rPr>
        <w:t xml:space="preserve">, </w:t>
      </w:r>
      <w:r w:rsidR="003D47B0" w:rsidRPr="008F4FDD">
        <w:rPr>
          <w:szCs w:val="24"/>
        </w:rPr>
        <w:t xml:space="preserve">rather than as subjective experiences requiring in-depth interpretation </w:t>
      </w:r>
      <w:r w:rsidR="00A74165" w:rsidRPr="008F4FDD">
        <w:rPr>
          <w:szCs w:val="24"/>
        </w:rPr>
        <w:t xml:space="preserve">(Pretorius, 2024). Positivism assumes that reality exists independently of the researcher and can be captured through systematic, structured instruments (Crotty, 1998). This philosophy is therefore suited to research aiming to identify patterns, trends and relationships within quantifiable data </w:t>
      </w:r>
      <w:r w:rsidRPr="008F4FDD">
        <w:rPr>
          <w:szCs w:val="24"/>
        </w:rPr>
        <w:t>(Saunders, Lewis and Thornhill, 2016).</w:t>
      </w:r>
    </w:p>
    <w:p w14:paraId="5A503EA2" w14:textId="41CD1E75" w:rsidR="00A74165" w:rsidRPr="008F4FDD" w:rsidRDefault="00A74165" w:rsidP="001E2A36">
      <w:pPr>
        <w:pStyle w:val="Uni-Normal"/>
        <w:jc w:val="both"/>
        <w:rPr>
          <w:szCs w:val="24"/>
        </w:rPr>
      </w:pPr>
      <w:r w:rsidRPr="008F4FDD">
        <w:rPr>
          <w:szCs w:val="24"/>
        </w:rPr>
        <w:t xml:space="preserve">In this study, the focus </w:t>
      </w:r>
      <w:r w:rsidR="00EA49F0" w:rsidRPr="008F4FDD">
        <w:rPr>
          <w:szCs w:val="24"/>
        </w:rPr>
        <w:t>is</w:t>
      </w:r>
      <w:r w:rsidRPr="008F4FDD">
        <w:rPr>
          <w:szCs w:val="24"/>
        </w:rPr>
        <w:t xml:space="preserve"> on measuring Gen Z’s perceptions of </w:t>
      </w:r>
      <w:r w:rsidR="009F304D" w:rsidRPr="008F4FDD">
        <w:rPr>
          <w:szCs w:val="24"/>
        </w:rPr>
        <w:t>TM</w:t>
      </w:r>
      <w:r w:rsidRPr="008F4FDD">
        <w:rPr>
          <w:szCs w:val="24"/>
        </w:rPr>
        <w:t xml:space="preserve"> practices within </w:t>
      </w:r>
      <w:r w:rsidR="00865CD5" w:rsidRPr="008F4FDD">
        <w:rPr>
          <w:szCs w:val="24"/>
        </w:rPr>
        <w:t>NCC</w:t>
      </w:r>
      <w:r w:rsidRPr="008F4FDD">
        <w:rPr>
          <w:szCs w:val="24"/>
        </w:rPr>
        <w:t xml:space="preserve"> through a structured survey. </w:t>
      </w:r>
      <w:r w:rsidR="00437047" w:rsidRPr="008F4FDD">
        <w:rPr>
          <w:szCs w:val="24"/>
        </w:rPr>
        <w:t xml:space="preserve">From an epistemological perspective, the study relies on standardised survey responses to generate measurable findings rather than interpretive </w:t>
      </w:r>
      <w:r w:rsidR="00345A33" w:rsidRPr="008F4FDD">
        <w:rPr>
          <w:szCs w:val="24"/>
        </w:rPr>
        <w:t>accounts (</w:t>
      </w:r>
      <w:r w:rsidRPr="008F4FDD">
        <w:rPr>
          <w:szCs w:val="24"/>
        </w:rPr>
        <w:t xml:space="preserve">Pretorius, 2024). </w:t>
      </w:r>
      <w:r w:rsidR="001E2A36" w:rsidRPr="008F4FDD">
        <w:rPr>
          <w:szCs w:val="24"/>
        </w:rPr>
        <w:t>Pretorius (2024, p. 2709) further emphasises that methodological choices are shaped by the researcher’s paradigmatic stance, with positivist approaches typically favouring structured methodologies aligned with the scientific method, such as the use of quantitative measures including surveys</w:t>
      </w:r>
      <w:r w:rsidR="009D6FE0">
        <w:rPr>
          <w:szCs w:val="24"/>
        </w:rPr>
        <w:t xml:space="preserve">. </w:t>
      </w:r>
    </w:p>
    <w:p w14:paraId="537FAA49" w14:textId="20149EFB" w:rsidR="00A74165" w:rsidRPr="008F4FDD" w:rsidRDefault="00A74165" w:rsidP="004B4162">
      <w:pPr>
        <w:pStyle w:val="Uni-Normal"/>
        <w:jc w:val="both"/>
        <w:rPr>
          <w:szCs w:val="24"/>
        </w:rPr>
      </w:pPr>
      <w:r w:rsidRPr="008F4FDD">
        <w:rPr>
          <w:szCs w:val="24"/>
        </w:rPr>
        <w:t xml:space="preserve">As the study does not explore subjective meanings, uncover underlying causal mechanisms or combine multiple methodological approaches, alternative philosophies such as interpretivism, critical realism and pragmatism were not appropriate </w:t>
      </w:r>
      <w:r w:rsidR="00F63854" w:rsidRPr="008F4FDD">
        <w:rPr>
          <w:szCs w:val="24"/>
        </w:rPr>
        <w:t>(Saunders, Lewis and Thornhill, 2016)</w:t>
      </w:r>
      <w:r w:rsidRPr="008F4FDD">
        <w:rPr>
          <w:szCs w:val="24"/>
        </w:rPr>
        <w:t xml:space="preserve">. Interpretivist approaches prioritise understanding subjective meanings, which would require </w:t>
      </w:r>
      <w:r w:rsidRPr="008F4FDD">
        <w:rPr>
          <w:szCs w:val="24"/>
        </w:rPr>
        <w:lastRenderedPageBreak/>
        <w:t>in</w:t>
      </w:r>
      <w:r w:rsidRPr="008F4FDD">
        <w:rPr>
          <w:szCs w:val="24"/>
        </w:rPr>
        <w:noBreakHyphen/>
        <w:t>depth qualitative exploration rather than standardised measurement. Critical realism seeks to explain deeper underlying mechanisms that extend beyond the observable data collected in this study, while pragmatism emphasises methodological flexibility, often involving a combination of quantitative and qualitative approaches. As the research was designed to generate measurable insights through a single quantitative survey, these approache</w:t>
      </w:r>
      <w:r w:rsidR="000800DA" w:rsidRPr="008F4FDD">
        <w:rPr>
          <w:szCs w:val="24"/>
        </w:rPr>
        <w:t>s go</w:t>
      </w:r>
      <w:r w:rsidRPr="008F4FDD">
        <w:rPr>
          <w:szCs w:val="24"/>
        </w:rPr>
        <w:t xml:space="preserve"> beyond the aims of this study (Pretorius, 2024). </w:t>
      </w:r>
      <w:r w:rsidR="00A26A75" w:rsidRPr="008F4FDD">
        <w:rPr>
          <w:szCs w:val="24"/>
        </w:rPr>
        <w:t xml:space="preserve">A positivist stance is therefore appropriate for this study, </w:t>
      </w:r>
      <w:r w:rsidR="00B72665" w:rsidRPr="008F4FDD">
        <w:rPr>
          <w:szCs w:val="24"/>
        </w:rPr>
        <w:t xml:space="preserve">as it supports structured, objective and quantitative measurement and enables </w:t>
      </w:r>
      <w:r w:rsidR="00EA257D" w:rsidRPr="008F4FDD">
        <w:rPr>
          <w:szCs w:val="24"/>
        </w:rPr>
        <w:t xml:space="preserve">the identification of patterns and relationships in employee perceptions in a consistent and systematic manner, which directly aligns with the research objectives </w:t>
      </w:r>
      <w:r w:rsidR="00A26A75" w:rsidRPr="008F4FDD">
        <w:rPr>
          <w:szCs w:val="24"/>
        </w:rPr>
        <w:t>(</w:t>
      </w:r>
      <w:r w:rsidR="00F63854" w:rsidRPr="008F4FDD">
        <w:rPr>
          <w:szCs w:val="24"/>
        </w:rPr>
        <w:t>Saunders, Lewis and Thornhill, 2016).</w:t>
      </w:r>
    </w:p>
    <w:p w14:paraId="63B49FC3" w14:textId="2CEB9C70" w:rsidR="00A74165" w:rsidRPr="008F4FDD" w:rsidRDefault="00A74165" w:rsidP="004B4162">
      <w:pPr>
        <w:pStyle w:val="2Sectionheading"/>
        <w:spacing w:line="360" w:lineRule="auto"/>
        <w:jc w:val="both"/>
        <w:rPr>
          <w:rFonts w:cs="Times New Roman"/>
          <w:szCs w:val="24"/>
        </w:rPr>
      </w:pPr>
      <w:bookmarkStart w:id="68" w:name="_Toc224743101"/>
      <w:bookmarkStart w:id="69" w:name="_Toc234319627"/>
      <w:r w:rsidRPr="008F4FDD">
        <w:rPr>
          <w:rFonts w:cs="Times New Roman"/>
          <w:szCs w:val="24"/>
        </w:rPr>
        <w:t xml:space="preserve">3.3 Research </w:t>
      </w:r>
      <w:r w:rsidR="00E03DFB" w:rsidRPr="008F4FDD">
        <w:rPr>
          <w:rFonts w:cs="Times New Roman"/>
          <w:szCs w:val="24"/>
        </w:rPr>
        <w:t>A</w:t>
      </w:r>
      <w:r w:rsidRPr="008F4FDD">
        <w:rPr>
          <w:rFonts w:cs="Times New Roman"/>
          <w:szCs w:val="24"/>
        </w:rPr>
        <w:t>pproach</w:t>
      </w:r>
      <w:bookmarkEnd w:id="68"/>
      <w:bookmarkEnd w:id="69"/>
    </w:p>
    <w:p w14:paraId="2361F59A" w14:textId="3D3CB4DB" w:rsidR="00A74165" w:rsidRPr="008F4FDD" w:rsidRDefault="00A74165" w:rsidP="004B4162">
      <w:pPr>
        <w:pStyle w:val="Uni-Normal"/>
        <w:jc w:val="both"/>
        <w:rPr>
          <w:szCs w:val="24"/>
        </w:rPr>
      </w:pPr>
      <w:bookmarkStart w:id="70" w:name="_Toc224743102"/>
      <w:r w:rsidRPr="008F4FDD">
        <w:rPr>
          <w:szCs w:val="24"/>
        </w:rPr>
        <w:t xml:space="preserve">The research onion identifies three approaches to theory development: deductive, inductive and abductive </w:t>
      </w:r>
      <w:r w:rsidR="00F63854" w:rsidRPr="008F4FDD">
        <w:rPr>
          <w:szCs w:val="24"/>
        </w:rPr>
        <w:t xml:space="preserve">(Saunders, Lewis and Thornhill, 2016). </w:t>
      </w:r>
      <w:r w:rsidRPr="008F4FDD">
        <w:rPr>
          <w:szCs w:val="24"/>
        </w:rPr>
        <w:t xml:space="preserve">A deductive approach was adopted as it aligns with the quantitative nature of the research and the aim of testing established theory within a defined organisational context. Deductive reasoning begins with existing theory and uses this to inform research questions and determine the variables to be examined (Creswell, 2014). </w:t>
      </w:r>
      <w:r w:rsidR="004B4162" w:rsidRPr="008F4FDD">
        <w:rPr>
          <w:szCs w:val="24"/>
        </w:rPr>
        <w:t xml:space="preserve">This approach was appropriate as the study examined whether established </w:t>
      </w:r>
      <w:r w:rsidR="009F304D" w:rsidRPr="008F4FDD">
        <w:rPr>
          <w:szCs w:val="24"/>
        </w:rPr>
        <w:t>TM</w:t>
      </w:r>
      <w:r w:rsidR="004B4162" w:rsidRPr="008F4FDD">
        <w:rPr>
          <w:szCs w:val="24"/>
        </w:rPr>
        <w:t xml:space="preserve"> and generational theories are reflected in the experiences of Gen Z employees</w:t>
      </w:r>
      <w:r w:rsidR="00ED69CB" w:rsidRPr="008F4FDD">
        <w:rPr>
          <w:szCs w:val="24"/>
        </w:rPr>
        <w:t>.</w:t>
      </w:r>
    </w:p>
    <w:p w14:paraId="0017CECB" w14:textId="4E3FCA71" w:rsidR="00A74165" w:rsidRPr="008F4FDD" w:rsidRDefault="00A74165" w:rsidP="004B4162">
      <w:pPr>
        <w:pStyle w:val="Uni-Normal"/>
        <w:jc w:val="both"/>
        <w:rPr>
          <w:szCs w:val="24"/>
        </w:rPr>
      </w:pPr>
      <w:r w:rsidRPr="008F4FDD">
        <w:rPr>
          <w:szCs w:val="24"/>
        </w:rPr>
        <w:t xml:space="preserve">As Creswell (2014) notes, deductive approaches are central to quantitative research, as they enable theoretical propositions to be tested using measurable data. In this study, existing literature on </w:t>
      </w:r>
      <w:r w:rsidR="009F304D" w:rsidRPr="008F4FDD">
        <w:rPr>
          <w:szCs w:val="24"/>
        </w:rPr>
        <w:t>TM</w:t>
      </w:r>
      <w:r w:rsidRPr="008F4FDD">
        <w:rPr>
          <w:szCs w:val="24"/>
        </w:rPr>
        <w:t xml:space="preserve"> practices and generational theory informed the design of the survey instrument, ensuring that questions were grounded in established concepts. This reflects Creswell’s view that quantitative research places theory at the forefront and then collects data to assess the extent to which theoretical expectations are supported by empirical evidence.</w:t>
      </w:r>
    </w:p>
    <w:p w14:paraId="2C64FDEA" w14:textId="5B78DD64" w:rsidR="00A74165" w:rsidRPr="008F4FDD" w:rsidRDefault="00A74165" w:rsidP="004B4162">
      <w:pPr>
        <w:pStyle w:val="Uni-Normal"/>
        <w:jc w:val="both"/>
        <w:rPr>
          <w:szCs w:val="24"/>
        </w:rPr>
      </w:pPr>
      <w:r w:rsidRPr="008F4FDD">
        <w:rPr>
          <w:szCs w:val="24"/>
        </w:rPr>
        <w:t xml:space="preserve">An inductive approach was not considered appropriate, as inductive reasoning is typically used to generate theory from exploratory qualitative data rather than to test pre-existing theoretical assumptions (Creswell, 2014). Given that the research objectives were confirmatory rather than exploratory, inductive reasoning would not have aligned with the purpose of the study. Abductive analysis was also </w:t>
      </w:r>
      <w:r w:rsidR="000800DA" w:rsidRPr="008F4FDD">
        <w:rPr>
          <w:szCs w:val="24"/>
        </w:rPr>
        <w:t>not suitable</w:t>
      </w:r>
      <w:r w:rsidRPr="008F4FDD">
        <w:rPr>
          <w:szCs w:val="24"/>
        </w:rPr>
        <w:t xml:space="preserve"> as it involves iteratively revisiting data to develop explanations for unexpected findings, a process that relies on rich qualitative detail (Tavory</w:t>
      </w:r>
      <w:r w:rsidR="003607B1" w:rsidRPr="008F4FDD">
        <w:rPr>
          <w:szCs w:val="24"/>
        </w:rPr>
        <w:t xml:space="preserve"> </w:t>
      </w:r>
      <w:r w:rsidR="003607B1" w:rsidRPr="008F4FDD">
        <w:rPr>
          <w:szCs w:val="24"/>
        </w:rPr>
        <w:lastRenderedPageBreak/>
        <w:t>and</w:t>
      </w:r>
      <w:r w:rsidRPr="008F4FDD">
        <w:rPr>
          <w:szCs w:val="24"/>
        </w:rPr>
        <w:t xml:space="preserve"> Timmermans, 2014). As the study primarily employed structured survey data with limited qualitative depth, a deductive approach was the most methodologically appropriate choice.</w:t>
      </w:r>
    </w:p>
    <w:p w14:paraId="396DCE61" w14:textId="738DE012" w:rsidR="00A74165" w:rsidRPr="008F4FDD" w:rsidRDefault="00A74165" w:rsidP="004B4162">
      <w:pPr>
        <w:pStyle w:val="2Sectionheading"/>
        <w:spacing w:line="360" w:lineRule="auto"/>
        <w:jc w:val="both"/>
        <w:rPr>
          <w:rFonts w:cs="Times New Roman"/>
          <w:szCs w:val="24"/>
        </w:rPr>
      </w:pPr>
      <w:bookmarkStart w:id="71" w:name="_Toc234319628"/>
      <w:r w:rsidRPr="008F4FDD">
        <w:rPr>
          <w:rFonts w:cs="Times New Roman"/>
          <w:szCs w:val="24"/>
        </w:rPr>
        <w:t xml:space="preserve">3.4 Methodological </w:t>
      </w:r>
      <w:r w:rsidR="00E03DFB" w:rsidRPr="008F4FDD">
        <w:rPr>
          <w:rFonts w:cs="Times New Roman"/>
          <w:szCs w:val="24"/>
        </w:rPr>
        <w:t>C</w:t>
      </w:r>
      <w:r w:rsidRPr="008F4FDD">
        <w:rPr>
          <w:rFonts w:cs="Times New Roman"/>
          <w:szCs w:val="24"/>
        </w:rPr>
        <w:t>hoice</w:t>
      </w:r>
      <w:bookmarkEnd w:id="70"/>
      <w:bookmarkEnd w:id="71"/>
    </w:p>
    <w:p w14:paraId="44933495" w14:textId="2C71BE1D" w:rsidR="00A74165" w:rsidRPr="008F4FDD" w:rsidRDefault="00A74165" w:rsidP="004B4162">
      <w:pPr>
        <w:pStyle w:val="Uni-Normal"/>
        <w:jc w:val="both"/>
        <w:rPr>
          <w:szCs w:val="24"/>
        </w:rPr>
      </w:pPr>
      <w:r w:rsidRPr="008F4FDD">
        <w:rPr>
          <w:szCs w:val="24"/>
        </w:rPr>
        <w:t xml:space="preserve">A quantitative case study approach was selected for this research, as it </w:t>
      </w:r>
      <w:r w:rsidR="000800DA" w:rsidRPr="008F4FDD">
        <w:rPr>
          <w:szCs w:val="24"/>
        </w:rPr>
        <w:t>provided</w:t>
      </w:r>
      <w:r w:rsidRPr="008F4FDD">
        <w:rPr>
          <w:szCs w:val="24"/>
        </w:rPr>
        <w:t xml:space="preserve"> the most suitable way to generate measurable insights into </w:t>
      </w:r>
      <w:r w:rsidR="0017563B" w:rsidRPr="008F4FDD">
        <w:rPr>
          <w:szCs w:val="24"/>
        </w:rPr>
        <w:t>Gen Z</w:t>
      </w:r>
      <w:r w:rsidRPr="008F4FDD">
        <w:rPr>
          <w:szCs w:val="24"/>
        </w:rPr>
        <w:t xml:space="preserve">’s perceptions of </w:t>
      </w:r>
      <w:r w:rsidR="009F304D" w:rsidRPr="008F4FDD">
        <w:rPr>
          <w:szCs w:val="24"/>
        </w:rPr>
        <w:t>TM</w:t>
      </w:r>
      <w:r w:rsidRPr="008F4FDD">
        <w:rPr>
          <w:szCs w:val="24"/>
        </w:rPr>
        <w:t xml:space="preserve"> within </w:t>
      </w:r>
      <w:r w:rsidR="00865CD5" w:rsidRPr="008F4FDD">
        <w:rPr>
          <w:szCs w:val="24"/>
        </w:rPr>
        <w:t>NCC</w:t>
      </w:r>
      <w:r w:rsidRPr="008F4FDD">
        <w:rPr>
          <w:szCs w:val="24"/>
        </w:rPr>
        <w:t>. The study aimed to identify patterns and relationships within the data, a key feature of quantitative designs that rely on structured measurement and numerical analysis (</w:t>
      </w:r>
      <w:r w:rsidR="00F63854" w:rsidRPr="008F4FDD">
        <w:rPr>
          <w:szCs w:val="24"/>
        </w:rPr>
        <w:t xml:space="preserve">Saunders, Lewis and Thornhill, 2016). </w:t>
      </w:r>
      <w:r w:rsidRPr="008F4FDD">
        <w:rPr>
          <w:szCs w:val="24"/>
        </w:rPr>
        <w:t xml:space="preserve">Yin (2011) emphasises that case study research is used to investigate contemporary phenomena within their real-life context, which aligns with this study as perceptions of </w:t>
      </w:r>
      <w:r w:rsidR="009F304D" w:rsidRPr="008F4FDD">
        <w:rPr>
          <w:szCs w:val="24"/>
        </w:rPr>
        <w:t>TM</w:t>
      </w:r>
      <w:r w:rsidRPr="008F4FDD">
        <w:rPr>
          <w:szCs w:val="24"/>
        </w:rPr>
        <w:t xml:space="preserve"> are shaped by the organisational environment within NCC. Although case studies are often associated with qualitative methods, Yin (2011) argues that the distinction between qualitative and quantitative research relates only to the type of data collected. Case studies can therefore incorporate quantitative evidence and </w:t>
      </w:r>
      <w:proofErr w:type="gramStart"/>
      <w:r w:rsidRPr="008F4FDD">
        <w:rPr>
          <w:szCs w:val="24"/>
        </w:rPr>
        <w:t>still remain</w:t>
      </w:r>
      <w:proofErr w:type="gramEnd"/>
      <w:r w:rsidRPr="008F4FDD">
        <w:rPr>
          <w:szCs w:val="24"/>
        </w:rPr>
        <w:t xml:space="preserve"> rigorous, which supports the methodological validity of this design.</w:t>
      </w:r>
    </w:p>
    <w:p w14:paraId="5E550DB2" w14:textId="27F64F09" w:rsidR="00A74165" w:rsidRPr="008F4FDD" w:rsidRDefault="00B13D05" w:rsidP="004B4162">
      <w:pPr>
        <w:pStyle w:val="Uni-Normal"/>
        <w:jc w:val="both"/>
        <w:rPr>
          <w:szCs w:val="24"/>
        </w:rPr>
      </w:pPr>
      <w:r w:rsidRPr="00B13D05">
        <w:rPr>
          <w:szCs w:val="24"/>
        </w:rPr>
        <w:t>A case study design was also chosen because it enables an in-depth examination of one organisation, capturing the organisational context, practices and characteristics that shape employees’ experiences and perceptions of NCC</w:t>
      </w:r>
      <w:r>
        <w:rPr>
          <w:szCs w:val="24"/>
        </w:rPr>
        <w:t xml:space="preserve"> (</w:t>
      </w:r>
      <w:r w:rsidR="00A74165" w:rsidRPr="008F4FDD">
        <w:rPr>
          <w:szCs w:val="24"/>
        </w:rPr>
        <w:t>Tight, 2017). While a mixed</w:t>
      </w:r>
      <w:r w:rsidR="00A74165" w:rsidRPr="008F4FDD">
        <w:rPr>
          <w:szCs w:val="24"/>
        </w:rPr>
        <w:noBreakHyphen/>
        <w:t>method strategy was considered, time and resource constraints meant that this was not feasible. Instead, a quantitative survey was adopted as the primary method, supplemented by a small number of optional open</w:t>
      </w:r>
      <w:r w:rsidR="00A74165" w:rsidRPr="008F4FDD">
        <w:rPr>
          <w:szCs w:val="24"/>
        </w:rPr>
        <w:noBreakHyphen/>
        <w:t>ended questions to allow participants to expand on their views. This provided contextual depth without requiring a full mixed</w:t>
      </w:r>
      <w:r w:rsidR="00A74165" w:rsidRPr="008F4FDD">
        <w:rPr>
          <w:szCs w:val="24"/>
        </w:rPr>
        <w:noBreakHyphen/>
        <w:t>method design, while still aligning with Yin’s (2003) view that case study research is well suited to examining how perceptions and experiences develop within real-life organisational contexts and exploring how and why questions in research more broadly.</w:t>
      </w:r>
    </w:p>
    <w:p w14:paraId="7FFB5022" w14:textId="77777777" w:rsidR="00A74165" w:rsidRPr="008F4FDD" w:rsidRDefault="00A74165" w:rsidP="004B4162">
      <w:pPr>
        <w:pStyle w:val="2Sectionheading"/>
        <w:spacing w:line="360" w:lineRule="auto"/>
        <w:jc w:val="both"/>
        <w:rPr>
          <w:rFonts w:cs="Times New Roman"/>
          <w:szCs w:val="24"/>
        </w:rPr>
      </w:pPr>
      <w:bookmarkStart w:id="72" w:name="_Toc224743103"/>
      <w:bookmarkStart w:id="73" w:name="_Toc234319629"/>
      <w:r w:rsidRPr="008F4FDD">
        <w:rPr>
          <w:rFonts w:cs="Times New Roman"/>
          <w:szCs w:val="24"/>
        </w:rPr>
        <w:t>3.5 Research Strategy</w:t>
      </w:r>
      <w:bookmarkEnd w:id="72"/>
      <w:bookmarkEnd w:id="73"/>
      <w:r w:rsidRPr="008F4FDD">
        <w:rPr>
          <w:rFonts w:cs="Times New Roman"/>
          <w:szCs w:val="24"/>
        </w:rPr>
        <w:t xml:space="preserve"> </w:t>
      </w:r>
    </w:p>
    <w:p w14:paraId="673E2CD3" w14:textId="793F8363" w:rsidR="00A74165" w:rsidRPr="008F4FDD" w:rsidRDefault="00A74165" w:rsidP="004B4162">
      <w:pPr>
        <w:pStyle w:val="Uni-Normal"/>
        <w:jc w:val="both"/>
        <w:rPr>
          <w:szCs w:val="24"/>
        </w:rPr>
      </w:pPr>
      <w:r w:rsidRPr="008F4FDD">
        <w:rPr>
          <w:szCs w:val="24"/>
        </w:rPr>
        <w:t xml:space="preserve">The research strategy focused on implementing a structured online survey to gather evidence on the experiences of </w:t>
      </w:r>
      <w:r w:rsidR="0017563B" w:rsidRPr="008F4FDD">
        <w:rPr>
          <w:szCs w:val="24"/>
        </w:rPr>
        <w:t>Gen Z</w:t>
      </w:r>
      <w:r w:rsidRPr="008F4FDD">
        <w:rPr>
          <w:szCs w:val="24"/>
        </w:rPr>
        <w:t xml:space="preserve"> employees within NCC. Using an online </w:t>
      </w:r>
      <w:r w:rsidR="00AE227D" w:rsidRPr="008F4FDD">
        <w:rPr>
          <w:szCs w:val="24"/>
        </w:rPr>
        <w:t xml:space="preserve">survey </w:t>
      </w:r>
      <w:r w:rsidR="00B96910" w:rsidRPr="008F4FDD">
        <w:rPr>
          <w:szCs w:val="24"/>
        </w:rPr>
        <w:t>provided efficient distribution, automated processing and reduced manual error.</w:t>
      </w:r>
      <w:r w:rsidRPr="008F4FDD">
        <w:rPr>
          <w:szCs w:val="24"/>
        </w:rPr>
        <w:t xml:space="preserve"> Online surveys are also generally low cost and straightforward to distribute, supporting the aim of encouraging participation among the full eligible cohort (Groves et al., 20</w:t>
      </w:r>
      <w:r w:rsidR="00922985" w:rsidRPr="008F4FDD">
        <w:rPr>
          <w:szCs w:val="24"/>
        </w:rPr>
        <w:t>1</w:t>
      </w:r>
      <w:r w:rsidRPr="008F4FDD">
        <w:rPr>
          <w:szCs w:val="24"/>
        </w:rPr>
        <w:t>1).</w:t>
      </w:r>
    </w:p>
    <w:p w14:paraId="0FEFF693" w14:textId="486DC8E9" w:rsidR="0006442C" w:rsidRPr="008F4FDD" w:rsidRDefault="000800DA" w:rsidP="004B4162">
      <w:pPr>
        <w:pStyle w:val="Uni-Normal"/>
        <w:jc w:val="both"/>
        <w:rPr>
          <w:szCs w:val="24"/>
        </w:rPr>
      </w:pPr>
      <w:r w:rsidRPr="008F4FDD">
        <w:rPr>
          <w:szCs w:val="24"/>
        </w:rPr>
        <w:lastRenderedPageBreak/>
        <w:t xml:space="preserve">An online survey was particularly suitable </w:t>
      </w:r>
      <w:r w:rsidR="00A74165" w:rsidRPr="008F4FDD">
        <w:rPr>
          <w:szCs w:val="24"/>
        </w:rPr>
        <w:t xml:space="preserve">given the digital preferences of </w:t>
      </w:r>
      <w:r w:rsidR="0017563B" w:rsidRPr="008F4FDD">
        <w:rPr>
          <w:szCs w:val="24"/>
        </w:rPr>
        <w:t>Gen Z</w:t>
      </w:r>
      <w:r w:rsidR="00A74165" w:rsidRPr="008F4FDD">
        <w:rPr>
          <w:szCs w:val="24"/>
        </w:rPr>
        <w:t xml:space="preserve">, who are widely recognised in literature as digital natives. </w:t>
      </w:r>
      <w:r w:rsidR="003A5F9B" w:rsidRPr="008F4FDD">
        <w:rPr>
          <w:szCs w:val="24"/>
        </w:rPr>
        <w:t xml:space="preserve">Research indicates that Gen Z may be more responsive to digital participation than in-person (Reynolds, 2025). </w:t>
      </w:r>
      <w:r w:rsidR="00A74165" w:rsidRPr="008F4FDD">
        <w:rPr>
          <w:szCs w:val="24"/>
        </w:rPr>
        <w:t xml:space="preserve">However, relying on surveys as a method is not without challenges, particularly for this demographic. Gen Z tend to prefer quick, purposeful interactions and may disengage from anything that feels overly long, repetitive or inauthentic (Reynolds, 2025). </w:t>
      </w:r>
      <w:r w:rsidR="003A5F9B" w:rsidRPr="008F4FDD">
        <w:rPr>
          <w:szCs w:val="24"/>
        </w:rPr>
        <w:t xml:space="preserve">This can increase the risk of reduced data quality. </w:t>
      </w:r>
      <w:r w:rsidR="00A74165" w:rsidRPr="008F4FDD">
        <w:rPr>
          <w:szCs w:val="24"/>
        </w:rPr>
        <w:t>Surveys can encourage low</w:t>
      </w:r>
      <w:r w:rsidR="00A74165" w:rsidRPr="008F4FDD">
        <w:rPr>
          <w:szCs w:val="24"/>
        </w:rPr>
        <w:noBreakHyphen/>
        <w:t xml:space="preserve">effort responding, known as satisficing, where respondents “employ less costly approaches that yield ‘satisfactory’ rather than ‘optimal’ answers” when their motivation or cognitive resources are stretched (Sturgis </w:t>
      </w:r>
      <w:r w:rsidR="003607B1" w:rsidRPr="008F4FDD">
        <w:rPr>
          <w:szCs w:val="24"/>
        </w:rPr>
        <w:t xml:space="preserve">and </w:t>
      </w:r>
      <w:r w:rsidR="00A74165" w:rsidRPr="008F4FDD">
        <w:rPr>
          <w:szCs w:val="24"/>
        </w:rPr>
        <w:t>Brunton</w:t>
      </w:r>
      <w:r w:rsidR="00A74165" w:rsidRPr="008F4FDD">
        <w:rPr>
          <w:szCs w:val="24"/>
        </w:rPr>
        <w:noBreakHyphen/>
        <w:t xml:space="preserve">Smith, 2023, p. 689). </w:t>
      </w:r>
      <w:r w:rsidR="0006442C" w:rsidRPr="008F4FDD">
        <w:rPr>
          <w:szCs w:val="24"/>
        </w:rPr>
        <w:t>These considerations informed the design of a concise and clearly structured survey instrument to support respondent engagement and data quality.</w:t>
      </w:r>
    </w:p>
    <w:p w14:paraId="5F32CE22" w14:textId="1597E6D0" w:rsidR="00A74165" w:rsidRPr="008F4FDD" w:rsidRDefault="00A74165" w:rsidP="004B4162">
      <w:pPr>
        <w:pStyle w:val="Uni-Normal"/>
        <w:jc w:val="both"/>
        <w:rPr>
          <w:szCs w:val="24"/>
        </w:rPr>
      </w:pPr>
      <w:r w:rsidRPr="008F4FDD">
        <w:rPr>
          <w:szCs w:val="24"/>
        </w:rPr>
        <w:t xml:space="preserve">The design of the survey was informed by Dillman’s Tailored Design Method, which emphasises simple wording, short and unbiased </w:t>
      </w:r>
      <w:r w:rsidR="00353D6A" w:rsidRPr="008F4FDD">
        <w:rPr>
          <w:szCs w:val="24"/>
        </w:rPr>
        <w:t>questions and</w:t>
      </w:r>
      <w:r w:rsidRPr="008F4FDD">
        <w:rPr>
          <w:szCs w:val="24"/>
        </w:rPr>
        <w:t xml:space="preserve"> a logical structure to support clarity and respondent accessibility (Dillman, 2007, p. 51). However, online data collection also presents limitations such as lower response rates, sampling </w:t>
      </w:r>
      <w:r w:rsidR="00353D6A" w:rsidRPr="008F4FDD">
        <w:rPr>
          <w:szCs w:val="24"/>
        </w:rPr>
        <w:t>bias and</w:t>
      </w:r>
      <w:r w:rsidRPr="008F4FDD">
        <w:rPr>
          <w:szCs w:val="24"/>
        </w:rPr>
        <w:t xml:space="preserve"> reduced opportunity to clarify or probe participant understanding (Nayak </w:t>
      </w:r>
      <w:r w:rsidR="003607B1" w:rsidRPr="008F4FDD">
        <w:rPr>
          <w:szCs w:val="24"/>
        </w:rPr>
        <w:t>and</w:t>
      </w:r>
      <w:r w:rsidRPr="008F4FDD">
        <w:rPr>
          <w:szCs w:val="24"/>
        </w:rPr>
        <w:t xml:space="preserve"> Narayan, 2019). To </w:t>
      </w:r>
      <w:r w:rsidR="000800DA" w:rsidRPr="008F4FDD">
        <w:rPr>
          <w:szCs w:val="24"/>
        </w:rPr>
        <w:t xml:space="preserve">minimise </w:t>
      </w:r>
      <w:r w:rsidRPr="008F4FDD">
        <w:rPr>
          <w:szCs w:val="24"/>
        </w:rPr>
        <w:t xml:space="preserve">these issues, the survey link was restricted solely to eligible </w:t>
      </w:r>
      <w:r w:rsidR="0017563B" w:rsidRPr="008F4FDD">
        <w:rPr>
          <w:szCs w:val="24"/>
        </w:rPr>
        <w:t>Gen Z</w:t>
      </w:r>
      <w:r w:rsidRPr="008F4FDD">
        <w:rPr>
          <w:szCs w:val="24"/>
        </w:rPr>
        <w:t xml:space="preserve"> employees to maintain a clearly defined sample. </w:t>
      </w:r>
      <w:r w:rsidR="00ED69CB" w:rsidRPr="008F4FDD">
        <w:rPr>
          <w:szCs w:val="24"/>
        </w:rPr>
        <w:t>Microsoft Forms prevented duplicate submissions via a one</w:t>
      </w:r>
      <w:r w:rsidR="00AE227D" w:rsidRPr="008F4FDD">
        <w:rPr>
          <w:szCs w:val="24"/>
        </w:rPr>
        <w:t xml:space="preserve"> response per </w:t>
      </w:r>
      <w:r w:rsidR="00ED69CB" w:rsidRPr="008F4FDD">
        <w:rPr>
          <w:szCs w:val="24"/>
        </w:rPr>
        <w:t xml:space="preserve">person setting and the </w:t>
      </w:r>
      <w:r w:rsidR="00AE227D" w:rsidRPr="008F4FDD">
        <w:rPr>
          <w:szCs w:val="24"/>
        </w:rPr>
        <w:t>survey</w:t>
      </w:r>
      <w:r w:rsidR="00ED69CB" w:rsidRPr="008F4FDD">
        <w:rPr>
          <w:szCs w:val="24"/>
        </w:rPr>
        <w:t xml:space="preserve"> used concise wording to reduce confusion and support completion, addressing common issues in online surveys (Nayak </w:t>
      </w:r>
      <w:r w:rsidR="003607B1" w:rsidRPr="008F4FDD">
        <w:rPr>
          <w:szCs w:val="24"/>
        </w:rPr>
        <w:t>and</w:t>
      </w:r>
      <w:r w:rsidR="00ED69CB" w:rsidRPr="008F4FDD">
        <w:rPr>
          <w:szCs w:val="24"/>
        </w:rPr>
        <w:t xml:space="preserve"> Narayan, 2019). </w:t>
      </w:r>
      <w:r w:rsidRPr="008F4FDD">
        <w:rPr>
          <w:szCs w:val="24"/>
        </w:rPr>
        <w:t xml:space="preserve">A separate information sheet and consent stage were included to reassure participants about confidentiality </w:t>
      </w:r>
      <w:r w:rsidR="003A5F9B" w:rsidRPr="008F4FDD">
        <w:rPr>
          <w:szCs w:val="24"/>
        </w:rPr>
        <w:t xml:space="preserve">and to ensure </w:t>
      </w:r>
      <w:r w:rsidRPr="008F4FDD">
        <w:rPr>
          <w:szCs w:val="24"/>
        </w:rPr>
        <w:t xml:space="preserve">informed participation (Nayak </w:t>
      </w:r>
      <w:r w:rsidR="003607B1" w:rsidRPr="008F4FDD">
        <w:rPr>
          <w:szCs w:val="24"/>
        </w:rPr>
        <w:t>and</w:t>
      </w:r>
      <w:r w:rsidRPr="008F4FDD">
        <w:rPr>
          <w:szCs w:val="24"/>
        </w:rPr>
        <w:t xml:space="preserve"> Narayan, 2019).</w:t>
      </w:r>
    </w:p>
    <w:p w14:paraId="3B1AD1EF" w14:textId="194BCA39" w:rsidR="00A74165" w:rsidRPr="008F4FDD" w:rsidRDefault="00A74165" w:rsidP="004B4162">
      <w:pPr>
        <w:pStyle w:val="Uni-Normal"/>
        <w:jc w:val="both"/>
        <w:rPr>
          <w:szCs w:val="24"/>
        </w:rPr>
      </w:pPr>
      <w:r w:rsidRPr="008F4FDD">
        <w:rPr>
          <w:szCs w:val="24"/>
        </w:rPr>
        <w:t xml:space="preserve">The survey comprised </w:t>
      </w:r>
      <w:r w:rsidR="00471BCA" w:rsidRPr="008F4FDD">
        <w:rPr>
          <w:szCs w:val="24"/>
        </w:rPr>
        <w:t>nineteen</w:t>
      </w:r>
      <w:r w:rsidRPr="008F4FDD">
        <w:rPr>
          <w:szCs w:val="24"/>
        </w:rPr>
        <w:t xml:space="preserve"> questions and primarily consisted of structured closed</w:t>
      </w:r>
      <w:r w:rsidRPr="008F4FDD">
        <w:rPr>
          <w:szCs w:val="24"/>
        </w:rPr>
        <w:noBreakHyphen/>
        <w:t xml:space="preserve">ended items, including Likert scales, rating </w:t>
      </w:r>
      <w:r w:rsidR="00353D6A" w:rsidRPr="008F4FDD">
        <w:rPr>
          <w:szCs w:val="24"/>
        </w:rPr>
        <w:t>scales and</w:t>
      </w:r>
      <w:r w:rsidRPr="008F4FDD">
        <w:rPr>
          <w:szCs w:val="24"/>
        </w:rPr>
        <w:t xml:space="preserve"> dichotomous questions, alongside three optional open</w:t>
      </w:r>
      <w:r w:rsidRPr="008F4FDD">
        <w:rPr>
          <w:szCs w:val="24"/>
        </w:rPr>
        <w:noBreakHyphen/>
        <w:t xml:space="preserve">ended questions, to enable standardised and statistically analysable responses (Fisher </w:t>
      </w:r>
      <w:r w:rsidR="003607B1" w:rsidRPr="008F4FDD">
        <w:rPr>
          <w:szCs w:val="24"/>
        </w:rPr>
        <w:t>and</w:t>
      </w:r>
      <w:r w:rsidRPr="008F4FDD">
        <w:rPr>
          <w:szCs w:val="24"/>
        </w:rPr>
        <w:t xml:space="preserve"> Buglear, 2010).</w:t>
      </w:r>
      <w:r w:rsidR="0029077C">
        <w:rPr>
          <w:rFonts w:eastAsia="Times New Roman"/>
          <w:b/>
          <w:bCs/>
          <w:szCs w:val="24"/>
          <w:lang w:eastAsia="en-GB"/>
        </w:rPr>
        <w:t xml:space="preserve"> </w:t>
      </w:r>
      <w:r w:rsidR="003A5F9B" w:rsidRPr="008F4FDD">
        <w:rPr>
          <w:szCs w:val="24"/>
        </w:rPr>
        <w:t>Likert-type and rating scales are commonly used in attitudinal research to measure perceptions by converting views into structured numerical data (Harpe, 2015)</w:t>
      </w:r>
      <w:r w:rsidR="002D7FDA" w:rsidRPr="008F4FDD">
        <w:rPr>
          <w:szCs w:val="24"/>
        </w:rPr>
        <w:t xml:space="preserve">. </w:t>
      </w:r>
      <w:r w:rsidRPr="008F4FDD">
        <w:rPr>
          <w:szCs w:val="24"/>
        </w:rPr>
        <w:t>In line with Fisher and Buglear’s (2010, p. 211) recommendation to place easier questions first and reserve more complex or reflective items for later in the instrument, the three open</w:t>
      </w:r>
      <w:r w:rsidRPr="008F4FDD">
        <w:rPr>
          <w:szCs w:val="24"/>
        </w:rPr>
        <w:noBreakHyphen/>
        <w:t xml:space="preserve">ended questions were positioned at the end of the </w:t>
      </w:r>
      <w:r w:rsidR="00AE227D" w:rsidRPr="008F4FDD">
        <w:rPr>
          <w:szCs w:val="24"/>
        </w:rPr>
        <w:t>survey</w:t>
      </w:r>
      <w:r w:rsidRPr="008F4FDD">
        <w:rPr>
          <w:szCs w:val="24"/>
        </w:rPr>
        <w:t xml:space="preserve">. </w:t>
      </w:r>
      <w:r w:rsidR="003A5F9B" w:rsidRPr="008F4FDD">
        <w:rPr>
          <w:szCs w:val="24"/>
        </w:rPr>
        <w:t xml:space="preserve">This ordering aimed to reduce early respondent burden (Fisher </w:t>
      </w:r>
      <w:r w:rsidR="003607B1" w:rsidRPr="008F4FDD">
        <w:rPr>
          <w:szCs w:val="24"/>
        </w:rPr>
        <w:t>and</w:t>
      </w:r>
      <w:r w:rsidR="003A5F9B" w:rsidRPr="008F4FDD">
        <w:rPr>
          <w:szCs w:val="24"/>
        </w:rPr>
        <w:t xml:space="preserve"> Buglear, 2010). </w:t>
      </w:r>
      <w:r w:rsidRPr="008F4FDD">
        <w:rPr>
          <w:szCs w:val="24"/>
        </w:rPr>
        <w:t xml:space="preserve">Although optional, these </w:t>
      </w:r>
      <w:r w:rsidRPr="008F4FDD">
        <w:rPr>
          <w:szCs w:val="24"/>
        </w:rPr>
        <w:lastRenderedPageBreak/>
        <w:t>open</w:t>
      </w:r>
      <w:r w:rsidRPr="008F4FDD">
        <w:rPr>
          <w:szCs w:val="24"/>
        </w:rPr>
        <w:noBreakHyphen/>
        <w:t>ended items allowed respondents to elaborate on their experiences, providing richer contextual insight that strengthened the case study component of the research.</w:t>
      </w:r>
    </w:p>
    <w:p w14:paraId="0EF480AA" w14:textId="77777777" w:rsidR="00A74165" w:rsidRPr="008F4FDD" w:rsidRDefault="00A74165" w:rsidP="004B4162">
      <w:pPr>
        <w:pStyle w:val="2Sectionheading"/>
        <w:spacing w:line="360" w:lineRule="auto"/>
        <w:jc w:val="both"/>
        <w:rPr>
          <w:rFonts w:cs="Times New Roman"/>
          <w:szCs w:val="24"/>
        </w:rPr>
      </w:pPr>
      <w:bookmarkStart w:id="74" w:name="_Toc224743104"/>
      <w:bookmarkStart w:id="75" w:name="_Toc234319630"/>
      <w:r w:rsidRPr="008F4FDD">
        <w:rPr>
          <w:rFonts w:cs="Times New Roman"/>
          <w:szCs w:val="24"/>
        </w:rPr>
        <w:t xml:space="preserve">3.6 </w:t>
      </w:r>
      <w:bookmarkStart w:id="76" w:name="_Toc153826368"/>
      <w:r w:rsidRPr="008F4FDD">
        <w:rPr>
          <w:rFonts w:cs="Times New Roman"/>
          <w:szCs w:val="24"/>
        </w:rPr>
        <w:t>Population, Sampling and Sample Size</w:t>
      </w:r>
      <w:bookmarkEnd w:id="74"/>
      <w:bookmarkEnd w:id="75"/>
      <w:bookmarkEnd w:id="76"/>
    </w:p>
    <w:p w14:paraId="54F8AE22" w14:textId="45763B09" w:rsidR="00A74165" w:rsidRPr="008F4FDD" w:rsidRDefault="00A74165" w:rsidP="004B4162">
      <w:pPr>
        <w:pStyle w:val="Uni-Normal"/>
        <w:jc w:val="both"/>
        <w:rPr>
          <w:szCs w:val="24"/>
        </w:rPr>
      </w:pPr>
      <w:r w:rsidRPr="008F4FDD">
        <w:rPr>
          <w:szCs w:val="24"/>
        </w:rPr>
        <w:t>Th</w:t>
      </w:r>
      <w:r w:rsidR="0031128D" w:rsidRPr="008F4FDD">
        <w:rPr>
          <w:szCs w:val="24"/>
        </w:rPr>
        <w:t>e</w:t>
      </w:r>
      <w:r w:rsidRPr="008F4FDD">
        <w:rPr>
          <w:szCs w:val="24"/>
        </w:rPr>
        <w:t xml:space="preserve"> </w:t>
      </w:r>
      <w:r w:rsidR="0031128D" w:rsidRPr="008F4FDD">
        <w:rPr>
          <w:szCs w:val="24"/>
        </w:rPr>
        <w:t xml:space="preserve">research </w:t>
      </w:r>
      <w:r w:rsidRPr="008F4FDD">
        <w:rPr>
          <w:szCs w:val="24"/>
        </w:rPr>
        <w:t xml:space="preserve">adopted a </w:t>
      </w:r>
      <w:r w:rsidR="007B5A07" w:rsidRPr="008F4FDD">
        <w:rPr>
          <w:szCs w:val="24"/>
        </w:rPr>
        <w:t>purposive</w:t>
      </w:r>
      <w:r w:rsidRPr="008F4FDD">
        <w:rPr>
          <w:szCs w:val="24"/>
        </w:rPr>
        <w:t xml:space="preserve"> sampling framework using </w:t>
      </w:r>
      <w:r w:rsidR="00865CD5" w:rsidRPr="008F4FDD">
        <w:rPr>
          <w:szCs w:val="24"/>
        </w:rPr>
        <w:t xml:space="preserve">NCC </w:t>
      </w:r>
      <w:r w:rsidRPr="008F4FDD">
        <w:rPr>
          <w:szCs w:val="24"/>
        </w:rPr>
        <w:t xml:space="preserve">as the organisational research site. </w:t>
      </w:r>
      <w:r w:rsidR="007B5A07" w:rsidRPr="008F4FDD">
        <w:rPr>
          <w:szCs w:val="24"/>
        </w:rPr>
        <w:t xml:space="preserve">Purposive sampling is a non-probability technique in which participants are deliberately selected based on their relevance to the research objectives, enabling the researcher to focus on information-rich cases (Johnson </w:t>
      </w:r>
      <w:r w:rsidR="003607B1" w:rsidRPr="008F4FDD">
        <w:rPr>
          <w:szCs w:val="24"/>
        </w:rPr>
        <w:t>and</w:t>
      </w:r>
      <w:r w:rsidR="007B5A07" w:rsidRPr="008F4FDD">
        <w:rPr>
          <w:szCs w:val="24"/>
        </w:rPr>
        <w:t xml:space="preserve"> Christensen, 201</w:t>
      </w:r>
      <w:r w:rsidR="00AE227D" w:rsidRPr="008F4FDD">
        <w:rPr>
          <w:szCs w:val="24"/>
        </w:rPr>
        <w:t>2</w:t>
      </w:r>
      <w:r w:rsidR="00E82186" w:rsidRPr="008F4FDD">
        <w:rPr>
          <w:szCs w:val="24"/>
        </w:rPr>
        <w:t>)</w:t>
      </w:r>
      <w:r w:rsidR="007B5A07" w:rsidRPr="008F4FDD">
        <w:rPr>
          <w:szCs w:val="24"/>
        </w:rPr>
        <w:t>.</w:t>
      </w:r>
      <w:r w:rsidR="003A5F9B" w:rsidRPr="008F4FDD">
        <w:rPr>
          <w:szCs w:val="24"/>
        </w:rPr>
        <w:t xml:space="preserve"> </w:t>
      </w:r>
      <w:r w:rsidRPr="008F4FDD">
        <w:rPr>
          <w:szCs w:val="24"/>
        </w:rPr>
        <w:t>For this study, the relevant subgroup comprised employees belonging to Gen</w:t>
      </w:r>
      <w:r w:rsidR="0018277C" w:rsidRPr="008F4FDD">
        <w:rPr>
          <w:szCs w:val="24"/>
        </w:rPr>
        <w:t xml:space="preserve"> </w:t>
      </w:r>
      <w:r w:rsidRPr="008F4FDD">
        <w:rPr>
          <w:szCs w:val="24"/>
        </w:rPr>
        <w:t>Z</w:t>
      </w:r>
      <w:r w:rsidR="0018277C" w:rsidRPr="008F4FDD">
        <w:rPr>
          <w:szCs w:val="24"/>
        </w:rPr>
        <w:t>.</w:t>
      </w:r>
      <w:r w:rsidRPr="008F4FDD">
        <w:rPr>
          <w:szCs w:val="24"/>
        </w:rPr>
        <w:t xml:space="preserve"> </w:t>
      </w:r>
    </w:p>
    <w:p w14:paraId="34CD6ABE" w14:textId="2BDEDEC3" w:rsidR="007B5A07" w:rsidRPr="008F4FDD" w:rsidRDefault="007B5A07" w:rsidP="004B4162">
      <w:pPr>
        <w:pStyle w:val="Uni-Normal"/>
        <w:jc w:val="both"/>
        <w:rPr>
          <w:szCs w:val="24"/>
        </w:rPr>
      </w:pPr>
      <w:r w:rsidRPr="008F4FDD">
        <w:rPr>
          <w:szCs w:val="24"/>
        </w:rPr>
        <w:t>NCC maintains accurate workforce demographic data, including employee age profiles, which enabled the precise identification of individuals meeting the inclusion criteria. This ensured that the sample directly aligned with the research focus. Sampling methods can be broadly categorised into probability and non-probability approaches, each serving different research purposes (Makwana et al., 2023). While probability methods aim to achieve generalisability across a population, purposive sampling is more appropriate where participants are selected based on specific characteristics relevant to the research aim. Alternative sampling techniques were considered but deemed unsuitable. Random sampling, for example, would likely include a substantial proportion of non–Gen Z employees, reducing the relevance of the data collected</w:t>
      </w:r>
      <w:r w:rsidR="00FC2417" w:rsidRPr="008F4FDD">
        <w:rPr>
          <w:szCs w:val="24"/>
        </w:rPr>
        <w:t xml:space="preserve"> (Johnson </w:t>
      </w:r>
      <w:r w:rsidR="003607B1" w:rsidRPr="008F4FDD">
        <w:rPr>
          <w:szCs w:val="24"/>
        </w:rPr>
        <w:t>and</w:t>
      </w:r>
      <w:r w:rsidR="00FC2417" w:rsidRPr="008F4FDD">
        <w:rPr>
          <w:szCs w:val="24"/>
        </w:rPr>
        <w:t xml:space="preserve"> Christensen, 201</w:t>
      </w:r>
      <w:r w:rsidR="00AE227D" w:rsidRPr="008F4FDD">
        <w:rPr>
          <w:szCs w:val="24"/>
        </w:rPr>
        <w:t>2</w:t>
      </w:r>
      <w:r w:rsidR="00FC2417" w:rsidRPr="008F4FDD">
        <w:rPr>
          <w:szCs w:val="24"/>
        </w:rPr>
        <w:t>)</w:t>
      </w:r>
      <w:r w:rsidRPr="008F4FDD">
        <w:rPr>
          <w:szCs w:val="24"/>
        </w:rPr>
        <w:t xml:space="preserve">. Purposive sampling was therefore selected as </w:t>
      </w:r>
      <w:r w:rsidR="0092643B" w:rsidRPr="008F4FDD">
        <w:rPr>
          <w:szCs w:val="24"/>
        </w:rPr>
        <w:t>t</w:t>
      </w:r>
      <w:r w:rsidR="00000A40" w:rsidRPr="008F4FDD">
        <w:rPr>
          <w:szCs w:val="24"/>
        </w:rPr>
        <w:t>he most appropriate method to ensure that participation was restricted</w:t>
      </w:r>
      <w:r w:rsidR="00FC2417" w:rsidRPr="008F4FDD">
        <w:rPr>
          <w:szCs w:val="24"/>
        </w:rPr>
        <w:t xml:space="preserve"> to Gen Z employees.</w:t>
      </w:r>
    </w:p>
    <w:p w14:paraId="4A1256CD" w14:textId="73B06939" w:rsidR="00FC2417" w:rsidRPr="008F4FDD" w:rsidRDefault="00FC2417" w:rsidP="004B4162">
      <w:pPr>
        <w:pStyle w:val="Uni-Normal"/>
        <w:jc w:val="both"/>
        <w:rPr>
          <w:szCs w:val="24"/>
        </w:rPr>
      </w:pPr>
      <w:r w:rsidRPr="008F4FDD">
        <w:rPr>
          <w:szCs w:val="24"/>
        </w:rPr>
        <w:t xml:space="preserve">The sampling frame consisted of employees born between 1997 and 2012, the commonly accepted boundaries for Gen Z (Cruse, 2025). However, as NCC employs only individuals aged </w:t>
      </w:r>
      <w:r w:rsidR="00471BCA" w:rsidRPr="008F4FDD">
        <w:rPr>
          <w:szCs w:val="24"/>
        </w:rPr>
        <w:t>eighteen</w:t>
      </w:r>
      <w:r w:rsidRPr="008F4FDD">
        <w:rPr>
          <w:szCs w:val="24"/>
        </w:rPr>
        <w:t xml:space="preserve"> and above, the final population included employees born between 1997 and 2008. Younger individuals were excluded for ethical reasons and because apprentices and work experience placements fall outside the employee categories relevant to the study’s aims.</w:t>
      </w:r>
    </w:p>
    <w:p w14:paraId="2887120D" w14:textId="6B0468A1" w:rsidR="00FC2417" w:rsidRPr="008F4FDD" w:rsidRDefault="00FC2417" w:rsidP="004B4162">
      <w:pPr>
        <w:pStyle w:val="Uni-Normal"/>
        <w:jc w:val="both"/>
        <w:rPr>
          <w:szCs w:val="24"/>
        </w:rPr>
      </w:pPr>
      <w:r w:rsidRPr="008F4FDD">
        <w:rPr>
          <w:szCs w:val="24"/>
        </w:rPr>
        <w:t>To maximise participation, the survey was distributed to all employees meeting the inclusion criteria. Participants were identified using HR demographic records and the survey link was shared electronically to maximise accessibility and reach. This census-style approach within the purposive sample ensured comprehensive coverage of the target group and reduced reliance on generalisation from a smaller sample (McEwan, 2020).</w:t>
      </w:r>
    </w:p>
    <w:p w14:paraId="0DB1A9A2" w14:textId="77777777" w:rsidR="00FC2417" w:rsidRPr="008F4FDD" w:rsidRDefault="00FC2417" w:rsidP="004B4162">
      <w:pPr>
        <w:pStyle w:val="Uni-Normal"/>
        <w:jc w:val="both"/>
        <w:rPr>
          <w:szCs w:val="24"/>
        </w:rPr>
      </w:pPr>
    </w:p>
    <w:p w14:paraId="065F886F" w14:textId="77777777" w:rsidR="00A74165" w:rsidRPr="008F4FDD" w:rsidRDefault="00A74165" w:rsidP="004B4162">
      <w:pPr>
        <w:pStyle w:val="2Sectionheading"/>
        <w:spacing w:line="360" w:lineRule="auto"/>
        <w:jc w:val="both"/>
        <w:rPr>
          <w:rFonts w:cs="Times New Roman"/>
          <w:szCs w:val="24"/>
        </w:rPr>
      </w:pPr>
      <w:bookmarkStart w:id="77" w:name="_Toc224743105"/>
      <w:bookmarkStart w:id="78" w:name="_Toc234319631"/>
      <w:r w:rsidRPr="008F4FDD">
        <w:rPr>
          <w:rFonts w:cs="Times New Roman"/>
          <w:szCs w:val="24"/>
        </w:rPr>
        <w:lastRenderedPageBreak/>
        <w:t>3.7 Time Horizons</w:t>
      </w:r>
      <w:bookmarkEnd w:id="77"/>
      <w:bookmarkEnd w:id="78"/>
    </w:p>
    <w:p w14:paraId="1A01B4F6" w14:textId="4C3F67FA" w:rsidR="00A74165" w:rsidRPr="008F4FDD" w:rsidRDefault="00A74165" w:rsidP="004B4162">
      <w:pPr>
        <w:pStyle w:val="Uni-Normal"/>
        <w:jc w:val="both"/>
        <w:rPr>
          <w:szCs w:val="24"/>
        </w:rPr>
      </w:pPr>
      <w:r w:rsidRPr="008F4FDD">
        <w:rPr>
          <w:szCs w:val="24"/>
        </w:rPr>
        <w:t>A cross</w:t>
      </w:r>
      <w:r w:rsidRPr="008F4FDD">
        <w:rPr>
          <w:szCs w:val="24"/>
        </w:rPr>
        <w:noBreakHyphen/>
        <w:t>sectional time horizon was adopted to collect data at a single point in time and provide a snapshot of current employee perceptions. This approach was appropriate given the study’s time constraints, as cross</w:t>
      </w:r>
      <w:r w:rsidRPr="008F4FDD">
        <w:rPr>
          <w:szCs w:val="24"/>
        </w:rPr>
        <w:noBreakHyphen/>
        <w:t xml:space="preserve">sectional designs are commonly used in academic research when longitudinal data collection is not feasible </w:t>
      </w:r>
      <w:r w:rsidR="00F63854" w:rsidRPr="008F4FDD">
        <w:rPr>
          <w:szCs w:val="24"/>
        </w:rPr>
        <w:t>(Saunders, Lewis and Thornhill, 2016</w:t>
      </w:r>
      <w:r w:rsidRPr="008F4FDD">
        <w:rPr>
          <w:szCs w:val="24"/>
        </w:rPr>
        <w:t>, p. 200).</w:t>
      </w:r>
    </w:p>
    <w:p w14:paraId="4E880268" w14:textId="4B146ED8" w:rsidR="00A74165" w:rsidRPr="008F4FDD" w:rsidRDefault="00A74165" w:rsidP="004B4162">
      <w:pPr>
        <w:pStyle w:val="2Sectionheading"/>
        <w:spacing w:line="360" w:lineRule="auto"/>
        <w:jc w:val="both"/>
        <w:rPr>
          <w:rFonts w:cs="Times New Roman"/>
          <w:szCs w:val="24"/>
        </w:rPr>
      </w:pPr>
      <w:bookmarkStart w:id="79" w:name="_Toc224743106"/>
      <w:bookmarkStart w:id="80" w:name="_Toc234319632"/>
      <w:r w:rsidRPr="008F4FDD">
        <w:rPr>
          <w:rFonts w:cs="Times New Roman"/>
          <w:szCs w:val="24"/>
        </w:rPr>
        <w:t xml:space="preserve">3.8 Data </w:t>
      </w:r>
      <w:r w:rsidR="00E03DFB" w:rsidRPr="008F4FDD">
        <w:rPr>
          <w:rFonts w:cs="Times New Roman"/>
          <w:szCs w:val="24"/>
        </w:rPr>
        <w:t>C</w:t>
      </w:r>
      <w:r w:rsidRPr="008F4FDD">
        <w:rPr>
          <w:rFonts w:cs="Times New Roman"/>
          <w:szCs w:val="24"/>
        </w:rPr>
        <w:t>ollection</w:t>
      </w:r>
      <w:bookmarkEnd w:id="79"/>
      <w:bookmarkEnd w:id="80"/>
      <w:r w:rsidRPr="008F4FDD">
        <w:rPr>
          <w:rFonts w:cs="Times New Roman"/>
          <w:szCs w:val="24"/>
        </w:rPr>
        <w:t xml:space="preserve"> </w:t>
      </w:r>
    </w:p>
    <w:p w14:paraId="52D11CBB" w14:textId="60BB46E2" w:rsidR="00A74165" w:rsidRPr="008F4FDD" w:rsidRDefault="00A74165" w:rsidP="004B4162">
      <w:pPr>
        <w:pStyle w:val="Uni-Normal"/>
        <w:jc w:val="both"/>
        <w:rPr>
          <w:szCs w:val="24"/>
        </w:rPr>
      </w:pPr>
      <w:r w:rsidRPr="008F4FDD">
        <w:rPr>
          <w:szCs w:val="24"/>
        </w:rPr>
        <w:t xml:space="preserve">Data for this study was collected using a self-completed online survey created in Microsoft Forms, a recognised data collection tool within </w:t>
      </w:r>
      <w:r w:rsidR="00865CD5" w:rsidRPr="008F4FDD">
        <w:rPr>
          <w:szCs w:val="24"/>
        </w:rPr>
        <w:t>NCC</w:t>
      </w:r>
      <w:r w:rsidRPr="008F4FDD">
        <w:rPr>
          <w:szCs w:val="24"/>
        </w:rPr>
        <w:t xml:space="preserve">. The platform was selected for its accessibility, security and compatibility with organisational systems and GDPR requirements, ensuring that participants could complete the survey conveniently and confidentially. Microsoft Forms also supported initial analysis through real time summaries and auto generated charts and graphs, with an option to export the findings to Excel for deeper analysis, reducing manual handling and supporting accuracy in the dataset (Stevens, 2025). </w:t>
      </w:r>
    </w:p>
    <w:p w14:paraId="3B4820AE" w14:textId="16207906" w:rsidR="00A74165" w:rsidRPr="008F4FDD" w:rsidRDefault="00A74165" w:rsidP="004B4162">
      <w:pPr>
        <w:pStyle w:val="Uni-Normal"/>
        <w:jc w:val="both"/>
        <w:rPr>
          <w:szCs w:val="24"/>
        </w:rPr>
      </w:pPr>
      <w:r w:rsidRPr="008F4FDD">
        <w:rPr>
          <w:szCs w:val="24"/>
        </w:rPr>
        <w:t xml:space="preserve">A </w:t>
      </w:r>
      <w:r w:rsidR="0018277C" w:rsidRPr="008F4FDD">
        <w:rPr>
          <w:szCs w:val="24"/>
        </w:rPr>
        <w:t>HR</w:t>
      </w:r>
      <w:r w:rsidRPr="008F4FDD">
        <w:rPr>
          <w:szCs w:val="24"/>
        </w:rPr>
        <w:t xml:space="preserve"> colleague distributed the survey link to employees who f</w:t>
      </w:r>
      <w:r w:rsidR="00D673CE">
        <w:rPr>
          <w:szCs w:val="24"/>
        </w:rPr>
        <w:t>e</w:t>
      </w:r>
      <w:r w:rsidRPr="008F4FDD">
        <w:rPr>
          <w:szCs w:val="24"/>
        </w:rPr>
        <w:t xml:space="preserve">ll within the Gen Z age category, excluding anyone under </w:t>
      </w:r>
      <w:r w:rsidR="00471BCA" w:rsidRPr="008F4FDD">
        <w:rPr>
          <w:szCs w:val="24"/>
        </w:rPr>
        <w:t>eighteen</w:t>
      </w:r>
      <w:r w:rsidRPr="008F4FDD">
        <w:rPr>
          <w:szCs w:val="24"/>
        </w:rPr>
        <w:t xml:space="preserve"> to maintain ethical compliance and alignment with the study’s target demographic. The email invitation (Appendix</w:t>
      </w:r>
      <w:r w:rsidR="006752DD" w:rsidRPr="008F4FDD">
        <w:rPr>
          <w:szCs w:val="24"/>
        </w:rPr>
        <w:t xml:space="preserve"> 2)</w:t>
      </w:r>
      <w:r w:rsidRPr="008F4FDD">
        <w:rPr>
          <w:szCs w:val="24"/>
        </w:rPr>
        <w:t xml:space="preserve"> introduced the researcher, outlined the purpose of the study and explained its relevance to the MBA programme. The survey’s front page (Appendix </w:t>
      </w:r>
      <w:r w:rsidR="006752DD" w:rsidRPr="008F4FDD">
        <w:rPr>
          <w:szCs w:val="24"/>
        </w:rPr>
        <w:t>3</w:t>
      </w:r>
      <w:r w:rsidRPr="008F4FDD">
        <w:rPr>
          <w:szCs w:val="24"/>
        </w:rPr>
        <w:t>) provided the full study summary, confidentiality measures</w:t>
      </w:r>
      <w:r w:rsidR="00413EDB" w:rsidRPr="008F4FDD">
        <w:rPr>
          <w:szCs w:val="24"/>
        </w:rPr>
        <w:t xml:space="preserve"> </w:t>
      </w:r>
      <w:r w:rsidRPr="008F4FDD">
        <w:rPr>
          <w:szCs w:val="24"/>
        </w:rPr>
        <w:t>and eligibility criteria. Microsoft Forms then facilitated automated collation of responses, supporting consistency and accuracy across the dataset.</w:t>
      </w:r>
    </w:p>
    <w:p w14:paraId="39E8DB86" w14:textId="7FA75A7F" w:rsidR="00F36AAA" w:rsidRDefault="00A74165" w:rsidP="00F36AAA">
      <w:pPr>
        <w:pStyle w:val="Uni-Normal"/>
        <w:jc w:val="both"/>
        <w:rPr>
          <w:szCs w:val="24"/>
        </w:rPr>
      </w:pPr>
      <w:r w:rsidRPr="008F4FDD">
        <w:rPr>
          <w:szCs w:val="24"/>
        </w:rPr>
        <w:t>The survey was distributed to all 685 eligible Gen</w:t>
      </w:r>
      <w:r w:rsidR="00A459AB" w:rsidRPr="008F4FDD">
        <w:rPr>
          <w:szCs w:val="24"/>
        </w:rPr>
        <w:t xml:space="preserve"> </w:t>
      </w:r>
      <w:r w:rsidRPr="008F4FDD">
        <w:rPr>
          <w:szCs w:val="24"/>
        </w:rPr>
        <w:t xml:space="preserve">Z employees within the organisation to maximise participation. Participants were given three weeks (20 February–13 March 2026) to complete the </w:t>
      </w:r>
      <w:r w:rsidR="00AE227D" w:rsidRPr="008F4FDD">
        <w:rPr>
          <w:szCs w:val="24"/>
        </w:rPr>
        <w:t>survey</w:t>
      </w:r>
      <w:r w:rsidRPr="008F4FDD">
        <w:rPr>
          <w:szCs w:val="24"/>
        </w:rPr>
        <w:t xml:space="preserve"> and a reminder email was issued on 5 March to encourage engagement. </w:t>
      </w:r>
      <w:r w:rsidR="001C1810" w:rsidRPr="001C1810">
        <w:rPr>
          <w:szCs w:val="24"/>
        </w:rPr>
        <w:t>In total, 97 responses were received, representing a response rate of approximately 14%. One response was excluded from the final dataset because the participant indicated they were not eligible to take part in the study, resulting in 96 valid responses for analysis</w:t>
      </w:r>
      <w:r w:rsidR="001C1810">
        <w:rPr>
          <w:szCs w:val="24"/>
        </w:rPr>
        <w:t xml:space="preserve">. </w:t>
      </w:r>
      <w:r w:rsidR="0018277C" w:rsidRPr="008F4FDD">
        <w:rPr>
          <w:szCs w:val="24"/>
        </w:rPr>
        <w:t>Low</w:t>
      </w:r>
      <w:r w:rsidRPr="008F4FDD">
        <w:rPr>
          <w:szCs w:val="24"/>
        </w:rPr>
        <w:t xml:space="preserve"> response rates are a well</w:t>
      </w:r>
      <w:r w:rsidRPr="008F4FDD">
        <w:rPr>
          <w:szCs w:val="24"/>
        </w:rPr>
        <w:noBreakHyphen/>
        <w:t>recognised limitation of online surveys and can increase the risk of reduced representativeness and non</w:t>
      </w:r>
      <w:r w:rsidRPr="008F4FDD">
        <w:rPr>
          <w:szCs w:val="24"/>
        </w:rPr>
        <w:noBreakHyphen/>
        <w:t xml:space="preserve">response bias (Shiyab </w:t>
      </w:r>
      <w:r w:rsidRPr="008E3A7D">
        <w:rPr>
          <w:szCs w:val="24"/>
        </w:rPr>
        <w:t xml:space="preserve">et al., </w:t>
      </w:r>
      <w:r w:rsidRPr="008F4FDD">
        <w:rPr>
          <w:szCs w:val="24"/>
        </w:rPr>
        <w:t xml:space="preserve">2023). This risk was acknowledged at the survey design </w:t>
      </w:r>
      <w:r w:rsidR="00345A33" w:rsidRPr="008F4FDD">
        <w:rPr>
          <w:szCs w:val="24"/>
        </w:rPr>
        <w:t>stage</w:t>
      </w:r>
      <w:r w:rsidRPr="008F4FDD">
        <w:rPr>
          <w:szCs w:val="24"/>
        </w:rPr>
        <w:t xml:space="preserve"> and mitigation strategies were implemented, including restricting access to the defined sampling frame, using a concise and clearly structured </w:t>
      </w:r>
      <w:r w:rsidR="00AE227D" w:rsidRPr="008F4FDD">
        <w:rPr>
          <w:szCs w:val="24"/>
        </w:rPr>
        <w:t xml:space="preserve">survey </w:t>
      </w:r>
      <w:r w:rsidRPr="008F4FDD">
        <w:rPr>
          <w:szCs w:val="24"/>
        </w:rPr>
        <w:t xml:space="preserve">and issuing a reminder during the data collection period. </w:t>
      </w:r>
      <w:bookmarkStart w:id="81" w:name="_Toc224743107"/>
      <w:bookmarkStart w:id="82" w:name="_Toc224743108"/>
    </w:p>
    <w:p w14:paraId="678E60D4" w14:textId="13262868" w:rsidR="00A74165" w:rsidRPr="00F36AAA" w:rsidRDefault="00A74165" w:rsidP="00F36AAA">
      <w:pPr>
        <w:pStyle w:val="2Sectionheading"/>
        <w:rPr>
          <w:szCs w:val="24"/>
        </w:rPr>
      </w:pPr>
      <w:bookmarkStart w:id="83" w:name="_Toc234319633"/>
      <w:r w:rsidRPr="008F4FDD">
        <w:lastRenderedPageBreak/>
        <w:t>3.9 Data Analysis</w:t>
      </w:r>
      <w:bookmarkEnd w:id="81"/>
      <w:bookmarkEnd w:id="83"/>
      <w:r w:rsidRPr="008F4FDD">
        <w:t xml:space="preserve"> </w:t>
      </w:r>
    </w:p>
    <w:p w14:paraId="27ED4D4C" w14:textId="22B48973" w:rsidR="00A74165" w:rsidRPr="008F4FDD" w:rsidRDefault="00D72CE4" w:rsidP="004B4162">
      <w:pPr>
        <w:pStyle w:val="Uni-Normal"/>
        <w:jc w:val="both"/>
        <w:rPr>
          <w:szCs w:val="24"/>
        </w:rPr>
      </w:pPr>
      <w:r w:rsidRPr="008F4FDD">
        <w:rPr>
          <w:szCs w:val="24"/>
        </w:rPr>
        <w:t xml:space="preserve">A survey was used to efficiently collect data from a large group of employees and identify patterns within the dataset (Kotronoulas et al., 2023). The survey was designed using Microsoft Forms, enabling responses to be captured securely and anonymously (Patrick, 2020). </w:t>
      </w:r>
      <w:r w:rsidR="00A74165" w:rsidRPr="008F4FDD">
        <w:rPr>
          <w:szCs w:val="24"/>
        </w:rPr>
        <w:t>The survey included a combination of closed</w:t>
      </w:r>
      <w:r w:rsidR="00A74165" w:rsidRPr="008F4FDD">
        <w:rPr>
          <w:szCs w:val="24"/>
        </w:rPr>
        <w:noBreakHyphen/>
        <w:t>ended questions, five</w:t>
      </w:r>
      <w:r w:rsidR="00A74165" w:rsidRPr="008F4FDD">
        <w:rPr>
          <w:szCs w:val="24"/>
        </w:rPr>
        <w:noBreakHyphen/>
        <w:t xml:space="preserve">point Likert scale statements and </w:t>
      </w:r>
      <w:r w:rsidR="00A52045">
        <w:rPr>
          <w:szCs w:val="24"/>
        </w:rPr>
        <w:t>Net Promoter Scores (</w:t>
      </w:r>
      <w:r w:rsidR="00A74165" w:rsidRPr="008F4FDD">
        <w:rPr>
          <w:szCs w:val="24"/>
        </w:rPr>
        <w:t>NPS</w:t>
      </w:r>
      <w:r w:rsidR="00A52045">
        <w:rPr>
          <w:szCs w:val="24"/>
        </w:rPr>
        <w:t>)</w:t>
      </w:r>
      <w:r w:rsidR="00A74165" w:rsidRPr="008F4FDD">
        <w:rPr>
          <w:szCs w:val="24"/>
        </w:rPr>
        <w:t xml:space="preserve"> questions. Likert scale items were used to measure levels of agreement with statements relating to </w:t>
      </w:r>
      <w:r w:rsidR="009F304D" w:rsidRPr="008F4FDD">
        <w:rPr>
          <w:szCs w:val="24"/>
        </w:rPr>
        <w:t>TM</w:t>
      </w:r>
      <w:r w:rsidR="00A74165" w:rsidRPr="008F4FDD">
        <w:rPr>
          <w:szCs w:val="24"/>
        </w:rPr>
        <w:t>, development opportunities, digital support, engagement and retention. Responses to these items were automatically grouped within Microsoft Forms and presented as percentages, allowing for an initial descriptive analysis of response patterns across the sample.</w:t>
      </w:r>
    </w:p>
    <w:p w14:paraId="55BB2E35" w14:textId="090938C9" w:rsidR="00A74165" w:rsidRPr="008F4FDD" w:rsidRDefault="00A74165" w:rsidP="004B4162">
      <w:pPr>
        <w:pStyle w:val="Uni-Normal"/>
        <w:jc w:val="both"/>
        <w:rPr>
          <w:szCs w:val="24"/>
        </w:rPr>
      </w:pPr>
      <w:r w:rsidRPr="008F4FDD">
        <w:rPr>
          <w:szCs w:val="24"/>
        </w:rPr>
        <w:t xml:space="preserve">Following survey closure, all response data were exported from Microsoft Forms into Microsoft Excel for storage and further analysis (Stevens, 2025). Prior to analysis, the dataset was reviewed to ensure eligibility and data quality. One response was excluded from the final dataset, as the participant indicated that they were not eligible to take part in the study. All remaining responses were complete and suitable for analysis. Excel was used to calculate mean scores for the </w:t>
      </w:r>
      <w:r w:rsidR="00A27AD0" w:rsidRPr="008F4FDD">
        <w:rPr>
          <w:szCs w:val="24"/>
        </w:rPr>
        <w:t>NPS</w:t>
      </w:r>
      <w:r w:rsidRPr="008F4FDD">
        <w:rPr>
          <w:szCs w:val="24"/>
        </w:rPr>
        <w:t xml:space="preserve"> questions, enabling assessment of respondents’ willingness to recommend </w:t>
      </w:r>
      <w:r w:rsidR="00865CD5" w:rsidRPr="008F4FDD">
        <w:rPr>
          <w:szCs w:val="24"/>
        </w:rPr>
        <w:t xml:space="preserve">NCC </w:t>
      </w:r>
      <w:r w:rsidRPr="008F4FDD">
        <w:rPr>
          <w:szCs w:val="24"/>
        </w:rPr>
        <w:t xml:space="preserve">as an employer and how they rate </w:t>
      </w:r>
      <w:r w:rsidR="00A2331E" w:rsidRPr="008F4FDD">
        <w:rPr>
          <w:szCs w:val="24"/>
        </w:rPr>
        <w:t>NCC’s overall approach to TM</w:t>
      </w:r>
      <w:r w:rsidRPr="008F4FDD">
        <w:rPr>
          <w:szCs w:val="24"/>
        </w:rPr>
        <w:t xml:space="preserve">. </w:t>
      </w:r>
    </w:p>
    <w:p w14:paraId="08E879AE" w14:textId="28EF1F84" w:rsidR="00A74165" w:rsidRPr="008F4FDD" w:rsidRDefault="00A74165" w:rsidP="004B4162">
      <w:pPr>
        <w:pStyle w:val="Uni-Normal"/>
        <w:jc w:val="both"/>
        <w:rPr>
          <w:szCs w:val="24"/>
        </w:rPr>
      </w:pPr>
      <w:r w:rsidRPr="008F4FDD">
        <w:rPr>
          <w:szCs w:val="24"/>
        </w:rPr>
        <w:t>Open</w:t>
      </w:r>
      <w:r w:rsidRPr="008F4FDD">
        <w:rPr>
          <w:szCs w:val="24"/>
        </w:rPr>
        <w:noBreakHyphen/>
        <w:t xml:space="preserve">ended survey questions were analysed separately to provide additional context to the quantitative findings. While the study remained primarily quantitative, the inclusion of qualitative responses enabled limited triangulation at the level of data interpretation, allowing patterns identified in the survey data to be examined alongside participants’ explanatory commentary (Denzin </w:t>
      </w:r>
      <w:r w:rsidR="003607B1" w:rsidRPr="008F4FDD">
        <w:rPr>
          <w:szCs w:val="24"/>
        </w:rPr>
        <w:t>and</w:t>
      </w:r>
      <w:r w:rsidRPr="008F4FDD">
        <w:rPr>
          <w:szCs w:val="24"/>
        </w:rPr>
        <w:t xml:space="preserve"> Lincoln, 2005; Creswell, 2014). </w:t>
      </w:r>
      <w:r w:rsidR="009A79F3" w:rsidRPr="008F4FDD">
        <w:rPr>
          <w:szCs w:val="24"/>
        </w:rPr>
        <w:t>A six-stage thematic analysis approach, as developed by Braun and Clarke</w:t>
      </w:r>
      <w:r w:rsidR="009A79F3" w:rsidRPr="002D7FDA">
        <w:rPr>
          <w:szCs w:val="24"/>
        </w:rPr>
        <w:t xml:space="preserve"> (2006)</w:t>
      </w:r>
      <w:r w:rsidR="00CC4BA8" w:rsidRPr="002D7FDA">
        <w:rPr>
          <w:szCs w:val="24"/>
        </w:rPr>
        <w:t xml:space="preserve"> (see </w:t>
      </w:r>
      <w:r w:rsidR="00BD6DBF" w:rsidRPr="002D7FDA">
        <w:rPr>
          <w:szCs w:val="24"/>
        </w:rPr>
        <w:t>F</w:t>
      </w:r>
      <w:r w:rsidR="00CC4BA8" w:rsidRPr="002D7FDA">
        <w:rPr>
          <w:szCs w:val="24"/>
        </w:rPr>
        <w:t>igure 3.1)</w:t>
      </w:r>
      <w:r w:rsidR="009A79F3" w:rsidRPr="002D7FDA">
        <w:rPr>
          <w:szCs w:val="24"/>
        </w:rPr>
        <w:t>, was</w:t>
      </w:r>
      <w:r w:rsidR="009A79F3" w:rsidRPr="008F4FDD">
        <w:rPr>
          <w:szCs w:val="24"/>
        </w:rPr>
        <w:t xml:space="preserve"> used to guide the analysis of qualitative data. </w:t>
      </w:r>
      <w:r w:rsidRPr="008F4FDD">
        <w:rPr>
          <w:szCs w:val="24"/>
        </w:rPr>
        <w:t>Responses were first reviewed to support familiarisation with the data, including the use of a Microsoft Forms word cloud to provide an initial visual overview of commonly used terms.</w:t>
      </w:r>
    </w:p>
    <w:p w14:paraId="358D2601" w14:textId="000314F7" w:rsidR="003E21B0" w:rsidRPr="008F4FDD" w:rsidRDefault="00A74165" w:rsidP="003E21B0">
      <w:pPr>
        <w:pStyle w:val="Uni-Normal"/>
        <w:keepNext/>
        <w:jc w:val="both"/>
        <w:rPr>
          <w:szCs w:val="24"/>
        </w:rPr>
      </w:pPr>
      <w:r w:rsidRPr="008F4FDD">
        <w:rPr>
          <w:szCs w:val="24"/>
        </w:rPr>
        <w:t>All open-ended responses were then exported from Microsoft Forms and imported into NVivo to support systematic qualitative analysis. NVivo was used to generate initial codes inductively, organise and group recurring issues and support the development and review of candidate themes. Interpretation and theme development remained researcher</w:t>
      </w:r>
      <w:r w:rsidRPr="008F4FDD">
        <w:rPr>
          <w:szCs w:val="24"/>
        </w:rPr>
        <w:noBreakHyphen/>
        <w:t xml:space="preserve">led throughout the process, with NVivo used as an organising and retrieval tool rather than as an analytical determinant (Mortelmans, 2025). </w:t>
      </w:r>
      <w:r w:rsidR="003E21B0" w:rsidRPr="008F4FDD">
        <w:rPr>
          <w:szCs w:val="24"/>
        </w:rPr>
        <w:t xml:space="preserve">In line with ethical guidance on protecting participant confidentiality in </w:t>
      </w:r>
      <w:r w:rsidR="003E21B0" w:rsidRPr="008F4FDD">
        <w:rPr>
          <w:szCs w:val="24"/>
        </w:rPr>
        <w:lastRenderedPageBreak/>
        <w:t>qualitative research, all open-ended responses were anonymised and assigned unique participant codes (e.g. P1), with “P” representing participant (UK Statistics Authority, 2022). The findings from this analysis are presented further in Chapter 4.</w:t>
      </w:r>
    </w:p>
    <w:p w14:paraId="69CB5A0C" w14:textId="2B630C14" w:rsidR="00CD23A3" w:rsidRPr="008F4FDD" w:rsidRDefault="00A74165" w:rsidP="004B4162">
      <w:pPr>
        <w:pStyle w:val="Uni-Normal"/>
        <w:keepNext/>
        <w:jc w:val="both"/>
        <w:rPr>
          <w:szCs w:val="24"/>
        </w:rPr>
      </w:pPr>
      <w:r w:rsidRPr="008F4FDD">
        <w:rPr>
          <w:noProof/>
          <w:szCs w:val="24"/>
        </w:rPr>
        <w:drawing>
          <wp:inline distT="0" distB="0" distL="0" distR="0" wp14:anchorId="6C21C3DB" wp14:editId="6663A6F6">
            <wp:extent cx="5731510" cy="2664460"/>
            <wp:effectExtent l="0" t="0" r="2540" b="0"/>
            <wp:docPr id="1227687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664460"/>
                    </a:xfrm>
                    <a:prstGeom prst="rect">
                      <a:avLst/>
                    </a:prstGeom>
                    <a:noFill/>
                    <a:ln>
                      <a:noFill/>
                    </a:ln>
                  </pic:spPr>
                </pic:pic>
              </a:graphicData>
            </a:graphic>
          </wp:inline>
        </w:drawing>
      </w:r>
    </w:p>
    <w:p w14:paraId="1E7027AB" w14:textId="347BD5B7" w:rsidR="00CD23A3" w:rsidRPr="008F4FDD" w:rsidRDefault="00CD23A3" w:rsidP="004B4162">
      <w:pPr>
        <w:pStyle w:val="Caption"/>
        <w:spacing w:line="360" w:lineRule="auto"/>
        <w:jc w:val="both"/>
        <w:rPr>
          <w:sz w:val="20"/>
          <w:szCs w:val="20"/>
        </w:rPr>
      </w:pPr>
      <w:bookmarkStart w:id="84" w:name="_Toc234320776"/>
      <w:r w:rsidRPr="008F4FDD">
        <w:rPr>
          <w:sz w:val="20"/>
          <w:szCs w:val="20"/>
        </w:rPr>
        <w:t xml:space="preserve">Figure </w:t>
      </w:r>
      <w:r w:rsidR="00812D78" w:rsidRPr="008F4FDD">
        <w:rPr>
          <w:sz w:val="20"/>
          <w:szCs w:val="20"/>
        </w:rPr>
        <w:t>3.1</w:t>
      </w:r>
      <w:r w:rsidR="008A703A" w:rsidRPr="008F4FDD">
        <w:rPr>
          <w:sz w:val="20"/>
          <w:szCs w:val="20"/>
        </w:rPr>
        <w:t>:</w:t>
      </w:r>
      <w:r w:rsidRPr="008F4FDD">
        <w:rPr>
          <w:sz w:val="20"/>
          <w:szCs w:val="20"/>
        </w:rPr>
        <w:t xml:space="preserve"> </w:t>
      </w:r>
      <w:r w:rsidR="00A52045" w:rsidRPr="00A52045">
        <w:rPr>
          <w:sz w:val="20"/>
          <w:szCs w:val="20"/>
        </w:rPr>
        <w:t>Six-Phase Thematic Analysis</w:t>
      </w:r>
      <w:r w:rsidR="00A52045">
        <w:rPr>
          <w:sz w:val="20"/>
          <w:szCs w:val="20"/>
        </w:rPr>
        <w:t xml:space="preserve"> </w:t>
      </w:r>
      <w:r w:rsidR="00231AA7" w:rsidRPr="008F4FDD">
        <w:rPr>
          <w:sz w:val="20"/>
          <w:szCs w:val="20"/>
        </w:rPr>
        <w:t>(Adapted from Braun and Clarke, 2006)</w:t>
      </w:r>
      <w:bookmarkEnd w:id="84"/>
    </w:p>
    <w:p w14:paraId="50E311C3" w14:textId="77777777" w:rsidR="00A74165" w:rsidRPr="008F4FDD" w:rsidRDefault="00A74165" w:rsidP="004B4162">
      <w:pPr>
        <w:pStyle w:val="2Sectionheading"/>
        <w:spacing w:line="360" w:lineRule="auto"/>
        <w:jc w:val="both"/>
        <w:rPr>
          <w:rFonts w:cs="Times New Roman"/>
          <w:szCs w:val="24"/>
        </w:rPr>
      </w:pPr>
      <w:bookmarkStart w:id="85" w:name="_Toc234319634"/>
      <w:r w:rsidRPr="008F4FDD">
        <w:rPr>
          <w:rFonts w:cs="Times New Roman"/>
          <w:szCs w:val="24"/>
        </w:rPr>
        <w:t>3.10 Validity and Reliability</w:t>
      </w:r>
      <w:bookmarkEnd w:id="82"/>
      <w:bookmarkEnd w:id="85"/>
    </w:p>
    <w:p w14:paraId="322D387D" w14:textId="41294CEA" w:rsidR="00A74165" w:rsidRPr="008F4FDD" w:rsidRDefault="00A74165" w:rsidP="004B4162">
      <w:pPr>
        <w:pStyle w:val="Uni-Normal"/>
        <w:jc w:val="both"/>
        <w:rPr>
          <w:szCs w:val="24"/>
        </w:rPr>
      </w:pPr>
      <w:r w:rsidRPr="008F4FDD">
        <w:rPr>
          <w:szCs w:val="24"/>
        </w:rPr>
        <w:t xml:space="preserve">A pilot survey was conducted to assess the validity and reliability of the </w:t>
      </w:r>
      <w:r w:rsidR="00AE227D" w:rsidRPr="008F4FDD">
        <w:rPr>
          <w:szCs w:val="24"/>
        </w:rPr>
        <w:t>survey</w:t>
      </w:r>
      <w:r w:rsidRPr="008F4FDD">
        <w:rPr>
          <w:szCs w:val="24"/>
        </w:rPr>
        <w:t xml:space="preserve"> prior to full distribution</w:t>
      </w:r>
      <w:r w:rsidR="00D72CE4" w:rsidRPr="008F4FDD">
        <w:rPr>
          <w:szCs w:val="24"/>
        </w:rPr>
        <w:t>. Questions were developed from themes identified in the literature to support content validity, while pilot testing helped identify unclear or ambiguous wording and ensured the survey measured the intended concepts</w:t>
      </w:r>
      <w:r w:rsidRPr="008F4FDD">
        <w:rPr>
          <w:szCs w:val="24"/>
        </w:rPr>
        <w:t xml:space="preserve"> (Fisher </w:t>
      </w:r>
      <w:r w:rsidR="003607B1" w:rsidRPr="008F4FDD">
        <w:rPr>
          <w:szCs w:val="24"/>
        </w:rPr>
        <w:t>and</w:t>
      </w:r>
      <w:r w:rsidRPr="008F4FDD">
        <w:rPr>
          <w:szCs w:val="24"/>
        </w:rPr>
        <w:t xml:space="preserve"> Buglear, 2010). </w:t>
      </w:r>
    </w:p>
    <w:p w14:paraId="0BDCD44D" w14:textId="62A4D913" w:rsidR="00A74165" w:rsidRPr="008F4FDD" w:rsidRDefault="00D72CE4" w:rsidP="004B4162">
      <w:pPr>
        <w:pStyle w:val="Uni-Normal"/>
        <w:jc w:val="both"/>
        <w:rPr>
          <w:szCs w:val="24"/>
        </w:rPr>
      </w:pPr>
      <w:r w:rsidRPr="008F4FDD">
        <w:rPr>
          <w:szCs w:val="24"/>
        </w:rPr>
        <w:t xml:space="preserve">To strengthen face validity, the survey was reviewed by colleagues, HR staff and the dissertation supervisor and feedback was incorporated before distribution. </w:t>
      </w:r>
      <w:r w:rsidR="00A74165" w:rsidRPr="008F4FDD">
        <w:rPr>
          <w:szCs w:val="24"/>
        </w:rPr>
        <w:t>The pilot highlighted that minor wording adjustments were required to improve clarity and reduce the risk of respondent misinterpretation. For example, in the career development statement in Question 8, the wording was revised from “I have clear opportunities for career development within the Council” to “There are clear opportunities for my career development within the Council”. This change was made to reduce potential ambiguity and self</w:t>
      </w:r>
      <w:r w:rsidR="00A74165" w:rsidRPr="008F4FDD">
        <w:rPr>
          <w:szCs w:val="24"/>
        </w:rPr>
        <w:noBreakHyphen/>
        <w:t xml:space="preserve">attribution bias, ensuring the statement more accurately captured perceptions of organisational provision rather than personal confidence. Pilot feedback also indicated that respondents may hold differing understandings of the term </w:t>
      </w:r>
      <w:r w:rsidR="009F304D" w:rsidRPr="008F4FDD">
        <w:rPr>
          <w:szCs w:val="24"/>
        </w:rPr>
        <w:t>TM</w:t>
      </w:r>
      <w:r w:rsidR="00A74165" w:rsidRPr="008F4FDD">
        <w:rPr>
          <w:szCs w:val="24"/>
        </w:rPr>
        <w:t xml:space="preserve">. To address this limitation and strengthen content validity, a definition of </w:t>
      </w:r>
      <w:r w:rsidR="009F304D" w:rsidRPr="008F4FDD">
        <w:rPr>
          <w:szCs w:val="24"/>
        </w:rPr>
        <w:t>TM</w:t>
      </w:r>
      <w:r w:rsidR="00A74165" w:rsidRPr="008F4FDD">
        <w:rPr>
          <w:szCs w:val="24"/>
        </w:rPr>
        <w:t xml:space="preserve"> was added at the beginning of the survey.</w:t>
      </w:r>
    </w:p>
    <w:p w14:paraId="31C94CFD" w14:textId="4C8916E0" w:rsidR="00A74165" w:rsidRPr="008F4FDD" w:rsidRDefault="00A74165" w:rsidP="004B4162">
      <w:pPr>
        <w:pStyle w:val="Uni-Normal"/>
        <w:jc w:val="both"/>
        <w:rPr>
          <w:szCs w:val="24"/>
        </w:rPr>
      </w:pPr>
      <w:r w:rsidRPr="008F4FDD">
        <w:rPr>
          <w:szCs w:val="24"/>
        </w:rPr>
        <w:lastRenderedPageBreak/>
        <w:t>This external review helped minimise the risk of unintentional researcher bias, which can affect the accuracy and credibility of research instruments. Ensuring validity also allowed the researcher to confirm that the survey accurately captured information across the defined cohort, while pilot testing contributed to reliability by helping ensure that the instrument would produce stable and consistent results</w:t>
      </w:r>
      <w:r w:rsidR="00541A25" w:rsidRPr="008F4FDD">
        <w:rPr>
          <w:szCs w:val="24"/>
        </w:rPr>
        <w:t xml:space="preserve">. </w:t>
      </w:r>
      <w:r w:rsidRPr="008F4FDD">
        <w:rPr>
          <w:szCs w:val="24"/>
        </w:rPr>
        <w:t>Despite these measures, some threats to reliability remain. As the study relied on self</w:t>
      </w:r>
      <w:r w:rsidRPr="008F4FDD">
        <w:rPr>
          <w:szCs w:val="24"/>
        </w:rPr>
        <w:noBreakHyphen/>
        <w:t>reported data, responses may be influenced by recall error and response behaviour, which is a recognised limitation of survey research (Groves et al., 2009).</w:t>
      </w:r>
    </w:p>
    <w:p w14:paraId="129B5689" w14:textId="45613336" w:rsidR="00A74165" w:rsidRPr="008F4FDD" w:rsidRDefault="00A74165" w:rsidP="004B4162">
      <w:pPr>
        <w:pStyle w:val="Uni-Normal"/>
        <w:jc w:val="both"/>
        <w:rPr>
          <w:szCs w:val="24"/>
        </w:rPr>
      </w:pPr>
      <w:r w:rsidRPr="008F4FDD">
        <w:rPr>
          <w:szCs w:val="24"/>
        </w:rPr>
        <w:t>A key limitation is that the survey was designed specifically for</w:t>
      </w:r>
      <w:r w:rsidR="00865CD5" w:rsidRPr="008F4FDD">
        <w:rPr>
          <w:szCs w:val="24"/>
        </w:rPr>
        <w:t xml:space="preserve"> NCC</w:t>
      </w:r>
      <w:r w:rsidRPr="008F4FDD">
        <w:rPr>
          <w:szCs w:val="24"/>
        </w:rPr>
        <w:t xml:space="preserve">. As many </w:t>
      </w:r>
      <w:r w:rsidR="00AE227D" w:rsidRPr="008F4FDD">
        <w:rPr>
          <w:szCs w:val="24"/>
        </w:rPr>
        <w:t xml:space="preserve">surveys </w:t>
      </w:r>
      <w:r w:rsidRPr="008F4FDD">
        <w:rPr>
          <w:szCs w:val="24"/>
        </w:rPr>
        <w:t>are context</w:t>
      </w:r>
      <w:r w:rsidRPr="008F4FDD">
        <w:rPr>
          <w:szCs w:val="24"/>
        </w:rPr>
        <w:noBreakHyphen/>
        <w:t xml:space="preserve">bound rather than generalisable instruments (Cobern </w:t>
      </w:r>
      <w:r w:rsidR="003607B1" w:rsidRPr="008F4FDD">
        <w:rPr>
          <w:szCs w:val="24"/>
        </w:rPr>
        <w:t>and</w:t>
      </w:r>
      <w:r w:rsidRPr="008F4FDD">
        <w:rPr>
          <w:szCs w:val="24"/>
        </w:rPr>
        <w:t xml:space="preserve"> Adams, 2020), its validity cannot be assumed in other councils or sectors. </w:t>
      </w:r>
      <w:r w:rsidR="00D72CE4" w:rsidRPr="008F4FDD">
        <w:rPr>
          <w:szCs w:val="24"/>
        </w:rPr>
        <w:t>Time constraints also prevented a wider pilot, further limiting generalisability, although this remains appropriate for a single case study.</w:t>
      </w:r>
    </w:p>
    <w:p w14:paraId="6C538A54" w14:textId="77777777" w:rsidR="00A74165" w:rsidRPr="008F4FDD" w:rsidRDefault="00A74165" w:rsidP="004B4162">
      <w:pPr>
        <w:pStyle w:val="2Sectionheading"/>
        <w:spacing w:line="360" w:lineRule="auto"/>
        <w:jc w:val="both"/>
        <w:rPr>
          <w:rFonts w:cs="Times New Roman"/>
          <w:szCs w:val="24"/>
        </w:rPr>
      </w:pPr>
      <w:bookmarkStart w:id="86" w:name="_Toc224743109"/>
      <w:bookmarkStart w:id="87" w:name="_Toc234319635"/>
      <w:r w:rsidRPr="008F4FDD">
        <w:rPr>
          <w:rFonts w:cs="Times New Roman"/>
          <w:szCs w:val="24"/>
        </w:rPr>
        <w:t>3.11 Ethical Considerations</w:t>
      </w:r>
      <w:bookmarkEnd w:id="86"/>
      <w:bookmarkEnd w:id="87"/>
    </w:p>
    <w:p w14:paraId="7B572646" w14:textId="0C5C532E" w:rsidR="007D5162" w:rsidRDefault="00A74165" w:rsidP="004B4162">
      <w:pPr>
        <w:pStyle w:val="Uni-Normal"/>
        <w:jc w:val="both"/>
        <w:rPr>
          <w:szCs w:val="24"/>
        </w:rPr>
      </w:pPr>
      <w:r w:rsidRPr="008F4FDD">
        <w:rPr>
          <w:szCs w:val="24"/>
        </w:rPr>
        <w:t xml:space="preserve">This study adhered to the University of Wales Trinity Saint David Research Ethics and Integrity Code of Practice (2022), with full ethical approval granted through the PG2 E1 process prior to data collection </w:t>
      </w:r>
      <w:r w:rsidR="004C58F2">
        <w:rPr>
          <w:szCs w:val="24"/>
        </w:rPr>
        <w:t xml:space="preserve">(see </w:t>
      </w:r>
      <w:r w:rsidRPr="008F4FDD">
        <w:rPr>
          <w:szCs w:val="24"/>
        </w:rPr>
        <w:t xml:space="preserve">Appendix </w:t>
      </w:r>
      <w:r w:rsidR="006752DD" w:rsidRPr="008F4FDD">
        <w:rPr>
          <w:szCs w:val="24"/>
        </w:rPr>
        <w:t>1</w:t>
      </w:r>
      <w:r w:rsidRPr="008F4FDD">
        <w:rPr>
          <w:szCs w:val="24"/>
        </w:rPr>
        <w:t xml:space="preserve">). Organisational permission was also obtained from the Service Manager for Human Resources to recruit </w:t>
      </w:r>
      <w:r w:rsidR="0017563B" w:rsidRPr="008F4FDD">
        <w:rPr>
          <w:szCs w:val="24"/>
        </w:rPr>
        <w:t>Gen Z</w:t>
      </w:r>
      <w:r w:rsidRPr="008F4FDD">
        <w:rPr>
          <w:szCs w:val="24"/>
        </w:rPr>
        <w:t xml:space="preserve"> employees within </w:t>
      </w:r>
      <w:r w:rsidR="00865CD5" w:rsidRPr="008F4FDD">
        <w:rPr>
          <w:szCs w:val="24"/>
        </w:rPr>
        <w:t>NCC</w:t>
      </w:r>
      <w:r w:rsidRPr="008F4FDD">
        <w:rPr>
          <w:szCs w:val="24"/>
        </w:rPr>
        <w:t xml:space="preserve">. Participants received clear information outlining the purpose of the study, the voluntary nature of their involvement, how their data would be used and their right to withdraw at any time (UK Research and Innovation, 2024). Informed consent was obtained electronically before the survey began, reflecting Bryman’s (2016) principles of ethical participation and protection. </w:t>
      </w:r>
    </w:p>
    <w:p w14:paraId="01A79B37" w14:textId="77777777" w:rsidR="007D5162" w:rsidRDefault="007D5162" w:rsidP="004B4162">
      <w:pPr>
        <w:pStyle w:val="Uni-Normal"/>
        <w:jc w:val="both"/>
        <w:rPr>
          <w:szCs w:val="24"/>
        </w:rPr>
      </w:pPr>
      <w:r w:rsidRPr="007D5162">
        <w:rPr>
          <w:szCs w:val="24"/>
        </w:rPr>
        <w:t>To protect participant anonymity, the survey design intentionally limited the collection of personal information. Respondents were not asked to provide names, contact details or any other identifying information. Age category was the only demographic variable collected and was used solely to confirm eligibility for participation.</w:t>
      </w:r>
      <w:r>
        <w:rPr>
          <w:szCs w:val="24"/>
        </w:rPr>
        <w:t xml:space="preserve"> </w:t>
      </w:r>
      <w:r w:rsidR="000800DA" w:rsidRPr="008F4FDD">
        <w:rPr>
          <w:szCs w:val="24"/>
        </w:rPr>
        <w:t>This is consistent</w:t>
      </w:r>
      <w:r w:rsidR="00A74165" w:rsidRPr="008F4FDD">
        <w:rPr>
          <w:szCs w:val="24"/>
        </w:rPr>
        <w:t xml:space="preserve"> with Fleming and Zegwaard’s (2018) emphasis on limiting personal data collection, ensuring anonymity and protecting human participants from harm. </w:t>
      </w:r>
    </w:p>
    <w:p w14:paraId="5BEE9A12" w14:textId="7A5DF5B2" w:rsidR="00A74165" w:rsidRPr="008F4FDD" w:rsidRDefault="00A74165" w:rsidP="004B4162">
      <w:pPr>
        <w:pStyle w:val="Uni-Normal"/>
        <w:jc w:val="both"/>
        <w:rPr>
          <w:szCs w:val="24"/>
        </w:rPr>
      </w:pPr>
      <w:r w:rsidRPr="008F4FDD">
        <w:rPr>
          <w:szCs w:val="24"/>
        </w:rPr>
        <w:t xml:space="preserve">As the researcher is employed within </w:t>
      </w:r>
      <w:r w:rsidR="00865CD5" w:rsidRPr="008F4FDD">
        <w:rPr>
          <w:szCs w:val="24"/>
        </w:rPr>
        <w:t>NCC</w:t>
      </w:r>
      <w:r w:rsidRPr="008F4FDD">
        <w:rPr>
          <w:szCs w:val="24"/>
        </w:rPr>
        <w:t xml:space="preserve">, the study also acknowledged the ethical considerations associated with insider research. These include the possibility of implicit coercion, a desire for positive outcomes and the risk of taking organisational norms for granted, as highlighted by Fleming and Zegwaard (2018). These concerns were addressed by ensuring </w:t>
      </w:r>
      <w:r w:rsidRPr="008F4FDD">
        <w:rPr>
          <w:szCs w:val="24"/>
        </w:rPr>
        <w:lastRenderedPageBreak/>
        <w:t>full anonymity for participants, making participation entirely voluntary and handling data independently to minimise the potential for bias.</w:t>
      </w:r>
    </w:p>
    <w:p w14:paraId="6B99918F" w14:textId="77777777" w:rsidR="00A74165" w:rsidRPr="008F4FDD" w:rsidRDefault="00A74165" w:rsidP="004B4162">
      <w:pPr>
        <w:pStyle w:val="2Sectionheading"/>
        <w:spacing w:line="360" w:lineRule="auto"/>
        <w:jc w:val="both"/>
        <w:rPr>
          <w:rFonts w:cs="Times New Roman"/>
          <w:szCs w:val="24"/>
        </w:rPr>
      </w:pPr>
      <w:bookmarkStart w:id="88" w:name="_Toc224743110"/>
      <w:bookmarkStart w:id="89" w:name="_Toc234319636"/>
      <w:r w:rsidRPr="008F4FDD">
        <w:rPr>
          <w:rFonts w:cs="Times New Roman"/>
          <w:szCs w:val="24"/>
        </w:rPr>
        <w:t>3.12 Research Limitations</w:t>
      </w:r>
      <w:bookmarkEnd w:id="88"/>
      <w:bookmarkEnd w:id="89"/>
      <w:r w:rsidRPr="008F4FDD">
        <w:rPr>
          <w:rFonts w:cs="Times New Roman"/>
          <w:szCs w:val="24"/>
        </w:rPr>
        <w:t xml:space="preserve"> </w:t>
      </w:r>
    </w:p>
    <w:p w14:paraId="7D71FFCD" w14:textId="79A335FE" w:rsidR="00A74165" w:rsidRPr="008F4FDD" w:rsidRDefault="00A74165" w:rsidP="004B4162">
      <w:pPr>
        <w:pStyle w:val="Uni-Normal"/>
        <w:jc w:val="both"/>
        <w:rPr>
          <w:szCs w:val="24"/>
        </w:rPr>
      </w:pPr>
      <w:bookmarkStart w:id="90" w:name="_Toc224743111"/>
      <w:bookmarkEnd w:id="65"/>
      <w:r w:rsidRPr="008F4FDD">
        <w:rPr>
          <w:szCs w:val="24"/>
        </w:rPr>
        <w:t>This study has several limitations that should be acknowledged. While steps were taken to strengthen validity and reliability, as outlined in Section 3.10, these measures do not fully remove limitations that may influence how the findings are interpreted</w:t>
      </w:r>
      <w:r w:rsidRPr="008F4FDD">
        <w:rPr>
          <w:rFonts w:eastAsia="Times New Roman"/>
          <w:szCs w:val="24"/>
          <w:lang w:eastAsia="en-GB"/>
        </w:rPr>
        <w:t xml:space="preserve">. </w:t>
      </w:r>
      <w:r w:rsidRPr="008F4FDD">
        <w:rPr>
          <w:szCs w:val="24"/>
        </w:rPr>
        <w:t>While</w:t>
      </w:r>
      <w:r w:rsidR="008A703A" w:rsidRPr="008F4FDD">
        <w:rPr>
          <w:szCs w:val="24"/>
        </w:rPr>
        <w:t xml:space="preserve"> </w:t>
      </w:r>
      <w:r w:rsidRPr="008F4FDD">
        <w:rPr>
          <w:szCs w:val="24"/>
        </w:rPr>
        <w:t>case studies offer rich contextual insight, insider case study research also presents limitations. Fleming and Zegwaard (2018) note that researching participants within this context can lead to implicit coercion and response effects arising from existing relationships and power dynamics, despite assurances of anonymity. The quantitative design further limits the depth of insight, as survey methods are effective for identifying patterns and trends but provide limited opportunity to explore the underlying reasons for participants’ responses (Creswell, 2009).</w:t>
      </w:r>
    </w:p>
    <w:p w14:paraId="1A7BE5C9" w14:textId="1596CBE8" w:rsidR="00ED69CB" w:rsidRPr="008F4FDD" w:rsidRDefault="00A74165" w:rsidP="004B4162">
      <w:pPr>
        <w:pStyle w:val="Uni-Normal"/>
        <w:jc w:val="both"/>
        <w:rPr>
          <w:szCs w:val="24"/>
        </w:rPr>
      </w:pPr>
      <w:r w:rsidRPr="008F4FDD">
        <w:rPr>
          <w:szCs w:val="24"/>
        </w:rPr>
        <w:t>In addition, reliance on self</w:t>
      </w:r>
      <w:r w:rsidRPr="008F4FDD">
        <w:rPr>
          <w:szCs w:val="24"/>
        </w:rPr>
        <w:noBreakHyphen/>
        <w:t xml:space="preserve">reported survey data means responses may be shaped by individual interpretation and subjective judgement, which can affect data accuracy (Cobern </w:t>
      </w:r>
      <w:r w:rsidR="003607B1" w:rsidRPr="008F4FDD">
        <w:rPr>
          <w:szCs w:val="24"/>
        </w:rPr>
        <w:t>and</w:t>
      </w:r>
      <w:r w:rsidRPr="008F4FDD">
        <w:rPr>
          <w:szCs w:val="24"/>
        </w:rPr>
        <w:t xml:space="preserve"> Adams, 2020). The focus on a single local authority also limits how far the findings can be applied elsewhere, as organisational culture and management practices vary across councils. The findings should therefore be </w:t>
      </w:r>
      <w:r w:rsidR="000800DA" w:rsidRPr="008F4FDD">
        <w:rPr>
          <w:szCs w:val="24"/>
        </w:rPr>
        <w:t>viewed</w:t>
      </w:r>
      <w:r w:rsidRPr="008F4FDD">
        <w:rPr>
          <w:szCs w:val="24"/>
        </w:rPr>
        <w:t xml:space="preserve"> as context</w:t>
      </w:r>
      <w:r w:rsidRPr="008F4FDD">
        <w:rPr>
          <w:szCs w:val="24"/>
        </w:rPr>
        <w:noBreakHyphen/>
        <w:t xml:space="preserve">specific rather than broadly generalisable (Creswell, 2009). </w:t>
      </w:r>
      <w:r w:rsidR="001146F5" w:rsidRPr="008F4FDD">
        <w:rPr>
          <w:szCs w:val="24"/>
        </w:rPr>
        <w:t>If time constraints had not been a factor, a mixed methods design incorporating interviews or focus groups could have strengthened the study by offering richer contextual understanding. Time constraints also limited the scope of demographic data collected, meaning differences across other variables such as generation, gender, or job role were not explored. As a result, subgroup comparisons and statistical testing were not possible. Future research could adopt a mixed methods approach, incorporate a broader range of demographic variables</w:t>
      </w:r>
      <w:r w:rsidR="005437EC" w:rsidRPr="008F4FDD">
        <w:rPr>
          <w:szCs w:val="24"/>
        </w:rPr>
        <w:t xml:space="preserve"> </w:t>
      </w:r>
      <w:r w:rsidR="001146F5" w:rsidRPr="008F4FDD">
        <w:rPr>
          <w:szCs w:val="24"/>
        </w:rPr>
        <w:t>and extend the study across multiple departments to explore whether responses vary across different local government roles or authorities to assess the transferability of the findings.</w:t>
      </w:r>
    </w:p>
    <w:p w14:paraId="5D316F38" w14:textId="77777777" w:rsidR="00A74165" w:rsidRPr="008F4FDD" w:rsidRDefault="00A74165" w:rsidP="004B4162">
      <w:pPr>
        <w:pStyle w:val="2Sectionheading"/>
        <w:spacing w:line="360" w:lineRule="auto"/>
        <w:jc w:val="both"/>
        <w:rPr>
          <w:rFonts w:cs="Times New Roman"/>
          <w:szCs w:val="24"/>
        </w:rPr>
      </w:pPr>
      <w:bookmarkStart w:id="91" w:name="_Toc234319637"/>
      <w:r w:rsidRPr="008F4FDD">
        <w:rPr>
          <w:rFonts w:cs="Times New Roman"/>
          <w:szCs w:val="24"/>
        </w:rPr>
        <w:t>3.13 Chapter Summary</w:t>
      </w:r>
      <w:bookmarkEnd w:id="90"/>
      <w:bookmarkEnd w:id="91"/>
      <w:r w:rsidRPr="008F4FDD">
        <w:rPr>
          <w:rFonts w:cs="Times New Roman"/>
          <w:szCs w:val="24"/>
        </w:rPr>
        <w:t xml:space="preserve"> </w:t>
      </w:r>
    </w:p>
    <w:p w14:paraId="10CF20A2" w14:textId="77777777" w:rsidR="007158ED" w:rsidRPr="008F4FDD" w:rsidRDefault="00A74165" w:rsidP="00295B33">
      <w:pPr>
        <w:spacing w:line="360" w:lineRule="auto"/>
        <w:jc w:val="both"/>
        <w:rPr>
          <w:szCs w:val="24"/>
        </w:rPr>
      </w:pPr>
      <w:r w:rsidRPr="008F4FDD">
        <w:rPr>
          <w:szCs w:val="24"/>
        </w:rPr>
        <w:t xml:space="preserve">This chapter outlined the methodology used to examine Gen Z’s perceptions of </w:t>
      </w:r>
      <w:r w:rsidR="009F304D" w:rsidRPr="008F4FDD">
        <w:rPr>
          <w:szCs w:val="24"/>
        </w:rPr>
        <w:t>TM</w:t>
      </w:r>
      <w:r w:rsidRPr="008F4FDD">
        <w:rPr>
          <w:szCs w:val="24"/>
        </w:rPr>
        <w:t xml:space="preserve"> within </w:t>
      </w:r>
      <w:r w:rsidR="00865CD5" w:rsidRPr="008F4FDD">
        <w:rPr>
          <w:szCs w:val="24"/>
        </w:rPr>
        <w:t>NCC</w:t>
      </w:r>
      <w:r w:rsidRPr="008F4FDD">
        <w:rPr>
          <w:szCs w:val="24"/>
        </w:rPr>
        <w:t xml:space="preserve">. It justified the adoption of a positivist stance, a deductive </w:t>
      </w:r>
      <w:r w:rsidR="00353D6A" w:rsidRPr="008F4FDD">
        <w:rPr>
          <w:szCs w:val="24"/>
        </w:rPr>
        <w:t>approach and</w:t>
      </w:r>
      <w:r w:rsidRPr="008F4FDD">
        <w:rPr>
          <w:szCs w:val="24"/>
        </w:rPr>
        <w:t xml:space="preserve"> a quantitative case study design using a structured online survey. The chapter also detailed the sampling strategy, data collection and analysis procedures and ethical considerations, before </w:t>
      </w:r>
      <w:r w:rsidRPr="008F4FDD">
        <w:rPr>
          <w:szCs w:val="24"/>
        </w:rPr>
        <w:lastRenderedPageBreak/>
        <w:t>acknowledging key methodological limitations. The next chapter presents the analysis of findings, highlighting the main patterns emerging from the survey responses</w:t>
      </w:r>
      <w:r w:rsidR="00295B33" w:rsidRPr="008F4FDD">
        <w:rPr>
          <w:szCs w:val="24"/>
        </w:rPr>
        <w:t>.</w:t>
      </w:r>
    </w:p>
    <w:p w14:paraId="20258A3A" w14:textId="1EC4FC21" w:rsidR="006A5985" w:rsidRPr="00ED69CB" w:rsidRDefault="006A5985" w:rsidP="009D6FE0">
      <w:pPr>
        <w:pStyle w:val="1ChapterHeading"/>
        <w:pageBreakBefore/>
        <w:spacing w:line="360" w:lineRule="auto"/>
        <w:rPr>
          <w:szCs w:val="24"/>
        </w:rPr>
      </w:pPr>
      <w:bookmarkStart w:id="92" w:name="_Toc234319638"/>
      <w:r w:rsidRPr="00ED69CB">
        <w:rPr>
          <w:szCs w:val="24"/>
        </w:rPr>
        <w:lastRenderedPageBreak/>
        <w:t>CHAPTER 4</w:t>
      </w:r>
      <w:bookmarkEnd w:id="92"/>
    </w:p>
    <w:p w14:paraId="5B349A67" w14:textId="77777777" w:rsidR="006A5985" w:rsidRPr="00ED69CB" w:rsidRDefault="006A5985" w:rsidP="00F36AAA">
      <w:pPr>
        <w:pStyle w:val="1ChapterHeading"/>
        <w:spacing w:line="360" w:lineRule="auto"/>
        <w:rPr>
          <w:szCs w:val="24"/>
        </w:rPr>
      </w:pPr>
      <w:bookmarkStart w:id="93" w:name="_Toc234319639"/>
      <w:r w:rsidRPr="00ED69CB">
        <w:rPr>
          <w:szCs w:val="24"/>
        </w:rPr>
        <w:t>DATA ANALYSIS</w:t>
      </w:r>
      <w:bookmarkEnd w:id="93"/>
    </w:p>
    <w:p w14:paraId="0C143843" w14:textId="77777777" w:rsidR="006A5985" w:rsidRPr="00840C8E" w:rsidRDefault="006A5985" w:rsidP="00ED69CB">
      <w:pPr>
        <w:pStyle w:val="2Sectionheading"/>
        <w:spacing w:line="360" w:lineRule="auto"/>
        <w:rPr>
          <w:rFonts w:cs="Times New Roman"/>
          <w:szCs w:val="24"/>
        </w:rPr>
      </w:pPr>
      <w:bookmarkStart w:id="94" w:name="_Toc234319640"/>
      <w:r w:rsidRPr="00840C8E">
        <w:rPr>
          <w:rFonts w:cs="Times New Roman"/>
          <w:szCs w:val="24"/>
        </w:rPr>
        <w:t>4.1 Chapter Introduction</w:t>
      </w:r>
      <w:bookmarkEnd w:id="94"/>
    </w:p>
    <w:p w14:paraId="1CCCBDA3" w14:textId="62813ABE" w:rsidR="00A71B05" w:rsidRPr="00840C8E" w:rsidRDefault="006A5985" w:rsidP="00A71B05">
      <w:pPr>
        <w:spacing w:line="360" w:lineRule="auto"/>
        <w:jc w:val="both"/>
        <w:rPr>
          <w:szCs w:val="24"/>
        </w:rPr>
      </w:pPr>
      <w:r w:rsidRPr="00840C8E">
        <w:rPr>
          <w:szCs w:val="24"/>
        </w:rPr>
        <w:t xml:space="preserve">This chapter presents the findings from a survey exploring how Gen Z employees experience </w:t>
      </w:r>
      <w:r w:rsidR="009F304D" w:rsidRPr="00840C8E">
        <w:rPr>
          <w:szCs w:val="24"/>
        </w:rPr>
        <w:t>TM</w:t>
      </w:r>
      <w:r w:rsidRPr="00840C8E">
        <w:rPr>
          <w:szCs w:val="24"/>
        </w:rPr>
        <w:t xml:space="preserve"> at NCC. Structured around three research objectives, it examines</w:t>
      </w:r>
      <w:r w:rsidR="00E13FD9" w:rsidRPr="00840C8E">
        <w:rPr>
          <w:szCs w:val="24"/>
        </w:rPr>
        <w:t xml:space="preserve"> </w:t>
      </w:r>
      <w:r w:rsidRPr="00840C8E">
        <w:rPr>
          <w:szCs w:val="24"/>
        </w:rPr>
        <w:t>the relationship between the findings and existing literature. The survey generated 96 responses, while qualitative data w</w:t>
      </w:r>
      <w:r w:rsidR="00E13FD9" w:rsidRPr="00840C8E">
        <w:rPr>
          <w:szCs w:val="24"/>
        </w:rPr>
        <w:t>as</w:t>
      </w:r>
      <w:r w:rsidRPr="00840C8E">
        <w:rPr>
          <w:szCs w:val="24"/>
        </w:rPr>
        <w:t xml:space="preserve"> analysed thematically to identify six key themes. </w:t>
      </w:r>
      <w:r w:rsidR="00A71B05" w:rsidRPr="00840C8E">
        <w:rPr>
          <w:szCs w:val="24"/>
        </w:rPr>
        <w:t xml:space="preserve">A selection of key findings is presented below, with full survey data and visual outputs available in </w:t>
      </w:r>
      <w:r w:rsidR="001C1810">
        <w:rPr>
          <w:szCs w:val="24"/>
        </w:rPr>
        <w:t>a</w:t>
      </w:r>
      <w:r w:rsidR="00A71B05" w:rsidRPr="00840C8E">
        <w:rPr>
          <w:szCs w:val="24"/>
        </w:rPr>
        <w:t>ppendices 4 and 5.</w:t>
      </w:r>
    </w:p>
    <w:p w14:paraId="06B44212" w14:textId="7593C917" w:rsidR="006A5985" w:rsidRPr="00840C8E" w:rsidRDefault="006A5985" w:rsidP="00295B33">
      <w:pPr>
        <w:pStyle w:val="2Sectionheading"/>
        <w:spacing w:line="360" w:lineRule="auto"/>
      </w:pPr>
      <w:bookmarkStart w:id="95" w:name="_Toc234319641"/>
      <w:r w:rsidRPr="00840C8E">
        <w:t>4.2 Description and Analysis of Results</w:t>
      </w:r>
      <w:bookmarkEnd w:id="95"/>
      <w:r w:rsidRPr="00840C8E">
        <w:t xml:space="preserve"> </w:t>
      </w:r>
    </w:p>
    <w:p w14:paraId="39D6FC35" w14:textId="01ED969A" w:rsidR="00DE4CF2" w:rsidRPr="00840C8E" w:rsidRDefault="006A5985" w:rsidP="00295B33">
      <w:pPr>
        <w:spacing w:line="360" w:lineRule="auto"/>
        <w:jc w:val="both"/>
        <w:rPr>
          <w:b/>
          <w:bCs/>
          <w:szCs w:val="24"/>
        </w:rPr>
      </w:pPr>
      <w:r w:rsidRPr="00840C8E">
        <w:rPr>
          <w:b/>
          <w:bCs/>
          <w:szCs w:val="24"/>
        </w:rPr>
        <w:t xml:space="preserve">Objective 1: </w:t>
      </w:r>
      <w:r w:rsidR="00DE4CF2" w:rsidRPr="00840C8E">
        <w:rPr>
          <w:b/>
          <w:bCs/>
          <w:szCs w:val="24"/>
        </w:rPr>
        <w:t xml:space="preserve">To explore the workplace expectations, preferences and behaviours of Gen Z and how these relate to </w:t>
      </w:r>
      <w:r w:rsidR="009F304D" w:rsidRPr="00840C8E">
        <w:rPr>
          <w:b/>
          <w:bCs/>
          <w:szCs w:val="24"/>
        </w:rPr>
        <w:t>TM</w:t>
      </w:r>
      <w:r w:rsidR="00DE4CF2" w:rsidRPr="00840C8E">
        <w:rPr>
          <w:b/>
          <w:bCs/>
          <w:szCs w:val="24"/>
        </w:rPr>
        <w:t xml:space="preserve"> practices in UK local </w:t>
      </w:r>
      <w:r w:rsidR="00345A33" w:rsidRPr="00840C8E">
        <w:rPr>
          <w:b/>
          <w:bCs/>
          <w:szCs w:val="24"/>
        </w:rPr>
        <w:t>government.</w:t>
      </w:r>
    </w:p>
    <w:p w14:paraId="445EE363" w14:textId="0746369E" w:rsidR="00BD6DBF" w:rsidRPr="00840C8E" w:rsidRDefault="006A5985" w:rsidP="00ED69CB">
      <w:pPr>
        <w:spacing w:line="360" w:lineRule="auto"/>
        <w:jc w:val="both"/>
        <w:rPr>
          <w:szCs w:val="24"/>
        </w:rPr>
      </w:pPr>
      <w:r w:rsidRPr="00840C8E">
        <w:rPr>
          <w:szCs w:val="24"/>
        </w:rPr>
        <w:t>The findings indicate that Gen Z expectations at NCC are shaped primarily by practical employment conditions and visible opportunities for growth rather than a broader motivation to work in the public sector. When respondents were asked what most influenced their decision to join NCC, the most frequently selected factor was work–life balance or flexible working (43.8%), followed by opportunities for development and progression (39.6%) and job security (38.5%)</w:t>
      </w:r>
      <w:r w:rsidR="004D4C7C" w:rsidRPr="00840C8E">
        <w:rPr>
          <w:szCs w:val="24"/>
        </w:rPr>
        <w:t xml:space="preserve"> (</w:t>
      </w:r>
      <w:r w:rsidR="004D4C7C" w:rsidRPr="002D7FDA">
        <w:rPr>
          <w:szCs w:val="24"/>
        </w:rPr>
        <w:t>see Figure 4.1)</w:t>
      </w:r>
      <w:r w:rsidRPr="002D7FDA">
        <w:rPr>
          <w:szCs w:val="24"/>
        </w:rPr>
        <w:t>. Public service</w:t>
      </w:r>
      <w:r w:rsidRPr="00840C8E">
        <w:rPr>
          <w:szCs w:val="24"/>
        </w:rPr>
        <w:t xml:space="preserve"> values or meaningful work were also selected by 35.4% of respondents, although this remained lower than the proportion prioritising flexibility. By contrast, salary was selected by 18.8% and a specific desire to work in the public sector by only 12.5%.</w:t>
      </w:r>
    </w:p>
    <w:p w14:paraId="227050BD" w14:textId="77777777" w:rsidR="004D4C7C" w:rsidRPr="00840C8E" w:rsidRDefault="004D4C7C" w:rsidP="004D4C7C">
      <w:pPr>
        <w:keepNext/>
        <w:spacing w:line="360" w:lineRule="auto"/>
        <w:jc w:val="both"/>
      </w:pPr>
      <w:r w:rsidRPr="00840C8E">
        <w:rPr>
          <w:b/>
          <w:bCs/>
          <w:noProof/>
          <w:szCs w:val="24"/>
        </w:rPr>
        <w:drawing>
          <wp:inline distT="0" distB="0" distL="0" distR="0" wp14:anchorId="555E8E33" wp14:editId="5C4334AB">
            <wp:extent cx="5731510" cy="2129155"/>
            <wp:effectExtent l="0" t="0" r="2540" b="4445"/>
            <wp:docPr id="154809088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090885" name="Picture 1" descr="A screenshot of a graph&#10;&#10;AI-generated content may be incorrect."/>
                    <pic:cNvPicPr/>
                  </pic:nvPicPr>
                  <pic:blipFill>
                    <a:blip r:embed="rId11"/>
                    <a:stretch>
                      <a:fillRect/>
                    </a:stretch>
                  </pic:blipFill>
                  <pic:spPr>
                    <a:xfrm>
                      <a:off x="0" y="0"/>
                      <a:ext cx="5731510" cy="2129155"/>
                    </a:xfrm>
                    <a:prstGeom prst="rect">
                      <a:avLst/>
                    </a:prstGeom>
                  </pic:spPr>
                </pic:pic>
              </a:graphicData>
            </a:graphic>
          </wp:inline>
        </w:drawing>
      </w:r>
    </w:p>
    <w:p w14:paraId="7DC515B5" w14:textId="32A4B010" w:rsidR="004D4C7C" w:rsidRPr="00840C8E" w:rsidRDefault="004D4C7C" w:rsidP="004D4C7C">
      <w:pPr>
        <w:pStyle w:val="Caption"/>
        <w:jc w:val="both"/>
      </w:pPr>
      <w:bookmarkStart w:id="96" w:name="_Toc234320777"/>
      <w:r w:rsidRPr="00840C8E">
        <w:t>Figure 4.1: Factors influencing</w:t>
      </w:r>
      <w:r w:rsidR="0079573C">
        <w:t xml:space="preserve"> the</w:t>
      </w:r>
      <w:r w:rsidRPr="00840C8E">
        <w:t xml:space="preserve"> decision to </w:t>
      </w:r>
      <w:r w:rsidR="0079573C">
        <w:t>j</w:t>
      </w:r>
      <w:r w:rsidRPr="00840C8E">
        <w:t xml:space="preserve">oin </w:t>
      </w:r>
      <w:r w:rsidR="0005159F" w:rsidRPr="00840C8E">
        <w:t>NCC (</w:t>
      </w:r>
      <w:r w:rsidRPr="00840C8E">
        <w:t>Question 3)</w:t>
      </w:r>
      <w:bookmarkEnd w:id="96"/>
    </w:p>
    <w:p w14:paraId="344A618C" w14:textId="797E6845" w:rsidR="00BD6DBF" w:rsidRPr="00840C8E" w:rsidRDefault="006A5985" w:rsidP="00ED69CB">
      <w:pPr>
        <w:spacing w:line="360" w:lineRule="auto"/>
        <w:jc w:val="both"/>
        <w:rPr>
          <w:szCs w:val="24"/>
        </w:rPr>
      </w:pPr>
      <w:r w:rsidRPr="00840C8E">
        <w:rPr>
          <w:szCs w:val="24"/>
        </w:rPr>
        <w:lastRenderedPageBreak/>
        <w:t xml:space="preserve">Although meaningful work remains important, practical factors such as flexibility, stability and development opportunities are more influential in attraction decisions. This is reflected in the high importance </w:t>
      </w:r>
      <w:r w:rsidRPr="002D7FDA">
        <w:rPr>
          <w:szCs w:val="24"/>
        </w:rPr>
        <w:t>attached to meaningful work, with 4</w:t>
      </w:r>
      <w:r w:rsidR="002048FE" w:rsidRPr="002D7FDA">
        <w:rPr>
          <w:szCs w:val="24"/>
        </w:rPr>
        <w:t>7</w:t>
      </w:r>
      <w:r w:rsidRPr="002D7FDA">
        <w:rPr>
          <w:szCs w:val="24"/>
        </w:rPr>
        <w:t>.</w:t>
      </w:r>
      <w:r w:rsidR="002048FE" w:rsidRPr="002D7FDA">
        <w:rPr>
          <w:szCs w:val="24"/>
        </w:rPr>
        <w:t>0</w:t>
      </w:r>
      <w:r w:rsidRPr="002D7FDA">
        <w:rPr>
          <w:szCs w:val="24"/>
        </w:rPr>
        <w:t>% of respondents rating it as very important and 36.</w:t>
      </w:r>
      <w:r w:rsidR="002048FE" w:rsidRPr="002D7FDA">
        <w:rPr>
          <w:szCs w:val="24"/>
        </w:rPr>
        <w:t>0</w:t>
      </w:r>
      <w:r w:rsidRPr="002D7FDA">
        <w:rPr>
          <w:szCs w:val="24"/>
        </w:rPr>
        <w:t>% rating it as important</w:t>
      </w:r>
      <w:r w:rsidR="004D4C7C" w:rsidRPr="002D7FDA">
        <w:rPr>
          <w:szCs w:val="24"/>
        </w:rPr>
        <w:t xml:space="preserve"> as shown in Figure 4.2</w:t>
      </w:r>
      <w:r w:rsidRPr="002D7FDA">
        <w:rPr>
          <w:szCs w:val="24"/>
        </w:rPr>
        <w:t>, meaning that 83</w:t>
      </w:r>
      <w:r w:rsidR="002048FE" w:rsidRPr="002D7FDA">
        <w:rPr>
          <w:szCs w:val="24"/>
        </w:rPr>
        <w:t>.0</w:t>
      </w:r>
      <w:r w:rsidRPr="002D7FDA">
        <w:rPr>
          <w:szCs w:val="24"/>
        </w:rPr>
        <w:t>% attached substantial value to doing work that felt worthwhile. While purpose is valued, it is not sufficient on its own to shape attraction without visible opportunities for progression, flexibility and security.</w:t>
      </w:r>
    </w:p>
    <w:p w14:paraId="3965B71B" w14:textId="562DFA19" w:rsidR="004D4C7C" w:rsidRPr="00840C8E" w:rsidRDefault="004D4C7C" w:rsidP="004D4C7C">
      <w:pPr>
        <w:keepNext/>
        <w:spacing w:line="360" w:lineRule="auto"/>
        <w:jc w:val="both"/>
      </w:pPr>
      <w:r w:rsidRPr="00840C8E">
        <w:rPr>
          <w:b/>
          <w:bCs/>
          <w:noProof/>
          <w:szCs w:val="24"/>
        </w:rPr>
        <w:drawing>
          <wp:inline distT="0" distB="0" distL="0" distR="0" wp14:anchorId="0C0043C8" wp14:editId="3EC0A960">
            <wp:extent cx="5731510" cy="2188845"/>
            <wp:effectExtent l="0" t="0" r="2540" b="1905"/>
            <wp:docPr id="1853814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814859" name=""/>
                    <pic:cNvPicPr/>
                  </pic:nvPicPr>
                  <pic:blipFill>
                    <a:blip r:embed="rId12"/>
                    <a:stretch>
                      <a:fillRect/>
                    </a:stretch>
                  </pic:blipFill>
                  <pic:spPr>
                    <a:xfrm>
                      <a:off x="0" y="0"/>
                      <a:ext cx="5731510" cy="2188845"/>
                    </a:xfrm>
                    <a:prstGeom prst="rect">
                      <a:avLst/>
                    </a:prstGeom>
                  </pic:spPr>
                </pic:pic>
              </a:graphicData>
            </a:graphic>
          </wp:inline>
        </w:drawing>
      </w:r>
    </w:p>
    <w:p w14:paraId="3849EB1B" w14:textId="3DBA8526" w:rsidR="004D4C7C" w:rsidRPr="00840C8E" w:rsidRDefault="004D4C7C" w:rsidP="004D4C7C">
      <w:pPr>
        <w:pStyle w:val="Caption"/>
        <w:jc w:val="both"/>
        <w:rPr>
          <w:szCs w:val="24"/>
        </w:rPr>
      </w:pPr>
      <w:bookmarkStart w:id="97" w:name="_Toc234320778"/>
      <w:r w:rsidRPr="00840C8E">
        <w:t>Figure 4.2: Importance of meaningful work (Question 5)</w:t>
      </w:r>
      <w:bookmarkEnd w:id="97"/>
    </w:p>
    <w:p w14:paraId="734ABBB6" w14:textId="056898A9" w:rsidR="006A5985" w:rsidRPr="00840C8E" w:rsidRDefault="006A5985" w:rsidP="00ED69CB">
      <w:pPr>
        <w:spacing w:line="360" w:lineRule="auto"/>
        <w:jc w:val="both"/>
        <w:rPr>
          <w:szCs w:val="24"/>
        </w:rPr>
      </w:pPr>
      <w:r w:rsidRPr="00840C8E">
        <w:rPr>
          <w:szCs w:val="24"/>
        </w:rPr>
        <w:t>Expectations of progression further highlight how respondents evaluate their early career prospects. A total of 47</w:t>
      </w:r>
      <w:r w:rsidR="00471BCA" w:rsidRPr="00840C8E">
        <w:rPr>
          <w:szCs w:val="24"/>
        </w:rPr>
        <w:t>.0</w:t>
      </w:r>
      <w:r w:rsidRPr="00840C8E">
        <w:rPr>
          <w:szCs w:val="24"/>
        </w:rPr>
        <w:t xml:space="preserve">% of respondents expected their first significant progression within </w:t>
      </w:r>
      <w:r w:rsidRPr="002D7FDA">
        <w:rPr>
          <w:szCs w:val="24"/>
        </w:rPr>
        <w:t>one to two years, while a further 25</w:t>
      </w:r>
      <w:r w:rsidR="00471BCA" w:rsidRPr="002D7FDA">
        <w:rPr>
          <w:szCs w:val="24"/>
        </w:rPr>
        <w:t>.0</w:t>
      </w:r>
      <w:r w:rsidRPr="002D7FDA">
        <w:rPr>
          <w:szCs w:val="24"/>
        </w:rPr>
        <w:t>% expected this within three to four years</w:t>
      </w:r>
      <w:r w:rsidR="004D4C7C" w:rsidRPr="002D7FDA">
        <w:rPr>
          <w:szCs w:val="24"/>
        </w:rPr>
        <w:t xml:space="preserve"> (see Figure 4.3)</w:t>
      </w:r>
      <w:r w:rsidRPr="002D7FDA">
        <w:rPr>
          <w:szCs w:val="24"/>
        </w:rPr>
        <w:t>. At the same time, 18</w:t>
      </w:r>
      <w:r w:rsidR="00471BCA" w:rsidRPr="002D7FDA">
        <w:rPr>
          <w:szCs w:val="24"/>
        </w:rPr>
        <w:t>.0</w:t>
      </w:r>
      <w:r w:rsidRPr="002D7FDA">
        <w:rPr>
          <w:szCs w:val="24"/>
        </w:rPr>
        <w:t>% reported that they did not expect progression within their current role. When asked about the importance of rapid career progression, 40% rated it as moderately important, while 27</w:t>
      </w:r>
      <w:r w:rsidR="00471BCA" w:rsidRPr="002D7FDA">
        <w:rPr>
          <w:szCs w:val="24"/>
        </w:rPr>
        <w:t>.0</w:t>
      </w:r>
      <w:r w:rsidRPr="002D7FDA">
        <w:rPr>
          <w:szCs w:val="24"/>
        </w:rPr>
        <w:t>% selected important and 19</w:t>
      </w:r>
      <w:r w:rsidR="00471BCA" w:rsidRPr="002D7FDA">
        <w:rPr>
          <w:szCs w:val="24"/>
        </w:rPr>
        <w:t>.0</w:t>
      </w:r>
      <w:r w:rsidRPr="002D7FDA">
        <w:rPr>
          <w:szCs w:val="24"/>
        </w:rPr>
        <w:t xml:space="preserve">% selected very important. </w:t>
      </w:r>
      <w:r w:rsidR="00966968" w:rsidRPr="002D7FDA">
        <w:rPr>
          <w:szCs w:val="24"/>
        </w:rPr>
        <w:t xml:space="preserve">Respondents demonstrated a consistent </w:t>
      </w:r>
      <w:r w:rsidRPr="002D7FDA">
        <w:rPr>
          <w:szCs w:val="24"/>
        </w:rPr>
        <w:t>expectation that progression should be visible despite variation in</w:t>
      </w:r>
      <w:r w:rsidRPr="00840C8E">
        <w:rPr>
          <w:szCs w:val="24"/>
        </w:rPr>
        <w:t xml:space="preserve"> timing. </w:t>
      </w:r>
      <w:r w:rsidR="00966968" w:rsidRPr="00840C8E">
        <w:rPr>
          <w:szCs w:val="24"/>
        </w:rPr>
        <w:t>Qualitative responses reinforce this expectation</w:t>
      </w:r>
      <w:r w:rsidRPr="00840C8E">
        <w:rPr>
          <w:szCs w:val="24"/>
        </w:rPr>
        <w:t>, with one participant noting that “Gen Z employees want to understand how they can grow within the organisation rather than feeling stagnant” (P4).</w:t>
      </w:r>
    </w:p>
    <w:p w14:paraId="0B57ADFE" w14:textId="77777777" w:rsidR="0042275B" w:rsidRPr="00840C8E" w:rsidRDefault="0042275B" w:rsidP="0042275B">
      <w:pPr>
        <w:keepNext/>
        <w:spacing w:line="360" w:lineRule="auto"/>
        <w:jc w:val="both"/>
      </w:pPr>
      <w:r w:rsidRPr="00840C8E">
        <w:rPr>
          <w:b/>
          <w:bCs/>
          <w:noProof/>
          <w:szCs w:val="24"/>
        </w:rPr>
        <w:lastRenderedPageBreak/>
        <w:drawing>
          <wp:inline distT="0" distB="0" distL="0" distR="0" wp14:anchorId="23486E61" wp14:editId="09DA5972">
            <wp:extent cx="5731510" cy="2300605"/>
            <wp:effectExtent l="0" t="0" r="2540" b="4445"/>
            <wp:docPr id="2059113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113509" name=""/>
                    <pic:cNvPicPr/>
                  </pic:nvPicPr>
                  <pic:blipFill>
                    <a:blip r:embed="rId13"/>
                    <a:stretch>
                      <a:fillRect/>
                    </a:stretch>
                  </pic:blipFill>
                  <pic:spPr>
                    <a:xfrm>
                      <a:off x="0" y="0"/>
                      <a:ext cx="5731510" cy="2300605"/>
                    </a:xfrm>
                    <a:prstGeom prst="rect">
                      <a:avLst/>
                    </a:prstGeom>
                  </pic:spPr>
                </pic:pic>
              </a:graphicData>
            </a:graphic>
          </wp:inline>
        </w:drawing>
      </w:r>
    </w:p>
    <w:p w14:paraId="5A2B072C" w14:textId="0D35B10B" w:rsidR="00666C32" w:rsidRPr="00840C8E" w:rsidRDefault="0042275B" w:rsidP="0042275B">
      <w:pPr>
        <w:pStyle w:val="Caption"/>
        <w:jc w:val="both"/>
      </w:pPr>
      <w:bookmarkStart w:id="98" w:name="_Toc234320779"/>
      <w:r w:rsidRPr="00840C8E">
        <w:t>Figure 4.3: Expected timeframe for career progression (Question 10)</w:t>
      </w:r>
      <w:bookmarkEnd w:id="98"/>
    </w:p>
    <w:p w14:paraId="15103A45" w14:textId="663321EB" w:rsidR="006A5985" w:rsidRPr="00840C8E" w:rsidRDefault="006A5985" w:rsidP="00ED69CB">
      <w:pPr>
        <w:spacing w:line="360" w:lineRule="auto"/>
        <w:jc w:val="both"/>
        <w:rPr>
          <w:szCs w:val="24"/>
        </w:rPr>
      </w:pPr>
      <w:r w:rsidRPr="00840C8E">
        <w:rPr>
          <w:szCs w:val="24"/>
        </w:rPr>
        <w:t>Approximately half of respondents (49</w:t>
      </w:r>
      <w:r w:rsidR="00471BCA" w:rsidRPr="00840C8E">
        <w:rPr>
          <w:szCs w:val="24"/>
        </w:rPr>
        <w:t>.0</w:t>
      </w:r>
      <w:r w:rsidRPr="00840C8E">
        <w:rPr>
          <w:szCs w:val="24"/>
        </w:rPr>
        <w:t>%) agreed or strongly agreed that there is a clear career path within their role, while 31.3% disagreed or strongly disagreed and the remainder were neutral. A similar pattern is evident in relation to time dedicated to development, where 50</w:t>
      </w:r>
      <w:r w:rsidR="00471BCA" w:rsidRPr="00840C8E">
        <w:rPr>
          <w:szCs w:val="24"/>
        </w:rPr>
        <w:t>.0</w:t>
      </w:r>
      <w:r w:rsidRPr="00840C8E">
        <w:rPr>
          <w:szCs w:val="24"/>
        </w:rPr>
        <w:t>% agreed or strongly agreed that sufficient time is allocated to career development but 25.1% disagreed or strongly disagreed. While development opportunities exist, inconsistencies limit confidence in progression pathways and contribute to uncertainty.</w:t>
      </w:r>
    </w:p>
    <w:p w14:paraId="2A981401" w14:textId="33113A74" w:rsidR="006A5985" w:rsidRPr="00840C8E" w:rsidRDefault="006A5985" w:rsidP="00ED69CB">
      <w:pPr>
        <w:spacing w:line="360" w:lineRule="auto"/>
        <w:jc w:val="both"/>
        <w:rPr>
          <w:szCs w:val="24"/>
        </w:rPr>
      </w:pPr>
      <w:r w:rsidRPr="00840C8E">
        <w:rPr>
          <w:szCs w:val="24"/>
        </w:rPr>
        <w:t>Limited visibility of progression pathways emerges as a consistent concern across qualitative responses. Career progression, learning and development emerged as the most prominent theme (33 references). Participants frequently referred to limited transparency in progression pathways. One respondent highlighted the need for “greater transparency around progression pathways” (P2), while another described team structures where there were “junior members but seemingly no in between” roles (P28). This is further reinforced by participants explicitly linking these concerns to attraction, with one stating that “To attract Gen Z employees I think it's important to advertise opportunities for progression whether that is career or the opportunity for training / other projects that they can get involved in.” (P3). These accounts highlight the importance of visible structure and clarity in shaping whether progression is perceived as achievable.</w:t>
      </w:r>
    </w:p>
    <w:p w14:paraId="274420EA" w14:textId="59049B4E" w:rsidR="006A5985" w:rsidRPr="00840C8E" w:rsidRDefault="006A5985" w:rsidP="00ED69CB">
      <w:pPr>
        <w:spacing w:line="360" w:lineRule="auto"/>
        <w:jc w:val="both"/>
        <w:rPr>
          <w:szCs w:val="24"/>
        </w:rPr>
      </w:pPr>
      <w:r w:rsidRPr="00840C8E">
        <w:rPr>
          <w:szCs w:val="24"/>
        </w:rPr>
        <w:t xml:space="preserve">Preferences for structured development are </w:t>
      </w:r>
      <w:proofErr w:type="gramStart"/>
      <w:r w:rsidRPr="00840C8E">
        <w:rPr>
          <w:szCs w:val="24"/>
        </w:rPr>
        <w:t>clearly evident</w:t>
      </w:r>
      <w:proofErr w:type="gramEnd"/>
      <w:r w:rsidRPr="00840C8E">
        <w:rPr>
          <w:szCs w:val="24"/>
        </w:rPr>
        <w:t xml:space="preserve"> in the types of opportunities respondents prioritise. The most frequently selected options were opportunities to gain a formal qualification (6</w:t>
      </w:r>
      <w:r w:rsidR="00E5257D" w:rsidRPr="00840C8E">
        <w:rPr>
          <w:szCs w:val="24"/>
        </w:rPr>
        <w:t>3</w:t>
      </w:r>
      <w:r w:rsidRPr="00840C8E">
        <w:rPr>
          <w:szCs w:val="24"/>
        </w:rPr>
        <w:t>.</w:t>
      </w:r>
      <w:r w:rsidR="00E5257D" w:rsidRPr="00840C8E">
        <w:rPr>
          <w:szCs w:val="24"/>
        </w:rPr>
        <w:t>5</w:t>
      </w:r>
      <w:r w:rsidRPr="00840C8E">
        <w:rPr>
          <w:szCs w:val="24"/>
        </w:rPr>
        <w:t>%), mentoring or coaching from experienced colleagues (5</w:t>
      </w:r>
      <w:r w:rsidR="00E5257D" w:rsidRPr="00840C8E">
        <w:rPr>
          <w:szCs w:val="24"/>
        </w:rPr>
        <w:t>1</w:t>
      </w:r>
      <w:r w:rsidRPr="00840C8E">
        <w:rPr>
          <w:szCs w:val="24"/>
        </w:rPr>
        <w:t>.</w:t>
      </w:r>
      <w:r w:rsidR="00E5257D" w:rsidRPr="00840C8E">
        <w:rPr>
          <w:szCs w:val="24"/>
        </w:rPr>
        <w:t>0</w:t>
      </w:r>
      <w:r w:rsidRPr="00840C8E">
        <w:rPr>
          <w:szCs w:val="24"/>
        </w:rPr>
        <w:t>%) and job rotation or shadowing opportunities (</w:t>
      </w:r>
      <w:r w:rsidR="00E5257D" w:rsidRPr="00840C8E">
        <w:rPr>
          <w:szCs w:val="24"/>
        </w:rPr>
        <w:t>49</w:t>
      </w:r>
      <w:r w:rsidRPr="00840C8E">
        <w:rPr>
          <w:szCs w:val="24"/>
        </w:rPr>
        <w:t>.</w:t>
      </w:r>
      <w:r w:rsidR="00E5257D" w:rsidRPr="00840C8E">
        <w:rPr>
          <w:szCs w:val="24"/>
        </w:rPr>
        <w:t>0</w:t>
      </w:r>
      <w:r w:rsidRPr="00840C8E">
        <w:rPr>
          <w:szCs w:val="24"/>
        </w:rPr>
        <w:t>%). In contrast, fewer respondents selected more individualised approaches such as self-directed online learning (19.</w:t>
      </w:r>
      <w:r w:rsidR="00E5257D" w:rsidRPr="00840C8E">
        <w:rPr>
          <w:szCs w:val="24"/>
        </w:rPr>
        <w:t>8</w:t>
      </w:r>
      <w:r w:rsidRPr="00840C8E">
        <w:rPr>
          <w:szCs w:val="24"/>
        </w:rPr>
        <w:t xml:space="preserve">%), indicating a </w:t>
      </w:r>
      <w:r w:rsidRPr="00840C8E">
        <w:rPr>
          <w:szCs w:val="24"/>
        </w:rPr>
        <w:lastRenderedPageBreak/>
        <w:t>preference for structured and supported development. This is reflected in qualitative responses, where participants highlighted the value of mentorship and clearly defined development pathways (P4; P12), further reinforcing the importance of visibility and structure in shaping perceptions of development.</w:t>
      </w:r>
    </w:p>
    <w:p w14:paraId="7BAF6D79" w14:textId="1B498662" w:rsidR="006A5985" w:rsidRPr="00840C8E" w:rsidRDefault="006A5985" w:rsidP="00ED69CB">
      <w:pPr>
        <w:pStyle w:val="NoSpacing"/>
        <w:spacing w:line="360" w:lineRule="auto"/>
        <w:jc w:val="both"/>
        <w:rPr>
          <w:szCs w:val="24"/>
        </w:rPr>
      </w:pPr>
      <w:r w:rsidRPr="00840C8E">
        <w:rPr>
          <w:szCs w:val="24"/>
        </w:rPr>
        <w:t xml:space="preserve">Flexibility also emerged as a significant influencing factor. Work–life balance or flexible working was the most frequently selected influence on attraction and 71.8% of respondents agreed or strongly agreed that the flexibility provided by </w:t>
      </w:r>
      <w:r w:rsidR="00A2002D" w:rsidRPr="00840C8E">
        <w:rPr>
          <w:szCs w:val="24"/>
        </w:rPr>
        <w:t>NCC</w:t>
      </w:r>
      <w:r w:rsidRPr="00840C8E">
        <w:rPr>
          <w:szCs w:val="24"/>
        </w:rPr>
        <w:t xml:space="preserve"> meets their expectations. Qualitative responses further link flexibility to wellbeing, autonomy and trust, with participants highlighting how flexible working supports overall work–life balance. For example, one participant highlighted flexibility in terms of “Hybrid working, Flexible hours. We’re not children and </w:t>
      </w:r>
      <w:proofErr w:type="gramStart"/>
      <w:r w:rsidRPr="00840C8E">
        <w:rPr>
          <w:szCs w:val="24"/>
        </w:rPr>
        <w:t>as long as</w:t>
      </w:r>
      <w:proofErr w:type="gramEnd"/>
      <w:r w:rsidRPr="00840C8E">
        <w:rPr>
          <w:szCs w:val="24"/>
        </w:rPr>
        <w:t xml:space="preserve"> we get our work done that should be paramount” (P71), illustrating the importance of autonomy and personal responsibility. Similarly, another respondent highlighted that “Gen Z values… flexibility” and that this should be more clearly promoted to potential employees (P28), indicating the role of flexibility in shaping attraction. </w:t>
      </w:r>
    </w:p>
    <w:p w14:paraId="2F2DDA80" w14:textId="77777777" w:rsidR="00AC4313" w:rsidRPr="00840C8E" w:rsidRDefault="00AC4313" w:rsidP="00ED69CB">
      <w:pPr>
        <w:pStyle w:val="NoSpacing"/>
        <w:spacing w:line="360" w:lineRule="auto"/>
        <w:jc w:val="both"/>
        <w:rPr>
          <w:szCs w:val="24"/>
        </w:rPr>
      </w:pPr>
    </w:p>
    <w:p w14:paraId="1407AB34" w14:textId="00999956" w:rsidR="006A5985" w:rsidRPr="00840C8E" w:rsidRDefault="00A234DD" w:rsidP="00ED69CB">
      <w:pPr>
        <w:spacing w:line="360" w:lineRule="auto"/>
        <w:jc w:val="both"/>
        <w:rPr>
          <w:szCs w:val="24"/>
        </w:rPr>
      </w:pPr>
      <w:r w:rsidRPr="00840C8E">
        <w:rPr>
          <w:szCs w:val="24"/>
        </w:rPr>
        <w:t xml:space="preserve">Perceptions of digital capability further shape how respondents evaluate the organisation as a modern employer. While 64.6% of respondents agreed or strongly agreed that they have access to appropriate technology and 62.5% agreed that digital tools support effective working, a higher proportion (72.9%) indicated a preference for employers that are modern and digitally advanced. In addition, 57.3% agreed that enhanced digital tools would influence engagement and retention. </w:t>
      </w:r>
      <w:r w:rsidR="00C30952" w:rsidRPr="00840C8E">
        <w:rPr>
          <w:szCs w:val="24"/>
        </w:rPr>
        <w:t xml:space="preserve">The findings indicate </w:t>
      </w:r>
      <w:r w:rsidR="006A5985" w:rsidRPr="00840C8E">
        <w:rPr>
          <w:szCs w:val="24"/>
        </w:rPr>
        <w:t>that digital capability is interpreted not only in functional terms but also as an indicator of whether the organisation is perceived as modern. This expectation is also reflected in qualitative responses, with one participant emphasising the importance of “Investment in digital tools and modern working practices as Gen Z value efficiency, flexibility and innovation.” (P2), highlighting how digital capability contributes to employer attractiveness for Gen Z.</w:t>
      </w:r>
    </w:p>
    <w:p w14:paraId="053FA144" w14:textId="54837A9A" w:rsidR="006A5985" w:rsidRPr="00840C8E" w:rsidRDefault="006A5985" w:rsidP="00ED69CB">
      <w:pPr>
        <w:spacing w:line="360" w:lineRule="auto"/>
        <w:jc w:val="both"/>
        <w:rPr>
          <w:b/>
          <w:bCs/>
          <w:szCs w:val="24"/>
        </w:rPr>
      </w:pPr>
      <w:r w:rsidRPr="00840C8E">
        <w:rPr>
          <w:b/>
          <w:bCs/>
          <w:szCs w:val="24"/>
        </w:rPr>
        <w:t xml:space="preserve">Objective 2: To investigate the challenges and opportunities of engaging and retaining Gen Z in UK local government, focusing on the impact of </w:t>
      </w:r>
      <w:r w:rsidR="009F304D" w:rsidRPr="00840C8E">
        <w:rPr>
          <w:b/>
          <w:bCs/>
          <w:szCs w:val="24"/>
        </w:rPr>
        <w:t>TM</w:t>
      </w:r>
      <w:r w:rsidRPr="00840C8E">
        <w:rPr>
          <w:b/>
          <w:bCs/>
          <w:szCs w:val="24"/>
        </w:rPr>
        <w:t xml:space="preserve"> practices on organisational culture, career development and employee </w:t>
      </w:r>
      <w:r w:rsidR="00203F55" w:rsidRPr="00840C8E">
        <w:rPr>
          <w:b/>
          <w:bCs/>
          <w:szCs w:val="24"/>
        </w:rPr>
        <w:t>engagement.</w:t>
      </w:r>
    </w:p>
    <w:p w14:paraId="751A6A18" w14:textId="6E07E7BE" w:rsidR="006A5985" w:rsidRPr="00840C8E" w:rsidRDefault="0021207F" w:rsidP="00ED69CB">
      <w:pPr>
        <w:spacing w:line="360" w:lineRule="auto"/>
        <w:jc w:val="both"/>
        <w:rPr>
          <w:szCs w:val="24"/>
        </w:rPr>
      </w:pPr>
      <w:r w:rsidRPr="00840C8E">
        <w:rPr>
          <w:szCs w:val="24"/>
        </w:rPr>
        <w:t xml:space="preserve">Building on the findings relating to attraction, engagement and retention, the results reveal a more complex picture for Gen Z employees at NCC. </w:t>
      </w:r>
      <w:r w:rsidR="006A5985" w:rsidRPr="00840C8E">
        <w:rPr>
          <w:szCs w:val="24"/>
        </w:rPr>
        <w:t xml:space="preserve">While attraction is shaped by meaningful work and practical factors, retention is influenced more strongly by longer-term and tangible </w:t>
      </w:r>
      <w:r w:rsidR="006A5985" w:rsidRPr="00840C8E">
        <w:rPr>
          <w:szCs w:val="24"/>
        </w:rPr>
        <w:lastRenderedPageBreak/>
        <w:t xml:space="preserve">conditions. When respondents were asked to identify the three </w:t>
      </w:r>
      <w:r w:rsidR="009F304D" w:rsidRPr="00840C8E">
        <w:rPr>
          <w:szCs w:val="24"/>
        </w:rPr>
        <w:t>TM</w:t>
      </w:r>
      <w:r w:rsidR="006A5985" w:rsidRPr="00840C8E">
        <w:rPr>
          <w:szCs w:val="24"/>
        </w:rPr>
        <w:t xml:space="preserve"> factors most significant to their retention, work–life balance (47.</w:t>
      </w:r>
      <w:r w:rsidR="002048FE" w:rsidRPr="00840C8E">
        <w:rPr>
          <w:szCs w:val="24"/>
        </w:rPr>
        <w:t>9</w:t>
      </w:r>
      <w:r w:rsidR="006A5985" w:rsidRPr="00840C8E">
        <w:rPr>
          <w:szCs w:val="24"/>
        </w:rPr>
        <w:t>%) remained the most important, followed by opportunities for career progression (42.</w:t>
      </w:r>
      <w:r w:rsidR="002048FE" w:rsidRPr="00840C8E">
        <w:rPr>
          <w:szCs w:val="24"/>
        </w:rPr>
        <w:t>7</w:t>
      </w:r>
      <w:r w:rsidR="006A5985" w:rsidRPr="00840C8E">
        <w:rPr>
          <w:szCs w:val="24"/>
        </w:rPr>
        <w:t xml:space="preserve">%) and competitive </w:t>
      </w:r>
      <w:r w:rsidR="006A5985" w:rsidRPr="002D7FDA">
        <w:rPr>
          <w:szCs w:val="24"/>
        </w:rPr>
        <w:t>salary (42.</w:t>
      </w:r>
      <w:r w:rsidR="002048FE" w:rsidRPr="002D7FDA">
        <w:rPr>
          <w:szCs w:val="24"/>
        </w:rPr>
        <w:t>7</w:t>
      </w:r>
      <w:r w:rsidR="006A5985" w:rsidRPr="002D7FDA">
        <w:rPr>
          <w:szCs w:val="24"/>
        </w:rPr>
        <w:t>%)</w:t>
      </w:r>
      <w:r w:rsidR="00666C32" w:rsidRPr="002D7FDA">
        <w:rPr>
          <w:szCs w:val="24"/>
        </w:rPr>
        <w:t xml:space="preserve"> (see Figure 4.</w:t>
      </w:r>
      <w:r w:rsidR="00BD6DBF" w:rsidRPr="002D7FDA">
        <w:rPr>
          <w:szCs w:val="24"/>
        </w:rPr>
        <w:t>4</w:t>
      </w:r>
      <w:r w:rsidR="00666C32" w:rsidRPr="002D7FDA">
        <w:rPr>
          <w:szCs w:val="24"/>
        </w:rPr>
        <w:t>)</w:t>
      </w:r>
      <w:r w:rsidR="006A5985" w:rsidRPr="002D7FDA">
        <w:rPr>
          <w:szCs w:val="24"/>
        </w:rPr>
        <w:t>. This was followed by job security (32</w:t>
      </w:r>
      <w:r w:rsidR="002048FE" w:rsidRPr="002D7FDA">
        <w:rPr>
          <w:szCs w:val="24"/>
        </w:rPr>
        <w:t>.3</w:t>
      </w:r>
      <w:r w:rsidR="006A5985" w:rsidRPr="002D7FDA">
        <w:rPr>
          <w:szCs w:val="24"/>
        </w:rPr>
        <w:t>%), supportive leadership and management (32</w:t>
      </w:r>
      <w:r w:rsidR="002048FE" w:rsidRPr="002D7FDA">
        <w:rPr>
          <w:szCs w:val="24"/>
        </w:rPr>
        <w:t>.3</w:t>
      </w:r>
      <w:r w:rsidR="006A5985" w:rsidRPr="002D7FDA">
        <w:rPr>
          <w:szCs w:val="24"/>
        </w:rPr>
        <w:t>%)</w:t>
      </w:r>
      <w:r w:rsidR="006A5985" w:rsidRPr="00840C8E">
        <w:rPr>
          <w:szCs w:val="24"/>
        </w:rPr>
        <w:t xml:space="preserve"> and flexible working arrangements (3</w:t>
      </w:r>
      <w:r w:rsidR="002048FE" w:rsidRPr="00840C8E">
        <w:rPr>
          <w:szCs w:val="24"/>
        </w:rPr>
        <w:t>1</w:t>
      </w:r>
      <w:r w:rsidR="006A5985" w:rsidRPr="00840C8E">
        <w:rPr>
          <w:szCs w:val="24"/>
        </w:rPr>
        <w:t>.</w:t>
      </w:r>
      <w:r w:rsidR="00A234DD" w:rsidRPr="00840C8E">
        <w:rPr>
          <w:szCs w:val="24"/>
        </w:rPr>
        <w:t>3</w:t>
      </w:r>
      <w:r w:rsidR="006A5985" w:rsidRPr="00840C8E">
        <w:rPr>
          <w:szCs w:val="24"/>
        </w:rPr>
        <w:t>%). By contrast, factors such as purpose and meaningful work (2</w:t>
      </w:r>
      <w:r w:rsidR="002048FE" w:rsidRPr="00840C8E">
        <w:rPr>
          <w:szCs w:val="24"/>
        </w:rPr>
        <w:t>4</w:t>
      </w:r>
      <w:r w:rsidR="006A5985" w:rsidRPr="00840C8E">
        <w:rPr>
          <w:szCs w:val="24"/>
        </w:rPr>
        <w:t>.</w:t>
      </w:r>
      <w:r w:rsidR="002048FE" w:rsidRPr="00840C8E">
        <w:rPr>
          <w:szCs w:val="24"/>
        </w:rPr>
        <w:t>0</w:t>
      </w:r>
      <w:r w:rsidR="006A5985" w:rsidRPr="00840C8E">
        <w:rPr>
          <w:szCs w:val="24"/>
        </w:rPr>
        <w:t>%), feeling valued and recognised (21.</w:t>
      </w:r>
      <w:r w:rsidR="002048FE" w:rsidRPr="00840C8E">
        <w:rPr>
          <w:szCs w:val="24"/>
        </w:rPr>
        <w:t>9</w:t>
      </w:r>
      <w:r w:rsidR="006A5985" w:rsidRPr="00840C8E">
        <w:rPr>
          <w:szCs w:val="24"/>
        </w:rPr>
        <w:t>%), access to training and development (16.</w:t>
      </w:r>
      <w:r w:rsidR="002048FE" w:rsidRPr="00840C8E">
        <w:rPr>
          <w:szCs w:val="24"/>
        </w:rPr>
        <w:t>7</w:t>
      </w:r>
      <w:r w:rsidR="006A5985" w:rsidRPr="00840C8E">
        <w:rPr>
          <w:szCs w:val="24"/>
        </w:rPr>
        <w:t>%) and organisational culture and values (8.</w:t>
      </w:r>
      <w:r w:rsidR="002048FE" w:rsidRPr="00840C8E">
        <w:rPr>
          <w:szCs w:val="24"/>
        </w:rPr>
        <w:t>3</w:t>
      </w:r>
      <w:r w:rsidR="006A5985" w:rsidRPr="00840C8E">
        <w:rPr>
          <w:szCs w:val="24"/>
        </w:rPr>
        <w:t xml:space="preserve">%) were selected less frequently. This indicates a shift from attraction, where purpose remains relatively important, to retention, where financial and developmental conditions become more significant once employed. </w:t>
      </w:r>
    </w:p>
    <w:p w14:paraId="6D47FB8D" w14:textId="77777777" w:rsidR="00666C32" w:rsidRPr="00840C8E" w:rsidRDefault="00666C32" w:rsidP="00666C32">
      <w:pPr>
        <w:keepNext/>
        <w:spacing w:line="360" w:lineRule="auto"/>
        <w:jc w:val="both"/>
      </w:pPr>
      <w:r w:rsidRPr="00840C8E">
        <w:rPr>
          <w:b/>
          <w:bCs/>
          <w:noProof/>
          <w:szCs w:val="24"/>
        </w:rPr>
        <w:drawing>
          <wp:inline distT="0" distB="0" distL="0" distR="0" wp14:anchorId="1524F5C9" wp14:editId="45F5CC01">
            <wp:extent cx="5730654" cy="2681555"/>
            <wp:effectExtent l="0" t="0" r="3810" b="5080"/>
            <wp:docPr id="585733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733380" name=""/>
                    <pic:cNvPicPr/>
                  </pic:nvPicPr>
                  <pic:blipFill>
                    <a:blip r:embed="rId14"/>
                    <a:stretch>
                      <a:fillRect/>
                    </a:stretch>
                  </pic:blipFill>
                  <pic:spPr>
                    <a:xfrm>
                      <a:off x="0" y="0"/>
                      <a:ext cx="5744920" cy="2688230"/>
                    </a:xfrm>
                    <a:prstGeom prst="rect">
                      <a:avLst/>
                    </a:prstGeom>
                  </pic:spPr>
                </pic:pic>
              </a:graphicData>
            </a:graphic>
          </wp:inline>
        </w:drawing>
      </w:r>
    </w:p>
    <w:p w14:paraId="32474C99" w14:textId="68A6AE3F" w:rsidR="00666C32" w:rsidRPr="00840C8E" w:rsidRDefault="00666C32" w:rsidP="00666C32">
      <w:pPr>
        <w:pStyle w:val="Caption"/>
        <w:jc w:val="both"/>
      </w:pPr>
      <w:bookmarkStart w:id="99" w:name="_Toc234320780"/>
      <w:r w:rsidRPr="00840C8E">
        <w:t>Figure 4.</w:t>
      </w:r>
      <w:r w:rsidR="0005159F" w:rsidRPr="00840C8E">
        <w:t>4</w:t>
      </w:r>
      <w:r w:rsidRPr="00840C8E">
        <w:t xml:space="preserve">: Factors influencing retention (Question </w:t>
      </w:r>
      <w:r w:rsidR="0042275B" w:rsidRPr="00840C8E">
        <w:t>9</w:t>
      </w:r>
      <w:r w:rsidRPr="00840C8E">
        <w:t>)</w:t>
      </w:r>
      <w:bookmarkEnd w:id="99"/>
    </w:p>
    <w:p w14:paraId="61330F9C" w14:textId="51F31800" w:rsidR="00A71B05" w:rsidRPr="00840C8E" w:rsidRDefault="00A71B05" w:rsidP="00A71B05">
      <w:pPr>
        <w:pStyle w:val="Uni-Normal"/>
      </w:pPr>
      <w:r w:rsidRPr="00840C8E">
        <w:t>This evaluation of retention is also shaped by wider perceptions of the sector, with a further challenge relating to the perceived attractiveness of local government careers to Gen Z (</w:t>
      </w:r>
      <w:r w:rsidRPr="0029077C">
        <w:t xml:space="preserve">see </w:t>
      </w:r>
      <w:r w:rsidRPr="002D7FDA">
        <w:t>Figure 4.5), where only 30</w:t>
      </w:r>
      <w:r w:rsidR="00471BCA" w:rsidRPr="002D7FDA">
        <w:t>.0</w:t>
      </w:r>
      <w:r w:rsidRPr="002D7FDA">
        <w:t>% of respondents indicated that Gen Z are generally interested, while 32</w:t>
      </w:r>
      <w:r w:rsidR="00471BCA" w:rsidRPr="002D7FDA">
        <w:t>.0</w:t>
      </w:r>
      <w:r w:rsidRPr="002D7FDA">
        <w:t>% disagreed and 38</w:t>
      </w:r>
      <w:r w:rsidR="00471BCA" w:rsidRPr="002D7FDA">
        <w:t>.0</w:t>
      </w:r>
      <w:r w:rsidRPr="002D7FDA">
        <w:t>% were unsure, highlighting uncertainty in how the sector is perceived by early-career employees.</w:t>
      </w:r>
    </w:p>
    <w:p w14:paraId="53046E14" w14:textId="3385EAF2" w:rsidR="00666C32" w:rsidRPr="00840C8E" w:rsidRDefault="00666C32" w:rsidP="00666C32">
      <w:pPr>
        <w:pStyle w:val="Uni-Normal"/>
      </w:pPr>
    </w:p>
    <w:p w14:paraId="4E01A57F" w14:textId="77777777" w:rsidR="00666C32" w:rsidRPr="00840C8E" w:rsidRDefault="00666C32" w:rsidP="00666C32">
      <w:pPr>
        <w:keepNext/>
      </w:pPr>
      <w:r w:rsidRPr="00840C8E">
        <w:rPr>
          <w:b/>
          <w:bCs/>
          <w:noProof/>
          <w:szCs w:val="24"/>
        </w:rPr>
        <w:lastRenderedPageBreak/>
        <w:drawing>
          <wp:inline distT="0" distB="0" distL="0" distR="0" wp14:anchorId="61565450" wp14:editId="0E742422">
            <wp:extent cx="5731510" cy="2182495"/>
            <wp:effectExtent l="0" t="0" r="2540" b="8255"/>
            <wp:docPr id="263090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090309" name=""/>
                    <pic:cNvPicPr/>
                  </pic:nvPicPr>
                  <pic:blipFill>
                    <a:blip r:embed="rId15"/>
                    <a:stretch>
                      <a:fillRect/>
                    </a:stretch>
                  </pic:blipFill>
                  <pic:spPr>
                    <a:xfrm>
                      <a:off x="0" y="0"/>
                      <a:ext cx="5731510" cy="2182495"/>
                    </a:xfrm>
                    <a:prstGeom prst="rect">
                      <a:avLst/>
                    </a:prstGeom>
                  </pic:spPr>
                </pic:pic>
              </a:graphicData>
            </a:graphic>
          </wp:inline>
        </w:drawing>
      </w:r>
    </w:p>
    <w:p w14:paraId="39236187" w14:textId="3B69DD97" w:rsidR="00666C32" w:rsidRPr="00840C8E" w:rsidRDefault="00666C32" w:rsidP="00666C32">
      <w:pPr>
        <w:pStyle w:val="Caption"/>
      </w:pPr>
      <w:bookmarkStart w:id="100" w:name="_Toc234320781"/>
      <w:r w:rsidRPr="00840C8E">
        <w:t>Figure 4.</w:t>
      </w:r>
      <w:r w:rsidR="0005159F" w:rsidRPr="00840C8E">
        <w:t>5</w:t>
      </w:r>
      <w:r w:rsidRPr="00840C8E">
        <w:t>: Perceived Gen Z interest in local government careers (Question 12)</w:t>
      </w:r>
      <w:bookmarkEnd w:id="100"/>
    </w:p>
    <w:p w14:paraId="116503FF" w14:textId="1034D952" w:rsidR="006A5985" w:rsidRPr="00840C8E" w:rsidRDefault="006A5985" w:rsidP="00ED69CB">
      <w:pPr>
        <w:spacing w:line="360" w:lineRule="auto"/>
        <w:jc w:val="both"/>
        <w:rPr>
          <w:szCs w:val="24"/>
        </w:rPr>
      </w:pPr>
      <w:r w:rsidRPr="00840C8E">
        <w:rPr>
          <w:szCs w:val="24"/>
        </w:rPr>
        <w:t xml:space="preserve">This shift is also reflected in broader measures of engagement and organisational commitment. Overall, 60.4% of respondents agreed or strongly agreed that they see themselves working at NCC for the next five years, indicating a moderate but not universal level of organisational commitment. Perceptions of recognition were more positive, with 68.8% agreeing that they feel valued for their contributions, however, the presence of neutral and negative responses implies that this experience is not consistent across the organisation. In contrast, perceptions of development and progression were more mixed. While 60.4% of respondents felt they had access to learning and development opportunities, fewer expressed confidence in longer-term progression, with only 42.7% agreeing or strongly agreeing that there were clear career development opportunities and a substantial proportion remaining neutral or dissatisfied. This reflects that although development activity is present, it is not always experienced as a clear pathway for progression. By comparison, line management emerged as a more consistent strength, with 78.1% of respondents agreeing that their manager supports their development and future aspirations. Overall, </w:t>
      </w:r>
      <w:r w:rsidR="00C30952" w:rsidRPr="00840C8E">
        <w:rPr>
          <w:szCs w:val="24"/>
        </w:rPr>
        <w:t xml:space="preserve">survey results show </w:t>
      </w:r>
      <w:r w:rsidRPr="00840C8E">
        <w:rPr>
          <w:szCs w:val="24"/>
        </w:rPr>
        <w:t>that while employees often feel supported in their immediate roles, there is less confidence in progression and development within the organisation.</w:t>
      </w:r>
    </w:p>
    <w:p w14:paraId="6B57090D" w14:textId="6836B9DD" w:rsidR="006A5985" w:rsidRPr="00840C8E" w:rsidRDefault="006A5985" w:rsidP="00ED69CB">
      <w:pPr>
        <w:spacing w:line="360" w:lineRule="auto"/>
        <w:jc w:val="both"/>
        <w:rPr>
          <w:szCs w:val="24"/>
        </w:rPr>
      </w:pPr>
      <w:r w:rsidRPr="00840C8E">
        <w:rPr>
          <w:szCs w:val="24"/>
        </w:rPr>
        <w:t>Qualitative findings provide further insight, with career progression and development emerging as central to both attraction and ongoing engagement. Participants frequently described situations where development existed in principle but did not appear clearly connected to realistic movement within the organisation. For example, one respondent stated that there w</w:t>
      </w:r>
      <w:r w:rsidR="00C713C9">
        <w:rPr>
          <w:szCs w:val="24"/>
        </w:rPr>
        <w:t>as</w:t>
      </w:r>
      <w:r w:rsidRPr="00840C8E">
        <w:rPr>
          <w:szCs w:val="24"/>
        </w:rPr>
        <w:t xml:space="preserve"> “No room for career growth, can't move into a higher role unless someone leaves” (P27), while another referred to “not being given the opportunity or option to be able to career progress” (P46). In some cases, this was linked to structural limitations, with </w:t>
      </w:r>
      <w:r w:rsidRPr="00840C8E">
        <w:rPr>
          <w:szCs w:val="24"/>
        </w:rPr>
        <w:lastRenderedPageBreak/>
        <w:t>participants highlighting gaps in organisational hierarchies and “lack of promotion within” (P32). These responses demonstrate that engagement is weakened when development does not lead to visible progression, highlighting that opportunities are not always experienced as leading to meaningful career outcomes.</w:t>
      </w:r>
    </w:p>
    <w:p w14:paraId="05033981" w14:textId="4618A713" w:rsidR="006A5985" w:rsidRPr="00840C8E" w:rsidRDefault="006A5985" w:rsidP="00ED69CB">
      <w:pPr>
        <w:spacing w:line="360" w:lineRule="auto"/>
        <w:jc w:val="both"/>
        <w:rPr>
          <w:szCs w:val="24"/>
        </w:rPr>
      </w:pPr>
      <w:r w:rsidRPr="00840C8E">
        <w:rPr>
          <w:szCs w:val="24"/>
        </w:rPr>
        <w:t xml:space="preserve">Experiences of leadership and organisational culture were mixed, reflecting variation in how employees experience support and management across </w:t>
      </w:r>
      <w:r w:rsidR="00A2002D" w:rsidRPr="00840C8E">
        <w:rPr>
          <w:szCs w:val="24"/>
        </w:rPr>
        <w:t>NCC</w:t>
      </w:r>
      <w:r w:rsidRPr="00840C8E">
        <w:rPr>
          <w:szCs w:val="24"/>
        </w:rPr>
        <w:t>. The theme of leadership, management and organisational culture generated 17 coded references, with responses highlighting both positive and more critical perspectives. Immediate managerial support was clearly valued, which helps explain the strong quantitative result for manager encouragement. However, respondents also described frustrations with organisational pace, hierarchy and inconsistent management practices. One participant noted that “slow/delayed decision making can be frustrating, especially when it’s much higher level than yourself” (P30), suggesting that organisational structures can create distance between employees and those with decision making authority. Another referred to a “lack of recognition of workload from management / job creep” (P80), highlighting a perceived gap between effort and acknowledgement. P40 identified “supportive leadership and management teams, flexible working and recognition for work you do” as key to retaining and attracting younger staff. A smaller but notable set of responses also reflected a lack of peer connection, with participants highlighting limited opportunities to interact with colleagues of a similar age or build wider social networks across NCC.</w:t>
      </w:r>
    </w:p>
    <w:p w14:paraId="67C1AE0D" w14:textId="11019525" w:rsidR="006A5985" w:rsidRPr="00840C8E" w:rsidRDefault="006A5985" w:rsidP="00ED69CB">
      <w:pPr>
        <w:spacing w:line="360" w:lineRule="auto"/>
        <w:jc w:val="both"/>
        <w:rPr>
          <w:szCs w:val="24"/>
        </w:rPr>
      </w:pPr>
      <w:r w:rsidRPr="00840C8E">
        <w:rPr>
          <w:szCs w:val="24"/>
        </w:rPr>
        <w:t xml:space="preserve">Age-related bias and lack of respect emerge as a notable challenge within the qualitative data, which generated 17 coded references. Although the survey results on inclusion and employee voice were broadly positive, the qualitative findings differ. Participants repeatedly described being underestimated, overlooked or not taken seriously because of their age. One respondent wrote that they were “often seen as young and naive” (P5), while another stated that they were “not being taken seriously as I’m younger than most of my colleagues” (P21). P13 referred to “judgement that often comes from older generations”, suggesting that younger employees are frequently interpreted through stereotypes rather than as individuals. These findings suggest that positive perceptions of inclusion do not always reflect the </w:t>
      </w:r>
      <w:r w:rsidR="00345A33" w:rsidRPr="00840C8E">
        <w:rPr>
          <w:szCs w:val="24"/>
        </w:rPr>
        <w:t>day-to-day experiences</w:t>
      </w:r>
      <w:r w:rsidRPr="00840C8E">
        <w:rPr>
          <w:szCs w:val="24"/>
        </w:rPr>
        <w:t xml:space="preserve"> of Gen Z employees.</w:t>
      </w:r>
    </w:p>
    <w:p w14:paraId="0C3F1EAA" w14:textId="5BAAA8A8" w:rsidR="006A5985" w:rsidRPr="00840C8E" w:rsidRDefault="006A5985" w:rsidP="00ED69CB">
      <w:pPr>
        <w:spacing w:line="360" w:lineRule="auto"/>
        <w:jc w:val="both"/>
        <w:rPr>
          <w:szCs w:val="24"/>
        </w:rPr>
      </w:pPr>
      <w:r w:rsidRPr="00840C8E">
        <w:rPr>
          <w:szCs w:val="24"/>
        </w:rPr>
        <w:t>Pay and job security also appear more significant in shaping retention than attraction. The prominence of competitive salary (42.</w:t>
      </w:r>
      <w:r w:rsidR="00A234DD" w:rsidRPr="00840C8E">
        <w:rPr>
          <w:szCs w:val="24"/>
        </w:rPr>
        <w:t>7</w:t>
      </w:r>
      <w:r w:rsidRPr="00840C8E">
        <w:rPr>
          <w:szCs w:val="24"/>
        </w:rPr>
        <w:t xml:space="preserve">%) as a retention factor, compared with its lower </w:t>
      </w:r>
      <w:r w:rsidRPr="00840C8E">
        <w:rPr>
          <w:szCs w:val="24"/>
        </w:rPr>
        <w:lastRenderedPageBreak/>
        <w:t>influence on attraction, is one of the clearest shifts across the survey. The theme pay, job security and rewards also generated 16 coded references, with participants referring to fixed-term contracts</w:t>
      </w:r>
      <w:r w:rsidR="00862E60" w:rsidRPr="00840C8E">
        <w:rPr>
          <w:szCs w:val="24"/>
        </w:rPr>
        <w:t xml:space="preserve"> and </w:t>
      </w:r>
      <w:r w:rsidRPr="00840C8E">
        <w:rPr>
          <w:szCs w:val="24"/>
        </w:rPr>
        <w:t>workload pressure</w:t>
      </w:r>
      <w:r w:rsidR="00862E60" w:rsidRPr="00840C8E">
        <w:rPr>
          <w:szCs w:val="24"/>
        </w:rPr>
        <w:t>s</w:t>
      </w:r>
      <w:r w:rsidRPr="00840C8E">
        <w:rPr>
          <w:szCs w:val="24"/>
        </w:rPr>
        <w:t>. One respondent observed that while younger workers may be attracted by public service values, “rising living costs mean competitive pay, fair reward and visible recognition of effort are increasingly important” (P15). Others referred to contracts being “subject to funding” (P11) or to situations where “scope of work increases but pay does not” (P68). These responses indicate that while values may support attraction, financial and contractual conditions become increasingly important in shaping longer-term retention decisions.</w:t>
      </w:r>
    </w:p>
    <w:p w14:paraId="6C880F7C" w14:textId="0DEE4DB4" w:rsidR="006A5985" w:rsidRPr="00840C8E" w:rsidRDefault="006A5985" w:rsidP="00ED69CB">
      <w:pPr>
        <w:spacing w:line="360" w:lineRule="auto"/>
        <w:jc w:val="both"/>
        <w:rPr>
          <w:szCs w:val="24"/>
        </w:rPr>
      </w:pPr>
      <w:r w:rsidRPr="00840C8E">
        <w:rPr>
          <w:szCs w:val="24"/>
        </w:rPr>
        <w:t>Flexibility continued to play a central role in shaping retention, with participants emphasising its importance not only as a working arrangement but as a key condition for remaining within the organisation. Qualitative responses consistently highlighted the value of flexible working, with participants calling for a “better approach to flexible working, more flexibility with carrying leave over.” (P70). In some cases, participants linked flexibility more broadly to Gen Z expectations, noting that “I think Gen Z values fair pay, plenty of opportunities for growth but also flexibilit</w:t>
      </w:r>
      <w:r w:rsidR="00862E60" w:rsidRPr="00840C8E">
        <w:rPr>
          <w:szCs w:val="24"/>
        </w:rPr>
        <w:t>y</w:t>
      </w:r>
      <w:r w:rsidRPr="00840C8E">
        <w:rPr>
          <w:szCs w:val="24"/>
        </w:rPr>
        <w:t xml:space="preserve">” (P28). This </w:t>
      </w:r>
      <w:r w:rsidR="00056200" w:rsidRPr="00840C8E">
        <w:rPr>
          <w:szCs w:val="24"/>
        </w:rPr>
        <w:t>illustrates</w:t>
      </w:r>
      <w:r w:rsidRPr="00840C8E">
        <w:rPr>
          <w:szCs w:val="24"/>
        </w:rPr>
        <w:t xml:space="preserve"> that flexibility is not only expected but is central to how employees evaluate whether to remain </w:t>
      </w:r>
      <w:r w:rsidR="00056200" w:rsidRPr="00840C8E">
        <w:rPr>
          <w:szCs w:val="24"/>
        </w:rPr>
        <w:t>at NCC.</w:t>
      </w:r>
    </w:p>
    <w:p w14:paraId="3AC6FCF0" w14:textId="2706B405" w:rsidR="006A5985" w:rsidRPr="00840C8E" w:rsidRDefault="006A5985" w:rsidP="00ED69CB">
      <w:pPr>
        <w:spacing w:line="360" w:lineRule="auto"/>
        <w:jc w:val="both"/>
        <w:rPr>
          <w:b/>
          <w:bCs/>
          <w:szCs w:val="24"/>
        </w:rPr>
      </w:pPr>
      <w:r w:rsidRPr="00840C8E">
        <w:rPr>
          <w:b/>
          <w:bCs/>
          <w:szCs w:val="24"/>
        </w:rPr>
        <w:t xml:space="preserve">Objective 3: To critically evaluate the effectiveness and alignment of current </w:t>
      </w:r>
      <w:r w:rsidR="009F304D" w:rsidRPr="00840C8E">
        <w:rPr>
          <w:b/>
          <w:bCs/>
          <w:szCs w:val="24"/>
        </w:rPr>
        <w:t>TM</w:t>
      </w:r>
      <w:r w:rsidRPr="00840C8E">
        <w:rPr>
          <w:b/>
          <w:bCs/>
          <w:szCs w:val="24"/>
        </w:rPr>
        <w:t xml:space="preserve"> strategies and initiatives in attracting and retaining Gen Z employees within local </w:t>
      </w:r>
      <w:r w:rsidR="00203F55" w:rsidRPr="00840C8E">
        <w:rPr>
          <w:b/>
          <w:bCs/>
          <w:szCs w:val="24"/>
        </w:rPr>
        <w:t>government.</w:t>
      </w:r>
    </w:p>
    <w:p w14:paraId="2CCFF0F3" w14:textId="04C1454D" w:rsidR="00862E60" w:rsidRPr="00840C8E" w:rsidRDefault="006A5985" w:rsidP="00ED69CB">
      <w:pPr>
        <w:spacing w:line="360" w:lineRule="auto"/>
        <w:jc w:val="both"/>
        <w:rPr>
          <w:szCs w:val="24"/>
        </w:rPr>
      </w:pPr>
      <w:r w:rsidRPr="00840C8E">
        <w:rPr>
          <w:szCs w:val="24"/>
        </w:rPr>
        <w:t xml:space="preserve">NCC’s current </w:t>
      </w:r>
      <w:r w:rsidR="009F304D" w:rsidRPr="00840C8E">
        <w:rPr>
          <w:szCs w:val="24"/>
        </w:rPr>
        <w:t>TM</w:t>
      </w:r>
      <w:r w:rsidRPr="00840C8E">
        <w:rPr>
          <w:szCs w:val="24"/>
        </w:rPr>
        <w:t xml:space="preserve"> approach is perceived as only partially effective by Gen Z employees, largely because key elements of the strategy are not consistently visible, understood or experienced as relevant. This is particularly evident in relation to the low level of familiarity with the Council’s </w:t>
      </w:r>
      <w:r w:rsidR="009F304D" w:rsidRPr="00840C8E">
        <w:rPr>
          <w:szCs w:val="24"/>
        </w:rPr>
        <w:t>TM</w:t>
      </w:r>
      <w:r w:rsidRPr="00840C8E">
        <w:rPr>
          <w:szCs w:val="24"/>
        </w:rPr>
        <w:t xml:space="preserve"> Framework. A total of 57.3% of respondents disagreed or strongly disagreed that they were familiar with it, 22.9% selected neutral and only 19.8% agreed or strongly </w:t>
      </w:r>
      <w:r w:rsidR="0005159F" w:rsidRPr="00840C8E">
        <w:rPr>
          <w:szCs w:val="24"/>
        </w:rPr>
        <w:t>agreed (</w:t>
      </w:r>
      <w:r w:rsidR="0005159F" w:rsidRPr="002D7FDA">
        <w:rPr>
          <w:szCs w:val="24"/>
        </w:rPr>
        <w:t>see Figure 4.6)</w:t>
      </w:r>
      <w:r w:rsidRPr="002D7FDA">
        <w:rPr>
          <w:szCs w:val="24"/>
        </w:rPr>
        <w:t xml:space="preserve">. When asked whether the framework meets their needs, 46.9% selected a neutral response and among these respondents, 91.1% also reported limited familiarity or uncertainty. </w:t>
      </w:r>
      <w:r w:rsidR="00862E60" w:rsidRPr="002D7FDA">
        <w:rPr>
          <w:szCs w:val="24"/>
        </w:rPr>
        <w:t>This implies that many employees are unable to evaluate the framework meaningfully due to limited awareness, indicating</w:t>
      </w:r>
      <w:r w:rsidR="00862E60" w:rsidRPr="00840C8E">
        <w:rPr>
          <w:szCs w:val="24"/>
        </w:rPr>
        <w:t xml:space="preserve"> t</w:t>
      </w:r>
      <w:r w:rsidR="000C7747" w:rsidRPr="00840C8E">
        <w:rPr>
          <w:szCs w:val="24"/>
        </w:rPr>
        <w:t>h</w:t>
      </w:r>
      <w:r w:rsidR="00862E60" w:rsidRPr="00840C8E">
        <w:rPr>
          <w:szCs w:val="24"/>
        </w:rPr>
        <w:t>at the issue relates less to its existence and more to its visibility and accessibility.</w:t>
      </w:r>
    </w:p>
    <w:p w14:paraId="1AA9083C" w14:textId="77777777" w:rsidR="000C7747" w:rsidRPr="00840C8E" w:rsidRDefault="000C7747" w:rsidP="00ED69CB">
      <w:pPr>
        <w:spacing w:line="360" w:lineRule="auto"/>
        <w:jc w:val="both"/>
        <w:rPr>
          <w:szCs w:val="24"/>
        </w:rPr>
      </w:pPr>
    </w:p>
    <w:p w14:paraId="2648BC6A" w14:textId="77777777" w:rsidR="0005159F" w:rsidRPr="00840C8E" w:rsidRDefault="0005159F" w:rsidP="0005159F">
      <w:pPr>
        <w:keepNext/>
        <w:spacing w:line="360" w:lineRule="auto"/>
        <w:jc w:val="both"/>
      </w:pPr>
      <w:r w:rsidRPr="00840C8E">
        <w:rPr>
          <w:b/>
          <w:bCs/>
          <w:noProof/>
          <w:szCs w:val="24"/>
        </w:rPr>
        <w:lastRenderedPageBreak/>
        <w:drawing>
          <wp:inline distT="0" distB="0" distL="0" distR="0" wp14:anchorId="2DC0DE25" wp14:editId="130EDDAE">
            <wp:extent cx="5731510" cy="3030220"/>
            <wp:effectExtent l="0" t="0" r="2540" b="0"/>
            <wp:docPr id="1339236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236580" name=""/>
                    <pic:cNvPicPr/>
                  </pic:nvPicPr>
                  <pic:blipFill>
                    <a:blip r:embed="rId16"/>
                    <a:stretch>
                      <a:fillRect/>
                    </a:stretch>
                  </pic:blipFill>
                  <pic:spPr>
                    <a:xfrm>
                      <a:off x="0" y="0"/>
                      <a:ext cx="5731510" cy="3030220"/>
                    </a:xfrm>
                    <a:prstGeom prst="rect">
                      <a:avLst/>
                    </a:prstGeom>
                  </pic:spPr>
                </pic:pic>
              </a:graphicData>
            </a:graphic>
          </wp:inline>
        </w:drawing>
      </w:r>
    </w:p>
    <w:p w14:paraId="4DA0059D" w14:textId="507993CB" w:rsidR="0005159F" w:rsidRPr="00840C8E" w:rsidRDefault="0005159F" w:rsidP="0005159F">
      <w:pPr>
        <w:pStyle w:val="Caption"/>
        <w:jc w:val="both"/>
      </w:pPr>
      <w:bookmarkStart w:id="101" w:name="_Toc234320782"/>
      <w:r w:rsidRPr="00840C8E">
        <w:t xml:space="preserve">Figure 4.6: Familiarity with the Talent Framework (Question </w:t>
      </w:r>
      <w:r w:rsidR="0042275B" w:rsidRPr="00840C8E">
        <w:t>6</w:t>
      </w:r>
      <w:r w:rsidRPr="00840C8E">
        <w:t>)</w:t>
      </w:r>
      <w:bookmarkEnd w:id="101"/>
    </w:p>
    <w:p w14:paraId="198459A1" w14:textId="4059852A" w:rsidR="000A032E" w:rsidRPr="00840C8E" w:rsidRDefault="001D2535" w:rsidP="00ED69CB">
      <w:pPr>
        <w:spacing w:line="360" w:lineRule="auto"/>
        <w:jc w:val="both"/>
        <w:rPr>
          <w:szCs w:val="24"/>
        </w:rPr>
      </w:pPr>
      <w:r w:rsidRPr="00840C8E">
        <w:rPr>
          <w:szCs w:val="24"/>
        </w:rPr>
        <w:t xml:space="preserve">This lack of visibility is also reflected in wider evaluations of </w:t>
      </w:r>
      <w:r w:rsidR="009F304D" w:rsidRPr="00840C8E">
        <w:rPr>
          <w:szCs w:val="24"/>
        </w:rPr>
        <w:t>TM</w:t>
      </w:r>
      <w:r w:rsidRPr="00840C8E">
        <w:rPr>
          <w:szCs w:val="24"/>
        </w:rPr>
        <w:t xml:space="preserve">. When asked to rate NCC’s overall approach to </w:t>
      </w:r>
      <w:r w:rsidR="009F304D" w:rsidRPr="00840C8E">
        <w:rPr>
          <w:szCs w:val="24"/>
        </w:rPr>
        <w:t>TM</w:t>
      </w:r>
      <w:r w:rsidRPr="00840C8E">
        <w:rPr>
          <w:szCs w:val="24"/>
        </w:rPr>
        <w:t>, respondents produced a Net Promoter Score of −53</w:t>
      </w:r>
      <w:r w:rsidR="0005159F" w:rsidRPr="00840C8E">
        <w:rPr>
          <w:szCs w:val="24"/>
        </w:rPr>
        <w:t xml:space="preserve"> (</w:t>
      </w:r>
      <w:r w:rsidR="0005159F" w:rsidRPr="002D7FDA">
        <w:rPr>
          <w:szCs w:val="24"/>
        </w:rPr>
        <w:t>see Figure 4.7)</w:t>
      </w:r>
      <w:r w:rsidRPr="002D7FDA">
        <w:rPr>
          <w:szCs w:val="24"/>
        </w:rPr>
        <w:t>,</w:t>
      </w:r>
      <w:r w:rsidRPr="00840C8E">
        <w:rPr>
          <w:szCs w:val="24"/>
        </w:rPr>
        <w:t xml:space="preserve"> with a clear majority of detractors (56) compared to only five promoters. In contrast, when asked how likely they were to recommend NCC as an employer, the NPS improved to −22, with a more balanced distribution between detractors (36) and promoters (15). This distinction is important, as it indicates that while respondents are relatively more willing to recommend NCC as an employer, they are significantly less positive about its </w:t>
      </w:r>
      <w:r w:rsidR="009F304D" w:rsidRPr="00840C8E">
        <w:rPr>
          <w:szCs w:val="24"/>
        </w:rPr>
        <w:t>TM</w:t>
      </w:r>
      <w:r w:rsidRPr="00840C8E">
        <w:rPr>
          <w:szCs w:val="24"/>
        </w:rPr>
        <w:t xml:space="preserve"> practices specifically. </w:t>
      </w:r>
      <w:r w:rsidR="00966968" w:rsidRPr="00840C8E">
        <w:rPr>
          <w:szCs w:val="24"/>
        </w:rPr>
        <w:t xml:space="preserve">The data suggest that </w:t>
      </w:r>
      <w:r w:rsidR="000A032E" w:rsidRPr="00840C8E">
        <w:rPr>
          <w:szCs w:val="24"/>
        </w:rPr>
        <w:t xml:space="preserve">dissatisfaction is not directed at the organisation </w:t>
      </w:r>
      <w:proofErr w:type="gramStart"/>
      <w:r w:rsidR="000A032E" w:rsidRPr="00840C8E">
        <w:rPr>
          <w:szCs w:val="24"/>
        </w:rPr>
        <w:t>as a whole but</w:t>
      </w:r>
      <w:proofErr w:type="gramEnd"/>
      <w:r w:rsidR="000A032E" w:rsidRPr="00840C8E">
        <w:rPr>
          <w:szCs w:val="24"/>
        </w:rPr>
        <w:t xml:space="preserve"> is more </w:t>
      </w:r>
      <w:r w:rsidR="00ED69CB" w:rsidRPr="00840C8E">
        <w:rPr>
          <w:szCs w:val="24"/>
        </w:rPr>
        <w:t>strongly associated</w:t>
      </w:r>
      <w:r w:rsidR="000A032E" w:rsidRPr="00840C8E">
        <w:rPr>
          <w:szCs w:val="24"/>
        </w:rPr>
        <w:t xml:space="preserve"> with how development and progression opportunities are experienced by employees.</w:t>
      </w:r>
    </w:p>
    <w:p w14:paraId="065310B8" w14:textId="77777777" w:rsidR="0005159F" w:rsidRPr="00840C8E" w:rsidRDefault="0005159F" w:rsidP="0005159F">
      <w:pPr>
        <w:keepNext/>
        <w:spacing w:line="360" w:lineRule="auto"/>
        <w:jc w:val="both"/>
      </w:pPr>
      <w:r w:rsidRPr="00840C8E">
        <w:rPr>
          <w:b/>
          <w:bCs/>
          <w:noProof/>
          <w:szCs w:val="24"/>
        </w:rPr>
        <w:drawing>
          <wp:inline distT="0" distB="0" distL="0" distR="0" wp14:anchorId="17D2F2B8" wp14:editId="17AF6945">
            <wp:extent cx="5731510" cy="1821180"/>
            <wp:effectExtent l="0" t="0" r="2540" b="7620"/>
            <wp:docPr id="1715912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912687" name=""/>
                    <pic:cNvPicPr/>
                  </pic:nvPicPr>
                  <pic:blipFill>
                    <a:blip r:embed="rId17"/>
                    <a:stretch>
                      <a:fillRect/>
                    </a:stretch>
                  </pic:blipFill>
                  <pic:spPr>
                    <a:xfrm>
                      <a:off x="0" y="0"/>
                      <a:ext cx="5731510" cy="1821180"/>
                    </a:xfrm>
                    <a:prstGeom prst="rect">
                      <a:avLst/>
                    </a:prstGeom>
                  </pic:spPr>
                </pic:pic>
              </a:graphicData>
            </a:graphic>
          </wp:inline>
        </w:drawing>
      </w:r>
    </w:p>
    <w:p w14:paraId="301EF83D" w14:textId="201EA8BE" w:rsidR="0005159F" w:rsidRPr="00840C8E" w:rsidRDefault="0005159F" w:rsidP="0005159F">
      <w:pPr>
        <w:pStyle w:val="Caption"/>
        <w:jc w:val="both"/>
      </w:pPr>
      <w:bookmarkStart w:id="102" w:name="_Toc234320783"/>
      <w:r w:rsidRPr="00840C8E">
        <w:t xml:space="preserve">Figure 4.7: Net Promoter Score for </w:t>
      </w:r>
      <w:r w:rsidR="009F304D" w:rsidRPr="00840C8E">
        <w:t>TM</w:t>
      </w:r>
      <w:r w:rsidRPr="00840C8E">
        <w:t xml:space="preserve"> approach (Question 15)</w:t>
      </w:r>
      <w:bookmarkEnd w:id="102"/>
    </w:p>
    <w:p w14:paraId="1AE6DF24" w14:textId="2F2612C7" w:rsidR="0005159F" w:rsidRPr="00840C8E" w:rsidRDefault="0005159F" w:rsidP="0005159F">
      <w:pPr>
        <w:pStyle w:val="Caption"/>
        <w:jc w:val="both"/>
        <w:rPr>
          <w:szCs w:val="24"/>
        </w:rPr>
      </w:pPr>
    </w:p>
    <w:p w14:paraId="23FC0869" w14:textId="2A41ED90" w:rsidR="001D2535" w:rsidRPr="00840C8E" w:rsidRDefault="006A5985" w:rsidP="00ED69CB">
      <w:pPr>
        <w:spacing w:line="360" w:lineRule="auto"/>
        <w:jc w:val="both"/>
        <w:rPr>
          <w:szCs w:val="24"/>
        </w:rPr>
      </w:pPr>
      <w:r w:rsidRPr="00840C8E">
        <w:rPr>
          <w:szCs w:val="24"/>
        </w:rPr>
        <w:lastRenderedPageBreak/>
        <w:t xml:space="preserve">Perceptions of </w:t>
      </w:r>
      <w:r w:rsidR="00AC4313" w:rsidRPr="00840C8E">
        <w:rPr>
          <w:szCs w:val="24"/>
        </w:rPr>
        <w:t>NCC</w:t>
      </w:r>
      <w:r w:rsidRPr="00840C8E">
        <w:rPr>
          <w:szCs w:val="24"/>
        </w:rPr>
        <w:t xml:space="preserve"> as an employer provide further insight into these findings. Respondents </w:t>
      </w:r>
      <w:r w:rsidR="00681D8D" w:rsidRPr="00840C8E">
        <w:rPr>
          <w:szCs w:val="24"/>
        </w:rPr>
        <w:t>identified the organisation a</w:t>
      </w:r>
      <w:r w:rsidRPr="00840C8E">
        <w:rPr>
          <w:szCs w:val="24"/>
        </w:rPr>
        <w:t>s stable (3</w:t>
      </w:r>
      <w:r w:rsidR="002048FE" w:rsidRPr="00840C8E">
        <w:rPr>
          <w:szCs w:val="24"/>
        </w:rPr>
        <w:t>1</w:t>
      </w:r>
      <w:r w:rsidRPr="00840C8E">
        <w:rPr>
          <w:szCs w:val="24"/>
        </w:rPr>
        <w:t>.</w:t>
      </w:r>
      <w:r w:rsidR="00840C8E" w:rsidRPr="00840C8E">
        <w:rPr>
          <w:szCs w:val="24"/>
        </w:rPr>
        <w:t>3</w:t>
      </w:r>
      <w:r w:rsidRPr="00840C8E">
        <w:rPr>
          <w:szCs w:val="24"/>
        </w:rPr>
        <w:t>%) and inclusive (</w:t>
      </w:r>
      <w:r w:rsidR="002048FE" w:rsidRPr="00840C8E">
        <w:rPr>
          <w:szCs w:val="24"/>
        </w:rPr>
        <w:t>30</w:t>
      </w:r>
      <w:r w:rsidRPr="00840C8E">
        <w:rPr>
          <w:szCs w:val="24"/>
        </w:rPr>
        <w:t>.</w:t>
      </w:r>
      <w:r w:rsidR="002048FE" w:rsidRPr="00840C8E">
        <w:rPr>
          <w:szCs w:val="24"/>
        </w:rPr>
        <w:t>2</w:t>
      </w:r>
      <w:r w:rsidRPr="00840C8E">
        <w:rPr>
          <w:szCs w:val="24"/>
        </w:rPr>
        <w:t>%) however, a substantial proportion also selected slow-moving (</w:t>
      </w:r>
      <w:r w:rsidR="002048FE" w:rsidRPr="00840C8E">
        <w:rPr>
          <w:szCs w:val="24"/>
        </w:rPr>
        <w:t>26</w:t>
      </w:r>
      <w:r w:rsidRPr="00840C8E">
        <w:rPr>
          <w:szCs w:val="24"/>
        </w:rPr>
        <w:t>.</w:t>
      </w:r>
      <w:r w:rsidR="002048FE" w:rsidRPr="00840C8E">
        <w:rPr>
          <w:szCs w:val="24"/>
        </w:rPr>
        <w:t>0</w:t>
      </w:r>
      <w:r w:rsidRPr="00840C8E">
        <w:rPr>
          <w:szCs w:val="24"/>
        </w:rPr>
        <w:t>%), hierarchical (21.</w:t>
      </w:r>
      <w:r w:rsidR="002048FE" w:rsidRPr="00840C8E">
        <w:rPr>
          <w:szCs w:val="24"/>
        </w:rPr>
        <w:t>9</w:t>
      </w:r>
      <w:r w:rsidRPr="00840C8E">
        <w:rPr>
          <w:szCs w:val="24"/>
        </w:rPr>
        <w:t>%), outdated (15.</w:t>
      </w:r>
      <w:r w:rsidR="002048FE" w:rsidRPr="00840C8E">
        <w:rPr>
          <w:szCs w:val="24"/>
        </w:rPr>
        <w:t>6</w:t>
      </w:r>
      <w:r w:rsidRPr="00840C8E">
        <w:rPr>
          <w:szCs w:val="24"/>
        </w:rPr>
        <w:t>%), traditional (15.</w:t>
      </w:r>
      <w:r w:rsidR="002048FE" w:rsidRPr="00840C8E">
        <w:rPr>
          <w:szCs w:val="24"/>
        </w:rPr>
        <w:t>6</w:t>
      </w:r>
      <w:r w:rsidRPr="00840C8E">
        <w:rPr>
          <w:szCs w:val="24"/>
        </w:rPr>
        <w:t>%) and bureaucratic (14.</w:t>
      </w:r>
      <w:r w:rsidR="002048FE" w:rsidRPr="00840C8E">
        <w:rPr>
          <w:szCs w:val="24"/>
        </w:rPr>
        <w:t>6</w:t>
      </w:r>
      <w:r w:rsidRPr="00840C8E">
        <w:rPr>
          <w:szCs w:val="24"/>
        </w:rPr>
        <w:t>%)</w:t>
      </w:r>
      <w:r w:rsidR="00681D8D" w:rsidRPr="00840C8E">
        <w:rPr>
          <w:szCs w:val="24"/>
        </w:rPr>
        <w:t xml:space="preserve"> (</w:t>
      </w:r>
      <w:r w:rsidR="00681D8D" w:rsidRPr="002D7FDA">
        <w:rPr>
          <w:szCs w:val="24"/>
        </w:rPr>
        <w:t>see Figure 4.8)</w:t>
      </w:r>
      <w:r w:rsidRPr="002D7FDA">
        <w:rPr>
          <w:szCs w:val="24"/>
        </w:rPr>
        <w:t>.</w:t>
      </w:r>
      <w:r w:rsidRPr="00840C8E">
        <w:rPr>
          <w:szCs w:val="24"/>
        </w:rPr>
        <w:t xml:space="preserve"> By contrast, only 6.</w:t>
      </w:r>
      <w:r w:rsidR="00840C8E" w:rsidRPr="00840C8E">
        <w:rPr>
          <w:szCs w:val="24"/>
        </w:rPr>
        <w:t>3</w:t>
      </w:r>
      <w:r w:rsidRPr="00840C8E">
        <w:rPr>
          <w:szCs w:val="24"/>
        </w:rPr>
        <w:t xml:space="preserve">% described it as innovative and 5.2% as modern. </w:t>
      </w:r>
      <w:r w:rsidR="0031128D" w:rsidRPr="00840C8E">
        <w:rPr>
          <w:szCs w:val="24"/>
        </w:rPr>
        <w:t>The results indicate</w:t>
      </w:r>
      <w:r w:rsidR="001D2535" w:rsidRPr="00840C8E">
        <w:rPr>
          <w:szCs w:val="24"/>
        </w:rPr>
        <w:t xml:space="preserve"> that while local government is associated with stability and inclusion, it is less strongly perceived as modern or progressive.</w:t>
      </w:r>
    </w:p>
    <w:p w14:paraId="70F5D646" w14:textId="77777777" w:rsidR="00681D8D" w:rsidRPr="00840C8E" w:rsidRDefault="0005159F" w:rsidP="00681D8D">
      <w:pPr>
        <w:keepNext/>
        <w:spacing w:line="360" w:lineRule="auto"/>
        <w:jc w:val="both"/>
      </w:pPr>
      <w:r w:rsidRPr="00840C8E">
        <w:rPr>
          <w:b/>
          <w:bCs/>
          <w:noProof/>
          <w:szCs w:val="24"/>
        </w:rPr>
        <w:drawing>
          <wp:inline distT="0" distB="0" distL="0" distR="0" wp14:anchorId="25F897DA" wp14:editId="26AF29D3">
            <wp:extent cx="5731510" cy="3141980"/>
            <wp:effectExtent l="0" t="0" r="2540" b="1270"/>
            <wp:docPr id="2022518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518047" name=""/>
                    <pic:cNvPicPr/>
                  </pic:nvPicPr>
                  <pic:blipFill>
                    <a:blip r:embed="rId18"/>
                    <a:stretch>
                      <a:fillRect/>
                    </a:stretch>
                  </pic:blipFill>
                  <pic:spPr>
                    <a:xfrm>
                      <a:off x="0" y="0"/>
                      <a:ext cx="5731510" cy="3141980"/>
                    </a:xfrm>
                    <a:prstGeom prst="rect">
                      <a:avLst/>
                    </a:prstGeom>
                  </pic:spPr>
                </pic:pic>
              </a:graphicData>
            </a:graphic>
          </wp:inline>
        </w:drawing>
      </w:r>
    </w:p>
    <w:p w14:paraId="193DF9BD" w14:textId="3FBA94D2" w:rsidR="00681D8D" w:rsidRPr="00840C8E" w:rsidRDefault="00681D8D" w:rsidP="00681D8D">
      <w:pPr>
        <w:pStyle w:val="Caption"/>
        <w:jc w:val="both"/>
      </w:pPr>
      <w:bookmarkStart w:id="103" w:name="_Toc234320784"/>
      <w:r w:rsidRPr="00840C8E">
        <w:t>Figure 4.8: Perceptions of NCC as an employer (Question 13)</w:t>
      </w:r>
      <w:bookmarkEnd w:id="103"/>
    </w:p>
    <w:p w14:paraId="704A81F8" w14:textId="6B1B43BF" w:rsidR="006A5985" w:rsidRPr="00840C8E" w:rsidRDefault="006A5985" w:rsidP="00ED69CB">
      <w:pPr>
        <w:spacing w:line="360" w:lineRule="auto"/>
        <w:jc w:val="both"/>
        <w:rPr>
          <w:szCs w:val="24"/>
        </w:rPr>
      </w:pPr>
      <w:r w:rsidRPr="00840C8E">
        <w:rPr>
          <w:szCs w:val="24"/>
        </w:rPr>
        <w:t xml:space="preserve">Digital capability further shapes how </w:t>
      </w:r>
      <w:r w:rsidR="00056200" w:rsidRPr="00840C8E">
        <w:rPr>
          <w:szCs w:val="24"/>
        </w:rPr>
        <w:t>NCC</w:t>
      </w:r>
      <w:r w:rsidRPr="00840C8E">
        <w:rPr>
          <w:szCs w:val="24"/>
        </w:rPr>
        <w:t xml:space="preserve"> is perceived in terms of modernity and innovation. 73% agreed or strongly agreed that they would prefer to work for employers who are modern and digitally advanced, while 57.3% agreed or strongly agreed that enhancing digital tools would improve engagement and influence retention. The qualitative findings reinforce this interpretation. </w:t>
      </w:r>
      <w:r w:rsidR="00AC4313" w:rsidRPr="00840C8E">
        <w:rPr>
          <w:szCs w:val="24"/>
        </w:rPr>
        <w:t>The theme digital systems, skills and modernisation generated 15 coded references, with participants repeatedly referring to older systems and outdated processes as indications that th</w:t>
      </w:r>
      <w:r w:rsidR="00056200" w:rsidRPr="00840C8E">
        <w:rPr>
          <w:szCs w:val="24"/>
        </w:rPr>
        <w:t>e Council</w:t>
      </w:r>
      <w:r w:rsidR="00AC4313" w:rsidRPr="00840C8E">
        <w:rPr>
          <w:szCs w:val="24"/>
        </w:rPr>
        <w:t xml:space="preserve"> has not kept pace with modern workplace expectations</w:t>
      </w:r>
      <w:r w:rsidRPr="00840C8E">
        <w:rPr>
          <w:szCs w:val="24"/>
        </w:rPr>
        <w:t xml:space="preserve">. One respondent referred to “outdated digital systems i.e. IDOX, </w:t>
      </w:r>
      <w:r w:rsidR="00345A33" w:rsidRPr="00840C8E">
        <w:rPr>
          <w:szCs w:val="24"/>
        </w:rPr>
        <w:t>People Safe</w:t>
      </w:r>
      <w:r w:rsidRPr="00840C8E">
        <w:rPr>
          <w:szCs w:val="24"/>
        </w:rPr>
        <w:t xml:space="preserve"> app” (P23), while another described NCC as being “stuck in the ‘past’” (P52). P79 reduced the same issue to a single word recommendation: “Modernise.” These comments indicate that digital capability is interpreted not only as a functional issue but as a reflection of how modern and responsive NCC is perceived to be.</w:t>
      </w:r>
    </w:p>
    <w:p w14:paraId="7568F529" w14:textId="701F3524" w:rsidR="006A5985" w:rsidRPr="00840C8E" w:rsidRDefault="006A5985" w:rsidP="00ED69CB">
      <w:pPr>
        <w:spacing w:line="360" w:lineRule="auto"/>
        <w:jc w:val="both"/>
        <w:rPr>
          <w:szCs w:val="24"/>
        </w:rPr>
      </w:pPr>
      <w:r w:rsidRPr="00840C8E">
        <w:rPr>
          <w:szCs w:val="24"/>
        </w:rPr>
        <w:lastRenderedPageBreak/>
        <w:t xml:space="preserve">A lack of awareness and visibility of </w:t>
      </w:r>
      <w:r w:rsidR="009F304D" w:rsidRPr="00840C8E">
        <w:rPr>
          <w:szCs w:val="24"/>
        </w:rPr>
        <w:t>TM</w:t>
      </w:r>
      <w:r w:rsidRPr="00840C8E">
        <w:rPr>
          <w:szCs w:val="24"/>
        </w:rPr>
        <w:t xml:space="preserve"> initiatives is also evident in qualitative responses. P50 explained they were unaware these </w:t>
      </w:r>
      <w:r w:rsidR="009F304D" w:rsidRPr="00840C8E">
        <w:rPr>
          <w:szCs w:val="24"/>
        </w:rPr>
        <w:t>TM</w:t>
      </w:r>
      <w:r w:rsidRPr="00840C8E">
        <w:rPr>
          <w:szCs w:val="24"/>
        </w:rPr>
        <w:t xml:space="preserve"> practices existed before this survey and suggested that it would be helpful to meet with someone who could provide advice on progression at NCC. P79 similarly commented, “This is the first I’ve heard of </w:t>
      </w:r>
      <w:r w:rsidR="009F304D" w:rsidRPr="00840C8E">
        <w:rPr>
          <w:szCs w:val="24"/>
        </w:rPr>
        <w:t>TM</w:t>
      </w:r>
      <w:r w:rsidRPr="00840C8E">
        <w:rPr>
          <w:szCs w:val="24"/>
        </w:rPr>
        <w:t xml:space="preserve"> practices.” P54 questioned the visibility of longer-term impact by noting that “it would be good to know from the last wave of apprenticeships how many retained a career within NCC.” These comments indicate that the issue is not only whether opportunities such as apprenticeships, shadowing or development routes exis</w:t>
      </w:r>
      <w:r w:rsidR="006C72F7" w:rsidRPr="00840C8E">
        <w:rPr>
          <w:szCs w:val="24"/>
        </w:rPr>
        <w:t>t</w:t>
      </w:r>
      <w:r w:rsidRPr="00840C8E">
        <w:rPr>
          <w:szCs w:val="24"/>
        </w:rPr>
        <w:t xml:space="preserve"> but whether employees can see how those initiatives contribute to actual progression</w:t>
      </w:r>
      <w:r w:rsidR="00AC4313" w:rsidRPr="00840C8E">
        <w:rPr>
          <w:szCs w:val="24"/>
        </w:rPr>
        <w:t xml:space="preserve"> and retention. </w:t>
      </w:r>
    </w:p>
    <w:p w14:paraId="56921FA7" w14:textId="28D89E88" w:rsidR="006A5985" w:rsidRPr="00ED69CB" w:rsidRDefault="006A5985" w:rsidP="00ED69CB">
      <w:pPr>
        <w:spacing w:line="360" w:lineRule="auto"/>
        <w:jc w:val="both"/>
        <w:rPr>
          <w:szCs w:val="24"/>
        </w:rPr>
      </w:pPr>
      <w:r w:rsidRPr="00840C8E">
        <w:rPr>
          <w:szCs w:val="24"/>
        </w:rPr>
        <w:t>This is reinforced by wider development findings. Respondents clearly valued structured learning, mentoring, coaching and qualifications, with opportunities to gain formal qualifications (6</w:t>
      </w:r>
      <w:r w:rsidR="00840C8E">
        <w:rPr>
          <w:szCs w:val="24"/>
        </w:rPr>
        <w:t>3</w:t>
      </w:r>
      <w:r w:rsidRPr="00840C8E">
        <w:rPr>
          <w:szCs w:val="24"/>
        </w:rPr>
        <w:t>.</w:t>
      </w:r>
      <w:r w:rsidR="00840C8E">
        <w:rPr>
          <w:szCs w:val="24"/>
        </w:rPr>
        <w:t>5</w:t>
      </w:r>
      <w:r w:rsidRPr="00840C8E">
        <w:rPr>
          <w:szCs w:val="24"/>
        </w:rPr>
        <w:t>%), mentoring or coaching (5</w:t>
      </w:r>
      <w:r w:rsidR="00840C8E">
        <w:rPr>
          <w:szCs w:val="24"/>
        </w:rPr>
        <w:t>1</w:t>
      </w:r>
      <w:r w:rsidRPr="00840C8E">
        <w:rPr>
          <w:szCs w:val="24"/>
        </w:rPr>
        <w:t>.</w:t>
      </w:r>
      <w:r w:rsidR="00840C8E">
        <w:rPr>
          <w:szCs w:val="24"/>
        </w:rPr>
        <w:t>0</w:t>
      </w:r>
      <w:r w:rsidRPr="00840C8E">
        <w:rPr>
          <w:szCs w:val="24"/>
        </w:rPr>
        <w:t>%) and job rotation or shadowing (</w:t>
      </w:r>
      <w:r w:rsidR="00840C8E">
        <w:rPr>
          <w:szCs w:val="24"/>
        </w:rPr>
        <w:t>49</w:t>
      </w:r>
      <w:r w:rsidRPr="00840C8E">
        <w:rPr>
          <w:szCs w:val="24"/>
        </w:rPr>
        <w:t>.</w:t>
      </w:r>
      <w:r w:rsidR="00840C8E">
        <w:rPr>
          <w:szCs w:val="24"/>
        </w:rPr>
        <w:t>0</w:t>
      </w:r>
      <w:r w:rsidRPr="00840C8E">
        <w:rPr>
          <w:szCs w:val="24"/>
        </w:rPr>
        <w:t xml:space="preserve">%) among the most frequently selected options. However, fewer than half agreed that there </w:t>
      </w:r>
      <w:r w:rsidR="00203F55" w:rsidRPr="00840C8E">
        <w:rPr>
          <w:szCs w:val="24"/>
        </w:rPr>
        <w:t>were</w:t>
      </w:r>
      <w:r w:rsidRPr="00840C8E">
        <w:rPr>
          <w:szCs w:val="24"/>
        </w:rPr>
        <w:t xml:space="preserve"> a clear career path</w:t>
      </w:r>
      <w:r w:rsidR="00840C8E">
        <w:rPr>
          <w:szCs w:val="24"/>
        </w:rPr>
        <w:t xml:space="preserve"> in their role</w:t>
      </w:r>
      <w:r w:rsidRPr="00840C8E">
        <w:rPr>
          <w:szCs w:val="24"/>
        </w:rPr>
        <w:t xml:space="preserve"> (49</w:t>
      </w:r>
      <w:r w:rsidR="00471BCA" w:rsidRPr="00840C8E">
        <w:rPr>
          <w:szCs w:val="24"/>
        </w:rPr>
        <w:t>.0</w:t>
      </w:r>
      <w:r w:rsidRPr="00840C8E">
        <w:rPr>
          <w:szCs w:val="24"/>
        </w:rPr>
        <w:t xml:space="preserve">%) or clear opportunities for career development within the Council (42.7%). </w:t>
      </w:r>
      <w:r w:rsidR="001E356A" w:rsidRPr="00840C8E">
        <w:rPr>
          <w:szCs w:val="24"/>
        </w:rPr>
        <w:t>These responses</w:t>
      </w:r>
      <w:r w:rsidR="0031128D" w:rsidRPr="00840C8E">
        <w:rPr>
          <w:szCs w:val="24"/>
        </w:rPr>
        <w:t xml:space="preserve"> highlight</w:t>
      </w:r>
      <w:r w:rsidRPr="00840C8E">
        <w:rPr>
          <w:szCs w:val="24"/>
        </w:rPr>
        <w:t xml:space="preserve"> that while elements of the </w:t>
      </w:r>
      <w:r w:rsidR="009F304D" w:rsidRPr="00840C8E">
        <w:rPr>
          <w:szCs w:val="24"/>
        </w:rPr>
        <w:t>TM</w:t>
      </w:r>
      <w:r w:rsidRPr="00840C8E">
        <w:rPr>
          <w:szCs w:val="24"/>
        </w:rPr>
        <w:t xml:space="preserve"> offer are present, they are not experienced as part of a coherent progression pathway.</w:t>
      </w:r>
    </w:p>
    <w:p w14:paraId="5A9302B3" w14:textId="77777777" w:rsidR="00BA655E" w:rsidRPr="00ED69CB" w:rsidRDefault="006A5985" w:rsidP="00ED69CB">
      <w:pPr>
        <w:pStyle w:val="2Sectionheading"/>
        <w:spacing w:line="360" w:lineRule="auto"/>
        <w:jc w:val="both"/>
        <w:rPr>
          <w:rFonts w:cs="Times New Roman"/>
          <w:szCs w:val="24"/>
        </w:rPr>
      </w:pPr>
      <w:bookmarkStart w:id="104" w:name="_Toc234319642"/>
      <w:r w:rsidRPr="00ED69CB">
        <w:rPr>
          <w:rFonts w:cs="Times New Roman"/>
          <w:szCs w:val="24"/>
        </w:rPr>
        <w:t>4.</w:t>
      </w:r>
      <w:r w:rsidR="00402A1C" w:rsidRPr="00ED69CB">
        <w:rPr>
          <w:rFonts w:cs="Times New Roman"/>
          <w:szCs w:val="24"/>
        </w:rPr>
        <w:t>3</w:t>
      </w:r>
      <w:r w:rsidRPr="00ED69CB">
        <w:rPr>
          <w:rFonts w:cs="Times New Roman"/>
          <w:szCs w:val="24"/>
        </w:rPr>
        <w:t xml:space="preserve"> </w:t>
      </w:r>
      <w:r w:rsidR="00BA655E" w:rsidRPr="00ED69CB">
        <w:rPr>
          <w:rFonts w:cs="Times New Roman"/>
          <w:szCs w:val="24"/>
        </w:rPr>
        <w:t>Key Findings and Discussion</w:t>
      </w:r>
      <w:bookmarkEnd w:id="104"/>
    </w:p>
    <w:p w14:paraId="12B738C8" w14:textId="54DB77E0" w:rsidR="006A5985" w:rsidRPr="00E03DFB" w:rsidRDefault="006A5985" w:rsidP="00E03DFB">
      <w:pPr>
        <w:pStyle w:val="Uni-Normal"/>
        <w:rPr>
          <w:b/>
          <w:bCs/>
        </w:rPr>
      </w:pPr>
      <w:r w:rsidRPr="00E03DFB">
        <w:rPr>
          <w:b/>
          <w:bCs/>
        </w:rPr>
        <w:t>Career Progression, Learning and Development</w:t>
      </w:r>
    </w:p>
    <w:p w14:paraId="1A09FA8B" w14:textId="63D6A947" w:rsidR="006A5985" w:rsidRPr="00ED69CB" w:rsidRDefault="006A5985" w:rsidP="00ED69CB">
      <w:pPr>
        <w:spacing w:line="360" w:lineRule="auto"/>
        <w:jc w:val="both"/>
        <w:rPr>
          <w:szCs w:val="24"/>
        </w:rPr>
      </w:pPr>
      <w:r w:rsidRPr="00ED69CB">
        <w:rPr>
          <w:szCs w:val="24"/>
        </w:rPr>
        <w:t>Career progression, learning and development emerged as central factors shaping the Gen Z employee experience, aligning with literature that identifies growth and progression as key expectations among this cohort (Iorgulescu, 2016; Silicon UK, 2024). Public sector research similarly highlights development and progression as important for attracting and retaining younger employees (</w:t>
      </w:r>
      <w:r w:rsidR="00922985" w:rsidRPr="00ED69CB">
        <w:rPr>
          <w:szCs w:val="24"/>
        </w:rPr>
        <w:t>Forvis Mazars</w:t>
      </w:r>
      <w:r w:rsidRPr="00ED69CB">
        <w:rPr>
          <w:szCs w:val="24"/>
        </w:rPr>
        <w:t xml:space="preserve">, 2023; Deegan et al., 2024). Deegan et al. (2024) are particularly relevant, finding that early-career employees in local government often expressed frustration at “hitting the ceiling” when promotion opportunities did not align with their career ambitions. </w:t>
      </w:r>
      <w:r w:rsidR="00AC4313" w:rsidRPr="00ED69CB">
        <w:rPr>
          <w:szCs w:val="24"/>
        </w:rPr>
        <w:t>Within NCC, a similar pattern emerges, with unclear progression routes creating a disconnect between the development opportunities available and employees’ expectations of career progression.</w:t>
      </w:r>
      <w:r w:rsidR="00EC606D" w:rsidRPr="00ED69CB">
        <w:rPr>
          <w:b/>
          <w:bCs/>
          <w:szCs w:val="24"/>
        </w:rPr>
        <w:t xml:space="preserve"> </w:t>
      </w:r>
      <w:r w:rsidR="00EC606D" w:rsidRPr="00ED69CB">
        <w:rPr>
          <w:szCs w:val="24"/>
        </w:rPr>
        <w:t>This finding is particularly significant in the context of workforce ageing and succession planning, as limited progression visibility may weaken NCC’s ability to retain younger employees needed to replace future skills, knowledge and leadership capacity (Calo, 2008; OECD, 2021; Deegan et al., 2024).</w:t>
      </w:r>
    </w:p>
    <w:p w14:paraId="0BDD6E95" w14:textId="5E2A6B60" w:rsidR="006A5985" w:rsidRPr="00ED69CB" w:rsidRDefault="006A5985" w:rsidP="00ED69CB">
      <w:pPr>
        <w:spacing w:line="360" w:lineRule="auto"/>
        <w:jc w:val="both"/>
        <w:rPr>
          <w:szCs w:val="24"/>
        </w:rPr>
      </w:pPr>
      <w:r w:rsidRPr="00ED69CB">
        <w:rPr>
          <w:szCs w:val="24"/>
        </w:rPr>
        <w:lastRenderedPageBreak/>
        <w:t>The findings also provide further insight into self-directed learning. Although Gen Z is often described as proactive, digitally confident and self-directed (Pandita, 2022), survey responses suggested a lower preference for self-directed or online learning and revealed a stronger preference for structured learning, such as gaining formal qualifications or through mentoring and coaching. The findings therefore challenge both Pandita’s (2022) description of Gen Z as self-directed learners and Agarwal and Vaghela’s (2018) argument that Gen Z prefers fast, on-demand and flexible learning. Instead, in this context, learning appears to be valued most when it is organised, recognised and clearly linked to progression.</w:t>
      </w:r>
      <w:r w:rsidRPr="00ED69CB">
        <w:rPr>
          <w:rFonts w:eastAsia="Times New Roman"/>
          <w:szCs w:val="24"/>
          <w:lang w:eastAsia="en-GB"/>
        </w:rPr>
        <w:t xml:space="preserve"> </w:t>
      </w:r>
      <w:r w:rsidRPr="00ED69CB">
        <w:rPr>
          <w:szCs w:val="24"/>
        </w:rPr>
        <w:t xml:space="preserve">Limited awareness of NCC’s </w:t>
      </w:r>
      <w:r w:rsidR="009F304D">
        <w:rPr>
          <w:szCs w:val="24"/>
        </w:rPr>
        <w:t>TM</w:t>
      </w:r>
      <w:r w:rsidRPr="00ED69CB">
        <w:rPr>
          <w:szCs w:val="24"/>
        </w:rPr>
        <w:t xml:space="preserve"> Framework may also contribute to this by reducing the visibility of structured development pathways. </w:t>
      </w:r>
      <w:r w:rsidR="000A032E" w:rsidRPr="00ED69CB">
        <w:rPr>
          <w:szCs w:val="24"/>
        </w:rPr>
        <w:t xml:space="preserve">This reflects wider public sector literature showing that </w:t>
      </w:r>
      <w:r w:rsidR="009F304D">
        <w:rPr>
          <w:szCs w:val="24"/>
        </w:rPr>
        <w:t>TM</w:t>
      </w:r>
      <w:r w:rsidR="000A032E" w:rsidRPr="00ED69CB">
        <w:rPr>
          <w:szCs w:val="24"/>
        </w:rPr>
        <w:t xml:space="preserve"> can be difficult to operationalise where organisations face constraints such as traditional employment models, limited progression routes and workforce planning challenges (Boselie et al., 2017; Kravariti and Johnston, 2020; Forvis Mazars, 2023; Public Services Staff Commission, 2017). </w:t>
      </w:r>
      <w:r w:rsidRPr="00ED69CB">
        <w:rPr>
          <w:szCs w:val="24"/>
        </w:rPr>
        <w:t>Overall, the findings demonstrate that development opportunities are most meaningful when employees can clearly see how learning contributes to future career progression, reinforcing the importance of visible and structured career pathways.</w:t>
      </w:r>
    </w:p>
    <w:p w14:paraId="48E7F390" w14:textId="77777777" w:rsidR="006A5985" w:rsidRPr="00ED69CB" w:rsidRDefault="006A5985" w:rsidP="00ED69CB">
      <w:pPr>
        <w:spacing w:line="360" w:lineRule="auto"/>
        <w:jc w:val="both"/>
        <w:rPr>
          <w:b/>
          <w:bCs/>
          <w:szCs w:val="24"/>
        </w:rPr>
      </w:pPr>
      <w:r w:rsidRPr="00ED69CB">
        <w:rPr>
          <w:b/>
          <w:bCs/>
          <w:szCs w:val="24"/>
        </w:rPr>
        <w:t>Age-Related Bias and Lack of Respect</w:t>
      </w:r>
    </w:p>
    <w:p w14:paraId="7D40E419" w14:textId="58F2445A" w:rsidR="00F72089" w:rsidRPr="00ED69CB" w:rsidRDefault="006A5985" w:rsidP="00ED69CB">
      <w:pPr>
        <w:spacing w:line="360" w:lineRule="auto"/>
        <w:jc w:val="both"/>
        <w:rPr>
          <w:szCs w:val="24"/>
        </w:rPr>
      </w:pPr>
      <w:r w:rsidRPr="00ED69CB">
        <w:rPr>
          <w:szCs w:val="24"/>
        </w:rPr>
        <w:t xml:space="preserve">Experiences of age-related bias and respect provide further insight into how Gen Z employees perceive their role within the organisation. While respondents rated NCC positively in broad terms of inclusion, the qualitative findings revealed more specific concerns around being underestimated or not taken seriously because of age. This supports literature suggesting that Gen Z places strong importance on equality, fair treatment and inclusive workplace cultures (Schroth, 2019; </w:t>
      </w:r>
      <w:r w:rsidR="00BA25F8" w:rsidRPr="00BA25F8">
        <w:rPr>
          <w:szCs w:val="24"/>
        </w:rPr>
        <w:t>Zahra, Handoyo and Fajrianthi, 2025</w:t>
      </w:r>
      <w:r w:rsidRPr="00ED69CB">
        <w:rPr>
          <w:szCs w:val="24"/>
        </w:rPr>
        <w:t xml:space="preserve">) but extends it by showing that inclusion is also experienced through everyday interactions involving age, respect and credibility. It also aligns with literature suggesting that Gen Z may prefer less hierarchical environments where contribution is not limited by job title or seniority (Pandita, 2022; Schroth, 2019). Organisational culture therefore plays a key role in shaping whether employees feel recognised, respected and trusted </w:t>
      </w:r>
      <w:r w:rsidR="000A032E" w:rsidRPr="00ED69CB">
        <w:rPr>
          <w:szCs w:val="24"/>
        </w:rPr>
        <w:t>within the organisation.</w:t>
      </w:r>
    </w:p>
    <w:p w14:paraId="5EFFAD39" w14:textId="7C67EC7F" w:rsidR="006A5985" w:rsidRPr="00ED69CB" w:rsidRDefault="006A5985" w:rsidP="00ED69CB">
      <w:pPr>
        <w:spacing w:line="360" w:lineRule="auto"/>
        <w:jc w:val="both"/>
        <w:rPr>
          <w:b/>
          <w:bCs/>
          <w:szCs w:val="24"/>
        </w:rPr>
      </w:pPr>
      <w:r w:rsidRPr="00ED69CB">
        <w:rPr>
          <w:b/>
          <w:bCs/>
          <w:szCs w:val="24"/>
        </w:rPr>
        <w:t>Leadership, Management and Organisational Culture</w:t>
      </w:r>
    </w:p>
    <w:p w14:paraId="573E1F29" w14:textId="294666BB" w:rsidR="00ED69CB" w:rsidRPr="00ED69CB" w:rsidRDefault="006A5985" w:rsidP="00ED69CB">
      <w:pPr>
        <w:spacing w:line="360" w:lineRule="auto"/>
        <w:jc w:val="both"/>
        <w:rPr>
          <w:szCs w:val="24"/>
        </w:rPr>
      </w:pPr>
      <w:r w:rsidRPr="00ED69CB">
        <w:rPr>
          <w:szCs w:val="24"/>
        </w:rPr>
        <w:t xml:space="preserve">Leadership, management and organisational culture were identified as important influences on the Gen Z employee experience at NCC. The importance of supportive management is consistent with Clarke (2017) and Clarke and Scurry (2020), who highlight the role of line </w:t>
      </w:r>
      <w:r w:rsidRPr="00ED69CB">
        <w:rPr>
          <w:szCs w:val="24"/>
        </w:rPr>
        <w:lastRenderedPageBreak/>
        <w:t xml:space="preserve">managers in shaping development and engagement within the public sector. However, the findings add to this literature by showing that positive line manager relationships do not necessarily overcome wider organisational challenges, particularly around communication, decision-making and consistency. These challenges reflect public sector literature which highlights how </w:t>
      </w:r>
      <w:r w:rsidR="009F304D">
        <w:rPr>
          <w:szCs w:val="24"/>
        </w:rPr>
        <w:t>TM</w:t>
      </w:r>
      <w:r w:rsidRPr="00ED69CB">
        <w:rPr>
          <w:szCs w:val="24"/>
        </w:rPr>
        <w:t xml:space="preserve"> can be constrained by bureaucratic structures, traditional employment models and resource limitations (</w:t>
      </w:r>
      <w:r w:rsidR="00F43919" w:rsidRPr="00ED69CB">
        <w:rPr>
          <w:szCs w:val="24"/>
        </w:rPr>
        <w:t>Boselie et al., 2017</w:t>
      </w:r>
      <w:r w:rsidRPr="00ED69CB">
        <w:rPr>
          <w:szCs w:val="24"/>
        </w:rPr>
        <w:t xml:space="preserve">; Kravariti and Johnston, 2020). This implies that while line managers can strengthen employee experience, wider organisational systems shape whether </w:t>
      </w:r>
      <w:r w:rsidR="009F304D">
        <w:rPr>
          <w:szCs w:val="24"/>
        </w:rPr>
        <w:t>TM</w:t>
      </w:r>
      <w:r w:rsidRPr="00ED69CB">
        <w:rPr>
          <w:szCs w:val="24"/>
        </w:rPr>
        <w:t xml:space="preserve"> is experienced as visible and credible.</w:t>
      </w:r>
    </w:p>
    <w:p w14:paraId="0D72FBCC" w14:textId="60DCD8B7" w:rsidR="006A5985" w:rsidRPr="00ED69CB" w:rsidRDefault="006A5985" w:rsidP="00ED69CB">
      <w:pPr>
        <w:spacing w:line="360" w:lineRule="auto"/>
        <w:jc w:val="both"/>
        <w:rPr>
          <w:szCs w:val="24"/>
        </w:rPr>
      </w:pPr>
      <w:r w:rsidRPr="00ED69CB">
        <w:rPr>
          <w:b/>
          <w:bCs/>
          <w:szCs w:val="24"/>
        </w:rPr>
        <w:t>Flexible Working and Work–Life Balance</w:t>
      </w:r>
    </w:p>
    <w:p w14:paraId="0F328C0A" w14:textId="0E039FC9" w:rsidR="006A5985" w:rsidRPr="00ED69CB" w:rsidRDefault="006A5985" w:rsidP="00ED69CB">
      <w:pPr>
        <w:spacing w:line="360" w:lineRule="auto"/>
        <w:jc w:val="both"/>
        <w:rPr>
          <w:szCs w:val="24"/>
        </w:rPr>
      </w:pPr>
      <w:r w:rsidRPr="00ED69CB">
        <w:rPr>
          <w:szCs w:val="24"/>
        </w:rPr>
        <w:t xml:space="preserve">Flexible working and work–life balance were consistently identified as important factors across both attraction and retention. This supports one of the most clearly established themes in the literature, where flexibility is widely recognised as a key expectation among Gen Z employees (Kästner and Mattutat, 2024; </w:t>
      </w:r>
      <w:r w:rsidR="00BA25F8" w:rsidRPr="00BA25F8">
        <w:rPr>
          <w:szCs w:val="24"/>
        </w:rPr>
        <w:t>Zahra, Handoyo and Fajrianthi</w:t>
      </w:r>
      <w:r w:rsidRPr="00ED69CB">
        <w:rPr>
          <w:szCs w:val="24"/>
        </w:rPr>
        <w:t xml:space="preserve">, 2025; Shinde and Surve, 2025). Although this </w:t>
      </w:r>
      <w:r w:rsidR="0031128D" w:rsidRPr="00ED69CB">
        <w:rPr>
          <w:szCs w:val="24"/>
        </w:rPr>
        <w:t xml:space="preserve">research </w:t>
      </w:r>
      <w:r w:rsidRPr="00ED69CB">
        <w:rPr>
          <w:szCs w:val="24"/>
        </w:rPr>
        <w:t xml:space="preserve">did not directly examine COVID-19, the findings are also consistent with literature suggesting that life experiences, including the pandemic, have shaped Gen Z expectations around flexibility, autonomy and wellbeing (Strauss and Howe, 1991; </w:t>
      </w:r>
      <w:r w:rsidR="00541A25" w:rsidRPr="00541A25">
        <w:rPr>
          <w:szCs w:val="24"/>
        </w:rPr>
        <w:t>Harari, Sela and Bareket-Bojmel, 2023</w:t>
      </w:r>
      <w:r w:rsidRPr="00ED69CB">
        <w:rPr>
          <w:szCs w:val="24"/>
        </w:rPr>
        <w:t>; Jayathilake et al., 2021). Within NCC, respondents’ emphasis on flexible working further reinforces Deegan et al.’s (2024) finding that hybrid and remote working are important to younger employees in local government contexts.</w:t>
      </w:r>
    </w:p>
    <w:p w14:paraId="213327B0" w14:textId="77777777" w:rsidR="006A5985" w:rsidRPr="00ED69CB" w:rsidRDefault="006A5985" w:rsidP="00ED69CB">
      <w:pPr>
        <w:spacing w:line="360" w:lineRule="auto"/>
        <w:jc w:val="both"/>
        <w:rPr>
          <w:b/>
          <w:bCs/>
          <w:szCs w:val="24"/>
        </w:rPr>
      </w:pPr>
      <w:r w:rsidRPr="00ED69CB">
        <w:rPr>
          <w:b/>
          <w:bCs/>
          <w:szCs w:val="24"/>
        </w:rPr>
        <w:t>Pay, Job Security and Rewards</w:t>
      </w:r>
    </w:p>
    <w:p w14:paraId="42864C6D" w14:textId="21F24E33" w:rsidR="006A5985" w:rsidRPr="00ED69CB" w:rsidRDefault="006A5985" w:rsidP="00ED69CB">
      <w:pPr>
        <w:spacing w:line="360" w:lineRule="auto"/>
        <w:jc w:val="both"/>
        <w:rPr>
          <w:szCs w:val="24"/>
        </w:rPr>
      </w:pPr>
      <w:r w:rsidRPr="00ED69CB">
        <w:rPr>
          <w:szCs w:val="24"/>
        </w:rPr>
        <w:t>Pay, job security and rewards were identified as important factors in the findings, although their influence varied across attraction and retention. Notably, NCC respondents continued to value traditional public sector employment features, particularly stability, security and longer-term career prospects, which have historically shaped public sector workforce models (</w:t>
      </w:r>
      <w:r w:rsidR="00F43919" w:rsidRPr="00ED69CB">
        <w:rPr>
          <w:szCs w:val="24"/>
        </w:rPr>
        <w:t>Boselie et al., 2017</w:t>
      </w:r>
      <w:r w:rsidRPr="00ED69CB">
        <w:rPr>
          <w:szCs w:val="24"/>
        </w:rPr>
        <w:t>; Kravariti and Johnston, 2020). Salary was especially prominent in relation to retention, with job security also ranking above factors such as meaningful work and development, suggesting that extrinsic rewards were prioritised more strongly when respondents considered retention.</w:t>
      </w:r>
    </w:p>
    <w:p w14:paraId="1C388CCA" w14:textId="69F038A9" w:rsidR="00ED69CB" w:rsidRPr="00ED69CB" w:rsidRDefault="006A5985" w:rsidP="00ED69CB">
      <w:pPr>
        <w:spacing w:line="360" w:lineRule="auto"/>
        <w:jc w:val="both"/>
        <w:rPr>
          <w:szCs w:val="24"/>
        </w:rPr>
      </w:pPr>
      <w:r w:rsidRPr="00ED69CB">
        <w:rPr>
          <w:szCs w:val="24"/>
        </w:rPr>
        <w:t xml:space="preserve">However, the findings partially support but also challenge Madan and Nandan’s (2024) study, which identifies intrinsic factors such as meaning and purpose as more important than salary. In NCC, meaningful work and development remained important but competitive salary and job security ranked more highly in relation to retention. This reinforces that while public service </w:t>
      </w:r>
      <w:r w:rsidRPr="00ED69CB">
        <w:rPr>
          <w:szCs w:val="24"/>
        </w:rPr>
        <w:lastRenderedPageBreak/>
        <w:t>purpose is valued, it is not sufficient to sustain retention, as intrinsic motivators appear to be most effective when supported by more tangible outcomes such as pay, security and progression (Acheampong, 2021). Together, these findings reinforce that Gen Z employees continue to value traditional public sector offerings alongside development, flexibility and meaningful work.</w:t>
      </w:r>
    </w:p>
    <w:p w14:paraId="5DD529A7" w14:textId="50436C80" w:rsidR="006A5985" w:rsidRPr="00ED69CB" w:rsidRDefault="006A5985" w:rsidP="00ED69CB">
      <w:pPr>
        <w:spacing w:line="360" w:lineRule="auto"/>
        <w:jc w:val="both"/>
        <w:rPr>
          <w:b/>
          <w:bCs/>
          <w:szCs w:val="24"/>
        </w:rPr>
      </w:pPr>
      <w:r w:rsidRPr="00ED69CB">
        <w:rPr>
          <w:b/>
          <w:bCs/>
          <w:szCs w:val="24"/>
        </w:rPr>
        <w:t>Digital Systems, Skills and Modernisation</w:t>
      </w:r>
    </w:p>
    <w:p w14:paraId="39C4C5F3" w14:textId="62F60D78" w:rsidR="00402A1C" w:rsidRPr="00ED69CB" w:rsidRDefault="006A5985" w:rsidP="00ED69CB">
      <w:pPr>
        <w:spacing w:line="360" w:lineRule="auto"/>
        <w:jc w:val="both"/>
        <w:rPr>
          <w:szCs w:val="24"/>
        </w:rPr>
      </w:pPr>
      <w:r w:rsidRPr="00ED69CB">
        <w:rPr>
          <w:szCs w:val="24"/>
        </w:rPr>
        <w:t xml:space="preserve">Digital systems, skills and modernisation influenced how respondents perceived NCC as an employer. This supports literature indicating that Gen Z expects technology to be embedded throughout the employee experience, including recruitment, onboarding, development and daily work </w:t>
      </w:r>
      <w:r w:rsidR="00F63854" w:rsidRPr="00F63854">
        <w:rPr>
          <w:szCs w:val="24"/>
        </w:rPr>
        <w:t>(Vieira, Costa and Santos, 2024)</w:t>
      </w:r>
      <w:r w:rsidR="00F63854">
        <w:rPr>
          <w:szCs w:val="24"/>
        </w:rPr>
        <w:t xml:space="preserve">. </w:t>
      </w:r>
      <w:r w:rsidRPr="00ED69CB">
        <w:rPr>
          <w:szCs w:val="24"/>
        </w:rPr>
        <w:t xml:space="preserve">At the same time, the findings reflect wider public sector challenges, where digital transformation is often constrained by legacy systems, financial pressures and skills gaps (Civica, 2025). The findings therefore suggest that digital capability is not only an operational issue but also part of how </w:t>
      </w:r>
      <w:r w:rsidR="00B91E3D">
        <w:rPr>
          <w:szCs w:val="24"/>
        </w:rPr>
        <w:t>Gen Z</w:t>
      </w:r>
      <w:r w:rsidRPr="00ED69CB">
        <w:rPr>
          <w:szCs w:val="24"/>
        </w:rPr>
        <w:t xml:space="preserve"> judge organisational modernity and adaptability. </w:t>
      </w:r>
    </w:p>
    <w:p w14:paraId="3CC73B3D" w14:textId="2FE94F0A" w:rsidR="006A5985" w:rsidRPr="00ED69CB" w:rsidRDefault="006A5985" w:rsidP="00ED69CB">
      <w:pPr>
        <w:pStyle w:val="2Sectionheading"/>
        <w:spacing w:line="360" w:lineRule="auto"/>
        <w:jc w:val="both"/>
        <w:rPr>
          <w:rFonts w:cs="Times New Roman"/>
          <w:szCs w:val="24"/>
        </w:rPr>
      </w:pPr>
      <w:bookmarkStart w:id="105" w:name="_Toc234319643"/>
      <w:r w:rsidRPr="00ED69CB">
        <w:rPr>
          <w:rFonts w:cs="Times New Roman"/>
          <w:szCs w:val="24"/>
        </w:rPr>
        <w:t>4.</w:t>
      </w:r>
      <w:r w:rsidR="00402A1C" w:rsidRPr="00ED69CB">
        <w:rPr>
          <w:rFonts w:cs="Times New Roman"/>
          <w:szCs w:val="24"/>
        </w:rPr>
        <w:t>4</w:t>
      </w:r>
      <w:r w:rsidRPr="00ED69CB">
        <w:rPr>
          <w:rFonts w:cs="Times New Roman"/>
          <w:szCs w:val="24"/>
        </w:rPr>
        <w:t xml:space="preserve"> Chapter Summary</w:t>
      </w:r>
      <w:bookmarkEnd w:id="105"/>
    </w:p>
    <w:p w14:paraId="6BA6CA7D" w14:textId="7F9D0509" w:rsidR="000A032E" w:rsidRPr="00ED69CB" w:rsidRDefault="006A5985" w:rsidP="00ED69CB">
      <w:pPr>
        <w:pStyle w:val="Uni-Normal"/>
        <w:jc w:val="both"/>
        <w:rPr>
          <w:szCs w:val="24"/>
        </w:rPr>
      </w:pPr>
      <w:r w:rsidRPr="00ED69CB">
        <w:rPr>
          <w:szCs w:val="24"/>
        </w:rPr>
        <w:t xml:space="preserve">This chapter presented and analysed findings on how Gen Z employees experience </w:t>
      </w:r>
      <w:r w:rsidR="009F304D">
        <w:rPr>
          <w:szCs w:val="24"/>
        </w:rPr>
        <w:t>TM</w:t>
      </w:r>
      <w:r w:rsidRPr="00ED69CB">
        <w:rPr>
          <w:szCs w:val="24"/>
        </w:rPr>
        <w:t xml:space="preserve"> at NCC, structured around three research objectives. It also synthesised these findings with the literature to explore areas of alignment and contrast. </w:t>
      </w:r>
      <w:r w:rsidR="000A032E" w:rsidRPr="00ED69CB">
        <w:rPr>
          <w:szCs w:val="24"/>
        </w:rPr>
        <w:t xml:space="preserve">Overall, the findings highlight a gap between formal </w:t>
      </w:r>
      <w:r w:rsidR="009F304D">
        <w:rPr>
          <w:szCs w:val="24"/>
        </w:rPr>
        <w:t>TM</w:t>
      </w:r>
      <w:r w:rsidR="000A032E" w:rsidRPr="00ED69CB">
        <w:rPr>
          <w:szCs w:val="24"/>
        </w:rPr>
        <w:t xml:space="preserve"> provision and how it is experienced by employees. The next chapter draws together these insights to present conclusions and recommendations.</w:t>
      </w:r>
    </w:p>
    <w:p w14:paraId="0ADF9D7C" w14:textId="78B313A5" w:rsidR="006A5985" w:rsidRPr="00ED69CB" w:rsidRDefault="006A5985" w:rsidP="00ED69CB">
      <w:pPr>
        <w:spacing w:line="360" w:lineRule="auto"/>
        <w:jc w:val="both"/>
        <w:rPr>
          <w:szCs w:val="24"/>
        </w:rPr>
      </w:pPr>
    </w:p>
    <w:p w14:paraId="36297237" w14:textId="77777777" w:rsidR="00A74165" w:rsidRDefault="00A74165" w:rsidP="00ED69CB">
      <w:pPr>
        <w:spacing w:after="240" w:line="360" w:lineRule="auto"/>
        <w:ind w:left="360"/>
        <w:jc w:val="both"/>
        <w:rPr>
          <w:rFonts w:eastAsia="Times New Roman"/>
          <w:szCs w:val="24"/>
          <w:lang w:eastAsia="en-GB"/>
        </w:rPr>
      </w:pPr>
    </w:p>
    <w:p w14:paraId="38D2E5EC" w14:textId="77777777" w:rsidR="00295B33" w:rsidRDefault="00295B33" w:rsidP="00ED69CB">
      <w:pPr>
        <w:spacing w:after="240" w:line="360" w:lineRule="auto"/>
        <w:ind w:left="360"/>
        <w:jc w:val="both"/>
        <w:rPr>
          <w:rFonts w:eastAsia="Times New Roman"/>
          <w:szCs w:val="24"/>
          <w:lang w:eastAsia="en-GB"/>
        </w:rPr>
      </w:pPr>
    </w:p>
    <w:p w14:paraId="4ED0E893" w14:textId="77777777" w:rsidR="00295B33" w:rsidRPr="00ED69CB" w:rsidRDefault="00295B33" w:rsidP="00ED69CB">
      <w:pPr>
        <w:spacing w:after="240" w:line="360" w:lineRule="auto"/>
        <w:ind w:left="360"/>
        <w:jc w:val="both"/>
        <w:rPr>
          <w:rFonts w:eastAsia="Times New Roman"/>
          <w:szCs w:val="24"/>
          <w:lang w:eastAsia="en-GB"/>
        </w:rPr>
      </w:pPr>
    </w:p>
    <w:p w14:paraId="6C63BA17" w14:textId="01D75617" w:rsidR="00E40CCA" w:rsidRDefault="00E40CCA">
      <w:pPr>
        <w:rPr>
          <w:szCs w:val="24"/>
        </w:rPr>
      </w:pPr>
      <w:bookmarkStart w:id="106" w:name="_Toc207618261"/>
      <w:bookmarkStart w:id="107" w:name="_Toc233023199"/>
      <w:r>
        <w:rPr>
          <w:szCs w:val="24"/>
        </w:rPr>
        <w:br w:type="page"/>
      </w:r>
    </w:p>
    <w:p w14:paraId="5BD570BE" w14:textId="48E6F499" w:rsidR="006A5985" w:rsidRPr="00ED69CB" w:rsidRDefault="00ED69CB" w:rsidP="009D6FE0">
      <w:pPr>
        <w:pStyle w:val="1ChapterHeading"/>
        <w:spacing w:before="0" w:beforeAutospacing="0" w:line="360" w:lineRule="auto"/>
        <w:rPr>
          <w:szCs w:val="24"/>
        </w:rPr>
      </w:pPr>
      <w:bookmarkStart w:id="108" w:name="_Toc234319644"/>
      <w:r w:rsidRPr="00ED69CB">
        <w:rPr>
          <w:szCs w:val="24"/>
        </w:rPr>
        <w:lastRenderedPageBreak/>
        <w:t>C</w:t>
      </w:r>
      <w:r w:rsidR="006A5985" w:rsidRPr="00ED69CB">
        <w:rPr>
          <w:szCs w:val="24"/>
        </w:rPr>
        <w:t>HAPTER 5</w:t>
      </w:r>
      <w:bookmarkEnd w:id="108"/>
    </w:p>
    <w:p w14:paraId="14AA3CDB" w14:textId="61ED6ABC" w:rsidR="006A5985" w:rsidRPr="00ED69CB" w:rsidRDefault="006A5985" w:rsidP="00F36AAA">
      <w:pPr>
        <w:pStyle w:val="1ChapterHeading"/>
        <w:spacing w:before="0" w:beforeAutospacing="0" w:line="360" w:lineRule="auto"/>
        <w:rPr>
          <w:szCs w:val="24"/>
        </w:rPr>
      </w:pPr>
      <w:bookmarkStart w:id="109" w:name="_Toc234319645"/>
      <w:r w:rsidRPr="00ED69CB">
        <w:rPr>
          <w:szCs w:val="24"/>
        </w:rPr>
        <w:t>CONCLUSIONS AND RECOMMENDATIONS</w:t>
      </w:r>
      <w:bookmarkEnd w:id="109"/>
    </w:p>
    <w:p w14:paraId="0021B1C4" w14:textId="150E2CB2" w:rsidR="006A5985" w:rsidRPr="00ED69CB" w:rsidRDefault="006A5985" w:rsidP="00ED69CB">
      <w:pPr>
        <w:pStyle w:val="2Sectionheading"/>
        <w:spacing w:line="360" w:lineRule="auto"/>
        <w:jc w:val="both"/>
        <w:rPr>
          <w:rFonts w:cs="Times New Roman"/>
          <w:szCs w:val="24"/>
        </w:rPr>
      </w:pPr>
      <w:bookmarkStart w:id="110" w:name="_Toc234319646"/>
      <w:r w:rsidRPr="00ED69CB">
        <w:rPr>
          <w:rFonts w:cs="Times New Roman"/>
          <w:szCs w:val="24"/>
        </w:rPr>
        <w:t>5.1 Chapter Introduction</w:t>
      </w:r>
      <w:bookmarkEnd w:id="106"/>
      <w:bookmarkEnd w:id="107"/>
      <w:bookmarkEnd w:id="110"/>
      <w:r w:rsidRPr="00ED69CB">
        <w:rPr>
          <w:rFonts w:cs="Times New Roman"/>
          <w:szCs w:val="24"/>
        </w:rPr>
        <w:t xml:space="preserve"> </w:t>
      </w:r>
    </w:p>
    <w:p w14:paraId="024D8180" w14:textId="6AFB1053" w:rsidR="008F4151" w:rsidRPr="00ED69CB" w:rsidRDefault="008F4151" w:rsidP="00ED69CB">
      <w:pPr>
        <w:pStyle w:val="Uni-Normal"/>
        <w:jc w:val="both"/>
        <w:rPr>
          <w:szCs w:val="24"/>
        </w:rPr>
      </w:pPr>
      <w:bookmarkStart w:id="111" w:name="_Toc233023200"/>
      <w:r w:rsidRPr="00ED69CB">
        <w:rPr>
          <w:szCs w:val="24"/>
        </w:rPr>
        <w:t xml:space="preserve">This final chapter draws together the key findings from Chapter 4 in relation to the research objectives, examining how Gen Z employees experience </w:t>
      </w:r>
      <w:r w:rsidR="009F304D">
        <w:rPr>
          <w:szCs w:val="24"/>
        </w:rPr>
        <w:t>TM</w:t>
      </w:r>
      <w:r w:rsidRPr="00ED69CB">
        <w:rPr>
          <w:szCs w:val="24"/>
        </w:rPr>
        <w:t xml:space="preserve"> at NCC and the effectiveness of current strategies for engagement and retention. The conclusions are structured around the research objectives, followed by evidence-based recommendations addressing research objective 4. The chapter concludes by outlining implementation considerations, the study’s contribution, its limitations and areas for future research.</w:t>
      </w:r>
    </w:p>
    <w:p w14:paraId="42D77564" w14:textId="77777777" w:rsidR="006A5985" w:rsidRPr="00ED69CB" w:rsidRDefault="006A5985" w:rsidP="00ED69CB">
      <w:pPr>
        <w:pStyle w:val="2Sectionheading"/>
        <w:spacing w:line="360" w:lineRule="auto"/>
        <w:jc w:val="both"/>
        <w:rPr>
          <w:rFonts w:cs="Times New Roman"/>
          <w:szCs w:val="24"/>
        </w:rPr>
      </w:pPr>
      <w:bookmarkStart w:id="112" w:name="_Toc234319647"/>
      <w:r w:rsidRPr="00ED69CB">
        <w:rPr>
          <w:rFonts w:cs="Times New Roman"/>
          <w:szCs w:val="24"/>
        </w:rPr>
        <w:t>5.2 Conclusions</w:t>
      </w:r>
      <w:bookmarkEnd w:id="111"/>
      <w:bookmarkEnd w:id="112"/>
      <w:r w:rsidRPr="00ED69CB">
        <w:rPr>
          <w:rFonts w:cs="Times New Roman"/>
          <w:szCs w:val="24"/>
        </w:rPr>
        <w:t xml:space="preserve"> </w:t>
      </w:r>
    </w:p>
    <w:p w14:paraId="5EBF573E" w14:textId="2C8B4A94" w:rsidR="006A5985" w:rsidRPr="00ED69CB" w:rsidRDefault="006A5985" w:rsidP="00ED69CB">
      <w:pPr>
        <w:pStyle w:val="Uni-Normal"/>
        <w:jc w:val="both"/>
        <w:rPr>
          <w:b/>
          <w:szCs w:val="24"/>
        </w:rPr>
      </w:pPr>
      <w:r w:rsidRPr="00ED69CB">
        <w:rPr>
          <w:b/>
          <w:szCs w:val="24"/>
        </w:rPr>
        <w:t xml:space="preserve">Objective 1: </w:t>
      </w:r>
      <w:r w:rsidR="00DE4CF2" w:rsidRPr="00ED69CB">
        <w:rPr>
          <w:b/>
          <w:szCs w:val="24"/>
        </w:rPr>
        <w:t>Expectations, preferences and behaviours</w:t>
      </w:r>
    </w:p>
    <w:p w14:paraId="21867450" w14:textId="5247C461" w:rsidR="00E226F7" w:rsidRPr="00ED69CB" w:rsidRDefault="00E226F7" w:rsidP="00ED69CB">
      <w:pPr>
        <w:pStyle w:val="Uni-Normal"/>
        <w:jc w:val="both"/>
        <w:rPr>
          <w:szCs w:val="24"/>
        </w:rPr>
      </w:pPr>
      <w:r w:rsidRPr="00ED69CB">
        <w:rPr>
          <w:szCs w:val="24"/>
        </w:rPr>
        <w:t xml:space="preserve">In </w:t>
      </w:r>
      <w:r w:rsidR="006F3355" w:rsidRPr="00ED69CB">
        <w:rPr>
          <w:szCs w:val="24"/>
        </w:rPr>
        <w:t>addressing the first objective</w:t>
      </w:r>
      <w:r w:rsidRPr="00ED69CB">
        <w:rPr>
          <w:szCs w:val="24"/>
        </w:rPr>
        <w:t xml:space="preserve">, the </w:t>
      </w:r>
      <w:r w:rsidR="006F3355" w:rsidRPr="00ED69CB">
        <w:rPr>
          <w:szCs w:val="24"/>
        </w:rPr>
        <w:t xml:space="preserve">research </w:t>
      </w:r>
      <w:r w:rsidRPr="00ED69CB">
        <w:rPr>
          <w:szCs w:val="24"/>
        </w:rPr>
        <w:t xml:space="preserve">concludes that Gen Z employees do not assess local government employment primarily through organisational purpose alone, but through the extent to which the employment offer appears credible, supportive and future-oriented. While the opportunity to undertake meaningful work remains relevant, attraction is more strongly influenced by tangible conditions, including flexible working arrangements, job security and access to development opportunities. A key finding is that career progression is viewed not as an additional benefit but as a fundamental expectation that shapes how employment opportunities are evaluated. In this context, </w:t>
      </w:r>
      <w:r w:rsidR="009F304D">
        <w:rPr>
          <w:szCs w:val="24"/>
        </w:rPr>
        <w:t>TM</w:t>
      </w:r>
      <w:r w:rsidRPr="00ED69CB">
        <w:rPr>
          <w:szCs w:val="24"/>
        </w:rPr>
        <w:t xml:space="preserve"> plays a significant role in influencing organisational attractiveness. Its impact is strongest where development pathways are visible, progression criteria are clearly </w:t>
      </w:r>
      <w:r w:rsidR="001C1810" w:rsidRPr="00ED69CB">
        <w:rPr>
          <w:szCs w:val="24"/>
        </w:rPr>
        <w:t>communicated</w:t>
      </w:r>
      <w:r w:rsidRPr="00ED69CB">
        <w:rPr>
          <w:szCs w:val="24"/>
        </w:rPr>
        <w:t xml:space="preserve"> and employees perceive advancement to be realistically attainable. These findings suggest that Gen Z attraction is influenced less by organisational values alone and more by the organisation’s ability to demonstrate genuine opportunities for professional growth and long-term career development.</w:t>
      </w:r>
    </w:p>
    <w:p w14:paraId="4BC62687" w14:textId="440A738D" w:rsidR="006A5985" w:rsidRPr="00ED69CB" w:rsidRDefault="006A5985" w:rsidP="00ED69CB">
      <w:pPr>
        <w:pStyle w:val="Uni-Normal"/>
        <w:jc w:val="both"/>
        <w:rPr>
          <w:b/>
          <w:szCs w:val="24"/>
          <w:lang w:eastAsia="en-GB"/>
        </w:rPr>
      </w:pPr>
      <w:r w:rsidRPr="00ED69CB">
        <w:rPr>
          <w:b/>
          <w:szCs w:val="24"/>
        </w:rPr>
        <w:t xml:space="preserve">Objective 2: </w:t>
      </w:r>
      <w:r w:rsidR="006F3355" w:rsidRPr="00ED69CB">
        <w:rPr>
          <w:b/>
          <w:szCs w:val="24"/>
          <w:lang w:eastAsia="en-GB"/>
        </w:rPr>
        <w:t>Engagement and Retention</w:t>
      </w:r>
    </w:p>
    <w:p w14:paraId="42D05D31" w14:textId="217CDC08" w:rsidR="00E226F7" w:rsidRPr="00ED69CB" w:rsidRDefault="00E226F7" w:rsidP="00ED69CB">
      <w:pPr>
        <w:pStyle w:val="Uni-Normal"/>
        <w:jc w:val="both"/>
        <w:rPr>
          <w:szCs w:val="24"/>
        </w:rPr>
      </w:pPr>
      <w:r w:rsidRPr="00ED69CB">
        <w:rPr>
          <w:szCs w:val="24"/>
        </w:rPr>
        <w:t xml:space="preserve">Building on the attraction factors identified in Objective 1, the findings indicate that engagement and retention depend largely on whether organisational promises are realised in practice over time. Once employed, Gen Z employees place particular importance on the organisation’s ability to provide a credible long-term future through opportunities for </w:t>
      </w:r>
      <w:r w:rsidRPr="00ED69CB">
        <w:rPr>
          <w:szCs w:val="24"/>
        </w:rPr>
        <w:lastRenderedPageBreak/>
        <w:t>advancement, competitive reward, job security and positive working conditions. Engagement and retention appear to weaken where development opportunities exist in principle but do not translate into visible progression, recognition or career advancement. Although flexible working arrangements and supportive line management are recognised as important strengths, they are insufficient to sustain long-term commitment in isolation. Their positive influence is weakened where wider organisational challenges persist, including perceived career stagnation, experiences of age-related bias and inconsistencies in organisational culture.</w:t>
      </w:r>
    </w:p>
    <w:p w14:paraId="0A399A8F" w14:textId="258237B9" w:rsidR="009367EF" w:rsidRPr="00ED69CB" w:rsidRDefault="009367EF" w:rsidP="00ED69CB">
      <w:pPr>
        <w:pStyle w:val="Uni-Normal"/>
        <w:jc w:val="both"/>
        <w:rPr>
          <w:b/>
          <w:bCs/>
          <w:szCs w:val="24"/>
          <w:lang w:eastAsia="en-GB"/>
        </w:rPr>
      </w:pPr>
      <w:r w:rsidRPr="00ED69CB">
        <w:rPr>
          <w:b/>
          <w:bCs/>
          <w:szCs w:val="24"/>
          <w:lang w:eastAsia="en-GB"/>
        </w:rPr>
        <w:t xml:space="preserve">Objective 3: </w:t>
      </w:r>
      <w:r w:rsidR="006F3355" w:rsidRPr="00ED69CB">
        <w:rPr>
          <w:b/>
          <w:bCs/>
          <w:szCs w:val="24"/>
          <w:lang w:eastAsia="en-GB"/>
        </w:rPr>
        <w:t xml:space="preserve">Effectiveness of Current </w:t>
      </w:r>
      <w:r w:rsidR="009F304D">
        <w:rPr>
          <w:b/>
          <w:bCs/>
          <w:szCs w:val="24"/>
          <w:lang w:eastAsia="en-GB"/>
        </w:rPr>
        <w:t>TM</w:t>
      </w:r>
      <w:r w:rsidR="006F3355" w:rsidRPr="00ED69CB">
        <w:rPr>
          <w:b/>
          <w:bCs/>
          <w:szCs w:val="24"/>
          <w:lang w:eastAsia="en-GB"/>
        </w:rPr>
        <w:t xml:space="preserve"> Strategies</w:t>
      </w:r>
    </w:p>
    <w:p w14:paraId="727436D1" w14:textId="12BA4F21" w:rsidR="00F72089" w:rsidRPr="00ED69CB" w:rsidRDefault="00015907" w:rsidP="00ED69CB">
      <w:pPr>
        <w:pStyle w:val="Uni-Normal"/>
        <w:jc w:val="both"/>
        <w:rPr>
          <w:szCs w:val="24"/>
        </w:rPr>
      </w:pPr>
      <w:r w:rsidRPr="00ED69CB">
        <w:rPr>
          <w:szCs w:val="24"/>
        </w:rPr>
        <w:t xml:space="preserve">The evaluation of NCC’s current approach suggests that </w:t>
      </w:r>
      <w:r w:rsidR="009F304D">
        <w:rPr>
          <w:szCs w:val="24"/>
        </w:rPr>
        <w:t>TM</w:t>
      </w:r>
      <w:r w:rsidRPr="00ED69CB">
        <w:rPr>
          <w:szCs w:val="24"/>
        </w:rPr>
        <w:t xml:space="preserve"> is perceived as fragmented rather than fully integrated. Although key elements are in place, employees do not consistently recognise them as part of a coherent or accessible system. The findings highlight three critical limitations: limited visibility, weak communication and insufficient connection between initiatives and progression outcomes. Low awareness of the </w:t>
      </w:r>
      <w:r w:rsidR="009F304D">
        <w:rPr>
          <w:szCs w:val="24"/>
        </w:rPr>
        <w:t>TM</w:t>
      </w:r>
      <w:r w:rsidRPr="00ED69CB">
        <w:rPr>
          <w:szCs w:val="24"/>
        </w:rPr>
        <w:t xml:space="preserve"> Framework, combined with expectations of relatively rapid progression, reinforces the perception that </w:t>
      </w:r>
      <w:r w:rsidR="009F304D">
        <w:rPr>
          <w:szCs w:val="24"/>
        </w:rPr>
        <w:t>TM</w:t>
      </w:r>
      <w:r w:rsidRPr="00ED69CB">
        <w:rPr>
          <w:szCs w:val="24"/>
        </w:rPr>
        <w:t xml:space="preserve"> lacks clarity and practical relevance. </w:t>
      </w:r>
    </w:p>
    <w:p w14:paraId="7259DC01" w14:textId="2A9CE111" w:rsidR="006A5985" w:rsidRPr="00ED69CB" w:rsidRDefault="006A5985" w:rsidP="00ED69CB">
      <w:pPr>
        <w:pStyle w:val="Uni-Normal"/>
        <w:jc w:val="both"/>
        <w:rPr>
          <w:b/>
          <w:szCs w:val="24"/>
        </w:rPr>
      </w:pPr>
      <w:r w:rsidRPr="00ED69CB">
        <w:rPr>
          <w:b/>
          <w:szCs w:val="24"/>
        </w:rPr>
        <w:t xml:space="preserve">Overall </w:t>
      </w:r>
      <w:r w:rsidR="00652F15">
        <w:rPr>
          <w:b/>
          <w:szCs w:val="24"/>
        </w:rPr>
        <w:t>C</w:t>
      </w:r>
      <w:r w:rsidRPr="00ED69CB">
        <w:rPr>
          <w:b/>
          <w:szCs w:val="24"/>
        </w:rPr>
        <w:t>onclusion</w:t>
      </w:r>
    </w:p>
    <w:p w14:paraId="226C7DE0" w14:textId="5F15C249" w:rsidR="00916DE7" w:rsidRPr="00ED69CB" w:rsidRDefault="00916DE7" w:rsidP="00ED69CB">
      <w:pPr>
        <w:pStyle w:val="Uni-Normal"/>
        <w:jc w:val="both"/>
        <w:rPr>
          <w:szCs w:val="24"/>
        </w:rPr>
      </w:pPr>
      <w:bookmarkStart w:id="113" w:name="_Toc233023201"/>
      <w:r w:rsidRPr="00ED69CB">
        <w:rPr>
          <w:szCs w:val="24"/>
        </w:rPr>
        <w:t xml:space="preserve">Collectively, the findings indicate that while </w:t>
      </w:r>
      <w:r w:rsidR="009F304D">
        <w:rPr>
          <w:szCs w:val="24"/>
        </w:rPr>
        <w:t>TM</w:t>
      </w:r>
      <w:r w:rsidRPr="00ED69CB">
        <w:rPr>
          <w:szCs w:val="24"/>
        </w:rPr>
        <w:t xml:space="preserve"> is present within NCC, its impact is constrained by a misalignment between organisational intent and employee experience. A clear gap exists between the formal design of </w:t>
      </w:r>
      <w:r w:rsidR="009F304D">
        <w:rPr>
          <w:szCs w:val="24"/>
        </w:rPr>
        <w:t>TM</w:t>
      </w:r>
      <w:r w:rsidRPr="00ED69CB">
        <w:rPr>
          <w:szCs w:val="24"/>
        </w:rPr>
        <w:t xml:space="preserve"> initiatives and how they are experienced by employees, particularly in relation to progression, visibility and accessibility. Strengthening the visibility, accessibility and effective implementation of </w:t>
      </w:r>
      <w:r w:rsidR="009F304D">
        <w:rPr>
          <w:szCs w:val="24"/>
        </w:rPr>
        <w:t>TM</w:t>
      </w:r>
      <w:r w:rsidRPr="00ED69CB">
        <w:rPr>
          <w:szCs w:val="24"/>
        </w:rPr>
        <w:t xml:space="preserve"> practices is therefore essential to improving the attraction, engagement and retention of Gen Z employees.</w:t>
      </w:r>
    </w:p>
    <w:p w14:paraId="3725BB1D" w14:textId="3757738E" w:rsidR="00916DE7" w:rsidRPr="00ED69CB" w:rsidRDefault="00916DE7" w:rsidP="00ED69CB">
      <w:pPr>
        <w:pStyle w:val="Uni-Normal"/>
        <w:jc w:val="both"/>
        <w:rPr>
          <w:szCs w:val="24"/>
        </w:rPr>
      </w:pPr>
      <w:r w:rsidRPr="00ED69CB">
        <w:rPr>
          <w:szCs w:val="24"/>
        </w:rPr>
        <w:t xml:space="preserve">In the context of workforce ageing, recruitment pressures and increasing competition for early-career talent, this gap represents a strategic risk. If not addressed, it may contribute to higher turnover, reduced engagement and greater difficulty in attracting and retaining early-career employees, ultimately affecting workforce sustainability and long-term service delivery. </w:t>
      </w:r>
      <w:r w:rsidR="00576069" w:rsidRPr="00ED69CB">
        <w:rPr>
          <w:szCs w:val="24"/>
        </w:rPr>
        <w:t xml:space="preserve">This </w:t>
      </w:r>
      <w:r w:rsidR="00D71EF4">
        <w:rPr>
          <w:szCs w:val="24"/>
        </w:rPr>
        <w:t>aligns with</w:t>
      </w:r>
      <w:r w:rsidR="00576069" w:rsidRPr="00ED69CB">
        <w:rPr>
          <w:szCs w:val="24"/>
        </w:rPr>
        <w:t xml:space="preserve"> wider public sector evidence highlighting recruitment challenges and workforce pressures across local government </w:t>
      </w:r>
      <w:r w:rsidRPr="00ED69CB">
        <w:rPr>
          <w:szCs w:val="24"/>
        </w:rPr>
        <w:t xml:space="preserve">(Deegan et al., 2024; Mangan et al., 2024), reinforcing the need for more visible, coherent and adaptable </w:t>
      </w:r>
      <w:r w:rsidR="009F304D">
        <w:rPr>
          <w:szCs w:val="24"/>
        </w:rPr>
        <w:t>TM</w:t>
      </w:r>
      <w:r w:rsidRPr="00ED69CB">
        <w:rPr>
          <w:szCs w:val="24"/>
        </w:rPr>
        <w:t xml:space="preserve"> approaches. </w:t>
      </w:r>
    </w:p>
    <w:p w14:paraId="5F05C7B4" w14:textId="77777777" w:rsidR="001453D6" w:rsidRPr="00ED69CB" w:rsidRDefault="001453D6" w:rsidP="00ED69CB">
      <w:pPr>
        <w:pStyle w:val="2Sectionheading"/>
        <w:spacing w:line="360" w:lineRule="auto"/>
        <w:jc w:val="both"/>
        <w:rPr>
          <w:rFonts w:cs="Times New Roman"/>
          <w:szCs w:val="24"/>
        </w:rPr>
      </w:pPr>
      <w:bookmarkStart w:id="114" w:name="_Toc234319648"/>
      <w:bookmarkEnd w:id="113"/>
      <w:r w:rsidRPr="00ED69CB">
        <w:rPr>
          <w:rFonts w:cs="Times New Roman"/>
          <w:szCs w:val="24"/>
        </w:rPr>
        <w:lastRenderedPageBreak/>
        <w:t>5.3 Recommendations</w:t>
      </w:r>
      <w:bookmarkStart w:id="115" w:name="_Toc233023202"/>
      <w:bookmarkEnd w:id="114"/>
    </w:p>
    <w:p w14:paraId="7BCB2E69" w14:textId="14ED9633" w:rsidR="001453D6" w:rsidRPr="00ED69CB" w:rsidRDefault="001453D6" w:rsidP="00ED69CB">
      <w:pPr>
        <w:pStyle w:val="Uni-Normal"/>
        <w:jc w:val="both"/>
        <w:rPr>
          <w:szCs w:val="24"/>
        </w:rPr>
      </w:pPr>
      <w:r w:rsidRPr="00ED69CB">
        <w:rPr>
          <w:szCs w:val="24"/>
        </w:rPr>
        <w:t xml:space="preserve">In response to the findings, NCC should adopt a more integrated and strategically aligned approach to </w:t>
      </w:r>
      <w:r w:rsidR="009F304D">
        <w:rPr>
          <w:szCs w:val="24"/>
        </w:rPr>
        <w:t>TM</w:t>
      </w:r>
      <w:r w:rsidRPr="00ED69CB">
        <w:rPr>
          <w:szCs w:val="24"/>
        </w:rPr>
        <w:t xml:space="preserve"> that strengthens engagement, retention and long-term workforce sustainability. Although many of the conditions valued by Gen Z employees are already present, their impact is constrained by inconsistent visibility, communication and implementation. This reflects wider public sector literature highlighting the importance of translating </w:t>
      </w:r>
      <w:r w:rsidR="009F304D">
        <w:rPr>
          <w:szCs w:val="24"/>
        </w:rPr>
        <w:t>TM</w:t>
      </w:r>
      <w:r w:rsidRPr="00ED69CB">
        <w:rPr>
          <w:szCs w:val="24"/>
        </w:rPr>
        <w:t xml:space="preserve"> from formal policy into consistently experienced practice. The following recommendations address key gaps identified in the findings.</w:t>
      </w:r>
    </w:p>
    <w:p w14:paraId="3CC0732C" w14:textId="77777777" w:rsidR="001453D6" w:rsidRPr="00ED69CB" w:rsidRDefault="001453D6" w:rsidP="00ED69CB">
      <w:pPr>
        <w:pStyle w:val="Uni-Normal"/>
        <w:numPr>
          <w:ilvl w:val="0"/>
          <w:numId w:val="29"/>
        </w:numPr>
        <w:jc w:val="both"/>
        <w:rPr>
          <w:b/>
          <w:szCs w:val="24"/>
        </w:rPr>
      </w:pPr>
      <w:r w:rsidRPr="00ED69CB">
        <w:rPr>
          <w:b/>
          <w:szCs w:val="24"/>
        </w:rPr>
        <w:t>Develop clear and integrated career pathways linked to development.</w:t>
      </w:r>
    </w:p>
    <w:p w14:paraId="3E0F30BB" w14:textId="77777777" w:rsidR="001453D6" w:rsidRPr="00ED69CB" w:rsidRDefault="001453D6" w:rsidP="00ED69CB">
      <w:pPr>
        <w:pStyle w:val="Uni-Normal"/>
        <w:jc w:val="both"/>
        <w:rPr>
          <w:szCs w:val="24"/>
          <w:lang w:eastAsia="en-GB"/>
        </w:rPr>
      </w:pPr>
      <w:r w:rsidRPr="00ED69CB">
        <w:rPr>
          <w:szCs w:val="24"/>
          <w:lang w:eastAsia="en-GB"/>
        </w:rPr>
        <w:t>Clear and accessible career pathways should be developed across services, outlining progression routes, expected criteria and the links between current roles, learning and development activity and future opportunities. This is necessary given the findings highlighting limited confidence in progression and a lack of visibility of how development translates into advancement, with opportunities often existing in isolation rather than as part of a coherent pathway. Strengthening this integration would improve career clarity, enhance motivation and support long-term retention.</w:t>
      </w:r>
    </w:p>
    <w:p w14:paraId="67CD564A" w14:textId="380E876C" w:rsidR="001453D6" w:rsidRPr="00ED69CB" w:rsidRDefault="001453D6" w:rsidP="00ED69CB">
      <w:pPr>
        <w:pStyle w:val="Uni-Normal"/>
        <w:numPr>
          <w:ilvl w:val="0"/>
          <w:numId w:val="29"/>
        </w:numPr>
        <w:jc w:val="both"/>
        <w:rPr>
          <w:szCs w:val="24"/>
          <w:lang w:eastAsia="en-GB"/>
        </w:rPr>
      </w:pPr>
      <w:r w:rsidRPr="00ED69CB">
        <w:rPr>
          <w:b/>
          <w:szCs w:val="24"/>
        </w:rPr>
        <w:t xml:space="preserve">Improve the visibility and communication of </w:t>
      </w:r>
      <w:r w:rsidR="009F304D">
        <w:rPr>
          <w:b/>
          <w:szCs w:val="24"/>
        </w:rPr>
        <w:t>TM</w:t>
      </w:r>
      <w:r w:rsidRPr="00ED69CB">
        <w:rPr>
          <w:b/>
          <w:szCs w:val="24"/>
        </w:rPr>
        <w:t xml:space="preserve"> </w:t>
      </w:r>
      <w:r w:rsidR="001E356A" w:rsidRPr="00ED69CB">
        <w:rPr>
          <w:b/>
          <w:szCs w:val="24"/>
        </w:rPr>
        <w:t>initiatives.</w:t>
      </w:r>
    </w:p>
    <w:p w14:paraId="54948AEF" w14:textId="7DA57699" w:rsidR="00ED69CB" w:rsidRPr="00ED69CB" w:rsidRDefault="001453D6" w:rsidP="00ED69CB">
      <w:pPr>
        <w:pStyle w:val="Uni-Normal"/>
        <w:jc w:val="both"/>
        <w:rPr>
          <w:szCs w:val="24"/>
          <w:lang w:eastAsia="en-GB"/>
        </w:rPr>
      </w:pPr>
      <w:r w:rsidRPr="00ED69CB">
        <w:rPr>
          <w:szCs w:val="24"/>
          <w:lang w:eastAsia="en-GB"/>
        </w:rPr>
        <w:t xml:space="preserve">The visibility of NCC’s </w:t>
      </w:r>
      <w:r w:rsidR="009F304D">
        <w:rPr>
          <w:szCs w:val="24"/>
          <w:lang w:eastAsia="en-GB"/>
        </w:rPr>
        <w:t>TM</w:t>
      </w:r>
      <w:r w:rsidRPr="00ED69CB">
        <w:rPr>
          <w:szCs w:val="24"/>
          <w:lang w:eastAsia="en-GB"/>
        </w:rPr>
        <w:t xml:space="preserve"> Framework should be improved </w:t>
      </w:r>
      <w:r w:rsidR="0074266B" w:rsidRPr="0074266B">
        <w:rPr>
          <w:szCs w:val="24"/>
          <w:lang w:eastAsia="en-GB"/>
        </w:rPr>
        <w:t xml:space="preserve">by creating a single accessible platform and embedding regular </w:t>
      </w:r>
      <w:r w:rsidR="00951E06" w:rsidRPr="0074266B">
        <w:rPr>
          <w:szCs w:val="24"/>
          <w:lang w:eastAsia="en-GB"/>
        </w:rPr>
        <w:t>communication</w:t>
      </w:r>
      <w:r w:rsidR="00951E06">
        <w:rPr>
          <w:szCs w:val="24"/>
          <w:lang w:eastAsia="en-GB"/>
        </w:rPr>
        <w:t xml:space="preserve"> </w:t>
      </w:r>
      <w:r w:rsidR="00951E06" w:rsidRPr="00ED69CB">
        <w:rPr>
          <w:szCs w:val="24"/>
          <w:lang w:eastAsia="en-GB"/>
        </w:rPr>
        <w:t>into</w:t>
      </w:r>
      <w:r w:rsidRPr="00ED69CB">
        <w:rPr>
          <w:szCs w:val="24"/>
          <w:lang w:eastAsia="en-GB"/>
        </w:rPr>
        <w:t xml:space="preserve"> onboarding, line manager discussions and internal communications. This includes clearly outlining available opportunities and how to access them. This responds to low awareness identified in the findings, which limits employee engagement. Increasing visibility will improve uptake of development opportunities and ensure existing initiatives are experienced as accessible and relevant.</w:t>
      </w:r>
    </w:p>
    <w:p w14:paraId="469559D3" w14:textId="015395EF" w:rsidR="001453D6" w:rsidRPr="00ED69CB" w:rsidRDefault="001453D6" w:rsidP="00ED69CB">
      <w:pPr>
        <w:pStyle w:val="Uni-Normal"/>
        <w:numPr>
          <w:ilvl w:val="0"/>
          <w:numId w:val="29"/>
        </w:numPr>
        <w:jc w:val="both"/>
        <w:rPr>
          <w:b/>
          <w:szCs w:val="24"/>
        </w:rPr>
      </w:pPr>
      <w:r w:rsidRPr="00ED69CB">
        <w:rPr>
          <w:b/>
          <w:szCs w:val="24"/>
        </w:rPr>
        <w:t xml:space="preserve">Maintain and ensure consistency in flexible working </w:t>
      </w:r>
      <w:r w:rsidR="001E356A" w:rsidRPr="00ED69CB">
        <w:rPr>
          <w:b/>
          <w:szCs w:val="24"/>
        </w:rPr>
        <w:t>arrangements.</w:t>
      </w:r>
    </w:p>
    <w:p w14:paraId="721A0313" w14:textId="414CD2D4" w:rsidR="001453D6" w:rsidRPr="00ED69CB" w:rsidRDefault="00B345E8" w:rsidP="00ED69CB">
      <w:pPr>
        <w:pStyle w:val="Uni-Normal"/>
        <w:jc w:val="both"/>
        <w:rPr>
          <w:szCs w:val="24"/>
          <w:lang w:eastAsia="en-GB"/>
        </w:rPr>
      </w:pPr>
      <w:r>
        <w:rPr>
          <w:szCs w:val="24"/>
          <w:lang w:eastAsia="en-GB"/>
        </w:rPr>
        <w:t>F</w:t>
      </w:r>
      <w:r w:rsidRPr="00B345E8">
        <w:rPr>
          <w:szCs w:val="24"/>
          <w:lang w:eastAsia="en-GB"/>
        </w:rPr>
        <w:t>lexible working should remain a core strength of NCC’s employee offer, with consistent application across departments supported by clear guidance for managers.</w:t>
      </w:r>
      <w:r>
        <w:rPr>
          <w:szCs w:val="24"/>
          <w:lang w:eastAsia="en-GB"/>
        </w:rPr>
        <w:t xml:space="preserve"> </w:t>
      </w:r>
      <w:r w:rsidR="001453D6" w:rsidRPr="00ED69CB">
        <w:rPr>
          <w:szCs w:val="24"/>
          <w:lang w:eastAsia="en-GB"/>
        </w:rPr>
        <w:t>This reflects findings that flexibility is a primary driver of both attraction and retention. Ensuring consistency will protect a key competitive advantage, improve employee satisfaction and strengthen NCC’s ability to attract and retain early-career talent.</w:t>
      </w:r>
    </w:p>
    <w:p w14:paraId="26744A73" w14:textId="688B9598" w:rsidR="001453D6" w:rsidRPr="00ED69CB" w:rsidRDefault="001453D6" w:rsidP="00ED69CB">
      <w:pPr>
        <w:pStyle w:val="Uni-Normal"/>
        <w:numPr>
          <w:ilvl w:val="0"/>
          <w:numId w:val="29"/>
        </w:numPr>
        <w:jc w:val="both"/>
        <w:rPr>
          <w:b/>
          <w:szCs w:val="24"/>
        </w:rPr>
      </w:pPr>
      <w:r w:rsidRPr="00ED69CB">
        <w:rPr>
          <w:b/>
          <w:szCs w:val="24"/>
        </w:rPr>
        <w:lastRenderedPageBreak/>
        <w:t xml:space="preserve">Strengthen the transparency of pay, reward and job </w:t>
      </w:r>
      <w:r w:rsidR="001E356A" w:rsidRPr="00ED69CB">
        <w:rPr>
          <w:b/>
          <w:szCs w:val="24"/>
        </w:rPr>
        <w:t>security.</w:t>
      </w:r>
    </w:p>
    <w:p w14:paraId="5658F42B" w14:textId="1D7974C0" w:rsidR="001453D6" w:rsidRPr="00ED69CB" w:rsidRDefault="001453D6" w:rsidP="00ED69CB">
      <w:pPr>
        <w:pStyle w:val="Uni-Normal"/>
        <w:jc w:val="both"/>
        <w:rPr>
          <w:szCs w:val="24"/>
        </w:rPr>
      </w:pPr>
      <w:r w:rsidRPr="00ED69CB">
        <w:rPr>
          <w:szCs w:val="24"/>
        </w:rPr>
        <w:t>Improving transparency around pay structures, progression, job security and wider public sector benefits would strengthen the perceived value of NCC’s employment offer. This is supported by findings showing that salary and job security become more influential in retention decisions than in attraction</w:t>
      </w:r>
      <w:r w:rsidR="00DD08D2" w:rsidRPr="00ED69CB">
        <w:rPr>
          <w:szCs w:val="24"/>
        </w:rPr>
        <w:t>. Improved clarity will strengthen perceived value of employment, support retention and reduce uncertainty among early-career employees.</w:t>
      </w:r>
    </w:p>
    <w:p w14:paraId="2D9C0005" w14:textId="420413BC" w:rsidR="001453D6" w:rsidRPr="00ED69CB" w:rsidRDefault="001453D6" w:rsidP="00ED69CB">
      <w:pPr>
        <w:pStyle w:val="Uni-Normal"/>
        <w:numPr>
          <w:ilvl w:val="0"/>
          <w:numId w:val="29"/>
        </w:numPr>
        <w:jc w:val="both"/>
        <w:rPr>
          <w:b/>
          <w:szCs w:val="24"/>
        </w:rPr>
      </w:pPr>
      <w:r w:rsidRPr="00ED69CB">
        <w:rPr>
          <w:b/>
          <w:szCs w:val="24"/>
        </w:rPr>
        <w:t xml:space="preserve">Address organisational culture and age-related </w:t>
      </w:r>
      <w:r w:rsidR="001E356A" w:rsidRPr="00ED69CB">
        <w:rPr>
          <w:b/>
          <w:szCs w:val="24"/>
        </w:rPr>
        <w:t>bias.</w:t>
      </w:r>
    </w:p>
    <w:p w14:paraId="0BAED048" w14:textId="77777777" w:rsidR="00DD08D2" w:rsidRPr="00ED69CB" w:rsidRDefault="001453D6" w:rsidP="00ED69CB">
      <w:pPr>
        <w:pStyle w:val="Uni-Normal"/>
        <w:jc w:val="both"/>
        <w:rPr>
          <w:szCs w:val="24"/>
        </w:rPr>
      </w:pPr>
      <w:r w:rsidRPr="00ED69CB">
        <w:rPr>
          <w:szCs w:val="24"/>
        </w:rPr>
        <w:t xml:space="preserve">A stronger focus should be placed on inclusive leadership, generational awareness and cross-generational collaboration. This responds to qualitative </w:t>
      </w:r>
      <w:r w:rsidR="00DD08D2" w:rsidRPr="00ED69CB">
        <w:rPr>
          <w:szCs w:val="24"/>
        </w:rPr>
        <w:t>findings highlighting experiences of age-related bias and lack of respect. Strengthening inclusive leadership practices will improve workplace culture, increase engagement and support a more cohesive and supportive working environment.</w:t>
      </w:r>
    </w:p>
    <w:p w14:paraId="6EE1185B" w14:textId="4A0D1DB1" w:rsidR="001453D6" w:rsidRPr="00ED69CB" w:rsidRDefault="001453D6" w:rsidP="00ED69CB">
      <w:pPr>
        <w:pStyle w:val="Uni-Normal"/>
        <w:numPr>
          <w:ilvl w:val="0"/>
          <w:numId w:val="29"/>
        </w:numPr>
        <w:jc w:val="both"/>
        <w:rPr>
          <w:b/>
          <w:bCs/>
          <w:szCs w:val="24"/>
        </w:rPr>
      </w:pPr>
      <w:r w:rsidRPr="00ED69CB">
        <w:rPr>
          <w:b/>
          <w:bCs/>
          <w:szCs w:val="24"/>
        </w:rPr>
        <w:t xml:space="preserve">Prioritise digital modernisation and strengthen employer </w:t>
      </w:r>
      <w:r w:rsidR="001E356A" w:rsidRPr="00ED69CB">
        <w:rPr>
          <w:b/>
          <w:bCs/>
          <w:szCs w:val="24"/>
        </w:rPr>
        <w:t>attractiveness.</w:t>
      </w:r>
    </w:p>
    <w:p w14:paraId="4C7055B7" w14:textId="77777777" w:rsidR="001453D6" w:rsidRPr="00ED69CB" w:rsidRDefault="001453D6" w:rsidP="00ED69CB">
      <w:pPr>
        <w:pStyle w:val="Uni-Normal"/>
        <w:jc w:val="both"/>
        <w:rPr>
          <w:szCs w:val="24"/>
          <w:lang w:eastAsia="en-GB"/>
        </w:rPr>
      </w:pPr>
      <w:r w:rsidRPr="00ED69CB">
        <w:rPr>
          <w:szCs w:val="24"/>
          <w:lang w:eastAsia="en-GB"/>
        </w:rPr>
        <w:t>Investment in digital modernisation should be prioritised to improve both operational efficiency and perceptions of NCC as a modern employer. This is supported by findings linking outdated systems to negative perceptions of organisational relevance, suggesting that digital capability functions not only as a practical tool but also as a signal of organisational credibility for Gen Z employees. This should be complemented by clearer communication of employee experiences and career pathways, strengthening alignment between organisational messaging and employee experience.</w:t>
      </w:r>
    </w:p>
    <w:p w14:paraId="468F474E" w14:textId="3BCA6992" w:rsidR="006A5985" w:rsidRPr="00ED69CB" w:rsidRDefault="006A5985" w:rsidP="00ED69CB">
      <w:pPr>
        <w:pStyle w:val="2Sectionheading"/>
        <w:spacing w:line="360" w:lineRule="auto"/>
        <w:jc w:val="both"/>
        <w:rPr>
          <w:rFonts w:cs="Times New Roman"/>
          <w:szCs w:val="24"/>
        </w:rPr>
      </w:pPr>
      <w:bookmarkStart w:id="116" w:name="_Toc234319649"/>
      <w:r w:rsidRPr="00ED69CB">
        <w:rPr>
          <w:rFonts w:cs="Times New Roman"/>
          <w:szCs w:val="24"/>
        </w:rPr>
        <w:t xml:space="preserve">5.4 Implementation </w:t>
      </w:r>
      <w:r w:rsidR="00E03DFB">
        <w:rPr>
          <w:rFonts w:cs="Times New Roman"/>
          <w:szCs w:val="24"/>
        </w:rPr>
        <w:t>C</w:t>
      </w:r>
      <w:r w:rsidRPr="00ED69CB">
        <w:rPr>
          <w:rFonts w:cs="Times New Roman"/>
          <w:szCs w:val="24"/>
        </w:rPr>
        <w:t>onsiderations</w:t>
      </w:r>
      <w:bookmarkEnd w:id="115"/>
      <w:bookmarkEnd w:id="116"/>
    </w:p>
    <w:p w14:paraId="36D7E6F6" w14:textId="6ADF546F" w:rsidR="00327548" w:rsidRPr="00ED69CB" w:rsidRDefault="00327548" w:rsidP="00ED69CB">
      <w:pPr>
        <w:pStyle w:val="Uni-Normal"/>
        <w:jc w:val="both"/>
        <w:rPr>
          <w:szCs w:val="24"/>
        </w:rPr>
      </w:pPr>
      <w:r w:rsidRPr="00ED69CB">
        <w:rPr>
          <w:szCs w:val="24"/>
        </w:rPr>
        <w:t xml:space="preserve">While the recommendations provide a clear strategic direction for improving </w:t>
      </w:r>
      <w:r w:rsidR="009F304D">
        <w:rPr>
          <w:szCs w:val="24"/>
        </w:rPr>
        <w:t>TM</w:t>
      </w:r>
      <w:r w:rsidRPr="00ED69CB">
        <w:rPr>
          <w:szCs w:val="24"/>
        </w:rPr>
        <w:t>, their successful implementation will depend on organisational capacity, leadership commitment and resource availability. Financial constraints, competing service demands and existing organisational structures may limit the pace of change. NCC should therefore adopt a phased and prioritised approach, initially focusing on high-impact areas such as improving career pathway visibility and strengthening communication of existing initiatives.</w:t>
      </w:r>
    </w:p>
    <w:p w14:paraId="50778A2C" w14:textId="39077D07" w:rsidR="00327548" w:rsidRPr="00ED69CB" w:rsidRDefault="00327548" w:rsidP="00ED69CB">
      <w:pPr>
        <w:pStyle w:val="Uni-Normal"/>
        <w:jc w:val="both"/>
        <w:rPr>
          <w:szCs w:val="24"/>
        </w:rPr>
      </w:pPr>
      <w:r w:rsidRPr="00ED69CB">
        <w:rPr>
          <w:szCs w:val="24"/>
        </w:rPr>
        <w:t xml:space="preserve">This is particularly significant given the relatively low proportion of Gen Z employees within the workforce (11%), which increases the strategic importance of attracting, retaining and </w:t>
      </w:r>
      <w:r w:rsidRPr="00ED69CB">
        <w:rPr>
          <w:szCs w:val="24"/>
        </w:rPr>
        <w:lastRenderedPageBreak/>
        <w:t>developing this cohort to sustain future workforce capacity and leadership in the context of an ageing workforce (</w:t>
      </w:r>
      <w:r w:rsidR="009F304D">
        <w:rPr>
          <w:szCs w:val="24"/>
        </w:rPr>
        <w:t>NCC</w:t>
      </w:r>
      <w:r w:rsidRPr="00ED69CB">
        <w:rPr>
          <w:szCs w:val="24"/>
        </w:rPr>
        <w:t>, 2025).</w:t>
      </w:r>
      <w:r w:rsidR="00A07E42" w:rsidRPr="00ED69CB">
        <w:rPr>
          <w:szCs w:val="24"/>
        </w:rPr>
        <w:t xml:space="preserve"> This local workforce profile reflects wider demographic pressures in Wales, where a declining working-age population and increasing replacement demand are likely to intensify competition for early-career talent (Universities Wales, 2019; Public Services Staff Commission, 2017). </w:t>
      </w:r>
      <w:r w:rsidRPr="00ED69CB">
        <w:rPr>
          <w:szCs w:val="24"/>
        </w:rPr>
        <w:t xml:space="preserve"> Timely and targeted action is therefore necessary to maintain competitiveness in attracting early-career talent. Sustained leadership engagement and cross-departmental alignment will also be critical to embedding these changes and ensuring consistent implementation across the organisation.</w:t>
      </w:r>
    </w:p>
    <w:p w14:paraId="7E64FE98" w14:textId="77777777" w:rsidR="00B13D05" w:rsidRPr="00ED69CB" w:rsidRDefault="00B13D05" w:rsidP="00B13D05">
      <w:pPr>
        <w:pStyle w:val="2Sectionheading"/>
        <w:spacing w:line="360" w:lineRule="auto"/>
        <w:jc w:val="both"/>
        <w:rPr>
          <w:rFonts w:cs="Times New Roman"/>
          <w:szCs w:val="24"/>
        </w:rPr>
      </w:pPr>
      <w:bookmarkStart w:id="117" w:name="_Toc233023203"/>
      <w:bookmarkStart w:id="118" w:name="_Toc234319650"/>
      <w:r w:rsidRPr="00ED69CB">
        <w:rPr>
          <w:rFonts w:cs="Times New Roman"/>
          <w:szCs w:val="24"/>
        </w:rPr>
        <w:t>5.5 Contribution to Knowledge</w:t>
      </w:r>
      <w:bookmarkStart w:id="119" w:name="_Toc233023204"/>
      <w:bookmarkEnd w:id="117"/>
      <w:bookmarkEnd w:id="118"/>
    </w:p>
    <w:p w14:paraId="038803D6" w14:textId="77777777" w:rsidR="00B13D05" w:rsidRPr="007D5162" w:rsidRDefault="00B13D05" w:rsidP="00B13D05">
      <w:pPr>
        <w:pStyle w:val="Uni-Normal"/>
        <w:jc w:val="both"/>
        <w:rPr>
          <w:szCs w:val="24"/>
        </w:rPr>
      </w:pPr>
      <w:r w:rsidRPr="007D5162">
        <w:rPr>
          <w:szCs w:val="24"/>
        </w:rPr>
        <w:t xml:space="preserve">This research contributes to knowledge by addressing a recognised gap in the literature concerning Gen Z and TM within UK local government, particularly within a Welsh context where empirical evidence remains limited. </w:t>
      </w:r>
      <w:proofErr w:type="gramStart"/>
      <w:r w:rsidRPr="007D5162">
        <w:rPr>
          <w:szCs w:val="24"/>
        </w:rPr>
        <w:t>Through the use of</w:t>
      </w:r>
      <w:proofErr w:type="gramEnd"/>
      <w:r w:rsidRPr="007D5162">
        <w:rPr>
          <w:szCs w:val="24"/>
        </w:rPr>
        <w:t xml:space="preserve"> primary data collected from NCC employees, the study provides context-specific insight into how TM practices are experienced within a local authority environment and extends understanding of workforce sustainability challenges facing UK councils.</w:t>
      </w:r>
    </w:p>
    <w:p w14:paraId="44183246" w14:textId="4C3423E4" w:rsidR="00B13D05" w:rsidRPr="00B13D05" w:rsidRDefault="00B13D05" w:rsidP="00254B47">
      <w:pPr>
        <w:pStyle w:val="Uni-Normal"/>
        <w:jc w:val="both"/>
      </w:pPr>
      <w:r w:rsidRPr="007D5162">
        <w:t xml:space="preserve">The findings both support and challenge existing literature. Consistent with previous research, flexibility, career development and meaningful work were identified as important influences on attraction and retention. However, the findings also challenge assumptions that Gen Z primarily favours self-directed and digitally enabled learning approaches. Instead, respondents demonstrated a stronger preference for structured development opportunities, including formal qualifications, mentoring and clearly defined progression pathways. </w:t>
      </w:r>
      <w:r w:rsidRPr="00B13D05">
        <w:t xml:space="preserve">This suggests that visibility and credibility of progression may be more influential than the mode of learning itself in shaping Gen Z perceptions of development opportunities. The study also highlights the importance of ensuring TM initiatives are visible and accessible to employees, extending understanding of how </w:t>
      </w:r>
      <w:r w:rsidR="00AC63BF">
        <w:t>TM</w:t>
      </w:r>
      <w:r w:rsidRPr="00B13D05">
        <w:t xml:space="preserve"> is experienced within local government settings.</w:t>
      </w:r>
    </w:p>
    <w:p w14:paraId="5EA15FA2" w14:textId="6F4D91C0" w:rsidR="006A5985" w:rsidRPr="00ED69CB" w:rsidRDefault="006A5985" w:rsidP="00B13D05">
      <w:pPr>
        <w:pStyle w:val="2Sectionheading"/>
      </w:pPr>
      <w:bookmarkStart w:id="120" w:name="_Toc234319651"/>
      <w:r w:rsidRPr="00ED69CB">
        <w:t>5.6 Limitations of the Study</w:t>
      </w:r>
      <w:bookmarkEnd w:id="119"/>
      <w:bookmarkEnd w:id="120"/>
    </w:p>
    <w:p w14:paraId="6FDEB106" w14:textId="77777777" w:rsidR="006A5985" w:rsidRPr="00ED69CB" w:rsidRDefault="006A5985" w:rsidP="00ED69CB">
      <w:pPr>
        <w:pStyle w:val="Uni-Normal"/>
        <w:jc w:val="both"/>
        <w:rPr>
          <w:szCs w:val="24"/>
        </w:rPr>
      </w:pPr>
      <w:r w:rsidRPr="00ED69CB">
        <w:rPr>
          <w:szCs w:val="24"/>
        </w:rPr>
        <w:t xml:space="preserve">This study has several limitations that should be considered when interpreting the findings. The research focused on a single local authority, which limits the generalisability of the results to other councils or public sector organisations operating within different organisational, structural or resource contexts. The findings should therefore be interpreted as context-specific rather than directly transferable across the wider local government sector. The study also </w:t>
      </w:r>
      <w:r w:rsidRPr="00ED69CB">
        <w:rPr>
          <w:szCs w:val="24"/>
        </w:rPr>
        <w:lastRenderedPageBreak/>
        <w:t>focuses exclusively on Gen Z employees and does not consider perspectives from other generations. As a result, the findings reflect generation-specific experiences and may not capture wider workforce dynamics or differences between age groups.</w:t>
      </w:r>
    </w:p>
    <w:p w14:paraId="0BEF6703" w14:textId="4FC3C2F1" w:rsidR="004E2C37" w:rsidRDefault="006A5985" w:rsidP="004E2C37">
      <w:pPr>
        <w:pStyle w:val="Uni-Normal"/>
        <w:jc w:val="both"/>
        <w:rPr>
          <w:szCs w:val="24"/>
        </w:rPr>
      </w:pPr>
      <w:r w:rsidRPr="00ED69CB">
        <w:rPr>
          <w:szCs w:val="24"/>
        </w:rPr>
        <w:t xml:space="preserve">The sample size also presents limitations. Although the survey generated 96 valid responses, it may not fully represent the diversity of experiences across different service areas, job roles and contract types. In addition, the use of self-reported survey data introduces the potential for response bias, including social desirability and perception-based responses at a single point in time. As participation was voluntary, there is also a risk of self-selection bias, </w:t>
      </w:r>
      <w:bookmarkStart w:id="121" w:name="_Toc233023205"/>
      <w:r w:rsidRPr="00ED69CB">
        <w:rPr>
          <w:szCs w:val="24"/>
        </w:rPr>
        <w:t>as individuals with stronger views or experiences may have been more inclined to participate (</w:t>
      </w:r>
      <w:r w:rsidR="004E2C37" w:rsidRPr="00F63854">
        <w:rPr>
          <w:szCs w:val="24"/>
        </w:rPr>
        <w:t>Saunders, Lewis and Thornhill, 2016</w:t>
      </w:r>
      <w:r w:rsidR="004E2C37">
        <w:rPr>
          <w:szCs w:val="24"/>
        </w:rPr>
        <w:t>)</w:t>
      </w:r>
      <w:r w:rsidR="00951E06">
        <w:rPr>
          <w:szCs w:val="24"/>
        </w:rPr>
        <w:t>.</w:t>
      </w:r>
    </w:p>
    <w:p w14:paraId="4D816062" w14:textId="13A3BF52" w:rsidR="006A5985" w:rsidRPr="00ED69CB" w:rsidRDefault="006A5985" w:rsidP="004E2C37">
      <w:pPr>
        <w:pStyle w:val="2Sectionheading"/>
      </w:pPr>
      <w:bookmarkStart w:id="122" w:name="_Toc234319652"/>
      <w:r w:rsidRPr="00ED69CB">
        <w:t>5.7 Future Research Directions</w:t>
      </w:r>
      <w:bookmarkEnd w:id="121"/>
      <w:bookmarkEnd w:id="122"/>
    </w:p>
    <w:p w14:paraId="775B7A26" w14:textId="633B2FF4" w:rsidR="006A5985" w:rsidRPr="00ED69CB" w:rsidRDefault="006A5985" w:rsidP="00ED69CB">
      <w:pPr>
        <w:pStyle w:val="Uni-Normal"/>
        <w:jc w:val="both"/>
        <w:rPr>
          <w:szCs w:val="24"/>
        </w:rPr>
      </w:pPr>
      <w:r w:rsidRPr="00ED69CB">
        <w:rPr>
          <w:szCs w:val="24"/>
        </w:rPr>
        <w:t>Several opportunities for future research emerge from this study. Comparative research across multiple local authorities would allow the findings to be tested in different organisational contexts, helping to determine whether the patterns identified at NCC are consistent across councils facing varying levels of workforce ageing, recruitment pressure and service demand. Future research could also extend beyond Gen Z to examine whether similar experiences are shared across the wider workforce, enabling comparison between generational cohorts and identifying whether the challenges identified reflect generational preferences or broader organisational and structural factors.</w:t>
      </w:r>
    </w:p>
    <w:p w14:paraId="0B69E8E3" w14:textId="2C022808" w:rsidR="006A5985" w:rsidRPr="00ED69CB" w:rsidRDefault="006A5985" w:rsidP="00ED69CB">
      <w:pPr>
        <w:pStyle w:val="Uni-Normal"/>
        <w:jc w:val="both"/>
        <w:rPr>
          <w:szCs w:val="24"/>
        </w:rPr>
      </w:pPr>
      <w:r w:rsidRPr="00ED69CB">
        <w:rPr>
          <w:szCs w:val="24"/>
        </w:rPr>
        <w:t>Longitudinal research would be valuable to explore how Gen Z expectations, engagement and retention intentions evolve as individuals progress beyond early career stages. Future research could also examine how early</w:t>
      </w:r>
      <w:r w:rsidRPr="00ED69CB">
        <w:rPr>
          <w:szCs w:val="24"/>
        </w:rPr>
        <w:noBreakHyphen/>
        <w:t>career development translates into long</w:t>
      </w:r>
      <w:r w:rsidRPr="00ED69CB">
        <w:rPr>
          <w:szCs w:val="24"/>
        </w:rPr>
        <w:noBreakHyphen/>
        <w:t>term retention, particularly in the context of workforce ageing and increasing replacement demand. This would support a clearer understanding of how councils can sustain organisational capability amid ongoing demographic change and help to inform more effective recruitment and retention strategies for future generations, including Generation Alpha.</w:t>
      </w:r>
      <w:r w:rsidRPr="00ED69CB">
        <w:rPr>
          <w:rFonts w:eastAsia="Times New Roman"/>
          <w:szCs w:val="24"/>
          <w:lang w:eastAsia="en-GB"/>
        </w:rPr>
        <w:t xml:space="preserve"> </w:t>
      </w:r>
      <w:r w:rsidRPr="00ED69CB">
        <w:rPr>
          <w:szCs w:val="24"/>
        </w:rPr>
        <w:t xml:space="preserve">Such research would provide greater insight into how </w:t>
      </w:r>
      <w:r w:rsidR="009F304D">
        <w:rPr>
          <w:szCs w:val="24"/>
        </w:rPr>
        <w:t>TM</w:t>
      </w:r>
      <w:r w:rsidRPr="00ED69CB">
        <w:rPr>
          <w:szCs w:val="24"/>
        </w:rPr>
        <w:t xml:space="preserve"> strategies can support workforce sustainability over time and inform approaches to managing future generational cohorts.</w:t>
      </w:r>
    </w:p>
    <w:p w14:paraId="79180149" w14:textId="77777777" w:rsidR="006A5985" w:rsidRPr="00ED69CB" w:rsidRDefault="006A5985" w:rsidP="00ED69CB">
      <w:pPr>
        <w:pStyle w:val="2Sectionheading"/>
        <w:spacing w:line="360" w:lineRule="auto"/>
        <w:jc w:val="both"/>
        <w:rPr>
          <w:rFonts w:cs="Times New Roman"/>
          <w:szCs w:val="24"/>
        </w:rPr>
      </w:pPr>
      <w:bookmarkStart w:id="123" w:name="_Toc233023206"/>
      <w:bookmarkStart w:id="124" w:name="_Toc234319653"/>
      <w:r w:rsidRPr="00ED69CB">
        <w:rPr>
          <w:rFonts w:cs="Times New Roman"/>
          <w:szCs w:val="24"/>
        </w:rPr>
        <w:t>5.8 Chapter Summary</w:t>
      </w:r>
      <w:bookmarkEnd w:id="123"/>
      <w:bookmarkEnd w:id="124"/>
      <w:r w:rsidRPr="00ED69CB">
        <w:rPr>
          <w:rFonts w:cs="Times New Roman"/>
          <w:szCs w:val="24"/>
        </w:rPr>
        <w:t xml:space="preserve"> </w:t>
      </w:r>
    </w:p>
    <w:p w14:paraId="15C30006" w14:textId="7F6DF5C6" w:rsidR="00B91E3D" w:rsidRDefault="00D80479" w:rsidP="00ED69CB">
      <w:pPr>
        <w:pStyle w:val="Uni-Normal"/>
        <w:jc w:val="both"/>
        <w:rPr>
          <w:szCs w:val="24"/>
        </w:rPr>
      </w:pPr>
      <w:r w:rsidRPr="00ED69CB">
        <w:rPr>
          <w:szCs w:val="24"/>
        </w:rPr>
        <w:t xml:space="preserve">This final chapter has discussed the study’s findings in relation to the research objectives, examining how </w:t>
      </w:r>
      <w:r w:rsidR="009F304D">
        <w:rPr>
          <w:szCs w:val="24"/>
        </w:rPr>
        <w:t>TM</w:t>
      </w:r>
      <w:r w:rsidRPr="00ED69CB">
        <w:rPr>
          <w:szCs w:val="24"/>
        </w:rPr>
        <w:t xml:space="preserve"> shapes Gen Z expectations, experiences and retention within a local </w:t>
      </w:r>
      <w:r w:rsidRPr="00ED69CB">
        <w:rPr>
          <w:szCs w:val="24"/>
        </w:rPr>
        <w:lastRenderedPageBreak/>
        <w:t xml:space="preserve">government context. It has presented key conclusions, provided recommendations for NCC and outlined the study’s limitations and areas for future research. </w:t>
      </w:r>
    </w:p>
    <w:p w14:paraId="2047C424" w14:textId="2B31CE80" w:rsidR="005E39B0" w:rsidRPr="005E39B0" w:rsidRDefault="00D80479" w:rsidP="005E39B0">
      <w:pPr>
        <w:pStyle w:val="Uni-Normal"/>
        <w:jc w:val="both"/>
        <w:rPr>
          <w:szCs w:val="24"/>
        </w:rPr>
      </w:pPr>
      <w:r w:rsidRPr="00ED69CB">
        <w:rPr>
          <w:szCs w:val="24"/>
        </w:rPr>
        <w:t xml:space="preserve">Overall, the findings demonstrate how this research can support NCC in strengthening </w:t>
      </w:r>
      <w:r w:rsidR="009F304D">
        <w:rPr>
          <w:szCs w:val="24"/>
        </w:rPr>
        <w:t>TM</w:t>
      </w:r>
      <w:r w:rsidRPr="00ED69CB">
        <w:rPr>
          <w:szCs w:val="24"/>
        </w:rPr>
        <w:t xml:space="preserve"> practices, while also contributing context-specific evidence to the wider literature on Gen Z and </w:t>
      </w:r>
      <w:r w:rsidR="009F304D">
        <w:rPr>
          <w:szCs w:val="24"/>
        </w:rPr>
        <w:t>TM</w:t>
      </w:r>
      <w:r w:rsidRPr="00ED69CB">
        <w:rPr>
          <w:szCs w:val="24"/>
        </w:rPr>
        <w:t xml:space="preserve"> within UK local government. </w:t>
      </w:r>
      <w:r w:rsidR="005E39B0">
        <w:rPr>
          <w:szCs w:val="24"/>
        </w:rPr>
        <w:t>Attracting</w:t>
      </w:r>
      <w:r w:rsidR="005E39B0" w:rsidRPr="005E39B0">
        <w:rPr>
          <w:szCs w:val="24"/>
        </w:rPr>
        <w:t xml:space="preserve"> and retaining Gen Z employees is not simply an organisational priority but a critical requirement for sustaining workforce resilience and ensuring the long-term delivery of public services.</w:t>
      </w:r>
      <w:r w:rsidR="005E39B0" w:rsidRPr="005E39B0">
        <w:rPr>
          <w:rFonts w:eastAsia="Times New Roman"/>
          <w:szCs w:val="24"/>
          <w:lang w:eastAsia="en-GB"/>
        </w:rPr>
        <w:t xml:space="preserve"> </w:t>
      </w:r>
      <w:r w:rsidR="005E39B0" w:rsidRPr="005E39B0">
        <w:rPr>
          <w:szCs w:val="24"/>
        </w:rPr>
        <w:t xml:space="preserve">As such, the ability of local authorities to effectively engage and retain Gen Z will play a defining role in shaping the future sustainability of </w:t>
      </w:r>
      <w:r w:rsidR="005E39B0">
        <w:rPr>
          <w:szCs w:val="24"/>
        </w:rPr>
        <w:t xml:space="preserve">the </w:t>
      </w:r>
      <w:r w:rsidR="005E39B0" w:rsidRPr="005E39B0">
        <w:rPr>
          <w:szCs w:val="24"/>
        </w:rPr>
        <w:t>public sector workforc</w:t>
      </w:r>
      <w:r w:rsidR="005E39B0">
        <w:rPr>
          <w:szCs w:val="24"/>
        </w:rPr>
        <w:t>e.</w:t>
      </w:r>
    </w:p>
    <w:p w14:paraId="5FCDCA5A" w14:textId="7C3C4C7A" w:rsidR="005E39B0" w:rsidRPr="005E39B0" w:rsidRDefault="005E39B0" w:rsidP="005E39B0">
      <w:pPr>
        <w:pStyle w:val="Uni-Normal"/>
        <w:jc w:val="both"/>
        <w:rPr>
          <w:szCs w:val="24"/>
        </w:rPr>
      </w:pPr>
    </w:p>
    <w:p w14:paraId="0C63E022" w14:textId="74D8D288" w:rsidR="006A5985" w:rsidRPr="00ED69CB" w:rsidRDefault="006A5985" w:rsidP="00ED69CB">
      <w:pPr>
        <w:pStyle w:val="Uni-Normal"/>
        <w:jc w:val="both"/>
        <w:rPr>
          <w:szCs w:val="24"/>
        </w:rPr>
      </w:pPr>
    </w:p>
    <w:p w14:paraId="3F997BC0" w14:textId="77777777" w:rsidR="00A74165" w:rsidRPr="00ED69CB" w:rsidRDefault="00A74165" w:rsidP="00ED69CB">
      <w:pPr>
        <w:spacing w:after="240" w:line="360" w:lineRule="auto"/>
        <w:ind w:left="360"/>
        <w:jc w:val="both"/>
        <w:rPr>
          <w:rFonts w:eastAsia="Times New Roman"/>
          <w:szCs w:val="24"/>
          <w:lang w:eastAsia="en-GB"/>
        </w:rPr>
      </w:pPr>
    </w:p>
    <w:p w14:paraId="2BE1E062" w14:textId="77777777" w:rsidR="00A74165" w:rsidRPr="00ED69CB" w:rsidRDefault="00A74165" w:rsidP="00ED69CB">
      <w:pPr>
        <w:spacing w:after="240" w:line="360" w:lineRule="auto"/>
        <w:ind w:left="360"/>
        <w:jc w:val="both"/>
        <w:rPr>
          <w:rFonts w:eastAsia="Times New Roman"/>
          <w:szCs w:val="24"/>
          <w:lang w:eastAsia="en-GB"/>
        </w:rPr>
      </w:pPr>
    </w:p>
    <w:p w14:paraId="5CB55931" w14:textId="77777777" w:rsidR="00A74165" w:rsidRPr="00ED69CB" w:rsidRDefault="00A74165" w:rsidP="00ED69CB">
      <w:pPr>
        <w:spacing w:after="240" w:line="360" w:lineRule="auto"/>
        <w:ind w:left="360"/>
        <w:jc w:val="both"/>
        <w:rPr>
          <w:rFonts w:eastAsia="Times New Roman"/>
          <w:szCs w:val="24"/>
          <w:lang w:eastAsia="en-GB"/>
        </w:rPr>
      </w:pPr>
    </w:p>
    <w:p w14:paraId="091D621C" w14:textId="77777777" w:rsidR="00A74165" w:rsidRPr="00ED69CB" w:rsidRDefault="00A74165" w:rsidP="00ED69CB">
      <w:pPr>
        <w:spacing w:after="240" w:line="360" w:lineRule="auto"/>
        <w:ind w:left="360"/>
        <w:jc w:val="both"/>
        <w:rPr>
          <w:rFonts w:eastAsia="Times New Roman"/>
          <w:szCs w:val="24"/>
          <w:lang w:eastAsia="en-GB"/>
        </w:rPr>
      </w:pPr>
    </w:p>
    <w:p w14:paraId="6AAA09DA" w14:textId="77777777" w:rsidR="00A74165" w:rsidRPr="00ED69CB" w:rsidRDefault="00A74165" w:rsidP="00ED69CB">
      <w:pPr>
        <w:spacing w:after="240" w:line="360" w:lineRule="auto"/>
        <w:ind w:left="360"/>
        <w:jc w:val="both"/>
        <w:rPr>
          <w:rFonts w:eastAsia="Times New Roman"/>
          <w:szCs w:val="24"/>
          <w:lang w:eastAsia="en-GB"/>
        </w:rPr>
      </w:pPr>
    </w:p>
    <w:p w14:paraId="3FCB5B48" w14:textId="77777777" w:rsidR="00A74165" w:rsidRPr="00ED69CB" w:rsidRDefault="00A74165" w:rsidP="00ED69CB">
      <w:pPr>
        <w:spacing w:after="240" w:line="360" w:lineRule="auto"/>
        <w:ind w:left="360"/>
        <w:jc w:val="both"/>
        <w:rPr>
          <w:rFonts w:eastAsia="Times New Roman"/>
          <w:szCs w:val="24"/>
          <w:lang w:eastAsia="en-GB"/>
        </w:rPr>
      </w:pPr>
    </w:p>
    <w:p w14:paraId="115383A4" w14:textId="77777777" w:rsidR="00A74165" w:rsidRPr="00ED69CB" w:rsidRDefault="00A74165" w:rsidP="00ED69CB">
      <w:pPr>
        <w:spacing w:after="240" w:line="360" w:lineRule="auto"/>
        <w:ind w:left="360"/>
        <w:jc w:val="both"/>
        <w:rPr>
          <w:rFonts w:eastAsia="Times New Roman"/>
          <w:szCs w:val="24"/>
          <w:lang w:eastAsia="en-GB"/>
        </w:rPr>
      </w:pPr>
    </w:p>
    <w:p w14:paraId="019FF76A" w14:textId="77777777" w:rsidR="00A74165" w:rsidRPr="00ED69CB" w:rsidRDefault="00A74165" w:rsidP="00ED69CB">
      <w:pPr>
        <w:spacing w:after="240" w:line="360" w:lineRule="auto"/>
        <w:ind w:left="360"/>
        <w:jc w:val="both"/>
        <w:rPr>
          <w:rFonts w:eastAsia="Times New Roman"/>
          <w:szCs w:val="24"/>
          <w:lang w:eastAsia="en-GB"/>
        </w:rPr>
      </w:pPr>
    </w:p>
    <w:p w14:paraId="5B44E99E" w14:textId="77777777" w:rsidR="00A74165" w:rsidRPr="00ED69CB" w:rsidRDefault="00A74165" w:rsidP="00ED69CB">
      <w:pPr>
        <w:spacing w:after="240" w:line="360" w:lineRule="auto"/>
        <w:ind w:left="360"/>
        <w:jc w:val="both"/>
        <w:rPr>
          <w:rFonts w:eastAsia="Times New Roman"/>
          <w:szCs w:val="24"/>
          <w:lang w:eastAsia="en-GB"/>
        </w:rPr>
      </w:pPr>
    </w:p>
    <w:p w14:paraId="3B3068C7" w14:textId="77777777" w:rsidR="00F36AAA" w:rsidRDefault="00F36AAA" w:rsidP="00F36AAA">
      <w:pPr>
        <w:rPr>
          <w:lang w:eastAsia="en-GB"/>
        </w:rPr>
      </w:pPr>
    </w:p>
    <w:p w14:paraId="7C247F23" w14:textId="77777777" w:rsidR="00B16E69" w:rsidRDefault="00B16E69" w:rsidP="00F36AAA">
      <w:pPr>
        <w:pStyle w:val="1ChapterHeading"/>
        <w:spacing w:line="360" w:lineRule="auto"/>
        <w:jc w:val="left"/>
        <w:rPr>
          <w:rFonts w:eastAsia="Times New Roman"/>
          <w:lang w:eastAsia="en-GB"/>
        </w:rPr>
      </w:pPr>
    </w:p>
    <w:p w14:paraId="3D1B3BCB" w14:textId="13BE0723" w:rsidR="00E71136" w:rsidRPr="00E71136" w:rsidRDefault="002D4B62" w:rsidP="00F36AAA">
      <w:pPr>
        <w:pStyle w:val="1ChapterHeading"/>
        <w:spacing w:line="360" w:lineRule="auto"/>
        <w:jc w:val="left"/>
        <w:rPr>
          <w:rFonts w:eastAsia="Times New Roman"/>
          <w:lang w:eastAsia="en-GB"/>
        </w:rPr>
      </w:pPr>
      <w:bookmarkStart w:id="125" w:name="_Toc234319654"/>
      <w:r w:rsidRPr="00C6518D">
        <w:rPr>
          <w:rFonts w:eastAsia="Times New Roman"/>
          <w:lang w:eastAsia="en-GB"/>
        </w:rPr>
        <w:t>REFERENCES</w:t>
      </w:r>
      <w:bookmarkEnd w:id="125"/>
    </w:p>
    <w:p w14:paraId="2362A53A" w14:textId="77777777" w:rsidR="009105EC" w:rsidRPr="0029077C" w:rsidRDefault="009105EC" w:rsidP="001C552D">
      <w:pPr>
        <w:pStyle w:val="Uni-Normal"/>
        <w:ind w:left="360" w:hanging="720"/>
        <w:rPr>
          <w:szCs w:val="24"/>
          <w:lang w:eastAsia="en-GB"/>
        </w:rPr>
      </w:pPr>
      <w:r w:rsidRPr="0029077C">
        <w:rPr>
          <w:szCs w:val="24"/>
          <w:lang w:eastAsia="en-GB"/>
        </w:rPr>
        <w:t xml:space="preserve">Acharya, S.N. and Seshadri, A. (2025) ‘Evolution in talent management strategies: navigating the modern workforce landscape’, in </w:t>
      </w:r>
      <w:r w:rsidRPr="0029077C">
        <w:rPr>
          <w:i/>
          <w:iCs/>
          <w:szCs w:val="24"/>
          <w:lang w:eastAsia="en-GB"/>
        </w:rPr>
        <w:t>Contemporary Trends in Commerce, Management &amp; Economics</w:t>
      </w:r>
      <w:r w:rsidRPr="0029077C">
        <w:rPr>
          <w:szCs w:val="24"/>
          <w:lang w:eastAsia="en-GB"/>
        </w:rPr>
        <w:t>, Vol. 2, pp. 40–46.</w:t>
      </w:r>
    </w:p>
    <w:p w14:paraId="1A6966C8" w14:textId="77777777" w:rsidR="009105EC" w:rsidRPr="0029077C" w:rsidRDefault="009105EC" w:rsidP="00295B33">
      <w:pPr>
        <w:pStyle w:val="Uni-Normal"/>
        <w:ind w:left="360" w:hanging="720"/>
        <w:rPr>
          <w:szCs w:val="24"/>
        </w:rPr>
      </w:pPr>
      <w:r w:rsidRPr="0029077C">
        <w:rPr>
          <w:szCs w:val="24"/>
        </w:rPr>
        <w:t>Acheampong, N.A.A. (2021) 'Reward Preferences of the Youngest Generation: Attracting, Recruiting and Retaining Gen Z into Public Sector Organizations', </w:t>
      </w:r>
      <w:r w:rsidRPr="0029077C">
        <w:rPr>
          <w:i/>
          <w:iCs/>
          <w:szCs w:val="24"/>
        </w:rPr>
        <w:t xml:space="preserve">Compensation and Benefits Review, </w:t>
      </w:r>
      <w:r w:rsidRPr="0029077C">
        <w:rPr>
          <w:szCs w:val="24"/>
        </w:rPr>
        <w:t>53(2), pp. 75–97. Available at: </w:t>
      </w:r>
      <w:hyperlink r:id="rId19" w:tgtFrame="_blank" w:history="1">
        <w:r w:rsidRPr="0029077C">
          <w:rPr>
            <w:rStyle w:val="Hyperlink"/>
            <w:szCs w:val="24"/>
          </w:rPr>
          <w:t>https://doi.org/10.1177/0886368720954803</w:t>
        </w:r>
      </w:hyperlink>
      <w:r w:rsidRPr="0029077C">
        <w:rPr>
          <w:szCs w:val="24"/>
        </w:rPr>
        <w:t>.</w:t>
      </w:r>
    </w:p>
    <w:p w14:paraId="5898CFC9" w14:textId="77777777" w:rsidR="009105EC" w:rsidRPr="0029077C" w:rsidRDefault="009105EC" w:rsidP="00295B33">
      <w:pPr>
        <w:pStyle w:val="Uni-Normal"/>
        <w:ind w:left="360" w:hanging="720"/>
        <w:rPr>
          <w:szCs w:val="24"/>
        </w:rPr>
      </w:pPr>
      <w:r w:rsidRPr="0029077C">
        <w:rPr>
          <w:szCs w:val="24"/>
        </w:rPr>
        <w:t xml:space="preserve">Agarwal, H. and Vaghela, P. (2018) ‘Work values of Gen Z: bridging the gap to the next generation’, </w:t>
      </w:r>
      <w:r w:rsidRPr="0029077C">
        <w:rPr>
          <w:i/>
          <w:iCs/>
          <w:szCs w:val="24"/>
        </w:rPr>
        <w:t>National Conference on Innovative Business Management Practices in 21st Century</w:t>
      </w:r>
      <w:r w:rsidRPr="0029077C">
        <w:rPr>
          <w:szCs w:val="24"/>
        </w:rPr>
        <w:t>. Parul University.</w:t>
      </w:r>
    </w:p>
    <w:p w14:paraId="796836A5" w14:textId="77777777" w:rsidR="009105EC" w:rsidRPr="0029077C" w:rsidRDefault="009105EC" w:rsidP="00295B33">
      <w:pPr>
        <w:pStyle w:val="Uni-Normal"/>
        <w:ind w:left="360" w:hanging="720"/>
        <w:rPr>
          <w:color w:val="000000"/>
          <w:szCs w:val="24"/>
        </w:rPr>
      </w:pPr>
      <w:r w:rsidRPr="0029077C">
        <w:rPr>
          <w:color w:val="000000"/>
          <w:szCs w:val="24"/>
        </w:rPr>
        <w:t>Al Jawali, H., Darwish, T. K., Scullion, H., and Haak-Saheem, W. (2022). ‘T</w:t>
      </w:r>
      <w:r w:rsidRPr="0029077C">
        <w:rPr>
          <w:szCs w:val="24"/>
          <w:lang w:eastAsia="en-GB"/>
        </w:rPr>
        <w:t>alent Management</w:t>
      </w:r>
      <w:r w:rsidRPr="0029077C">
        <w:rPr>
          <w:color w:val="000000"/>
          <w:szCs w:val="24"/>
        </w:rPr>
        <w:t xml:space="preserve"> in the public sector: empirical evidence from the Emerging Economy of Dubai’, </w:t>
      </w:r>
      <w:r w:rsidRPr="0029077C">
        <w:rPr>
          <w:i/>
          <w:iCs/>
          <w:color w:val="000000"/>
          <w:szCs w:val="24"/>
        </w:rPr>
        <w:t>The International Journal of Human Resource Management</w:t>
      </w:r>
      <w:r w:rsidRPr="0029077C">
        <w:rPr>
          <w:color w:val="000000"/>
          <w:szCs w:val="24"/>
        </w:rPr>
        <w:t xml:space="preserve">, 33(11), pp. 2256–2284. Available at: </w:t>
      </w:r>
      <w:hyperlink r:id="rId20" w:history="1">
        <w:r w:rsidRPr="0029077C">
          <w:rPr>
            <w:rStyle w:val="Hyperlink"/>
            <w:szCs w:val="24"/>
          </w:rPr>
          <w:t>https://doi.org/10.1080/09585192.2021.2001764</w:t>
        </w:r>
      </w:hyperlink>
      <w:r w:rsidRPr="0029077C">
        <w:rPr>
          <w:color w:val="000000"/>
          <w:szCs w:val="24"/>
        </w:rPr>
        <w:t xml:space="preserve"> </w:t>
      </w:r>
    </w:p>
    <w:p w14:paraId="2E0555F9" w14:textId="77777777" w:rsidR="009105EC" w:rsidRPr="0029077C" w:rsidRDefault="009105EC" w:rsidP="00295B33">
      <w:pPr>
        <w:pStyle w:val="Uni-Normal"/>
        <w:ind w:left="360" w:hanging="720"/>
        <w:rPr>
          <w:szCs w:val="24"/>
          <w:lang w:eastAsia="en-GB"/>
        </w:rPr>
      </w:pPr>
      <w:r w:rsidRPr="0029077C">
        <w:rPr>
          <w:szCs w:val="24"/>
          <w:lang w:eastAsia="en-GB"/>
        </w:rPr>
        <w:t xml:space="preserve">Arora, M., Ahmad, V., Arora, T. and Kumar, R. (2024) ‘Digital transformation and </w:t>
      </w:r>
      <w:r w:rsidRPr="0029077C">
        <w:rPr>
          <w:color w:val="000000"/>
          <w:szCs w:val="24"/>
        </w:rPr>
        <w:t>T</w:t>
      </w:r>
      <w:r w:rsidRPr="0029077C">
        <w:rPr>
          <w:szCs w:val="24"/>
          <w:lang w:eastAsia="en-GB"/>
        </w:rPr>
        <w:t xml:space="preserve">alent Management’, in </w:t>
      </w:r>
      <w:r w:rsidRPr="0029077C">
        <w:rPr>
          <w:i/>
          <w:iCs/>
          <w:szCs w:val="24"/>
          <w:lang w:eastAsia="en-GB"/>
        </w:rPr>
        <w:t>Green metaverse for greener economies</w:t>
      </w:r>
      <w:r w:rsidRPr="0029077C">
        <w:rPr>
          <w:szCs w:val="24"/>
          <w:lang w:eastAsia="en-GB"/>
        </w:rPr>
        <w:t>. Boca Raton: CRC Press, pp. 50–70.</w:t>
      </w:r>
    </w:p>
    <w:p w14:paraId="1DBFF904" w14:textId="77777777" w:rsidR="009105EC" w:rsidRPr="0029077C" w:rsidRDefault="009105EC" w:rsidP="00295B33">
      <w:pPr>
        <w:pStyle w:val="Uni-Normal"/>
        <w:ind w:left="360" w:hanging="720"/>
        <w:rPr>
          <w:szCs w:val="24"/>
          <w:lang w:eastAsia="en-GB"/>
        </w:rPr>
      </w:pPr>
      <w:r w:rsidRPr="0029077C">
        <w:rPr>
          <w:szCs w:val="24"/>
          <w:lang w:eastAsia="en-GB"/>
        </w:rPr>
        <w:t xml:space="preserve">Audit Wales (2023) </w:t>
      </w:r>
      <w:r w:rsidRPr="0029077C">
        <w:rPr>
          <w:i/>
          <w:iCs/>
          <w:szCs w:val="24"/>
          <w:lang w:eastAsia="en-GB"/>
        </w:rPr>
        <w:t>Springing Forward: Lessons from our work on workforce and assets in local government.</w:t>
      </w:r>
      <w:r w:rsidRPr="0029077C">
        <w:rPr>
          <w:szCs w:val="24"/>
          <w:lang w:eastAsia="en-GB"/>
        </w:rPr>
        <w:t xml:space="preserve"> Audit Wales. Available at: </w:t>
      </w:r>
      <w:hyperlink r:id="rId21" w:history="1">
        <w:r w:rsidRPr="0029077C">
          <w:rPr>
            <w:rStyle w:val="Hyperlink"/>
            <w:szCs w:val="24"/>
            <w:lang w:eastAsia="en-GB"/>
          </w:rPr>
          <w:t>https://www.audit.wales/publication/springing-forward-lessons-our-work-workforce-and-assets</w:t>
        </w:r>
      </w:hyperlink>
      <w:r w:rsidRPr="0029077C">
        <w:rPr>
          <w:szCs w:val="24"/>
          <w:lang w:eastAsia="en-GB"/>
        </w:rPr>
        <w:t xml:space="preserve">  (Accessed: 11 February 2026).</w:t>
      </w:r>
    </w:p>
    <w:p w14:paraId="68C0D3D6" w14:textId="77777777" w:rsidR="009105EC" w:rsidRPr="0029077C" w:rsidRDefault="009105EC" w:rsidP="00295B33">
      <w:pPr>
        <w:pStyle w:val="Uni-Normal"/>
        <w:ind w:left="360" w:hanging="720"/>
        <w:rPr>
          <w:szCs w:val="24"/>
        </w:rPr>
      </w:pPr>
      <w:r w:rsidRPr="0029077C">
        <w:rPr>
          <w:szCs w:val="24"/>
        </w:rPr>
        <w:t xml:space="preserve">Becker, G.S. (1993) </w:t>
      </w:r>
      <w:r w:rsidRPr="0029077C">
        <w:rPr>
          <w:i/>
          <w:iCs/>
          <w:szCs w:val="24"/>
        </w:rPr>
        <w:t>Human capital: A theoretical and empirical analysis, with special reference to education</w:t>
      </w:r>
      <w:r w:rsidRPr="0029077C">
        <w:rPr>
          <w:szCs w:val="24"/>
        </w:rPr>
        <w:t>. 3rd edn. Chicago: University of Chicago Press.</w:t>
      </w:r>
    </w:p>
    <w:p w14:paraId="488B9A39" w14:textId="77777777" w:rsidR="009105EC" w:rsidRPr="0029077C" w:rsidRDefault="009105EC" w:rsidP="00295B33">
      <w:pPr>
        <w:pStyle w:val="Uni-Normal"/>
        <w:ind w:left="360" w:hanging="720"/>
        <w:rPr>
          <w:szCs w:val="24"/>
        </w:rPr>
      </w:pPr>
      <w:r w:rsidRPr="0029077C">
        <w:rPr>
          <w:szCs w:val="24"/>
        </w:rPr>
        <w:t xml:space="preserve">Biggam, J. (2020) </w:t>
      </w:r>
      <w:r w:rsidRPr="0029077C">
        <w:rPr>
          <w:i/>
          <w:iCs/>
          <w:szCs w:val="24"/>
        </w:rPr>
        <w:t>Succeeding with your master’s dissertation: A step-by-step handbook</w:t>
      </w:r>
      <w:r w:rsidRPr="0029077C">
        <w:rPr>
          <w:szCs w:val="24"/>
        </w:rPr>
        <w:t>. 4th edn. Maidenhead: Open University Press.</w:t>
      </w:r>
    </w:p>
    <w:p w14:paraId="2EA8629C" w14:textId="77777777" w:rsidR="009105EC" w:rsidRPr="0029077C" w:rsidRDefault="009105EC" w:rsidP="00295B33">
      <w:pPr>
        <w:pStyle w:val="Uni-Normal"/>
        <w:ind w:left="360" w:hanging="720"/>
        <w:rPr>
          <w:color w:val="000000"/>
          <w:szCs w:val="24"/>
        </w:rPr>
      </w:pPr>
      <w:r w:rsidRPr="0029077C">
        <w:rPr>
          <w:color w:val="000000"/>
          <w:szCs w:val="24"/>
        </w:rPr>
        <w:lastRenderedPageBreak/>
        <w:t>Boselie, P., Thunnissen, M., Mellahi, K., Collings, D.G. and Cascio, W.F. (2017) ‘T</w:t>
      </w:r>
      <w:r w:rsidRPr="0029077C">
        <w:rPr>
          <w:szCs w:val="24"/>
          <w:lang w:eastAsia="en-GB"/>
        </w:rPr>
        <w:t>alent Management</w:t>
      </w:r>
      <w:r w:rsidRPr="0029077C">
        <w:rPr>
          <w:color w:val="000000"/>
          <w:szCs w:val="24"/>
        </w:rPr>
        <w:t xml:space="preserve"> in the public sector: managing tensions and dualities’, in Collings, D.G., Mellahi, K. and Cascio, W.F. (eds.) </w:t>
      </w:r>
      <w:r w:rsidRPr="0029077C">
        <w:rPr>
          <w:i/>
          <w:iCs/>
          <w:color w:val="000000"/>
          <w:szCs w:val="24"/>
        </w:rPr>
        <w:t>The Oxford Handbook of T</w:t>
      </w:r>
      <w:r w:rsidRPr="0029077C">
        <w:rPr>
          <w:i/>
          <w:iCs/>
          <w:szCs w:val="24"/>
          <w:lang w:eastAsia="en-GB"/>
        </w:rPr>
        <w:t>alent Management</w:t>
      </w:r>
      <w:r w:rsidRPr="0029077C">
        <w:rPr>
          <w:color w:val="000000"/>
          <w:szCs w:val="24"/>
        </w:rPr>
        <w:t>. Oxford: Oxford University Press.</w:t>
      </w:r>
    </w:p>
    <w:p w14:paraId="0CDBD5B7" w14:textId="77777777" w:rsidR="009105EC" w:rsidRPr="0029077C" w:rsidRDefault="009105EC" w:rsidP="00295B33">
      <w:pPr>
        <w:pStyle w:val="Uni-Normal"/>
        <w:ind w:left="360" w:hanging="720"/>
        <w:rPr>
          <w:szCs w:val="24"/>
          <w:lang w:eastAsia="en-GB"/>
        </w:rPr>
      </w:pPr>
      <w:r w:rsidRPr="0029077C">
        <w:rPr>
          <w:szCs w:val="24"/>
          <w:lang w:eastAsia="en-GB"/>
        </w:rPr>
        <w:t>Braun, V. and Clarke, V. (2006) 'Using thematic analysis in psychology', </w:t>
      </w:r>
      <w:r w:rsidRPr="0029077C">
        <w:rPr>
          <w:i/>
          <w:iCs/>
          <w:szCs w:val="24"/>
          <w:lang w:eastAsia="en-GB"/>
        </w:rPr>
        <w:t>Qualitative Research in Psychology,</w:t>
      </w:r>
      <w:r w:rsidRPr="0029077C">
        <w:rPr>
          <w:szCs w:val="24"/>
          <w:lang w:eastAsia="en-GB"/>
        </w:rPr>
        <w:t> 3(2), pp. 77–101. Available at: </w:t>
      </w:r>
      <w:hyperlink r:id="rId22" w:tgtFrame="_blank" w:history="1">
        <w:r w:rsidRPr="0029077C">
          <w:rPr>
            <w:rStyle w:val="Hyperlink"/>
            <w:rFonts w:eastAsia="Times New Roman"/>
            <w:szCs w:val="24"/>
            <w:lang w:eastAsia="en-GB"/>
          </w:rPr>
          <w:t>https://doi.org/10.1191/1478088706qp063oa</w:t>
        </w:r>
      </w:hyperlink>
      <w:r w:rsidRPr="0029077C">
        <w:rPr>
          <w:szCs w:val="24"/>
          <w:lang w:eastAsia="en-GB"/>
        </w:rPr>
        <w:t>.</w:t>
      </w:r>
    </w:p>
    <w:p w14:paraId="68A27531" w14:textId="77777777" w:rsidR="009105EC" w:rsidRPr="0029077C" w:rsidRDefault="009105EC" w:rsidP="00295B33">
      <w:pPr>
        <w:pStyle w:val="Uni-Normal"/>
        <w:ind w:left="360" w:hanging="720"/>
        <w:rPr>
          <w:szCs w:val="24"/>
          <w:lang w:eastAsia="en-GB"/>
        </w:rPr>
      </w:pPr>
      <w:r w:rsidRPr="0029077C">
        <w:rPr>
          <w:szCs w:val="24"/>
        </w:rPr>
        <w:t>Bryman, A. (2016) </w:t>
      </w:r>
      <w:r w:rsidRPr="0029077C">
        <w:rPr>
          <w:i/>
          <w:iCs/>
          <w:szCs w:val="24"/>
        </w:rPr>
        <w:t>Social research methods</w:t>
      </w:r>
      <w:r w:rsidRPr="0029077C">
        <w:rPr>
          <w:szCs w:val="24"/>
        </w:rPr>
        <w:t>. 5th ed. Oxford: Oxford University Press.</w:t>
      </w:r>
    </w:p>
    <w:p w14:paraId="3B76BCFB" w14:textId="77777777" w:rsidR="009105EC" w:rsidRPr="0029077C" w:rsidRDefault="009105EC" w:rsidP="00295B33">
      <w:pPr>
        <w:pStyle w:val="Uni-Normal"/>
        <w:ind w:left="360" w:hanging="720"/>
        <w:rPr>
          <w:szCs w:val="24"/>
          <w:lang w:eastAsia="en-GB"/>
        </w:rPr>
      </w:pPr>
      <w:r w:rsidRPr="0029077C">
        <w:rPr>
          <w:szCs w:val="24"/>
          <w:lang w:eastAsia="en-GB"/>
        </w:rPr>
        <w:t>Calo, T.J. (2008) ‘</w:t>
      </w:r>
      <w:r w:rsidRPr="0029077C">
        <w:rPr>
          <w:color w:val="000000"/>
          <w:szCs w:val="24"/>
        </w:rPr>
        <w:t>T</w:t>
      </w:r>
      <w:r w:rsidRPr="0029077C">
        <w:rPr>
          <w:szCs w:val="24"/>
          <w:lang w:eastAsia="en-GB"/>
        </w:rPr>
        <w:t xml:space="preserve">alent Management in the era of the aging workforce: The critical role of knowledge transfer’, </w:t>
      </w:r>
      <w:r w:rsidRPr="0029077C">
        <w:rPr>
          <w:i/>
          <w:iCs/>
          <w:szCs w:val="24"/>
          <w:lang w:eastAsia="en-GB"/>
        </w:rPr>
        <w:t>Public Personnel Management</w:t>
      </w:r>
      <w:r w:rsidRPr="0029077C">
        <w:rPr>
          <w:szCs w:val="24"/>
          <w:lang w:eastAsia="en-GB"/>
        </w:rPr>
        <w:t xml:space="preserve">, 37(4), pp. 403–416. Available at: </w:t>
      </w:r>
      <w:hyperlink r:id="rId23" w:history="1">
        <w:r w:rsidRPr="0029077C">
          <w:rPr>
            <w:rStyle w:val="Hyperlink"/>
            <w:szCs w:val="24"/>
            <w:lang w:eastAsia="en-GB"/>
          </w:rPr>
          <w:t>https://doi.org/10.1177/009102600803700403</w:t>
        </w:r>
      </w:hyperlink>
      <w:r w:rsidRPr="0029077C">
        <w:rPr>
          <w:szCs w:val="24"/>
          <w:lang w:eastAsia="en-GB"/>
        </w:rPr>
        <w:t xml:space="preserve">. </w:t>
      </w:r>
    </w:p>
    <w:p w14:paraId="553CBD67" w14:textId="77777777" w:rsidR="009105EC" w:rsidRPr="0029077C" w:rsidRDefault="009105EC" w:rsidP="00295B33">
      <w:pPr>
        <w:pStyle w:val="Uni-Normal"/>
        <w:ind w:left="360" w:hanging="720"/>
        <w:rPr>
          <w:color w:val="000000"/>
          <w:szCs w:val="24"/>
        </w:rPr>
      </w:pPr>
      <w:r w:rsidRPr="0029077C">
        <w:rPr>
          <w:color w:val="000000"/>
          <w:szCs w:val="24"/>
        </w:rPr>
        <w:t>Cappelli, P. and Keller, J.R. (2017) ‘The Historical Context of T</w:t>
      </w:r>
      <w:r w:rsidRPr="0029077C">
        <w:rPr>
          <w:szCs w:val="24"/>
          <w:lang w:eastAsia="en-GB"/>
        </w:rPr>
        <w:t>alent Management</w:t>
      </w:r>
      <w:r w:rsidRPr="0029077C">
        <w:rPr>
          <w:color w:val="000000"/>
          <w:szCs w:val="24"/>
        </w:rPr>
        <w:t>’, in The Oxford Handbook of T</w:t>
      </w:r>
      <w:r w:rsidRPr="0029077C">
        <w:rPr>
          <w:szCs w:val="24"/>
          <w:lang w:eastAsia="en-GB"/>
        </w:rPr>
        <w:t>alent Management</w:t>
      </w:r>
      <w:r w:rsidRPr="0029077C">
        <w:rPr>
          <w:color w:val="000000"/>
          <w:szCs w:val="24"/>
        </w:rPr>
        <w:t>. Oxford: Oxford University Press.</w:t>
      </w:r>
    </w:p>
    <w:p w14:paraId="163AF88E" w14:textId="77777777" w:rsidR="009105EC" w:rsidRPr="0029077C" w:rsidRDefault="009105EC" w:rsidP="00295B33">
      <w:pPr>
        <w:pStyle w:val="Uni-Normal"/>
        <w:ind w:left="360" w:hanging="720"/>
        <w:rPr>
          <w:szCs w:val="24"/>
          <w:lang w:eastAsia="en-GB"/>
        </w:rPr>
      </w:pPr>
      <w:r w:rsidRPr="0029077C">
        <w:rPr>
          <w:szCs w:val="24"/>
          <w:lang w:eastAsia="en-GB"/>
        </w:rPr>
        <w:t xml:space="preserve">CIPD (2025a) </w:t>
      </w:r>
      <w:r w:rsidRPr="0029077C">
        <w:rPr>
          <w:i/>
          <w:iCs/>
          <w:szCs w:val="24"/>
          <w:lang w:eastAsia="en-GB"/>
        </w:rPr>
        <w:t>Talent Management</w:t>
      </w:r>
      <w:r w:rsidRPr="0029077C">
        <w:rPr>
          <w:szCs w:val="24"/>
          <w:lang w:eastAsia="en-GB"/>
        </w:rPr>
        <w:t xml:space="preserve">. Available at: </w:t>
      </w:r>
      <w:hyperlink r:id="rId24" w:history="1">
        <w:r w:rsidRPr="0029077C">
          <w:rPr>
            <w:rStyle w:val="Hyperlink"/>
            <w:szCs w:val="24"/>
            <w:lang w:eastAsia="en-GB"/>
          </w:rPr>
          <w:t>https://www.cipd.org/uk/knowledge/factsheets/talent-factsheet/</w:t>
        </w:r>
      </w:hyperlink>
      <w:r w:rsidRPr="0029077C">
        <w:rPr>
          <w:szCs w:val="24"/>
          <w:lang w:eastAsia="en-GB"/>
        </w:rPr>
        <w:t xml:space="preserve">  (Accessed: 8 January 2026). </w:t>
      </w:r>
    </w:p>
    <w:p w14:paraId="6F5E14C8" w14:textId="77777777" w:rsidR="009105EC" w:rsidRPr="0029077C" w:rsidRDefault="009105EC" w:rsidP="00295B33">
      <w:pPr>
        <w:pStyle w:val="Uni-Normal"/>
        <w:ind w:left="360" w:hanging="720"/>
        <w:rPr>
          <w:szCs w:val="24"/>
          <w:lang w:eastAsia="en-GB"/>
        </w:rPr>
      </w:pPr>
      <w:r w:rsidRPr="0029077C">
        <w:rPr>
          <w:szCs w:val="24"/>
          <w:lang w:eastAsia="en-GB"/>
        </w:rPr>
        <w:t xml:space="preserve">CIPD (2025b) </w:t>
      </w:r>
      <w:r w:rsidRPr="0029077C">
        <w:rPr>
          <w:i/>
          <w:iCs/>
          <w:szCs w:val="24"/>
          <w:lang w:eastAsia="en-GB"/>
        </w:rPr>
        <w:t xml:space="preserve">Strategic Human Resource Management. </w:t>
      </w:r>
      <w:r w:rsidRPr="0029077C">
        <w:rPr>
          <w:szCs w:val="24"/>
          <w:lang w:eastAsia="en-GB"/>
        </w:rPr>
        <w:t xml:space="preserve">Available at: </w:t>
      </w:r>
      <w:hyperlink r:id="rId25" w:history="1">
        <w:r w:rsidRPr="0029077C">
          <w:rPr>
            <w:rStyle w:val="Hyperlink"/>
            <w:rFonts w:eastAsia="Times New Roman"/>
            <w:szCs w:val="24"/>
            <w:lang w:eastAsia="en-GB"/>
          </w:rPr>
          <w:t>https://www.cipd.org/en/knowledge/factsheets/strategic-hrm-factsheet/</w:t>
        </w:r>
      </w:hyperlink>
      <w:r w:rsidRPr="0029077C">
        <w:rPr>
          <w:szCs w:val="24"/>
          <w:lang w:eastAsia="en-GB"/>
        </w:rPr>
        <w:t xml:space="preserve">. </w:t>
      </w:r>
      <w:r w:rsidRPr="0029077C">
        <w:rPr>
          <w:szCs w:val="24"/>
        </w:rPr>
        <w:t>(Accessed: 22 December 2025).</w:t>
      </w:r>
    </w:p>
    <w:p w14:paraId="07503B83" w14:textId="77777777" w:rsidR="009105EC" w:rsidRPr="0029077C" w:rsidRDefault="009105EC" w:rsidP="00295B33">
      <w:pPr>
        <w:pStyle w:val="Uni-Normal"/>
        <w:ind w:left="360" w:hanging="720"/>
        <w:rPr>
          <w:szCs w:val="24"/>
        </w:rPr>
      </w:pPr>
      <w:r w:rsidRPr="0029077C">
        <w:rPr>
          <w:szCs w:val="24"/>
          <w:lang w:eastAsia="en-GB"/>
        </w:rPr>
        <w:t xml:space="preserve">Civica (2025) </w:t>
      </w:r>
      <w:r w:rsidRPr="0029077C">
        <w:rPr>
          <w:i/>
          <w:iCs/>
          <w:szCs w:val="24"/>
          <w:lang w:eastAsia="en-GB"/>
        </w:rPr>
        <w:t>How digital transformation shapes the future of local governments.</w:t>
      </w:r>
      <w:r w:rsidRPr="0029077C">
        <w:rPr>
          <w:szCs w:val="24"/>
          <w:lang w:eastAsia="en-GB"/>
        </w:rPr>
        <w:t xml:space="preserve"> Available at: </w:t>
      </w:r>
      <w:hyperlink r:id="rId26" w:history="1">
        <w:r w:rsidRPr="0029077C">
          <w:rPr>
            <w:rStyle w:val="Hyperlink"/>
            <w:szCs w:val="24"/>
            <w:lang w:eastAsia="en-GB"/>
          </w:rPr>
          <w:t>https://www.civica.com/en-gb/reports/all-uk-reports/the-future-of-local-government-report-2025</w:t>
        </w:r>
      </w:hyperlink>
      <w:r w:rsidRPr="0029077C">
        <w:rPr>
          <w:szCs w:val="24"/>
          <w:lang w:eastAsia="en-GB"/>
        </w:rPr>
        <w:t xml:space="preserve">  (Accessed: 21 January 2026).</w:t>
      </w:r>
    </w:p>
    <w:p w14:paraId="2C07D800" w14:textId="77777777" w:rsidR="009105EC" w:rsidRPr="0029077C" w:rsidRDefault="009105EC" w:rsidP="00295B33">
      <w:pPr>
        <w:pStyle w:val="Uni-Normal"/>
        <w:ind w:left="360" w:hanging="720"/>
        <w:rPr>
          <w:szCs w:val="24"/>
        </w:rPr>
      </w:pPr>
      <w:r w:rsidRPr="0029077C">
        <w:rPr>
          <w:szCs w:val="24"/>
        </w:rPr>
        <w:t>Clarke, M. (2017) 'Building employability through graduate development programmes: A case study in an Australian public sector organisation', </w:t>
      </w:r>
      <w:r w:rsidRPr="0029077C">
        <w:rPr>
          <w:i/>
          <w:iCs/>
          <w:szCs w:val="24"/>
        </w:rPr>
        <w:t>Personnel Review</w:t>
      </w:r>
      <w:r w:rsidRPr="0029077C">
        <w:rPr>
          <w:szCs w:val="24"/>
        </w:rPr>
        <w:t>, 46(4), pp. 792–808. Available at: </w:t>
      </w:r>
      <w:hyperlink r:id="rId27" w:tgtFrame="_blank" w:history="1">
        <w:r w:rsidRPr="0029077C">
          <w:rPr>
            <w:rStyle w:val="Hyperlink"/>
            <w:szCs w:val="24"/>
          </w:rPr>
          <w:t>https://doi.org/10.1108/PR-12-2015-0321</w:t>
        </w:r>
      </w:hyperlink>
      <w:r w:rsidRPr="0029077C">
        <w:rPr>
          <w:szCs w:val="24"/>
        </w:rPr>
        <w:t xml:space="preserve">. </w:t>
      </w:r>
    </w:p>
    <w:p w14:paraId="43F62F72" w14:textId="77777777" w:rsidR="009105EC" w:rsidRPr="0029077C" w:rsidRDefault="009105EC" w:rsidP="00295B33">
      <w:pPr>
        <w:pStyle w:val="Uni-Normal"/>
        <w:ind w:left="360" w:hanging="720"/>
        <w:rPr>
          <w:color w:val="000000"/>
          <w:szCs w:val="24"/>
        </w:rPr>
      </w:pPr>
      <w:r w:rsidRPr="0029077C">
        <w:rPr>
          <w:color w:val="000000"/>
          <w:szCs w:val="24"/>
        </w:rPr>
        <w:t xml:space="preserve">Clarke, M. and Scurry, T. (2020) 'The role of the psychological contract in shaping graduate experiences: a study of public sector Talent Management programmes in the UK and </w:t>
      </w:r>
      <w:r w:rsidRPr="0029077C">
        <w:rPr>
          <w:color w:val="000000"/>
          <w:szCs w:val="24"/>
        </w:rPr>
        <w:lastRenderedPageBreak/>
        <w:t>Australia', </w:t>
      </w:r>
      <w:r w:rsidRPr="0029077C">
        <w:rPr>
          <w:i/>
          <w:iCs/>
          <w:color w:val="000000"/>
          <w:szCs w:val="24"/>
        </w:rPr>
        <w:t xml:space="preserve">International journal of human resource management, </w:t>
      </w:r>
      <w:r w:rsidRPr="0029077C">
        <w:rPr>
          <w:color w:val="000000"/>
          <w:szCs w:val="24"/>
        </w:rPr>
        <w:t>31, pp. 965–991. Available at: </w:t>
      </w:r>
      <w:hyperlink r:id="rId28" w:tgtFrame="_blank" w:history="1">
        <w:r w:rsidRPr="0029077C">
          <w:rPr>
            <w:rStyle w:val="Hyperlink"/>
            <w:rFonts w:eastAsiaTheme="majorEastAsia"/>
            <w:color w:val="0066CC"/>
            <w:szCs w:val="24"/>
          </w:rPr>
          <w:t>https://doi.org/10.1080/09585192.2017.1396545</w:t>
        </w:r>
      </w:hyperlink>
      <w:r w:rsidRPr="0029077C">
        <w:rPr>
          <w:color w:val="000000"/>
          <w:szCs w:val="24"/>
        </w:rPr>
        <w:t>.</w:t>
      </w:r>
    </w:p>
    <w:p w14:paraId="56871223" w14:textId="77777777" w:rsidR="009105EC" w:rsidRPr="0029077C" w:rsidRDefault="009105EC" w:rsidP="00295B33">
      <w:pPr>
        <w:pStyle w:val="Uni-Normal"/>
        <w:ind w:left="360" w:hanging="720"/>
        <w:rPr>
          <w:szCs w:val="24"/>
          <w:lang w:eastAsia="en-GB"/>
        </w:rPr>
      </w:pPr>
      <w:r w:rsidRPr="0029077C">
        <w:rPr>
          <w:szCs w:val="24"/>
          <w:lang w:eastAsia="en-GB"/>
        </w:rPr>
        <w:t>Cobern, W. and Adams, B. (2020) 'Establishing survey validity: A practical guide', </w:t>
      </w:r>
      <w:r w:rsidRPr="0029077C">
        <w:rPr>
          <w:i/>
          <w:iCs/>
          <w:szCs w:val="24"/>
          <w:lang w:eastAsia="en-GB"/>
        </w:rPr>
        <w:t>International Journal of Assessment Tools in Education,</w:t>
      </w:r>
      <w:r w:rsidRPr="0029077C">
        <w:rPr>
          <w:szCs w:val="24"/>
          <w:lang w:eastAsia="en-GB"/>
        </w:rPr>
        <w:t> 7(3), pp. 404–419.</w:t>
      </w:r>
    </w:p>
    <w:p w14:paraId="16CFADDF" w14:textId="77777777" w:rsidR="009105EC" w:rsidRPr="0029077C" w:rsidRDefault="009105EC" w:rsidP="00295B33">
      <w:pPr>
        <w:pStyle w:val="Uni-Normal"/>
        <w:ind w:left="360" w:hanging="720"/>
        <w:rPr>
          <w:szCs w:val="24"/>
          <w:lang w:eastAsia="en-GB"/>
        </w:rPr>
      </w:pPr>
      <w:r w:rsidRPr="0029077C">
        <w:rPr>
          <w:szCs w:val="24"/>
          <w:lang w:eastAsia="en-GB"/>
        </w:rPr>
        <w:t xml:space="preserve">Creswell, J.W. (2014) </w:t>
      </w:r>
      <w:r w:rsidRPr="0029077C">
        <w:rPr>
          <w:i/>
          <w:iCs/>
          <w:szCs w:val="24"/>
          <w:lang w:eastAsia="en-GB"/>
        </w:rPr>
        <w:t>Research design: Qualitative, quantitative and mixed methods approaches.</w:t>
      </w:r>
      <w:r w:rsidRPr="0029077C">
        <w:rPr>
          <w:szCs w:val="24"/>
          <w:lang w:eastAsia="en-GB"/>
        </w:rPr>
        <w:t xml:space="preserve"> New Delhi: SAGE Publications.</w:t>
      </w:r>
    </w:p>
    <w:p w14:paraId="384DFFBB" w14:textId="77777777" w:rsidR="009105EC" w:rsidRPr="0029077C" w:rsidRDefault="009105EC" w:rsidP="00295B33">
      <w:pPr>
        <w:pStyle w:val="Uni-Normal"/>
        <w:ind w:left="360" w:hanging="720"/>
        <w:rPr>
          <w:szCs w:val="24"/>
        </w:rPr>
      </w:pPr>
      <w:r w:rsidRPr="0029077C">
        <w:rPr>
          <w:szCs w:val="24"/>
        </w:rPr>
        <w:t>Cross Walker, T. (2020) 'Inclusive Talent Management in the public sector: theory and practice', </w:t>
      </w:r>
      <w:r w:rsidRPr="0029077C">
        <w:rPr>
          <w:i/>
          <w:iCs/>
          <w:szCs w:val="24"/>
        </w:rPr>
        <w:t>Transnational Corporations Review,</w:t>
      </w:r>
      <w:r w:rsidRPr="0029077C">
        <w:rPr>
          <w:szCs w:val="24"/>
        </w:rPr>
        <w:t>12, pp. 140–148(2) Available at: </w:t>
      </w:r>
      <w:hyperlink r:id="rId29" w:tgtFrame="_blank" w:history="1">
        <w:r w:rsidRPr="0029077C">
          <w:rPr>
            <w:rStyle w:val="Hyperlink"/>
            <w:szCs w:val="24"/>
          </w:rPr>
          <w:t>https://doi.org/10.1080/19186444.2020.1741296</w:t>
        </w:r>
      </w:hyperlink>
      <w:r w:rsidRPr="0029077C">
        <w:rPr>
          <w:szCs w:val="24"/>
        </w:rPr>
        <w:t>.</w:t>
      </w:r>
    </w:p>
    <w:p w14:paraId="235879DC" w14:textId="77777777" w:rsidR="009105EC" w:rsidRPr="0029077C" w:rsidRDefault="009105EC" w:rsidP="00295B33">
      <w:pPr>
        <w:pStyle w:val="Uni-Normal"/>
        <w:ind w:left="360" w:hanging="720"/>
        <w:rPr>
          <w:szCs w:val="24"/>
          <w:lang w:eastAsia="en-GB"/>
        </w:rPr>
      </w:pPr>
      <w:r w:rsidRPr="0029077C">
        <w:rPr>
          <w:szCs w:val="24"/>
          <w:lang w:eastAsia="en-GB"/>
        </w:rPr>
        <w:t>Crotty, M. (1998) </w:t>
      </w:r>
      <w:r w:rsidRPr="0029077C">
        <w:rPr>
          <w:i/>
          <w:iCs/>
          <w:szCs w:val="24"/>
          <w:lang w:eastAsia="en-GB"/>
        </w:rPr>
        <w:t>The foundations of social research: meaning and perspective in the research process. </w:t>
      </w:r>
      <w:r w:rsidRPr="0029077C">
        <w:rPr>
          <w:szCs w:val="24"/>
          <w:lang w:eastAsia="en-GB"/>
        </w:rPr>
        <w:t>London: SAGE.</w:t>
      </w:r>
    </w:p>
    <w:p w14:paraId="1447A6FF" w14:textId="77777777" w:rsidR="009105EC" w:rsidRPr="0029077C" w:rsidRDefault="009105EC" w:rsidP="00295B33">
      <w:pPr>
        <w:pStyle w:val="Uni-Normal"/>
        <w:ind w:left="360" w:hanging="720"/>
        <w:rPr>
          <w:szCs w:val="24"/>
          <w:lang w:eastAsia="en-GB"/>
        </w:rPr>
      </w:pPr>
      <w:r w:rsidRPr="0029077C">
        <w:rPr>
          <w:szCs w:val="24"/>
          <w:lang w:eastAsia="en-GB"/>
        </w:rPr>
        <w:t xml:space="preserve">Cruse, M. (2025) ‘Study: Different generations &amp; attitude to work in the UK’, </w:t>
      </w:r>
      <w:r w:rsidRPr="0029077C">
        <w:rPr>
          <w:i/>
          <w:iCs/>
          <w:szCs w:val="24"/>
          <w:lang w:eastAsia="en-GB"/>
        </w:rPr>
        <w:t>Create Pay.</w:t>
      </w:r>
      <w:r w:rsidRPr="0029077C">
        <w:rPr>
          <w:szCs w:val="24"/>
          <w:lang w:eastAsia="en-GB"/>
        </w:rPr>
        <w:t xml:space="preserve"> Available at: </w:t>
      </w:r>
      <w:hyperlink r:id="rId30" w:history="1">
        <w:r w:rsidRPr="0029077C">
          <w:rPr>
            <w:rStyle w:val="Hyperlink"/>
            <w:szCs w:val="24"/>
            <w:lang w:eastAsia="en-GB"/>
          </w:rPr>
          <w:t>https://www.createpay.com/study-different-generations-attitude-to-work-in-the-uk/</w:t>
        </w:r>
      </w:hyperlink>
      <w:r w:rsidRPr="0029077C">
        <w:rPr>
          <w:szCs w:val="24"/>
          <w:lang w:eastAsia="en-GB"/>
        </w:rPr>
        <w:t xml:space="preserve">  (Accessed: 30 November 2025).</w:t>
      </w:r>
    </w:p>
    <w:p w14:paraId="1BDE2F59" w14:textId="77777777" w:rsidR="009105EC" w:rsidRPr="0029077C" w:rsidRDefault="009105EC" w:rsidP="00295B33">
      <w:pPr>
        <w:pStyle w:val="Uni-Normal"/>
        <w:ind w:left="360" w:hanging="720"/>
        <w:rPr>
          <w:szCs w:val="24"/>
        </w:rPr>
      </w:pPr>
      <w:r w:rsidRPr="0029077C">
        <w:rPr>
          <w:szCs w:val="24"/>
        </w:rPr>
        <w:t>Dangmei, J. and Singh, A. (2016) 'Understanding the Gen Z: the future workforce', </w:t>
      </w:r>
      <w:r w:rsidRPr="0029077C">
        <w:rPr>
          <w:i/>
          <w:iCs/>
          <w:szCs w:val="24"/>
        </w:rPr>
        <w:t>South-Asian journal of multidisciplinary studies,</w:t>
      </w:r>
      <w:r w:rsidRPr="0029077C">
        <w:rPr>
          <w:szCs w:val="24"/>
        </w:rPr>
        <w:t xml:space="preserve">3, pp. 1–5. </w:t>
      </w:r>
    </w:p>
    <w:p w14:paraId="35CB3157" w14:textId="77777777" w:rsidR="009105EC" w:rsidRPr="0029077C" w:rsidRDefault="009105EC" w:rsidP="00295B33">
      <w:pPr>
        <w:pStyle w:val="Uni-Normal"/>
        <w:ind w:left="360" w:hanging="720"/>
        <w:rPr>
          <w:szCs w:val="24"/>
          <w:lang w:eastAsia="en-GB"/>
        </w:rPr>
      </w:pPr>
      <w:r w:rsidRPr="0029077C">
        <w:rPr>
          <w:szCs w:val="24"/>
          <w:lang w:eastAsia="en-GB"/>
        </w:rPr>
        <w:t xml:space="preserve">Deegan, P., Thomas, E., Pykett, B., Ballmann, E., Edwards, S., Maker, J. and Woods, A. (2024) ‘Workforce of the future industry in focus’, </w:t>
      </w:r>
      <w:r w:rsidRPr="0029077C">
        <w:rPr>
          <w:i/>
          <w:iCs/>
          <w:szCs w:val="24"/>
          <w:lang w:eastAsia="en-GB"/>
        </w:rPr>
        <w:t>County Councils Network</w:t>
      </w:r>
      <w:r w:rsidRPr="0029077C">
        <w:rPr>
          <w:szCs w:val="24"/>
          <w:lang w:eastAsia="en-GB"/>
        </w:rPr>
        <w:t xml:space="preserve">. Available at: </w:t>
      </w:r>
      <w:hyperlink r:id="rId31" w:history="1">
        <w:r w:rsidRPr="0029077C">
          <w:rPr>
            <w:rStyle w:val="Hyperlink"/>
            <w:szCs w:val="24"/>
            <w:lang w:eastAsia="en-GB"/>
          </w:rPr>
          <w:t>https://www.countycouncilsnetwork.org.uk/wp-content/uploads/County-Councils-Network-Workforce-of-the-Future_final.pdf</w:t>
        </w:r>
      </w:hyperlink>
      <w:r w:rsidRPr="0029077C">
        <w:rPr>
          <w:szCs w:val="24"/>
          <w:lang w:eastAsia="en-GB"/>
        </w:rPr>
        <w:t xml:space="preserve">  (Accessed: 30 November 2025).</w:t>
      </w:r>
    </w:p>
    <w:p w14:paraId="4F309F6F" w14:textId="77777777" w:rsidR="009105EC" w:rsidRPr="0029077C" w:rsidRDefault="009105EC" w:rsidP="00295B33">
      <w:pPr>
        <w:pStyle w:val="Uni-Normal"/>
        <w:ind w:left="360" w:hanging="720"/>
        <w:rPr>
          <w:szCs w:val="24"/>
          <w:lang w:eastAsia="en-GB"/>
        </w:rPr>
      </w:pPr>
      <w:r w:rsidRPr="0029077C">
        <w:rPr>
          <w:szCs w:val="24"/>
          <w:lang w:eastAsia="en-GB"/>
        </w:rPr>
        <w:t xml:space="preserve">Deloitte (2022) </w:t>
      </w:r>
      <w:r w:rsidRPr="0029077C">
        <w:rPr>
          <w:i/>
          <w:iCs/>
          <w:szCs w:val="24"/>
          <w:lang w:eastAsia="en-GB"/>
        </w:rPr>
        <w:t>Hybrid hiccups: moving to distributed work in the public sector</w:t>
      </w:r>
      <w:r w:rsidRPr="0029077C">
        <w:rPr>
          <w:szCs w:val="24"/>
          <w:lang w:eastAsia="en-GB"/>
        </w:rPr>
        <w:t>. Available at:</w:t>
      </w:r>
      <w:r w:rsidRPr="0029077C">
        <w:rPr>
          <w:szCs w:val="24"/>
        </w:rPr>
        <w:t xml:space="preserve"> </w:t>
      </w:r>
      <w:hyperlink r:id="rId32" w:history="1">
        <w:r w:rsidRPr="0029077C">
          <w:rPr>
            <w:rStyle w:val="Hyperlink"/>
            <w:szCs w:val="24"/>
          </w:rPr>
          <w:t>https://www.deloitte.com/us/en/insights/industry/government-public-sector-services/hybrid-work-challenges.html</w:t>
        </w:r>
      </w:hyperlink>
      <w:r w:rsidRPr="0029077C">
        <w:rPr>
          <w:szCs w:val="24"/>
          <w:lang w:eastAsia="en-GB"/>
        </w:rPr>
        <w:t xml:space="preserve"> (Accessed: 21 January 2026).</w:t>
      </w:r>
    </w:p>
    <w:p w14:paraId="17615472" w14:textId="77777777" w:rsidR="009105EC" w:rsidRPr="0029077C" w:rsidRDefault="009105EC" w:rsidP="00295B33">
      <w:pPr>
        <w:pStyle w:val="Uni-Normal"/>
        <w:ind w:left="360" w:hanging="720"/>
        <w:rPr>
          <w:szCs w:val="24"/>
        </w:rPr>
      </w:pPr>
      <w:r w:rsidRPr="0029077C">
        <w:rPr>
          <w:szCs w:val="24"/>
        </w:rPr>
        <w:t xml:space="preserve">Demetriou, N. (2024) </w:t>
      </w:r>
      <w:r w:rsidRPr="0029077C">
        <w:rPr>
          <w:i/>
          <w:iCs/>
          <w:szCs w:val="24"/>
        </w:rPr>
        <w:t>Gen Z at Work: How They Compare (Infographic) | Human Resources</w:t>
      </w:r>
      <w:r w:rsidRPr="0029077C">
        <w:rPr>
          <w:szCs w:val="24"/>
        </w:rPr>
        <w:t xml:space="preserve">, </w:t>
      </w:r>
      <w:r w:rsidRPr="0029077C">
        <w:rPr>
          <w:i/>
          <w:iCs/>
          <w:szCs w:val="24"/>
        </w:rPr>
        <w:t>DPG</w:t>
      </w:r>
      <w:r w:rsidRPr="0029077C">
        <w:rPr>
          <w:szCs w:val="24"/>
        </w:rPr>
        <w:t xml:space="preserve">. Available at: </w:t>
      </w:r>
      <w:hyperlink r:id="rId33" w:history="1">
        <w:r w:rsidRPr="0029077C">
          <w:rPr>
            <w:rStyle w:val="Hyperlink"/>
            <w:szCs w:val="24"/>
          </w:rPr>
          <w:t>https://dpglearn.co.uk/blog/human-resources/gen-z-at-work-how-they-compare-infographic/</w:t>
        </w:r>
      </w:hyperlink>
      <w:r w:rsidRPr="0029077C">
        <w:rPr>
          <w:szCs w:val="24"/>
        </w:rPr>
        <w:t xml:space="preserve">  (Accessed: 14 November 2025).</w:t>
      </w:r>
    </w:p>
    <w:p w14:paraId="0BF15B34" w14:textId="77777777" w:rsidR="009105EC" w:rsidRPr="0029077C" w:rsidRDefault="009105EC" w:rsidP="00295B33">
      <w:pPr>
        <w:pStyle w:val="Uni-Normal"/>
        <w:ind w:left="360" w:hanging="720"/>
        <w:rPr>
          <w:szCs w:val="24"/>
          <w:lang w:eastAsia="en-GB"/>
        </w:rPr>
      </w:pPr>
      <w:r w:rsidRPr="0029077C">
        <w:rPr>
          <w:szCs w:val="24"/>
          <w:lang w:eastAsia="en-GB"/>
        </w:rPr>
        <w:lastRenderedPageBreak/>
        <w:t xml:space="preserve">Denzin, N.K. and Lincoln, Y.S. (2005) </w:t>
      </w:r>
      <w:r w:rsidRPr="0029077C">
        <w:rPr>
          <w:i/>
          <w:iCs/>
          <w:szCs w:val="24"/>
          <w:lang w:eastAsia="en-GB"/>
        </w:rPr>
        <w:t>The Sage handbook of qualitative research</w:t>
      </w:r>
      <w:r w:rsidRPr="0029077C">
        <w:rPr>
          <w:szCs w:val="24"/>
          <w:lang w:eastAsia="en-GB"/>
        </w:rPr>
        <w:t>. 3rd edn. Thousand Oaks, CA: Sage Publications.</w:t>
      </w:r>
    </w:p>
    <w:p w14:paraId="45449FCC" w14:textId="77777777" w:rsidR="009105EC" w:rsidRPr="0029077C" w:rsidRDefault="009105EC" w:rsidP="00295B33">
      <w:pPr>
        <w:pStyle w:val="Uni-Normal"/>
        <w:ind w:left="360" w:hanging="720"/>
        <w:rPr>
          <w:szCs w:val="24"/>
        </w:rPr>
      </w:pPr>
      <w:r w:rsidRPr="0029077C">
        <w:rPr>
          <w:szCs w:val="24"/>
        </w:rPr>
        <w:t>Dillman, D.A. (2007) </w:t>
      </w:r>
      <w:r w:rsidRPr="0029077C">
        <w:rPr>
          <w:i/>
          <w:iCs/>
          <w:szCs w:val="24"/>
        </w:rPr>
        <w:t>Mail and internet surveys: the tailored design method. </w:t>
      </w:r>
      <w:r w:rsidRPr="0029077C">
        <w:rPr>
          <w:szCs w:val="24"/>
        </w:rPr>
        <w:t>2nd edn. John Wiley &amp; Sons, Inc.</w:t>
      </w:r>
    </w:p>
    <w:p w14:paraId="74B34101" w14:textId="77777777" w:rsidR="009105EC" w:rsidRPr="0029077C" w:rsidRDefault="009105EC" w:rsidP="00BA25F8">
      <w:pPr>
        <w:pStyle w:val="Uni-Normal"/>
        <w:ind w:left="360" w:hanging="720"/>
        <w:rPr>
          <w:szCs w:val="24"/>
        </w:rPr>
      </w:pPr>
      <w:r w:rsidRPr="0029077C">
        <w:rPr>
          <w:szCs w:val="24"/>
        </w:rPr>
        <w:t xml:space="preserve">Evandrou, M., Falkingham, J., Gómez León, M., Robards, J. and Vlachantoni, A. (2015) </w:t>
      </w:r>
      <w:r w:rsidRPr="0029077C">
        <w:rPr>
          <w:i/>
          <w:iCs/>
          <w:szCs w:val="24"/>
        </w:rPr>
        <w:t>Local Government Knowledge Navigator Local Government and the Demography of Ageing a Joint Commission by the Local Government Knowledge Navigator and the Local Government Association Review Number Five NEED KNOW CPC centre for population change</w:t>
      </w:r>
      <w:r w:rsidRPr="0029077C">
        <w:rPr>
          <w:szCs w:val="24"/>
        </w:rPr>
        <w:t xml:space="preserve">. Available at: </w:t>
      </w:r>
      <w:hyperlink r:id="rId34" w:history="1">
        <w:r w:rsidRPr="0029077C">
          <w:rPr>
            <w:rStyle w:val="Hyperlink"/>
            <w:szCs w:val="24"/>
          </w:rPr>
          <w:t>https://www2.local.gov.uk/sites/default/files/documents/knowledge%20navigator%20and%20the%20demography%20of%20ageing.pdf</w:t>
        </w:r>
      </w:hyperlink>
      <w:r w:rsidRPr="0029077C">
        <w:rPr>
          <w:szCs w:val="24"/>
        </w:rPr>
        <w:t xml:space="preserve">  (Accessed: 20 January 2026).</w:t>
      </w:r>
    </w:p>
    <w:p w14:paraId="1BD1B2C9" w14:textId="77777777" w:rsidR="009105EC" w:rsidRPr="0029077C" w:rsidRDefault="009105EC" w:rsidP="00295B33">
      <w:pPr>
        <w:pStyle w:val="Uni-Normal"/>
        <w:ind w:left="360" w:hanging="720"/>
        <w:rPr>
          <w:szCs w:val="24"/>
          <w:lang w:eastAsia="en-GB"/>
        </w:rPr>
      </w:pPr>
      <w:r w:rsidRPr="0029077C">
        <w:rPr>
          <w:szCs w:val="24"/>
          <w:lang w:eastAsia="en-GB"/>
        </w:rPr>
        <w:t>Fisher, C.M. and Buglear, J. (2010) </w:t>
      </w:r>
      <w:r w:rsidRPr="0029077C">
        <w:rPr>
          <w:i/>
          <w:iCs/>
          <w:szCs w:val="24"/>
          <w:lang w:eastAsia="en-GB"/>
        </w:rPr>
        <w:t>Researching and writing a dissertation: an essential guide for business students. </w:t>
      </w:r>
      <w:r w:rsidRPr="0029077C">
        <w:rPr>
          <w:szCs w:val="24"/>
          <w:lang w:eastAsia="en-GB"/>
        </w:rPr>
        <w:t>3rd edn. Financial Times/Prentice Hall.</w:t>
      </w:r>
    </w:p>
    <w:p w14:paraId="56C48064" w14:textId="77777777" w:rsidR="009105EC" w:rsidRPr="0029077C" w:rsidRDefault="009105EC" w:rsidP="00295B33">
      <w:pPr>
        <w:pStyle w:val="Uni-Normal"/>
        <w:ind w:left="360" w:hanging="720"/>
        <w:rPr>
          <w:szCs w:val="24"/>
          <w:lang w:eastAsia="en-GB"/>
        </w:rPr>
      </w:pPr>
      <w:r w:rsidRPr="0029077C">
        <w:rPr>
          <w:szCs w:val="24"/>
          <w:lang w:eastAsia="en-GB"/>
        </w:rPr>
        <w:t>Fleming, J. and Zegwaard, K.E. (2018) “Methodologies, methods and ethical considerations for conducting research in work-integrated learning,” </w:t>
      </w:r>
      <w:r w:rsidRPr="0029077C">
        <w:rPr>
          <w:i/>
          <w:iCs/>
          <w:szCs w:val="24"/>
          <w:lang w:eastAsia="en-GB"/>
        </w:rPr>
        <w:t>International journal of work-integrated learning</w:t>
      </w:r>
      <w:r w:rsidRPr="0029077C">
        <w:rPr>
          <w:szCs w:val="24"/>
          <w:lang w:eastAsia="en-GB"/>
        </w:rPr>
        <w:t>, 19(3), p. 205.</w:t>
      </w:r>
    </w:p>
    <w:p w14:paraId="4B7E5F15" w14:textId="77777777" w:rsidR="009105EC" w:rsidRPr="0029077C" w:rsidRDefault="009105EC" w:rsidP="00295B33">
      <w:pPr>
        <w:pStyle w:val="Uni-Normal"/>
        <w:ind w:left="360" w:hanging="720"/>
        <w:rPr>
          <w:szCs w:val="24"/>
        </w:rPr>
      </w:pPr>
      <w:r w:rsidRPr="0029077C">
        <w:rPr>
          <w:szCs w:val="24"/>
        </w:rPr>
        <w:t xml:space="preserve">Forvis Mazars (2023) </w:t>
      </w:r>
      <w:r w:rsidRPr="0029077C">
        <w:rPr>
          <w:i/>
          <w:iCs/>
          <w:szCs w:val="24"/>
        </w:rPr>
        <w:t xml:space="preserve">Recruitment crisis in the public and social sector. </w:t>
      </w:r>
      <w:r w:rsidRPr="0029077C">
        <w:rPr>
          <w:szCs w:val="24"/>
        </w:rPr>
        <w:t xml:space="preserve">Available at: </w:t>
      </w:r>
      <w:hyperlink r:id="rId35" w:history="1">
        <w:r w:rsidRPr="0029077C">
          <w:rPr>
            <w:rStyle w:val="Hyperlink"/>
            <w:szCs w:val="24"/>
          </w:rPr>
          <w:t>https://www.forvismazars.com/uk/en/industries/public-social-sector/public-and-social-sector-insights/recruitment-crisis-in-the-public-and-social-sector</w:t>
        </w:r>
      </w:hyperlink>
      <w:r w:rsidRPr="0029077C">
        <w:rPr>
          <w:szCs w:val="24"/>
        </w:rPr>
        <w:t xml:space="preserve">  (Accessed: 19 November 2025).</w:t>
      </w:r>
    </w:p>
    <w:p w14:paraId="4A1291E7" w14:textId="77777777" w:rsidR="009105EC" w:rsidRPr="0029077C" w:rsidRDefault="009105EC" w:rsidP="00295B33">
      <w:pPr>
        <w:pStyle w:val="Uni-Normal"/>
        <w:ind w:left="360" w:hanging="720"/>
        <w:rPr>
          <w:szCs w:val="24"/>
        </w:rPr>
      </w:pPr>
      <w:r w:rsidRPr="0029077C">
        <w:rPr>
          <w:szCs w:val="24"/>
        </w:rPr>
        <w:t xml:space="preserve">Forvis Mazars (2026) </w:t>
      </w:r>
      <w:r w:rsidRPr="0029077C">
        <w:rPr>
          <w:i/>
          <w:iCs/>
          <w:szCs w:val="24"/>
        </w:rPr>
        <w:t>Public sector in focus: Charting the road ahead</w:t>
      </w:r>
      <w:r w:rsidRPr="0029077C">
        <w:rPr>
          <w:szCs w:val="24"/>
        </w:rPr>
        <w:t xml:space="preserve">. Available at: </w:t>
      </w:r>
      <w:hyperlink r:id="rId36" w:history="1">
        <w:r w:rsidRPr="0029077C">
          <w:rPr>
            <w:rStyle w:val="Hyperlink"/>
            <w:szCs w:val="24"/>
          </w:rPr>
          <w:t>https://www.forvismazars.com/uk/en/industries/public-social-sector/our-public-and-social-sector-reports/public-sector-in-focus-charting-the-road-ahead</w:t>
        </w:r>
      </w:hyperlink>
      <w:r w:rsidRPr="0029077C">
        <w:rPr>
          <w:szCs w:val="24"/>
        </w:rPr>
        <w:t xml:space="preserve">  (Accessed: 21 January 2026).</w:t>
      </w:r>
    </w:p>
    <w:p w14:paraId="45742CA0" w14:textId="77777777" w:rsidR="009105EC" w:rsidRPr="0029077C" w:rsidRDefault="009105EC" w:rsidP="00295B33">
      <w:pPr>
        <w:pStyle w:val="Uni-Normal"/>
        <w:ind w:left="360" w:hanging="720"/>
        <w:rPr>
          <w:szCs w:val="24"/>
        </w:rPr>
      </w:pPr>
      <w:r w:rsidRPr="0029077C">
        <w:rPr>
          <w:szCs w:val="24"/>
        </w:rPr>
        <w:t xml:space="preserve">Francis, T. and Hoefel, F. (2018) </w:t>
      </w:r>
      <w:r w:rsidRPr="0029077C">
        <w:rPr>
          <w:i/>
          <w:iCs/>
          <w:szCs w:val="24"/>
        </w:rPr>
        <w:t>True gen: Gen Z and Its Implications for Companies</w:t>
      </w:r>
      <w:r w:rsidRPr="0029077C">
        <w:rPr>
          <w:szCs w:val="24"/>
        </w:rPr>
        <w:t xml:space="preserve">, </w:t>
      </w:r>
      <w:r w:rsidRPr="0029077C">
        <w:rPr>
          <w:i/>
          <w:iCs/>
          <w:szCs w:val="24"/>
        </w:rPr>
        <w:t>McKinsey &amp; Company</w:t>
      </w:r>
      <w:r w:rsidRPr="0029077C">
        <w:rPr>
          <w:szCs w:val="24"/>
        </w:rPr>
        <w:t xml:space="preserve">. Available at: </w:t>
      </w:r>
      <w:hyperlink r:id="rId37" w:history="1">
        <w:r w:rsidRPr="0029077C">
          <w:rPr>
            <w:rStyle w:val="Hyperlink"/>
            <w:szCs w:val="24"/>
          </w:rPr>
          <w:t>https://www.mckinsey.com/industries/consumer-packaged-goods/our-insights/true-gen-generation-z-and-its-implications-for-companies</w:t>
        </w:r>
      </w:hyperlink>
      <w:r w:rsidRPr="0029077C">
        <w:rPr>
          <w:szCs w:val="24"/>
        </w:rPr>
        <w:t xml:space="preserve">  (Accessed: 14 November 2025).</w:t>
      </w:r>
    </w:p>
    <w:p w14:paraId="14E0CA92" w14:textId="77777777" w:rsidR="009105EC" w:rsidRPr="0029077C" w:rsidRDefault="009105EC" w:rsidP="00295B33">
      <w:pPr>
        <w:pStyle w:val="Uni-Normal"/>
        <w:ind w:left="360" w:hanging="720"/>
        <w:rPr>
          <w:szCs w:val="24"/>
        </w:rPr>
      </w:pPr>
      <w:r w:rsidRPr="0029077C">
        <w:rPr>
          <w:szCs w:val="24"/>
        </w:rPr>
        <w:lastRenderedPageBreak/>
        <w:t>George, A.S., Baskar, T. and Srikaanth, P.B. (2024) 'Bridging the generational divide: Fostering intergenerational collaboration and innovation in the modern workplace', </w:t>
      </w:r>
      <w:r w:rsidRPr="0029077C">
        <w:rPr>
          <w:i/>
          <w:iCs/>
          <w:szCs w:val="24"/>
        </w:rPr>
        <w:t>Partners Universal International Innovation Journal,</w:t>
      </w:r>
      <w:r w:rsidRPr="0029077C">
        <w:rPr>
          <w:szCs w:val="24"/>
        </w:rPr>
        <w:t xml:space="preserve"> 2(3), pp. 198–217. </w:t>
      </w:r>
    </w:p>
    <w:p w14:paraId="0EC811B8" w14:textId="77777777" w:rsidR="009105EC" w:rsidRPr="0029077C" w:rsidRDefault="009105EC" w:rsidP="00295B33">
      <w:pPr>
        <w:pStyle w:val="Uni-Normal"/>
        <w:ind w:left="360" w:hanging="720"/>
        <w:rPr>
          <w:szCs w:val="24"/>
        </w:rPr>
      </w:pPr>
      <w:r w:rsidRPr="0029077C">
        <w:rPr>
          <w:szCs w:val="24"/>
        </w:rPr>
        <w:t xml:space="preserve">Gifford, J. (2020) </w:t>
      </w:r>
      <w:r w:rsidRPr="0029077C">
        <w:rPr>
          <w:i/>
          <w:iCs/>
          <w:szCs w:val="24"/>
        </w:rPr>
        <w:t>CIPD | Should we stop talking about generational differences?</w:t>
      </w:r>
      <w:r w:rsidRPr="0029077C">
        <w:rPr>
          <w:szCs w:val="24"/>
        </w:rPr>
        <w:t xml:space="preserve"> </w:t>
      </w:r>
      <w:r w:rsidRPr="0029077C">
        <w:rPr>
          <w:i/>
          <w:iCs/>
          <w:szCs w:val="24"/>
        </w:rPr>
        <w:t>CIPD</w:t>
      </w:r>
      <w:r w:rsidRPr="0029077C">
        <w:rPr>
          <w:szCs w:val="24"/>
        </w:rPr>
        <w:t xml:space="preserve">. Available at: </w:t>
      </w:r>
      <w:hyperlink r:id="rId38" w:history="1">
        <w:r w:rsidRPr="0029077C">
          <w:rPr>
            <w:rStyle w:val="Hyperlink"/>
            <w:szCs w:val="24"/>
          </w:rPr>
          <w:t>https://www.cipd.org/uk/views-and-insights/thought-leadership/the-world-of-work/generational-differences/</w:t>
        </w:r>
      </w:hyperlink>
      <w:r w:rsidRPr="0029077C">
        <w:rPr>
          <w:szCs w:val="24"/>
        </w:rPr>
        <w:t xml:space="preserve">  (Accessed: 22 December 2025).</w:t>
      </w:r>
    </w:p>
    <w:p w14:paraId="2C5C68AE" w14:textId="77777777" w:rsidR="009105EC" w:rsidRPr="0029077C" w:rsidRDefault="009105EC" w:rsidP="00295B33">
      <w:pPr>
        <w:pStyle w:val="Uni-Normal"/>
        <w:ind w:left="360" w:hanging="720"/>
        <w:rPr>
          <w:szCs w:val="24"/>
        </w:rPr>
      </w:pPr>
      <w:r w:rsidRPr="0029077C">
        <w:rPr>
          <w:szCs w:val="24"/>
        </w:rPr>
        <w:t>Groenewald, E., Groenewald, C.A., Kilag, O.K. Andrin, G., Pernites, M.J. and Macapaz, M.K. (2024) 'Talent Management in the 21st Century: a comprehensive review and prospects for Innovation', </w:t>
      </w:r>
      <w:r w:rsidRPr="0029077C">
        <w:rPr>
          <w:i/>
          <w:iCs/>
          <w:szCs w:val="24"/>
        </w:rPr>
        <w:t>International Multidisciplinary Journal of Research for Innovation, Sustainability and Excellence (IMJRISE),</w:t>
      </w:r>
      <w:r w:rsidRPr="0029077C">
        <w:rPr>
          <w:szCs w:val="24"/>
        </w:rPr>
        <w:t xml:space="preserve">1, pp. 93–99(3). </w:t>
      </w:r>
    </w:p>
    <w:p w14:paraId="7028B4D3" w14:textId="77777777" w:rsidR="009105EC" w:rsidRPr="0029077C" w:rsidRDefault="009105EC" w:rsidP="00295B33">
      <w:pPr>
        <w:pStyle w:val="Uni-Normal"/>
        <w:ind w:left="360" w:hanging="720"/>
        <w:rPr>
          <w:szCs w:val="24"/>
          <w:lang w:eastAsia="en-GB"/>
        </w:rPr>
      </w:pPr>
      <w:r w:rsidRPr="0029077C">
        <w:rPr>
          <w:szCs w:val="24"/>
          <w:lang w:eastAsia="en-GB"/>
        </w:rPr>
        <w:t>Groves, R.M., Fowler Jr, F.J., Couper, M.P., Lepkowski, J.M., Singer, E. and Tourangeau, R. (2011) </w:t>
      </w:r>
      <w:r w:rsidRPr="0029077C">
        <w:rPr>
          <w:i/>
          <w:iCs/>
          <w:szCs w:val="24"/>
          <w:lang w:eastAsia="en-GB"/>
        </w:rPr>
        <w:t>Survey methodology. </w:t>
      </w:r>
      <w:r w:rsidRPr="0029077C">
        <w:rPr>
          <w:szCs w:val="24"/>
          <w:lang w:eastAsia="en-GB"/>
        </w:rPr>
        <w:t>John Wiley &amp; Sons.</w:t>
      </w:r>
    </w:p>
    <w:p w14:paraId="64ADE5C8" w14:textId="77777777" w:rsidR="009105EC" w:rsidRPr="0029077C" w:rsidRDefault="009105EC" w:rsidP="00295B33">
      <w:pPr>
        <w:pStyle w:val="Uni-Normal"/>
        <w:ind w:left="360" w:hanging="720"/>
        <w:rPr>
          <w:szCs w:val="24"/>
          <w:lang w:eastAsia="en-GB"/>
        </w:rPr>
      </w:pPr>
      <w:r w:rsidRPr="0029077C">
        <w:rPr>
          <w:szCs w:val="24"/>
          <w:lang w:eastAsia="en-GB"/>
        </w:rPr>
        <w:t>Groves, R.M., Fowler Jr, F.J., Couper, M.P., Lepkowski, J.M., Singer, E. and Tourangeau, R. (2009) </w:t>
      </w:r>
      <w:r w:rsidRPr="0029077C">
        <w:rPr>
          <w:i/>
          <w:iCs/>
          <w:szCs w:val="24"/>
          <w:lang w:eastAsia="en-GB"/>
        </w:rPr>
        <w:t>Survey Methodology. </w:t>
      </w:r>
      <w:r w:rsidRPr="0029077C">
        <w:rPr>
          <w:szCs w:val="24"/>
          <w:lang w:eastAsia="en-GB"/>
        </w:rPr>
        <w:t>John Wiley &amp; Sons.</w:t>
      </w:r>
    </w:p>
    <w:p w14:paraId="782A184D" w14:textId="77777777" w:rsidR="00AE551E" w:rsidRPr="0029077C" w:rsidRDefault="00AE551E" w:rsidP="00AE551E">
      <w:pPr>
        <w:pStyle w:val="Uni-Normal"/>
        <w:ind w:left="360" w:hanging="720"/>
        <w:rPr>
          <w:szCs w:val="24"/>
        </w:rPr>
      </w:pPr>
      <w:r w:rsidRPr="0029077C">
        <w:rPr>
          <w:szCs w:val="24"/>
        </w:rPr>
        <w:t xml:space="preserve">Harari, T.T., Sela, Y. and Bareket-Bojmel, L. (2023) ‘Gen Z during the COVID-19 crisis: a comparative analysis of the differences between Gen Z and Gen X in resilience, values and attitudes’, </w:t>
      </w:r>
      <w:r w:rsidRPr="0029077C">
        <w:rPr>
          <w:i/>
          <w:iCs/>
          <w:szCs w:val="24"/>
        </w:rPr>
        <w:t>Current Psychology</w:t>
      </w:r>
      <w:r w:rsidRPr="0029077C">
        <w:rPr>
          <w:szCs w:val="24"/>
        </w:rPr>
        <w:t xml:space="preserve">, 42, pp. 24223–24232. Available at: </w:t>
      </w:r>
      <w:hyperlink r:id="rId39" w:tgtFrame="_blank" w:history="1">
        <w:r w:rsidRPr="0029077C">
          <w:rPr>
            <w:rStyle w:val="Hyperlink"/>
            <w:szCs w:val="24"/>
          </w:rPr>
          <w:t>https://doi.org/10.1007/s12144-022-03501-4</w:t>
        </w:r>
      </w:hyperlink>
      <w:r w:rsidRPr="0029077C">
        <w:rPr>
          <w:szCs w:val="24"/>
        </w:rPr>
        <w:t>.</w:t>
      </w:r>
    </w:p>
    <w:p w14:paraId="203FDC1E" w14:textId="77777777" w:rsidR="009105EC" w:rsidRPr="0029077C" w:rsidRDefault="009105EC" w:rsidP="00295B33">
      <w:pPr>
        <w:pStyle w:val="Uni-Normal"/>
        <w:ind w:left="360" w:hanging="720"/>
        <w:rPr>
          <w:szCs w:val="24"/>
          <w:lang w:eastAsia="en-GB"/>
        </w:rPr>
      </w:pPr>
      <w:r w:rsidRPr="0029077C">
        <w:rPr>
          <w:szCs w:val="24"/>
          <w:lang w:eastAsia="en-GB"/>
        </w:rPr>
        <w:t>Harpe, S.E. (2015) 'How to analyze likert and other rating scale data', </w:t>
      </w:r>
      <w:r w:rsidRPr="0029077C">
        <w:rPr>
          <w:i/>
          <w:iCs/>
          <w:szCs w:val="24"/>
          <w:lang w:eastAsia="en-GB"/>
        </w:rPr>
        <w:t>Currents in Pharmacy Teaching and Learning,</w:t>
      </w:r>
      <w:r w:rsidRPr="0029077C">
        <w:rPr>
          <w:szCs w:val="24"/>
          <w:lang w:eastAsia="en-GB"/>
        </w:rPr>
        <w:t> 7(6), pp. 836–850. Available at: </w:t>
      </w:r>
      <w:hyperlink r:id="rId40" w:tgtFrame="_blank" w:history="1">
        <w:r w:rsidRPr="0029077C">
          <w:rPr>
            <w:rStyle w:val="Hyperlink"/>
            <w:rFonts w:eastAsia="Times New Roman"/>
            <w:szCs w:val="24"/>
            <w:lang w:eastAsia="en-GB"/>
          </w:rPr>
          <w:t>https://doi.org/10.1016/j.cptl.2015.08.001</w:t>
        </w:r>
      </w:hyperlink>
      <w:r w:rsidRPr="0029077C">
        <w:rPr>
          <w:szCs w:val="24"/>
          <w:lang w:eastAsia="en-GB"/>
        </w:rPr>
        <w:t>.</w:t>
      </w:r>
    </w:p>
    <w:p w14:paraId="4CEC3D3F" w14:textId="77777777" w:rsidR="009105EC" w:rsidRPr="0029077C" w:rsidRDefault="009105EC" w:rsidP="00295B33">
      <w:pPr>
        <w:pStyle w:val="Uni-Normal"/>
        <w:ind w:left="360" w:hanging="720"/>
        <w:rPr>
          <w:szCs w:val="24"/>
        </w:rPr>
      </w:pPr>
      <w:r w:rsidRPr="0029077C">
        <w:rPr>
          <w:szCs w:val="24"/>
        </w:rPr>
        <w:t>Iorgulescu, M. (2016) 'Generation Z and its perception of work', </w:t>
      </w:r>
      <w:r w:rsidRPr="0029077C">
        <w:rPr>
          <w:i/>
          <w:iCs/>
          <w:szCs w:val="24"/>
        </w:rPr>
        <w:t>Cross-Cultural Management Journal,</w:t>
      </w:r>
      <w:r w:rsidRPr="0029077C">
        <w:rPr>
          <w:szCs w:val="24"/>
        </w:rPr>
        <w:t> 18, pp. 47–54.</w:t>
      </w:r>
    </w:p>
    <w:p w14:paraId="1DF66544" w14:textId="77777777" w:rsidR="009105EC" w:rsidRPr="0029077C" w:rsidRDefault="009105EC" w:rsidP="00295B33">
      <w:pPr>
        <w:pStyle w:val="Uni-Normal"/>
        <w:ind w:left="360" w:hanging="720"/>
        <w:rPr>
          <w:szCs w:val="24"/>
        </w:rPr>
      </w:pPr>
      <w:r w:rsidRPr="0029077C">
        <w:rPr>
          <w:szCs w:val="24"/>
        </w:rPr>
        <w:t>Jayathilake, H.D., Daud, D., Hooi Cheng Eaw and Annuar, N. (2021) 'Employee development and retention of Generation-Z employees in the post-COVID-19 workplace: a conceptual framework', </w:t>
      </w:r>
      <w:r w:rsidRPr="0029077C">
        <w:rPr>
          <w:i/>
          <w:iCs/>
          <w:szCs w:val="24"/>
        </w:rPr>
        <w:t xml:space="preserve">Benchmarking, </w:t>
      </w:r>
      <w:r w:rsidRPr="0029077C">
        <w:rPr>
          <w:szCs w:val="24"/>
        </w:rPr>
        <w:t>28(7), pp. 2343–2364. Available at: </w:t>
      </w:r>
      <w:hyperlink r:id="rId41" w:tgtFrame="_blank" w:history="1">
        <w:r w:rsidRPr="0029077C">
          <w:rPr>
            <w:rStyle w:val="Hyperlink"/>
            <w:szCs w:val="24"/>
          </w:rPr>
          <w:t>https://doi.org/10.1108/BIJ-06-2020-0311</w:t>
        </w:r>
      </w:hyperlink>
      <w:r w:rsidRPr="0029077C">
        <w:rPr>
          <w:szCs w:val="24"/>
        </w:rPr>
        <w:t xml:space="preserve">. </w:t>
      </w:r>
    </w:p>
    <w:p w14:paraId="1097B135" w14:textId="77777777" w:rsidR="009105EC" w:rsidRPr="0029077C" w:rsidRDefault="009105EC" w:rsidP="00295B33">
      <w:pPr>
        <w:pStyle w:val="Uni-Normal"/>
        <w:ind w:left="360" w:hanging="720"/>
        <w:rPr>
          <w:szCs w:val="24"/>
        </w:rPr>
      </w:pPr>
      <w:r w:rsidRPr="0029077C">
        <w:rPr>
          <w:szCs w:val="24"/>
        </w:rPr>
        <w:lastRenderedPageBreak/>
        <w:t xml:space="preserve">Jobs Go Public (n.d.) </w:t>
      </w:r>
      <w:r w:rsidRPr="0029077C">
        <w:rPr>
          <w:i/>
          <w:iCs/>
          <w:szCs w:val="24"/>
        </w:rPr>
        <w:t xml:space="preserve">What’s your story? Developing an Employee Value Proposition in the Public Sector. </w:t>
      </w:r>
      <w:r w:rsidRPr="0029077C">
        <w:rPr>
          <w:szCs w:val="24"/>
        </w:rPr>
        <w:t xml:space="preserve">Available at: </w:t>
      </w:r>
      <w:hyperlink r:id="rId42" w:history="1">
        <w:r w:rsidRPr="0029077C">
          <w:rPr>
            <w:rStyle w:val="Hyperlink"/>
            <w:szCs w:val="24"/>
          </w:rPr>
          <w:t>https://7551541.fs1.hubspotusercontent-na1.net/hubfs/7551541/Downloadable%20resources%20for%20clients/Jobs%20Go%20Public%20Whats%20Your%20Story%20Digital%20Booklet%20EVP.pdf</w:t>
        </w:r>
      </w:hyperlink>
      <w:r w:rsidRPr="0029077C">
        <w:rPr>
          <w:szCs w:val="24"/>
        </w:rPr>
        <w:t xml:space="preserve">  (Accessed: 19 December 2025).</w:t>
      </w:r>
    </w:p>
    <w:p w14:paraId="2675E704" w14:textId="77777777" w:rsidR="009105EC" w:rsidRPr="0029077C" w:rsidRDefault="009105EC" w:rsidP="00295B33">
      <w:pPr>
        <w:pStyle w:val="Uni-Normal"/>
        <w:ind w:left="360" w:hanging="720"/>
        <w:rPr>
          <w:szCs w:val="24"/>
          <w:lang w:eastAsia="en-GB"/>
        </w:rPr>
      </w:pPr>
      <w:r w:rsidRPr="0029077C">
        <w:rPr>
          <w:szCs w:val="24"/>
          <w:lang w:eastAsia="en-GB"/>
        </w:rPr>
        <w:t>Johnson, B. and Christensen, L.B. (2012) Educational Research: Quantitative, Qualitative and Mixed Approaches. India: SAGE Publications.</w:t>
      </w:r>
    </w:p>
    <w:p w14:paraId="142C571A" w14:textId="77777777" w:rsidR="009105EC" w:rsidRPr="0029077C" w:rsidRDefault="009105EC" w:rsidP="00295B33">
      <w:pPr>
        <w:pStyle w:val="Uni-Normal"/>
        <w:ind w:left="360" w:hanging="720"/>
        <w:rPr>
          <w:szCs w:val="24"/>
        </w:rPr>
      </w:pPr>
      <w:r w:rsidRPr="0029077C">
        <w:rPr>
          <w:szCs w:val="24"/>
        </w:rPr>
        <w:t xml:space="preserve">Kästner, E. and Mattutat, O. (2024) ‘Gen Z’s workplace expectations: an international comparison’, in </w:t>
      </w:r>
      <w:r w:rsidRPr="0029077C">
        <w:rPr>
          <w:i/>
          <w:iCs/>
          <w:szCs w:val="24"/>
        </w:rPr>
        <w:t>European Marketing Academy Annual Conference (EMAC)</w:t>
      </w:r>
      <w:r w:rsidRPr="0029077C">
        <w:rPr>
          <w:szCs w:val="24"/>
        </w:rPr>
        <w:t>, May, pp. 28–31.</w:t>
      </w:r>
    </w:p>
    <w:p w14:paraId="04164156" w14:textId="5BA8BD7C" w:rsidR="009105EC" w:rsidRPr="0029077C" w:rsidRDefault="009105EC" w:rsidP="00295B33">
      <w:pPr>
        <w:pStyle w:val="Uni-Normal"/>
        <w:ind w:left="360" w:hanging="720"/>
        <w:rPr>
          <w:szCs w:val="24"/>
          <w:lang w:eastAsia="en-GB"/>
        </w:rPr>
      </w:pPr>
      <w:r w:rsidRPr="0029077C">
        <w:rPr>
          <w:szCs w:val="24"/>
          <w:lang w:eastAsia="en-GB"/>
        </w:rPr>
        <w:t>Kotronoulas, G., Miguel, S., Dowling, M., Fernández-Ortega, P., Colomer-Lahiguera, S., Bağçivan, G., Pape, E., Drury, A., Semple, C. and Dieperink, K.B.  (2023) 'An overview of the fundamentals of data management, analysis and interpretation in quantitative research', </w:t>
      </w:r>
      <w:r w:rsidRPr="0029077C">
        <w:rPr>
          <w:i/>
          <w:iCs/>
          <w:szCs w:val="24"/>
          <w:lang w:eastAsia="en-GB"/>
        </w:rPr>
        <w:t>Seminars in oncology nursing </w:t>
      </w:r>
      <w:r w:rsidR="00631AE5" w:rsidRPr="0029077C">
        <w:rPr>
          <w:szCs w:val="24"/>
          <w:lang w:eastAsia="en-GB"/>
        </w:rPr>
        <w:t>Elsevier,</w:t>
      </w:r>
      <w:r w:rsidRPr="0029077C">
        <w:rPr>
          <w:szCs w:val="24"/>
          <w:lang w:eastAsia="en-GB"/>
        </w:rPr>
        <w:t xml:space="preserve"> pp. 151398. </w:t>
      </w:r>
    </w:p>
    <w:p w14:paraId="64D53F41" w14:textId="77777777" w:rsidR="009105EC" w:rsidRPr="0029077C" w:rsidRDefault="009105EC" w:rsidP="00295B33">
      <w:pPr>
        <w:pStyle w:val="Uni-Normal"/>
        <w:ind w:left="360" w:hanging="720"/>
        <w:rPr>
          <w:szCs w:val="24"/>
        </w:rPr>
      </w:pPr>
      <w:r w:rsidRPr="0029077C">
        <w:rPr>
          <w:szCs w:val="24"/>
        </w:rPr>
        <w:t>Krajec, L. and Buzeti, J. (2024) 'Talent Management in the Slovenian Public Administration for Young Talented Individuals from Gen Z', </w:t>
      </w:r>
      <w:r w:rsidRPr="0029077C">
        <w:rPr>
          <w:i/>
          <w:iCs/>
          <w:szCs w:val="24"/>
        </w:rPr>
        <w:t>Journal of human resource management,</w:t>
      </w:r>
      <w:r w:rsidRPr="0029077C">
        <w:rPr>
          <w:szCs w:val="24"/>
        </w:rPr>
        <w:t>27(2), pp. 78–94. Available at: </w:t>
      </w:r>
      <w:hyperlink r:id="rId43" w:tgtFrame="_blank" w:history="1">
        <w:r w:rsidRPr="0029077C">
          <w:rPr>
            <w:rStyle w:val="Hyperlink"/>
            <w:szCs w:val="24"/>
          </w:rPr>
          <w:t>https://doi.org/10.46287/SFWH7638</w:t>
        </w:r>
      </w:hyperlink>
      <w:r w:rsidRPr="0029077C">
        <w:rPr>
          <w:szCs w:val="24"/>
        </w:rPr>
        <w:t>.</w:t>
      </w:r>
    </w:p>
    <w:p w14:paraId="63E89799" w14:textId="77777777" w:rsidR="009105EC" w:rsidRPr="0029077C" w:rsidRDefault="009105EC" w:rsidP="00295B33">
      <w:pPr>
        <w:pStyle w:val="Uni-Normal"/>
        <w:ind w:left="360" w:hanging="720"/>
        <w:rPr>
          <w:szCs w:val="24"/>
          <w:lang w:eastAsia="en-GB"/>
        </w:rPr>
      </w:pPr>
      <w:r w:rsidRPr="0029077C">
        <w:rPr>
          <w:szCs w:val="24"/>
          <w:lang w:eastAsia="en-GB"/>
        </w:rPr>
        <w:t xml:space="preserve">Kravariti, F. and Johnston, K. (2020) ‘Talent Management: a critical literature review and research agenda for public sector human resource management’, </w:t>
      </w:r>
      <w:r w:rsidRPr="0029077C">
        <w:rPr>
          <w:i/>
          <w:iCs/>
          <w:szCs w:val="24"/>
          <w:lang w:eastAsia="en-GB"/>
        </w:rPr>
        <w:t>Public Management Review</w:t>
      </w:r>
      <w:r w:rsidRPr="0029077C">
        <w:rPr>
          <w:szCs w:val="24"/>
          <w:lang w:eastAsia="en-GB"/>
        </w:rPr>
        <w:t xml:space="preserve">, 22(1), pp. 75–95. Available at: </w:t>
      </w:r>
      <w:hyperlink r:id="rId44" w:history="1">
        <w:r w:rsidRPr="0029077C">
          <w:rPr>
            <w:rStyle w:val="Hyperlink"/>
            <w:szCs w:val="24"/>
            <w:lang w:eastAsia="en-GB"/>
          </w:rPr>
          <w:t>https://doi.org/10.1080/14719037.2019.1638439</w:t>
        </w:r>
      </w:hyperlink>
      <w:r w:rsidRPr="0029077C">
        <w:rPr>
          <w:szCs w:val="24"/>
          <w:lang w:eastAsia="en-GB"/>
        </w:rPr>
        <w:t xml:space="preserve">. </w:t>
      </w:r>
    </w:p>
    <w:p w14:paraId="6D0CB381" w14:textId="77777777" w:rsidR="009105EC" w:rsidRPr="0029077C" w:rsidRDefault="009105EC" w:rsidP="00295B33">
      <w:pPr>
        <w:pStyle w:val="Uni-Normal"/>
        <w:ind w:left="360" w:hanging="720"/>
        <w:rPr>
          <w:szCs w:val="24"/>
        </w:rPr>
      </w:pPr>
      <w:r w:rsidRPr="0029077C">
        <w:rPr>
          <w:szCs w:val="24"/>
        </w:rPr>
        <w:t>Kurniawan, A. and Wijoyo, S. (2024) 'Leveraging Talent for a Sustainable Future: A Multidisciplinary Examination of Public Sector T</w:t>
      </w:r>
      <w:r w:rsidRPr="0029077C">
        <w:rPr>
          <w:szCs w:val="24"/>
          <w:lang w:eastAsia="en-GB"/>
        </w:rPr>
        <w:t>alent Management</w:t>
      </w:r>
      <w:r w:rsidRPr="0029077C">
        <w:rPr>
          <w:szCs w:val="24"/>
        </w:rPr>
        <w:t xml:space="preserve"> Strategies', </w:t>
      </w:r>
      <w:r w:rsidRPr="0029077C">
        <w:rPr>
          <w:i/>
          <w:iCs/>
          <w:szCs w:val="24"/>
        </w:rPr>
        <w:t>RSF Conference Series: Business, Management and Social Sciences,</w:t>
      </w:r>
      <w:r w:rsidRPr="0029077C">
        <w:rPr>
          <w:szCs w:val="24"/>
        </w:rPr>
        <w:t>4, pp. 42–49(1) Available at: </w:t>
      </w:r>
      <w:hyperlink r:id="rId45" w:tgtFrame="_blank" w:history="1">
        <w:r w:rsidRPr="0029077C">
          <w:rPr>
            <w:rStyle w:val="Hyperlink"/>
            <w:szCs w:val="24"/>
          </w:rPr>
          <w:t>https://doi.org/10.31098/bmss.v4i1.857</w:t>
        </w:r>
      </w:hyperlink>
      <w:r w:rsidRPr="0029077C">
        <w:rPr>
          <w:szCs w:val="24"/>
        </w:rPr>
        <w:t xml:space="preserve">. </w:t>
      </w:r>
    </w:p>
    <w:p w14:paraId="1B4F3D6C" w14:textId="77777777" w:rsidR="009105EC" w:rsidRPr="0029077C" w:rsidRDefault="009105EC" w:rsidP="00BA0BEA">
      <w:pPr>
        <w:pStyle w:val="Uni-Normal"/>
        <w:ind w:left="360" w:hanging="720"/>
        <w:rPr>
          <w:szCs w:val="24"/>
          <w:lang w:eastAsia="en-GB"/>
        </w:rPr>
      </w:pPr>
      <w:r w:rsidRPr="0029077C">
        <w:rPr>
          <w:szCs w:val="24"/>
          <w:lang w:eastAsia="en-GB"/>
        </w:rPr>
        <w:t xml:space="preserve">Local Government Association (2026) </w:t>
      </w:r>
      <w:r w:rsidRPr="0029077C">
        <w:rPr>
          <w:i/>
          <w:iCs/>
          <w:szCs w:val="24"/>
          <w:lang w:eastAsia="en-GB"/>
        </w:rPr>
        <w:t>Local government workforce summary data: Infographic June 2026</w:t>
      </w:r>
      <w:r w:rsidRPr="0029077C">
        <w:rPr>
          <w:szCs w:val="24"/>
          <w:lang w:eastAsia="en-GB"/>
        </w:rPr>
        <w:t xml:space="preserve">. Local Government Association. Available at: </w:t>
      </w:r>
      <w:hyperlink r:id="rId46" w:history="1">
        <w:r w:rsidRPr="0029077C">
          <w:rPr>
            <w:rStyle w:val="Hyperlink"/>
            <w:szCs w:val="24"/>
            <w:lang w:eastAsia="en-GB"/>
          </w:rPr>
          <w:t>https://www.local.gov.uk/sites/default/files/documents/Local%20government%20workforce%20summary%20data%20-%20Infographic%20June%202026.pdf</w:t>
        </w:r>
      </w:hyperlink>
      <w:r w:rsidRPr="0029077C">
        <w:rPr>
          <w:szCs w:val="24"/>
          <w:lang w:eastAsia="en-GB"/>
        </w:rPr>
        <w:t xml:space="preserve">  (Accessed: 2 July 2026). </w:t>
      </w:r>
    </w:p>
    <w:p w14:paraId="49F41EE4" w14:textId="77777777" w:rsidR="009105EC" w:rsidRPr="0029077C" w:rsidRDefault="009105EC" w:rsidP="00015733">
      <w:pPr>
        <w:pStyle w:val="Uni-Normal"/>
        <w:ind w:left="360" w:hanging="720"/>
        <w:rPr>
          <w:szCs w:val="24"/>
          <w:lang w:eastAsia="en-GB"/>
        </w:rPr>
      </w:pPr>
      <w:r w:rsidRPr="0029077C">
        <w:rPr>
          <w:szCs w:val="24"/>
          <w:lang w:eastAsia="en-GB"/>
        </w:rPr>
        <w:lastRenderedPageBreak/>
        <w:t xml:space="preserve">Local Government Association (LGA) (2024) </w:t>
      </w:r>
      <w:r w:rsidRPr="0029077C">
        <w:rPr>
          <w:i/>
          <w:iCs/>
          <w:szCs w:val="24"/>
          <w:lang w:eastAsia="en-GB"/>
        </w:rPr>
        <w:t>Local Government White Paper</w:t>
      </w:r>
      <w:r w:rsidRPr="0029077C">
        <w:rPr>
          <w:szCs w:val="24"/>
          <w:lang w:eastAsia="en-GB"/>
        </w:rPr>
        <w:t xml:space="preserve">. Available at: </w:t>
      </w:r>
      <w:hyperlink r:id="rId47" w:history="1">
        <w:r w:rsidRPr="0029077C">
          <w:rPr>
            <w:rStyle w:val="Hyperlink"/>
            <w:szCs w:val="24"/>
            <w:lang w:eastAsia="en-GB"/>
          </w:rPr>
          <w:t>https://www.local.gov.uk/publications/local-government-white-paper</w:t>
        </w:r>
      </w:hyperlink>
      <w:r w:rsidRPr="0029077C">
        <w:rPr>
          <w:szCs w:val="24"/>
          <w:lang w:eastAsia="en-GB"/>
        </w:rPr>
        <w:t xml:space="preserve">  (Accessed: 3 July 2026).</w:t>
      </w:r>
    </w:p>
    <w:p w14:paraId="3551F5AF" w14:textId="77777777" w:rsidR="009105EC" w:rsidRPr="0029077C" w:rsidRDefault="009105EC" w:rsidP="00295B33">
      <w:pPr>
        <w:pStyle w:val="Uni-Normal"/>
        <w:ind w:left="360" w:hanging="720"/>
        <w:rPr>
          <w:szCs w:val="24"/>
          <w:lang w:eastAsia="en-GB"/>
        </w:rPr>
      </w:pPr>
      <w:r w:rsidRPr="0029077C">
        <w:rPr>
          <w:szCs w:val="24"/>
          <w:lang w:eastAsia="en-GB"/>
        </w:rPr>
        <w:t xml:space="preserve">Local Government Association (n.d.) </w:t>
      </w:r>
      <w:r w:rsidRPr="0029077C">
        <w:rPr>
          <w:i/>
          <w:iCs/>
          <w:szCs w:val="24"/>
          <w:lang w:eastAsia="en-GB"/>
        </w:rPr>
        <w:t>The three dimensions of workforce planning.</w:t>
      </w:r>
      <w:r w:rsidRPr="0029077C">
        <w:rPr>
          <w:szCs w:val="24"/>
          <w:lang w:eastAsia="en-GB"/>
        </w:rPr>
        <w:t xml:space="preserve"> London: LGA. Available at:</w:t>
      </w:r>
      <w:r w:rsidRPr="0029077C">
        <w:rPr>
          <w:szCs w:val="24"/>
          <w:lang w:eastAsia="en-GB"/>
        </w:rPr>
        <w:br/>
      </w:r>
      <w:hyperlink r:id="rId48" w:history="1">
        <w:r w:rsidRPr="0029077C">
          <w:rPr>
            <w:rStyle w:val="Hyperlink"/>
            <w:rFonts w:eastAsia="Times New Roman"/>
            <w:szCs w:val="24"/>
            <w:lang w:eastAsia="en-GB"/>
          </w:rPr>
          <w:t>https://www.local.gov.uk/sites/default/files/documents/three-dimensions-workforc-7fb.pdf</w:t>
        </w:r>
      </w:hyperlink>
      <w:r w:rsidRPr="0029077C">
        <w:rPr>
          <w:szCs w:val="24"/>
          <w:lang w:eastAsia="en-GB"/>
        </w:rPr>
        <w:t xml:space="preserve">  (Accessed: 21 January 2026).</w:t>
      </w:r>
    </w:p>
    <w:p w14:paraId="244B00C9" w14:textId="77777777" w:rsidR="009105EC" w:rsidRPr="0029077C" w:rsidRDefault="009105EC" w:rsidP="00295B33">
      <w:pPr>
        <w:pStyle w:val="Uni-Normal"/>
        <w:ind w:left="360" w:hanging="720"/>
        <w:rPr>
          <w:szCs w:val="24"/>
        </w:rPr>
      </w:pPr>
      <w:r w:rsidRPr="0029077C">
        <w:rPr>
          <w:szCs w:val="24"/>
        </w:rPr>
        <w:t>Madan, S. and Nandan, S. (2024) 'Job Expectations of Gen Z: A Gender-Driven Perspective', </w:t>
      </w:r>
      <w:r w:rsidRPr="0029077C">
        <w:rPr>
          <w:i/>
          <w:iCs/>
          <w:szCs w:val="24"/>
        </w:rPr>
        <w:t>Unnayan: Journal of Management,</w:t>
      </w:r>
      <w:r w:rsidRPr="0029077C">
        <w:rPr>
          <w:szCs w:val="24"/>
        </w:rPr>
        <w:t>16, pp. 1–15(1).</w:t>
      </w:r>
    </w:p>
    <w:p w14:paraId="6C69DA10" w14:textId="77777777" w:rsidR="009105EC" w:rsidRPr="0029077C" w:rsidRDefault="009105EC" w:rsidP="00295B33">
      <w:pPr>
        <w:pStyle w:val="Uni-Normal"/>
        <w:ind w:left="360" w:hanging="720"/>
        <w:rPr>
          <w:szCs w:val="24"/>
          <w:lang w:eastAsia="en-GB"/>
        </w:rPr>
      </w:pPr>
      <w:r w:rsidRPr="0029077C">
        <w:rPr>
          <w:szCs w:val="24"/>
          <w:lang w:eastAsia="en-GB"/>
        </w:rPr>
        <w:t>Makwana, D., Engineer, P., Dabhi, A. and Chudasama, H. (2023) 'Sampling methods in research: A review', </w:t>
      </w:r>
      <w:r w:rsidRPr="0029077C">
        <w:rPr>
          <w:i/>
          <w:iCs/>
          <w:szCs w:val="24"/>
          <w:lang w:eastAsia="en-GB"/>
        </w:rPr>
        <w:t>International Journal of Trend in Scientific Research and Development,</w:t>
      </w:r>
      <w:r w:rsidRPr="0029077C">
        <w:rPr>
          <w:szCs w:val="24"/>
          <w:lang w:eastAsia="en-GB"/>
        </w:rPr>
        <w:t> 7(3), pp. 762–768.</w:t>
      </w:r>
    </w:p>
    <w:p w14:paraId="33DF76BF" w14:textId="77777777" w:rsidR="009105EC" w:rsidRPr="0029077C" w:rsidRDefault="009105EC" w:rsidP="00295B33">
      <w:pPr>
        <w:pStyle w:val="Uni-Normal"/>
        <w:ind w:left="360" w:hanging="720"/>
        <w:rPr>
          <w:szCs w:val="24"/>
        </w:rPr>
      </w:pPr>
      <w:r w:rsidRPr="0029077C">
        <w:rPr>
          <w:szCs w:val="24"/>
        </w:rPr>
        <w:t>Mangan, C., Needham, C., McKenna, D. and Lowther, J. (2024) 'Making a difference? Attracting new generations into local government', </w:t>
      </w:r>
      <w:r w:rsidRPr="0029077C">
        <w:rPr>
          <w:i/>
          <w:iCs/>
          <w:szCs w:val="24"/>
        </w:rPr>
        <w:t>Local government studies,</w:t>
      </w:r>
      <w:r w:rsidRPr="0029077C">
        <w:rPr>
          <w:szCs w:val="24"/>
        </w:rPr>
        <w:t>50(6), pp. 1074–1083. Available at: </w:t>
      </w:r>
      <w:hyperlink r:id="rId49" w:tgtFrame="_blank" w:history="1">
        <w:r w:rsidRPr="0029077C">
          <w:rPr>
            <w:rStyle w:val="Hyperlink"/>
            <w:szCs w:val="24"/>
          </w:rPr>
          <w:t>https://doi.org/10.1080/03003930.2024.2417254</w:t>
        </w:r>
      </w:hyperlink>
      <w:r w:rsidRPr="0029077C">
        <w:rPr>
          <w:szCs w:val="24"/>
        </w:rPr>
        <w:t xml:space="preserve">. </w:t>
      </w:r>
    </w:p>
    <w:p w14:paraId="1EDB5C9F" w14:textId="77777777" w:rsidR="009105EC" w:rsidRPr="0029077C" w:rsidRDefault="009105EC" w:rsidP="00295B33">
      <w:pPr>
        <w:pStyle w:val="Uni-Normal"/>
        <w:ind w:left="360" w:hanging="720"/>
        <w:rPr>
          <w:szCs w:val="24"/>
        </w:rPr>
      </w:pPr>
      <w:bookmarkStart w:id="126" w:name="_Hlk220168842"/>
      <w:r w:rsidRPr="0029077C">
        <w:rPr>
          <w:szCs w:val="24"/>
          <w:lang w:eastAsia="en-GB"/>
        </w:rPr>
        <w:t xml:space="preserve">Marsh McLennan Agency (2024) </w:t>
      </w:r>
      <w:r w:rsidRPr="0029077C">
        <w:rPr>
          <w:i/>
          <w:iCs/>
          <w:szCs w:val="24"/>
          <w:lang w:eastAsia="en-GB"/>
        </w:rPr>
        <w:t>Four Generations in the Workplace, One Workforce</w:t>
      </w:r>
      <w:r w:rsidRPr="0029077C">
        <w:rPr>
          <w:szCs w:val="24"/>
          <w:lang w:eastAsia="en-GB"/>
        </w:rPr>
        <w:t xml:space="preserve">. Available at: </w:t>
      </w:r>
      <w:hyperlink r:id="rId50" w:history="1">
        <w:r w:rsidRPr="0029077C">
          <w:rPr>
            <w:rStyle w:val="Hyperlink"/>
            <w:szCs w:val="24"/>
            <w:lang w:eastAsia="en-GB"/>
          </w:rPr>
          <w:t>https://www.marshmma.com/us/insights/details/generations-in-the-workplace.html</w:t>
        </w:r>
      </w:hyperlink>
      <w:r w:rsidRPr="0029077C">
        <w:rPr>
          <w:szCs w:val="24"/>
          <w:lang w:eastAsia="en-GB"/>
        </w:rPr>
        <w:t xml:space="preserve"> </w:t>
      </w:r>
      <w:r w:rsidRPr="0029077C">
        <w:rPr>
          <w:szCs w:val="24"/>
        </w:rPr>
        <w:t>(Accessed: 9 January 2026).</w:t>
      </w:r>
    </w:p>
    <w:p w14:paraId="607D146E" w14:textId="77777777" w:rsidR="009105EC" w:rsidRPr="0029077C" w:rsidRDefault="009105EC" w:rsidP="00295B33">
      <w:pPr>
        <w:pStyle w:val="Uni-Normal"/>
        <w:ind w:left="360" w:hanging="720"/>
        <w:rPr>
          <w:szCs w:val="24"/>
        </w:rPr>
      </w:pPr>
      <w:r w:rsidRPr="0029077C">
        <w:rPr>
          <w:szCs w:val="24"/>
        </w:rPr>
        <w:t xml:space="preserve">McConnell, M. and Blackburn, S. (2025) </w:t>
      </w:r>
      <w:r w:rsidRPr="0029077C">
        <w:rPr>
          <w:i/>
          <w:iCs/>
          <w:szCs w:val="24"/>
        </w:rPr>
        <w:t>Attracting Gen Z talent into US public service</w:t>
      </w:r>
      <w:r w:rsidRPr="0029077C">
        <w:rPr>
          <w:szCs w:val="24"/>
        </w:rPr>
        <w:t xml:space="preserve">, </w:t>
      </w:r>
      <w:r w:rsidRPr="0029077C">
        <w:rPr>
          <w:i/>
          <w:iCs/>
          <w:szCs w:val="24"/>
        </w:rPr>
        <w:t>McKinsey &amp; Company</w:t>
      </w:r>
      <w:r w:rsidRPr="0029077C">
        <w:rPr>
          <w:szCs w:val="24"/>
        </w:rPr>
        <w:t xml:space="preserve">. Available at: </w:t>
      </w:r>
      <w:hyperlink r:id="rId51" w:history="1">
        <w:r w:rsidRPr="0029077C">
          <w:rPr>
            <w:rStyle w:val="Hyperlink"/>
            <w:szCs w:val="24"/>
          </w:rPr>
          <w:t>https://www.mckinsey.com/industries/public-sector/our-insights/attracting-gen-z-talent-into-us-public-service</w:t>
        </w:r>
      </w:hyperlink>
      <w:r w:rsidRPr="0029077C">
        <w:rPr>
          <w:szCs w:val="24"/>
        </w:rPr>
        <w:t xml:space="preserve">  (Accessed: 2 December 2025).</w:t>
      </w:r>
    </w:p>
    <w:bookmarkEnd w:id="126"/>
    <w:p w14:paraId="3985A38B" w14:textId="77777777" w:rsidR="009105EC" w:rsidRPr="0029077C" w:rsidRDefault="009105EC" w:rsidP="00295B33">
      <w:pPr>
        <w:pStyle w:val="Uni-Normal"/>
        <w:ind w:left="360" w:hanging="720"/>
        <w:rPr>
          <w:szCs w:val="24"/>
          <w:lang w:eastAsia="en-GB"/>
        </w:rPr>
      </w:pPr>
      <w:r w:rsidRPr="0029077C">
        <w:rPr>
          <w:szCs w:val="24"/>
          <w:lang w:eastAsia="en-GB"/>
        </w:rPr>
        <w:t>McEwan, B. (2020) 'Sampling and validity', </w:t>
      </w:r>
      <w:r w:rsidRPr="0029077C">
        <w:rPr>
          <w:i/>
          <w:iCs/>
          <w:szCs w:val="24"/>
          <w:lang w:eastAsia="en-GB"/>
        </w:rPr>
        <w:t>Annals of the International Communication Association,</w:t>
      </w:r>
      <w:r w:rsidRPr="0029077C">
        <w:rPr>
          <w:szCs w:val="24"/>
          <w:lang w:eastAsia="en-GB"/>
        </w:rPr>
        <w:t xml:space="preserve"> 44(3), pp. 235–247. </w:t>
      </w:r>
    </w:p>
    <w:p w14:paraId="56DFCE55" w14:textId="77777777" w:rsidR="009105EC" w:rsidRPr="0029077C" w:rsidRDefault="009105EC" w:rsidP="00295B33">
      <w:pPr>
        <w:pStyle w:val="Uni-Normal"/>
        <w:ind w:left="360" w:hanging="720"/>
        <w:rPr>
          <w:szCs w:val="24"/>
          <w:lang w:eastAsia="en-GB"/>
        </w:rPr>
      </w:pPr>
      <w:r w:rsidRPr="0029077C">
        <w:rPr>
          <w:szCs w:val="24"/>
          <w:lang w:eastAsia="en-GB"/>
        </w:rPr>
        <w:t xml:space="preserve">McKinsey (2024) </w:t>
      </w:r>
      <w:r w:rsidRPr="0029077C">
        <w:rPr>
          <w:i/>
          <w:iCs/>
          <w:szCs w:val="24"/>
          <w:lang w:eastAsia="en-GB"/>
        </w:rPr>
        <w:t>Shaping tomorrow’s talent agenda for the public sector</w:t>
      </w:r>
      <w:r w:rsidRPr="0029077C">
        <w:rPr>
          <w:szCs w:val="24"/>
          <w:lang w:eastAsia="en-GB"/>
        </w:rPr>
        <w:t xml:space="preserve">. Available at: </w:t>
      </w:r>
      <w:hyperlink r:id="rId52" w:history="1">
        <w:r w:rsidRPr="0029077C">
          <w:rPr>
            <w:rStyle w:val="Hyperlink"/>
            <w:rFonts w:eastAsia="Times New Roman"/>
            <w:szCs w:val="24"/>
            <w:lang w:eastAsia="en-GB"/>
          </w:rPr>
          <w:t>https://www.mckinsey.com/industries/public-sector/our-insights/shaping-tomorrows-talent-agenda-for-the-public-sector</w:t>
        </w:r>
      </w:hyperlink>
      <w:r w:rsidRPr="0029077C">
        <w:rPr>
          <w:szCs w:val="24"/>
          <w:lang w:eastAsia="en-GB"/>
        </w:rPr>
        <w:t xml:space="preserve">  (Accessed: 21 January 2026).</w:t>
      </w:r>
    </w:p>
    <w:p w14:paraId="62FB6D9E" w14:textId="77777777" w:rsidR="009105EC" w:rsidRPr="0029077C" w:rsidRDefault="009105EC" w:rsidP="00295B33">
      <w:pPr>
        <w:pStyle w:val="Uni-Normal"/>
        <w:ind w:left="360" w:hanging="720"/>
        <w:rPr>
          <w:szCs w:val="24"/>
        </w:rPr>
      </w:pPr>
      <w:r w:rsidRPr="0029077C">
        <w:rPr>
          <w:szCs w:val="24"/>
        </w:rPr>
        <w:lastRenderedPageBreak/>
        <w:t xml:space="preserve">Mortelmans, D. (2025) </w:t>
      </w:r>
      <w:r w:rsidRPr="0029077C">
        <w:rPr>
          <w:i/>
          <w:iCs/>
          <w:szCs w:val="24"/>
        </w:rPr>
        <w:t>Doing qualitative data analysis with NVivo</w:t>
      </w:r>
      <w:r w:rsidRPr="0029077C">
        <w:rPr>
          <w:szCs w:val="24"/>
        </w:rPr>
        <w:t xml:space="preserve">. Cham: Springer. </w:t>
      </w:r>
      <w:hyperlink r:id="rId53" w:history="1">
        <w:r w:rsidRPr="0029077C">
          <w:rPr>
            <w:rStyle w:val="Hyperlink"/>
            <w:szCs w:val="24"/>
          </w:rPr>
          <w:t>https://doi.org/10.1007/978-3-031-66014-6</w:t>
        </w:r>
      </w:hyperlink>
      <w:r w:rsidRPr="0029077C">
        <w:rPr>
          <w:szCs w:val="24"/>
        </w:rPr>
        <w:t>.</w:t>
      </w:r>
    </w:p>
    <w:p w14:paraId="62A91EF6" w14:textId="77777777" w:rsidR="009105EC" w:rsidRPr="0029077C" w:rsidRDefault="009105EC" w:rsidP="00295B33">
      <w:pPr>
        <w:pStyle w:val="Uni-Normal"/>
        <w:ind w:left="360" w:hanging="720"/>
        <w:rPr>
          <w:szCs w:val="24"/>
          <w:lang w:eastAsia="en-GB"/>
        </w:rPr>
      </w:pPr>
      <w:r w:rsidRPr="0029077C">
        <w:rPr>
          <w:szCs w:val="24"/>
          <w:lang w:eastAsia="en-GB"/>
        </w:rPr>
        <w:t>Nayak, M. and Narayan, K.A. (2019) 'Strengths and weaknesses of online surveys', </w:t>
      </w:r>
      <w:r w:rsidRPr="0029077C">
        <w:rPr>
          <w:i/>
          <w:iCs/>
          <w:szCs w:val="24"/>
          <w:lang w:eastAsia="en-GB"/>
        </w:rPr>
        <w:t>Technology,</w:t>
      </w:r>
      <w:r w:rsidRPr="0029077C">
        <w:rPr>
          <w:szCs w:val="24"/>
          <w:lang w:eastAsia="en-GB"/>
        </w:rPr>
        <w:t> 6(7), pp. 0837–2405053138.</w:t>
      </w:r>
    </w:p>
    <w:p w14:paraId="0D15B809" w14:textId="77777777" w:rsidR="009105EC" w:rsidRPr="0029077C" w:rsidRDefault="009105EC" w:rsidP="00295B33">
      <w:pPr>
        <w:pStyle w:val="Uni-Normal"/>
        <w:ind w:left="360" w:hanging="720"/>
        <w:rPr>
          <w:szCs w:val="24"/>
          <w:lang w:eastAsia="en-GB"/>
        </w:rPr>
      </w:pPr>
      <w:r w:rsidRPr="0029077C">
        <w:rPr>
          <w:szCs w:val="24"/>
          <w:lang w:eastAsia="en-GB"/>
        </w:rPr>
        <w:t xml:space="preserve">Newport City Council (2023) </w:t>
      </w:r>
      <w:r w:rsidRPr="0029077C">
        <w:rPr>
          <w:i/>
          <w:iCs/>
          <w:szCs w:val="24"/>
          <w:lang w:eastAsia="en-GB"/>
        </w:rPr>
        <w:t>PEOPLE PLAN 2023 – 2028</w:t>
      </w:r>
      <w:r w:rsidRPr="0029077C">
        <w:rPr>
          <w:szCs w:val="24"/>
          <w:lang w:eastAsia="en-GB"/>
        </w:rPr>
        <w:t>. Unpublished internal report.</w:t>
      </w:r>
    </w:p>
    <w:p w14:paraId="1541DDA1" w14:textId="77777777" w:rsidR="009105EC" w:rsidRPr="0029077C" w:rsidRDefault="009105EC" w:rsidP="00295B33">
      <w:pPr>
        <w:pStyle w:val="Uni-Normal"/>
        <w:ind w:left="360" w:hanging="720"/>
        <w:rPr>
          <w:szCs w:val="24"/>
          <w:lang w:eastAsia="en-GB"/>
        </w:rPr>
      </w:pPr>
      <w:r w:rsidRPr="0029077C">
        <w:rPr>
          <w:szCs w:val="24"/>
          <w:lang w:eastAsia="en-GB"/>
        </w:rPr>
        <w:t xml:space="preserve">Newport City Council (2025) </w:t>
      </w:r>
      <w:r w:rsidRPr="0029077C">
        <w:rPr>
          <w:i/>
          <w:iCs/>
          <w:szCs w:val="24"/>
          <w:lang w:eastAsia="en-GB"/>
        </w:rPr>
        <w:t>Ages and continuous service</w:t>
      </w:r>
      <w:r w:rsidRPr="0029077C">
        <w:rPr>
          <w:szCs w:val="24"/>
          <w:lang w:eastAsia="en-GB"/>
        </w:rPr>
        <w:t>. Unpublished internal report.</w:t>
      </w:r>
    </w:p>
    <w:p w14:paraId="1AE03159" w14:textId="77777777" w:rsidR="009105EC" w:rsidRPr="0029077C" w:rsidRDefault="009105EC" w:rsidP="00295B33">
      <w:pPr>
        <w:pStyle w:val="Uni-Normal"/>
        <w:ind w:left="360" w:hanging="720"/>
        <w:rPr>
          <w:szCs w:val="24"/>
          <w:lang w:eastAsia="en-GB"/>
        </w:rPr>
      </w:pPr>
      <w:r w:rsidRPr="0029077C">
        <w:rPr>
          <w:szCs w:val="24"/>
          <w:lang w:eastAsia="en-GB"/>
        </w:rPr>
        <w:t xml:space="preserve">Newport City Council (n.d.) </w:t>
      </w:r>
      <w:r w:rsidRPr="0029077C">
        <w:rPr>
          <w:i/>
          <w:iCs/>
          <w:szCs w:val="24"/>
          <w:lang w:eastAsia="en-GB"/>
        </w:rPr>
        <w:t>Strategic Plan for Procurement 2020–2024</w:t>
      </w:r>
      <w:r w:rsidRPr="0029077C">
        <w:rPr>
          <w:szCs w:val="24"/>
          <w:lang w:eastAsia="en-GB"/>
        </w:rPr>
        <w:t xml:space="preserve">. Available at: </w:t>
      </w:r>
      <w:hyperlink r:id="rId54" w:history="1">
        <w:r w:rsidRPr="0029077C">
          <w:rPr>
            <w:rStyle w:val="Hyperlink"/>
            <w:szCs w:val="24"/>
            <w:lang w:eastAsia="en-GB"/>
          </w:rPr>
          <w:t>https://www.newport.gov.uk/sites/default/files/media/media-documents/Procurement%20Strategy%202020-24_2.pdf</w:t>
        </w:r>
      </w:hyperlink>
      <w:r w:rsidRPr="0029077C">
        <w:rPr>
          <w:szCs w:val="24"/>
          <w:lang w:eastAsia="en-GB"/>
        </w:rPr>
        <w:t xml:space="preserve">  (Accessed: 28 August 2025).</w:t>
      </w:r>
    </w:p>
    <w:p w14:paraId="25D1DE3A" w14:textId="77777777" w:rsidR="009105EC" w:rsidRPr="0029077C" w:rsidRDefault="009105EC" w:rsidP="001C552D">
      <w:pPr>
        <w:pStyle w:val="Uni-Normal"/>
        <w:ind w:left="360" w:hanging="720"/>
        <w:rPr>
          <w:szCs w:val="24"/>
        </w:rPr>
      </w:pPr>
      <w:r w:rsidRPr="0029077C">
        <w:rPr>
          <w:szCs w:val="24"/>
        </w:rPr>
        <w:t>Nieżurawska-Zając, J., Kycia, R.A. and Niemczynowicz, A. (2023) </w:t>
      </w:r>
      <w:r w:rsidRPr="0029077C">
        <w:rPr>
          <w:i/>
          <w:iCs/>
          <w:szCs w:val="24"/>
        </w:rPr>
        <w:t>Managing Gen Z: Motivation, Engagement and Loyalty.</w:t>
      </w:r>
      <w:r w:rsidRPr="0029077C">
        <w:rPr>
          <w:szCs w:val="24"/>
        </w:rPr>
        <w:t xml:space="preserve"> Taylor &amp; Francis.</w:t>
      </w:r>
    </w:p>
    <w:p w14:paraId="7F472810" w14:textId="77777777" w:rsidR="009105EC" w:rsidRPr="0029077C" w:rsidRDefault="009105EC" w:rsidP="00295B33">
      <w:pPr>
        <w:pStyle w:val="Uni-Normal"/>
        <w:ind w:left="360" w:hanging="720"/>
        <w:rPr>
          <w:szCs w:val="24"/>
        </w:rPr>
      </w:pPr>
      <w:r w:rsidRPr="0029077C">
        <w:rPr>
          <w:szCs w:val="24"/>
        </w:rPr>
        <w:t>OECD (2021) Ageing and T</w:t>
      </w:r>
      <w:r w:rsidRPr="0029077C">
        <w:rPr>
          <w:szCs w:val="24"/>
          <w:lang w:eastAsia="en-GB"/>
        </w:rPr>
        <w:t>alent Management</w:t>
      </w:r>
      <w:r w:rsidRPr="0029077C">
        <w:rPr>
          <w:szCs w:val="24"/>
        </w:rPr>
        <w:t xml:space="preserve"> in European public administrations: A report prepared by the OECD for the Slovenian Presidency of the Council of the European Union. Paris: OECD Publishing. Available at: </w:t>
      </w:r>
      <w:hyperlink r:id="rId55" w:history="1">
        <w:r w:rsidRPr="0029077C">
          <w:rPr>
            <w:rStyle w:val="Hyperlink"/>
            <w:szCs w:val="24"/>
          </w:rPr>
          <w:t>https://www.eipa.eu/wp-content/uploads/2022/04/Ageing-and-talent-management-in-European-pub-admin_OECD-Slovenia.pdf</w:t>
        </w:r>
      </w:hyperlink>
      <w:r w:rsidRPr="0029077C">
        <w:rPr>
          <w:szCs w:val="24"/>
        </w:rPr>
        <w:t xml:space="preserve">  (Accessed: 22 May 2026).</w:t>
      </w:r>
    </w:p>
    <w:p w14:paraId="67D8FB93" w14:textId="77777777" w:rsidR="009105EC" w:rsidRPr="0029077C" w:rsidRDefault="009105EC" w:rsidP="00295B33">
      <w:pPr>
        <w:pStyle w:val="Uni-Normal"/>
        <w:ind w:left="360" w:hanging="720"/>
        <w:rPr>
          <w:szCs w:val="24"/>
        </w:rPr>
      </w:pPr>
      <w:r w:rsidRPr="0029077C">
        <w:rPr>
          <w:szCs w:val="24"/>
        </w:rPr>
        <w:t xml:space="preserve">Office for National Statistics (2023) </w:t>
      </w:r>
      <w:r w:rsidRPr="0029077C">
        <w:rPr>
          <w:i/>
          <w:iCs/>
          <w:szCs w:val="24"/>
        </w:rPr>
        <w:t>How life has changed in Newport: Census 2021.</w:t>
      </w:r>
      <w:r w:rsidRPr="0029077C">
        <w:rPr>
          <w:szCs w:val="24"/>
        </w:rPr>
        <w:t xml:space="preserve"> Available at: </w:t>
      </w:r>
      <w:hyperlink r:id="rId56" w:history="1">
        <w:r w:rsidRPr="0029077C">
          <w:rPr>
            <w:rStyle w:val="Hyperlink"/>
            <w:szCs w:val="24"/>
          </w:rPr>
          <w:t>https://www.ons.gov.uk/visualisations/censusareachanges/W06000022/</w:t>
        </w:r>
      </w:hyperlink>
      <w:r w:rsidRPr="0029077C">
        <w:rPr>
          <w:szCs w:val="24"/>
        </w:rPr>
        <w:t xml:space="preserve">  (Accessed: 4 June 2026).</w:t>
      </w:r>
    </w:p>
    <w:p w14:paraId="0A3829B8" w14:textId="77777777" w:rsidR="009105EC" w:rsidRPr="0029077C" w:rsidRDefault="009105EC" w:rsidP="00295B33">
      <w:pPr>
        <w:pStyle w:val="Uni-Normal"/>
        <w:ind w:left="360" w:hanging="720"/>
        <w:rPr>
          <w:color w:val="000000"/>
          <w:szCs w:val="24"/>
        </w:rPr>
      </w:pPr>
      <w:r w:rsidRPr="0029077C">
        <w:rPr>
          <w:color w:val="000000"/>
          <w:szCs w:val="24"/>
        </w:rPr>
        <w:t>Oliver, C. (1997) 'Sustainable competitive advantage: combining institutional and resource-based views', </w:t>
      </w:r>
      <w:r w:rsidRPr="0029077C">
        <w:rPr>
          <w:i/>
          <w:iCs/>
          <w:color w:val="000000"/>
          <w:szCs w:val="24"/>
        </w:rPr>
        <w:t>Strategic Management Journal,</w:t>
      </w:r>
      <w:r w:rsidRPr="0029077C">
        <w:rPr>
          <w:color w:val="000000"/>
          <w:szCs w:val="24"/>
        </w:rPr>
        <w:t>18, pp. 697–713(9) Available at: </w:t>
      </w:r>
      <w:hyperlink r:id="rId57" w:tgtFrame="_blank" w:history="1">
        <w:r w:rsidRPr="0029077C">
          <w:rPr>
            <w:rStyle w:val="Hyperlink"/>
            <w:rFonts w:eastAsiaTheme="majorEastAsia"/>
            <w:color w:val="0066CC"/>
            <w:szCs w:val="24"/>
          </w:rPr>
          <w:t>https://doi.org/10.1002/(SICI)1097-0266(199710)18:9</w:t>
        </w:r>
      </w:hyperlink>
      <w:r w:rsidRPr="0029077C">
        <w:rPr>
          <w:color w:val="000000"/>
          <w:szCs w:val="24"/>
        </w:rPr>
        <w:t>.</w:t>
      </w:r>
    </w:p>
    <w:p w14:paraId="27A5403A" w14:textId="77777777" w:rsidR="009105EC" w:rsidRPr="0029077C" w:rsidRDefault="009105EC" w:rsidP="00295B33">
      <w:pPr>
        <w:pStyle w:val="Uni-Normal"/>
        <w:ind w:left="360" w:hanging="720"/>
        <w:rPr>
          <w:szCs w:val="24"/>
          <w:lang w:eastAsia="en-GB"/>
        </w:rPr>
      </w:pPr>
      <w:r w:rsidRPr="0029077C">
        <w:rPr>
          <w:szCs w:val="24"/>
          <w:lang w:eastAsia="en-GB"/>
        </w:rPr>
        <w:t xml:space="preserve">Open University (2024) </w:t>
      </w:r>
      <w:r w:rsidRPr="0029077C">
        <w:rPr>
          <w:i/>
          <w:iCs/>
          <w:szCs w:val="24"/>
          <w:lang w:eastAsia="en-GB"/>
        </w:rPr>
        <w:t>Mind the gap: employers and Gen Z out of sync on skills</w:t>
      </w:r>
      <w:r w:rsidRPr="0029077C">
        <w:rPr>
          <w:szCs w:val="24"/>
          <w:lang w:eastAsia="en-GB"/>
        </w:rPr>
        <w:t xml:space="preserve">. Available at: </w:t>
      </w:r>
      <w:hyperlink r:id="rId58" w:history="1">
        <w:r w:rsidRPr="0029077C">
          <w:rPr>
            <w:rStyle w:val="Hyperlink"/>
            <w:szCs w:val="24"/>
            <w:lang w:eastAsia="en-GB"/>
          </w:rPr>
          <w:t>https://university.open.ac.uk/wales/en/news/mind-gap-employers-and-gen-z-out-sync-skills</w:t>
        </w:r>
      </w:hyperlink>
      <w:r w:rsidRPr="0029077C">
        <w:rPr>
          <w:szCs w:val="24"/>
          <w:lang w:eastAsia="en-GB"/>
        </w:rPr>
        <w:t xml:space="preserve"> (Accessed: 13 February 2026).</w:t>
      </w:r>
    </w:p>
    <w:p w14:paraId="099DB662" w14:textId="77777777" w:rsidR="009105EC" w:rsidRPr="0029077C" w:rsidRDefault="009105EC" w:rsidP="00295B33">
      <w:pPr>
        <w:pStyle w:val="Uni-Normal"/>
        <w:ind w:left="360" w:hanging="720"/>
        <w:rPr>
          <w:szCs w:val="24"/>
        </w:rPr>
      </w:pPr>
      <w:r w:rsidRPr="0029077C">
        <w:rPr>
          <w:szCs w:val="24"/>
        </w:rPr>
        <w:lastRenderedPageBreak/>
        <w:t>Pandita, D. (2022) 'Innovation in T</w:t>
      </w:r>
      <w:r w:rsidRPr="0029077C">
        <w:rPr>
          <w:szCs w:val="24"/>
          <w:lang w:eastAsia="en-GB"/>
        </w:rPr>
        <w:t xml:space="preserve">alent Management </w:t>
      </w:r>
      <w:r w:rsidRPr="0029077C">
        <w:rPr>
          <w:szCs w:val="24"/>
        </w:rPr>
        <w:t>practices: creating an innovative employer branding strategy to attract Gen Z', </w:t>
      </w:r>
      <w:r w:rsidRPr="0029077C">
        <w:rPr>
          <w:i/>
          <w:iCs/>
          <w:szCs w:val="24"/>
        </w:rPr>
        <w:t>International Journal of Innovation Science,</w:t>
      </w:r>
      <w:r w:rsidRPr="0029077C">
        <w:rPr>
          <w:szCs w:val="24"/>
        </w:rPr>
        <w:t>14(3/4) Available at: </w:t>
      </w:r>
      <w:hyperlink r:id="rId59" w:tgtFrame="_blank" w:history="1">
        <w:r w:rsidRPr="0029077C">
          <w:rPr>
            <w:rStyle w:val="Hyperlink"/>
            <w:szCs w:val="24"/>
          </w:rPr>
          <w:t>https://doi.org/10.1108/IJIS-10-2020-0217</w:t>
        </w:r>
      </w:hyperlink>
      <w:r w:rsidRPr="0029077C">
        <w:rPr>
          <w:szCs w:val="24"/>
        </w:rPr>
        <w:t>.</w:t>
      </w:r>
    </w:p>
    <w:p w14:paraId="026A81C1" w14:textId="77777777" w:rsidR="009105EC" w:rsidRPr="0029077C" w:rsidRDefault="009105EC" w:rsidP="00295B33">
      <w:pPr>
        <w:pStyle w:val="Uni-Normal"/>
        <w:ind w:left="360" w:hanging="720"/>
        <w:rPr>
          <w:szCs w:val="24"/>
          <w:lang w:eastAsia="en-GB"/>
        </w:rPr>
      </w:pPr>
      <w:r w:rsidRPr="0029077C">
        <w:rPr>
          <w:szCs w:val="24"/>
        </w:rPr>
        <w:t xml:space="preserve">Patrick, M. (2020) </w:t>
      </w:r>
      <w:r w:rsidRPr="0029077C">
        <w:rPr>
          <w:i/>
          <w:iCs/>
          <w:szCs w:val="24"/>
        </w:rPr>
        <w:t>Surveys: Introduction to Jisc Online Surveys and Microsoft Forms.</w:t>
      </w:r>
      <w:r w:rsidRPr="0029077C">
        <w:rPr>
          <w:szCs w:val="24"/>
        </w:rPr>
        <w:t xml:space="preserve"> University of Oxford IT Services.</w:t>
      </w:r>
    </w:p>
    <w:p w14:paraId="4B008CC6" w14:textId="77777777" w:rsidR="009105EC" w:rsidRPr="0029077C" w:rsidRDefault="009105EC" w:rsidP="00295B33">
      <w:pPr>
        <w:pStyle w:val="Uni-Normal"/>
        <w:ind w:left="360" w:hanging="720"/>
        <w:rPr>
          <w:szCs w:val="24"/>
          <w:lang w:eastAsia="en-GB"/>
        </w:rPr>
      </w:pPr>
      <w:r w:rsidRPr="0029077C">
        <w:rPr>
          <w:szCs w:val="24"/>
          <w:lang w:eastAsia="en-GB"/>
        </w:rPr>
        <w:t>Pretorius, L. (2024) 'Demystifying research paradigms: Navigating ontology, epistemology and axiology in research', </w:t>
      </w:r>
      <w:r w:rsidRPr="0029077C">
        <w:rPr>
          <w:i/>
          <w:iCs/>
          <w:szCs w:val="24"/>
          <w:lang w:eastAsia="en-GB"/>
        </w:rPr>
        <w:t>The Qualitative Report,</w:t>
      </w:r>
      <w:r w:rsidRPr="0029077C">
        <w:rPr>
          <w:szCs w:val="24"/>
          <w:lang w:eastAsia="en-GB"/>
        </w:rPr>
        <w:t> 29(10), pp. 2698–2715.</w:t>
      </w:r>
    </w:p>
    <w:p w14:paraId="6F256298" w14:textId="77777777" w:rsidR="009105EC" w:rsidRPr="0029077C" w:rsidRDefault="009105EC" w:rsidP="00265AAC">
      <w:pPr>
        <w:pStyle w:val="Uni-Normal"/>
        <w:ind w:left="360" w:hanging="720"/>
        <w:rPr>
          <w:szCs w:val="24"/>
        </w:rPr>
      </w:pPr>
      <w:r w:rsidRPr="0029077C">
        <w:rPr>
          <w:szCs w:val="24"/>
          <w:lang w:eastAsia="en-GB"/>
        </w:rPr>
        <w:t xml:space="preserve">Public Services Staff Commission (2017) </w:t>
      </w:r>
      <w:r w:rsidRPr="0029077C">
        <w:rPr>
          <w:i/>
          <w:iCs/>
          <w:szCs w:val="24"/>
          <w:lang w:eastAsia="en-GB"/>
        </w:rPr>
        <w:t>Principles and guidance to support joint workforce planning in public services in Wales</w:t>
      </w:r>
      <w:r w:rsidRPr="0029077C">
        <w:rPr>
          <w:szCs w:val="24"/>
          <w:lang w:eastAsia="en-GB"/>
        </w:rPr>
        <w:t xml:space="preserve">. Cardiff: Welsh Government. Available at: </w:t>
      </w:r>
      <w:hyperlink r:id="rId60" w:history="1">
        <w:r w:rsidRPr="0029077C">
          <w:rPr>
            <w:rStyle w:val="Hyperlink"/>
            <w:szCs w:val="24"/>
          </w:rPr>
          <w:t>https://www.gov.wales/sites/default/files/publications/2019-03/principles-guidance-to-support-joint-workforce-planning.pdf</w:t>
        </w:r>
      </w:hyperlink>
      <w:r w:rsidRPr="0029077C">
        <w:rPr>
          <w:szCs w:val="24"/>
        </w:rPr>
        <w:t xml:space="preserve"> </w:t>
      </w:r>
      <w:r w:rsidRPr="0029077C">
        <w:rPr>
          <w:szCs w:val="24"/>
          <w:lang w:eastAsia="en-GB"/>
        </w:rPr>
        <w:t xml:space="preserve"> (Accessed: 12 February 2026).</w:t>
      </w:r>
    </w:p>
    <w:p w14:paraId="084449D3" w14:textId="77777777" w:rsidR="009105EC" w:rsidRPr="0029077C" w:rsidRDefault="009105EC" w:rsidP="00295B33">
      <w:pPr>
        <w:pStyle w:val="Uni-Normal"/>
        <w:ind w:left="360" w:hanging="720"/>
        <w:rPr>
          <w:szCs w:val="24"/>
          <w:lang w:eastAsia="en-GB"/>
        </w:rPr>
      </w:pPr>
      <w:r w:rsidRPr="0029077C">
        <w:rPr>
          <w:szCs w:val="24"/>
          <w:lang w:eastAsia="en-GB"/>
        </w:rPr>
        <w:t xml:space="preserve">Reynolds, A. (2025) </w:t>
      </w:r>
      <w:r w:rsidRPr="0029077C">
        <w:rPr>
          <w:i/>
          <w:iCs/>
          <w:szCs w:val="24"/>
          <w:lang w:eastAsia="en-GB"/>
        </w:rPr>
        <w:t>Market Research with Gen Z | 4 Things You Need to Know</w:t>
      </w:r>
      <w:r w:rsidRPr="0029077C">
        <w:rPr>
          <w:szCs w:val="24"/>
          <w:lang w:eastAsia="en-GB"/>
        </w:rPr>
        <w:t xml:space="preserve">. Available at: </w:t>
      </w:r>
      <w:hyperlink r:id="rId61" w:history="1">
        <w:r w:rsidRPr="0029077C">
          <w:rPr>
            <w:rStyle w:val="Hyperlink"/>
            <w:rFonts w:eastAsia="Times New Roman"/>
            <w:szCs w:val="24"/>
            <w:lang w:eastAsia="en-GB"/>
          </w:rPr>
          <w:t>https://www.driveresearch.com/market-research-company-blog/market-research-with-generation-z/</w:t>
        </w:r>
      </w:hyperlink>
      <w:r w:rsidRPr="0029077C">
        <w:rPr>
          <w:szCs w:val="24"/>
          <w:lang w:eastAsia="en-GB"/>
        </w:rPr>
        <w:t>. (Accessed: 25 February 2026).</w:t>
      </w:r>
    </w:p>
    <w:p w14:paraId="3ED0C6A5" w14:textId="77777777" w:rsidR="009105EC" w:rsidRPr="0029077C" w:rsidRDefault="009105EC" w:rsidP="00295B33">
      <w:pPr>
        <w:pStyle w:val="Uni-Normal"/>
        <w:ind w:left="360" w:hanging="720"/>
        <w:rPr>
          <w:szCs w:val="24"/>
        </w:rPr>
      </w:pPr>
      <w:r w:rsidRPr="0029077C">
        <w:rPr>
          <w:szCs w:val="24"/>
        </w:rPr>
        <w:t xml:space="preserve">Romero, D. (2025) </w:t>
      </w:r>
      <w:r w:rsidRPr="0029077C">
        <w:rPr>
          <w:i/>
          <w:iCs/>
          <w:szCs w:val="24"/>
        </w:rPr>
        <w:t>Young UK workers more eager for office return than older staff</w:t>
      </w:r>
      <w:r w:rsidRPr="0029077C">
        <w:rPr>
          <w:szCs w:val="24"/>
        </w:rPr>
        <w:t xml:space="preserve">, </w:t>
      </w:r>
      <w:r w:rsidRPr="0029077C">
        <w:rPr>
          <w:i/>
          <w:iCs/>
          <w:szCs w:val="24"/>
        </w:rPr>
        <w:t>Staffing Industry Analysts (SIA)</w:t>
      </w:r>
      <w:r w:rsidRPr="0029077C">
        <w:rPr>
          <w:szCs w:val="24"/>
        </w:rPr>
        <w:t xml:space="preserve">. Available at: </w:t>
      </w:r>
      <w:hyperlink r:id="rId62" w:history="1">
        <w:r w:rsidRPr="0029077C">
          <w:rPr>
            <w:rStyle w:val="Hyperlink"/>
            <w:szCs w:val="24"/>
          </w:rPr>
          <w:t>https://www.staffingindustry.com/news/global-daily-news/young-uk-workers-more-eager-for-office-return-than-older-staff</w:t>
        </w:r>
      </w:hyperlink>
      <w:r w:rsidRPr="0029077C">
        <w:rPr>
          <w:szCs w:val="24"/>
        </w:rPr>
        <w:t xml:space="preserve"> (Accessed: 25 November 2025).</w:t>
      </w:r>
    </w:p>
    <w:p w14:paraId="6A617B1C" w14:textId="77777777" w:rsidR="009105EC" w:rsidRPr="0029077C" w:rsidRDefault="009105EC" w:rsidP="00295B33">
      <w:pPr>
        <w:pStyle w:val="Uni-Normal"/>
        <w:ind w:left="360" w:hanging="720"/>
        <w:rPr>
          <w:szCs w:val="24"/>
          <w:lang w:eastAsia="en-GB"/>
        </w:rPr>
      </w:pPr>
      <w:r w:rsidRPr="0029077C">
        <w:rPr>
          <w:szCs w:val="24"/>
          <w:lang w:eastAsia="en-GB"/>
        </w:rPr>
        <w:t xml:space="preserve">Roy, G.S. and Devi, V.R. (2017) ‘Inclusive vs exclusive approach to Talent Management: a review agenda’, </w:t>
      </w:r>
      <w:r w:rsidRPr="0029077C">
        <w:rPr>
          <w:i/>
          <w:iCs/>
          <w:szCs w:val="24"/>
          <w:lang w:eastAsia="en-GB"/>
        </w:rPr>
        <w:t>IPE Journal of Management</w:t>
      </w:r>
      <w:r w:rsidRPr="0029077C">
        <w:rPr>
          <w:szCs w:val="24"/>
          <w:lang w:eastAsia="en-GB"/>
        </w:rPr>
        <w:t xml:space="preserve">, 7(2), pp. 77–97. Available at: </w:t>
      </w:r>
      <w:hyperlink r:id="rId63" w:history="1">
        <w:r w:rsidRPr="0029077C">
          <w:rPr>
            <w:rStyle w:val="Hyperlink"/>
            <w:szCs w:val="24"/>
            <w:lang w:eastAsia="en-GB"/>
          </w:rPr>
          <w:t>https://www.proquest.com/scholarly-journals/inclusive-vs-exclusive-approach-talent-management/docview/2234979737/se-2?accountid=130472</w:t>
        </w:r>
      </w:hyperlink>
      <w:r w:rsidRPr="0029077C">
        <w:rPr>
          <w:szCs w:val="24"/>
          <w:lang w:eastAsia="en-GB"/>
        </w:rPr>
        <w:t xml:space="preserve">. </w:t>
      </w:r>
    </w:p>
    <w:p w14:paraId="38BCD2D7" w14:textId="77777777" w:rsidR="009105EC" w:rsidRPr="0029077C" w:rsidRDefault="009105EC" w:rsidP="00295B33">
      <w:pPr>
        <w:pStyle w:val="Uni-Normal"/>
        <w:ind w:left="360" w:hanging="720"/>
        <w:rPr>
          <w:szCs w:val="24"/>
        </w:rPr>
      </w:pPr>
      <w:r w:rsidRPr="0029077C">
        <w:rPr>
          <w:szCs w:val="24"/>
        </w:rPr>
        <w:t>Rzemieniak, M. and Wawer, M. (2021) 'Employer Branding in the Context of the Company’s Sustainable Development Strategy from the Perspective of Gender Diversity of Gen Z', </w:t>
      </w:r>
      <w:r w:rsidRPr="0029077C">
        <w:rPr>
          <w:i/>
          <w:iCs/>
          <w:szCs w:val="24"/>
        </w:rPr>
        <w:t>Sustainability,</w:t>
      </w:r>
      <w:r w:rsidRPr="0029077C">
        <w:rPr>
          <w:szCs w:val="24"/>
        </w:rPr>
        <w:t>13, pp. 828(2) Available at: </w:t>
      </w:r>
      <w:hyperlink r:id="rId64" w:tgtFrame="_blank" w:history="1">
        <w:r w:rsidRPr="0029077C">
          <w:rPr>
            <w:rStyle w:val="Hyperlink"/>
            <w:szCs w:val="24"/>
          </w:rPr>
          <w:t>https://doi.org/10.3390/su13020828</w:t>
        </w:r>
      </w:hyperlink>
      <w:r w:rsidRPr="0029077C">
        <w:rPr>
          <w:szCs w:val="24"/>
        </w:rPr>
        <w:t xml:space="preserve">. </w:t>
      </w:r>
    </w:p>
    <w:p w14:paraId="3EF14AA3" w14:textId="77777777" w:rsidR="009105EC" w:rsidRPr="0029077C" w:rsidRDefault="009105EC" w:rsidP="00295B33">
      <w:pPr>
        <w:pStyle w:val="Uni-Normal"/>
        <w:ind w:left="360" w:hanging="720"/>
        <w:rPr>
          <w:szCs w:val="24"/>
        </w:rPr>
      </w:pPr>
      <w:r w:rsidRPr="0029077C">
        <w:rPr>
          <w:szCs w:val="24"/>
        </w:rPr>
        <w:t xml:space="preserve">Saunders, M.N.K., Lewis, P. and Thornhill, A. (2016) </w:t>
      </w:r>
      <w:r w:rsidRPr="0029077C">
        <w:rPr>
          <w:i/>
          <w:iCs/>
          <w:szCs w:val="24"/>
        </w:rPr>
        <w:t>Research methods for business students</w:t>
      </w:r>
      <w:r w:rsidRPr="0029077C">
        <w:rPr>
          <w:szCs w:val="24"/>
        </w:rPr>
        <w:t>. 7th edn. Harlow: Pearson Education Limited.</w:t>
      </w:r>
    </w:p>
    <w:p w14:paraId="49C92276" w14:textId="77777777" w:rsidR="009105EC" w:rsidRPr="0029077C" w:rsidRDefault="009105EC" w:rsidP="00295B33">
      <w:pPr>
        <w:pStyle w:val="Uni-Normal"/>
        <w:ind w:left="360" w:hanging="720"/>
        <w:rPr>
          <w:szCs w:val="24"/>
        </w:rPr>
      </w:pPr>
      <w:r w:rsidRPr="0029077C">
        <w:rPr>
          <w:szCs w:val="24"/>
        </w:rPr>
        <w:lastRenderedPageBreak/>
        <w:t>Schroth, H. (2019) 'Are You Ready for Gen Z in the Workplace?', </w:t>
      </w:r>
      <w:r w:rsidRPr="0029077C">
        <w:rPr>
          <w:i/>
          <w:iCs/>
          <w:szCs w:val="24"/>
        </w:rPr>
        <w:t>California management review,</w:t>
      </w:r>
      <w:r w:rsidRPr="0029077C">
        <w:rPr>
          <w:szCs w:val="24"/>
        </w:rPr>
        <w:t>61, pp. 5–18(3) Available at: </w:t>
      </w:r>
      <w:hyperlink r:id="rId65" w:tgtFrame="_blank" w:history="1">
        <w:r w:rsidRPr="0029077C">
          <w:rPr>
            <w:rStyle w:val="Hyperlink"/>
            <w:szCs w:val="24"/>
          </w:rPr>
          <w:t>https://doi.org/10.1177/0008125619841006</w:t>
        </w:r>
      </w:hyperlink>
      <w:r w:rsidRPr="0029077C">
        <w:rPr>
          <w:szCs w:val="24"/>
        </w:rPr>
        <w:t xml:space="preserve">. </w:t>
      </w:r>
    </w:p>
    <w:p w14:paraId="443BDB23" w14:textId="77777777" w:rsidR="009105EC" w:rsidRPr="0029077C" w:rsidRDefault="009105EC" w:rsidP="00295B33">
      <w:pPr>
        <w:pStyle w:val="Uni-Normal"/>
        <w:ind w:left="360" w:hanging="720"/>
        <w:rPr>
          <w:szCs w:val="24"/>
          <w:lang w:eastAsia="en-GB"/>
        </w:rPr>
      </w:pPr>
      <w:r w:rsidRPr="0029077C">
        <w:rPr>
          <w:szCs w:val="24"/>
          <w:lang w:eastAsia="en-GB"/>
        </w:rPr>
        <w:t xml:space="preserve">Shinde, O. and Surve, M. (2025) ‘Understanding Gen Z in the workplace: Adapting organisational strategies for a new era of work’, </w:t>
      </w:r>
      <w:r w:rsidRPr="0029077C">
        <w:rPr>
          <w:i/>
          <w:iCs/>
          <w:szCs w:val="24"/>
          <w:lang w:eastAsia="en-GB"/>
        </w:rPr>
        <w:t>International Journal of Science and Research (IJSR)</w:t>
      </w:r>
      <w:r w:rsidRPr="0029077C">
        <w:rPr>
          <w:szCs w:val="24"/>
          <w:lang w:eastAsia="en-GB"/>
        </w:rPr>
        <w:t xml:space="preserve">, 14(3), pp. 789–797.  </w:t>
      </w:r>
    </w:p>
    <w:p w14:paraId="4752B87D" w14:textId="77777777" w:rsidR="009105EC" w:rsidRPr="0029077C" w:rsidRDefault="009105EC" w:rsidP="00295B33">
      <w:pPr>
        <w:pStyle w:val="Uni-Normal"/>
        <w:ind w:left="360" w:hanging="720"/>
        <w:rPr>
          <w:szCs w:val="24"/>
          <w:lang w:eastAsia="en-GB"/>
        </w:rPr>
      </w:pPr>
      <w:r w:rsidRPr="0029077C">
        <w:rPr>
          <w:szCs w:val="24"/>
          <w:lang w:eastAsia="en-GB"/>
        </w:rPr>
        <w:t>Shiyab, W., Ferguson, C., Rolls, K. and Halcomb, E. (2023) 'Solutions to address low response rates in online surveys', </w:t>
      </w:r>
      <w:r w:rsidRPr="0029077C">
        <w:rPr>
          <w:i/>
          <w:iCs/>
          <w:szCs w:val="24"/>
          <w:lang w:eastAsia="en-GB"/>
        </w:rPr>
        <w:t>European Journal of Cardiovascular Nursing,</w:t>
      </w:r>
      <w:r w:rsidRPr="0029077C">
        <w:rPr>
          <w:szCs w:val="24"/>
          <w:lang w:eastAsia="en-GB"/>
        </w:rPr>
        <w:t> 22(4), pp. 441–444.</w:t>
      </w:r>
    </w:p>
    <w:p w14:paraId="4B7C6708" w14:textId="77777777" w:rsidR="009105EC" w:rsidRPr="0029077C" w:rsidRDefault="009105EC" w:rsidP="002D4B62">
      <w:pPr>
        <w:pStyle w:val="Uni-Normal"/>
        <w:ind w:left="360" w:hanging="720"/>
        <w:rPr>
          <w:i/>
          <w:iCs/>
          <w:szCs w:val="24"/>
        </w:rPr>
      </w:pPr>
      <w:r w:rsidRPr="0029077C">
        <w:rPr>
          <w:szCs w:val="24"/>
        </w:rPr>
        <w:t xml:space="preserve">Silicon UK (2024) </w:t>
      </w:r>
      <w:r w:rsidRPr="0029077C">
        <w:rPr>
          <w:i/>
          <w:iCs/>
          <w:szCs w:val="24"/>
        </w:rPr>
        <w:t xml:space="preserve">New Research Finds 65% of Gen Z is Eager for Professional Development and Career Growth, Challenging Stereotypes Toward Newest Members of the Workforce </w:t>
      </w:r>
      <w:r w:rsidRPr="0029077C">
        <w:rPr>
          <w:szCs w:val="24"/>
        </w:rPr>
        <w:t xml:space="preserve">Available at: </w:t>
      </w:r>
      <w:hyperlink r:id="rId66" w:history="1">
        <w:r w:rsidRPr="0029077C">
          <w:rPr>
            <w:rStyle w:val="Hyperlink"/>
            <w:szCs w:val="24"/>
          </w:rPr>
          <w:t>https://www.silicon.co.uk/press-release/new-research-finds-65-of-generation-z-is-eager-for-professional-development-and-career-growth-challenging-stereotypes-toward-newest-members-of-the-workforce</w:t>
        </w:r>
      </w:hyperlink>
      <w:r w:rsidRPr="0029077C">
        <w:rPr>
          <w:szCs w:val="24"/>
        </w:rPr>
        <w:t xml:space="preserve">  (Accessed: 25 November 2025).</w:t>
      </w:r>
    </w:p>
    <w:p w14:paraId="7E896CA7" w14:textId="77777777" w:rsidR="009105EC" w:rsidRPr="0029077C" w:rsidRDefault="009105EC" w:rsidP="00295B33">
      <w:pPr>
        <w:pStyle w:val="Uni-Normal"/>
        <w:ind w:left="360" w:hanging="720"/>
        <w:rPr>
          <w:szCs w:val="24"/>
        </w:rPr>
      </w:pPr>
      <w:r w:rsidRPr="0029077C">
        <w:rPr>
          <w:szCs w:val="24"/>
        </w:rPr>
        <w:t xml:space="preserve">Stevens, M. (2025) </w:t>
      </w:r>
      <w:r w:rsidRPr="0029077C">
        <w:rPr>
          <w:i/>
          <w:iCs/>
          <w:szCs w:val="24"/>
        </w:rPr>
        <w:t>Leveraging Microsoft Forms for Data Collection &amp; Surveys - Mark1 IT Solutions</w:t>
      </w:r>
      <w:r w:rsidRPr="0029077C">
        <w:rPr>
          <w:szCs w:val="24"/>
        </w:rPr>
        <w:t xml:space="preserve">, </w:t>
      </w:r>
      <w:r w:rsidRPr="0029077C">
        <w:rPr>
          <w:i/>
          <w:iCs/>
          <w:szCs w:val="24"/>
        </w:rPr>
        <w:t>Mark1 IT Solutions</w:t>
      </w:r>
      <w:r w:rsidRPr="0029077C">
        <w:rPr>
          <w:szCs w:val="24"/>
        </w:rPr>
        <w:t xml:space="preserve">. Available at: </w:t>
      </w:r>
      <w:hyperlink r:id="rId67" w:history="1">
        <w:r w:rsidRPr="0029077C">
          <w:rPr>
            <w:rStyle w:val="Hyperlink"/>
            <w:szCs w:val="24"/>
          </w:rPr>
          <w:t>https://mark1its.co.uk/leveraging-microsoft-forms-for-data-collection-surveys/</w:t>
        </w:r>
      </w:hyperlink>
      <w:r w:rsidRPr="0029077C">
        <w:rPr>
          <w:szCs w:val="24"/>
        </w:rPr>
        <w:t xml:space="preserve">  (Accessed: 5 February 2026).</w:t>
      </w:r>
    </w:p>
    <w:p w14:paraId="791A3F32" w14:textId="77777777" w:rsidR="009105EC" w:rsidRPr="0029077C" w:rsidRDefault="009105EC" w:rsidP="00295B33">
      <w:pPr>
        <w:pStyle w:val="Uni-Normal"/>
        <w:ind w:left="360" w:hanging="720"/>
        <w:rPr>
          <w:szCs w:val="24"/>
        </w:rPr>
      </w:pPr>
      <w:r w:rsidRPr="0029077C">
        <w:rPr>
          <w:szCs w:val="24"/>
        </w:rPr>
        <w:t xml:space="preserve">Strauss, W. and Howe, N. (1991) </w:t>
      </w:r>
      <w:r w:rsidRPr="0029077C">
        <w:rPr>
          <w:i/>
          <w:iCs/>
          <w:szCs w:val="24"/>
        </w:rPr>
        <w:t>Generations: The history of America’s future, 1584 to 2069</w:t>
      </w:r>
      <w:r w:rsidRPr="0029077C">
        <w:rPr>
          <w:szCs w:val="24"/>
        </w:rPr>
        <w:t>. New York: William Morrow.</w:t>
      </w:r>
    </w:p>
    <w:p w14:paraId="7EF75D2B" w14:textId="77777777" w:rsidR="009105EC" w:rsidRPr="0029077C" w:rsidRDefault="009105EC" w:rsidP="00295B33">
      <w:pPr>
        <w:pStyle w:val="Uni-Normal"/>
        <w:ind w:left="360" w:hanging="720"/>
        <w:rPr>
          <w:szCs w:val="24"/>
          <w:lang w:eastAsia="en-GB"/>
        </w:rPr>
      </w:pPr>
      <w:r w:rsidRPr="0029077C">
        <w:rPr>
          <w:szCs w:val="24"/>
          <w:lang w:eastAsia="en-GB"/>
        </w:rPr>
        <w:t>Sturgis, P. and Brunton-Smith, I. (2023) 'Personality and survey satisficing', </w:t>
      </w:r>
      <w:r w:rsidRPr="0029077C">
        <w:rPr>
          <w:i/>
          <w:iCs/>
          <w:szCs w:val="24"/>
          <w:lang w:eastAsia="en-GB"/>
        </w:rPr>
        <w:t>Public Opinion Quarterly,</w:t>
      </w:r>
      <w:r w:rsidRPr="0029077C">
        <w:rPr>
          <w:szCs w:val="24"/>
          <w:lang w:eastAsia="en-GB"/>
        </w:rPr>
        <w:t> 87(3), pp. 689–718. Available at: </w:t>
      </w:r>
      <w:hyperlink r:id="rId68" w:tgtFrame="_blank" w:history="1">
        <w:r w:rsidRPr="0029077C">
          <w:rPr>
            <w:rStyle w:val="Hyperlink"/>
            <w:rFonts w:eastAsia="Times New Roman"/>
            <w:szCs w:val="24"/>
            <w:lang w:eastAsia="en-GB"/>
          </w:rPr>
          <w:t>https://doi.org/10.1093/poq/nfad036</w:t>
        </w:r>
      </w:hyperlink>
      <w:r w:rsidRPr="0029077C">
        <w:rPr>
          <w:szCs w:val="24"/>
          <w:lang w:eastAsia="en-GB"/>
        </w:rPr>
        <w:t>.</w:t>
      </w:r>
    </w:p>
    <w:p w14:paraId="72BE2C22" w14:textId="77777777" w:rsidR="009105EC" w:rsidRPr="0029077C" w:rsidRDefault="009105EC" w:rsidP="00295B33">
      <w:pPr>
        <w:pStyle w:val="Uni-Normal"/>
        <w:ind w:left="360" w:hanging="720"/>
        <w:rPr>
          <w:szCs w:val="24"/>
          <w:lang w:eastAsia="en-GB"/>
        </w:rPr>
      </w:pPr>
      <w:r w:rsidRPr="0029077C">
        <w:rPr>
          <w:szCs w:val="24"/>
          <w:lang w:eastAsia="en-GB"/>
        </w:rPr>
        <w:t xml:space="preserve">Tavory, I. and Timmermans, S. (2014) </w:t>
      </w:r>
      <w:r w:rsidRPr="0029077C">
        <w:rPr>
          <w:i/>
          <w:iCs/>
          <w:szCs w:val="24"/>
          <w:lang w:eastAsia="en-GB"/>
        </w:rPr>
        <w:t>Abductive analysis: theorizing qualitative research.</w:t>
      </w:r>
      <w:r w:rsidRPr="0029077C">
        <w:rPr>
          <w:szCs w:val="24"/>
          <w:lang w:eastAsia="en-GB"/>
        </w:rPr>
        <w:t xml:space="preserve"> Chicago: University of Chicago Press.</w:t>
      </w:r>
    </w:p>
    <w:p w14:paraId="04B01BC0" w14:textId="77777777" w:rsidR="009105EC" w:rsidRPr="0029077C" w:rsidRDefault="009105EC" w:rsidP="00295B33">
      <w:pPr>
        <w:pStyle w:val="Uni-Normal"/>
        <w:ind w:left="360" w:hanging="720"/>
        <w:rPr>
          <w:szCs w:val="24"/>
          <w:lang w:eastAsia="en-GB"/>
        </w:rPr>
      </w:pPr>
      <w:r w:rsidRPr="0029077C">
        <w:rPr>
          <w:szCs w:val="24"/>
          <w:lang w:eastAsia="en-GB"/>
        </w:rPr>
        <w:t xml:space="preserve">Thunnissen, M. and Buttiens, D. (2017) ‘Talent Management in public sector organizations: A study on the impact of contextual factors on the Talent Management approach in Flemish and Dutch public sector organizations’, </w:t>
      </w:r>
      <w:r w:rsidRPr="0029077C">
        <w:rPr>
          <w:i/>
          <w:iCs/>
          <w:szCs w:val="24"/>
          <w:lang w:eastAsia="en-GB"/>
        </w:rPr>
        <w:t>Public Personnel Management</w:t>
      </w:r>
      <w:r w:rsidRPr="0029077C">
        <w:rPr>
          <w:szCs w:val="24"/>
          <w:lang w:eastAsia="en-GB"/>
        </w:rPr>
        <w:t xml:space="preserve">, 46(4), pp. 391–418. Available at: </w:t>
      </w:r>
      <w:hyperlink r:id="rId69" w:history="1">
        <w:r w:rsidRPr="0029077C">
          <w:rPr>
            <w:rStyle w:val="Hyperlink"/>
            <w:szCs w:val="24"/>
            <w:lang w:eastAsia="en-GB"/>
          </w:rPr>
          <w:t>https://doi.org/10.1177/0091026017721570</w:t>
        </w:r>
      </w:hyperlink>
      <w:r w:rsidRPr="0029077C">
        <w:rPr>
          <w:szCs w:val="24"/>
          <w:lang w:eastAsia="en-GB"/>
        </w:rPr>
        <w:t xml:space="preserve">. </w:t>
      </w:r>
    </w:p>
    <w:p w14:paraId="732550EA" w14:textId="77777777" w:rsidR="009105EC" w:rsidRPr="0029077C" w:rsidRDefault="009105EC" w:rsidP="00295B33">
      <w:pPr>
        <w:pStyle w:val="Uni-Normal"/>
        <w:ind w:left="360" w:hanging="720"/>
        <w:rPr>
          <w:szCs w:val="24"/>
          <w:lang w:eastAsia="en-GB"/>
        </w:rPr>
      </w:pPr>
      <w:r w:rsidRPr="0029077C">
        <w:rPr>
          <w:szCs w:val="24"/>
          <w:lang w:eastAsia="en-GB"/>
        </w:rPr>
        <w:lastRenderedPageBreak/>
        <w:t xml:space="preserve">Thusi, X. and Chauke, R. (2023) ‘Strategies for retaining scarce skills and reducing turnover in the South African public sector’, </w:t>
      </w:r>
      <w:r w:rsidRPr="0029077C">
        <w:rPr>
          <w:i/>
          <w:iCs/>
          <w:szCs w:val="24"/>
          <w:lang w:eastAsia="en-GB"/>
        </w:rPr>
        <w:t>International Journal of Management, Entrepreneurship, Social Science and Humanities</w:t>
      </w:r>
      <w:r w:rsidRPr="0029077C">
        <w:rPr>
          <w:szCs w:val="24"/>
          <w:lang w:eastAsia="en-GB"/>
        </w:rPr>
        <w:t>, 6(1), pp. 120–134.</w:t>
      </w:r>
    </w:p>
    <w:p w14:paraId="799E1BBD" w14:textId="6258D0A6" w:rsidR="009105EC" w:rsidRPr="0029077C" w:rsidRDefault="009105EC" w:rsidP="00295B33">
      <w:pPr>
        <w:pStyle w:val="Uni-Normal"/>
        <w:ind w:left="360" w:hanging="720"/>
        <w:rPr>
          <w:szCs w:val="24"/>
          <w:lang w:eastAsia="en-GB"/>
        </w:rPr>
      </w:pPr>
      <w:r w:rsidRPr="0029077C">
        <w:rPr>
          <w:szCs w:val="24"/>
          <w:lang w:eastAsia="en-GB"/>
        </w:rPr>
        <w:t>Tight, M</w:t>
      </w:r>
      <w:r w:rsidR="00D673CE" w:rsidRPr="0029077C">
        <w:rPr>
          <w:szCs w:val="24"/>
          <w:lang w:eastAsia="en-GB"/>
        </w:rPr>
        <w:t xml:space="preserve"> </w:t>
      </w:r>
      <w:r w:rsidRPr="0029077C">
        <w:rPr>
          <w:szCs w:val="24"/>
          <w:lang w:eastAsia="en-GB"/>
        </w:rPr>
        <w:t>(2017). </w:t>
      </w:r>
      <w:r w:rsidRPr="0029077C">
        <w:rPr>
          <w:i/>
          <w:iCs/>
          <w:szCs w:val="24"/>
          <w:lang w:eastAsia="en-GB"/>
        </w:rPr>
        <w:t>Understanding Case Study Research</w:t>
      </w:r>
      <w:r w:rsidRPr="0029077C">
        <w:rPr>
          <w:szCs w:val="24"/>
          <w:lang w:eastAsia="en-GB"/>
        </w:rPr>
        <w:t>. London: SAGE.</w:t>
      </w:r>
    </w:p>
    <w:p w14:paraId="419B0FE1" w14:textId="77777777" w:rsidR="009105EC" w:rsidRPr="0029077C" w:rsidRDefault="009105EC" w:rsidP="00295B33">
      <w:pPr>
        <w:pStyle w:val="Uni-Normal"/>
        <w:ind w:left="360" w:hanging="720"/>
        <w:rPr>
          <w:rStyle w:val="Uni-NormalChar"/>
          <w:szCs w:val="24"/>
          <w:lang w:eastAsia="en-GB"/>
        </w:rPr>
      </w:pPr>
      <w:r w:rsidRPr="0029077C">
        <w:rPr>
          <w:kern w:val="2"/>
          <w:szCs w:val="24"/>
          <w:lang w:eastAsia="en-GB"/>
          <w14:ligatures w14:val="standardContextual"/>
        </w:rPr>
        <w:t xml:space="preserve">Top Employers Institute (2024) </w:t>
      </w:r>
      <w:r w:rsidRPr="0029077C">
        <w:rPr>
          <w:i/>
          <w:iCs/>
          <w:kern w:val="2"/>
          <w:szCs w:val="24"/>
          <w:lang w:eastAsia="en-GB"/>
          <w14:ligatures w14:val="standardContextual"/>
        </w:rPr>
        <w:t>New study by Top Employers Institute reveals how Gen Z is shaping the future of work</w:t>
      </w:r>
      <w:r w:rsidRPr="0029077C">
        <w:rPr>
          <w:kern w:val="2"/>
          <w:szCs w:val="24"/>
          <w:lang w:eastAsia="en-GB"/>
          <w14:ligatures w14:val="standardContextual"/>
        </w:rPr>
        <w:t>. Available at:</w:t>
      </w:r>
      <w:r w:rsidRPr="0029077C">
        <w:rPr>
          <w:szCs w:val="24"/>
        </w:rPr>
        <w:t xml:space="preserve"> </w:t>
      </w:r>
      <w:hyperlink r:id="rId70" w:history="1">
        <w:r w:rsidRPr="0029077C">
          <w:rPr>
            <w:rStyle w:val="Hyperlink"/>
            <w:kern w:val="2"/>
            <w:szCs w:val="24"/>
            <w:lang w:eastAsia="en-GB"/>
            <w14:ligatures w14:val="standardContextual"/>
          </w:rPr>
          <w:t>https://www.prweb.com/releases/new-study-by-top-employers-institute-reveals-how-gen-z-is-shaping-the-future-of-work-302251679.html</w:t>
        </w:r>
      </w:hyperlink>
      <w:r w:rsidRPr="0029077C">
        <w:rPr>
          <w:kern w:val="2"/>
          <w:szCs w:val="24"/>
          <w:lang w:eastAsia="en-GB"/>
          <w14:ligatures w14:val="standardContextual"/>
        </w:rPr>
        <w:t xml:space="preserve"> (Accessed: 22 May 2026).</w:t>
      </w:r>
    </w:p>
    <w:p w14:paraId="74BD0C11" w14:textId="77777777" w:rsidR="009105EC" w:rsidRPr="0029077C" w:rsidRDefault="009105EC" w:rsidP="00295B33">
      <w:pPr>
        <w:pStyle w:val="Uni-Normal"/>
        <w:ind w:left="360" w:hanging="720"/>
        <w:rPr>
          <w:szCs w:val="24"/>
          <w:lang w:eastAsia="en-GB"/>
        </w:rPr>
      </w:pPr>
      <w:r w:rsidRPr="0029077C">
        <w:rPr>
          <w:szCs w:val="24"/>
          <w:lang w:eastAsia="en-GB"/>
        </w:rPr>
        <w:t xml:space="preserve">UK Research and Innovation (2024) </w:t>
      </w:r>
      <w:r w:rsidRPr="0029077C">
        <w:rPr>
          <w:i/>
          <w:iCs/>
          <w:szCs w:val="24"/>
          <w:lang w:eastAsia="en-GB"/>
        </w:rPr>
        <w:t>Consent</w:t>
      </w:r>
      <w:r w:rsidRPr="0029077C">
        <w:rPr>
          <w:szCs w:val="24"/>
          <w:lang w:eastAsia="en-GB"/>
        </w:rPr>
        <w:t xml:space="preserve">. Available at: </w:t>
      </w:r>
      <w:hyperlink r:id="rId71" w:history="1">
        <w:r w:rsidRPr="0029077C">
          <w:rPr>
            <w:rStyle w:val="Hyperlink"/>
            <w:rFonts w:eastAsia="Times New Roman"/>
            <w:szCs w:val="24"/>
            <w:lang w:eastAsia="en-GB"/>
          </w:rPr>
          <w:t>https://www.ukri.org/councils/esrc/guidance-for-applicants/research-ethics-guidance/consent/</w:t>
        </w:r>
      </w:hyperlink>
      <w:r w:rsidRPr="0029077C">
        <w:rPr>
          <w:szCs w:val="24"/>
          <w:lang w:eastAsia="en-GB"/>
        </w:rPr>
        <w:t xml:space="preserve">  (Accessed: 20 February 2026).</w:t>
      </w:r>
    </w:p>
    <w:p w14:paraId="1384E682" w14:textId="77777777" w:rsidR="009105EC" w:rsidRPr="0029077C" w:rsidRDefault="009105EC" w:rsidP="003E21B0">
      <w:pPr>
        <w:pStyle w:val="Uni-Normal"/>
        <w:ind w:left="360" w:hanging="720"/>
        <w:rPr>
          <w:szCs w:val="24"/>
          <w:lang w:eastAsia="en-GB"/>
        </w:rPr>
      </w:pPr>
      <w:r w:rsidRPr="0029077C">
        <w:rPr>
          <w:szCs w:val="24"/>
          <w:lang w:eastAsia="en-GB"/>
        </w:rPr>
        <w:t xml:space="preserve">UK Statistics Authority (2022) </w:t>
      </w:r>
      <w:r w:rsidRPr="0029077C">
        <w:rPr>
          <w:i/>
          <w:iCs/>
          <w:szCs w:val="24"/>
          <w:lang w:eastAsia="en-GB"/>
        </w:rPr>
        <w:t>Ethical considerations associated with qualitative research methods</w:t>
      </w:r>
      <w:r w:rsidRPr="0029077C">
        <w:rPr>
          <w:szCs w:val="24"/>
          <w:lang w:eastAsia="en-GB"/>
        </w:rPr>
        <w:t xml:space="preserve">. Available at: </w:t>
      </w:r>
      <w:hyperlink r:id="rId72" w:tgtFrame="_blank" w:history="1">
        <w:r w:rsidRPr="0029077C">
          <w:rPr>
            <w:rStyle w:val="Hyperlink"/>
            <w:szCs w:val="24"/>
            <w:lang w:eastAsia="en-GB"/>
          </w:rPr>
          <w:t>UK Statistics Authority guidance</w:t>
        </w:r>
      </w:hyperlink>
      <w:r w:rsidRPr="0029077C">
        <w:rPr>
          <w:szCs w:val="24"/>
          <w:lang w:eastAsia="en-GB"/>
        </w:rPr>
        <w:t xml:space="preserve"> (Accessed: 3 July 2026).</w:t>
      </w:r>
    </w:p>
    <w:p w14:paraId="6C8BC64A" w14:textId="77777777" w:rsidR="009105EC" w:rsidRPr="0029077C" w:rsidRDefault="009105EC" w:rsidP="00295B33">
      <w:pPr>
        <w:pStyle w:val="Uni-Normal"/>
        <w:ind w:left="360" w:hanging="720"/>
        <w:rPr>
          <w:szCs w:val="24"/>
          <w:lang w:eastAsia="en-GB"/>
        </w:rPr>
      </w:pPr>
      <w:r w:rsidRPr="0029077C">
        <w:rPr>
          <w:szCs w:val="24"/>
          <w:lang w:eastAsia="en-GB"/>
        </w:rPr>
        <w:t xml:space="preserve">Universities Wales (2019) </w:t>
      </w:r>
      <w:r w:rsidRPr="0029077C">
        <w:rPr>
          <w:i/>
          <w:iCs/>
          <w:szCs w:val="24"/>
          <w:lang w:eastAsia="en-GB"/>
        </w:rPr>
        <w:t>Solving future skills challenges in Wales</w:t>
      </w:r>
      <w:r w:rsidRPr="0029077C">
        <w:rPr>
          <w:szCs w:val="24"/>
          <w:lang w:eastAsia="en-GB"/>
        </w:rPr>
        <w:t xml:space="preserve">. Available at: </w:t>
      </w:r>
      <w:hyperlink r:id="rId73" w:history="1">
        <w:r w:rsidRPr="0029077C">
          <w:rPr>
            <w:rStyle w:val="Hyperlink"/>
            <w:szCs w:val="24"/>
            <w:lang w:eastAsia="en-GB"/>
          </w:rPr>
          <w:t>https://uniswales.ac.uk/sites/default/files/2021-10/Solving-Future-Skills-Challenges-in-Wales%20%286%29.pdf</w:t>
        </w:r>
      </w:hyperlink>
      <w:r w:rsidRPr="0029077C">
        <w:rPr>
          <w:szCs w:val="24"/>
          <w:lang w:eastAsia="en-GB"/>
        </w:rPr>
        <w:t xml:space="preserve">  (Accessed: 12 February 2026).</w:t>
      </w:r>
    </w:p>
    <w:p w14:paraId="49430682" w14:textId="77777777" w:rsidR="009105EC" w:rsidRPr="0029077C" w:rsidRDefault="009105EC" w:rsidP="00295B33">
      <w:pPr>
        <w:pStyle w:val="Uni-Normal"/>
        <w:ind w:left="360" w:hanging="720"/>
        <w:rPr>
          <w:color w:val="000000"/>
          <w:szCs w:val="24"/>
        </w:rPr>
      </w:pPr>
      <w:r w:rsidRPr="0029077C">
        <w:rPr>
          <w:color w:val="000000"/>
          <w:szCs w:val="24"/>
        </w:rPr>
        <w:t xml:space="preserve">Vieira, J., Costa, C.G. and Santos, V. (2024) ‘Talent Management and Gen Z: A Systematic Literature Review through the Lens of Employer Branding, </w:t>
      </w:r>
      <w:r w:rsidRPr="0029077C">
        <w:rPr>
          <w:i/>
          <w:iCs/>
          <w:color w:val="000000"/>
          <w:szCs w:val="24"/>
        </w:rPr>
        <w:t>Administrative Sciences,</w:t>
      </w:r>
      <w:r w:rsidRPr="0029077C">
        <w:rPr>
          <w:color w:val="000000"/>
          <w:szCs w:val="24"/>
        </w:rPr>
        <w:t xml:space="preserve"> 14(3), pp. 1–24. Available at: </w:t>
      </w:r>
      <w:hyperlink r:id="rId74" w:history="1">
        <w:r w:rsidRPr="0029077C">
          <w:rPr>
            <w:rStyle w:val="Hyperlink"/>
            <w:szCs w:val="24"/>
          </w:rPr>
          <w:t>https://doi.org/10.3390/admsci14030049</w:t>
        </w:r>
      </w:hyperlink>
      <w:r w:rsidRPr="0029077C">
        <w:rPr>
          <w:color w:val="000000"/>
          <w:szCs w:val="24"/>
        </w:rPr>
        <w:t xml:space="preserve"> </w:t>
      </w:r>
    </w:p>
    <w:p w14:paraId="2B5D8C5C" w14:textId="77777777" w:rsidR="009105EC" w:rsidRPr="0029077C" w:rsidRDefault="009105EC" w:rsidP="00295B33">
      <w:pPr>
        <w:pStyle w:val="Uni-Normal"/>
        <w:ind w:left="360" w:hanging="720"/>
        <w:rPr>
          <w:szCs w:val="24"/>
          <w:lang w:eastAsia="en-GB"/>
        </w:rPr>
      </w:pPr>
      <w:r w:rsidRPr="0029077C">
        <w:rPr>
          <w:szCs w:val="24"/>
          <w:lang w:eastAsia="en-GB"/>
        </w:rPr>
        <w:t xml:space="preserve">Welsh Government (2026) National population projections: 2024-based. Available at: </w:t>
      </w:r>
      <w:hyperlink r:id="rId75" w:history="1">
        <w:r w:rsidRPr="0029077C">
          <w:rPr>
            <w:rStyle w:val="Hyperlink"/>
            <w:szCs w:val="24"/>
            <w:lang w:eastAsia="en-GB"/>
          </w:rPr>
          <w:t>https://www.gov.wales/national-population-projections-2024-based-html</w:t>
        </w:r>
      </w:hyperlink>
      <w:r w:rsidRPr="0029077C">
        <w:rPr>
          <w:szCs w:val="24"/>
          <w:lang w:eastAsia="en-GB"/>
        </w:rPr>
        <w:t xml:space="preserve">  (Accessed: 23 June 2026).</w:t>
      </w:r>
    </w:p>
    <w:p w14:paraId="3EDE64D0" w14:textId="77777777" w:rsidR="009105EC" w:rsidRPr="0029077C" w:rsidRDefault="009105EC" w:rsidP="00295B33">
      <w:pPr>
        <w:pStyle w:val="Uni-Normal"/>
        <w:ind w:left="360" w:hanging="720"/>
        <w:rPr>
          <w:szCs w:val="24"/>
          <w:lang w:eastAsia="en-GB"/>
        </w:rPr>
      </w:pPr>
      <w:r w:rsidRPr="0029077C">
        <w:rPr>
          <w:szCs w:val="24"/>
          <w:lang w:eastAsia="en-GB"/>
        </w:rPr>
        <w:t>Yin, R.K. (2003) </w:t>
      </w:r>
      <w:r w:rsidRPr="0029077C">
        <w:rPr>
          <w:i/>
          <w:iCs/>
          <w:szCs w:val="24"/>
          <w:lang w:eastAsia="en-GB"/>
        </w:rPr>
        <w:t>Applications of case study research</w:t>
      </w:r>
      <w:r w:rsidRPr="0029077C">
        <w:rPr>
          <w:szCs w:val="24"/>
          <w:lang w:eastAsia="en-GB"/>
        </w:rPr>
        <w:t>. 2nd ed. London: SAGE.</w:t>
      </w:r>
    </w:p>
    <w:p w14:paraId="74CE4CA9" w14:textId="77777777" w:rsidR="009105EC" w:rsidRPr="0029077C" w:rsidRDefault="009105EC" w:rsidP="00295B33">
      <w:pPr>
        <w:pStyle w:val="Uni-Normal"/>
        <w:ind w:left="360" w:hanging="720"/>
        <w:rPr>
          <w:szCs w:val="24"/>
          <w:lang w:eastAsia="en-GB"/>
        </w:rPr>
      </w:pPr>
      <w:r w:rsidRPr="0029077C">
        <w:rPr>
          <w:szCs w:val="24"/>
          <w:lang w:eastAsia="en-GB"/>
        </w:rPr>
        <w:t>Yin, R.K. (2011) </w:t>
      </w:r>
      <w:r w:rsidRPr="0029077C">
        <w:rPr>
          <w:i/>
          <w:iCs/>
          <w:szCs w:val="24"/>
          <w:lang w:eastAsia="en-GB"/>
        </w:rPr>
        <w:t>Applications of case study research. </w:t>
      </w:r>
      <w:r w:rsidRPr="0029077C">
        <w:rPr>
          <w:szCs w:val="24"/>
          <w:lang w:eastAsia="en-GB"/>
        </w:rPr>
        <w:t>Sage publications.</w:t>
      </w:r>
    </w:p>
    <w:p w14:paraId="295FEC14" w14:textId="77777777" w:rsidR="009105EC" w:rsidRPr="0029077C" w:rsidRDefault="009105EC" w:rsidP="001C1810">
      <w:pPr>
        <w:pStyle w:val="Uni-Normal"/>
        <w:ind w:left="360" w:hanging="720"/>
        <w:rPr>
          <w:szCs w:val="24"/>
        </w:rPr>
      </w:pPr>
      <w:r w:rsidRPr="0029077C">
        <w:rPr>
          <w:szCs w:val="24"/>
        </w:rPr>
        <w:t>Zahra, Y., Handoyo, S. and Fajrianthi, F. (2025) 'A comprehensive overview of Gen Z in the workplace: Insights from a scoping review', </w:t>
      </w:r>
      <w:r w:rsidRPr="0029077C">
        <w:rPr>
          <w:i/>
          <w:iCs/>
          <w:szCs w:val="24"/>
        </w:rPr>
        <w:t>SA Journal of Industrial Psychology,</w:t>
      </w:r>
      <w:r w:rsidRPr="0029077C">
        <w:rPr>
          <w:szCs w:val="24"/>
        </w:rPr>
        <w:t>51 Available at: </w:t>
      </w:r>
      <w:hyperlink r:id="rId76" w:tgtFrame="_blank" w:history="1">
        <w:r w:rsidRPr="0029077C">
          <w:rPr>
            <w:rStyle w:val="Hyperlink"/>
            <w:szCs w:val="24"/>
          </w:rPr>
          <w:t>https://doi.org/10.4102/sajip.v51i0.2263</w:t>
        </w:r>
      </w:hyperlink>
      <w:r w:rsidRPr="0029077C">
        <w:rPr>
          <w:szCs w:val="24"/>
        </w:rPr>
        <w:t>.</w:t>
      </w:r>
    </w:p>
    <w:p w14:paraId="1B9D55A2" w14:textId="52C8F20C" w:rsidR="00234A04" w:rsidRDefault="00753EE8" w:rsidP="002D7FDA">
      <w:pPr>
        <w:pStyle w:val="1ChapterHeading"/>
        <w:jc w:val="left"/>
        <w:rPr>
          <w:rFonts w:eastAsia="Times New Roman"/>
          <w:lang w:eastAsia="en-GB"/>
        </w:rPr>
      </w:pPr>
      <w:bookmarkStart w:id="127" w:name="_Toc234319655"/>
      <w:r>
        <w:rPr>
          <w:rFonts w:eastAsia="Times New Roman"/>
          <w:lang w:eastAsia="en-GB"/>
        </w:rPr>
        <w:lastRenderedPageBreak/>
        <w:t>APPENDICES</w:t>
      </w:r>
      <w:bookmarkStart w:id="128" w:name="_Hlk219732296"/>
      <w:bookmarkEnd w:id="127"/>
      <w:r>
        <w:rPr>
          <w:rFonts w:eastAsia="Times New Roman"/>
          <w:lang w:eastAsia="en-GB"/>
        </w:rPr>
        <w:t xml:space="preserve"> </w:t>
      </w:r>
    </w:p>
    <w:p w14:paraId="6FFE5878" w14:textId="77777777" w:rsidR="002D7FDA" w:rsidRPr="001C1810" w:rsidRDefault="002D7FDA" w:rsidP="002D7FDA">
      <w:pPr>
        <w:pStyle w:val="1ChapterHeading"/>
        <w:jc w:val="left"/>
        <w:rPr>
          <w:rFonts w:eastAsiaTheme="minorHAnsi"/>
          <w:szCs w:val="24"/>
        </w:rPr>
      </w:pPr>
    </w:p>
    <w:p w14:paraId="5A0ECD4D" w14:textId="0C0EA886" w:rsidR="006429FF" w:rsidRPr="0029077C" w:rsidRDefault="0029077C" w:rsidP="0029077C">
      <w:pPr>
        <w:pStyle w:val="Uni-Normal"/>
        <w:jc w:val="both"/>
        <w:rPr>
          <w:b/>
          <w:bCs/>
        </w:rPr>
      </w:pPr>
      <w:r>
        <w:rPr>
          <w:b/>
          <w:bCs/>
        </w:rPr>
        <w:t xml:space="preserve">Appendix 1- </w:t>
      </w:r>
      <w:r w:rsidR="00D029DC" w:rsidRPr="0029077C">
        <w:rPr>
          <w:b/>
          <w:bCs/>
        </w:rPr>
        <w:t>Ethics Form</w:t>
      </w:r>
    </w:p>
    <w:bookmarkStart w:id="129" w:name="_MON_1842095938"/>
    <w:bookmarkEnd w:id="129"/>
    <w:p w14:paraId="180CAD06" w14:textId="102489D0" w:rsidR="00D029DC" w:rsidRDefault="001C1810" w:rsidP="006429FF">
      <w:pPr>
        <w:pStyle w:val="Uni-Normal"/>
        <w:ind w:left="720"/>
        <w:jc w:val="both"/>
      </w:pPr>
      <w:r>
        <w:object w:dxaOrig="1504" w:dyaOrig="985" w14:anchorId="1071B60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4.95pt;height:49.5pt" o:ole="">
            <v:imagedata r:id="rId77" o:title=""/>
          </v:shape>
          <o:OLEObject Type="Embed" ProgID="Word.Document.12" ShapeID="_x0000_i1025" DrawAspect="Icon" ObjectID="_1844944119" r:id="rId78">
            <o:FieldCodes>\s</o:FieldCodes>
          </o:OLEObject>
        </w:object>
      </w:r>
    </w:p>
    <w:p w14:paraId="3CC318D0" w14:textId="59AA5C40" w:rsidR="006429FF" w:rsidRPr="0029077C" w:rsidRDefault="0029077C" w:rsidP="0029077C">
      <w:pPr>
        <w:pStyle w:val="Uni-Normal"/>
        <w:jc w:val="both"/>
        <w:rPr>
          <w:b/>
          <w:bCs/>
        </w:rPr>
      </w:pPr>
      <w:r>
        <w:rPr>
          <w:b/>
          <w:bCs/>
        </w:rPr>
        <w:t xml:space="preserve">Appendix 2- </w:t>
      </w:r>
      <w:r w:rsidR="00A9004C" w:rsidRPr="0029077C">
        <w:rPr>
          <w:b/>
          <w:bCs/>
        </w:rPr>
        <w:t>Survey Invitation Email</w:t>
      </w:r>
    </w:p>
    <w:bookmarkStart w:id="130" w:name="_MON_1842095875"/>
    <w:bookmarkEnd w:id="130"/>
    <w:p w14:paraId="28846CAE" w14:textId="6E16E246" w:rsidR="006429FF" w:rsidRDefault="001C1810" w:rsidP="006429FF">
      <w:pPr>
        <w:pStyle w:val="Uni-Normal"/>
        <w:ind w:left="720"/>
        <w:jc w:val="both"/>
      </w:pPr>
      <w:r>
        <w:object w:dxaOrig="1504" w:dyaOrig="985" w14:anchorId="1A5B10D2">
          <v:shape id="_x0000_i1026" type="#_x0000_t75" style="width:74.95pt;height:49.5pt" o:ole="">
            <v:imagedata r:id="rId79" o:title=""/>
          </v:shape>
          <o:OLEObject Type="Embed" ProgID="Word.Document.12" ShapeID="_x0000_i1026" DrawAspect="Icon" ObjectID="_1844944120" r:id="rId80">
            <o:FieldCodes>\s</o:FieldCodes>
          </o:OLEObject>
        </w:object>
      </w:r>
    </w:p>
    <w:p w14:paraId="26D2BE57" w14:textId="68FAB64E" w:rsidR="006429FF" w:rsidRPr="0029077C" w:rsidRDefault="0029077C" w:rsidP="0029077C">
      <w:pPr>
        <w:pStyle w:val="Uni-Normal"/>
        <w:jc w:val="both"/>
        <w:rPr>
          <w:b/>
          <w:bCs/>
        </w:rPr>
      </w:pPr>
      <w:r>
        <w:rPr>
          <w:b/>
          <w:bCs/>
        </w:rPr>
        <w:t xml:space="preserve">Appendix 3- </w:t>
      </w:r>
      <w:r w:rsidR="006752DD" w:rsidRPr="0029077C">
        <w:rPr>
          <w:b/>
          <w:bCs/>
        </w:rPr>
        <w:t>Survey</w:t>
      </w:r>
    </w:p>
    <w:p w14:paraId="2BBF9A8D" w14:textId="2E85EE13" w:rsidR="006429FF" w:rsidRDefault="004C173F" w:rsidP="006429FF">
      <w:pPr>
        <w:pStyle w:val="Uni-Normal"/>
        <w:ind w:left="720"/>
        <w:jc w:val="both"/>
      </w:pPr>
      <w:r>
        <w:object w:dxaOrig="1504" w:dyaOrig="985" w14:anchorId="39E9C48D">
          <v:shape id="_x0000_i1027" type="#_x0000_t75" style="width:74.5pt;height:49.5pt" o:ole="">
            <v:imagedata r:id="rId81" o:title=""/>
          </v:shape>
          <o:OLEObject Type="Embed" ProgID="Acrobat.Document.DC" ShapeID="_x0000_i1027" DrawAspect="Icon" ObjectID="_1844944121" r:id="rId82"/>
        </w:object>
      </w:r>
    </w:p>
    <w:p w14:paraId="6C68D803" w14:textId="1BFA8CB5" w:rsidR="006429FF" w:rsidRPr="0029077C" w:rsidRDefault="0029077C" w:rsidP="0029077C">
      <w:pPr>
        <w:pStyle w:val="Uni-Normal"/>
        <w:jc w:val="both"/>
        <w:rPr>
          <w:b/>
          <w:bCs/>
        </w:rPr>
      </w:pPr>
      <w:r>
        <w:rPr>
          <w:b/>
          <w:bCs/>
        </w:rPr>
        <w:t xml:space="preserve">Appendix 4- </w:t>
      </w:r>
      <w:r w:rsidR="00A9004C" w:rsidRPr="0029077C">
        <w:rPr>
          <w:b/>
          <w:bCs/>
        </w:rPr>
        <w:t>Survey Analysis</w:t>
      </w:r>
    </w:p>
    <w:bookmarkStart w:id="131" w:name="_MON_1844597984"/>
    <w:bookmarkEnd w:id="131"/>
    <w:p w14:paraId="0B34BCD1" w14:textId="206DC3B2" w:rsidR="006429FF" w:rsidRDefault="006A4F05" w:rsidP="00A23849">
      <w:pPr>
        <w:pStyle w:val="Uni-Normal"/>
        <w:ind w:left="720"/>
        <w:jc w:val="both"/>
      </w:pPr>
      <w:r>
        <w:object w:dxaOrig="1504" w:dyaOrig="985" w14:anchorId="02396676">
          <v:shape id="_x0000_i1028" type="#_x0000_t75" style="width:74.5pt;height:49.5pt" o:ole="">
            <v:imagedata r:id="rId83" o:title=""/>
          </v:shape>
          <o:OLEObject Type="Embed" ProgID="Excel.Sheet.12" ShapeID="_x0000_i1028" DrawAspect="Icon" ObjectID="_1844944122" r:id="rId84"/>
        </w:object>
      </w:r>
    </w:p>
    <w:p w14:paraId="528D92EB" w14:textId="2790D50E" w:rsidR="00A23849" w:rsidRPr="0029077C" w:rsidRDefault="0029077C" w:rsidP="0029077C">
      <w:pPr>
        <w:pStyle w:val="Uni-Normal"/>
        <w:jc w:val="both"/>
        <w:rPr>
          <w:b/>
          <w:bCs/>
        </w:rPr>
      </w:pPr>
      <w:r w:rsidRPr="0029077C">
        <w:rPr>
          <w:b/>
          <w:bCs/>
        </w:rPr>
        <w:t xml:space="preserve">Appendix 5- </w:t>
      </w:r>
      <w:r w:rsidR="00A23849" w:rsidRPr="0029077C">
        <w:rPr>
          <w:b/>
          <w:bCs/>
        </w:rPr>
        <w:t>Survey Res</w:t>
      </w:r>
      <w:r w:rsidR="004C173F" w:rsidRPr="0029077C">
        <w:rPr>
          <w:b/>
          <w:bCs/>
        </w:rPr>
        <w:t>ponse</w:t>
      </w:r>
      <w:r w:rsidR="00A23849" w:rsidRPr="0029077C">
        <w:rPr>
          <w:b/>
          <w:bCs/>
        </w:rPr>
        <w:t xml:space="preserve"> Graphics </w:t>
      </w:r>
    </w:p>
    <w:bookmarkStart w:id="132" w:name="_MON_1843971824"/>
    <w:bookmarkEnd w:id="132"/>
    <w:p w14:paraId="0C4149EF" w14:textId="09491AB6" w:rsidR="00B91E3D" w:rsidRDefault="00B91E3D" w:rsidP="00B91E3D">
      <w:pPr>
        <w:pStyle w:val="Uni-Normal"/>
        <w:ind w:left="720"/>
        <w:jc w:val="both"/>
      </w:pPr>
      <w:r>
        <w:object w:dxaOrig="1504" w:dyaOrig="985" w14:anchorId="54927CFA">
          <v:shape id="_x0000_i1029" type="#_x0000_t75" style="width:74.95pt;height:49.5pt" o:ole="">
            <v:imagedata r:id="rId85" o:title=""/>
          </v:shape>
          <o:OLEObject Type="Embed" ProgID="Word.Document.12" ShapeID="_x0000_i1029" DrawAspect="Icon" ObjectID="_1844944123" r:id="rId86">
            <o:FieldCodes>\s</o:FieldCodes>
          </o:OLEObject>
        </w:object>
      </w:r>
    </w:p>
    <w:p w14:paraId="384A91FD" w14:textId="12C569AD" w:rsidR="00A9004C" w:rsidRPr="00A9004C" w:rsidRDefault="00A9004C" w:rsidP="006752DD">
      <w:pPr>
        <w:pStyle w:val="Uni-Normal"/>
        <w:ind w:left="720"/>
        <w:jc w:val="both"/>
      </w:pPr>
    </w:p>
    <w:p w14:paraId="3509E168" w14:textId="77777777" w:rsidR="00234A04" w:rsidRPr="00BD5F88" w:rsidRDefault="00234A04" w:rsidP="00234A04">
      <w:pPr>
        <w:pStyle w:val="ListParagraph"/>
        <w:spacing w:after="240" w:line="360" w:lineRule="auto"/>
        <w:rPr>
          <w:rFonts w:eastAsia="Times New Roman"/>
          <w:szCs w:val="24"/>
          <w:lang w:eastAsia="en-GB"/>
        </w:rPr>
      </w:pPr>
    </w:p>
    <w:p w14:paraId="5719188A" w14:textId="77777777" w:rsidR="00234A04" w:rsidRPr="00D83EA6" w:rsidRDefault="00234A04" w:rsidP="00234A04">
      <w:pPr>
        <w:pStyle w:val="ListParagraph"/>
        <w:spacing w:after="240" w:line="360" w:lineRule="auto"/>
        <w:rPr>
          <w:rFonts w:eastAsia="Times New Roman"/>
          <w:szCs w:val="24"/>
          <w:lang w:eastAsia="en-GB"/>
        </w:rPr>
      </w:pPr>
    </w:p>
    <w:bookmarkEnd w:id="128"/>
    <w:p w14:paraId="24183E32" w14:textId="77777777" w:rsidR="00A74165" w:rsidRPr="00315EE4" w:rsidRDefault="00A74165" w:rsidP="006429FF">
      <w:pPr>
        <w:spacing w:after="240" w:line="360" w:lineRule="auto"/>
        <w:rPr>
          <w:rFonts w:eastAsia="Times New Roman"/>
          <w:szCs w:val="24"/>
          <w:lang w:eastAsia="en-GB"/>
        </w:rPr>
      </w:pPr>
    </w:p>
    <w:sectPr w:rsidR="00A74165" w:rsidRPr="00315EE4">
      <w:footerReference w:type="default" r:id="rId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CA5738" w14:textId="77777777" w:rsidR="001E3583" w:rsidRDefault="001E3583" w:rsidP="00D857C6">
      <w:pPr>
        <w:spacing w:after="0" w:line="240" w:lineRule="auto"/>
      </w:pPr>
      <w:r>
        <w:separator/>
      </w:r>
    </w:p>
  </w:endnote>
  <w:endnote w:type="continuationSeparator" w:id="0">
    <w:p w14:paraId="76493886" w14:textId="77777777" w:rsidR="001E3583" w:rsidRDefault="001E3583" w:rsidP="00D85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Rastanty Cortez">
    <w:charset w:val="00"/>
    <w:family w:val="auto"/>
    <w:pitch w:val="variable"/>
    <w:sig w:usb0="80000027" w:usb1="10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4234767"/>
      <w:docPartObj>
        <w:docPartGallery w:val="Page Numbers (Bottom of Page)"/>
        <w:docPartUnique/>
      </w:docPartObj>
    </w:sdtPr>
    <w:sdtEndPr/>
    <w:sdtContent>
      <w:p w14:paraId="199B2A60" w14:textId="4E26A600" w:rsidR="00A459AB" w:rsidRDefault="00A459AB">
        <w:pPr>
          <w:pStyle w:val="Footer"/>
          <w:jc w:val="right"/>
        </w:pPr>
        <w:r>
          <w:fldChar w:fldCharType="begin"/>
        </w:r>
        <w:r>
          <w:instrText>PAGE   \* MERGEFORMAT</w:instrText>
        </w:r>
        <w:r>
          <w:fldChar w:fldCharType="separate"/>
        </w:r>
        <w:r>
          <w:t>2</w:t>
        </w:r>
        <w:r>
          <w:fldChar w:fldCharType="end"/>
        </w:r>
      </w:p>
    </w:sdtContent>
  </w:sdt>
  <w:p w14:paraId="736B1501" w14:textId="77777777" w:rsidR="006324D4" w:rsidRDefault="006324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992CB8" w14:textId="77777777" w:rsidR="001E3583" w:rsidRDefault="001E3583" w:rsidP="00D857C6">
      <w:pPr>
        <w:spacing w:after="0" w:line="240" w:lineRule="auto"/>
      </w:pPr>
      <w:r>
        <w:separator/>
      </w:r>
    </w:p>
  </w:footnote>
  <w:footnote w:type="continuationSeparator" w:id="0">
    <w:p w14:paraId="52C12B3E" w14:textId="77777777" w:rsidR="001E3583" w:rsidRDefault="001E3583" w:rsidP="00D857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C0DAB"/>
    <w:multiLevelType w:val="hybridMultilevel"/>
    <w:tmpl w:val="F376AA5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A343074"/>
    <w:multiLevelType w:val="hybridMultilevel"/>
    <w:tmpl w:val="008431E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EA87D3E"/>
    <w:multiLevelType w:val="multilevel"/>
    <w:tmpl w:val="0186A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0E5E20"/>
    <w:multiLevelType w:val="hybridMultilevel"/>
    <w:tmpl w:val="51ACB8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D6373C"/>
    <w:multiLevelType w:val="hybridMultilevel"/>
    <w:tmpl w:val="526A2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525DB"/>
    <w:multiLevelType w:val="multilevel"/>
    <w:tmpl w:val="EF2AC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9949C1"/>
    <w:multiLevelType w:val="hybridMultilevel"/>
    <w:tmpl w:val="87D6B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042AAF"/>
    <w:multiLevelType w:val="hybridMultilevel"/>
    <w:tmpl w:val="16A2B74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DB01E32"/>
    <w:multiLevelType w:val="hybridMultilevel"/>
    <w:tmpl w:val="32925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453C42"/>
    <w:multiLevelType w:val="multilevel"/>
    <w:tmpl w:val="43104DD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90304F1"/>
    <w:multiLevelType w:val="multilevel"/>
    <w:tmpl w:val="9E245C3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C795E42"/>
    <w:multiLevelType w:val="hybridMultilevel"/>
    <w:tmpl w:val="FB00BE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CA6A15"/>
    <w:multiLevelType w:val="hybridMultilevel"/>
    <w:tmpl w:val="135C045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DA01FBA"/>
    <w:multiLevelType w:val="hybridMultilevel"/>
    <w:tmpl w:val="3C28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F2098F"/>
    <w:multiLevelType w:val="multilevel"/>
    <w:tmpl w:val="C3623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4BF4665"/>
    <w:multiLevelType w:val="hybridMultilevel"/>
    <w:tmpl w:val="C14E8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7D4D81"/>
    <w:multiLevelType w:val="hybridMultilevel"/>
    <w:tmpl w:val="23A0FB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393159"/>
    <w:multiLevelType w:val="hybridMultilevel"/>
    <w:tmpl w:val="DF36B6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5A3DA6"/>
    <w:multiLevelType w:val="hybridMultilevel"/>
    <w:tmpl w:val="7DE071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C50490"/>
    <w:multiLevelType w:val="hybridMultilevel"/>
    <w:tmpl w:val="838C3A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8D6A0D"/>
    <w:multiLevelType w:val="hybridMultilevel"/>
    <w:tmpl w:val="A1C227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695310"/>
    <w:multiLevelType w:val="hybridMultilevel"/>
    <w:tmpl w:val="ADAC48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907B81"/>
    <w:multiLevelType w:val="hybridMultilevel"/>
    <w:tmpl w:val="B1F21B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445BC2"/>
    <w:multiLevelType w:val="multilevel"/>
    <w:tmpl w:val="A8A2D3E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2F63CC9"/>
    <w:multiLevelType w:val="hybridMultilevel"/>
    <w:tmpl w:val="5CC216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C918D4"/>
    <w:multiLevelType w:val="hybridMultilevel"/>
    <w:tmpl w:val="48903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173E2D"/>
    <w:multiLevelType w:val="hybridMultilevel"/>
    <w:tmpl w:val="1D20959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13D0D49"/>
    <w:multiLevelType w:val="hybridMultilevel"/>
    <w:tmpl w:val="CAC0A6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E80AEE"/>
    <w:multiLevelType w:val="hybridMultilevel"/>
    <w:tmpl w:val="E362BD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A3544E"/>
    <w:multiLevelType w:val="multilevel"/>
    <w:tmpl w:val="F9C24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B93E11"/>
    <w:multiLevelType w:val="hybridMultilevel"/>
    <w:tmpl w:val="CBE473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8969737">
    <w:abstractNumId w:val="10"/>
  </w:num>
  <w:num w:numId="2" w16cid:durableId="1169830660">
    <w:abstractNumId w:val="2"/>
  </w:num>
  <w:num w:numId="3" w16cid:durableId="1731537269">
    <w:abstractNumId w:val="9"/>
  </w:num>
  <w:num w:numId="4" w16cid:durableId="1827865007">
    <w:abstractNumId w:val="23"/>
  </w:num>
  <w:num w:numId="5" w16cid:durableId="25524334">
    <w:abstractNumId w:val="14"/>
  </w:num>
  <w:num w:numId="6" w16cid:durableId="561646941">
    <w:abstractNumId w:val="18"/>
  </w:num>
  <w:num w:numId="7" w16cid:durableId="1345011693">
    <w:abstractNumId w:val="4"/>
  </w:num>
  <w:num w:numId="8" w16cid:durableId="392849948">
    <w:abstractNumId w:val="3"/>
  </w:num>
  <w:num w:numId="9" w16cid:durableId="721366710">
    <w:abstractNumId w:val="13"/>
  </w:num>
  <w:num w:numId="10" w16cid:durableId="284889434">
    <w:abstractNumId w:val="22"/>
  </w:num>
  <w:num w:numId="11" w16cid:durableId="1492867196">
    <w:abstractNumId w:val="20"/>
  </w:num>
  <w:num w:numId="12" w16cid:durableId="225262814">
    <w:abstractNumId w:val="24"/>
  </w:num>
  <w:num w:numId="13" w16cid:durableId="875460657">
    <w:abstractNumId w:val="17"/>
  </w:num>
  <w:num w:numId="14" w16cid:durableId="215700200">
    <w:abstractNumId w:val="29"/>
  </w:num>
  <w:num w:numId="15" w16cid:durableId="1502694178">
    <w:abstractNumId w:val="8"/>
  </w:num>
  <w:num w:numId="16" w16cid:durableId="1730614085">
    <w:abstractNumId w:val="28"/>
  </w:num>
  <w:num w:numId="17" w16cid:durableId="1779182454">
    <w:abstractNumId w:val="6"/>
  </w:num>
  <w:num w:numId="18" w16cid:durableId="1666588937">
    <w:abstractNumId w:val="19"/>
  </w:num>
  <w:num w:numId="19" w16cid:durableId="473104807">
    <w:abstractNumId w:val="5"/>
  </w:num>
  <w:num w:numId="20" w16cid:durableId="1277832790">
    <w:abstractNumId w:val="25"/>
  </w:num>
  <w:num w:numId="21" w16cid:durableId="1964732643">
    <w:abstractNumId w:val="12"/>
  </w:num>
  <w:num w:numId="22" w16cid:durableId="1008218379">
    <w:abstractNumId w:val="15"/>
  </w:num>
  <w:num w:numId="23" w16cid:durableId="1174758793">
    <w:abstractNumId w:val="7"/>
  </w:num>
  <w:num w:numId="24" w16cid:durableId="919369321">
    <w:abstractNumId w:val="21"/>
  </w:num>
  <w:num w:numId="25" w16cid:durableId="2087919173">
    <w:abstractNumId w:val="30"/>
  </w:num>
  <w:num w:numId="26" w16cid:durableId="960113388">
    <w:abstractNumId w:val="27"/>
  </w:num>
  <w:num w:numId="27" w16cid:durableId="963003876">
    <w:abstractNumId w:val="26"/>
  </w:num>
  <w:num w:numId="28" w16cid:durableId="1395468880">
    <w:abstractNumId w:val="0"/>
  </w:num>
  <w:num w:numId="29" w16cid:durableId="2064595865">
    <w:abstractNumId w:val="11"/>
  </w:num>
  <w:num w:numId="30" w16cid:durableId="145702819">
    <w:abstractNumId w:val="1"/>
  </w:num>
  <w:num w:numId="31" w16cid:durableId="1193957666">
    <w:abstractNumId w:val="1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15D"/>
    <w:rsid w:val="00000A40"/>
    <w:rsid w:val="00001E69"/>
    <w:rsid w:val="00003B8E"/>
    <w:rsid w:val="000048F6"/>
    <w:rsid w:val="00004B55"/>
    <w:rsid w:val="0000673B"/>
    <w:rsid w:val="00006867"/>
    <w:rsid w:val="00006AF8"/>
    <w:rsid w:val="00010C52"/>
    <w:rsid w:val="00015733"/>
    <w:rsid w:val="00015907"/>
    <w:rsid w:val="00015A9F"/>
    <w:rsid w:val="000163C8"/>
    <w:rsid w:val="00016995"/>
    <w:rsid w:val="00016AF2"/>
    <w:rsid w:val="000202BA"/>
    <w:rsid w:val="0002070F"/>
    <w:rsid w:val="00023F41"/>
    <w:rsid w:val="00025579"/>
    <w:rsid w:val="00025FB8"/>
    <w:rsid w:val="0002646C"/>
    <w:rsid w:val="00026C05"/>
    <w:rsid w:val="00030820"/>
    <w:rsid w:val="00030F7F"/>
    <w:rsid w:val="000311AB"/>
    <w:rsid w:val="0003197A"/>
    <w:rsid w:val="00042F5F"/>
    <w:rsid w:val="00046475"/>
    <w:rsid w:val="00046E8A"/>
    <w:rsid w:val="0004708E"/>
    <w:rsid w:val="00050315"/>
    <w:rsid w:val="000507F7"/>
    <w:rsid w:val="0005159F"/>
    <w:rsid w:val="0005167B"/>
    <w:rsid w:val="00054D49"/>
    <w:rsid w:val="00056200"/>
    <w:rsid w:val="00056B39"/>
    <w:rsid w:val="000602E3"/>
    <w:rsid w:val="00061B8F"/>
    <w:rsid w:val="00061F5A"/>
    <w:rsid w:val="0006442C"/>
    <w:rsid w:val="00067A39"/>
    <w:rsid w:val="000713A5"/>
    <w:rsid w:val="0007354D"/>
    <w:rsid w:val="000742DA"/>
    <w:rsid w:val="00074D2F"/>
    <w:rsid w:val="00075F96"/>
    <w:rsid w:val="000772BF"/>
    <w:rsid w:val="00077FBE"/>
    <w:rsid w:val="000800DA"/>
    <w:rsid w:val="000807CF"/>
    <w:rsid w:val="00080903"/>
    <w:rsid w:val="00081281"/>
    <w:rsid w:val="000829D5"/>
    <w:rsid w:val="00086C83"/>
    <w:rsid w:val="0008750A"/>
    <w:rsid w:val="00092464"/>
    <w:rsid w:val="0009338F"/>
    <w:rsid w:val="00093AA0"/>
    <w:rsid w:val="00094CDE"/>
    <w:rsid w:val="0009737B"/>
    <w:rsid w:val="000A032E"/>
    <w:rsid w:val="000A1365"/>
    <w:rsid w:val="000A2783"/>
    <w:rsid w:val="000A460E"/>
    <w:rsid w:val="000A49F2"/>
    <w:rsid w:val="000A6A61"/>
    <w:rsid w:val="000A72C0"/>
    <w:rsid w:val="000B00F7"/>
    <w:rsid w:val="000B050D"/>
    <w:rsid w:val="000B1581"/>
    <w:rsid w:val="000B414C"/>
    <w:rsid w:val="000B52E7"/>
    <w:rsid w:val="000B6D10"/>
    <w:rsid w:val="000C339D"/>
    <w:rsid w:val="000C40B8"/>
    <w:rsid w:val="000C460B"/>
    <w:rsid w:val="000C4FEF"/>
    <w:rsid w:val="000C54C9"/>
    <w:rsid w:val="000C5C81"/>
    <w:rsid w:val="000C5DF2"/>
    <w:rsid w:val="000C7747"/>
    <w:rsid w:val="000D066E"/>
    <w:rsid w:val="000D144D"/>
    <w:rsid w:val="000D145D"/>
    <w:rsid w:val="000D18DB"/>
    <w:rsid w:val="000D2065"/>
    <w:rsid w:val="000D3A9D"/>
    <w:rsid w:val="000D3B6B"/>
    <w:rsid w:val="000E0507"/>
    <w:rsid w:val="000E0749"/>
    <w:rsid w:val="000E20F5"/>
    <w:rsid w:val="000E2B48"/>
    <w:rsid w:val="000E2E3D"/>
    <w:rsid w:val="000E4D4D"/>
    <w:rsid w:val="000E62C7"/>
    <w:rsid w:val="000E7C0C"/>
    <w:rsid w:val="000F03FB"/>
    <w:rsid w:val="000F25C1"/>
    <w:rsid w:val="000F5355"/>
    <w:rsid w:val="000F5B4B"/>
    <w:rsid w:val="000F65ED"/>
    <w:rsid w:val="00102EA7"/>
    <w:rsid w:val="00103BA6"/>
    <w:rsid w:val="00103F84"/>
    <w:rsid w:val="00104930"/>
    <w:rsid w:val="0011363A"/>
    <w:rsid w:val="001146F5"/>
    <w:rsid w:val="00116CA0"/>
    <w:rsid w:val="00117251"/>
    <w:rsid w:val="00120B39"/>
    <w:rsid w:val="00122C68"/>
    <w:rsid w:val="00122DB2"/>
    <w:rsid w:val="00122F02"/>
    <w:rsid w:val="00124775"/>
    <w:rsid w:val="00127811"/>
    <w:rsid w:val="00133DAE"/>
    <w:rsid w:val="00134756"/>
    <w:rsid w:val="00136CF6"/>
    <w:rsid w:val="00140FFE"/>
    <w:rsid w:val="0014283C"/>
    <w:rsid w:val="001453D6"/>
    <w:rsid w:val="00146DDD"/>
    <w:rsid w:val="00146F6B"/>
    <w:rsid w:val="001472EF"/>
    <w:rsid w:val="00150995"/>
    <w:rsid w:val="00152EF2"/>
    <w:rsid w:val="00161284"/>
    <w:rsid w:val="001615E1"/>
    <w:rsid w:val="00162D92"/>
    <w:rsid w:val="00163312"/>
    <w:rsid w:val="001646C3"/>
    <w:rsid w:val="00164A09"/>
    <w:rsid w:val="00164A5D"/>
    <w:rsid w:val="00164C7B"/>
    <w:rsid w:val="00166100"/>
    <w:rsid w:val="00170C82"/>
    <w:rsid w:val="0017563B"/>
    <w:rsid w:val="00176484"/>
    <w:rsid w:val="00176A0E"/>
    <w:rsid w:val="0018158B"/>
    <w:rsid w:val="0018277C"/>
    <w:rsid w:val="00185C75"/>
    <w:rsid w:val="00185DDB"/>
    <w:rsid w:val="00191055"/>
    <w:rsid w:val="00191D7B"/>
    <w:rsid w:val="00192701"/>
    <w:rsid w:val="00192F2D"/>
    <w:rsid w:val="00193778"/>
    <w:rsid w:val="00194653"/>
    <w:rsid w:val="001951A2"/>
    <w:rsid w:val="00196623"/>
    <w:rsid w:val="00196E5E"/>
    <w:rsid w:val="00197197"/>
    <w:rsid w:val="00197A60"/>
    <w:rsid w:val="001A0FD7"/>
    <w:rsid w:val="001A1EE3"/>
    <w:rsid w:val="001A3470"/>
    <w:rsid w:val="001A4F27"/>
    <w:rsid w:val="001A5D19"/>
    <w:rsid w:val="001A60B1"/>
    <w:rsid w:val="001A7E60"/>
    <w:rsid w:val="001B2BDC"/>
    <w:rsid w:val="001B596A"/>
    <w:rsid w:val="001B5FAE"/>
    <w:rsid w:val="001C1794"/>
    <w:rsid w:val="001C1810"/>
    <w:rsid w:val="001C20AC"/>
    <w:rsid w:val="001C2D22"/>
    <w:rsid w:val="001C3679"/>
    <w:rsid w:val="001C552D"/>
    <w:rsid w:val="001C5710"/>
    <w:rsid w:val="001C6060"/>
    <w:rsid w:val="001C7040"/>
    <w:rsid w:val="001C7445"/>
    <w:rsid w:val="001C7814"/>
    <w:rsid w:val="001C794B"/>
    <w:rsid w:val="001D2535"/>
    <w:rsid w:val="001D26CB"/>
    <w:rsid w:val="001D6141"/>
    <w:rsid w:val="001D69A8"/>
    <w:rsid w:val="001D7283"/>
    <w:rsid w:val="001E22CB"/>
    <w:rsid w:val="001E2A36"/>
    <w:rsid w:val="001E356A"/>
    <w:rsid w:val="001E3583"/>
    <w:rsid w:val="001E469E"/>
    <w:rsid w:val="001E7886"/>
    <w:rsid w:val="001E79C9"/>
    <w:rsid w:val="001F148F"/>
    <w:rsid w:val="001F1F22"/>
    <w:rsid w:val="00203F32"/>
    <w:rsid w:val="00203F55"/>
    <w:rsid w:val="002048FE"/>
    <w:rsid w:val="002063C0"/>
    <w:rsid w:val="00210012"/>
    <w:rsid w:val="00210243"/>
    <w:rsid w:val="0021207F"/>
    <w:rsid w:val="00215ABA"/>
    <w:rsid w:val="002212B0"/>
    <w:rsid w:val="0022259A"/>
    <w:rsid w:val="00222B4C"/>
    <w:rsid w:val="002278D9"/>
    <w:rsid w:val="00231633"/>
    <w:rsid w:val="00231AA7"/>
    <w:rsid w:val="00232CA8"/>
    <w:rsid w:val="002341B1"/>
    <w:rsid w:val="00234A04"/>
    <w:rsid w:val="00235133"/>
    <w:rsid w:val="002352D5"/>
    <w:rsid w:val="00237F58"/>
    <w:rsid w:val="002418C4"/>
    <w:rsid w:val="00242F74"/>
    <w:rsid w:val="00245F1D"/>
    <w:rsid w:val="00247D55"/>
    <w:rsid w:val="0025060F"/>
    <w:rsid w:val="00254B47"/>
    <w:rsid w:val="002564A1"/>
    <w:rsid w:val="00260358"/>
    <w:rsid w:val="00265AAC"/>
    <w:rsid w:val="00266C29"/>
    <w:rsid w:val="002709CA"/>
    <w:rsid w:val="00271693"/>
    <w:rsid w:val="00273324"/>
    <w:rsid w:val="00273A39"/>
    <w:rsid w:val="00273D35"/>
    <w:rsid w:val="002765F5"/>
    <w:rsid w:val="00281D5F"/>
    <w:rsid w:val="00283140"/>
    <w:rsid w:val="00290739"/>
    <w:rsid w:val="0029077C"/>
    <w:rsid w:val="00291B81"/>
    <w:rsid w:val="00291C67"/>
    <w:rsid w:val="0029251E"/>
    <w:rsid w:val="00293C7F"/>
    <w:rsid w:val="0029479B"/>
    <w:rsid w:val="002948B9"/>
    <w:rsid w:val="00295B33"/>
    <w:rsid w:val="00296548"/>
    <w:rsid w:val="0029780A"/>
    <w:rsid w:val="00297F63"/>
    <w:rsid w:val="002A18B9"/>
    <w:rsid w:val="002A1ACC"/>
    <w:rsid w:val="002A252B"/>
    <w:rsid w:val="002A2F86"/>
    <w:rsid w:val="002A3084"/>
    <w:rsid w:val="002A370F"/>
    <w:rsid w:val="002A38B2"/>
    <w:rsid w:val="002A572B"/>
    <w:rsid w:val="002A76C1"/>
    <w:rsid w:val="002A7F2D"/>
    <w:rsid w:val="002B21D5"/>
    <w:rsid w:val="002B38A8"/>
    <w:rsid w:val="002B4802"/>
    <w:rsid w:val="002B605A"/>
    <w:rsid w:val="002B6A1D"/>
    <w:rsid w:val="002B6F68"/>
    <w:rsid w:val="002C1E37"/>
    <w:rsid w:val="002C2B85"/>
    <w:rsid w:val="002C305B"/>
    <w:rsid w:val="002C36CC"/>
    <w:rsid w:val="002C5D5E"/>
    <w:rsid w:val="002C644E"/>
    <w:rsid w:val="002D2CA2"/>
    <w:rsid w:val="002D4B62"/>
    <w:rsid w:val="002D4E08"/>
    <w:rsid w:val="002D54FC"/>
    <w:rsid w:val="002D5A63"/>
    <w:rsid w:val="002D5EA0"/>
    <w:rsid w:val="002D7139"/>
    <w:rsid w:val="002D7F85"/>
    <w:rsid w:val="002D7FDA"/>
    <w:rsid w:val="002E122A"/>
    <w:rsid w:val="002E1D9B"/>
    <w:rsid w:val="002E5751"/>
    <w:rsid w:val="002E6631"/>
    <w:rsid w:val="002E6FA2"/>
    <w:rsid w:val="002F0AA9"/>
    <w:rsid w:val="002F1A44"/>
    <w:rsid w:val="002F46E2"/>
    <w:rsid w:val="002F56D3"/>
    <w:rsid w:val="002F72A1"/>
    <w:rsid w:val="0030084D"/>
    <w:rsid w:val="00300F50"/>
    <w:rsid w:val="00301A18"/>
    <w:rsid w:val="00302A78"/>
    <w:rsid w:val="00302FC1"/>
    <w:rsid w:val="0031128D"/>
    <w:rsid w:val="003155F7"/>
    <w:rsid w:val="00315DE5"/>
    <w:rsid w:val="00315EE4"/>
    <w:rsid w:val="00320D6B"/>
    <w:rsid w:val="0032400D"/>
    <w:rsid w:val="00327548"/>
    <w:rsid w:val="00327753"/>
    <w:rsid w:val="0032777F"/>
    <w:rsid w:val="0033010B"/>
    <w:rsid w:val="00331B60"/>
    <w:rsid w:val="00332A32"/>
    <w:rsid w:val="00334FCC"/>
    <w:rsid w:val="00336219"/>
    <w:rsid w:val="00336780"/>
    <w:rsid w:val="00337EEC"/>
    <w:rsid w:val="00341C0A"/>
    <w:rsid w:val="00345A33"/>
    <w:rsid w:val="00345D14"/>
    <w:rsid w:val="0034683E"/>
    <w:rsid w:val="00347BEF"/>
    <w:rsid w:val="00353D6A"/>
    <w:rsid w:val="0035425D"/>
    <w:rsid w:val="00354B68"/>
    <w:rsid w:val="00354DE6"/>
    <w:rsid w:val="003551A6"/>
    <w:rsid w:val="00357295"/>
    <w:rsid w:val="003575A0"/>
    <w:rsid w:val="003607B1"/>
    <w:rsid w:val="0036332F"/>
    <w:rsid w:val="00363778"/>
    <w:rsid w:val="0036436A"/>
    <w:rsid w:val="0036524E"/>
    <w:rsid w:val="00366E89"/>
    <w:rsid w:val="00372F7F"/>
    <w:rsid w:val="00373B87"/>
    <w:rsid w:val="00375360"/>
    <w:rsid w:val="0037566E"/>
    <w:rsid w:val="00376331"/>
    <w:rsid w:val="0038139A"/>
    <w:rsid w:val="00381D7E"/>
    <w:rsid w:val="0038536E"/>
    <w:rsid w:val="00385CE1"/>
    <w:rsid w:val="003915F2"/>
    <w:rsid w:val="00392838"/>
    <w:rsid w:val="0039446E"/>
    <w:rsid w:val="003959CA"/>
    <w:rsid w:val="003960C1"/>
    <w:rsid w:val="0039705C"/>
    <w:rsid w:val="003A0809"/>
    <w:rsid w:val="003A0E04"/>
    <w:rsid w:val="003A10A7"/>
    <w:rsid w:val="003A1254"/>
    <w:rsid w:val="003A1570"/>
    <w:rsid w:val="003A396C"/>
    <w:rsid w:val="003A4D13"/>
    <w:rsid w:val="003A58B0"/>
    <w:rsid w:val="003A5F9B"/>
    <w:rsid w:val="003B2DA2"/>
    <w:rsid w:val="003B2E2D"/>
    <w:rsid w:val="003B32CB"/>
    <w:rsid w:val="003B3BEC"/>
    <w:rsid w:val="003B6AD9"/>
    <w:rsid w:val="003C1B0F"/>
    <w:rsid w:val="003C1DC8"/>
    <w:rsid w:val="003C247A"/>
    <w:rsid w:val="003C286C"/>
    <w:rsid w:val="003C5ADC"/>
    <w:rsid w:val="003C7B0A"/>
    <w:rsid w:val="003D06EC"/>
    <w:rsid w:val="003D258C"/>
    <w:rsid w:val="003D28D5"/>
    <w:rsid w:val="003D4583"/>
    <w:rsid w:val="003D47B0"/>
    <w:rsid w:val="003E21B0"/>
    <w:rsid w:val="003E4CB9"/>
    <w:rsid w:val="003E76A5"/>
    <w:rsid w:val="003E7722"/>
    <w:rsid w:val="003F65BF"/>
    <w:rsid w:val="00402A1C"/>
    <w:rsid w:val="00403425"/>
    <w:rsid w:val="00406987"/>
    <w:rsid w:val="00411E5A"/>
    <w:rsid w:val="00412493"/>
    <w:rsid w:val="00413EDB"/>
    <w:rsid w:val="004179EC"/>
    <w:rsid w:val="00420FF9"/>
    <w:rsid w:val="0042275B"/>
    <w:rsid w:val="00426F9C"/>
    <w:rsid w:val="00427635"/>
    <w:rsid w:val="0043202D"/>
    <w:rsid w:val="0043204E"/>
    <w:rsid w:val="0043328C"/>
    <w:rsid w:val="00433E1D"/>
    <w:rsid w:val="0043458D"/>
    <w:rsid w:val="00434644"/>
    <w:rsid w:val="00434801"/>
    <w:rsid w:val="00435313"/>
    <w:rsid w:val="0043581B"/>
    <w:rsid w:val="00436884"/>
    <w:rsid w:val="00437047"/>
    <w:rsid w:val="004411DC"/>
    <w:rsid w:val="00442BF9"/>
    <w:rsid w:val="00444434"/>
    <w:rsid w:val="0044586F"/>
    <w:rsid w:val="00446609"/>
    <w:rsid w:val="0044664A"/>
    <w:rsid w:val="004508BA"/>
    <w:rsid w:val="00455452"/>
    <w:rsid w:val="0045587D"/>
    <w:rsid w:val="004576DA"/>
    <w:rsid w:val="00460442"/>
    <w:rsid w:val="00460A34"/>
    <w:rsid w:val="004616C2"/>
    <w:rsid w:val="00461C26"/>
    <w:rsid w:val="00463CAD"/>
    <w:rsid w:val="004664CD"/>
    <w:rsid w:val="00466D92"/>
    <w:rsid w:val="004679A6"/>
    <w:rsid w:val="00471BCA"/>
    <w:rsid w:val="004763BF"/>
    <w:rsid w:val="00476745"/>
    <w:rsid w:val="00482403"/>
    <w:rsid w:val="004874A7"/>
    <w:rsid w:val="004916A8"/>
    <w:rsid w:val="00492CBF"/>
    <w:rsid w:val="004A2719"/>
    <w:rsid w:val="004A4CF2"/>
    <w:rsid w:val="004A6836"/>
    <w:rsid w:val="004A6930"/>
    <w:rsid w:val="004A6F4E"/>
    <w:rsid w:val="004A7828"/>
    <w:rsid w:val="004B1C87"/>
    <w:rsid w:val="004B3E42"/>
    <w:rsid w:val="004B4162"/>
    <w:rsid w:val="004B5C91"/>
    <w:rsid w:val="004B6989"/>
    <w:rsid w:val="004C173F"/>
    <w:rsid w:val="004C2E54"/>
    <w:rsid w:val="004C31FB"/>
    <w:rsid w:val="004C379F"/>
    <w:rsid w:val="004C495A"/>
    <w:rsid w:val="004C58F2"/>
    <w:rsid w:val="004C7F88"/>
    <w:rsid w:val="004D0C85"/>
    <w:rsid w:val="004D13F4"/>
    <w:rsid w:val="004D2CFF"/>
    <w:rsid w:val="004D37F6"/>
    <w:rsid w:val="004D4C7C"/>
    <w:rsid w:val="004D599C"/>
    <w:rsid w:val="004D5ECA"/>
    <w:rsid w:val="004D6E10"/>
    <w:rsid w:val="004E0DF9"/>
    <w:rsid w:val="004E18AE"/>
    <w:rsid w:val="004E2491"/>
    <w:rsid w:val="004E2C37"/>
    <w:rsid w:val="004E3D3A"/>
    <w:rsid w:val="004E6DC1"/>
    <w:rsid w:val="004F2FDB"/>
    <w:rsid w:val="004F3464"/>
    <w:rsid w:val="004F436A"/>
    <w:rsid w:val="004F6589"/>
    <w:rsid w:val="0050184E"/>
    <w:rsid w:val="005018E0"/>
    <w:rsid w:val="00503AB6"/>
    <w:rsid w:val="0050608A"/>
    <w:rsid w:val="00510A74"/>
    <w:rsid w:val="00510F67"/>
    <w:rsid w:val="00514705"/>
    <w:rsid w:val="00515E1E"/>
    <w:rsid w:val="00517F02"/>
    <w:rsid w:val="00522BE5"/>
    <w:rsid w:val="00522C8B"/>
    <w:rsid w:val="00523B8F"/>
    <w:rsid w:val="00524839"/>
    <w:rsid w:val="00524CB4"/>
    <w:rsid w:val="005264ED"/>
    <w:rsid w:val="00530F73"/>
    <w:rsid w:val="00533685"/>
    <w:rsid w:val="00535D8D"/>
    <w:rsid w:val="00536A9F"/>
    <w:rsid w:val="00536F65"/>
    <w:rsid w:val="00541A25"/>
    <w:rsid w:val="00541E86"/>
    <w:rsid w:val="005437EC"/>
    <w:rsid w:val="0055135E"/>
    <w:rsid w:val="00554732"/>
    <w:rsid w:val="00555515"/>
    <w:rsid w:val="00555D07"/>
    <w:rsid w:val="005576C4"/>
    <w:rsid w:val="00561A0A"/>
    <w:rsid w:val="00562118"/>
    <w:rsid w:val="0056459A"/>
    <w:rsid w:val="00570283"/>
    <w:rsid w:val="005720FD"/>
    <w:rsid w:val="005737BB"/>
    <w:rsid w:val="0057408E"/>
    <w:rsid w:val="005742F8"/>
    <w:rsid w:val="00574503"/>
    <w:rsid w:val="00576069"/>
    <w:rsid w:val="00580087"/>
    <w:rsid w:val="00580657"/>
    <w:rsid w:val="00586622"/>
    <w:rsid w:val="0059151A"/>
    <w:rsid w:val="00596A87"/>
    <w:rsid w:val="005A0CE4"/>
    <w:rsid w:val="005A1DD0"/>
    <w:rsid w:val="005A54CD"/>
    <w:rsid w:val="005A5CC8"/>
    <w:rsid w:val="005A7B1A"/>
    <w:rsid w:val="005B32DF"/>
    <w:rsid w:val="005B410D"/>
    <w:rsid w:val="005B4BA2"/>
    <w:rsid w:val="005B5F38"/>
    <w:rsid w:val="005B6FE1"/>
    <w:rsid w:val="005C0683"/>
    <w:rsid w:val="005C07BA"/>
    <w:rsid w:val="005C31C1"/>
    <w:rsid w:val="005D0994"/>
    <w:rsid w:val="005D1065"/>
    <w:rsid w:val="005D1793"/>
    <w:rsid w:val="005D1D28"/>
    <w:rsid w:val="005D23A0"/>
    <w:rsid w:val="005D3B3C"/>
    <w:rsid w:val="005D52EC"/>
    <w:rsid w:val="005D5AF6"/>
    <w:rsid w:val="005E10D7"/>
    <w:rsid w:val="005E2141"/>
    <w:rsid w:val="005E2BB3"/>
    <w:rsid w:val="005E39B0"/>
    <w:rsid w:val="005E3EBE"/>
    <w:rsid w:val="005E55C0"/>
    <w:rsid w:val="005E6F30"/>
    <w:rsid w:val="005F07F6"/>
    <w:rsid w:val="005F3985"/>
    <w:rsid w:val="005F43F0"/>
    <w:rsid w:val="005F54F2"/>
    <w:rsid w:val="005F68EF"/>
    <w:rsid w:val="005F6BD5"/>
    <w:rsid w:val="005F7632"/>
    <w:rsid w:val="006005E1"/>
    <w:rsid w:val="00604968"/>
    <w:rsid w:val="00605D32"/>
    <w:rsid w:val="00612C5C"/>
    <w:rsid w:val="0061415B"/>
    <w:rsid w:val="006159E9"/>
    <w:rsid w:val="00621117"/>
    <w:rsid w:val="006214E3"/>
    <w:rsid w:val="00622BC6"/>
    <w:rsid w:val="0062736D"/>
    <w:rsid w:val="00631AE5"/>
    <w:rsid w:val="00631B76"/>
    <w:rsid w:val="006324D4"/>
    <w:rsid w:val="006346E4"/>
    <w:rsid w:val="006354F5"/>
    <w:rsid w:val="006370A2"/>
    <w:rsid w:val="00641E11"/>
    <w:rsid w:val="0064226A"/>
    <w:rsid w:val="006429FF"/>
    <w:rsid w:val="0064313E"/>
    <w:rsid w:val="006431F6"/>
    <w:rsid w:val="0064330D"/>
    <w:rsid w:val="00645561"/>
    <w:rsid w:val="00645D67"/>
    <w:rsid w:val="00646DD1"/>
    <w:rsid w:val="00646FA5"/>
    <w:rsid w:val="00650926"/>
    <w:rsid w:val="00650E5C"/>
    <w:rsid w:val="006529CA"/>
    <w:rsid w:val="00652F15"/>
    <w:rsid w:val="00653B16"/>
    <w:rsid w:val="006547A8"/>
    <w:rsid w:val="00655C57"/>
    <w:rsid w:val="00655D3F"/>
    <w:rsid w:val="00665EF1"/>
    <w:rsid w:val="00666A54"/>
    <w:rsid w:val="00666C32"/>
    <w:rsid w:val="00674466"/>
    <w:rsid w:val="006752DD"/>
    <w:rsid w:val="00675985"/>
    <w:rsid w:val="00675B0E"/>
    <w:rsid w:val="00677C7E"/>
    <w:rsid w:val="00681D8D"/>
    <w:rsid w:val="00684EC3"/>
    <w:rsid w:val="006918F0"/>
    <w:rsid w:val="00693958"/>
    <w:rsid w:val="006958FD"/>
    <w:rsid w:val="0069777F"/>
    <w:rsid w:val="006A03BE"/>
    <w:rsid w:val="006A25D0"/>
    <w:rsid w:val="006A269F"/>
    <w:rsid w:val="006A4F05"/>
    <w:rsid w:val="006A5985"/>
    <w:rsid w:val="006A5D37"/>
    <w:rsid w:val="006A66C4"/>
    <w:rsid w:val="006A7569"/>
    <w:rsid w:val="006A7D22"/>
    <w:rsid w:val="006B032A"/>
    <w:rsid w:val="006B60F7"/>
    <w:rsid w:val="006B64EA"/>
    <w:rsid w:val="006B666F"/>
    <w:rsid w:val="006C0ECE"/>
    <w:rsid w:val="006C2868"/>
    <w:rsid w:val="006C37B7"/>
    <w:rsid w:val="006C415D"/>
    <w:rsid w:val="006C5157"/>
    <w:rsid w:val="006C601B"/>
    <w:rsid w:val="006C72F7"/>
    <w:rsid w:val="006D002E"/>
    <w:rsid w:val="006D0AFA"/>
    <w:rsid w:val="006D0C61"/>
    <w:rsid w:val="006D450F"/>
    <w:rsid w:val="006E0FDD"/>
    <w:rsid w:val="006E1070"/>
    <w:rsid w:val="006E57A4"/>
    <w:rsid w:val="006F0CF8"/>
    <w:rsid w:val="006F14CC"/>
    <w:rsid w:val="006F230B"/>
    <w:rsid w:val="006F2DA6"/>
    <w:rsid w:val="006F3355"/>
    <w:rsid w:val="006F46DF"/>
    <w:rsid w:val="006F57B3"/>
    <w:rsid w:val="006F6D11"/>
    <w:rsid w:val="0070263A"/>
    <w:rsid w:val="00704B60"/>
    <w:rsid w:val="00713471"/>
    <w:rsid w:val="0071404A"/>
    <w:rsid w:val="007158ED"/>
    <w:rsid w:val="00716AF6"/>
    <w:rsid w:val="00720684"/>
    <w:rsid w:val="00724D34"/>
    <w:rsid w:val="00726423"/>
    <w:rsid w:val="00731E84"/>
    <w:rsid w:val="00731FAA"/>
    <w:rsid w:val="00732F7A"/>
    <w:rsid w:val="0073355E"/>
    <w:rsid w:val="0073785C"/>
    <w:rsid w:val="007400B3"/>
    <w:rsid w:val="007403E4"/>
    <w:rsid w:val="00740DCA"/>
    <w:rsid w:val="00742395"/>
    <w:rsid w:val="0074266B"/>
    <w:rsid w:val="0074590F"/>
    <w:rsid w:val="00745E50"/>
    <w:rsid w:val="0074668D"/>
    <w:rsid w:val="00746D89"/>
    <w:rsid w:val="0075003B"/>
    <w:rsid w:val="007502E8"/>
    <w:rsid w:val="007530FC"/>
    <w:rsid w:val="00753649"/>
    <w:rsid w:val="00753EE8"/>
    <w:rsid w:val="0075545D"/>
    <w:rsid w:val="00756581"/>
    <w:rsid w:val="00757129"/>
    <w:rsid w:val="00762731"/>
    <w:rsid w:val="00766733"/>
    <w:rsid w:val="00767E27"/>
    <w:rsid w:val="00770001"/>
    <w:rsid w:val="00770189"/>
    <w:rsid w:val="0077102C"/>
    <w:rsid w:val="0077733C"/>
    <w:rsid w:val="007800E2"/>
    <w:rsid w:val="00784D12"/>
    <w:rsid w:val="00785876"/>
    <w:rsid w:val="00791DDB"/>
    <w:rsid w:val="00792D9B"/>
    <w:rsid w:val="0079573C"/>
    <w:rsid w:val="00795A11"/>
    <w:rsid w:val="00796AEC"/>
    <w:rsid w:val="00797A48"/>
    <w:rsid w:val="007A1950"/>
    <w:rsid w:val="007A3479"/>
    <w:rsid w:val="007A4E20"/>
    <w:rsid w:val="007A578D"/>
    <w:rsid w:val="007A78DE"/>
    <w:rsid w:val="007B0ECC"/>
    <w:rsid w:val="007B5A07"/>
    <w:rsid w:val="007B7D4D"/>
    <w:rsid w:val="007C003E"/>
    <w:rsid w:val="007C01F7"/>
    <w:rsid w:val="007C0348"/>
    <w:rsid w:val="007C1441"/>
    <w:rsid w:val="007C39B1"/>
    <w:rsid w:val="007C51CB"/>
    <w:rsid w:val="007C72EF"/>
    <w:rsid w:val="007C7FAC"/>
    <w:rsid w:val="007D5162"/>
    <w:rsid w:val="007D5F58"/>
    <w:rsid w:val="007E194E"/>
    <w:rsid w:val="007E3DFF"/>
    <w:rsid w:val="007E4248"/>
    <w:rsid w:val="007E6E5D"/>
    <w:rsid w:val="007F6E2B"/>
    <w:rsid w:val="007F7234"/>
    <w:rsid w:val="008011BF"/>
    <w:rsid w:val="00801CC1"/>
    <w:rsid w:val="00802550"/>
    <w:rsid w:val="00806A18"/>
    <w:rsid w:val="00806DFB"/>
    <w:rsid w:val="008108E7"/>
    <w:rsid w:val="00812D78"/>
    <w:rsid w:val="0081331E"/>
    <w:rsid w:val="00821030"/>
    <w:rsid w:val="0082151E"/>
    <w:rsid w:val="00821716"/>
    <w:rsid w:val="00823808"/>
    <w:rsid w:val="00823C4E"/>
    <w:rsid w:val="00830C60"/>
    <w:rsid w:val="00830D50"/>
    <w:rsid w:val="00831C18"/>
    <w:rsid w:val="00834152"/>
    <w:rsid w:val="00835030"/>
    <w:rsid w:val="008373C8"/>
    <w:rsid w:val="00840C8E"/>
    <w:rsid w:val="0084298C"/>
    <w:rsid w:val="00842DB6"/>
    <w:rsid w:val="00843615"/>
    <w:rsid w:val="00843B8E"/>
    <w:rsid w:val="008447A9"/>
    <w:rsid w:val="00847764"/>
    <w:rsid w:val="0084787C"/>
    <w:rsid w:val="00847CC2"/>
    <w:rsid w:val="0085093F"/>
    <w:rsid w:val="00853EA5"/>
    <w:rsid w:val="00854D84"/>
    <w:rsid w:val="0085635D"/>
    <w:rsid w:val="0085769E"/>
    <w:rsid w:val="00862E60"/>
    <w:rsid w:val="00865CD5"/>
    <w:rsid w:val="008663A6"/>
    <w:rsid w:val="00872A34"/>
    <w:rsid w:val="0087563C"/>
    <w:rsid w:val="00876CFE"/>
    <w:rsid w:val="0087743C"/>
    <w:rsid w:val="0088143C"/>
    <w:rsid w:val="00881ED4"/>
    <w:rsid w:val="008820F7"/>
    <w:rsid w:val="008829F2"/>
    <w:rsid w:val="00883AAE"/>
    <w:rsid w:val="008858BF"/>
    <w:rsid w:val="00886E4A"/>
    <w:rsid w:val="00890463"/>
    <w:rsid w:val="008912E1"/>
    <w:rsid w:val="00893A55"/>
    <w:rsid w:val="00895DA0"/>
    <w:rsid w:val="008963B1"/>
    <w:rsid w:val="008A06F1"/>
    <w:rsid w:val="008A1883"/>
    <w:rsid w:val="008A23EF"/>
    <w:rsid w:val="008A6847"/>
    <w:rsid w:val="008A703A"/>
    <w:rsid w:val="008A7B95"/>
    <w:rsid w:val="008B1BE8"/>
    <w:rsid w:val="008B2983"/>
    <w:rsid w:val="008B3212"/>
    <w:rsid w:val="008B46A8"/>
    <w:rsid w:val="008B4E16"/>
    <w:rsid w:val="008B781D"/>
    <w:rsid w:val="008C2254"/>
    <w:rsid w:val="008C7940"/>
    <w:rsid w:val="008D17DF"/>
    <w:rsid w:val="008D201F"/>
    <w:rsid w:val="008D23B2"/>
    <w:rsid w:val="008D782C"/>
    <w:rsid w:val="008E1353"/>
    <w:rsid w:val="008E2BB6"/>
    <w:rsid w:val="008E2F6E"/>
    <w:rsid w:val="008E3A7D"/>
    <w:rsid w:val="008E3ED2"/>
    <w:rsid w:val="008E72F7"/>
    <w:rsid w:val="008E7A9A"/>
    <w:rsid w:val="008F08D6"/>
    <w:rsid w:val="008F3D99"/>
    <w:rsid w:val="008F4151"/>
    <w:rsid w:val="008F4FDD"/>
    <w:rsid w:val="008F5CA8"/>
    <w:rsid w:val="008F619F"/>
    <w:rsid w:val="008F69D1"/>
    <w:rsid w:val="008F797A"/>
    <w:rsid w:val="00905DF8"/>
    <w:rsid w:val="00907025"/>
    <w:rsid w:val="009105EC"/>
    <w:rsid w:val="00910672"/>
    <w:rsid w:val="009137AB"/>
    <w:rsid w:val="00916DE7"/>
    <w:rsid w:val="009171D8"/>
    <w:rsid w:val="00920375"/>
    <w:rsid w:val="009215DF"/>
    <w:rsid w:val="00922985"/>
    <w:rsid w:val="0092312B"/>
    <w:rsid w:val="00923145"/>
    <w:rsid w:val="00923836"/>
    <w:rsid w:val="00925D83"/>
    <w:rsid w:val="0092643B"/>
    <w:rsid w:val="0093108F"/>
    <w:rsid w:val="00934010"/>
    <w:rsid w:val="0093423A"/>
    <w:rsid w:val="00935A89"/>
    <w:rsid w:val="009367EF"/>
    <w:rsid w:val="0093712B"/>
    <w:rsid w:val="00940113"/>
    <w:rsid w:val="009447AA"/>
    <w:rsid w:val="00951E06"/>
    <w:rsid w:val="00952084"/>
    <w:rsid w:val="00952D6F"/>
    <w:rsid w:val="00953F9F"/>
    <w:rsid w:val="009569E9"/>
    <w:rsid w:val="009601CF"/>
    <w:rsid w:val="00964D29"/>
    <w:rsid w:val="00966416"/>
    <w:rsid w:val="00966968"/>
    <w:rsid w:val="00966F7D"/>
    <w:rsid w:val="00971D13"/>
    <w:rsid w:val="00974682"/>
    <w:rsid w:val="00975378"/>
    <w:rsid w:val="0097613E"/>
    <w:rsid w:val="009808B5"/>
    <w:rsid w:val="00982B7E"/>
    <w:rsid w:val="00985BB9"/>
    <w:rsid w:val="009876BA"/>
    <w:rsid w:val="009902E8"/>
    <w:rsid w:val="009A2E8D"/>
    <w:rsid w:val="009A4D0B"/>
    <w:rsid w:val="009A79F3"/>
    <w:rsid w:val="009A7F7F"/>
    <w:rsid w:val="009B45F3"/>
    <w:rsid w:val="009C1423"/>
    <w:rsid w:val="009C2A86"/>
    <w:rsid w:val="009C395F"/>
    <w:rsid w:val="009C5B5B"/>
    <w:rsid w:val="009C79BC"/>
    <w:rsid w:val="009D1280"/>
    <w:rsid w:val="009D196C"/>
    <w:rsid w:val="009D6FE0"/>
    <w:rsid w:val="009D7232"/>
    <w:rsid w:val="009E2857"/>
    <w:rsid w:val="009E430C"/>
    <w:rsid w:val="009F0C2C"/>
    <w:rsid w:val="009F304D"/>
    <w:rsid w:val="009F4BE6"/>
    <w:rsid w:val="009F6C33"/>
    <w:rsid w:val="009F7100"/>
    <w:rsid w:val="00A0016E"/>
    <w:rsid w:val="00A02249"/>
    <w:rsid w:val="00A0755F"/>
    <w:rsid w:val="00A07E42"/>
    <w:rsid w:val="00A112D0"/>
    <w:rsid w:val="00A11A31"/>
    <w:rsid w:val="00A1377F"/>
    <w:rsid w:val="00A15145"/>
    <w:rsid w:val="00A1615C"/>
    <w:rsid w:val="00A178AC"/>
    <w:rsid w:val="00A17A51"/>
    <w:rsid w:val="00A2002D"/>
    <w:rsid w:val="00A21ABC"/>
    <w:rsid w:val="00A21CEE"/>
    <w:rsid w:val="00A2331E"/>
    <w:rsid w:val="00A234DD"/>
    <w:rsid w:val="00A23849"/>
    <w:rsid w:val="00A23967"/>
    <w:rsid w:val="00A23F2E"/>
    <w:rsid w:val="00A2647C"/>
    <w:rsid w:val="00A26A75"/>
    <w:rsid w:val="00A27AD0"/>
    <w:rsid w:val="00A335A7"/>
    <w:rsid w:val="00A34EE6"/>
    <w:rsid w:val="00A3511C"/>
    <w:rsid w:val="00A3582E"/>
    <w:rsid w:val="00A35CD3"/>
    <w:rsid w:val="00A4495E"/>
    <w:rsid w:val="00A459AB"/>
    <w:rsid w:val="00A47B11"/>
    <w:rsid w:val="00A47C38"/>
    <w:rsid w:val="00A51459"/>
    <w:rsid w:val="00A5195E"/>
    <w:rsid w:val="00A52045"/>
    <w:rsid w:val="00A5380F"/>
    <w:rsid w:val="00A540B0"/>
    <w:rsid w:val="00A562A6"/>
    <w:rsid w:val="00A57250"/>
    <w:rsid w:val="00A60E0B"/>
    <w:rsid w:val="00A61B63"/>
    <w:rsid w:val="00A6490D"/>
    <w:rsid w:val="00A6553C"/>
    <w:rsid w:val="00A66BFA"/>
    <w:rsid w:val="00A67FFD"/>
    <w:rsid w:val="00A71B05"/>
    <w:rsid w:val="00A73958"/>
    <w:rsid w:val="00A74165"/>
    <w:rsid w:val="00A749BE"/>
    <w:rsid w:val="00A815C3"/>
    <w:rsid w:val="00A84023"/>
    <w:rsid w:val="00A85019"/>
    <w:rsid w:val="00A863DD"/>
    <w:rsid w:val="00A9004C"/>
    <w:rsid w:val="00A90DFF"/>
    <w:rsid w:val="00A90FD4"/>
    <w:rsid w:val="00A97C16"/>
    <w:rsid w:val="00AA56E0"/>
    <w:rsid w:val="00AA5A99"/>
    <w:rsid w:val="00AA6185"/>
    <w:rsid w:val="00AA676F"/>
    <w:rsid w:val="00AB072A"/>
    <w:rsid w:val="00AB314E"/>
    <w:rsid w:val="00AB6219"/>
    <w:rsid w:val="00AB6424"/>
    <w:rsid w:val="00AB6DB4"/>
    <w:rsid w:val="00AB7E16"/>
    <w:rsid w:val="00AC26FC"/>
    <w:rsid w:val="00AC4313"/>
    <w:rsid w:val="00AC53CC"/>
    <w:rsid w:val="00AC63BF"/>
    <w:rsid w:val="00AD2D3A"/>
    <w:rsid w:val="00AD475C"/>
    <w:rsid w:val="00AD4F4C"/>
    <w:rsid w:val="00AD6C8F"/>
    <w:rsid w:val="00AD6F8C"/>
    <w:rsid w:val="00AE0505"/>
    <w:rsid w:val="00AE1200"/>
    <w:rsid w:val="00AE227D"/>
    <w:rsid w:val="00AE42DF"/>
    <w:rsid w:val="00AE551E"/>
    <w:rsid w:val="00AE6476"/>
    <w:rsid w:val="00AE660B"/>
    <w:rsid w:val="00AF3F8D"/>
    <w:rsid w:val="00AF5794"/>
    <w:rsid w:val="00B0108C"/>
    <w:rsid w:val="00B04D79"/>
    <w:rsid w:val="00B11D11"/>
    <w:rsid w:val="00B13D05"/>
    <w:rsid w:val="00B15837"/>
    <w:rsid w:val="00B16133"/>
    <w:rsid w:val="00B16E69"/>
    <w:rsid w:val="00B20335"/>
    <w:rsid w:val="00B2123C"/>
    <w:rsid w:val="00B33961"/>
    <w:rsid w:val="00B345E8"/>
    <w:rsid w:val="00B36051"/>
    <w:rsid w:val="00B37209"/>
    <w:rsid w:val="00B37937"/>
    <w:rsid w:val="00B415F0"/>
    <w:rsid w:val="00B43376"/>
    <w:rsid w:val="00B43E7C"/>
    <w:rsid w:val="00B440F8"/>
    <w:rsid w:val="00B44578"/>
    <w:rsid w:val="00B45532"/>
    <w:rsid w:val="00B46F1E"/>
    <w:rsid w:val="00B5320B"/>
    <w:rsid w:val="00B53CAF"/>
    <w:rsid w:val="00B54DB3"/>
    <w:rsid w:val="00B5650B"/>
    <w:rsid w:val="00B57063"/>
    <w:rsid w:val="00B5717B"/>
    <w:rsid w:val="00B578C9"/>
    <w:rsid w:val="00B609DB"/>
    <w:rsid w:val="00B622F8"/>
    <w:rsid w:val="00B639E3"/>
    <w:rsid w:val="00B6546F"/>
    <w:rsid w:val="00B65CC4"/>
    <w:rsid w:val="00B7020C"/>
    <w:rsid w:val="00B72665"/>
    <w:rsid w:val="00B75E34"/>
    <w:rsid w:val="00B7645E"/>
    <w:rsid w:val="00B76F43"/>
    <w:rsid w:val="00B90661"/>
    <w:rsid w:val="00B90F76"/>
    <w:rsid w:val="00B9168A"/>
    <w:rsid w:val="00B91A7F"/>
    <w:rsid w:val="00B91E3D"/>
    <w:rsid w:val="00B92FCB"/>
    <w:rsid w:val="00B94736"/>
    <w:rsid w:val="00B94FD9"/>
    <w:rsid w:val="00B9648E"/>
    <w:rsid w:val="00B96910"/>
    <w:rsid w:val="00BA0B98"/>
    <w:rsid w:val="00BA0BEA"/>
    <w:rsid w:val="00BA0D10"/>
    <w:rsid w:val="00BA25F8"/>
    <w:rsid w:val="00BA267B"/>
    <w:rsid w:val="00BA5FB2"/>
    <w:rsid w:val="00BA655E"/>
    <w:rsid w:val="00BB0DFB"/>
    <w:rsid w:val="00BB1C28"/>
    <w:rsid w:val="00BB2F5E"/>
    <w:rsid w:val="00BB36DD"/>
    <w:rsid w:val="00BB3F4A"/>
    <w:rsid w:val="00BC1563"/>
    <w:rsid w:val="00BC1BEC"/>
    <w:rsid w:val="00BC227B"/>
    <w:rsid w:val="00BC636A"/>
    <w:rsid w:val="00BD03C6"/>
    <w:rsid w:val="00BD213C"/>
    <w:rsid w:val="00BD2D5A"/>
    <w:rsid w:val="00BD3AE4"/>
    <w:rsid w:val="00BD438F"/>
    <w:rsid w:val="00BD5FF1"/>
    <w:rsid w:val="00BD6DBF"/>
    <w:rsid w:val="00BE007E"/>
    <w:rsid w:val="00BE18C3"/>
    <w:rsid w:val="00BE6C1C"/>
    <w:rsid w:val="00BF0081"/>
    <w:rsid w:val="00BF1706"/>
    <w:rsid w:val="00BF3696"/>
    <w:rsid w:val="00BF44A9"/>
    <w:rsid w:val="00BF50F6"/>
    <w:rsid w:val="00BF5E44"/>
    <w:rsid w:val="00BF6777"/>
    <w:rsid w:val="00BF6CB7"/>
    <w:rsid w:val="00C001AD"/>
    <w:rsid w:val="00C00932"/>
    <w:rsid w:val="00C01683"/>
    <w:rsid w:val="00C038C5"/>
    <w:rsid w:val="00C04ED0"/>
    <w:rsid w:val="00C05AE7"/>
    <w:rsid w:val="00C06524"/>
    <w:rsid w:val="00C12583"/>
    <w:rsid w:val="00C13442"/>
    <w:rsid w:val="00C136EA"/>
    <w:rsid w:val="00C1661E"/>
    <w:rsid w:val="00C16D34"/>
    <w:rsid w:val="00C1716F"/>
    <w:rsid w:val="00C17890"/>
    <w:rsid w:val="00C20390"/>
    <w:rsid w:val="00C265D2"/>
    <w:rsid w:val="00C3087E"/>
    <w:rsid w:val="00C30952"/>
    <w:rsid w:val="00C3120E"/>
    <w:rsid w:val="00C32759"/>
    <w:rsid w:val="00C332AC"/>
    <w:rsid w:val="00C358A0"/>
    <w:rsid w:val="00C35E1F"/>
    <w:rsid w:val="00C35E41"/>
    <w:rsid w:val="00C40AD8"/>
    <w:rsid w:val="00C421C9"/>
    <w:rsid w:val="00C4451C"/>
    <w:rsid w:val="00C459A2"/>
    <w:rsid w:val="00C45D90"/>
    <w:rsid w:val="00C46531"/>
    <w:rsid w:val="00C514B7"/>
    <w:rsid w:val="00C51C3B"/>
    <w:rsid w:val="00C5534D"/>
    <w:rsid w:val="00C574BA"/>
    <w:rsid w:val="00C57E56"/>
    <w:rsid w:val="00C6103B"/>
    <w:rsid w:val="00C6518D"/>
    <w:rsid w:val="00C6530D"/>
    <w:rsid w:val="00C67366"/>
    <w:rsid w:val="00C67D7C"/>
    <w:rsid w:val="00C70C1F"/>
    <w:rsid w:val="00C70DF9"/>
    <w:rsid w:val="00C713C9"/>
    <w:rsid w:val="00C74835"/>
    <w:rsid w:val="00C76D45"/>
    <w:rsid w:val="00C76F25"/>
    <w:rsid w:val="00C77992"/>
    <w:rsid w:val="00C77EDC"/>
    <w:rsid w:val="00C805A1"/>
    <w:rsid w:val="00C82439"/>
    <w:rsid w:val="00C83409"/>
    <w:rsid w:val="00C83B24"/>
    <w:rsid w:val="00C85636"/>
    <w:rsid w:val="00C91043"/>
    <w:rsid w:val="00C963F7"/>
    <w:rsid w:val="00C97842"/>
    <w:rsid w:val="00CA3873"/>
    <w:rsid w:val="00CA4CA9"/>
    <w:rsid w:val="00CB37CF"/>
    <w:rsid w:val="00CC14BD"/>
    <w:rsid w:val="00CC3CE0"/>
    <w:rsid w:val="00CC43EB"/>
    <w:rsid w:val="00CC4BA8"/>
    <w:rsid w:val="00CC6128"/>
    <w:rsid w:val="00CC63F6"/>
    <w:rsid w:val="00CD105B"/>
    <w:rsid w:val="00CD23A3"/>
    <w:rsid w:val="00CD308D"/>
    <w:rsid w:val="00CD4311"/>
    <w:rsid w:val="00CD4BFD"/>
    <w:rsid w:val="00CF00FD"/>
    <w:rsid w:val="00CF0C30"/>
    <w:rsid w:val="00CF2642"/>
    <w:rsid w:val="00CF4E27"/>
    <w:rsid w:val="00CF5C5E"/>
    <w:rsid w:val="00CF7BC5"/>
    <w:rsid w:val="00D00B34"/>
    <w:rsid w:val="00D018D8"/>
    <w:rsid w:val="00D029DC"/>
    <w:rsid w:val="00D02A8A"/>
    <w:rsid w:val="00D02F8C"/>
    <w:rsid w:val="00D04A41"/>
    <w:rsid w:val="00D04F05"/>
    <w:rsid w:val="00D069EB"/>
    <w:rsid w:val="00D07F70"/>
    <w:rsid w:val="00D10855"/>
    <w:rsid w:val="00D11DC5"/>
    <w:rsid w:val="00D16C2D"/>
    <w:rsid w:val="00D16C55"/>
    <w:rsid w:val="00D170BE"/>
    <w:rsid w:val="00D1728A"/>
    <w:rsid w:val="00D1782D"/>
    <w:rsid w:val="00D17A31"/>
    <w:rsid w:val="00D17C5A"/>
    <w:rsid w:val="00D2073D"/>
    <w:rsid w:val="00D2199F"/>
    <w:rsid w:val="00D2662A"/>
    <w:rsid w:val="00D27BCE"/>
    <w:rsid w:val="00D31E21"/>
    <w:rsid w:val="00D31FAC"/>
    <w:rsid w:val="00D336BB"/>
    <w:rsid w:val="00D37F03"/>
    <w:rsid w:val="00D4258E"/>
    <w:rsid w:val="00D43E02"/>
    <w:rsid w:val="00D4542F"/>
    <w:rsid w:val="00D45DEF"/>
    <w:rsid w:val="00D47E8B"/>
    <w:rsid w:val="00D51613"/>
    <w:rsid w:val="00D53DFF"/>
    <w:rsid w:val="00D63AE4"/>
    <w:rsid w:val="00D64931"/>
    <w:rsid w:val="00D673CE"/>
    <w:rsid w:val="00D67C15"/>
    <w:rsid w:val="00D67CF6"/>
    <w:rsid w:val="00D717A3"/>
    <w:rsid w:val="00D71D07"/>
    <w:rsid w:val="00D71EF4"/>
    <w:rsid w:val="00D72CE4"/>
    <w:rsid w:val="00D733C7"/>
    <w:rsid w:val="00D73FBD"/>
    <w:rsid w:val="00D765FC"/>
    <w:rsid w:val="00D80479"/>
    <w:rsid w:val="00D81939"/>
    <w:rsid w:val="00D81ABC"/>
    <w:rsid w:val="00D830F3"/>
    <w:rsid w:val="00D857C6"/>
    <w:rsid w:val="00D906E6"/>
    <w:rsid w:val="00D93FF3"/>
    <w:rsid w:val="00D96905"/>
    <w:rsid w:val="00D971E2"/>
    <w:rsid w:val="00D97547"/>
    <w:rsid w:val="00DA070B"/>
    <w:rsid w:val="00DA32E8"/>
    <w:rsid w:val="00DA39F4"/>
    <w:rsid w:val="00DA618E"/>
    <w:rsid w:val="00DA7A3C"/>
    <w:rsid w:val="00DA7A4A"/>
    <w:rsid w:val="00DA7ABA"/>
    <w:rsid w:val="00DB0A57"/>
    <w:rsid w:val="00DB3BBB"/>
    <w:rsid w:val="00DB4CA4"/>
    <w:rsid w:val="00DB62B9"/>
    <w:rsid w:val="00DB6E3E"/>
    <w:rsid w:val="00DC06C6"/>
    <w:rsid w:val="00DC098A"/>
    <w:rsid w:val="00DC176A"/>
    <w:rsid w:val="00DC1B98"/>
    <w:rsid w:val="00DC3F13"/>
    <w:rsid w:val="00DC407A"/>
    <w:rsid w:val="00DC54F5"/>
    <w:rsid w:val="00DC68D6"/>
    <w:rsid w:val="00DC783E"/>
    <w:rsid w:val="00DD08D2"/>
    <w:rsid w:val="00DD1438"/>
    <w:rsid w:val="00DD49A9"/>
    <w:rsid w:val="00DD5E80"/>
    <w:rsid w:val="00DE1071"/>
    <w:rsid w:val="00DE4CF2"/>
    <w:rsid w:val="00DE6460"/>
    <w:rsid w:val="00DF3947"/>
    <w:rsid w:val="00DF4DDF"/>
    <w:rsid w:val="00DF7C7F"/>
    <w:rsid w:val="00E02C5E"/>
    <w:rsid w:val="00E03DFB"/>
    <w:rsid w:val="00E04AC2"/>
    <w:rsid w:val="00E129B2"/>
    <w:rsid w:val="00E13FD9"/>
    <w:rsid w:val="00E1505A"/>
    <w:rsid w:val="00E15EA6"/>
    <w:rsid w:val="00E16C8C"/>
    <w:rsid w:val="00E20DE7"/>
    <w:rsid w:val="00E2143D"/>
    <w:rsid w:val="00E226F7"/>
    <w:rsid w:val="00E253E5"/>
    <w:rsid w:val="00E26223"/>
    <w:rsid w:val="00E275C6"/>
    <w:rsid w:val="00E30E2B"/>
    <w:rsid w:val="00E3338E"/>
    <w:rsid w:val="00E355FA"/>
    <w:rsid w:val="00E36BAE"/>
    <w:rsid w:val="00E40CCA"/>
    <w:rsid w:val="00E4316B"/>
    <w:rsid w:val="00E447C6"/>
    <w:rsid w:val="00E44C69"/>
    <w:rsid w:val="00E46DB4"/>
    <w:rsid w:val="00E47447"/>
    <w:rsid w:val="00E5168E"/>
    <w:rsid w:val="00E5257D"/>
    <w:rsid w:val="00E5300C"/>
    <w:rsid w:val="00E56755"/>
    <w:rsid w:val="00E6132A"/>
    <w:rsid w:val="00E61728"/>
    <w:rsid w:val="00E63273"/>
    <w:rsid w:val="00E63570"/>
    <w:rsid w:val="00E652AA"/>
    <w:rsid w:val="00E65AE9"/>
    <w:rsid w:val="00E660D2"/>
    <w:rsid w:val="00E71136"/>
    <w:rsid w:val="00E754E2"/>
    <w:rsid w:val="00E80CAE"/>
    <w:rsid w:val="00E81033"/>
    <w:rsid w:val="00E82186"/>
    <w:rsid w:val="00E85B51"/>
    <w:rsid w:val="00E85EAD"/>
    <w:rsid w:val="00E878B0"/>
    <w:rsid w:val="00E91844"/>
    <w:rsid w:val="00E91BE2"/>
    <w:rsid w:val="00E91FBD"/>
    <w:rsid w:val="00E9413D"/>
    <w:rsid w:val="00E94ACA"/>
    <w:rsid w:val="00E96768"/>
    <w:rsid w:val="00E973C4"/>
    <w:rsid w:val="00EA01AB"/>
    <w:rsid w:val="00EA17DB"/>
    <w:rsid w:val="00EA257D"/>
    <w:rsid w:val="00EA2B4E"/>
    <w:rsid w:val="00EA3C6F"/>
    <w:rsid w:val="00EA49F0"/>
    <w:rsid w:val="00EA6F15"/>
    <w:rsid w:val="00EB0420"/>
    <w:rsid w:val="00EB0BE1"/>
    <w:rsid w:val="00EB2F01"/>
    <w:rsid w:val="00EB3889"/>
    <w:rsid w:val="00EB4205"/>
    <w:rsid w:val="00EB468F"/>
    <w:rsid w:val="00EC113D"/>
    <w:rsid w:val="00EC606D"/>
    <w:rsid w:val="00EC686D"/>
    <w:rsid w:val="00EC6AE5"/>
    <w:rsid w:val="00EC6D7E"/>
    <w:rsid w:val="00EC6FBF"/>
    <w:rsid w:val="00ED1CE2"/>
    <w:rsid w:val="00ED4F29"/>
    <w:rsid w:val="00ED5AA2"/>
    <w:rsid w:val="00ED69CB"/>
    <w:rsid w:val="00EE1BDA"/>
    <w:rsid w:val="00EE2245"/>
    <w:rsid w:val="00EE2FDE"/>
    <w:rsid w:val="00EE3767"/>
    <w:rsid w:val="00EE62FC"/>
    <w:rsid w:val="00EE773D"/>
    <w:rsid w:val="00EF2725"/>
    <w:rsid w:val="00EF5C8D"/>
    <w:rsid w:val="00EF72BD"/>
    <w:rsid w:val="00F00F96"/>
    <w:rsid w:val="00F017DA"/>
    <w:rsid w:val="00F0718D"/>
    <w:rsid w:val="00F1340F"/>
    <w:rsid w:val="00F14F50"/>
    <w:rsid w:val="00F1558E"/>
    <w:rsid w:val="00F17B8B"/>
    <w:rsid w:val="00F21E12"/>
    <w:rsid w:val="00F23578"/>
    <w:rsid w:val="00F25971"/>
    <w:rsid w:val="00F27EB2"/>
    <w:rsid w:val="00F30354"/>
    <w:rsid w:val="00F3067D"/>
    <w:rsid w:val="00F30AD0"/>
    <w:rsid w:val="00F30BBD"/>
    <w:rsid w:val="00F30FDE"/>
    <w:rsid w:val="00F361D4"/>
    <w:rsid w:val="00F36AAA"/>
    <w:rsid w:val="00F37DD9"/>
    <w:rsid w:val="00F43919"/>
    <w:rsid w:val="00F46B8C"/>
    <w:rsid w:val="00F47D15"/>
    <w:rsid w:val="00F51973"/>
    <w:rsid w:val="00F55144"/>
    <w:rsid w:val="00F552BE"/>
    <w:rsid w:val="00F55943"/>
    <w:rsid w:val="00F57F83"/>
    <w:rsid w:val="00F61A40"/>
    <w:rsid w:val="00F62304"/>
    <w:rsid w:val="00F624E6"/>
    <w:rsid w:val="00F630FE"/>
    <w:rsid w:val="00F63854"/>
    <w:rsid w:val="00F6612C"/>
    <w:rsid w:val="00F72089"/>
    <w:rsid w:val="00F773FC"/>
    <w:rsid w:val="00F82AF8"/>
    <w:rsid w:val="00F850A4"/>
    <w:rsid w:val="00F90003"/>
    <w:rsid w:val="00F90D18"/>
    <w:rsid w:val="00F914F3"/>
    <w:rsid w:val="00F91D0C"/>
    <w:rsid w:val="00F938F8"/>
    <w:rsid w:val="00F96E11"/>
    <w:rsid w:val="00F97FDF"/>
    <w:rsid w:val="00FA0214"/>
    <w:rsid w:val="00FA13B3"/>
    <w:rsid w:val="00FA1BD6"/>
    <w:rsid w:val="00FA1CA7"/>
    <w:rsid w:val="00FA24C2"/>
    <w:rsid w:val="00FA4251"/>
    <w:rsid w:val="00FA4412"/>
    <w:rsid w:val="00FB0775"/>
    <w:rsid w:val="00FB4406"/>
    <w:rsid w:val="00FB4493"/>
    <w:rsid w:val="00FB4D28"/>
    <w:rsid w:val="00FB5DE9"/>
    <w:rsid w:val="00FB6426"/>
    <w:rsid w:val="00FC06F9"/>
    <w:rsid w:val="00FC2339"/>
    <w:rsid w:val="00FC2417"/>
    <w:rsid w:val="00FC2A04"/>
    <w:rsid w:val="00FC2D54"/>
    <w:rsid w:val="00FC3EFB"/>
    <w:rsid w:val="00FC3FCA"/>
    <w:rsid w:val="00FC57AD"/>
    <w:rsid w:val="00FC6A20"/>
    <w:rsid w:val="00FD6AFE"/>
    <w:rsid w:val="00FD7F00"/>
    <w:rsid w:val="00FE0DB4"/>
    <w:rsid w:val="00FE1AA6"/>
    <w:rsid w:val="00FE4127"/>
    <w:rsid w:val="00FE643B"/>
    <w:rsid w:val="00FF039D"/>
    <w:rsid w:val="00FF3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56DDB9"/>
  <w15:chartTrackingRefBased/>
  <w15:docId w15:val="{A4752391-E5B5-41FF-81BA-138CBBC66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15D"/>
  </w:style>
  <w:style w:type="paragraph" w:styleId="Heading1">
    <w:name w:val="heading 1"/>
    <w:basedOn w:val="Normal"/>
    <w:next w:val="Normal"/>
    <w:link w:val="Heading1Char"/>
    <w:uiPriority w:val="9"/>
    <w:qFormat/>
    <w:rsid w:val="006C41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41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C41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41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41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41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41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41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41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1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41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C41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41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41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41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41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41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415D"/>
    <w:rPr>
      <w:rFonts w:eastAsiaTheme="majorEastAsia" w:cstheme="majorBidi"/>
      <w:color w:val="272727" w:themeColor="text1" w:themeTint="D8"/>
    </w:rPr>
  </w:style>
  <w:style w:type="paragraph" w:styleId="Title">
    <w:name w:val="Title"/>
    <w:basedOn w:val="Normal"/>
    <w:next w:val="Normal"/>
    <w:link w:val="TitleChar"/>
    <w:uiPriority w:val="10"/>
    <w:qFormat/>
    <w:rsid w:val="006C41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41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41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41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415D"/>
    <w:pPr>
      <w:spacing w:before="160"/>
      <w:jc w:val="center"/>
    </w:pPr>
    <w:rPr>
      <w:i/>
      <w:iCs/>
      <w:color w:val="404040" w:themeColor="text1" w:themeTint="BF"/>
    </w:rPr>
  </w:style>
  <w:style w:type="character" w:customStyle="1" w:styleId="QuoteChar">
    <w:name w:val="Quote Char"/>
    <w:basedOn w:val="DefaultParagraphFont"/>
    <w:link w:val="Quote"/>
    <w:uiPriority w:val="29"/>
    <w:rsid w:val="006C415D"/>
    <w:rPr>
      <w:i/>
      <w:iCs/>
      <w:color w:val="404040" w:themeColor="text1" w:themeTint="BF"/>
    </w:rPr>
  </w:style>
  <w:style w:type="paragraph" w:styleId="ListParagraph">
    <w:name w:val="List Paragraph"/>
    <w:basedOn w:val="Normal"/>
    <w:uiPriority w:val="34"/>
    <w:qFormat/>
    <w:rsid w:val="006C415D"/>
    <w:pPr>
      <w:ind w:left="720"/>
      <w:contextualSpacing/>
    </w:pPr>
  </w:style>
  <w:style w:type="character" w:styleId="IntenseEmphasis">
    <w:name w:val="Intense Emphasis"/>
    <w:basedOn w:val="DefaultParagraphFont"/>
    <w:uiPriority w:val="21"/>
    <w:qFormat/>
    <w:rsid w:val="006C415D"/>
    <w:rPr>
      <w:i/>
      <w:iCs/>
      <w:color w:val="0F4761" w:themeColor="accent1" w:themeShade="BF"/>
    </w:rPr>
  </w:style>
  <w:style w:type="paragraph" w:styleId="IntenseQuote">
    <w:name w:val="Intense Quote"/>
    <w:basedOn w:val="Normal"/>
    <w:next w:val="Normal"/>
    <w:link w:val="IntenseQuoteChar"/>
    <w:uiPriority w:val="30"/>
    <w:qFormat/>
    <w:rsid w:val="006C41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415D"/>
    <w:rPr>
      <w:i/>
      <w:iCs/>
      <w:color w:val="0F4761" w:themeColor="accent1" w:themeShade="BF"/>
    </w:rPr>
  </w:style>
  <w:style w:type="character" w:styleId="IntenseReference">
    <w:name w:val="Intense Reference"/>
    <w:basedOn w:val="DefaultParagraphFont"/>
    <w:uiPriority w:val="32"/>
    <w:qFormat/>
    <w:rsid w:val="006C415D"/>
    <w:rPr>
      <w:b/>
      <w:bCs/>
      <w:smallCaps/>
      <w:color w:val="0F4761" w:themeColor="accent1" w:themeShade="BF"/>
      <w:spacing w:val="5"/>
    </w:rPr>
  </w:style>
  <w:style w:type="paragraph" w:styleId="TOCHeading">
    <w:name w:val="TOC Heading"/>
    <w:basedOn w:val="Heading1"/>
    <w:next w:val="Normal"/>
    <w:uiPriority w:val="39"/>
    <w:unhideWhenUsed/>
    <w:qFormat/>
    <w:rsid w:val="006C415D"/>
    <w:pPr>
      <w:spacing w:before="240" w:after="0"/>
      <w:outlineLvl w:val="9"/>
    </w:pPr>
    <w:rPr>
      <w:sz w:val="32"/>
      <w:szCs w:val="32"/>
      <w:lang w:val="en-US"/>
    </w:rPr>
  </w:style>
  <w:style w:type="paragraph" w:styleId="TOC2">
    <w:name w:val="toc 2"/>
    <w:basedOn w:val="Normal"/>
    <w:next w:val="Normal"/>
    <w:link w:val="TOC2Char"/>
    <w:autoRedefine/>
    <w:uiPriority w:val="39"/>
    <w:unhideWhenUsed/>
    <w:rsid w:val="006C415D"/>
    <w:pPr>
      <w:spacing w:after="100"/>
      <w:ind w:left="220"/>
    </w:pPr>
    <w:rPr>
      <w:rFonts w:eastAsiaTheme="minorEastAsia"/>
      <w:lang w:val="en-US"/>
    </w:rPr>
  </w:style>
  <w:style w:type="paragraph" w:styleId="TOC1">
    <w:name w:val="toc 1"/>
    <w:basedOn w:val="Normal"/>
    <w:next w:val="Normal"/>
    <w:autoRedefine/>
    <w:uiPriority w:val="39"/>
    <w:unhideWhenUsed/>
    <w:rsid w:val="00B16E69"/>
    <w:pPr>
      <w:tabs>
        <w:tab w:val="left" w:pos="440"/>
        <w:tab w:val="right" w:leader="dot" w:pos="9016"/>
      </w:tabs>
      <w:spacing w:after="100" w:line="360" w:lineRule="auto"/>
    </w:pPr>
    <w:rPr>
      <w:rFonts w:eastAsiaTheme="minorEastAsia"/>
      <w:noProof/>
      <w:lang w:val="en-US"/>
    </w:rPr>
  </w:style>
  <w:style w:type="paragraph" w:styleId="TOC3">
    <w:name w:val="toc 3"/>
    <w:basedOn w:val="Normal"/>
    <w:next w:val="Normal"/>
    <w:autoRedefine/>
    <w:uiPriority w:val="39"/>
    <w:unhideWhenUsed/>
    <w:rsid w:val="006C415D"/>
    <w:pPr>
      <w:spacing w:after="100"/>
      <w:ind w:left="440"/>
    </w:pPr>
    <w:rPr>
      <w:rFonts w:eastAsiaTheme="minorEastAsia"/>
      <w:lang w:val="en-US"/>
    </w:rPr>
  </w:style>
  <w:style w:type="character" w:styleId="Hyperlink">
    <w:name w:val="Hyperlink"/>
    <w:basedOn w:val="DefaultParagraphFont"/>
    <w:uiPriority w:val="99"/>
    <w:unhideWhenUsed/>
    <w:rsid w:val="00F00F96"/>
    <w:rPr>
      <w:color w:val="467886" w:themeColor="hyperlink"/>
      <w:u w:val="single"/>
    </w:rPr>
  </w:style>
  <w:style w:type="character" w:styleId="UnresolvedMention">
    <w:name w:val="Unresolved Mention"/>
    <w:basedOn w:val="DefaultParagraphFont"/>
    <w:uiPriority w:val="99"/>
    <w:semiHidden/>
    <w:unhideWhenUsed/>
    <w:rsid w:val="00F00F96"/>
    <w:rPr>
      <w:color w:val="605E5C"/>
      <w:shd w:val="clear" w:color="auto" w:fill="E1DFDD"/>
    </w:rPr>
  </w:style>
  <w:style w:type="character" w:styleId="FollowedHyperlink">
    <w:name w:val="FollowedHyperlink"/>
    <w:basedOn w:val="DefaultParagraphFont"/>
    <w:uiPriority w:val="99"/>
    <w:semiHidden/>
    <w:unhideWhenUsed/>
    <w:rsid w:val="00B0108C"/>
    <w:rPr>
      <w:color w:val="96607D" w:themeColor="followedHyperlink"/>
      <w:u w:val="single"/>
    </w:rPr>
  </w:style>
  <w:style w:type="paragraph" w:styleId="Header">
    <w:name w:val="header"/>
    <w:basedOn w:val="Normal"/>
    <w:link w:val="HeaderChar"/>
    <w:uiPriority w:val="99"/>
    <w:unhideWhenUsed/>
    <w:rsid w:val="00D857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7C6"/>
    <w:rPr>
      <w:kern w:val="2"/>
      <w14:ligatures w14:val="standardContextual"/>
    </w:rPr>
  </w:style>
  <w:style w:type="paragraph" w:styleId="Footer">
    <w:name w:val="footer"/>
    <w:basedOn w:val="Normal"/>
    <w:link w:val="FooterChar"/>
    <w:uiPriority w:val="99"/>
    <w:unhideWhenUsed/>
    <w:rsid w:val="00D857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7C6"/>
    <w:rPr>
      <w:kern w:val="2"/>
      <w14:ligatures w14:val="standardContextual"/>
    </w:rPr>
  </w:style>
  <w:style w:type="character" w:styleId="PlaceholderText">
    <w:name w:val="Placeholder Text"/>
    <w:basedOn w:val="DefaultParagraphFont"/>
    <w:uiPriority w:val="99"/>
    <w:semiHidden/>
    <w:rsid w:val="00D857C6"/>
    <w:rPr>
      <w:color w:val="808080"/>
    </w:rPr>
  </w:style>
  <w:style w:type="paragraph" w:styleId="NormalWeb">
    <w:name w:val="Normal (Web)"/>
    <w:basedOn w:val="Normal"/>
    <w:uiPriority w:val="99"/>
    <w:semiHidden/>
    <w:unhideWhenUsed/>
    <w:rsid w:val="00EA6F15"/>
    <w:rPr>
      <w:szCs w:val="24"/>
    </w:rPr>
  </w:style>
  <w:style w:type="paragraph" w:styleId="NoSpacing">
    <w:name w:val="No Spacing"/>
    <w:uiPriority w:val="1"/>
    <w:qFormat/>
    <w:rsid w:val="00C4451C"/>
    <w:pPr>
      <w:spacing w:after="0" w:line="240" w:lineRule="auto"/>
    </w:pPr>
    <w:rPr>
      <w:kern w:val="2"/>
      <w14:ligatures w14:val="standardContextual"/>
    </w:rPr>
  </w:style>
  <w:style w:type="paragraph" w:styleId="Revision">
    <w:name w:val="Revision"/>
    <w:hidden/>
    <w:uiPriority w:val="99"/>
    <w:semiHidden/>
    <w:rsid w:val="00FA1BD6"/>
    <w:pPr>
      <w:spacing w:after="0" w:line="240" w:lineRule="auto"/>
    </w:pPr>
    <w:rPr>
      <w:kern w:val="2"/>
      <w14:ligatures w14:val="standardContextual"/>
    </w:rPr>
  </w:style>
  <w:style w:type="character" w:styleId="CommentReference">
    <w:name w:val="annotation reference"/>
    <w:basedOn w:val="DefaultParagraphFont"/>
    <w:uiPriority w:val="99"/>
    <w:semiHidden/>
    <w:unhideWhenUsed/>
    <w:rsid w:val="00FA1BD6"/>
    <w:rPr>
      <w:sz w:val="16"/>
      <w:szCs w:val="16"/>
    </w:rPr>
  </w:style>
  <w:style w:type="paragraph" w:styleId="CommentText">
    <w:name w:val="annotation text"/>
    <w:basedOn w:val="Normal"/>
    <w:link w:val="CommentTextChar"/>
    <w:uiPriority w:val="99"/>
    <w:unhideWhenUsed/>
    <w:rsid w:val="00FA1BD6"/>
    <w:pPr>
      <w:spacing w:line="240" w:lineRule="auto"/>
    </w:pPr>
    <w:rPr>
      <w:sz w:val="20"/>
      <w:szCs w:val="20"/>
    </w:rPr>
  </w:style>
  <w:style w:type="character" w:customStyle="1" w:styleId="CommentTextChar">
    <w:name w:val="Comment Text Char"/>
    <w:basedOn w:val="DefaultParagraphFont"/>
    <w:link w:val="CommentText"/>
    <w:uiPriority w:val="99"/>
    <w:rsid w:val="00FA1BD6"/>
    <w:rPr>
      <w:kern w:val="2"/>
      <w:sz w:val="20"/>
      <w:szCs w:val="20"/>
      <w14:ligatures w14:val="standardContextual"/>
    </w:rPr>
  </w:style>
  <w:style w:type="paragraph" w:styleId="CommentSubject">
    <w:name w:val="annotation subject"/>
    <w:basedOn w:val="CommentText"/>
    <w:next w:val="CommentText"/>
    <w:link w:val="CommentSubjectChar"/>
    <w:uiPriority w:val="99"/>
    <w:semiHidden/>
    <w:unhideWhenUsed/>
    <w:rsid w:val="00FA1BD6"/>
    <w:rPr>
      <w:b/>
      <w:bCs/>
    </w:rPr>
  </w:style>
  <w:style w:type="character" w:customStyle="1" w:styleId="CommentSubjectChar">
    <w:name w:val="Comment Subject Char"/>
    <w:basedOn w:val="CommentTextChar"/>
    <w:link w:val="CommentSubject"/>
    <w:uiPriority w:val="99"/>
    <w:semiHidden/>
    <w:rsid w:val="00FA1BD6"/>
    <w:rPr>
      <w:b/>
      <w:bCs/>
      <w:kern w:val="2"/>
      <w:sz w:val="20"/>
      <w:szCs w:val="20"/>
      <w14:ligatures w14:val="standardContextual"/>
    </w:rPr>
  </w:style>
  <w:style w:type="character" w:styleId="Emphasis">
    <w:name w:val="Emphasis"/>
    <w:basedOn w:val="DefaultParagraphFont"/>
    <w:uiPriority w:val="20"/>
    <w:qFormat/>
    <w:rsid w:val="006324D4"/>
    <w:rPr>
      <w:i/>
      <w:iCs/>
    </w:rPr>
  </w:style>
  <w:style w:type="character" w:styleId="Strong">
    <w:name w:val="Strong"/>
    <w:basedOn w:val="DefaultParagraphFont"/>
    <w:uiPriority w:val="22"/>
    <w:qFormat/>
    <w:rsid w:val="0044664A"/>
    <w:rPr>
      <w:b/>
      <w:bCs/>
    </w:rPr>
  </w:style>
  <w:style w:type="paragraph" w:customStyle="1" w:styleId="1ChapterHeading">
    <w:name w:val="1 Chapter Heading"/>
    <w:basedOn w:val="Heading1"/>
    <w:link w:val="1ChapterHeadingChar"/>
    <w:qFormat/>
    <w:rsid w:val="00354DE6"/>
    <w:pPr>
      <w:spacing w:before="100" w:beforeAutospacing="1" w:after="100" w:afterAutospacing="1" w:line="240" w:lineRule="auto"/>
      <w:jc w:val="center"/>
    </w:pPr>
    <w:rPr>
      <w:rFonts w:ascii="Times New Roman" w:hAnsi="Times New Roman" w:cs="Times New Roman"/>
      <w:b/>
      <w:bCs/>
      <w:color w:val="000000" w:themeColor="text1"/>
      <w:sz w:val="24"/>
      <w:szCs w:val="36"/>
    </w:rPr>
  </w:style>
  <w:style w:type="character" w:customStyle="1" w:styleId="1ChapterHeadingChar">
    <w:name w:val="1 Chapter Heading Char"/>
    <w:basedOn w:val="Heading1Char"/>
    <w:link w:val="1ChapterHeading"/>
    <w:rsid w:val="00354DE6"/>
    <w:rPr>
      <w:rFonts w:asciiTheme="majorHAnsi" w:eastAsiaTheme="majorEastAsia" w:hAnsiTheme="majorHAnsi" w:cstheme="majorBidi"/>
      <w:b/>
      <w:bCs/>
      <w:color w:val="000000" w:themeColor="text1"/>
      <w:sz w:val="40"/>
      <w:szCs w:val="36"/>
    </w:rPr>
  </w:style>
  <w:style w:type="paragraph" w:customStyle="1" w:styleId="Uni-Normal">
    <w:name w:val="Uni- Normal"/>
    <w:basedOn w:val="Normal"/>
    <w:link w:val="Uni-NormalChar"/>
    <w:qFormat/>
    <w:rsid w:val="006E1070"/>
    <w:pPr>
      <w:spacing w:before="120" w:after="280" w:line="360" w:lineRule="auto"/>
    </w:pPr>
  </w:style>
  <w:style w:type="paragraph" w:customStyle="1" w:styleId="2Sectionheading">
    <w:name w:val="2 Section heading"/>
    <w:basedOn w:val="Heading2"/>
    <w:next w:val="1ChapterHeading"/>
    <w:link w:val="2SectionheadingChar"/>
    <w:qFormat/>
    <w:rsid w:val="00354DE6"/>
    <w:rPr>
      <w:rFonts w:ascii="Times New Roman" w:hAnsi="Times New Roman"/>
      <w:b/>
      <w:bCs/>
      <w:color w:val="000000" w:themeColor="text1"/>
      <w:sz w:val="24"/>
    </w:rPr>
  </w:style>
  <w:style w:type="character" w:customStyle="1" w:styleId="Uni-NormalChar">
    <w:name w:val="Uni- Normal Char"/>
    <w:basedOn w:val="DefaultParagraphFont"/>
    <w:link w:val="Uni-Normal"/>
    <w:rsid w:val="006E1070"/>
    <w:rPr>
      <w:rFonts w:ascii="Times New Roman" w:hAnsi="Times New Roman"/>
      <w:kern w:val="2"/>
      <w:sz w:val="24"/>
      <w14:ligatures w14:val="standardContextual"/>
    </w:rPr>
  </w:style>
  <w:style w:type="character" w:customStyle="1" w:styleId="2SectionheadingChar">
    <w:name w:val="2 Section heading Char"/>
    <w:basedOn w:val="Uni-NormalChar"/>
    <w:link w:val="2Sectionheading"/>
    <w:rsid w:val="00354DE6"/>
    <w:rPr>
      <w:rFonts w:ascii="Times New Roman" w:eastAsiaTheme="majorEastAsia" w:hAnsi="Times New Roman" w:cstheme="majorBidi"/>
      <w:b/>
      <w:bCs/>
      <w:color w:val="000000" w:themeColor="text1"/>
      <w:kern w:val="2"/>
      <w:sz w:val="24"/>
      <w:szCs w:val="32"/>
      <w14:ligatures w14:val="standardContextual"/>
    </w:rPr>
  </w:style>
  <w:style w:type="table" w:styleId="TableGrid">
    <w:name w:val="Table Grid"/>
    <w:basedOn w:val="TableNormal"/>
    <w:uiPriority w:val="39"/>
    <w:rsid w:val="002F46E2"/>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3SubHeading">
    <w:name w:val="3. Sub Heading"/>
    <w:basedOn w:val="TOC2"/>
    <w:next w:val="Heading3"/>
    <w:link w:val="3SubHeadingChar"/>
    <w:qFormat/>
    <w:rsid w:val="005D0994"/>
    <w:pPr>
      <w:tabs>
        <w:tab w:val="right" w:leader="dot" w:pos="9016"/>
      </w:tabs>
    </w:pPr>
    <w:rPr>
      <w:b/>
      <w:noProof/>
    </w:rPr>
  </w:style>
  <w:style w:type="character" w:customStyle="1" w:styleId="TOC2Char">
    <w:name w:val="TOC 2 Char"/>
    <w:basedOn w:val="DefaultParagraphFont"/>
    <w:link w:val="TOC2"/>
    <w:uiPriority w:val="39"/>
    <w:rsid w:val="005D0994"/>
    <w:rPr>
      <w:rFonts w:eastAsiaTheme="minorEastAsia"/>
      <w:lang w:val="en-US"/>
    </w:rPr>
  </w:style>
  <w:style w:type="character" w:customStyle="1" w:styleId="3SubHeadingChar">
    <w:name w:val="3. Sub Heading Char"/>
    <w:basedOn w:val="TOC2Char"/>
    <w:link w:val="3SubHeading"/>
    <w:rsid w:val="005D0994"/>
    <w:rPr>
      <w:rFonts w:eastAsiaTheme="minorEastAsia"/>
      <w:b/>
      <w:noProof/>
      <w:lang w:val="en-US"/>
    </w:rPr>
  </w:style>
  <w:style w:type="paragraph" w:customStyle="1" w:styleId="UniversityStyle">
    <w:name w:val="University Style"/>
    <w:basedOn w:val="Heading1"/>
    <w:link w:val="UniversityStyleChar"/>
    <w:qFormat/>
    <w:rsid w:val="001A60B1"/>
    <w:pPr>
      <w:spacing w:before="100" w:beforeAutospacing="1" w:after="100" w:afterAutospacing="1" w:line="240" w:lineRule="auto"/>
    </w:pPr>
    <w:rPr>
      <w:b/>
      <w:bCs/>
      <w:color w:val="000000" w:themeColor="text1"/>
      <w:szCs w:val="36"/>
      <w:u w:val="single"/>
    </w:rPr>
  </w:style>
  <w:style w:type="character" w:customStyle="1" w:styleId="UniversityStyleChar">
    <w:name w:val="University Style Char"/>
    <w:basedOn w:val="Heading1Char"/>
    <w:link w:val="UniversityStyle"/>
    <w:rsid w:val="001A60B1"/>
    <w:rPr>
      <w:rFonts w:asciiTheme="majorHAnsi" w:eastAsiaTheme="majorEastAsia" w:hAnsiTheme="majorHAnsi" w:cstheme="majorBidi"/>
      <w:b/>
      <w:bCs/>
      <w:color w:val="000000" w:themeColor="text1"/>
      <w:sz w:val="40"/>
      <w:szCs w:val="36"/>
      <w:u w:val="single"/>
    </w:rPr>
  </w:style>
  <w:style w:type="paragraph" w:customStyle="1" w:styleId="Uni-subheading">
    <w:name w:val="Uni-sub heading"/>
    <w:basedOn w:val="Heading2"/>
    <w:next w:val="UniversityStyle"/>
    <w:link w:val="Uni-subheadingChar"/>
    <w:qFormat/>
    <w:rsid w:val="001A60B1"/>
    <w:rPr>
      <w:rFonts w:ascii="Times New Roman" w:hAnsi="Times New Roman"/>
      <w:b/>
      <w:bCs/>
      <w:color w:val="000000" w:themeColor="text1"/>
      <w:kern w:val="2"/>
      <w:sz w:val="24"/>
      <w:u w:val="single"/>
      <w14:ligatures w14:val="standardContextual"/>
    </w:rPr>
  </w:style>
  <w:style w:type="character" w:customStyle="1" w:styleId="Uni-subheadingChar">
    <w:name w:val="Uni-sub heading Char"/>
    <w:basedOn w:val="Uni-NormalChar"/>
    <w:link w:val="Uni-subheading"/>
    <w:rsid w:val="001A60B1"/>
    <w:rPr>
      <w:rFonts w:ascii="Times New Roman" w:eastAsiaTheme="majorEastAsia" w:hAnsi="Times New Roman" w:cstheme="majorBidi"/>
      <w:b/>
      <w:bCs/>
      <w:color w:val="000000" w:themeColor="text1"/>
      <w:kern w:val="2"/>
      <w:sz w:val="24"/>
      <w:szCs w:val="32"/>
      <w:u w:val="single"/>
      <w14:ligatures w14:val="standardContextual"/>
    </w:rPr>
  </w:style>
  <w:style w:type="table" w:styleId="GridTable4-Accent1">
    <w:name w:val="Grid Table 4 Accent 1"/>
    <w:basedOn w:val="TableNormal"/>
    <w:uiPriority w:val="49"/>
    <w:rsid w:val="00234A04"/>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Caption">
    <w:name w:val="caption"/>
    <w:basedOn w:val="Normal"/>
    <w:next w:val="Normal"/>
    <w:uiPriority w:val="35"/>
    <w:unhideWhenUsed/>
    <w:qFormat/>
    <w:rsid w:val="00C83B2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55C57"/>
    <w:pPr>
      <w:spacing w:after="0"/>
    </w:pPr>
  </w:style>
  <w:style w:type="paragraph" w:styleId="HTMLPreformatted">
    <w:name w:val="HTML Preformatted"/>
    <w:basedOn w:val="Normal"/>
    <w:link w:val="HTMLPreformattedChar"/>
    <w:uiPriority w:val="99"/>
    <w:semiHidden/>
    <w:unhideWhenUsed/>
    <w:rsid w:val="00297F63"/>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297F63"/>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7954">
      <w:bodyDiv w:val="1"/>
      <w:marLeft w:val="0"/>
      <w:marRight w:val="0"/>
      <w:marTop w:val="0"/>
      <w:marBottom w:val="0"/>
      <w:divBdr>
        <w:top w:val="none" w:sz="0" w:space="0" w:color="auto"/>
        <w:left w:val="none" w:sz="0" w:space="0" w:color="auto"/>
        <w:bottom w:val="none" w:sz="0" w:space="0" w:color="auto"/>
        <w:right w:val="none" w:sz="0" w:space="0" w:color="auto"/>
      </w:divBdr>
    </w:div>
    <w:div w:id="16809558">
      <w:bodyDiv w:val="1"/>
      <w:marLeft w:val="0"/>
      <w:marRight w:val="0"/>
      <w:marTop w:val="0"/>
      <w:marBottom w:val="0"/>
      <w:divBdr>
        <w:top w:val="none" w:sz="0" w:space="0" w:color="auto"/>
        <w:left w:val="none" w:sz="0" w:space="0" w:color="auto"/>
        <w:bottom w:val="none" w:sz="0" w:space="0" w:color="auto"/>
        <w:right w:val="none" w:sz="0" w:space="0" w:color="auto"/>
      </w:divBdr>
    </w:div>
    <w:div w:id="24790707">
      <w:bodyDiv w:val="1"/>
      <w:marLeft w:val="0"/>
      <w:marRight w:val="0"/>
      <w:marTop w:val="0"/>
      <w:marBottom w:val="0"/>
      <w:divBdr>
        <w:top w:val="none" w:sz="0" w:space="0" w:color="auto"/>
        <w:left w:val="none" w:sz="0" w:space="0" w:color="auto"/>
        <w:bottom w:val="none" w:sz="0" w:space="0" w:color="auto"/>
        <w:right w:val="none" w:sz="0" w:space="0" w:color="auto"/>
      </w:divBdr>
    </w:div>
    <w:div w:id="45839631">
      <w:bodyDiv w:val="1"/>
      <w:marLeft w:val="0"/>
      <w:marRight w:val="0"/>
      <w:marTop w:val="0"/>
      <w:marBottom w:val="0"/>
      <w:divBdr>
        <w:top w:val="none" w:sz="0" w:space="0" w:color="auto"/>
        <w:left w:val="none" w:sz="0" w:space="0" w:color="auto"/>
        <w:bottom w:val="none" w:sz="0" w:space="0" w:color="auto"/>
        <w:right w:val="none" w:sz="0" w:space="0" w:color="auto"/>
      </w:divBdr>
    </w:div>
    <w:div w:id="46610023">
      <w:bodyDiv w:val="1"/>
      <w:marLeft w:val="0"/>
      <w:marRight w:val="0"/>
      <w:marTop w:val="0"/>
      <w:marBottom w:val="0"/>
      <w:divBdr>
        <w:top w:val="none" w:sz="0" w:space="0" w:color="auto"/>
        <w:left w:val="none" w:sz="0" w:space="0" w:color="auto"/>
        <w:bottom w:val="none" w:sz="0" w:space="0" w:color="auto"/>
        <w:right w:val="none" w:sz="0" w:space="0" w:color="auto"/>
      </w:divBdr>
    </w:div>
    <w:div w:id="50276351">
      <w:bodyDiv w:val="1"/>
      <w:marLeft w:val="0"/>
      <w:marRight w:val="0"/>
      <w:marTop w:val="0"/>
      <w:marBottom w:val="0"/>
      <w:divBdr>
        <w:top w:val="none" w:sz="0" w:space="0" w:color="auto"/>
        <w:left w:val="none" w:sz="0" w:space="0" w:color="auto"/>
        <w:bottom w:val="none" w:sz="0" w:space="0" w:color="auto"/>
        <w:right w:val="none" w:sz="0" w:space="0" w:color="auto"/>
      </w:divBdr>
      <w:divsChild>
        <w:div w:id="1354110117">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 w:id="69009710">
      <w:bodyDiv w:val="1"/>
      <w:marLeft w:val="0"/>
      <w:marRight w:val="0"/>
      <w:marTop w:val="0"/>
      <w:marBottom w:val="0"/>
      <w:divBdr>
        <w:top w:val="none" w:sz="0" w:space="0" w:color="auto"/>
        <w:left w:val="none" w:sz="0" w:space="0" w:color="auto"/>
        <w:bottom w:val="none" w:sz="0" w:space="0" w:color="auto"/>
        <w:right w:val="none" w:sz="0" w:space="0" w:color="auto"/>
      </w:divBdr>
      <w:divsChild>
        <w:div w:id="1472015797">
          <w:marLeft w:val="0"/>
          <w:marRight w:val="0"/>
          <w:marTop w:val="0"/>
          <w:marBottom w:val="0"/>
          <w:divBdr>
            <w:top w:val="none" w:sz="0" w:space="0" w:color="auto"/>
            <w:left w:val="none" w:sz="0" w:space="0" w:color="auto"/>
            <w:bottom w:val="none" w:sz="0" w:space="0" w:color="auto"/>
            <w:right w:val="none" w:sz="0" w:space="0" w:color="auto"/>
          </w:divBdr>
        </w:div>
      </w:divsChild>
    </w:div>
    <w:div w:id="69735042">
      <w:bodyDiv w:val="1"/>
      <w:marLeft w:val="0"/>
      <w:marRight w:val="0"/>
      <w:marTop w:val="0"/>
      <w:marBottom w:val="0"/>
      <w:divBdr>
        <w:top w:val="none" w:sz="0" w:space="0" w:color="auto"/>
        <w:left w:val="none" w:sz="0" w:space="0" w:color="auto"/>
        <w:bottom w:val="none" w:sz="0" w:space="0" w:color="auto"/>
        <w:right w:val="none" w:sz="0" w:space="0" w:color="auto"/>
      </w:divBdr>
      <w:divsChild>
        <w:div w:id="195849560">
          <w:marLeft w:val="0"/>
          <w:marRight w:val="0"/>
          <w:marTop w:val="0"/>
          <w:marBottom w:val="0"/>
          <w:divBdr>
            <w:top w:val="none" w:sz="0" w:space="0" w:color="auto"/>
            <w:left w:val="none" w:sz="0" w:space="0" w:color="auto"/>
            <w:bottom w:val="none" w:sz="0" w:space="0" w:color="auto"/>
            <w:right w:val="none" w:sz="0" w:space="0" w:color="auto"/>
          </w:divBdr>
        </w:div>
      </w:divsChild>
    </w:div>
    <w:div w:id="79108088">
      <w:bodyDiv w:val="1"/>
      <w:marLeft w:val="0"/>
      <w:marRight w:val="0"/>
      <w:marTop w:val="0"/>
      <w:marBottom w:val="0"/>
      <w:divBdr>
        <w:top w:val="none" w:sz="0" w:space="0" w:color="auto"/>
        <w:left w:val="none" w:sz="0" w:space="0" w:color="auto"/>
        <w:bottom w:val="none" w:sz="0" w:space="0" w:color="auto"/>
        <w:right w:val="none" w:sz="0" w:space="0" w:color="auto"/>
      </w:divBdr>
    </w:div>
    <w:div w:id="103236240">
      <w:bodyDiv w:val="1"/>
      <w:marLeft w:val="0"/>
      <w:marRight w:val="0"/>
      <w:marTop w:val="0"/>
      <w:marBottom w:val="0"/>
      <w:divBdr>
        <w:top w:val="none" w:sz="0" w:space="0" w:color="auto"/>
        <w:left w:val="none" w:sz="0" w:space="0" w:color="auto"/>
        <w:bottom w:val="none" w:sz="0" w:space="0" w:color="auto"/>
        <w:right w:val="none" w:sz="0" w:space="0" w:color="auto"/>
      </w:divBdr>
      <w:divsChild>
        <w:div w:id="26835629">
          <w:marLeft w:val="0"/>
          <w:marRight w:val="0"/>
          <w:marTop w:val="0"/>
          <w:marBottom w:val="0"/>
          <w:divBdr>
            <w:top w:val="single" w:sz="2" w:space="0" w:color="ECEDEE"/>
            <w:left w:val="single" w:sz="2" w:space="0" w:color="ECEDEE"/>
            <w:bottom w:val="single" w:sz="2" w:space="0" w:color="ECEDEE"/>
            <w:right w:val="single" w:sz="2" w:space="0" w:color="ECEDEE"/>
          </w:divBdr>
        </w:div>
        <w:div w:id="1594168658">
          <w:marLeft w:val="0"/>
          <w:marRight w:val="0"/>
          <w:marTop w:val="0"/>
          <w:marBottom w:val="0"/>
          <w:divBdr>
            <w:top w:val="single" w:sz="2" w:space="0" w:color="ECEDEE"/>
            <w:left w:val="single" w:sz="2" w:space="0" w:color="ECEDEE"/>
            <w:bottom w:val="single" w:sz="2" w:space="0" w:color="ECEDEE"/>
            <w:right w:val="single" w:sz="2" w:space="0" w:color="ECEDEE"/>
          </w:divBdr>
        </w:div>
      </w:divsChild>
    </w:div>
    <w:div w:id="120224310">
      <w:bodyDiv w:val="1"/>
      <w:marLeft w:val="0"/>
      <w:marRight w:val="0"/>
      <w:marTop w:val="0"/>
      <w:marBottom w:val="0"/>
      <w:divBdr>
        <w:top w:val="none" w:sz="0" w:space="0" w:color="auto"/>
        <w:left w:val="none" w:sz="0" w:space="0" w:color="auto"/>
        <w:bottom w:val="none" w:sz="0" w:space="0" w:color="auto"/>
        <w:right w:val="none" w:sz="0" w:space="0" w:color="auto"/>
      </w:divBdr>
      <w:divsChild>
        <w:div w:id="1622034861">
          <w:marLeft w:val="0"/>
          <w:marRight w:val="0"/>
          <w:marTop w:val="0"/>
          <w:marBottom w:val="180"/>
          <w:divBdr>
            <w:top w:val="none" w:sz="0" w:space="0" w:color="auto"/>
            <w:left w:val="none" w:sz="0" w:space="0" w:color="auto"/>
            <w:bottom w:val="none" w:sz="0" w:space="0" w:color="auto"/>
            <w:right w:val="none" w:sz="0" w:space="0" w:color="auto"/>
          </w:divBdr>
          <w:divsChild>
            <w:div w:id="672148075">
              <w:marLeft w:val="0"/>
              <w:marRight w:val="0"/>
              <w:marTop w:val="0"/>
              <w:marBottom w:val="0"/>
              <w:divBdr>
                <w:top w:val="none" w:sz="0" w:space="0" w:color="auto"/>
                <w:left w:val="none" w:sz="0" w:space="0" w:color="auto"/>
                <w:bottom w:val="none" w:sz="0" w:space="0" w:color="auto"/>
                <w:right w:val="none" w:sz="0" w:space="0" w:color="auto"/>
              </w:divBdr>
              <w:divsChild>
                <w:div w:id="81493706">
                  <w:marLeft w:val="0"/>
                  <w:marRight w:val="0"/>
                  <w:marTop w:val="0"/>
                  <w:marBottom w:val="0"/>
                  <w:divBdr>
                    <w:top w:val="none" w:sz="0" w:space="0" w:color="auto"/>
                    <w:left w:val="none" w:sz="0" w:space="0" w:color="auto"/>
                    <w:bottom w:val="none" w:sz="0" w:space="0" w:color="auto"/>
                    <w:right w:val="none" w:sz="0" w:space="0" w:color="auto"/>
                  </w:divBdr>
                  <w:divsChild>
                    <w:div w:id="2020614653">
                      <w:marLeft w:val="0"/>
                      <w:marRight w:val="0"/>
                      <w:marTop w:val="0"/>
                      <w:marBottom w:val="0"/>
                      <w:divBdr>
                        <w:top w:val="none" w:sz="0" w:space="0" w:color="auto"/>
                        <w:left w:val="none" w:sz="0" w:space="0" w:color="auto"/>
                        <w:bottom w:val="none" w:sz="0" w:space="0" w:color="auto"/>
                        <w:right w:val="none" w:sz="0" w:space="0" w:color="auto"/>
                      </w:divBdr>
                      <w:divsChild>
                        <w:div w:id="595942052">
                          <w:marLeft w:val="0"/>
                          <w:marRight w:val="0"/>
                          <w:marTop w:val="0"/>
                          <w:marBottom w:val="0"/>
                          <w:divBdr>
                            <w:top w:val="none" w:sz="0" w:space="0" w:color="auto"/>
                            <w:left w:val="none" w:sz="0" w:space="0" w:color="auto"/>
                            <w:bottom w:val="none" w:sz="0" w:space="0" w:color="auto"/>
                            <w:right w:val="none" w:sz="0" w:space="0" w:color="auto"/>
                          </w:divBdr>
                          <w:divsChild>
                            <w:div w:id="1004091080">
                              <w:marLeft w:val="0"/>
                              <w:marRight w:val="0"/>
                              <w:marTop w:val="0"/>
                              <w:marBottom w:val="0"/>
                              <w:divBdr>
                                <w:top w:val="none" w:sz="0" w:space="0" w:color="auto"/>
                                <w:left w:val="none" w:sz="0" w:space="0" w:color="auto"/>
                                <w:bottom w:val="none" w:sz="0" w:space="0" w:color="auto"/>
                                <w:right w:val="none" w:sz="0" w:space="0" w:color="auto"/>
                              </w:divBdr>
                              <w:divsChild>
                                <w:div w:id="1239553180">
                                  <w:marLeft w:val="0"/>
                                  <w:marRight w:val="0"/>
                                  <w:marTop w:val="0"/>
                                  <w:marBottom w:val="480"/>
                                  <w:divBdr>
                                    <w:top w:val="none" w:sz="0" w:space="0" w:color="auto"/>
                                    <w:left w:val="none" w:sz="0" w:space="0" w:color="auto"/>
                                    <w:bottom w:val="none" w:sz="0" w:space="0" w:color="auto"/>
                                    <w:right w:val="none" w:sz="0" w:space="0" w:color="auto"/>
                                  </w:divBdr>
                                  <w:divsChild>
                                    <w:div w:id="2092660589">
                                      <w:marLeft w:val="0"/>
                                      <w:marRight w:val="0"/>
                                      <w:marTop w:val="0"/>
                                      <w:marBottom w:val="0"/>
                                      <w:divBdr>
                                        <w:top w:val="none" w:sz="0" w:space="0" w:color="auto"/>
                                        <w:left w:val="none" w:sz="0" w:space="0" w:color="auto"/>
                                        <w:bottom w:val="none" w:sz="0" w:space="0" w:color="auto"/>
                                        <w:right w:val="none" w:sz="0" w:space="0" w:color="auto"/>
                                      </w:divBdr>
                                      <w:divsChild>
                                        <w:div w:id="1130712059">
                                          <w:marLeft w:val="0"/>
                                          <w:marRight w:val="0"/>
                                          <w:marTop w:val="0"/>
                                          <w:marBottom w:val="0"/>
                                          <w:divBdr>
                                            <w:top w:val="none" w:sz="0" w:space="0" w:color="auto"/>
                                            <w:left w:val="none" w:sz="0" w:space="0" w:color="auto"/>
                                            <w:bottom w:val="none" w:sz="0" w:space="0" w:color="auto"/>
                                            <w:right w:val="none" w:sz="0" w:space="0" w:color="auto"/>
                                          </w:divBdr>
                                          <w:divsChild>
                                            <w:div w:id="1466698291">
                                              <w:marLeft w:val="0"/>
                                              <w:marRight w:val="0"/>
                                              <w:marTop w:val="0"/>
                                              <w:marBottom w:val="0"/>
                                              <w:divBdr>
                                                <w:top w:val="none" w:sz="0" w:space="0" w:color="auto"/>
                                                <w:left w:val="none" w:sz="0" w:space="0" w:color="auto"/>
                                                <w:bottom w:val="none" w:sz="0" w:space="0" w:color="auto"/>
                                                <w:right w:val="none" w:sz="0" w:space="0" w:color="auto"/>
                                              </w:divBdr>
                                              <w:divsChild>
                                                <w:div w:id="2094277513">
                                                  <w:marLeft w:val="0"/>
                                                  <w:marRight w:val="0"/>
                                                  <w:marTop w:val="0"/>
                                                  <w:marBottom w:val="0"/>
                                                  <w:divBdr>
                                                    <w:top w:val="none" w:sz="0" w:space="0" w:color="auto"/>
                                                    <w:left w:val="none" w:sz="0" w:space="0" w:color="auto"/>
                                                    <w:bottom w:val="none" w:sz="0" w:space="0" w:color="auto"/>
                                                    <w:right w:val="none" w:sz="0" w:space="0" w:color="auto"/>
                                                  </w:divBdr>
                                                  <w:divsChild>
                                                    <w:div w:id="25256550">
                                                      <w:marLeft w:val="0"/>
                                                      <w:marRight w:val="0"/>
                                                      <w:marTop w:val="0"/>
                                                      <w:marBottom w:val="0"/>
                                                      <w:divBdr>
                                                        <w:top w:val="none" w:sz="0" w:space="0" w:color="auto"/>
                                                        <w:left w:val="none" w:sz="0" w:space="0" w:color="auto"/>
                                                        <w:bottom w:val="none" w:sz="0" w:space="0" w:color="auto"/>
                                                        <w:right w:val="none" w:sz="0" w:space="0" w:color="auto"/>
                                                      </w:divBdr>
                                                      <w:divsChild>
                                                        <w:div w:id="884030158">
                                                          <w:marLeft w:val="0"/>
                                                          <w:marRight w:val="0"/>
                                                          <w:marTop w:val="0"/>
                                                          <w:marBottom w:val="0"/>
                                                          <w:divBdr>
                                                            <w:top w:val="none" w:sz="0" w:space="0" w:color="auto"/>
                                                            <w:left w:val="none" w:sz="0" w:space="0" w:color="auto"/>
                                                            <w:bottom w:val="none" w:sz="0" w:space="0" w:color="auto"/>
                                                            <w:right w:val="none" w:sz="0" w:space="0" w:color="auto"/>
                                                          </w:divBdr>
                                                          <w:divsChild>
                                                            <w:div w:id="834761944">
                                                              <w:marLeft w:val="0"/>
                                                              <w:marRight w:val="0"/>
                                                              <w:marTop w:val="0"/>
                                                              <w:marBottom w:val="0"/>
                                                              <w:divBdr>
                                                                <w:top w:val="none" w:sz="0" w:space="0" w:color="auto"/>
                                                                <w:left w:val="none" w:sz="0" w:space="0" w:color="auto"/>
                                                                <w:bottom w:val="none" w:sz="0" w:space="0" w:color="auto"/>
                                                                <w:right w:val="none" w:sz="0" w:space="0" w:color="auto"/>
                                                              </w:divBdr>
                                                              <w:divsChild>
                                                                <w:div w:id="781614243">
                                                                  <w:marLeft w:val="0"/>
                                                                  <w:marRight w:val="0"/>
                                                                  <w:marTop w:val="0"/>
                                                                  <w:marBottom w:val="0"/>
                                                                  <w:divBdr>
                                                                    <w:top w:val="none" w:sz="0" w:space="0" w:color="auto"/>
                                                                    <w:left w:val="none" w:sz="0" w:space="0" w:color="auto"/>
                                                                    <w:bottom w:val="none" w:sz="0" w:space="0" w:color="auto"/>
                                                                    <w:right w:val="none" w:sz="0" w:space="0" w:color="auto"/>
                                                                  </w:divBdr>
                                                                  <w:divsChild>
                                                                    <w:div w:id="274412419">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1868831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5010919">
          <w:marLeft w:val="0"/>
          <w:marRight w:val="0"/>
          <w:marTop w:val="0"/>
          <w:marBottom w:val="180"/>
          <w:divBdr>
            <w:top w:val="none" w:sz="0" w:space="0" w:color="auto"/>
            <w:left w:val="none" w:sz="0" w:space="0" w:color="auto"/>
            <w:bottom w:val="none" w:sz="0" w:space="0" w:color="auto"/>
            <w:right w:val="none" w:sz="0" w:space="0" w:color="auto"/>
          </w:divBdr>
          <w:divsChild>
            <w:div w:id="2030906057">
              <w:marLeft w:val="0"/>
              <w:marRight w:val="0"/>
              <w:marTop w:val="0"/>
              <w:marBottom w:val="0"/>
              <w:divBdr>
                <w:top w:val="none" w:sz="0" w:space="0" w:color="auto"/>
                <w:left w:val="none" w:sz="0" w:space="0" w:color="auto"/>
                <w:bottom w:val="none" w:sz="0" w:space="0" w:color="auto"/>
                <w:right w:val="none" w:sz="0" w:space="0" w:color="auto"/>
              </w:divBdr>
              <w:divsChild>
                <w:div w:id="1656957514">
                  <w:marLeft w:val="0"/>
                  <w:marRight w:val="0"/>
                  <w:marTop w:val="0"/>
                  <w:marBottom w:val="0"/>
                  <w:divBdr>
                    <w:top w:val="none" w:sz="0" w:space="0" w:color="auto"/>
                    <w:left w:val="none" w:sz="0" w:space="0" w:color="auto"/>
                    <w:bottom w:val="none" w:sz="0" w:space="0" w:color="auto"/>
                    <w:right w:val="none" w:sz="0" w:space="0" w:color="auto"/>
                  </w:divBdr>
                  <w:divsChild>
                    <w:div w:id="1832288221">
                      <w:marLeft w:val="0"/>
                      <w:marRight w:val="0"/>
                      <w:marTop w:val="0"/>
                      <w:marBottom w:val="0"/>
                      <w:divBdr>
                        <w:top w:val="none" w:sz="0" w:space="0" w:color="auto"/>
                        <w:left w:val="none" w:sz="0" w:space="0" w:color="auto"/>
                        <w:bottom w:val="none" w:sz="0" w:space="0" w:color="auto"/>
                        <w:right w:val="none" w:sz="0" w:space="0" w:color="auto"/>
                      </w:divBdr>
                      <w:divsChild>
                        <w:div w:id="1566407364">
                          <w:marLeft w:val="0"/>
                          <w:marRight w:val="0"/>
                          <w:marTop w:val="0"/>
                          <w:marBottom w:val="0"/>
                          <w:divBdr>
                            <w:top w:val="none" w:sz="0" w:space="0" w:color="auto"/>
                            <w:left w:val="none" w:sz="0" w:space="0" w:color="auto"/>
                            <w:bottom w:val="none" w:sz="0" w:space="0" w:color="auto"/>
                            <w:right w:val="none" w:sz="0" w:space="0" w:color="auto"/>
                          </w:divBdr>
                          <w:divsChild>
                            <w:div w:id="1138065336">
                              <w:marLeft w:val="0"/>
                              <w:marRight w:val="0"/>
                              <w:marTop w:val="0"/>
                              <w:marBottom w:val="480"/>
                              <w:divBdr>
                                <w:top w:val="none" w:sz="0" w:space="0" w:color="auto"/>
                                <w:left w:val="none" w:sz="0" w:space="0" w:color="auto"/>
                                <w:bottom w:val="none" w:sz="0" w:space="0" w:color="auto"/>
                                <w:right w:val="none" w:sz="0" w:space="0" w:color="auto"/>
                              </w:divBdr>
                              <w:divsChild>
                                <w:div w:id="1722435577">
                                  <w:marLeft w:val="0"/>
                                  <w:marRight w:val="0"/>
                                  <w:marTop w:val="0"/>
                                  <w:marBottom w:val="0"/>
                                  <w:divBdr>
                                    <w:top w:val="none" w:sz="0" w:space="0" w:color="auto"/>
                                    <w:left w:val="none" w:sz="0" w:space="0" w:color="auto"/>
                                    <w:bottom w:val="none" w:sz="0" w:space="0" w:color="auto"/>
                                    <w:right w:val="none" w:sz="0" w:space="0" w:color="auto"/>
                                  </w:divBdr>
                                  <w:divsChild>
                                    <w:div w:id="1018701232">
                                      <w:marLeft w:val="0"/>
                                      <w:marRight w:val="0"/>
                                      <w:marTop w:val="0"/>
                                      <w:marBottom w:val="0"/>
                                      <w:divBdr>
                                        <w:top w:val="none" w:sz="0" w:space="0" w:color="auto"/>
                                        <w:left w:val="none" w:sz="0" w:space="0" w:color="auto"/>
                                        <w:bottom w:val="none" w:sz="0" w:space="0" w:color="auto"/>
                                        <w:right w:val="none" w:sz="0" w:space="0" w:color="auto"/>
                                      </w:divBdr>
                                      <w:divsChild>
                                        <w:div w:id="1185173925">
                                          <w:marLeft w:val="0"/>
                                          <w:marRight w:val="0"/>
                                          <w:marTop w:val="0"/>
                                          <w:marBottom w:val="0"/>
                                          <w:divBdr>
                                            <w:top w:val="none" w:sz="0" w:space="0" w:color="auto"/>
                                            <w:left w:val="none" w:sz="0" w:space="0" w:color="auto"/>
                                            <w:bottom w:val="none" w:sz="0" w:space="0" w:color="auto"/>
                                            <w:right w:val="none" w:sz="0" w:space="0" w:color="auto"/>
                                          </w:divBdr>
                                          <w:divsChild>
                                            <w:div w:id="1885437719">
                                              <w:marLeft w:val="0"/>
                                              <w:marRight w:val="0"/>
                                              <w:marTop w:val="0"/>
                                              <w:marBottom w:val="0"/>
                                              <w:divBdr>
                                                <w:top w:val="none" w:sz="0" w:space="0" w:color="auto"/>
                                                <w:left w:val="none" w:sz="0" w:space="0" w:color="auto"/>
                                                <w:bottom w:val="none" w:sz="0" w:space="0" w:color="auto"/>
                                                <w:right w:val="none" w:sz="0" w:space="0" w:color="auto"/>
                                              </w:divBdr>
                                              <w:divsChild>
                                                <w:div w:id="763527093">
                                                  <w:marLeft w:val="0"/>
                                                  <w:marRight w:val="0"/>
                                                  <w:marTop w:val="0"/>
                                                  <w:marBottom w:val="0"/>
                                                  <w:divBdr>
                                                    <w:top w:val="none" w:sz="0" w:space="0" w:color="auto"/>
                                                    <w:left w:val="none" w:sz="0" w:space="0" w:color="auto"/>
                                                    <w:bottom w:val="none" w:sz="0" w:space="0" w:color="auto"/>
                                                    <w:right w:val="none" w:sz="0" w:space="0" w:color="auto"/>
                                                  </w:divBdr>
                                                  <w:divsChild>
                                                    <w:div w:id="2137720373">
                                                      <w:marLeft w:val="0"/>
                                                      <w:marRight w:val="0"/>
                                                      <w:marTop w:val="0"/>
                                                      <w:marBottom w:val="0"/>
                                                      <w:divBdr>
                                                        <w:top w:val="none" w:sz="0" w:space="0" w:color="auto"/>
                                                        <w:left w:val="none" w:sz="0" w:space="0" w:color="auto"/>
                                                        <w:bottom w:val="none" w:sz="0" w:space="0" w:color="auto"/>
                                                        <w:right w:val="none" w:sz="0" w:space="0" w:color="auto"/>
                                                      </w:divBdr>
                                                      <w:divsChild>
                                                        <w:div w:id="1331102216">
                                                          <w:marLeft w:val="0"/>
                                                          <w:marRight w:val="0"/>
                                                          <w:marTop w:val="0"/>
                                                          <w:marBottom w:val="0"/>
                                                          <w:divBdr>
                                                            <w:top w:val="none" w:sz="0" w:space="0" w:color="auto"/>
                                                            <w:left w:val="none" w:sz="0" w:space="0" w:color="auto"/>
                                                            <w:bottom w:val="none" w:sz="0" w:space="0" w:color="auto"/>
                                                            <w:right w:val="none" w:sz="0" w:space="0" w:color="auto"/>
                                                          </w:divBdr>
                                                          <w:divsChild>
                                                            <w:div w:id="1088111232">
                                                              <w:marLeft w:val="0"/>
                                                              <w:marRight w:val="0"/>
                                                              <w:marTop w:val="0"/>
                                                              <w:marBottom w:val="0"/>
                                                              <w:divBdr>
                                                                <w:top w:val="none" w:sz="0" w:space="0" w:color="auto"/>
                                                                <w:left w:val="none" w:sz="0" w:space="0" w:color="auto"/>
                                                                <w:bottom w:val="none" w:sz="0" w:space="0" w:color="auto"/>
                                                                <w:right w:val="none" w:sz="0" w:space="0" w:color="auto"/>
                                                              </w:divBdr>
                                                              <w:divsChild>
                                                                <w:div w:id="1728988444">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0366857">
      <w:bodyDiv w:val="1"/>
      <w:marLeft w:val="0"/>
      <w:marRight w:val="0"/>
      <w:marTop w:val="0"/>
      <w:marBottom w:val="0"/>
      <w:divBdr>
        <w:top w:val="none" w:sz="0" w:space="0" w:color="auto"/>
        <w:left w:val="none" w:sz="0" w:space="0" w:color="auto"/>
        <w:bottom w:val="none" w:sz="0" w:space="0" w:color="auto"/>
        <w:right w:val="none" w:sz="0" w:space="0" w:color="auto"/>
      </w:divBdr>
    </w:div>
    <w:div w:id="153109750">
      <w:bodyDiv w:val="1"/>
      <w:marLeft w:val="0"/>
      <w:marRight w:val="0"/>
      <w:marTop w:val="0"/>
      <w:marBottom w:val="0"/>
      <w:divBdr>
        <w:top w:val="none" w:sz="0" w:space="0" w:color="auto"/>
        <w:left w:val="none" w:sz="0" w:space="0" w:color="auto"/>
        <w:bottom w:val="none" w:sz="0" w:space="0" w:color="auto"/>
        <w:right w:val="none" w:sz="0" w:space="0" w:color="auto"/>
      </w:divBdr>
    </w:div>
    <w:div w:id="154414723">
      <w:bodyDiv w:val="1"/>
      <w:marLeft w:val="0"/>
      <w:marRight w:val="0"/>
      <w:marTop w:val="0"/>
      <w:marBottom w:val="0"/>
      <w:divBdr>
        <w:top w:val="none" w:sz="0" w:space="0" w:color="auto"/>
        <w:left w:val="none" w:sz="0" w:space="0" w:color="auto"/>
        <w:bottom w:val="none" w:sz="0" w:space="0" w:color="auto"/>
        <w:right w:val="none" w:sz="0" w:space="0" w:color="auto"/>
      </w:divBdr>
    </w:div>
    <w:div w:id="156851779">
      <w:bodyDiv w:val="1"/>
      <w:marLeft w:val="0"/>
      <w:marRight w:val="0"/>
      <w:marTop w:val="0"/>
      <w:marBottom w:val="0"/>
      <w:divBdr>
        <w:top w:val="none" w:sz="0" w:space="0" w:color="auto"/>
        <w:left w:val="none" w:sz="0" w:space="0" w:color="auto"/>
        <w:bottom w:val="none" w:sz="0" w:space="0" w:color="auto"/>
        <w:right w:val="none" w:sz="0" w:space="0" w:color="auto"/>
      </w:divBdr>
    </w:div>
    <w:div w:id="178397682">
      <w:bodyDiv w:val="1"/>
      <w:marLeft w:val="0"/>
      <w:marRight w:val="0"/>
      <w:marTop w:val="0"/>
      <w:marBottom w:val="0"/>
      <w:divBdr>
        <w:top w:val="none" w:sz="0" w:space="0" w:color="auto"/>
        <w:left w:val="none" w:sz="0" w:space="0" w:color="auto"/>
        <w:bottom w:val="none" w:sz="0" w:space="0" w:color="auto"/>
        <w:right w:val="none" w:sz="0" w:space="0" w:color="auto"/>
      </w:divBdr>
    </w:div>
    <w:div w:id="203256617">
      <w:bodyDiv w:val="1"/>
      <w:marLeft w:val="0"/>
      <w:marRight w:val="0"/>
      <w:marTop w:val="0"/>
      <w:marBottom w:val="0"/>
      <w:divBdr>
        <w:top w:val="none" w:sz="0" w:space="0" w:color="auto"/>
        <w:left w:val="none" w:sz="0" w:space="0" w:color="auto"/>
        <w:bottom w:val="none" w:sz="0" w:space="0" w:color="auto"/>
        <w:right w:val="none" w:sz="0" w:space="0" w:color="auto"/>
      </w:divBdr>
    </w:div>
    <w:div w:id="294338692">
      <w:bodyDiv w:val="1"/>
      <w:marLeft w:val="0"/>
      <w:marRight w:val="0"/>
      <w:marTop w:val="0"/>
      <w:marBottom w:val="0"/>
      <w:divBdr>
        <w:top w:val="none" w:sz="0" w:space="0" w:color="auto"/>
        <w:left w:val="none" w:sz="0" w:space="0" w:color="auto"/>
        <w:bottom w:val="none" w:sz="0" w:space="0" w:color="auto"/>
        <w:right w:val="none" w:sz="0" w:space="0" w:color="auto"/>
      </w:divBdr>
    </w:div>
    <w:div w:id="312224887">
      <w:bodyDiv w:val="1"/>
      <w:marLeft w:val="0"/>
      <w:marRight w:val="0"/>
      <w:marTop w:val="0"/>
      <w:marBottom w:val="0"/>
      <w:divBdr>
        <w:top w:val="none" w:sz="0" w:space="0" w:color="auto"/>
        <w:left w:val="none" w:sz="0" w:space="0" w:color="auto"/>
        <w:bottom w:val="none" w:sz="0" w:space="0" w:color="auto"/>
        <w:right w:val="none" w:sz="0" w:space="0" w:color="auto"/>
      </w:divBdr>
    </w:div>
    <w:div w:id="327252520">
      <w:bodyDiv w:val="1"/>
      <w:marLeft w:val="0"/>
      <w:marRight w:val="0"/>
      <w:marTop w:val="0"/>
      <w:marBottom w:val="0"/>
      <w:divBdr>
        <w:top w:val="none" w:sz="0" w:space="0" w:color="auto"/>
        <w:left w:val="none" w:sz="0" w:space="0" w:color="auto"/>
        <w:bottom w:val="none" w:sz="0" w:space="0" w:color="auto"/>
        <w:right w:val="none" w:sz="0" w:space="0" w:color="auto"/>
      </w:divBdr>
    </w:div>
    <w:div w:id="346906180">
      <w:bodyDiv w:val="1"/>
      <w:marLeft w:val="0"/>
      <w:marRight w:val="0"/>
      <w:marTop w:val="0"/>
      <w:marBottom w:val="0"/>
      <w:divBdr>
        <w:top w:val="none" w:sz="0" w:space="0" w:color="auto"/>
        <w:left w:val="none" w:sz="0" w:space="0" w:color="auto"/>
        <w:bottom w:val="none" w:sz="0" w:space="0" w:color="auto"/>
        <w:right w:val="none" w:sz="0" w:space="0" w:color="auto"/>
      </w:divBdr>
    </w:div>
    <w:div w:id="366298235">
      <w:bodyDiv w:val="1"/>
      <w:marLeft w:val="0"/>
      <w:marRight w:val="0"/>
      <w:marTop w:val="0"/>
      <w:marBottom w:val="0"/>
      <w:divBdr>
        <w:top w:val="none" w:sz="0" w:space="0" w:color="auto"/>
        <w:left w:val="none" w:sz="0" w:space="0" w:color="auto"/>
        <w:bottom w:val="none" w:sz="0" w:space="0" w:color="auto"/>
        <w:right w:val="none" w:sz="0" w:space="0" w:color="auto"/>
      </w:divBdr>
    </w:div>
    <w:div w:id="382565040">
      <w:bodyDiv w:val="1"/>
      <w:marLeft w:val="0"/>
      <w:marRight w:val="0"/>
      <w:marTop w:val="0"/>
      <w:marBottom w:val="0"/>
      <w:divBdr>
        <w:top w:val="none" w:sz="0" w:space="0" w:color="auto"/>
        <w:left w:val="none" w:sz="0" w:space="0" w:color="auto"/>
        <w:bottom w:val="none" w:sz="0" w:space="0" w:color="auto"/>
        <w:right w:val="none" w:sz="0" w:space="0" w:color="auto"/>
      </w:divBdr>
    </w:div>
    <w:div w:id="385685280">
      <w:bodyDiv w:val="1"/>
      <w:marLeft w:val="0"/>
      <w:marRight w:val="0"/>
      <w:marTop w:val="0"/>
      <w:marBottom w:val="0"/>
      <w:divBdr>
        <w:top w:val="none" w:sz="0" w:space="0" w:color="auto"/>
        <w:left w:val="none" w:sz="0" w:space="0" w:color="auto"/>
        <w:bottom w:val="none" w:sz="0" w:space="0" w:color="auto"/>
        <w:right w:val="none" w:sz="0" w:space="0" w:color="auto"/>
      </w:divBdr>
    </w:div>
    <w:div w:id="405345926">
      <w:bodyDiv w:val="1"/>
      <w:marLeft w:val="0"/>
      <w:marRight w:val="0"/>
      <w:marTop w:val="0"/>
      <w:marBottom w:val="0"/>
      <w:divBdr>
        <w:top w:val="none" w:sz="0" w:space="0" w:color="auto"/>
        <w:left w:val="none" w:sz="0" w:space="0" w:color="auto"/>
        <w:bottom w:val="none" w:sz="0" w:space="0" w:color="auto"/>
        <w:right w:val="none" w:sz="0" w:space="0" w:color="auto"/>
      </w:divBdr>
    </w:div>
    <w:div w:id="425201006">
      <w:bodyDiv w:val="1"/>
      <w:marLeft w:val="0"/>
      <w:marRight w:val="0"/>
      <w:marTop w:val="0"/>
      <w:marBottom w:val="0"/>
      <w:divBdr>
        <w:top w:val="none" w:sz="0" w:space="0" w:color="auto"/>
        <w:left w:val="none" w:sz="0" w:space="0" w:color="auto"/>
        <w:bottom w:val="none" w:sz="0" w:space="0" w:color="auto"/>
        <w:right w:val="none" w:sz="0" w:space="0" w:color="auto"/>
      </w:divBdr>
    </w:div>
    <w:div w:id="481893475">
      <w:bodyDiv w:val="1"/>
      <w:marLeft w:val="0"/>
      <w:marRight w:val="0"/>
      <w:marTop w:val="0"/>
      <w:marBottom w:val="0"/>
      <w:divBdr>
        <w:top w:val="none" w:sz="0" w:space="0" w:color="auto"/>
        <w:left w:val="none" w:sz="0" w:space="0" w:color="auto"/>
        <w:bottom w:val="none" w:sz="0" w:space="0" w:color="auto"/>
        <w:right w:val="none" w:sz="0" w:space="0" w:color="auto"/>
      </w:divBdr>
    </w:div>
    <w:div w:id="491524396">
      <w:bodyDiv w:val="1"/>
      <w:marLeft w:val="0"/>
      <w:marRight w:val="0"/>
      <w:marTop w:val="0"/>
      <w:marBottom w:val="0"/>
      <w:divBdr>
        <w:top w:val="none" w:sz="0" w:space="0" w:color="auto"/>
        <w:left w:val="none" w:sz="0" w:space="0" w:color="auto"/>
        <w:bottom w:val="none" w:sz="0" w:space="0" w:color="auto"/>
        <w:right w:val="none" w:sz="0" w:space="0" w:color="auto"/>
      </w:divBdr>
    </w:div>
    <w:div w:id="515653428">
      <w:bodyDiv w:val="1"/>
      <w:marLeft w:val="0"/>
      <w:marRight w:val="0"/>
      <w:marTop w:val="0"/>
      <w:marBottom w:val="0"/>
      <w:divBdr>
        <w:top w:val="none" w:sz="0" w:space="0" w:color="auto"/>
        <w:left w:val="none" w:sz="0" w:space="0" w:color="auto"/>
        <w:bottom w:val="none" w:sz="0" w:space="0" w:color="auto"/>
        <w:right w:val="none" w:sz="0" w:space="0" w:color="auto"/>
      </w:divBdr>
    </w:div>
    <w:div w:id="523905090">
      <w:bodyDiv w:val="1"/>
      <w:marLeft w:val="0"/>
      <w:marRight w:val="0"/>
      <w:marTop w:val="0"/>
      <w:marBottom w:val="0"/>
      <w:divBdr>
        <w:top w:val="none" w:sz="0" w:space="0" w:color="auto"/>
        <w:left w:val="none" w:sz="0" w:space="0" w:color="auto"/>
        <w:bottom w:val="none" w:sz="0" w:space="0" w:color="auto"/>
        <w:right w:val="none" w:sz="0" w:space="0" w:color="auto"/>
      </w:divBdr>
    </w:div>
    <w:div w:id="530530505">
      <w:bodyDiv w:val="1"/>
      <w:marLeft w:val="0"/>
      <w:marRight w:val="0"/>
      <w:marTop w:val="0"/>
      <w:marBottom w:val="0"/>
      <w:divBdr>
        <w:top w:val="none" w:sz="0" w:space="0" w:color="auto"/>
        <w:left w:val="none" w:sz="0" w:space="0" w:color="auto"/>
        <w:bottom w:val="none" w:sz="0" w:space="0" w:color="auto"/>
        <w:right w:val="none" w:sz="0" w:space="0" w:color="auto"/>
      </w:divBdr>
    </w:div>
    <w:div w:id="574899825">
      <w:bodyDiv w:val="1"/>
      <w:marLeft w:val="0"/>
      <w:marRight w:val="0"/>
      <w:marTop w:val="0"/>
      <w:marBottom w:val="0"/>
      <w:divBdr>
        <w:top w:val="none" w:sz="0" w:space="0" w:color="auto"/>
        <w:left w:val="none" w:sz="0" w:space="0" w:color="auto"/>
        <w:bottom w:val="none" w:sz="0" w:space="0" w:color="auto"/>
        <w:right w:val="none" w:sz="0" w:space="0" w:color="auto"/>
      </w:divBdr>
      <w:divsChild>
        <w:div w:id="1548178349">
          <w:marLeft w:val="0"/>
          <w:marRight w:val="0"/>
          <w:marTop w:val="0"/>
          <w:marBottom w:val="0"/>
          <w:divBdr>
            <w:top w:val="none" w:sz="0" w:space="0" w:color="auto"/>
            <w:left w:val="none" w:sz="0" w:space="0" w:color="auto"/>
            <w:bottom w:val="none" w:sz="0" w:space="0" w:color="auto"/>
            <w:right w:val="none" w:sz="0" w:space="0" w:color="auto"/>
          </w:divBdr>
        </w:div>
      </w:divsChild>
    </w:div>
    <w:div w:id="594824200">
      <w:bodyDiv w:val="1"/>
      <w:marLeft w:val="0"/>
      <w:marRight w:val="0"/>
      <w:marTop w:val="0"/>
      <w:marBottom w:val="0"/>
      <w:divBdr>
        <w:top w:val="none" w:sz="0" w:space="0" w:color="auto"/>
        <w:left w:val="none" w:sz="0" w:space="0" w:color="auto"/>
        <w:bottom w:val="none" w:sz="0" w:space="0" w:color="auto"/>
        <w:right w:val="none" w:sz="0" w:space="0" w:color="auto"/>
      </w:divBdr>
    </w:div>
    <w:div w:id="613708018">
      <w:bodyDiv w:val="1"/>
      <w:marLeft w:val="0"/>
      <w:marRight w:val="0"/>
      <w:marTop w:val="0"/>
      <w:marBottom w:val="0"/>
      <w:divBdr>
        <w:top w:val="none" w:sz="0" w:space="0" w:color="auto"/>
        <w:left w:val="none" w:sz="0" w:space="0" w:color="auto"/>
        <w:bottom w:val="none" w:sz="0" w:space="0" w:color="auto"/>
        <w:right w:val="none" w:sz="0" w:space="0" w:color="auto"/>
      </w:divBdr>
      <w:divsChild>
        <w:div w:id="718744523">
          <w:marLeft w:val="480"/>
          <w:marRight w:val="0"/>
          <w:marTop w:val="0"/>
          <w:marBottom w:val="0"/>
          <w:divBdr>
            <w:top w:val="single" w:sz="2" w:space="0" w:color="E4E6E8"/>
            <w:left w:val="single" w:sz="2" w:space="0" w:color="E4E6E8"/>
            <w:bottom w:val="single" w:sz="2" w:space="0" w:color="E4E6E8"/>
            <w:right w:val="single" w:sz="2" w:space="0" w:color="E4E6E8"/>
          </w:divBdr>
          <w:divsChild>
            <w:div w:id="1686710609">
              <w:marLeft w:val="0"/>
              <w:marRight w:val="0"/>
              <w:marTop w:val="0"/>
              <w:marBottom w:val="240"/>
              <w:divBdr>
                <w:top w:val="single" w:sz="2" w:space="0" w:color="E4E6E8"/>
                <w:left w:val="single" w:sz="2" w:space="0" w:color="E4E6E8"/>
                <w:bottom w:val="single" w:sz="2" w:space="0" w:color="E4E6E8"/>
                <w:right w:val="single" w:sz="2" w:space="0" w:color="E4E6E8"/>
              </w:divBdr>
            </w:div>
          </w:divsChild>
        </w:div>
        <w:div w:id="1789621122">
          <w:marLeft w:val="0"/>
          <w:marRight w:val="0"/>
          <w:marTop w:val="0"/>
          <w:marBottom w:val="0"/>
          <w:divBdr>
            <w:top w:val="single" w:sz="2" w:space="0" w:color="E4E6E8"/>
            <w:left w:val="single" w:sz="2" w:space="0" w:color="E4E6E8"/>
            <w:bottom w:val="single" w:sz="2" w:space="0" w:color="E4E6E8"/>
            <w:right w:val="single" w:sz="2" w:space="0" w:color="E4E6E8"/>
          </w:divBdr>
        </w:div>
      </w:divsChild>
    </w:div>
    <w:div w:id="634799546">
      <w:bodyDiv w:val="1"/>
      <w:marLeft w:val="0"/>
      <w:marRight w:val="0"/>
      <w:marTop w:val="0"/>
      <w:marBottom w:val="0"/>
      <w:divBdr>
        <w:top w:val="none" w:sz="0" w:space="0" w:color="auto"/>
        <w:left w:val="none" w:sz="0" w:space="0" w:color="auto"/>
        <w:bottom w:val="none" w:sz="0" w:space="0" w:color="auto"/>
        <w:right w:val="none" w:sz="0" w:space="0" w:color="auto"/>
      </w:divBdr>
    </w:div>
    <w:div w:id="638343820">
      <w:bodyDiv w:val="1"/>
      <w:marLeft w:val="0"/>
      <w:marRight w:val="0"/>
      <w:marTop w:val="0"/>
      <w:marBottom w:val="0"/>
      <w:divBdr>
        <w:top w:val="none" w:sz="0" w:space="0" w:color="auto"/>
        <w:left w:val="none" w:sz="0" w:space="0" w:color="auto"/>
        <w:bottom w:val="none" w:sz="0" w:space="0" w:color="auto"/>
        <w:right w:val="none" w:sz="0" w:space="0" w:color="auto"/>
      </w:divBdr>
    </w:div>
    <w:div w:id="638608788">
      <w:bodyDiv w:val="1"/>
      <w:marLeft w:val="0"/>
      <w:marRight w:val="0"/>
      <w:marTop w:val="0"/>
      <w:marBottom w:val="0"/>
      <w:divBdr>
        <w:top w:val="none" w:sz="0" w:space="0" w:color="auto"/>
        <w:left w:val="none" w:sz="0" w:space="0" w:color="auto"/>
        <w:bottom w:val="none" w:sz="0" w:space="0" w:color="auto"/>
        <w:right w:val="none" w:sz="0" w:space="0" w:color="auto"/>
      </w:divBdr>
    </w:div>
    <w:div w:id="660237419">
      <w:bodyDiv w:val="1"/>
      <w:marLeft w:val="0"/>
      <w:marRight w:val="0"/>
      <w:marTop w:val="0"/>
      <w:marBottom w:val="0"/>
      <w:divBdr>
        <w:top w:val="none" w:sz="0" w:space="0" w:color="auto"/>
        <w:left w:val="none" w:sz="0" w:space="0" w:color="auto"/>
        <w:bottom w:val="none" w:sz="0" w:space="0" w:color="auto"/>
        <w:right w:val="none" w:sz="0" w:space="0" w:color="auto"/>
      </w:divBdr>
    </w:div>
    <w:div w:id="663554658">
      <w:bodyDiv w:val="1"/>
      <w:marLeft w:val="0"/>
      <w:marRight w:val="0"/>
      <w:marTop w:val="0"/>
      <w:marBottom w:val="0"/>
      <w:divBdr>
        <w:top w:val="none" w:sz="0" w:space="0" w:color="auto"/>
        <w:left w:val="none" w:sz="0" w:space="0" w:color="auto"/>
        <w:bottom w:val="none" w:sz="0" w:space="0" w:color="auto"/>
        <w:right w:val="none" w:sz="0" w:space="0" w:color="auto"/>
      </w:divBdr>
      <w:divsChild>
        <w:div w:id="690034283">
          <w:marLeft w:val="0"/>
          <w:marRight w:val="0"/>
          <w:marTop w:val="0"/>
          <w:marBottom w:val="0"/>
          <w:divBdr>
            <w:top w:val="none" w:sz="0" w:space="0" w:color="auto"/>
            <w:left w:val="none" w:sz="0" w:space="0" w:color="auto"/>
            <w:bottom w:val="none" w:sz="0" w:space="0" w:color="auto"/>
            <w:right w:val="none" w:sz="0" w:space="0" w:color="auto"/>
          </w:divBdr>
        </w:div>
      </w:divsChild>
    </w:div>
    <w:div w:id="750584069">
      <w:bodyDiv w:val="1"/>
      <w:marLeft w:val="0"/>
      <w:marRight w:val="0"/>
      <w:marTop w:val="0"/>
      <w:marBottom w:val="0"/>
      <w:divBdr>
        <w:top w:val="none" w:sz="0" w:space="0" w:color="auto"/>
        <w:left w:val="none" w:sz="0" w:space="0" w:color="auto"/>
        <w:bottom w:val="none" w:sz="0" w:space="0" w:color="auto"/>
        <w:right w:val="none" w:sz="0" w:space="0" w:color="auto"/>
      </w:divBdr>
    </w:div>
    <w:div w:id="751854881">
      <w:bodyDiv w:val="1"/>
      <w:marLeft w:val="0"/>
      <w:marRight w:val="0"/>
      <w:marTop w:val="0"/>
      <w:marBottom w:val="0"/>
      <w:divBdr>
        <w:top w:val="none" w:sz="0" w:space="0" w:color="auto"/>
        <w:left w:val="none" w:sz="0" w:space="0" w:color="auto"/>
        <w:bottom w:val="none" w:sz="0" w:space="0" w:color="auto"/>
        <w:right w:val="none" w:sz="0" w:space="0" w:color="auto"/>
      </w:divBdr>
    </w:div>
    <w:div w:id="760681570">
      <w:bodyDiv w:val="1"/>
      <w:marLeft w:val="0"/>
      <w:marRight w:val="0"/>
      <w:marTop w:val="0"/>
      <w:marBottom w:val="0"/>
      <w:divBdr>
        <w:top w:val="none" w:sz="0" w:space="0" w:color="auto"/>
        <w:left w:val="none" w:sz="0" w:space="0" w:color="auto"/>
        <w:bottom w:val="none" w:sz="0" w:space="0" w:color="auto"/>
        <w:right w:val="none" w:sz="0" w:space="0" w:color="auto"/>
      </w:divBdr>
    </w:div>
    <w:div w:id="796921150">
      <w:bodyDiv w:val="1"/>
      <w:marLeft w:val="0"/>
      <w:marRight w:val="0"/>
      <w:marTop w:val="0"/>
      <w:marBottom w:val="0"/>
      <w:divBdr>
        <w:top w:val="none" w:sz="0" w:space="0" w:color="auto"/>
        <w:left w:val="none" w:sz="0" w:space="0" w:color="auto"/>
        <w:bottom w:val="none" w:sz="0" w:space="0" w:color="auto"/>
        <w:right w:val="none" w:sz="0" w:space="0" w:color="auto"/>
      </w:divBdr>
    </w:div>
    <w:div w:id="808858816">
      <w:bodyDiv w:val="1"/>
      <w:marLeft w:val="0"/>
      <w:marRight w:val="0"/>
      <w:marTop w:val="0"/>
      <w:marBottom w:val="0"/>
      <w:divBdr>
        <w:top w:val="none" w:sz="0" w:space="0" w:color="auto"/>
        <w:left w:val="none" w:sz="0" w:space="0" w:color="auto"/>
        <w:bottom w:val="none" w:sz="0" w:space="0" w:color="auto"/>
        <w:right w:val="none" w:sz="0" w:space="0" w:color="auto"/>
      </w:divBdr>
      <w:divsChild>
        <w:div w:id="1450977826">
          <w:marLeft w:val="0"/>
          <w:marRight w:val="0"/>
          <w:marTop w:val="0"/>
          <w:marBottom w:val="0"/>
          <w:divBdr>
            <w:top w:val="single" w:sz="2" w:space="0" w:color="ECEDEE"/>
            <w:left w:val="single" w:sz="2" w:space="0" w:color="ECEDEE"/>
            <w:bottom w:val="single" w:sz="2" w:space="0" w:color="ECEDEE"/>
            <w:right w:val="single" w:sz="2" w:space="0" w:color="ECEDEE"/>
          </w:divBdr>
        </w:div>
        <w:div w:id="2120486340">
          <w:marLeft w:val="0"/>
          <w:marRight w:val="0"/>
          <w:marTop w:val="0"/>
          <w:marBottom w:val="0"/>
          <w:divBdr>
            <w:top w:val="single" w:sz="2" w:space="0" w:color="ECEDEE"/>
            <w:left w:val="single" w:sz="2" w:space="0" w:color="ECEDEE"/>
            <w:bottom w:val="single" w:sz="2" w:space="0" w:color="ECEDEE"/>
            <w:right w:val="single" w:sz="2" w:space="0" w:color="ECEDEE"/>
          </w:divBdr>
        </w:div>
      </w:divsChild>
    </w:div>
    <w:div w:id="815488440">
      <w:bodyDiv w:val="1"/>
      <w:marLeft w:val="0"/>
      <w:marRight w:val="0"/>
      <w:marTop w:val="0"/>
      <w:marBottom w:val="0"/>
      <w:divBdr>
        <w:top w:val="none" w:sz="0" w:space="0" w:color="auto"/>
        <w:left w:val="none" w:sz="0" w:space="0" w:color="auto"/>
        <w:bottom w:val="none" w:sz="0" w:space="0" w:color="auto"/>
        <w:right w:val="none" w:sz="0" w:space="0" w:color="auto"/>
      </w:divBdr>
    </w:div>
    <w:div w:id="825125845">
      <w:bodyDiv w:val="1"/>
      <w:marLeft w:val="0"/>
      <w:marRight w:val="0"/>
      <w:marTop w:val="0"/>
      <w:marBottom w:val="0"/>
      <w:divBdr>
        <w:top w:val="none" w:sz="0" w:space="0" w:color="auto"/>
        <w:left w:val="none" w:sz="0" w:space="0" w:color="auto"/>
        <w:bottom w:val="none" w:sz="0" w:space="0" w:color="auto"/>
        <w:right w:val="none" w:sz="0" w:space="0" w:color="auto"/>
      </w:divBdr>
    </w:div>
    <w:div w:id="827744416">
      <w:bodyDiv w:val="1"/>
      <w:marLeft w:val="0"/>
      <w:marRight w:val="0"/>
      <w:marTop w:val="0"/>
      <w:marBottom w:val="0"/>
      <w:divBdr>
        <w:top w:val="none" w:sz="0" w:space="0" w:color="auto"/>
        <w:left w:val="none" w:sz="0" w:space="0" w:color="auto"/>
        <w:bottom w:val="none" w:sz="0" w:space="0" w:color="auto"/>
        <w:right w:val="none" w:sz="0" w:space="0" w:color="auto"/>
      </w:divBdr>
    </w:div>
    <w:div w:id="840463060">
      <w:bodyDiv w:val="1"/>
      <w:marLeft w:val="0"/>
      <w:marRight w:val="0"/>
      <w:marTop w:val="0"/>
      <w:marBottom w:val="0"/>
      <w:divBdr>
        <w:top w:val="none" w:sz="0" w:space="0" w:color="auto"/>
        <w:left w:val="none" w:sz="0" w:space="0" w:color="auto"/>
        <w:bottom w:val="none" w:sz="0" w:space="0" w:color="auto"/>
        <w:right w:val="none" w:sz="0" w:space="0" w:color="auto"/>
      </w:divBdr>
    </w:div>
    <w:div w:id="844126739">
      <w:bodyDiv w:val="1"/>
      <w:marLeft w:val="0"/>
      <w:marRight w:val="0"/>
      <w:marTop w:val="0"/>
      <w:marBottom w:val="0"/>
      <w:divBdr>
        <w:top w:val="none" w:sz="0" w:space="0" w:color="auto"/>
        <w:left w:val="none" w:sz="0" w:space="0" w:color="auto"/>
        <w:bottom w:val="none" w:sz="0" w:space="0" w:color="auto"/>
        <w:right w:val="none" w:sz="0" w:space="0" w:color="auto"/>
      </w:divBdr>
    </w:div>
    <w:div w:id="864098102">
      <w:bodyDiv w:val="1"/>
      <w:marLeft w:val="0"/>
      <w:marRight w:val="0"/>
      <w:marTop w:val="0"/>
      <w:marBottom w:val="0"/>
      <w:divBdr>
        <w:top w:val="none" w:sz="0" w:space="0" w:color="auto"/>
        <w:left w:val="none" w:sz="0" w:space="0" w:color="auto"/>
        <w:bottom w:val="none" w:sz="0" w:space="0" w:color="auto"/>
        <w:right w:val="none" w:sz="0" w:space="0" w:color="auto"/>
      </w:divBdr>
    </w:div>
    <w:div w:id="868107300">
      <w:bodyDiv w:val="1"/>
      <w:marLeft w:val="0"/>
      <w:marRight w:val="0"/>
      <w:marTop w:val="0"/>
      <w:marBottom w:val="0"/>
      <w:divBdr>
        <w:top w:val="none" w:sz="0" w:space="0" w:color="auto"/>
        <w:left w:val="none" w:sz="0" w:space="0" w:color="auto"/>
        <w:bottom w:val="none" w:sz="0" w:space="0" w:color="auto"/>
        <w:right w:val="none" w:sz="0" w:space="0" w:color="auto"/>
      </w:divBdr>
    </w:div>
    <w:div w:id="872228040">
      <w:bodyDiv w:val="1"/>
      <w:marLeft w:val="0"/>
      <w:marRight w:val="0"/>
      <w:marTop w:val="0"/>
      <w:marBottom w:val="0"/>
      <w:divBdr>
        <w:top w:val="none" w:sz="0" w:space="0" w:color="auto"/>
        <w:left w:val="none" w:sz="0" w:space="0" w:color="auto"/>
        <w:bottom w:val="none" w:sz="0" w:space="0" w:color="auto"/>
        <w:right w:val="none" w:sz="0" w:space="0" w:color="auto"/>
      </w:divBdr>
    </w:div>
    <w:div w:id="876694908">
      <w:bodyDiv w:val="1"/>
      <w:marLeft w:val="0"/>
      <w:marRight w:val="0"/>
      <w:marTop w:val="0"/>
      <w:marBottom w:val="0"/>
      <w:divBdr>
        <w:top w:val="none" w:sz="0" w:space="0" w:color="auto"/>
        <w:left w:val="none" w:sz="0" w:space="0" w:color="auto"/>
        <w:bottom w:val="none" w:sz="0" w:space="0" w:color="auto"/>
        <w:right w:val="none" w:sz="0" w:space="0" w:color="auto"/>
      </w:divBdr>
    </w:div>
    <w:div w:id="879630477">
      <w:bodyDiv w:val="1"/>
      <w:marLeft w:val="0"/>
      <w:marRight w:val="0"/>
      <w:marTop w:val="0"/>
      <w:marBottom w:val="0"/>
      <w:divBdr>
        <w:top w:val="none" w:sz="0" w:space="0" w:color="auto"/>
        <w:left w:val="none" w:sz="0" w:space="0" w:color="auto"/>
        <w:bottom w:val="none" w:sz="0" w:space="0" w:color="auto"/>
        <w:right w:val="none" w:sz="0" w:space="0" w:color="auto"/>
      </w:divBdr>
      <w:divsChild>
        <w:div w:id="1706056882">
          <w:marLeft w:val="0"/>
          <w:marRight w:val="0"/>
          <w:marTop w:val="0"/>
          <w:marBottom w:val="0"/>
          <w:divBdr>
            <w:top w:val="none" w:sz="0" w:space="0" w:color="auto"/>
            <w:left w:val="none" w:sz="0" w:space="0" w:color="auto"/>
            <w:bottom w:val="none" w:sz="0" w:space="0" w:color="auto"/>
            <w:right w:val="none" w:sz="0" w:space="0" w:color="auto"/>
          </w:divBdr>
        </w:div>
      </w:divsChild>
    </w:div>
    <w:div w:id="900868713">
      <w:bodyDiv w:val="1"/>
      <w:marLeft w:val="0"/>
      <w:marRight w:val="0"/>
      <w:marTop w:val="0"/>
      <w:marBottom w:val="0"/>
      <w:divBdr>
        <w:top w:val="none" w:sz="0" w:space="0" w:color="auto"/>
        <w:left w:val="none" w:sz="0" w:space="0" w:color="auto"/>
        <w:bottom w:val="none" w:sz="0" w:space="0" w:color="auto"/>
        <w:right w:val="none" w:sz="0" w:space="0" w:color="auto"/>
      </w:divBdr>
    </w:div>
    <w:div w:id="971403510">
      <w:bodyDiv w:val="1"/>
      <w:marLeft w:val="0"/>
      <w:marRight w:val="0"/>
      <w:marTop w:val="0"/>
      <w:marBottom w:val="0"/>
      <w:divBdr>
        <w:top w:val="none" w:sz="0" w:space="0" w:color="auto"/>
        <w:left w:val="none" w:sz="0" w:space="0" w:color="auto"/>
        <w:bottom w:val="none" w:sz="0" w:space="0" w:color="auto"/>
        <w:right w:val="none" w:sz="0" w:space="0" w:color="auto"/>
      </w:divBdr>
      <w:divsChild>
        <w:div w:id="1209956495">
          <w:marLeft w:val="0"/>
          <w:marRight w:val="0"/>
          <w:marTop w:val="0"/>
          <w:marBottom w:val="0"/>
          <w:divBdr>
            <w:top w:val="none" w:sz="0" w:space="0" w:color="auto"/>
            <w:left w:val="none" w:sz="0" w:space="0" w:color="auto"/>
            <w:bottom w:val="none" w:sz="0" w:space="0" w:color="auto"/>
            <w:right w:val="none" w:sz="0" w:space="0" w:color="auto"/>
          </w:divBdr>
        </w:div>
      </w:divsChild>
    </w:div>
    <w:div w:id="1004668939">
      <w:bodyDiv w:val="1"/>
      <w:marLeft w:val="0"/>
      <w:marRight w:val="0"/>
      <w:marTop w:val="0"/>
      <w:marBottom w:val="0"/>
      <w:divBdr>
        <w:top w:val="none" w:sz="0" w:space="0" w:color="auto"/>
        <w:left w:val="none" w:sz="0" w:space="0" w:color="auto"/>
        <w:bottom w:val="none" w:sz="0" w:space="0" w:color="auto"/>
        <w:right w:val="none" w:sz="0" w:space="0" w:color="auto"/>
      </w:divBdr>
    </w:div>
    <w:div w:id="1016075367">
      <w:bodyDiv w:val="1"/>
      <w:marLeft w:val="0"/>
      <w:marRight w:val="0"/>
      <w:marTop w:val="0"/>
      <w:marBottom w:val="0"/>
      <w:divBdr>
        <w:top w:val="none" w:sz="0" w:space="0" w:color="auto"/>
        <w:left w:val="none" w:sz="0" w:space="0" w:color="auto"/>
        <w:bottom w:val="none" w:sz="0" w:space="0" w:color="auto"/>
        <w:right w:val="none" w:sz="0" w:space="0" w:color="auto"/>
      </w:divBdr>
    </w:div>
    <w:div w:id="1028219950">
      <w:bodyDiv w:val="1"/>
      <w:marLeft w:val="0"/>
      <w:marRight w:val="0"/>
      <w:marTop w:val="0"/>
      <w:marBottom w:val="0"/>
      <w:divBdr>
        <w:top w:val="none" w:sz="0" w:space="0" w:color="auto"/>
        <w:left w:val="none" w:sz="0" w:space="0" w:color="auto"/>
        <w:bottom w:val="none" w:sz="0" w:space="0" w:color="auto"/>
        <w:right w:val="none" w:sz="0" w:space="0" w:color="auto"/>
      </w:divBdr>
    </w:div>
    <w:div w:id="1031682516">
      <w:bodyDiv w:val="1"/>
      <w:marLeft w:val="0"/>
      <w:marRight w:val="0"/>
      <w:marTop w:val="0"/>
      <w:marBottom w:val="0"/>
      <w:divBdr>
        <w:top w:val="none" w:sz="0" w:space="0" w:color="auto"/>
        <w:left w:val="none" w:sz="0" w:space="0" w:color="auto"/>
        <w:bottom w:val="none" w:sz="0" w:space="0" w:color="auto"/>
        <w:right w:val="none" w:sz="0" w:space="0" w:color="auto"/>
      </w:divBdr>
    </w:div>
    <w:div w:id="1037044006">
      <w:bodyDiv w:val="1"/>
      <w:marLeft w:val="0"/>
      <w:marRight w:val="0"/>
      <w:marTop w:val="0"/>
      <w:marBottom w:val="0"/>
      <w:divBdr>
        <w:top w:val="none" w:sz="0" w:space="0" w:color="auto"/>
        <w:left w:val="none" w:sz="0" w:space="0" w:color="auto"/>
        <w:bottom w:val="none" w:sz="0" w:space="0" w:color="auto"/>
        <w:right w:val="none" w:sz="0" w:space="0" w:color="auto"/>
      </w:divBdr>
    </w:div>
    <w:div w:id="1044793485">
      <w:bodyDiv w:val="1"/>
      <w:marLeft w:val="0"/>
      <w:marRight w:val="0"/>
      <w:marTop w:val="0"/>
      <w:marBottom w:val="0"/>
      <w:divBdr>
        <w:top w:val="none" w:sz="0" w:space="0" w:color="auto"/>
        <w:left w:val="none" w:sz="0" w:space="0" w:color="auto"/>
        <w:bottom w:val="none" w:sz="0" w:space="0" w:color="auto"/>
        <w:right w:val="none" w:sz="0" w:space="0" w:color="auto"/>
      </w:divBdr>
    </w:div>
    <w:div w:id="1074398474">
      <w:bodyDiv w:val="1"/>
      <w:marLeft w:val="0"/>
      <w:marRight w:val="0"/>
      <w:marTop w:val="0"/>
      <w:marBottom w:val="0"/>
      <w:divBdr>
        <w:top w:val="none" w:sz="0" w:space="0" w:color="auto"/>
        <w:left w:val="none" w:sz="0" w:space="0" w:color="auto"/>
        <w:bottom w:val="none" w:sz="0" w:space="0" w:color="auto"/>
        <w:right w:val="none" w:sz="0" w:space="0" w:color="auto"/>
      </w:divBdr>
    </w:div>
    <w:div w:id="1091241819">
      <w:bodyDiv w:val="1"/>
      <w:marLeft w:val="0"/>
      <w:marRight w:val="0"/>
      <w:marTop w:val="0"/>
      <w:marBottom w:val="0"/>
      <w:divBdr>
        <w:top w:val="none" w:sz="0" w:space="0" w:color="auto"/>
        <w:left w:val="none" w:sz="0" w:space="0" w:color="auto"/>
        <w:bottom w:val="none" w:sz="0" w:space="0" w:color="auto"/>
        <w:right w:val="none" w:sz="0" w:space="0" w:color="auto"/>
      </w:divBdr>
      <w:divsChild>
        <w:div w:id="396632061">
          <w:marLeft w:val="0"/>
          <w:marRight w:val="0"/>
          <w:marTop w:val="0"/>
          <w:marBottom w:val="0"/>
          <w:divBdr>
            <w:top w:val="none" w:sz="0" w:space="0" w:color="auto"/>
            <w:left w:val="none" w:sz="0" w:space="0" w:color="auto"/>
            <w:bottom w:val="none" w:sz="0" w:space="0" w:color="auto"/>
            <w:right w:val="none" w:sz="0" w:space="0" w:color="auto"/>
          </w:divBdr>
        </w:div>
      </w:divsChild>
    </w:div>
    <w:div w:id="1121146586">
      <w:bodyDiv w:val="1"/>
      <w:marLeft w:val="0"/>
      <w:marRight w:val="0"/>
      <w:marTop w:val="0"/>
      <w:marBottom w:val="0"/>
      <w:divBdr>
        <w:top w:val="none" w:sz="0" w:space="0" w:color="auto"/>
        <w:left w:val="none" w:sz="0" w:space="0" w:color="auto"/>
        <w:bottom w:val="none" w:sz="0" w:space="0" w:color="auto"/>
        <w:right w:val="none" w:sz="0" w:space="0" w:color="auto"/>
      </w:divBdr>
    </w:div>
    <w:div w:id="1126696905">
      <w:bodyDiv w:val="1"/>
      <w:marLeft w:val="0"/>
      <w:marRight w:val="0"/>
      <w:marTop w:val="0"/>
      <w:marBottom w:val="0"/>
      <w:divBdr>
        <w:top w:val="none" w:sz="0" w:space="0" w:color="auto"/>
        <w:left w:val="none" w:sz="0" w:space="0" w:color="auto"/>
        <w:bottom w:val="none" w:sz="0" w:space="0" w:color="auto"/>
        <w:right w:val="none" w:sz="0" w:space="0" w:color="auto"/>
      </w:divBdr>
    </w:div>
    <w:div w:id="1180003098">
      <w:bodyDiv w:val="1"/>
      <w:marLeft w:val="0"/>
      <w:marRight w:val="0"/>
      <w:marTop w:val="0"/>
      <w:marBottom w:val="0"/>
      <w:divBdr>
        <w:top w:val="none" w:sz="0" w:space="0" w:color="auto"/>
        <w:left w:val="none" w:sz="0" w:space="0" w:color="auto"/>
        <w:bottom w:val="none" w:sz="0" w:space="0" w:color="auto"/>
        <w:right w:val="none" w:sz="0" w:space="0" w:color="auto"/>
      </w:divBdr>
    </w:div>
    <w:div w:id="1225065954">
      <w:bodyDiv w:val="1"/>
      <w:marLeft w:val="0"/>
      <w:marRight w:val="0"/>
      <w:marTop w:val="0"/>
      <w:marBottom w:val="0"/>
      <w:divBdr>
        <w:top w:val="none" w:sz="0" w:space="0" w:color="auto"/>
        <w:left w:val="none" w:sz="0" w:space="0" w:color="auto"/>
        <w:bottom w:val="none" w:sz="0" w:space="0" w:color="auto"/>
        <w:right w:val="none" w:sz="0" w:space="0" w:color="auto"/>
      </w:divBdr>
    </w:div>
    <w:div w:id="1255018772">
      <w:bodyDiv w:val="1"/>
      <w:marLeft w:val="0"/>
      <w:marRight w:val="0"/>
      <w:marTop w:val="0"/>
      <w:marBottom w:val="0"/>
      <w:divBdr>
        <w:top w:val="none" w:sz="0" w:space="0" w:color="auto"/>
        <w:left w:val="none" w:sz="0" w:space="0" w:color="auto"/>
        <w:bottom w:val="none" w:sz="0" w:space="0" w:color="auto"/>
        <w:right w:val="none" w:sz="0" w:space="0" w:color="auto"/>
      </w:divBdr>
    </w:div>
    <w:div w:id="1261717816">
      <w:bodyDiv w:val="1"/>
      <w:marLeft w:val="0"/>
      <w:marRight w:val="0"/>
      <w:marTop w:val="0"/>
      <w:marBottom w:val="0"/>
      <w:divBdr>
        <w:top w:val="none" w:sz="0" w:space="0" w:color="auto"/>
        <w:left w:val="none" w:sz="0" w:space="0" w:color="auto"/>
        <w:bottom w:val="none" w:sz="0" w:space="0" w:color="auto"/>
        <w:right w:val="none" w:sz="0" w:space="0" w:color="auto"/>
      </w:divBdr>
    </w:div>
    <w:div w:id="1279219948">
      <w:bodyDiv w:val="1"/>
      <w:marLeft w:val="0"/>
      <w:marRight w:val="0"/>
      <w:marTop w:val="0"/>
      <w:marBottom w:val="0"/>
      <w:divBdr>
        <w:top w:val="none" w:sz="0" w:space="0" w:color="auto"/>
        <w:left w:val="none" w:sz="0" w:space="0" w:color="auto"/>
        <w:bottom w:val="none" w:sz="0" w:space="0" w:color="auto"/>
        <w:right w:val="none" w:sz="0" w:space="0" w:color="auto"/>
      </w:divBdr>
    </w:div>
    <w:div w:id="1335911297">
      <w:bodyDiv w:val="1"/>
      <w:marLeft w:val="0"/>
      <w:marRight w:val="0"/>
      <w:marTop w:val="0"/>
      <w:marBottom w:val="0"/>
      <w:divBdr>
        <w:top w:val="none" w:sz="0" w:space="0" w:color="auto"/>
        <w:left w:val="none" w:sz="0" w:space="0" w:color="auto"/>
        <w:bottom w:val="none" w:sz="0" w:space="0" w:color="auto"/>
        <w:right w:val="none" w:sz="0" w:space="0" w:color="auto"/>
      </w:divBdr>
    </w:div>
    <w:div w:id="1338580744">
      <w:bodyDiv w:val="1"/>
      <w:marLeft w:val="0"/>
      <w:marRight w:val="0"/>
      <w:marTop w:val="0"/>
      <w:marBottom w:val="0"/>
      <w:divBdr>
        <w:top w:val="none" w:sz="0" w:space="0" w:color="auto"/>
        <w:left w:val="none" w:sz="0" w:space="0" w:color="auto"/>
        <w:bottom w:val="none" w:sz="0" w:space="0" w:color="auto"/>
        <w:right w:val="none" w:sz="0" w:space="0" w:color="auto"/>
      </w:divBdr>
    </w:div>
    <w:div w:id="1339389319">
      <w:bodyDiv w:val="1"/>
      <w:marLeft w:val="0"/>
      <w:marRight w:val="0"/>
      <w:marTop w:val="0"/>
      <w:marBottom w:val="0"/>
      <w:divBdr>
        <w:top w:val="none" w:sz="0" w:space="0" w:color="auto"/>
        <w:left w:val="none" w:sz="0" w:space="0" w:color="auto"/>
        <w:bottom w:val="none" w:sz="0" w:space="0" w:color="auto"/>
        <w:right w:val="none" w:sz="0" w:space="0" w:color="auto"/>
      </w:divBdr>
    </w:div>
    <w:div w:id="1352337779">
      <w:bodyDiv w:val="1"/>
      <w:marLeft w:val="0"/>
      <w:marRight w:val="0"/>
      <w:marTop w:val="0"/>
      <w:marBottom w:val="0"/>
      <w:divBdr>
        <w:top w:val="none" w:sz="0" w:space="0" w:color="auto"/>
        <w:left w:val="none" w:sz="0" w:space="0" w:color="auto"/>
        <w:bottom w:val="none" w:sz="0" w:space="0" w:color="auto"/>
        <w:right w:val="none" w:sz="0" w:space="0" w:color="auto"/>
      </w:divBdr>
    </w:div>
    <w:div w:id="1366323078">
      <w:bodyDiv w:val="1"/>
      <w:marLeft w:val="0"/>
      <w:marRight w:val="0"/>
      <w:marTop w:val="0"/>
      <w:marBottom w:val="0"/>
      <w:divBdr>
        <w:top w:val="none" w:sz="0" w:space="0" w:color="auto"/>
        <w:left w:val="none" w:sz="0" w:space="0" w:color="auto"/>
        <w:bottom w:val="none" w:sz="0" w:space="0" w:color="auto"/>
        <w:right w:val="none" w:sz="0" w:space="0" w:color="auto"/>
      </w:divBdr>
    </w:div>
    <w:div w:id="1366371126">
      <w:bodyDiv w:val="1"/>
      <w:marLeft w:val="0"/>
      <w:marRight w:val="0"/>
      <w:marTop w:val="0"/>
      <w:marBottom w:val="0"/>
      <w:divBdr>
        <w:top w:val="none" w:sz="0" w:space="0" w:color="auto"/>
        <w:left w:val="none" w:sz="0" w:space="0" w:color="auto"/>
        <w:bottom w:val="none" w:sz="0" w:space="0" w:color="auto"/>
        <w:right w:val="none" w:sz="0" w:space="0" w:color="auto"/>
      </w:divBdr>
    </w:div>
    <w:div w:id="1395352680">
      <w:bodyDiv w:val="1"/>
      <w:marLeft w:val="0"/>
      <w:marRight w:val="0"/>
      <w:marTop w:val="0"/>
      <w:marBottom w:val="0"/>
      <w:divBdr>
        <w:top w:val="none" w:sz="0" w:space="0" w:color="auto"/>
        <w:left w:val="none" w:sz="0" w:space="0" w:color="auto"/>
        <w:bottom w:val="none" w:sz="0" w:space="0" w:color="auto"/>
        <w:right w:val="none" w:sz="0" w:space="0" w:color="auto"/>
      </w:divBdr>
    </w:div>
    <w:div w:id="1420180554">
      <w:bodyDiv w:val="1"/>
      <w:marLeft w:val="0"/>
      <w:marRight w:val="0"/>
      <w:marTop w:val="0"/>
      <w:marBottom w:val="0"/>
      <w:divBdr>
        <w:top w:val="none" w:sz="0" w:space="0" w:color="auto"/>
        <w:left w:val="none" w:sz="0" w:space="0" w:color="auto"/>
        <w:bottom w:val="none" w:sz="0" w:space="0" w:color="auto"/>
        <w:right w:val="none" w:sz="0" w:space="0" w:color="auto"/>
      </w:divBdr>
    </w:div>
    <w:div w:id="1456945760">
      <w:bodyDiv w:val="1"/>
      <w:marLeft w:val="0"/>
      <w:marRight w:val="0"/>
      <w:marTop w:val="0"/>
      <w:marBottom w:val="0"/>
      <w:divBdr>
        <w:top w:val="none" w:sz="0" w:space="0" w:color="auto"/>
        <w:left w:val="none" w:sz="0" w:space="0" w:color="auto"/>
        <w:bottom w:val="none" w:sz="0" w:space="0" w:color="auto"/>
        <w:right w:val="none" w:sz="0" w:space="0" w:color="auto"/>
      </w:divBdr>
    </w:div>
    <w:div w:id="1463959011">
      <w:bodyDiv w:val="1"/>
      <w:marLeft w:val="0"/>
      <w:marRight w:val="0"/>
      <w:marTop w:val="0"/>
      <w:marBottom w:val="0"/>
      <w:divBdr>
        <w:top w:val="none" w:sz="0" w:space="0" w:color="auto"/>
        <w:left w:val="none" w:sz="0" w:space="0" w:color="auto"/>
        <w:bottom w:val="none" w:sz="0" w:space="0" w:color="auto"/>
        <w:right w:val="none" w:sz="0" w:space="0" w:color="auto"/>
      </w:divBdr>
      <w:divsChild>
        <w:div w:id="1515923094">
          <w:marLeft w:val="0"/>
          <w:marRight w:val="0"/>
          <w:marTop w:val="0"/>
          <w:marBottom w:val="0"/>
          <w:divBdr>
            <w:top w:val="single" w:sz="2" w:space="0" w:color="ECEDEE"/>
            <w:left w:val="single" w:sz="2" w:space="0" w:color="ECEDEE"/>
            <w:bottom w:val="single" w:sz="2" w:space="0" w:color="ECEDEE"/>
            <w:right w:val="single" w:sz="2" w:space="0" w:color="ECEDEE"/>
          </w:divBdr>
          <w:divsChild>
            <w:div w:id="1296521158">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480153429">
      <w:bodyDiv w:val="1"/>
      <w:marLeft w:val="0"/>
      <w:marRight w:val="0"/>
      <w:marTop w:val="0"/>
      <w:marBottom w:val="0"/>
      <w:divBdr>
        <w:top w:val="none" w:sz="0" w:space="0" w:color="auto"/>
        <w:left w:val="none" w:sz="0" w:space="0" w:color="auto"/>
        <w:bottom w:val="none" w:sz="0" w:space="0" w:color="auto"/>
        <w:right w:val="none" w:sz="0" w:space="0" w:color="auto"/>
      </w:divBdr>
    </w:div>
    <w:div w:id="1486162710">
      <w:bodyDiv w:val="1"/>
      <w:marLeft w:val="0"/>
      <w:marRight w:val="0"/>
      <w:marTop w:val="0"/>
      <w:marBottom w:val="0"/>
      <w:divBdr>
        <w:top w:val="none" w:sz="0" w:space="0" w:color="auto"/>
        <w:left w:val="none" w:sz="0" w:space="0" w:color="auto"/>
        <w:bottom w:val="none" w:sz="0" w:space="0" w:color="auto"/>
        <w:right w:val="none" w:sz="0" w:space="0" w:color="auto"/>
      </w:divBdr>
    </w:div>
    <w:div w:id="1490292450">
      <w:bodyDiv w:val="1"/>
      <w:marLeft w:val="0"/>
      <w:marRight w:val="0"/>
      <w:marTop w:val="0"/>
      <w:marBottom w:val="0"/>
      <w:divBdr>
        <w:top w:val="none" w:sz="0" w:space="0" w:color="auto"/>
        <w:left w:val="none" w:sz="0" w:space="0" w:color="auto"/>
        <w:bottom w:val="none" w:sz="0" w:space="0" w:color="auto"/>
        <w:right w:val="none" w:sz="0" w:space="0" w:color="auto"/>
      </w:divBdr>
      <w:divsChild>
        <w:div w:id="1781411919">
          <w:marLeft w:val="0"/>
          <w:marRight w:val="0"/>
          <w:marTop w:val="0"/>
          <w:marBottom w:val="0"/>
          <w:divBdr>
            <w:top w:val="none" w:sz="0" w:space="0" w:color="auto"/>
            <w:left w:val="none" w:sz="0" w:space="0" w:color="auto"/>
            <w:bottom w:val="none" w:sz="0" w:space="0" w:color="auto"/>
            <w:right w:val="none" w:sz="0" w:space="0" w:color="auto"/>
          </w:divBdr>
        </w:div>
      </w:divsChild>
    </w:div>
    <w:div w:id="1500539874">
      <w:bodyDiv w:val="1"/>
      <w:marLeft w:val="0"/>
      <w:marRight w:val="0"/>
      <w:marTop w:val="0"/>
      <w:marBottom w:val="0"/>
      <w:divBdr>
        <w:top w:val="none" w:sz="0" w:space="0" w:color="auto"/>
        <w:left w:val="none" w:sz="0" w:space="0" w:color="auto"/>
        <w:bottom w:val="none" w:sz="0" w:space="0" w:color="auto"/>
        <w:right w:val="none" w:sz="0" w:space="0" w:color="auto"/>
      </w:divBdr>
      <w:divsChild>
        <w:div w:id="1064375606">
          <w:marLeft w:val="0"/>
          <w:marRight w:val="0"/>
          <w:marTop w:val="0"/>
          <w:marBottom w:val="0"/>
          <w:divBdr>
            <w:top w:val="none" w:sz="0" w:space="0" w:color="auto"/>
            <w:left w:val="none" w:sz="0" w:space="0" w:color="auto"/>
            <w:bottom w:val="none" w:sz="0" w:space="0" w:color="auto"/>
            <w:right w:val="none" w:sz="0" w:space="0" w:color="auto"/>
          </w:divBdr>
        </w:div>
      </w:divsChild>
    </w:div>
    <w:div w:id="1514763418">
      <w:bodyDiv w:val="1"/>
      <w:marLeft w:val="0"/>
      <w:marRight w:val="0"/>
      <w:marTop w:val="0"/>
      <w:marBottom w:val="0"/>
      <w:divBdr>
        <w:top w:val="none" w:sz="0" w:space="0" w:color="auto"/>
        <w:left w:val="none" w:sz="0" w:space="0" w:color="auto"/>
        <w:bottom w:val="none" w:sz="0" w:space="0" w:color="auto"/>
        <w:right w:val="none" w:sz="0" w:space="0" w:color="auto"/>
      </w:divBdr>
    </w:div>
    <w:div w:id="1547184095">
      <w:bodyDiv w:val="1"/>
      <w:marLeft w:val="0"/>
      <w:marRight w:val="0"/>
      <w:marTop w:val="0"/>
      <w:marBottom w:val="0"/>
      <w:divBdr>
        <w:top w:val="none" w:sz="0" w:space="0" w:color="auto"/>
        <w:left w:val="none" w:sz="0" w:space="0" w:color="auto"/>
        <w:bottom w:val="none" w:sz="0" w:space="0" w:color="auto"/>
        <w:right w:val="none" w:sz="0" w:space="0" w:color="auto"/>
      </w:divBdr>
      <w:divsChild>
        <w:div w:id="215359075">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 w:id="1547521256">
      <w:bodyDiv w:val="1"/>
      <w:marLeft w:val="0"/>
      <w:marRight w:val="0"/>
      <w:marTop w:val="0"/>
      <w:marBottom w:val="0"/>
      <w:divBdr>
        <w:top w:val="none" w:sz="0" w:space="0" w:color="auto"/>
        <w:left w:val="none" w:sz="0" w:space="0" w:color="auto"/>
        <w:bottom w:val="none" w:sz="0" w:space="0" w:color="auto"/>
        <w:right w:val="none" w:sz="0" w:space="0" w:color="auto"/>
      </w:divBdr>
    </w:div>
    <w:div w:id="1560365745">
      <w:bodyDiv w:val="1"/>
      <w:marLeft w:val="0"/>
      <w:marRight w:val="0"/>
      <w:marTop w:val="0"/>
      <w:marBottom w:val="0"/>
      <w:divBdr>
        <w:top w:val="none" w:sz="0" w:space="0" w:color="auto"/>
        <w:left w:val="none" w:sz="0" w:space="0" w:color="auto"/>
        <w:bottom w:val="none" w:sz="0" w:space="0" w:color="auto"/>
        <w:right w:val="none" w:sz="0" w:space="0" w:color="auto"/>
      </w:divBdr>
    </w:div>
    <w:div w:id="1607276103">
      <w:bodyDiv w:val="1"/>
      <w:marLeft w:val="0"/>
      <w:marRight w:val="0"/>
      <w:marTop w:val="0"/>
      <w:marBottom w:val="0"/>
      <w:divBdr>
        <w:top w:val="none" w:sz="0" w:space="0" w:color="auto"/>
        <w:left w:val="none" w:sz="0" w:space="0" w:color="auto"/>
        <w:bottom w:val="none" w:sz="0" w:space="0" w:color="auto"/>
        <w:right w:val="none" w:sz="0" w:space="0" w:color="auto"/>
      </w:divBdr>
    </w:div>
    <w:div w:id="1619527157">
      <w:bodyDiv w:val="1"/>
      <w:marLeft w:val="0"/>
      <w:marRight w:val="0"/>
      <w:marTop w:val="0"/>
      <w:marBottom w:val="0"/>
      <w:divBdr>
        <w:top w:val="none" w:sz="0" w:space="0" w:color="auto"/>
        <w:left w:val="none" w:sz="0" w:space="0" w:color="auto"/>
        <w:bottom w:val="none" w:sz="0" w:space="0" w:color="auto"/>
        <w:right w:val="none" w:sz="0" w:space="0" w:color="auto"/>
      </w:divBdr>
    </w:div>
    <w:div w:id="1626152947">
      <w:bodyDiv w:val="1"/>
      <w:marLeft w:val="0"/>
      <w:marRight w:val="0"/>
      <w:marTop w:val="0"/>
      <w:marBottom w:val="0"/>
      <w:divBdr>
        <w:top w:val="none" w:sz="0" w:space="0" w:color="auto"/>
        <w:left w:val="none" w:sz="0" w:space="0" w:color="auto"/>
        <w:bottom w:val="none" w:sz="0" w:space="0" w:color="auto"/>
        <w:right w:val="none" w:sz="0" w:space="0" w:color="auto"/>
      </w:divBdr>
    </w:div>
    <w:div w:id="1636249724">
      <w:bodyDiv w:val="1"/>
      <w:marLeft w:val="0"/>
      <w:marRight w:val="0"/>
      <w:marTop w:val="0"/>
      <w:marBottom w:val="0"/>
      <w:divBdr>
        <w:top w:val="none" w:sz="0" w:space="0" w:color="auto"/>
        <w:left w:val="none" w:sz="0" w:space="0" w:color="auto"/>
        <w:bottom w:val="none" w:sz="0" w:space="0" w:color="auto"/>
        <w:right w:val="none" w:sz="0" w:space="0" w:color="auto"/>
      </w:divBdr>
    </w:div>
    <w:div w:id="1639607863">
      <w:bodyDiv w:val="1"/>
      <w:marLeft w:val="0"/>
      <w:marRight w:val="0"/>
      <w:marTop w:val="0"/>
      <w:marBottom w:val="0"/>
      <w:divBdr>
        <w:top w:val="none" w:sz="0" w:space="0" w:color="auto"/>
        <w:left w:val="none" w:sz="0" w:space="0" w:color="auto"/>
        <w:bottom w:val="none" w:sz="0" w:space="0" w:color="auto"/>
        <w:right w:val="none" w:sz="0" w:space="0" w:color="auto"/>
      </w:divBdr>
    </w:div>
    <w:div w:id="1641766346">
      <w:bodyDiv w:val="1"/>
      <w:marLeft w:val="0"/>
      <w:marRight w:val="0"/>
      <w:marTop w:val="0"/>
      <w:marBottom w:val="0"/>
      <w:divBdr>
        <w:top w:val="none" w:sz="0" w:space="0" w:color="auto"/>
        <w:left w:val="none" w:sz="0" w:space="0" w:color="auto"/>
        <w:bottom w:val="none" w:sz="0" w:space="0" w:color="auto"/>
        <w:right w:val="none" w:sz="0" w:space="0" w:color="auto"/>
      </w:divBdr>
      <w:divsChild>
        <w:div w:id="1335179827">
          <w:marLeft w:val="0"/>
          <w:marRight w:val="0"/>
          <w:marTop w:val="0"/>
          <w:marBottom w:val="0"/>
          <w:divBdr>
            <w:top w:val="single" w:sz="2" w:space="0" w:color="ECEDEE"/>
            <w:left w:val="single" w:sz="2" w:space="0" w:color="ECEDEE"/>
            <w:bottom w:val="single" w:sz="2" w:space="0" w:color="ECEDEE"/>
            <w:right w:val="single" w:sz="2" w:space="0" w:color="ECEDEE"/>
          </w:divBdr>
          <w:divsChild>
            <w:div w:id="307826988">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654069674">
      <w:bodyDiv w:val="1"/>
      <w:marLeft w:val="0"/>
      <w:marRight w:val="0"/>
      <w:marTop w:val="0"/>
      <w:marBottom w:val="0"/>
      <w:divBdr>
        <w:top w:val="none" w:sz="0" w:space="0" w:color="auto"/>
        <w:left w:val="none" w:sz="0" w:space="0" w:color="auto"/>
        <w:bottom w:val="none" w:sz="0" w:space="0" w:color="auto"/>
        <w:right w:val="none" w:sz="0" w:space="0" w:color="auto"/>
      </w:divBdr>
      <w:divsChild>
        <w:div w:id="649404411">
          <w:marLeft w:val="0"/>
          <w:marRight w:val="0"/>
          <w:marTop w:val="0"/>
          <w:marBottom w:val="0"/>
          <w:divBdr>
            <w:top w:val="none" w:sz="0" w:space="0" w:color="auto"/>
            <w:left w:val="none" w:sz="0" w:space="0" w:color="auto"/>
            <w:bottom w:val="none" w:sz="0" w:space="0" w:color="auto"/>
            <w:right w:val="none" w:sz="0" w:space="0" w:color="auto"/>
          </w:divBdr>
        </w:div>
      </w:divsChild>
    </w:div>
    <w:div w:id="1687364228">
      <w:bodyDiv w:val="1"/>
      <w:marLeft w:val="0"/>
      <w:marRight w:val="0"/>
      <w:marTop w:val="0"/>
      <w:marBottom w:val="0"/>
      <w:divBdr>
        <w:top w:val="none" w:sz="0" w:space="0" w:color="auto"/>
        <w:left w:val="none" w:sz="0" w:space="0" w:color="auto"/>
        <w:bottom w:val="none" w:sz="0" w:space="0" w:color="auto"/>
        <w:right w:val="none" w:sz="0" w:space="0" w:color="auto"/>
      </w:divBdr>
    </w:div>
    <w:div w:id="1711342468">
      <w:bodyDiv w:val="1"/>
      <w:marLeft w:val="0"/>
      <w:marRight w:val="0"/>
      <w:marTop w:val="0"/>
      <w:marBottom w:val="0"/>
      <w:divBdr>
        <w:top w:val="none" w:sz="0" w:space="0" w:color="auto"/>
        <w:left w:val="none" w:sz="0" w:space="0" w:color="auto"/>
        <w:bottom w:val="none" w:sz="0" w:space="0" w:color="auto"/>
        <w:right w:val="none" w:sz="0" w:space="0" w:color="auto"/>
      </w:divBdr>
    </w:div>
    <w:div w:id="1713338820">
      <w:bodyDiv w:val="1"/>
      <w:marLeft w:val="0"/>
      <w:marRight w:val="0"/>
      <w:marTop w:val="0"/>
      <w:marBottom w:val="0"/>
      <w:divBdr>
        <w:top w:val="none" w:sz="0" w:space="0" w:color="auto"/>
        <w:left w:val="none" w:sz="0" w:space="0" w:color="auto"/>
        <w:bottom w:val="none" w:sz="0" w:space="0" w:color="auto"/>
        <w:right w:val="none" w:sz="0" w:space="0" w:color="auto"/>
      </w:divBdr>
    </w:div>
    <w:div w:id="1714577824">
      <w:bodyDiv w:val="1"/>
      <w:marLeft w:val="0"/>
      <w:marRight w:val="0"/>
      <w:marTop w:val="0"/>
      <w:marBottom w:val="0"/>
      <w:divBdr>
        <w:top w:val="none" w:sz="0" w:space="0" w:color="auto"/>
        <w:left w:val="none" w:sz="0" w:space="0" w:color="auto"/>
        <w:bottom w:val="none" w:sz="0" w:space="0" w:color="auto"/>
        <w:right w:val="none" w:sz="0" w:space="0" w:color="auto"/>
      </w:divBdr>
    </w:div>
    <w:div w:id="1717923089">
      <w:bodyDiv w:val="1"/>
      <w:marLeft w:val="0"/>
      <w:marRight w:val="0"/>
      <w:marTop w:val="0"/>
      <w:marBottom w:val="0"/>
      <w:divBdr>
        <w:top w:val="none" w:sz="0" w:space="0" w:color="auto"/>
        <w:left w:val="none" w:sz="0" w:space="0" w:color="auto"/>
        <w:bottom w:val="none" w:sz="0" w:space="0" w:color="auto"/>
        <w:right w:val="none" w:sz="0" w:space="0" w:color="auto"/>
      </w:divBdr>
    </w:div>
    <w:div w:id="1723168660">
      <w:bodyDiv w:val="1"/>
      <w:marLeft w:val="0"/>
      <w:marRight w:val="0"/>
      <w:marTop w:val="0"/>
      <w:marBottom w:val="0"/>
      <w:divBdr>
        <w:top w:val="none" w:sz="0" w:space="0" w:color="auto"/>
        <w:left w:val="none" w:sz="0" w:space="0" w:color="auto"/>
        <w:bottom w:val="none" w:sz="0" w:space="0" w:color="auto"/>
        <w:right w:val="none" w:sz="0" w:space="0" w:color="auto"/>
      </w:divBdr>
    </w:div>
    <w:div w:id="1727558987">
      <w:bodyDiv w:val="1"/>
      <w:marLeft w:val="0"/>
      <w:marRight w:val="0"/>
      <w:marTop w:val="0"/>
      <w:marBottom w:val="0"/>
      <w:divBdr>
        <w:top w:val="none" w:sz="0" w:space="0" w:color="auto"/>
        <w:left w:val="none" w:sz="0" w:space="0" w:color="auto"/>
        <w:bottom w:val="none" w:sz="0" w:space="0" w:color="auto"/>
        <w:right w:val="none" w:sz="0" w:space="0" w:color="auto"/>
      </w:divBdr>
      <w:divsChild>
        <w:div w:id="1957910627">
          <w:marLeft w:val="0"/>
          <w:marRight w:val="0"/>
          <w:marTop w:val="0"/>
          <w:marBottom w:val="0"/>
          <w:divBdr>
            <w:top w:val="none" w:sz="0" w:space="0" w:color="auto"/>
            <w:left w:val="none" w:sz="0" w:space="0" w:color="auto"/>
            <w:bottom w:val="none" w:sz="0" w:space="0" w:color="auto"/>
            <w:right w:val="none" w:sz="0" w:space="0" w:color="auto"/>
          </w:divBdr>
        </w:div>
      </w:divsChild>
    </w:div>
    <w:div w:id="1743403775">
      <w:bodyDiv w:val="1"/>
      <w:marLeft w:val="0"/>
      <w:marRight w:val="0"/>
      <w:marTop w:val="0"/>
      <w:marBottom w:val="0"/>
      <w:divBdr>
        <w:top w:val="none" w:sz="0" w:space="0" w:color="auto"/>
        <w:left w:val="none" w:sz="0" w:space="0" w:color="auto"/>
        <w:bottom w:val="none" w:sz="0" w:space="0" w:color="auto"/>
        <w:right w:val="none" w:sz="0" w:space="0" w:color="auto"/>
      </w:divBdr>
      <w:divsChild>
        <w:div w:id="1613246006">
          <w:marLeft w:val="0"/>
          <w:marRight w:val="0"/>
          <w:marTop w:val="0"/>
          <w:marBottom w:val="0"/>
          <w:divBdr>
            <w:top w:val="none" w:sz="0" w:space="0" w:color="auto"/>
            <w:left w:val="none" w:sz="0" w:space="0" w:color="auto"/>
            <w:bottom w:val="none" w:sz="0" w:space="0" w:color="auto"/>
            <w:right w:val="none" w:sz="0" w:space="0" w:color="auto"/>
          </w:divBdr>
        </w:div>
      </w:divsChild>
    </w:div>
    <w:div w:id="1761566493">
      <w:bodyDiv w:val="1"/>
      <w:marLeft w:val="0"/>
      <w:marRight w:val="0"/>
      <w:marTop w:val="0"/>
      <w:marBottom w:val="0"/>
      <w:divBdr>
        <w:top w:val="none" w:sz="0" w:space="0" w:color="auto"/>
        <w:left w:val="none" w:sz="0" w:space="0" w:color="auto"/>
        <w:bottom w:val="none" w:sz="0" w:space="0" w:color="auto"/>
        <w:right w:val="none" w:sz="0" w:space="0" w:color="auto"/>
      </w:divBdr>
      <w:divsChild>
        <w:div w:id="1691027222">
          <w:marLeft w:val="0"/>
          <w:marRight w:val="0"/>
          <w:marTop w:val="0"/>
          <w:marBottom w:val="0"/>
          <w:divBdr>
            <w:top w:val="none" w:sz="0" w:space="0" w:color="auto"/>
            <w:left w:val="none" w:sz="0" w:space="0" w:color="auto"/>
            <w:bottom w:val="none" w:sz="0" w:space="0" w:color="auto"/>
            <w:right w:val="none" w:sz="0" w:space="0" w:color="auto"/>
          </w:divBdr>
        </w:div>
      </w:divsChild>
    </w:div>
    <w:div w:id="1786072198">
      <w:bodyDiv w:val="1"/>
      <w:marLeft w:val="0"/>
      <w:marRight w:val="0"/>
      <w:marTop w:val="0"/>
      <w:marBottom w:val="0"/>
      <w:divBdr>
        <w:top w:val="none" w:sz="0" w:space="0" w:color="auto"/>
        <w:left w:val="none" w:sz="0" w:space="0" w:color="auto"/>
        <w:bottom w:val="none" w:sz="0" w:space="0" w:color="auto"/>
        <w:right w:val="none" w:sz="0" w:space="0" w:color="auto"/>
      </w:divBdr>
    </w:div>
    <w:div w:id="1789278048">
      <w:bodyDiv w:val="1"/>
      <w:marLeft w:val="0"/>
      <w:marRight w:val="0"/>
      <w:marTop w:val="0"/>
      <w:marBottom w:val="0"/>
      <w:divBdr>
        <w:top w:val="none" w:sz="0" w:space="0" w:color="auto"/>
        <w:left w:val="none" w:sz="0" w:space="0" w:color="auto"/>
        <w:bottom w:val="none" w:sz="0" w:space="0" w:color="auto"/>
        <w:right w:val="none" w:sz="0" w:space="0" w:color="auto"/>
      </w:divBdr>
    </w:div>
    <w:div w:id="1813019285">
      <w:bodyDiv w:val="1"/>
      <w:marLeft w:val="0"/>
      <w:marRight w:val="0"/>
      <w:marTop w:val="0"/>
      <w:marBottom w:val="0"/>
      <w:divBdr>
        <w:top w:val="none" w:sz="0" w:space="0" w:color="auto"/>
        <w:left w:val="none" w:sz="0" w:space="0" w:color="auto"/>
        <w:bottom w:val="none" w:sz="0" w:space="0" w:color="auto"/>
        <w:right w:val="none" w:sz="0" w:space="0" w:color="auto"/>
      </w:divBdr>
    </w:div>
    <w:div w:id="1829469629">
      <w:bodyDiv w:val="1"/>
      <w:marLeft w:val="0"/>
      <w:marRight w:val="0"/>
      <w:marTop w:val="0"/>
      <w:marBottom w:val="0"/>
      <w:divBdr>
        <w:top w:val="none" w:sz="0" w:space="0" w:color="auto"/>
        <w:left w:val="none" w:sz="0" w:space="0" w:color="auto"/>
        <w:bottom w:val="none" w:sz="0" w:space="0" w:color="auto"/>
        <w:right w:val="none" w:sz="0" w:space="0" w:color="auto"/>
      </w:divBdr>
      <w:divsChild>
        <w:div w:id="296420715">
          <w:marLeft w:val="0"/>
          <w:marRight w:val="0"/>
          <w:marTop w:val="0"/>
          <w:marBottom w:val="180"/>
          <w:divBdr>
            <w:top w:val="none" w:sz="0" w:space="0" w:color="auto"/>
            <w:left w:val="none" w:sz="0" w:space="0" w:color="auto"/>
            <w:bottom w:val="none" w:sz="0" w:space="0" w:color="auto"/>
            <w:right w:val="none" w:sz="0" w:space="0" w:color="auto"/>
          </w:divBdr>
          <w:divsChild>
            <w:div w:id="612634188">
              <w:marLeft w:val="0"/>
              <w:marRight w:val="0"/>
              <w:marTop w:val="0"/>
              <w:marBottom w:val="0"/>
              <w:divBdr>
                <w:top w:val="none" w:sz="0" w:space="0" w:color="auto"/>
                <w:left w:val="none" w:sz="0" w:space="0" w:color="auto"/>
                <w:bottom w:val="none" w:sz="0" w:space="0" w:color="auto"/>
                <w:right w:val="none" w:sz="0" w:space="0" w:color="auto"/>
              </w:divBdr>
              <w:divsChild>
                <w:div w:id="1926374940">
                  <w:marLeft w:val="0"/>
                  <w:marRight w:val="0"/>
                  <w:marTop w:val="0"/>
                  <w:marBottom w:val="0"/>
                  <w:divBdr>
                    <w:top w:val="none" w:sz="0" w:space="0" w:color="auto"/>
                    <w:left w:val="none" w:sz="0" w:space="0" w:color="auto"/>
                    <w:bottom w:val="none" w:sz="0" w:space="0" w:color="auto"/>
                    <w:right w:val="none" w:sz="0" w:space="0" w:color="auto"/>
                  </w:divBdr>
                  <w:divsChild>
                    <w:div w:id="1858420703">
                      <w:marLeft w:val="0"/>
                      <w:marRight w:val="0"/>
                      <w:marTop w:val="0"/>
                      <w:marBottom w:val="0"/>
                      <w:divBdr>
                        <w:top w:val="none" w:sz="0" w:space="0" w:color="auto"/>
                        <w:left w:val="none" w:sz="0" w:space="0" w:color="auto"/>
                        <w:bottom w:val="none" w:sz="0" w:space="0" w:color="auto"/>
                        <w:right w:val="none" w:sz="0" w:space="0" w:color="auto"/>
                      </w:divBdr>
                      <w:divsChild>
                        <w:div w:id="1312950862">
                          <w:marLeft w:val="0"/>
                          <w:marRight w:val="0"/>
                          <w:marTop w:val="0"/>
                          <w:marBottom w:val="0"/>
                          <w:divBdr>
                            <w:top w:val="none" w:sz="0" w:space="0" w:color="auto"/>
                            <w:left w:val="none" w:sz="0" w:space="0" w:color="auto"/>
                            <w:bottom w:val="none" w:sz="0" w:space="0" w:color="auto"/>
                            <w:right w:val="none" w:sz="0" w:space="0" w:color="auto"/>
                          </w:divBdr>
                          <w:divsChild>
                            <w:div w:id="652563934">
                              <w:marLeft w:val="0"/>
                              <w:marRight w:val="0"/>
                              <w:marTop w:val="0"/>
                              <w:marBottom w:val="480"/>
                              <w:divBdr>
                                <w:top w:val="none" w:sz="0" w:space="0" w:color="auto"/>
                                <w:left w:val="none" w:sz="0" w:space="0" w:color="auto"/>
                                <w:bottom w:val="none" w:sz="0" w:space="0" w:color="auto"/>
                                <w:right w:val="none" w:sz="0" w:space="0" w:color="auto"/>
                              </w:divBdr>
                              <w:divsChild>
                                <w:div w:id="371274446">
                                  <w:marLeft w:val="0"/>
                                  <w:marRight w:val="0"/>
                                  <w:marTop w:val="0"/>
                                  <w:marBottom w:val="0"/>
                                  <w:divBdr>
                                    <w:top w:val="none" w:sz="0" w:space="0" w:color="auto"/>
                                    <w:left w:val="none" w:sz="0" w:space="0" w:color="auto"/>
                                    <w:bottom w:val="none" w:sz="0" w:space="0" w:color="auto"/>
                                    <w:right w:val="none" w:sz="0" w:space="0" w:color="auto"/>
                                  </w:divBdr>
                                  <w:divsChild>
                                    <w:div w:id="1539197924">
                                      <w:marLeft w:val="0"/>
                                      <w:marRight w:val="0"/>
                                      <w:marTop w:val="0"/>
                                      <w:marBottom w:val="0"/>
                                      <w:divBdr>
                                        <w:top w:val="none" w:sz="0" w:space="0" w:color="auto"/>
                                        <w:left w:val="none" w:sz="0" w:space="0" w:color="auto"/>
                                        <w:bottom w:val="none" w:sz="0" w:space="0" w:color="auto"/>
                                        <w:right w:val="none" w:sz="0" w:space="0" w:color="auto"/>
                                      </w:divBdr>
                                      <w:divsChild>
                                        <w:div w:id="1475369692">
                                          <w:marLeft w:val="0"/>
                                          <w:marRight w:val="0"/>
                                          <w:marTop w:val="0"/>
                                          <w:marBottom w:val="0"/>
                                          <w:divBdr>
                                            <w:top w:val="none" w:sz="0" w:space="0" w:color="auto"/>
                                            <w:left w:val="none" w:sz="0" w:space="0" w:color="auto"/>
                                            <w:bottom w:val="none" w:sz="0" w:space="0" w:color="auto"/>
                                            <w:right w:val="none" w:sz="0" w:space="0" w:color="auto"/>
                                          </w:divBdr>
                                          <w:divsChild>
                                            <w:div w:id="1674524775">
                                              <w:marLeft w:val="0"/>
                                              <w:marRight w:val="0"/>
                                              <w:marTop w:val="0"/>
                                              <w:marBottom w:val="0"/>
                                              <w:divBdr>
                                                <w:top w:val="none" w:sz="0" w:space="0" w:color="auto"/>
                                                <w:left w:val="none" w:sz="0" w:space="0" w:color="auto"/>
                                                <w:bottom w:val="none" w:sz="0" w:space="0" w:color="auto"/>
                                                <w:right w:val="none" w:sz="0" w:space="0" w:color="auto"/>
                                              </w:divBdr>
                                              <w:divsChild>
                                                <w:div w:id="1837963328">
                                                  <w:marLeft w:val="0"/>
                                                  <w:marRight w:val="0"/>
                                                  <w:marTop w:val="0"/>
                                                  <w:marBottom w:val="0"/>
                                                  <w:divBdr>
                                                    <w:top w:val="none" w:sz="0" w:space="0" w:color="auto"/>
                                                    <w:left w:val="none" w:sz="0" w:space="0" w:color="auto"/>
                                                    <w:bottom w:val="none" w:sz="0" w:space="0" w:color="auto"/>
                                                    <w:right w:val="none" w:sz="0" w:space="0" w:color="auto"/>
                                                  </w:divBdr>
                                                  <w:divsChild>
                                                    <w:div w:id="855655895">
                                                      <w:marLeft w:val="0"/>
                                                      <w:marRight w:val="0"/>
                                                      <w:marTop w:val="0"/>
                                                      <w:marBottom w:val="0"/>
                                                      <w:divBdr>
                                                        <w:top w:val="none" w:sz="0" w:space="0" w:color="auto"/>
                                                        <w:left w:val="none" w:sz="0" w:space="0" w:color="auto"/>
                                                        <w:bottom w:val="none" w:sz="0" w:space="0" w:color="auto"/>
                                                        <w:right w:val="none" w:sz="0" w:space="0" w:color="auto"/>
                                                      </w:divBdr>
                                                      <w:divsChild>
                                                        <w:div w:id="414670212">
                                                          <w:marLeft w:val="0"/>
                                                          <w:marRight w:val="0"/>
                                                          <w:marTop w:val="0"/>
                                                          <w:marBottom w:val="0"/>
                                                          <w:divBdr>
                                                            <w:top w:val="none" w:sz="0" w:space="0" w:color="auto"/>
                                                            <w:left w:val="none" w:sz="0" w:space="0" w:color="auto"/>
                                                            <w:bottom w:val="none" w:sz="0" w:space="0" w:color="auto"/>
                                                            <w:right w:val="none" w:sz="0" w:space="0" w:color="auto"/>
                                                          </w:divBdr>
                                                          <w:divsChild>
                                                            <w:div w:id="143669843">
                                                              <w:marLeft w:val="0"/>
                                                              <w:marRight w:val="0"/>
                                                              <w:marTop w:val="0"/>
                                                              <w:marBottom w:val="0"/>
                                                              <w:divBdr>
                                                                <w:top w:val="none" w:sz="0" w:space="0" w:color="auto"/>
                                                                <w:left w:val="none" w:sz="0" w:space="0" w:color="auto"/>
                                                                <w:bottom w:val="none" w:sz="0" w:space="0" w:color="auto"/>
                                                                <w:right w:val="none" w:sz="0" w:space="0" w:color="auto"/>
                                                              </w:divBdr>
                                                              <w:divsChild>
                                                                <w:div w:id="1087120350">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08488717">
          <w:marLeft w:val="0"/>
          <w:marRight w:val="0"/>
          <w:marTop w:val="0"/>
          <w:marBottom w:val="180"/>
          <w:divBdr>
            <w:top w:val="none" w:sz="0" w:space="0" w:color="auto"/>
            <w:left w:val="none" w:sz="0" w:space="0" w:color="auto"/>
            <w:bottom w:val="none" w:sz="0" w:space="0" w:color="auto"/>
            <w:right w:val="none" w:sz="0" w:space="0" w:color="auto"/>
          </w:divBdr>
          <w:divsChild>
            <w:div w:id="1615402003">
              <w:marLeft w:val="0"/>
              <w:marRight w:val="0"/>
              <w:marTop w:val="0"/>
              <w:marBottom w:val="0"/>
              <w:divBdr>
                <w:top w:val="none" w:sz="0" w:space="0" w:color="auto"/>
                <w:left w:val="none" w:sz="0" w:space="0" w:color="auto"/>
                <w:bottom w:val="none" w:sz="0" w:space="0" w:color="auto"/>
                <w:right w:val="none" w:sz="0" w:space="0" w:color="auto"/>
              </w:divBdr>
              <w:divsChild>
                <w:div w:id="1495797203">
                  <w:marLeft w:val="0"/>
                  <w:marRight w:val="0"/>
                  <w:marTop w:val="0"/>
                  <w:marBottom w:val="0"/>
                  <w:divBdr>
                    <w:top w:val="none" w:sz="0" w:space="0" w:color="auto"/>
                    <w:left w:val="none" w:sz="0" w:space="0" w:color="auto"/>
                    <w:bottom w:val="none" w:sz="0" w:space="0" w:color="auto"/>
                    <w:right w:val="none" w:sz="0" w:space="0" w:color="auto"/>
                  </w:divBdr>
                  <w:divsChild>
                    <w:div w:id="1465392726">
                      <w:marLeft w:val="0"/>
                      <w:marRight w:val="0"/>
                      <w:marTop w:val="0"/>
                      <w:marBottom w:val="0"/>
                      <w:divBdr>
                        <w:top w:val="none" w:sz="0" w:space="0" w:color="auto"/>
                        <w:left w:val="none" w:sz="0" w:space="0" w:color="auto"/>
                        <w:bottom w:val="none" w:sz="0" w:space="0" w:color="auto"/>
                        <w:right w:val="none" w:sz="0" w:space="0" w:color="auto"/>
                      </w:divBdr>
                      <w:divsChild>
                        <w:div w:id="1981031719">
                          <w:marLeft w:val="0"/>
                          <w:marRight w:val="0"/>
                          <w:marTop w:val="0"/>
                          <w:marBottom w:val="0"/>
                          <w:divBdr>
                            <w:top w:val="none" w:sz="0" w:space="0" w:color="auto"/>
                            <w:left w:val="none" w:sz="0" w:space="0" w:color="auto"/>
                            <w:bottom w:val="none" w:sz="0" w:space="0" w:color="auto"/>
                            <w:right w:val="none" w:sz="0" w:space="0" w:color="auto"/>
                          </w:divBdr>
                          <w:divsChild>
                            <w:div w:id="672881136">
                              <w:marLeft w:val="0"/>
                              <w:marRight w:val="0"/>
                              <w:marTop w:val="0"/>
                              <w:marBottom w:val="0"/>
                              <w:divBdr>
                                <w:top w:val="none" w:sz="0" w:space="0" w:color="auto"/>
                                <w:left w:val="none" w:sz="0" w:space="0" w:color="auto"/>
                                <w:bottom w:val="none" w:sz="0" w:space="0" w:color="auto"/>
                                <w:right w:val="none" w:sz="0" w:space="0" w:color="auto"/>
                              </w:divBdr>
                              <w:divsChild>
                                <w:div w:id="302079043">
                                  <w:marLeft w:val="0"/>
                                  <w:marRight w:val="0"/>
                                  <w:marTop w:val="0"/>
                                  <w:marBottom w:val="480"/>
                                  <w:divBdr>
                                    <w:top w:val="none" w:sz="0" w:space="0" w:color="auto"/>
                                    <w:left w:val="none" w:sz="0" w:space="0" w:color="auto"/>
                                    <w:bottom w:val="none" w:sz="0" w:space="0" w:color="auto"/>
                                    <w:right w:val="none" w:sz="0" w:space="0" w:color="auto"/>
                                  </w:divBdr>
                                  <w:divsChild>
                                    <w:div w:id="1645113422">
                                      <w:marLeft w:val="0"/>
                                      <w:marRight w:val="0"/>
                                      <w:marTop w:val="0"/>
                                      <w:marBottom w:val="0"/>
                                      <w:divBdr>
                                        <w:top w:val="none" w:sz="0" w:space="0" w:color="auto"/>
                                        <w:left w:val="none" w:sz="0" w:space="0" w:color="auto"/>
                                        <w:bottom w:val="none" w:sz="0" w:space="0" w:color="auto"/>
                                        <w:right w:val="none" w:sz="0" w:space="0" w:color="auto"/>
                                      </w:divBdr>
                                      <w:divsChild>
                                        <w:div w:id="1865825357">
                                          <w:marLeft w:val="0"/>
                                          <w:marRight w:val="0"/>
                                          <w:marTop w:val="0"/>
                                          <w:marBottom w:val="0"/>
                                          <w:divBdr>
                                            <w:top w:val="none" w:sz="0" w:space="0" w:color="auto"/>
                                            <w:left w:val="none" w:sz="0" w:space="0" w:color="auto"/>
                                            <w:bottom w:val="none" w:sz="0" w:space="0" w:color="auto"/>
                                            <w:right w:val="none" w:sz="0" w:space="0" w:color="auto"/>
                                          </w:divBdr>
                                          <w:divsChild>
                                            <w:div w:id="559941178">
                                              <w:marLeft w:val="0"/>
                                              <w:marRight w:val="0"/>
                                              <w:marTop w:val="0"/>
                                              <w:marBottom w:val="0"/>
                                              <w:divBdr>
                                                <w:top w:val="none" w:sz="0" w:space="0" w:color="auto"/>
                                                <w:left w:val="none" w:sz="0" w:space="0" w:color="auto"/>
                                                <w:bottom w:val="none" w:sz="0" w:space="0" w:color="auto"/>
                                                <w:right w:val="none" w:sz="0" w:space="0" w:color="auto"/>
                                              </w:divBdr>
                                              <w:divsChild>
                                                <w:div w:id="1400909578">
                                                  <w:marLeft w:val="0"/>
                                                  <w:marRight w:val="0"/>
                                                  <w:marTop w:val="0"/>
                                                  <w:marBottom w:val="0"/>
                                                  <w:divBdr>
                                                    <w:top w:val="none" w:sz="0" w:space="0" w:color="auto"/>
                                                    <w:left w:val="none" w:sz="0" w:space="0" w:color="auto"/>
                                                    <w:bottom w:val="none" w:sz="0" w:space="0" w:color="auto"/>
                                                    <w:right w:val="none" w:sz="0" w:space="0" w:color="auto"/>
                                                  </w:divBdr>
                                                  <w:divsChild>
                                                    <w:div w:id="1341548580">
                                                      <w:marLeft w:val="0"/>
                                                      <w:marRight w:val="0"/>
                                                      <w:marTop w:val="0"/>
                                                      <w:marBottom w:val="0"/>
                                                      <w:divBdr>
                                                        <w:top w:val="none" w:sz="0" w:space="0" w:color="auto"/>
                                                        <w:left w:val="none" w:sz="0" w:space="0" w:color="auto"/>
                                                        <w:bottom w:val="none" w:sz="0" w:space="0" w:color="auto"/>
                                                        <w:right w:val="none" w:sz="0" w:space="0" w:color="auto"/>
                                                      </w:divBdr>
                                                      <w:divsChild>
                                                        <w:div w:id="260380522">
                                                          <w:marLeft w:val="0"/>
                                                          <w:marRight w:val="0"/>
                                                          <w:marTop w:val="0"/>
                                                          <w:marBottom w:val="0"/>
                                                          <w:divBdr>
                                                            <w:top w:val="none" w:sz="0" w:space="0" w:color="auto"/>
                                                            <w:left w:val="none" w:sz="0" w:space="0" w:color="auto"/>
                                                            <w:bottom w:val="none" w:sz="0" w:space="0" w:color="auto"/>
                                                            <w:right w:val="none" w:sz="0" w:space="0" w:color="auto"/>
                                                          </w:divBdr>
                                                          <w:divsChild>
                                                            <w:div w:id="469371798">
                                                              <w:marLeft w:val="0"/>
                                                              <w:marRight w:val="0"/>
                                                              <w:marTop w:val="0"/>
                                                              <w:marBottom w:val="0"/>
                                                              <w:divBdr>
                                                                <w:top w:val="none" w:sz="0" w:space="0" w:color="auto"/>
                                                                <w:left w:val="none" w:sz="0" w:space="0" w:color="auto"/>
                                                                <w:bottom w:val="none" w:sz="0" w:space="0" w:color="auto"/>
                                                                <w:right w:val="none" w:sz="0" w:space="0" w:color="auto"/>
                                                              </w:divBdr>
                                                              <w:divsChild>
                                                                <w:div w:id="1891261961">
                                                                  <w:marLeft w:val="0"/>
                                                                  <w:marRight w:val="0"/>
                                                                  <w:marTop w:val="0"/>
                                                                  <w:marBottom w:val="0"/>
                                                                  <w:divBdr>
                                                                    <w:top w:val="none" w:sz="0" w:space="0" w:color="auto"/>
                                                                    <w:left w:val="none" w:sz="0" w:space="0" w:color="auto"/>
                                                                    <w:bottom w:val="none" w:sz="0" w:space="0" w:color="auto"/>
                                                                    <w:right w:val="none" w:sz="0" w:space="0" w:color="auto"/>
                                                                  </w:divBdr>
                                                                  <w:divsChild>
                                                                    <w:div w:id="715275188">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1742410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0440561">
      <w:bodyDiv w:val="1"/>
      <w:marLeft w:val="0"/>
      <w:marRight w:val="0"/>
      <w:marTop w:val="0"/>
      <w:marBottom w:val="0"/>
      <w:divBdr>
        <w:top w:val="none" w:sz="0" w:space="0" w:color="auto"/>
        <w:left w:val="none" w:sz="0" w:space="0" w:color="auto"/>
        <w:bottom w:val="none" w:sz="0" w:space="0" w:color="auto"/>
        <w:right w:val="none" w:sz="0" w:space="0" w:color="auto"/>
      </w:divBdr>
    </w:div>
    <w:div w:id="1831558842">
      <w:bodyDiv w:val="1"/>
      <w:marLeft w:val="0"/>
      <w:marRight w:val="0"/>
      <w:marTop w:val="0"/>
      <w:marBottom w:val="0"/>
      <w:divBdr>
        <w:top w:val="none" w:sz="0" w:space="0" w:color="auto"/>
        <w:left w:val="none" w:sz="0" w:space="0" w:color="auto"/>
        <w:bottom w:val="none" w:sz="0" w:space="0" w:color="auto"/>
        <w:right w:val="none" w:sz="0" w:space="0" w:color="auto"/>
      </w:divBdr>
    </w:div>
    <w:div w:id="1843617788">
      <w:bodyDiv w:val="1"/>
      <w:marLeft w:val="0"/>
      <w:marRight w:val="0"/>
      <w:marTop w:val="0"/>
      <w:marBottom w:val="0"/>
      <w:divBdr>
        <w:top w:val="none" w:sz="0" w:space="0" w:color="auto"/>
        <w:left w:val="none" w:sz="0" w:space="0" w:color="auto"/>
        <w:bottom w:val="none" w:sz="0" w:space="0" w:color="auto"/>
        <w:right w:val="none" w:sz="0" w:space="0" w:color="auto"/>
      </w:divBdr>
    </w:div>
    <w:div w:id="1850286815">
      <w:bodyDiv w:val="1"/>
      <w:marLeft w:val="0"/>
      <w:marRight w:val="0"/>
      <w:marTop w:val="0"/>
      <w:marBottom w:val="0"/>
      <w:divBdr>
        <w:top w:val="none" w:sz="0" w:space="0" w:color="auto"/>
        <w:left w:val="none" w:sz="0" w:space="0" w:color="auto"/>
        <w:bottom w:val="none" w:sz="0" w:space="0" w:color="auto"/>
        <w:right w:val="none" w:sz="0" w:space="0" w:color="auto"/>
      </w:divBdr>
    </w:div>
    <w:div w:id="1870097277">
      <w:bodyDiv w:val="1"/>
      <w:marLeft w:val="0"/>
      <w:marRight w:val="0"/>
      <w:marTop w:val="0"/>
      <w:marBottom w:val="0"/>
      <w:divBdr>
        <w:top w:val="none" w:sz="0" w:space="0" w:color="auto"/>
        <w:left w:val="none" w:sz="0" w:space="0" w:color="auto"/>
        <w:bottom w:val="none" w:sz="0" w:space="0" w:color="auto"/>
        <w:right w:val="none" w:sz="0" w:space="0" w:color="auto"/>
      </w:divBdr>
    </w:div>
    <w:div w:id="1882669091">
      <w:bodyDiv w:val="1"/>
      <w:marLeft w:val="0"/>
      <w:marRight w:val="0"/>
      <w:marTop w:val="0"/>
      <w:marBottom w:val="0"/>
      <w:divBdr>
        <w:top w:val="none" w:sz="0" w:space="0" w:color="auto"/>
        <w:left w:val="none" w:sz="0" w:space="0" w:color="auto"/>
        <w:bottom w:val="none" w:sz="0" w:space="0" w:color="auto"/>
        <w:right w:val="none" w:sz="0" w:space="0" w:color="auto"/>
      </w:divBdr>
    </w:div>
    <w:div w:id="1891765547">
      <w:bodyDiv w:val="1"/>
      <w:marLeft w:val="0"/>
      <w:marRight w:val="0"/>
      <w:marTop w:val="0"/>
      <w:marBottom w:val="0"/>
      <w:divBdr>
        <w:top w:val="none" w:sz="0" w:space="0" w:color="auto"/>
        <w:left w:val="none" w:sz="0" w:space="0" w:color="auto"/>
        <w:bottom w:val="none" w:sz="0" w:space="0" w:color="auto"/>
        <w:right w:val="none" w:sz="0" w:space="0" w:color="auto"/>
      </w:divBdr>
    </w:div>
    <w:div w:id="1892156827">
      <w:bodyDiv w:val="1"/>
      <w:marLeft w:val="0"/>
      <w:marRight w:val="0"/>
      <w:marTop w:val="0"/>
      <w:marBottom w:val="0"/>
      <w:divBdr>
        <w:top w:val="none" w:sz="0" w:space="0" w:color="auto"/>
        <w:left w:val="none" w:sz="0" w:space="0" w:color="auto"/>
        <w:bottom w:val="none" w:sz="0" w:space="0" w:color="auto"/>
        <w:right w:val="none" w:sz="0" w:space="0" w:color="auto"/>
      </w:divBdr>
      <w:divsChild>
        <w:div w:id="1318268520">
          <w:marLeft w:val="0"/>
          <w:marRight w:val="0"/>
          <w:marTop w:val="0"/>
          <w:marBottom w:val="0"/>
          <w:divBdr>
            <w:top w:val="none" w:sz="0" w:space="0" w:color="auto"/>
            <w:left w:val="none" w:sz="0" w:space="0" w:color="auto"/>
            <w:bottom w:val="none" w:sz="0" w:space="0" w:color="auto"/>
            <w:right w:val="none" w:sz="0" w:space="0" w:color="auto"/>
          </w:divBdr>
        </w:div>
      </w:divsChild>
    </w:div>
    <w:div w:id="1901792259">
      <w:bodyDiv w:val="1"/>
      <w:marLeft w:val="0"/>
      <w:marRight w:val="0"/>
      <w:marTop w:val="0"/>
      <w:marBottom w:val="0"/>
      <w:divBdr>
        <w:top w:val="none" w:sz="0" w:space="0" w:color="auto"/>
        <w:left w:val="none" w:sz="0" w:space="0" w:color="auto"/>
        <w:bottom w:val="none" w:sz="0" w:space="0" w:color="auto"/>
        <w:right w:val="none" w:sz="0" w:space="0" w:color="auto"/>
      </w:divBdr>
      <w:divsChild>
        <w:div w:id="1662738405">
          <w:marLeft w:val="0"/>
          <w:marRight w:val="0"/>
          <w:marTop w:val="0"/>
          <w:marBottom w:val="0"/>
          <w:divBdr>
            <w:top w:val="none" w:sz="0" w:space="0" w:color="auto"/>
            <w:left w:val="none" w:sz="0" w:space="0" w:color="auto"/>
            <w:bottom w:val="none" w:sz="0" w:space="0" w:color="auto"/>
            <w:right w:val="none" w:sz="0" w:space="0" w:color="auto"/>
          </w:divBdr>
        </w:div>
      </w:divsChild>
    </w:div>
    <w:div w:id="1915503624">
      <w:bodyDiv w:val="1"/>
      <w:marLeft w:val="0"/>
      <w:marRight w:val="0"/>
      <w:marTop w:val="0"/>
      <w:marBottom w:val="0"/>
      <w:divBdr>
        <w:top w:val="none" w:sz="0" w:space="0" w:color="auto"/>
        <w:left w:val="none" w:sz="0" w:space="0" w:color="auto"/>
        <w:bottom w:val="none" w:sz="0" w:space="0" w:color="auto"/>
        <w:right w:val="none" w:sz="0" w:space="0" w:color="auto"/>
      </w:divBdr>
    </w:div>
    <w:div w:id="1963614792">
      <w:bodyDiv w:val="1"/>
      <w:marLeft w:val="0"/>
      <w:marRight w:val="0"/>
      <w:marTop w:val="0"/>
      <w:marBottom w:val="0"/>
      <w:divBdr>
        <w:top w:val="none" w:sz="0" w:space="0" w:color="auto"/>
        <w:left w:val="none" w:sz="0" w:space="0" w:color="auto"/>
        <w:bottom w:val="none" w:sz="0" w:space="0" w:color="auto"/>
        <w:right w:val="none" w:sz="0" w:space="0" w:color="auto"/>
      </w:divBdr>
      <w:divsChild>
        <w:div w:id="1863089277">
          <w:marLeft w:val="0"/>
          <w:marRight w:val="0"/>
          <w:marTop w:val="0"/>
          <w:marBottom w:val="0"/>
          <w:divBdr>
            <w:top w:val="none" w:sz="0" w:space="0" w:color="auto"/>
            <w:left w:val="none" w:sz="0" w:space="0" w:color="auto"/>
            <w:bottom w:val="none" w:sz="0" w:space="0" w:color="auto"/>
            <w:right w:val="none" w:sz="0" w:space="0" w:color="auto"/>
          </w:divBdr>
        </w:div>
      </w:divsChild>
    </w:div>
    <w:div w:id="1970740355">
      <w:bodyDiv w:val="1"/>
      <w:marLeft w:val="0"/>
      <w:marRight w:val="0"/>
      <w:marTop w:val="0"/>
      <w:marBottom w:val="0"/>
      <w:divBdr>
        <w:top w:val="none" w:sz="0" w:space="0" w:color="auto"/>
        <w:left w:val="none" w:sz="0" w:space="0" w:color="auto"/>
        <w:bottom w:val="none" w:sz="0" w:space="0" w:color="auto"/>
        <w:right w:val="none" w:sz="0" w:space="0" w:color="auto"/>
      </w:divBdr>
    </w:div>
    <w:div w:id="1982810334">
      <w:bodyDiv w:val="1"/>
      <w:marLeft w:val="0"/>
      <w:marRight w:val="0"/>
      <w:marTop w:val="0"/>
      <w:marBottom w:val="0"/>
      <w:divBdr>
        <w:top w:val="none" w:sz="0" w:space="0" w:color="auto"/>
        <w:left w:val="none" w:sz="0" w:space="0" w:color="auto"/>
        <w:bottom w:val="none" w:sz="0" w:space="0" w:color="auto"/>
        <w:right w:val="none" w:sz="0" w:space="0" w:color="auto"/>
      </w:divBdr>
    </w:div>
    <w:div w:id="1989095501">
      <w:bodyDiv w:val="1"/>
      <w:marLeft w:val="0"/>
      <w:marRight w:val="0"/>
      <w:marTop w:val="0"/>
      <w:marBottom w:val="0"/>
      <w:divBdr>
        <w:top w:val="none" w:sz="0" w:space="0" w:color="auto"/>
        <w:left w:val="none" w:sz="0" w:space="0" w:color="auto"/>
        <w:bottom w:val="none" w:sz="0" w:space="0" w:color="auto"/>
        <w:right w:val="none" w:sz="0" w:space="0" w:color="auto"/>
      </w:divBdr>
    </w:div>
    <w:div w:id="2001885433">
      <w:bodyDiv w:val="1"/>
      <w:marLeft w:val="0"/>
      <w:marRight w:val="0"/>
      <w:marTop w:val="0"/>
      <w:marBottom w:val="0"/>
      <w:divBdr>
        <w:top w:val="none" w:sz="0" w:space="0" w:color="auto"/>
        <w:left w:val="none" w:sz="0" w:space="0" w:color="auto"/>
        <w:bottom w:val="none" w:sz="0" w:space="0" w:color="auto"/>
        <w:right w:val="none" w:sz="0" w:space="0" w:color="auto"/>
      </w:divBdr>
    </w:div>
    <w:div w:id="2014645485">
      <w:bodyDiv w:val="1"/>
      <w:marLeft w:val="0"/>
      <w:marRight w:val="0"/>
      <w:marTop w:val="0"/>
      <w:marBottom w:val="0"/>
      <w:divBdr>
        <w:top w:val="none" w:sz="0" w:space="0" w:color="auto"/>
        <w:left w:val="none" w:sz="0" w:space="0" w:color="auto"/>
        <w:bottom w:val="none" w:sz="0" w:space="0" w:color="auto"/>
        <w:right w:val="none" w:sz="0" w:space="0" w:color="auto"/>
      </w:divBdr>
    </w:div>
    <w:div w:id="2020505677">
      <w:bodyDiv w:val="1"/>
      <w:marLeft w:val="0"/>
      <w:marRight w:val="0"/>
      <w:marTop w:val="0"/>
      <w:marBottom w:val="0"/>
      <w:divBdr>
        <w:top w:val="none" w:sz="0" w:space="0" w:color="auto"/>
        <w:left w:val="none" w:sz="0" w:space="0" w:color="auto"/>
        <w:bottom w:val="none" w:sz="0" w:space="0" w:color="auto"/>
        <w:right w:val="none" w:sz="0" w:space="0" w:color="auto"/>
      </w:divBdr>
      <w:divsChild>
        <w:div w:id="1343825846">
          <w:marLeft w:val="0"/>
          <w:marRight w:val="0"/>
          <w:marTop w:val="0"/>
          <w:marBottom w:val="0"/>
          <w:divBdr>
            <w:top w:val="none" w:sz="0" w:space="0" w:color="auto"/>
            <w:left w:val="none" w:sz="0" w:space="0" w:color="auto"/>
            <w:bottom w:val="none" w:sz="0" w:space="0" w:color="auto"/>
            <w:right w:val="none" w:sz="0" w:space="0" w:color="auto"/>
          </w:divBdr>
        </w:div>
      </w:divsChild>
    </w:div>
    <w:div w:id="2043162328">
      <w:bodyDiv w:val="1"/>
      <w:marLeft w:val="0"/>
      <w:marRight w:val="0"/>
      <w:marTop w:val="0"/>
      <w:marBottom w:val="0"/>
      <w:divBdr>
        <w:top w:val="none" w:sz="0" w:space="0" w:color="auto"/>
        <w:left w:val="none" w:sz="0" w:space="0" w:color="auto"/>
        <w:bottom w:val="none" w:sz="0" w:space="0" w:color="auto"/>
        <w:right w:val="none" w:sz="0" w:space="0" w:color="auto"/>
      </w:divBdr>
      <w:divsChild>
        <w:div w:id="1503472773">
          <w:marLeft w:val="0"/>
          <w:marRight w:val="0"/>
          <w:marTop w:val="0"/>
          <w:marBottom w:val="0"/>
          <w:divBdr>
            <w:top w:val="none" w:sz="0" w:space="0" w:color="auto"/>
            <w:left w:val="none" w:sz="0" w:space="0" w:color="auto"/>
            <w:bottom w:val="none" w:sz="0" w:space="0" w:color="auto"/>
            <w:right w:val="none" w:sz="0" w:space="0" w:color="auto"/>
          </w:divBdr>
        </w:div>
      </w:divsChild>
    </w:div>
    <w:div w:id="2096396458">
      <w:bodyDiv w:val="1"/>
      <w:marLeft w:val="0"/>
      <w:marRight w:val="0"/>
      <w:marTop w:val="0"/>
      <w:marBottom w:val="0"/>
      <w:divBdr>
        <w:top w:val="none" w:sz="0" w:space="0" w:color="auto"/>
        <w:left w:val="none" w:sz="0" w:space="0" w:color="auto"/>
        <w:bottom w:val="none" w:sz="0" w:space="0" w:color="auto"/>
        <w:right w:val="none" w:sz="0" w:space="0" w:color="auto"/>
      </w:divBdr>
    </w:div>
    <w:div w:id="2111466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vica.com/en-gb/reports/all-uk-reports/the-future-of-local-government-report-2025" TargetMode="External"/><Relationship Id="rId21" Type="http://schemas.openxmlformats.org/officeDocument/2006/relationships/hyperlink" Target="https://www.audit.wales/publication/springing-forward-lessons-our-work-workforce-and-assets" TargetMode="External"/><Relationship Id="rId42" Type="http://schemas.openxmlformats.org/officeDocument/2006/relationships/hyperlink" Target="https://7551541.fs1.hubspotusercontent-na1.net/hubfs/7551541/Downloadable%20resources%20for%20clients/Jobs%20Go%20Public%20Whats%20Your%20Story%20Digital%20Booklet%20EVP.pdf" TargetMode="External"/><Relationship Id="rId47" Type="http://schemas.openxmlformats.org/officeDocument/2006/relationships/hyperlink" Target="https://www.local.gov.uk/publications/local-government-white-paper" TargetMode="External"/><Relationship Id="rId63" Type="http://schemas.openxmlformats.org/officeDocument/2006/relationships/hyperlink" Target="https://www.proquest.com/scholarly-journals/inclusive-vs-exclusive-approach-talent-management/docview/2234979737/se-2?accountid=130472" TargetMode="External"/><Relationship Id="rId68" Type="http://schemas.openxmlformats.org/officeDocument/2006/relationships/hyperlink" Target="https://doi.org/10.1093/poq/nfad036" TargetMode="External"/><Relationship Id="rId84" Type="http://schemas.openxmlformats.org/officeDocument/2006/relationships/package" Target="embeddings/Microsoft_Excel_Worksheet.xlsx"/><Relationship Id="rId89" Type="http://schemas.openxmlformats.org/officeDocument/2006/relationships/theme" Target="theme/theme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deloitte.com/us/en/insights/industry/government-public-sector-services/hybrid-work-challenges.html" TargetMode="External"/><Relationship Id="rId37" Type="http://schemas.openxmlformats.org/officeDocument/2006/relationships/hyperlink" Target="https://www.mckinsey.com/industries/consumer-packaged-goods/our-insights/true-gen-generation-z-and-its-implications-for-companies" TargetMode="External"/><Relationship Id="rId53" Type="http://schemas.openxmlformats.org/officeDocument/2006/relationships/hyperlink" Target="https://doi.org/10.1007/978-3-031-66014-6" TargetMode="External"/><Relationship Id="rId58" Type="http://schemas.openxmlformats.org/officeDocument/2006/relationships/hyperlink" Target="https://university.open.ac.uk/wales/en/news/mind-gap-employers-and-gen-z-out-sync-skills" TargetMode="External"/><Relationship Id="rId74" Type="http://schemas.openxmlformats.org/officeDocument/2006/relationships/hyperlink" Target="https://doi.org/10.3390/admsci14030049" TargetMode="External"/><Relationship Id="rId79" Type="http://schemas.openxmlformats.org/officeDocument/2006/relationships/image" Target="media/image13.emf"/><Relationship Id="rId5" Type="http://schemas.openxmlformats.org/officeDocument/2006/relationships/webSettings" Target="webSettings.xml"/><Relationship Id="rId14" Type="http://schemas.openxmlformats.org/officeDocument/2006/relationships/image" Target="media/image7.png"/><Relationship Id="rId22" Type="http://schemas.openxmlformats.org/officeDocument/2006/relationships/hyperlink" Target="https://doi.org/10.1191/1478088706qp063oa" TargetMode="External"/><Relationship Id="rId27" Type="http://schemas.openxmlformats.org/officeDocument/2006/relationships/hyperlink" Target="https://doi.org/10.1108/PR-12-2015-0321" TargetMode="External"/><Relationship Id="rId30" Type="http://schemas.openxmlformats.org/officeDocument/2006/relationships/hyperlink" Target="https://www.createpay.com/study-different-generations-attitude-to-work-in-the-uk/" TargetMode="External"/><Relationship Id="rId35" Type="http://schemas.openxmlformats.org/officeDocument/2006/relationships/hyperlink" Target="https://www.forvismazars.com/uk/en/industries/public-social-sector/public-and-social-sector-insights/recruitment-crisis-in-the-public-and-social-sector" TargetMode="External"/><Relationship Id="rId43" Type="http://schemas.openxmlformats.org/officeDocument/2006/relationships/hyperlink" Target="https://doi.org/10.46287/SFWH7638" TargetMode="External"/><Relationship Id="rId48" Type="http://schemas.openxmlformats.org/officeDocument/2006/relationships/hyperlink" Target="https://www.local.gov.uk/sites/default/files/documents/three-dimensions-workforc-7fb.pdf" TargetMode="External"/><Relationship Id="rId56" Type="http://schemas.openxmlformats.org/officeDocument/2006/relationships/hyperlink" Target="https://www.ons.gov.uk/visualisations/censusareachanges/W06000022/" TargetMode="External"/><Relationship Id="rId64" Type="http://schemas.openxmlformats.org/officeDocument/2006/relationships/hyperlink" Target="https://doi.org/10.3390/su13020828" TargetMode="External"/><Relationship Id="rId69" Type="http://schemas.openxmlformats.org/officeDocument/2006/relationships/hyperlink" Target="https://doi.org/10.1177/0091026017721570" TargetMode="External"/><Relationship Id="rId77" Type="http://schemas.openxmlformats.org/officeDocument/2006/relationships/image" Target="media/image12.emf"/><Relationship Id="rId8" Type="http://schemas.openxmlformats.org/officeDocument/2006/relationships/image" Target="media/image1.jpeg"/><Relationship Id="rId51" Type="http://schemas.openxmlformats.org/officeDocument/2006/relationships/hyperlink" Target="https://www.mckinsey.com/industries/public-sector/our-insights/attracting-gen-z-talent-into-us-public-service" TargetMode="External"/><Relationship Id="rId72" Type="http://schemas.openxmlformats.org/officeDocument/2006/relationships/hyperlink" Target="https://uksa.statisticsauthority.gov.uk/publication/ethical-considerations-associated-with-qualitative-research-methods/pages/6/" TargetMode="External"/><Relationship Id="rId80" Type="http://schemas.openxmlformats.org/officeDocument/2006/relationships/package" Target="embeddings/Microsoft_Word_Document1.docx"/><Relationship Id="rId85" Type="http://schemas.openxmlformats.org/officeDocument/2006/relationships/image" Target="media/image16.e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ipd.org/en/knowledge/factsheets/strategic-hrm-factsheet/" TargetMode="External"/><Relationship Id="rId33" Type="http://schemas.openxmlformats.org/officeDocument/2006/relationships/hyperlink" Target="https://dpglearn.co.uk/blog/human-resources/gen-z-at-work-how-they-compare-infographic/" TargetMode="External"/><Relationship Id="rId38" Type="http://schemas.openxmlformats.org/officeDocument/2006/relationships/hyperlink" Target="https://www.cipd.org/uk/views-and-insights/thought-leadership/the-world-of-work/generational-differences/" TargetMode="External"/><Relationship Id="rId46" Type="http://schemas.openxmlformats.org/officeDocument/2006/relationships/hyperlink" Target="https://www.local.gov.uk/sites/default/files/documents/Local%20government%20workforce%20summary%20data%20-%20Infographic%20June%202026.pdf" TargetMode="External"/><Relationship Id="rId59" Type="http://schemas.openxmlformats.org/officeDocument/2006/relationships/hyperlink" Target="https://doi.org/10.1108/IJIS-10-2020-0217" TargetMode="External"/><Relationship Id="rId67" Type="http://schemas.openxmlformats.org/officeDocument/2006/relationships/hyperlink" Target="https://mark1its.co.uk/leveraging-microsoft-forms-for-data-collection-surveys/" TargetMode="External"/><Relationship Id="rId20" Type="http://schemas.openxmlformats.org/officeDocument/2006/relationships/hyperlink" Target="https://doi.org/10.1080/09585192.2021.2001764" TargetMode="External"/><Relationship Id="rId41" Type="http://schemas.openxmlformats.org/officeDocument/2006/relationships/hyperlink" Target="https://doi.org/10.1108/BIJ-06-2020-0311" TargetMode="External"/><Relationship Id="rId54" Type="http://schemas.openxmlformats.org/officeDocument/2006/relationships/hyperlink" Target="https://www.newport.gov.uk/sites/default/files/media/media-documents/Procurement%20Strategy%202020-24_2.pdf" TargetMode="External"/><Relationship Id="rId62" Type="http://schemas.openxmlformats.org/officeDocument/2006/relationships/hyperlink" Target="https://www.staffingindustry.com/news/global-daily-news/young-uk-workers-more-eager-for-office-return-than-older-staff" TargetMode="External"/><Relationship Id="rId70" Type="http://schemas.openxmlformats.org/officeDocument/2006/relationships/hyperlink" Target="https://www.prweb.com/releases/new-study-by-top-employers-institute-reveals-how-gen-z-is-shaping-the-future-of-work-302251679.html" TargetMode="External"/><Relationship Id="rId75" Type="http://schemas.openxmlformats.org/officeDocument/2006/relationships/hyperlink" Target="https://www.gov.wales/national-population-projections-2024-based-html" TargetMode="External"/><Relationship Id="rId83" Type="http://schemas.openxmlformats.org/officeDocument/2006/relationships/image" Target="media/image15.emf"/><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177/009102600803700403" TargetMode="External"/><Relationship Id="rId28" Type="http://schemas.openxmlformats.org/officeDocument/2006/relationships/hyperlink" Target="https://doi.org/10.1080/09585192.2017.1396545" TargetMode="External"/><Relationship Id="rId36" Type="http://schemas.openxmlformats.org/officeDocument/2006/relationships/hyperlink" Target="https://www.forvismazars.com/uk/en/industries/public-social-sector/our-public-and-social-sector-reports/public-sector-in-focus-charting-the-road-ahead" TargetMode="External"/><Relationship Id="rId49" Type="http://schemas.openxmlformats.org/officeDocument/2006/relationships/hyperlink" Target="https://doi.org/10.1080/03003930.2024.2417254" TargetMode="External"/><Relationship Id="rId57" Type="http://schemas.openxmlformats.org/officeDocument/2006/relationships/hyperlink" Target="https://doi.org/10.1002/(SICI)1097-0266(199710)18:9" TargetMode="External"/><Relationship Id="rId10" Type="http://schemas.openxmlformats.org/officeDocument/2006/relationships/image" Target="media/image3.png"/><Relationship Id="rId31" Type="http://schemas.openxmlformats.org/officeDocument/2006/relationships/hyperlink" Target="https://www.countycouncilsnetwork.org.uk/wp-content/uploads/County-Councils-Network-Workforce-of-the-Future_final.pdf" TargetMode="External"/><Relationship Id="rId44" Type="http://schemas.openxmlformats.org/officeDocument/2006/relationships/hyperlink" Target="https://doi.org/10.1080/14719037.2019.1638439" TargetMode="External"/><Relationship Id="rId52" Type="http://schemas.openxmlformats.org/officeDocument/2006/relationships/hyperlink" Target="https://www.mckinsey.com/industries/public-sector/our-insights/shaping-tomorrows-talent-agenda-for-the-public-sector" TargetMode="External"/><Relationship Id="rId60" Type="http://schemas.openxmlformats.org/officeDocument/2006/relationships/hyperlink" Target="https://www.gov.wales/sites/default/files/publications/2019-03/principles-guidance-to-support-joint-workforce-planning.pdf" TargetMode="External"/><Relationship Id="rId65" Type="http://schemas.openxmlformats.org/officeDocument/2006/relationships/hyperlink" Target="https://doi.org/10.1177/0008125619841006" TargetMode="External"/><Relationship Id="rId73" Type="http://schemas.openxmlformats.org/officeDocument/2006/relationships/hyperlink" Target="https://uniswales.ac.uk/sites/default/files/2021-10/Solving-Future-Skills-Challenges-in-Wales%20%286%29.pdf" TargetMode="External"/><Relationship Id="rId78" Type="http://schemas.openxmlformats.org/officeDocument/2006/relationships/package" Target="embeddings/Microsoft_Word_Document.docx"/><Relationship Id="rId81" Type="http://schemas.openxmlformats.org/officeDocument/2006/relationships/image" Target="media/image14.emf"/><Relationship Id="rId86" Type="http://schemas.openxmlformats.org/officeDocument/2006/relationships/package" Target="embeddings/Microsoft_Word_Document2.docx"/><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007/s12144-022-03501-4" TargetMode="External"/><Relationship Id="rId34" Type="http://schemas.openxmlformats.org/officeDocument/2006/relationships/hyperlink" Target="https://www2.local.gov.uk/sites/default/files/documents/knowledge%20navigator%20and%20the%20demography%20of%20ageing.pdf" TargetMode="External"/><Relationship Id="rId50" Type="http://schemas.openxmlformats.org/officeDocument/2006/relationships/hyperlink" Target="https://www.marshmma.com/us/insights/details/generations-in-the-workplace.html" TargetMode="External"/><Relationship Id="rId55" Type="http://schemas.openxmlformats.org/officeDocument/2006/relationships/hyperlink" Target="https://www.eipa.eu/wp-content/uploads/2022/04/Ageing-and-talent-management-in-European-pub-admin_OECD-Slovenia.pdf" TargetMode="External"/><Relationship Id="rId76" Type="http://schemas.openxmlformats.org/officeDocument/2006/relationships/hyperlink" Target="https://doi.org/10.4102/sajip.v51i0.2263" TargetMode="External"/><Relationship Id="rId7" Type="http://schemas.openxmlformats.org/officeDocument/2006/relationships/endnotes" Target="endnotes.xml"/><Relationship Id="rId71" Type="http://schemas.openxmlformats.org/officeDocument/2006/relationships/hyperlink" Target="https://www.ukri.org/councils/esrc/guidance-for-applicants/research-ethics-guidance/consent/" TargetMode="External"/><Relationship Id="rId2" Type="http://schemas.openxmlformats.org/officeDocument/2006/relationships/numbering" Target="numbering.xml"/><Relationship Id="rId29" Type="http://schemas.openxmlformats.org/officeDocument/2006/relationships/hyperlink" Target="https://doi.org/10.1080/19186444.2020.1741296" TargetMode="External"/><Relationship Id="rId24" Type="http://schemas.openxmlformats.org/officeDocument/2006/relationships/hyperlink" Target="https://www.cipd.org/uk/knowledge/factsheets/talent-factsheet/" TargetMode="External"/><Relationship Id="rId40" Type="http://schemas.openxmlformats.org/officeDocument/2006/relationships/hyperlink" Target="https://doi.org/10.1016/j.cptl.2015.08.001" TargetMode="External"/><Relationship Id="rId45" Type="http://schemas.openxmlformats.org/officeDocument/2006/relationships/hyperlink" Target="https://doi.org/10.31098/bmss.v4i1.857" TargetMode="External"/><Relationship Id="rId66" Type="http://schemas.openxmlformats.org/officeDocument/2006/relationships/hyperlink" Target="https://www.silicon.co.uk/press-release/new-research-finds-65-of-generation-z-is-eager-for-professional-development-and-career-growth-challenging-stereotypes-toward-newest-members-of-the-workforce" TargetMode="External"/><Relationship Id="rId87" Type="http://schemas.openxmlformats.org/officeDocument/2006/relationships/footer" Target="footer1.xml"/><Relationship Id="rId61" Type="http://schemas.openxmlformats.org/officeDocument/2006/relationships/hyperlink" Target="https://www.driveresearch.com/market-research-company-blog/market-research-with-generation-z/" TargetMode="External"/><Relationship Id="rId82" Type="http://schemas.openxmlformats.org/officeDocument/2006/relationships/oleObject" Target="embeddings/oleObject1.bin"/><Relationship Id="rId19" Type="http://schemas.openxmlformats.org/officeDocument/2006/relationships/hyperlink" Target="https://doi.org/10.1177/08863687209548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74623-808A-4758-AE74-1D893CC97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71</Pages>
  <Words>20743</Words>
  <Characters>134000</Characters>
  <Application>Microsoft Office Word</Application>
  <DocSecurity>0</DocSecurity>
  <Lines>3045</Lines>
  <Paragraphs>1887</Paragraphs>
  <ScaleCrop>false</ScaleCrop>
  <HeadingPairs>
    <vt:vector size="2" baseType="variant">
      <vt:variant>
        <vt:lpstr>Title</vt:lpstr>
      </vt:variant>
      <vt:variant>
        <vt:i4>1</vt:i4>
      </vt:variant>
    </vt:vector>
  </HeadingPairs>
  <TitlesOfParts>
    <vt:vector size="1" baseType="lpstr">
      <vt:lpstr>Reshaping the strategic direction by focussing on customer care RIVER ISLAND                                     BMMB7027D</vt:lpstr>
    </vt:vector>
  </TitlesOfParts>
  <Company>Shared Resource Service Wales</Company>
  <LinksUpToDate>false</LinksUpToDate>
  <CharactersWithSpaces>152856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Future-Proofing Local Government- A Case Study of Gen Z and Talent Management at Newport City Council - Paige Grey</dc:title>
  <dc:subject/>
  <dc:creator>Grey, Paige (Customer Services Team Leader)</dc:creator>
  <cp:keywords/>
  <dc:description/>
  <cp:lastModifiedBy>Grey, Paige (Project Manager)</cp:lastModifiedBy>
  <cp:revision>4</cp:revision>
  <dcterms:created xsi:type="dcterms:W3CDTF">2026-07-07T14:21:00Z</dcterms:created>
  <dcterms:modified xsi:type="dcterms:W3CDTF">2026-07-07T14:41:00Z</dcterms:modified>
</cp:coreProperties>
</file>