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2AE07" w14:textId="7231980D" w:rsidR="001E0818" w:rsidRDefault="001E0818" w:rsidP="007D3375">
      <w:pPr>
        <w:spacing w:line="360" w:lineRule="auto"/>
      </w:pPr>
    </w:p>
    <w:p w14:paraId="73A313FE" w14:textId="5242FF6B" w:rsidR="007D3375" w:rsidRDefault="007D3375" w:rsidP="007D3375">
      <w:pPr>
        <w:spacing w:line="360" w:lineRule="auto"/>
      </w:pPr>
    </w:p>
    <w:p w14:paraId="6F4D875B" w14:textId="0C4EA5F3" w:rsidR="007D3375" w:rsidRDefault="007D3375" w:rsidP="007D3375">
      <w:pPr>
        <w:spacing w:line="360" w:lineRule="auto"/>
      </w:pPr>
    </w:p>
    <w:p w14:paraId="4041005E" w14:textId="18B7EC9E" w:rsidR="007D3375" w:rsidRDefault="007D3375" w:rsidP="007D3375">
      <w:pPr>
        <w:spacing w:line="360" w:lineRule="auto"/>
      </w:pPr>
    </w:p>
    <w:p w14:paraId="62FD3466" w14:textId="0165F578" w:rsidR="007D3375" w:rsidRDefault="007D3375" w:rsidP="007D3375">
      <w:pPr>
        <w:spacing w:line="360" w:lineRule="auto"/>
        <w:jc w:val="center"/>
      </w:pPr>
      <w:r>
        <w:t xml:space="preserve">Tasleem Akhtar </w:t>
      </w:r>
    </w:p>
    <w:p w14:paraId="3F86A608" w14:textId="5A8AE3D7" w:rsidR="007D3375" w:rsidRDefault="007D3375" w:rsidP="007D3375">
      <w:pPr>
        <w:spacing w:line="360" w:lineRule="auto"/>
        <w:jc w:val="center"/>
      </w:pPr>
      <w:r>
        <w:t xml:space="preserve">Introduction to public health </w:t>
      </w:r>
    </w:p>
    <w:p w14:paraId="1D539623" w14:textId="776E13D6" w:rsidR="007D3375" w:rsidRDefault="007D3375" w:rsidP="007D3375">
      <w:pPr>
        <w:spacing w:line="360" w:lineRule="auto"/>
        <w:jc w:val="center"/>
      </w:pPr>
      <w:r>
        <w:t xml:space="preserve">Aishat Bakarat </w:t>
      </w:r>
    </w:p>
    <w:p w14:paraId="1A5F7A6B" w14:textId="5BE82BA4" w:rsidR="007D3375" w:rsidRDefault="007D3375" w:rsidP="007D3375">
      <w:pPr>
        <w:spacing w:line="360" w:lineRule="auto"/>
      </w:pPr>
    </w:p>
    <w:p w14:paraId="74DF2B6F" w14:textId="30924101" w:rsidR="007D3375" w:rsidRDefault="007D3375" w:rsidP="007D3375">
      <w:pPr>
        <w:spacing w:line="360" w:lineRule="auto"/>
      </w:pPr>
    </w:p>
    <w:p w14:paraId="75D48A9E" w14:textId="75D6C5A2" w:rsidR="007D3375" w:rsidRDefault="007D3375" w:rsidP="007D3375">
      <w:pPr>
        <w:spacing w:line="360" w:lineRule="auto"/>
      </w:pPr>
    </w:p>
    <w:p w14:paraId="4B68C9F8" w14:textId="0E18FB26" w:rsidR="007D3375" w:rsidRDefault="007D3375" w:rsidP="007D3375">
      <w:pPr>
        <w:spacing w:line="360" w:lineRule="auto"/>
      </w:pPr>
    </w:p>
    <w:p w14:paraId="6F67A24A" w14:textId="75C9E7A4" w:rsidR="007D3375" w:rsidRDefault="007D3375" w:rsidP="007D3375">
      <w:pPr>
        <w:spacing w:line="360" w:lineRule="auto"/>
      </w:pPr>
    </w:p>
    <w:p w14:paraId="5DC87B08" w14:textId="6F24D6DE" w:rsidR="007D3375" w:rsidRDefault="007D3375" w:rsidP="007D3375">
      <w:pPr>
        <w:spacing w:line="360" w:lineRule="auto"/>
      </w:pPr>
    </w:p>
    <w:p w14:paraId="7353F13D" w14:textId="765AB541" w:rsidR="007D3375" w:rsidRDefault="007D3375" w:rsidP="007D3375">
      <w:pPr>
        <w:spacing w:line="360" w:lineRule="auto"/>
      </w:pPr>
    </w:p>
    <w:p w14:paraId="10E887CF" w14:textId="43AEDA27" w:rsidR="007D3375" w:rsidRDefault="007D3375" w:rsidP="007D3375">
      <w:pPr>
        <w:spacing w:line="360" w:lineRule="auto"/>
      </w:pPr>
    </w:p>
    <w:p w14:paraId="25F3EEB9" w14:textId="1A19FFE8" w:rsidR="007D3375" w:rsidRDefault="007D3375" w:rsidP="007D3375">
      <w:pPr>
        <w:spacing w:line="360" w:lineRule="auto"/>
      </w:pPr>
    </w:p>
    <w:p w14:paraId="727B32CE" w14:textId="7B590CA2" w:rsidR="007D3375" w:rsidRDefault="007D3375" w:rsidP="007D3375">
      <w:pPr>
        <w:spacing w:line="360" w:lineRule="auto"/>
      </w:pPr>
    </w:p>
    <w:p w14:paraId="2246902D" w14:textId="0815C26D" w:rsidR="007D3375" w:rsidRDefault="007D3375" w:rsidP="007D3375">
      <w:pPr>
        <w:spacing w:line="360" w:lineRule="auto"/>
      </w:pPr>
    </w:p>
    <w:p w14:paraId="45D08C4A" w14:textId="6CA2D1AA" w:rsidR="007D3375" w:rsidRDefault="007D3375" w:rsidP="007D3375">
      <w:pPr>
        <w:spacing w:line="360" w:lineRule="auto"/>
      </w:pPr>
    </w:p>
    <w:p w14:paraId="3D525E58" w14:textId="1BFA2BEA" w:rsidR="007D3375" w:rsidRDefault="007D3375" w:rsidP="007D3375">
      <w:pPr>
        <w:spacing w:line="360" w:lineRule="auto"/>
      </w:pPr>
    </w:p>
    <w:p w14:paraId="67737098" w14:textId="52B36716" w:rsidR="007D3375" w:rsidRDefault="007D3375" w:rsidP="007D3375">
      <w:pPr>
        <w:spacing w:line="360" w:lineRule="auto"/>
      </w:pPr>
    </w:p>
    <w:p w14:paraId="47869819" w14:textId="1185E082" w:rsidR="007D3375" w:rsidRDefault="007D3375" w:rsidP="007D3375">
      <w:pPr>
        <w:spacing w:line="360" w:lineRule="auto"/>
      </w:pPr>
    </w:p>
    <w:p w14:paraId="2987DA63" w14:textId="77777777" w:rsidR="007D3375" w:rsidRDefault="007D3375" w:rsidP="007D3375">
      <w:pPr>
        <w:spacing w:line="360" w:lineRule="auto"/>
      </w:pPr>
    </w:p>
    <w:p w14:paraId="6D6DFD0C" w14:textId="77777777" w:rsidR="001E0818" w:rsidRDefault="001E0818" w:rsidP="00860D14">
      <w:pPr>
        <w:spacing w:line="360" w:lineRule="auto"/>
      </w:pPr>
    </w:p>
    <w:p w14:paraId="047920DB" w14:textId="77777777" w:rsidR="001E0818" w:rsidRDefault="001E0818" w:rsidP="00860D14">
      <w:pPr>
        <w:spacing w:line="360" w:lineRule="auto"/>
      </w:pPr>
    </w:p>
    <w:p w14:paraId="0C23BB0A" w14:textId="77777777" w:rsidR="001E0818" w:rsidRDefault="001E0818" w:rsidP="00860D14">
      <w:pPr>
        <w:spacing w:line="360" w:lineRule="auto"/>
      </w:pPr>
    </w:p>
    <w:p w14:paraId="7A442E31" w14:textId="77777777" w:rsidR="001E0818" w:rsidRPr="001E0818" w:rsidRDefault="001E0818" w:rsidP="00860D14">
      <w:pPr>
        <w:spacing w:line="360" w:lineRule="auto"/>
        <w:rPr>
          <w:rFonts w:ascii="Arial" w:hAnsi="Arial" w:cs="Arial"/>
        </w:rPr>
      </w:pPr>
    </w:p>
    <w:p w14:paraId="1DF0AED6" w14:textId="662C2812" w:rsidR="001E0818" w:rsidRPr="001E0818" w:rsidRDefault="001E0818" w:rsidP="00860D14">
      <w:pPr>
        <w:spacing w:line="360" w:lineRule="auto"/>
        <w:rPr>
          <w:rFonts w:ascii="Arial" w:hAnsi="Arial" w:cs="Arial"/>
          <w:b/>
          <w:bCs/>
        </w:rPr>
      </w:pPr>
      <w:r w:rsidRPr="001E0818">
        <w:rPr>
          <w:rFonts w:ascii="Arial" w:hAnsi="Arial" w:cs="Arial"/>
          <w:b/>
          <w:bCs/>
        </w:rPr>
        <w:t xml:space="preserve">Introduction </w:t>
      </w:r>
    </w:p>
    <w:p w14:paraId="57FB54B8" w14:textId="6C1498B1" w:rsidR="0030093B" w:rsidRDefault="00AD06ED" w:rsidP="00860D14">
      <w:pPr>
        <w:spacing w:line="360" w:lineRule="auto"/>
        <w:rPr>
          <w:rFonts w:ascii="Arial" w:hAnsi="Arial" w:cs="Arial"/>
        </w:rPr>
      </w:pPr>
      <w:r w:rsidRPr="00AD06ED">
        <w:rPr>
          <w:rFonts w:ascii="Arial" w:hAnsi="Arial" w:cs="Arial"/>
        </w:rPr>
        <w:t>Infants under the age of five are most commonly affected by the sickness known as rotavirus. The virus that causes it is very readily distributed, and it is very infectious. Even while the virus is quite common in children, adults can also contract it, albeit the sickness is typically milder in adults. Children are more likely than adults to have rotavirus symptoms (</w:t>
      </w:r>
      <w:proofErr w:type="spellStart"/>
      <w:r w:rsidRPr="00AD06ED">
        <w:rPr>
          <w:rFonts w:ascii="Arial" w:hAnsi="Arial" w:cs="Arial"/>
        </w:rPr>
        <w:t>Badur</w:t>
      </w:r>
      <w:proofErr w:type="spellEnd"/>
      <w:r w:rsidRPr="00AD06ED">
        <w:rPr>
          <w:rFonts w:ascii="Arial" w:hAnsi="Arial" w:cs="Arial"/>
        </w:rPr>
        <w:t xml:space="preserve"> et al., 2019). As soon as two days following rotavirus exposure, symptoms may start to show. The main rotavirus symptom is severe diarrhoea. The following symptoms of dehydration in children can also occur: vomiting, excessive exhaustion, high temperature, and irritability. Dehydration is the biggest concern when it comes to kids. This age group is especially vulnerable to fluid and electrolyte loss through vomiting and </w:t>
      </w:r>
      <w:r w:rsidR="00A17EF6" w:rsidRPr="00AD06ED">
        <w:rPr>
          <w:rFonts w:ascii="Arial" w:hAnsi="Arial" w:cs="Arial"/>
        </w:rPr>
        <w:t>diarrhoea</w:t>
      </w:r>
      <w:r w:rsidRPr="00AD06ED">
        <w:rPr>
          <w:rFonts w:ascii="Arial" w:hAnsi="Arial" w:cs="Arial"/>
        </w:rPr>
        <w:t xml:space="preserve"> because they have smaller body weights. </w:t>
      </w:r>
      <w:r w:rsidR="00E80E57">
        <w:rPr>
          <w:rFonts w:ascii="Arial" w:hAnsi="Arial" w:cs="Arial"/>
        </w:rPr>
        <w:t xml:space="preserve"> (</w:t>
      </w:r>
      <w:proofErr w:type="spellStart"/>
      <w:r w:rsidR="00E80E57">
        <w:rPr>
          <w:rFonts w:ascii="Arial" w:hAnsi="Arial" w:cs="Arial"/>
          <w:color w:val="222222"/>
          <w:sz w:val="20"/>
          <w:szCs w:val="20"/>
          <w:shd w:val="clear" w:color="auto" w:fill="FFFFFF"/>
        </w:rPr>
        <w:t>Hellysaz</w:t>
      </w:r>
      <w:proofErr w:type="spellEnd"/>
      <w:r w:rsidR="00E80E57">
        <w:rPr>
          <w:rFonts w:ascii="Arial" w:hAnsi="Arial" w:cs="Arial"/>
          <w:color w:val="222222"/>
          <w:sz w:val="20"/>
          <w:szCs w:val="20"/>
          <w:shd w:val="clear" w:color="auto" w:fill="FFFFFF"/>
        </w:rPr>
        <w:t xml:space="preserve"> and </w:t>
      </w:r>
      <w:proofErr w:type="spellStart"/>
      <w:r w:rsidR="00E80E57">
        <w:rPr>
          <w:rFonts w:ascii="Arial" w:hAnsi="Arial" w:cs="Arial"/>
          <w:color w:val="222222"/>
          <w:sz w:val="20"/>
          <w:szCs w:val="20"/>
          <w:shd w:val="clear" w:color="auto" w:fill="FFFFFF"/>
        </w:rPr>
        <w:t>Hagbom</w:t>
      </w:r>
      <w:proofErr w:type="spellEnd"/>
      <w:r w:rsidR="00E80E57">
        <w:rPr>
          <w:rFonts w:ascii="Arial" w:hAnsi="Arial" w:cs="Arial"/>
          <w:color w:val="222222"/>
          <w:sz w:val="20"/>
          <w:szCs w:val="20"/>
          <w:shd w:val="clear" w:color="auto" w:fill="FFFFFF"/>
        </w:rPr>
        <w:t xml:space="preserve">, 2021). </w:t>
      </w:r>
    </w:p>
    <w:p w14:paraId="2FB7E9AD" w14:textId="3D8C4FD0" w:rsidR="001E0818" w:rsidRDefault="001E0818" w:rsidP="00860D14">
      <w:pPr>
        <w:spacing w:line="360" w:lineRule="auto"/>
        <w:rPr>
          <w:rFonts w:ascii="Arial" w:hAnsi="Arial" w:cs="Arial"/>
        </w:rPr>
      </w:pPr>
    </w:p>
    <w:p w14:paraId="4ADEC0B8" w14:textId="653A843F" w:rsidR="001E0818" w:rsidRDefault="001E0818" w:rsidP="00860D14">
      <w:pPr>
        <w:spacing w:line="360" w:lineRule="auto"/>
        <w:rPr>
          <w:rFonts w:ascii="Arial" w:hAnsi="Arial" w:cs="Arial"/>
          <w:b/>
          <w:bCs/>
        </w:rPr>
      </w:pPr>
      <w:r w:rsidRPr="001E0818">
        <w:rPr>
          <w:rFonts w:ascii="Arial" w:hAnsi="Arial" w:cs="Arial"/>
          <w:b/>
          <w:bCs/>
        </w:rPr>
        <w:t xml:space="preserve">Measure </w:t>
      </w:r>
    </w:p>
    <w:p w14:paraId="721BA4FF" w14:textId="77777777" w:rsidR="00A26461" w:rsidRDefault="00A26461" w:rsidP="00860D14">
      <w:pPr>
        <w:spacing w:line="360" w:lineRule="auto"/>
        <w:rPr>
          <w:rFonts w:ascii="Arial" w:hAnsi="Arial" w:cs="Arial"/>
        </w:rPr>
      </w:pPr>
      <w:r w:rsidRPr="00A26461">
        <w:rPr>
          <w:rFonts w:ascii="Arial" w:hAnsi="Arial" w:cs="Arial"/>
        </w:rPr>
        <w:t xml:space="preserve">Rotavirus may be detected in stool samples from kids who have gastroenteritis using techniques such electron microscopy, polyacrylamide gel electrophoresis, antigen detection assays, reverse transcription polymerase chain reaction (RT-PCR), and viral isolation (Sadiq et al., 2022). EIAs are frequently used to find rotavirus in feces. Several EIA kits are available. According to research on rotavirus antigen (2023), EIAs have a sensitivity range of 75-82% and a specificity range of 100%. Real-time reverse transcription PCR (RT-PCR) can be used as a confirmatory test for EIA findings to check for the presence of the VP6 gene or the NP6 and NSP3 genes. RT-PCR is used to identify rotavirus strains by detecting both G and P types. A portion of the rotavirus-positive feces from routine surveillance should be used for strain classification. </w:t>
      </w:r>
    </w:p>
    <w:p w14:paraId="611F8823" w14:textId="1AF98979" w:rsidR="005A4720" w:rsidRPr="001E0818" w:rsidRDefault="005A4720" w:rsidP="00860D14">
      <w:pPr>
        <w:spacing w:line="360" w:lineRule="auto"/>
        <w:rPr>
          <w:rFonts w:ascii="Arial" w:hAnsi="Arial" w:cs="Arial"/>
        </w:rPr>
      </w:pPr>
      <w:r w:rsidRPr="005A4720">
        <w:rPr>
          <w:rFonts w:ascii="Arial" w:hAnsi="Arial" w:cs="Arial"/>
        </w:rPr>
        <w:t xml:space="preserve">General </w:t>
      </w:r>
      <w:r w:rsidR="002746B8" w:rsidRPr="005A4720">
        <w:rPr>
          <w:rFonts w:ascii="Arial" w:hAnsi="Arial" w:cs="Arial"/>
        </w:rPr>
        <w:t>safety measures</w:t>
      </w:r>
      <w:r w:rsidRPr="005A4720">
        <w:rPr>
          <w:rFonts w:ascii="Arial" w:hAnsi="Arial" w:cs="Arial"/>
        </w:rPr>
        <w:t xml:space="preserve"> </w:t>
      </w:r>
      <w:r w:rsidR="002746B8" w:rsidRPr="005A4720">
        <w:rPr>
          <w:rFonts w:ascii="Arial" w:hAnsi="Arial" w:cs="Arial"/>
        </w:rPr>
        <w:t>opposed to</w:t>
      </w:r>
      <w:r w:rsidRPr="005A4720">
        <w:rPr>
          <w:rFonts w:ascii="Arial" w:hAnsi="Arial" w:cs="Arial"/>
        </w:rPr>
        <w:t xml:space="preserve"> rotavirus infections </w:t>
      </w:r>
      <w:r w:rsidR="002746B8" w:rsidRPr="005A4720">
        <w:rPr>
          <w:rFonts w:ascii="Arial" w:hAnsi="Arial" w:cs="Arial"/>
        </w:rPr>
        <w:t>involve</w:t>
      </w:r>
      <w:r w:rsidRPr="005A4720">
        <w:rPr>
          <w:rFonts w:ascii="Arial" w:hAnsi="Arial" w:cs="Arial"/>
        </w:rPr>
        <w:t xml:space="preserve"> </w:t>
      </w:r>
      <w:r w:rsidR="002746B8" w:rsidRPr="005A4720">
        <w:rPr>
          <w:rFonts w:ascii="Arial" w:hAnsi="Arial" w:cs="Arial"/>
        </w:rPr>
        <w:t>exacting</w:t>
      </w:r>
      <w:r w:rsidRPr="005A4720">
        <w:rPr>
          <w:rFonts w:ascii="Arial" w:hAnsi="Arial" w:cs="Arial"/>
        </w:rPr>
        <w:t xml:space="preserve"> hand </w:t>
      </w:r>
      <w:r w:rsidR="002746B8" w:rsidRPr="005A4720">
        <w:rPr>
          <w:rFonts w:ascii="Arial" w:hAnsi="Arial" w:cs="Arial"/>
        </w:rPr>
        <w:t>cleaning</w:t>
      </w:r>
      <w:r w:rsidRPr="005A4720">
        <w:rPr>
          <w:rFonts w:ascii="Arial" w:hAnsi="Arial" w:cs="Arial"/>
        </w:rPr>
        <w:t xml:space="preserve"> by all care</w:t>
      </w:r>
      <w:r w:rsidR="002746B8">
        <w:rPr>
          <w:rFonts w:ascii="Arial" w:hAnsi="Arial" w:cs="Arial"/>
        </w:rPr>
        <w:t>rs</w:t>
      </w:r>
      <w:r w:rsidRPr="005A4720">
        <w:rPr>
          <w:rFonts w:ascii="Arial" w:hAnsi="Arial" w:cs="Arial"/>
        </w:rPr>
        <w:t xml:space="preserve"> for </w:t>
      </w:r>
      <w:r w:rsidR="002746B8" w:rsidRPr="005A4720">
        <w:rPr>
          <w:rFonts w:ascii="Arial" w:hAnsi="Arial" w:cs="Arial"/>
        </w:rPr>
        <w:t>affected</w:t>
      </w:r>
      <w:r w:rsidRPr="005A4720">
        <w:rPr>
          <w:rFonts w:ascii="Arial" w:hAnsi="Arial" w:cs="Arial"/>
        </w:rPr>
        <w:t xml:space="preserve"> children. </w:t>
      </w:r>
      <w:r w:rsidR="002746B8" w:rsidRPr="005A4720">
        <w:rPr>
          <w:rFonts w:ascii="Arial" w:hAnsi="Arial" w:cs="Arial"/>
        </w:rPr>
        <w:t>Nevertheless</w:t>
      </w:r>
      <w:r w:rsidRPr="005A4720">
        <w:rPr>
          <w:rFonts w:ascii="Arial" w:hAnsi="Arial" w:cs="Arial"/>
        </w:rPr>
        <w:t xml:space="preserve">, improvements in socioeconomic standards and </w:t>
      </w:r>
      <w:r w:rsidR="002746B8" w:rsidRPr="005A4720">
        <w:rPr>
          <w:rFonts w:ascii="Arial" w:hAnsi="Arial" w:cs="Arial"/>
        </w:rPr>
        <w:t>sanitation</w:t>
      </w:r>
      <w:r w:rsidRPr="005A4720">
        <w:rPr>
          <w:rFonts w:ascii="Arial" w:hAnsi="Arial" w:cs="Arial"/>
        </w:rPr>
        <w:t xml:space="preserve"> in EU/EEA nations </w:t>
      </w:r>
      <w:r w:rsidR="002746B8" w:rsidRPr="005A4720">
        <w:rPr>
          <w:rFonts w:ascii="Arial" w:hAnsi="Arial" w:cs="Arial"/>
        </w:rPr>
        <w:t>all across</w:t>
      </w:r>
      <w:r w:rsidRPr="005A4720">
        <w:rPr>
          <w:rFonts w:ascii="Arial" w:hAnsi="Arial" w:cs="Arial"/>
        </w:rPr>
        <w:t xml:space="preserve"> the previous 50-100 years have not reduced rotavirus </w:t>
      </w:r>
      <w:r w:rsidR="002746B8" w:rsidRPr="005A4720">
        <w:rPr>
          <w:rFonts w:ascii="Arial" w:hAnsi="Arial" w:cs="Arial"/>
        </w:rPr>
        <w:t>flow</w:t>
      </w:r>
      <w:r w:rsidRPr="005A4720">
        <w:rPr>
          <w:rFonts w:ascii="Arial" w:hAnsi="Arial" w:cs="Arial"/>
        </w:rPr>
        <w:t xml:space="preserve">. Physical inactivation </w:t>
      </w:r>
      <w:r w:rsidR="00493BD4" w:rsidRPr="005A4720">
        <w:rPr>
          <w:rFonts w:ascii="Arial" w:hAnsi="Arial" w:cs="Arial"/>
        </w:rPr>
        <w:t>endurance</w:t>
      </w:r>
      <w:r w:rsidRPr="005A4720">
        <w:rPr>
          <w:rFonts w:ascii="Arial" w:hAnsi="Arial" w:cs="Arial"/>
        </w:rPr>
        <w:t xml:space="preserve">, as well as the huge quantity of </w:t>
      </w:r>
      <w:r w:rsidR="00493BD4" w:rsidRPr="005A4720">
        <w:rPr>
          <w:rFonts w:ascii="Arial" w:hAnsi="Arial" w:cs="Arial"/>
        </w:rPr>
        <w:t>virus-related</w:t>
      </w:r>
      <w:r w:rsidRPr="005A4720">
        <w:rPr>
          <w:rFonts w:ascii="Arial" w:hAnsi="Arial" w:cs="Arial"/>
        </w:rPr>
        <w:t xml:space="preserve"> </w:t>
      </w:r>
      <w:r w:rsidR="00493BD4" w:rsidRPr="005A4720">
        <w:rPr>
          <w:rFonts w:ascii="Arial" w:hAnsi="Arial" w:cs="Arial"/>
        </w:rPr>
        <w:t>atoms</w:t>
      </w:r>
      <w:r w:rsidRPr="005A4720">
        <w:rPr>
          <w:rFonts w:ascii="Arial" w:hAnsi="Arial" w:cs="Arial"/>
        </w:rPr>
        <w:t xml:space="preserve"> </w:t>
      </w:r>
      <w:r w:rsidR="00493BD4" w:rsidRPr="005A4720">
        <w:rPr>
          <w:rFonts w:ascii="Arial" w:hAnsi="Arial" w:cs="Arial"/>
        </w:rPr>
        <w:t>drop</w:t>
      </w:r>
      <w:r w:rsidRPr="005A4720">
        <w:rPr>
          <w:rFonts w:ascii="Arial" w:hAnsi="Arial" w:cs="Arial"/>
        </w:rPr>
        <w:t xml:space="preserve"> in feces, </w:t>
      </w:r>
      <w:r w:rsidR="00493BD4" w:rsidRPr="005A4720">
        <w:rPr>
          <w:rFonts w:ascii="Arial" w:hAnsi="Arial" w:cs="Arial"/>
        </w:rPr>
        <w:t>participate</w:t>
      </w:r>
      <w:r w:rsidRPr="005A4720">
        <w:rPr>
          <w:rFonts w:ascii="Arial" w:hAnsi="Arial" w:cs="Arial"/>
        </w:rPr>
        <w:t xml:space="preserve"> to the effective </w:t>
      </w:r>
      <w:r w:rsidR="00493BD4" w:rsidRPr="005A4720">
        <w:rPr>
          <w:rFonts w:ascii="Arial" w:hAnsi="Arial" w:cs="Arial"/>
        </w:rPr>
        <w:t>spread</w:t>
      </w:r>
      <w:r w:rsidRPr="005A4720">
        <w:rPr>
          <w:rFonts w:ascii="Arial" w:hAnsi="Arial" w:cs="Arial"/>
        </w:rPr>
        <w:t xml:space="preserve"> of human rotaviruses. Rotaviruses can live for up to two months on dry surfaces</w:t>
      </w:r>
      <w:r w:rsidR="00AD287C">
        <w:rPr>
          <w:rFonts w:ascii="Arial" w:hAnsi="Arial" w:cs="Arial"/>
        </w:rPr>
        <w:t xml:space="preserve"> (</w:t>
      </w:r>
      <w:proofErr w:type="spellStart"/>
      <w:r w:rsidR="003D6FFC">
        <w:rPr>
          <w:rFonts w:ascii="Arial" w:hAnsi="Arial" w:cs="Arial"/>
        </w:rPr>
        <w:t>Bonvillie</w:t>
      </w:r>
      <w:proofErr w:type="spellEnd"/>
      <w:r w:rsidR="003D6FFC">
        <w:rPr>
          <w:rFonts w:ascii="Arial" w:hAnsi="Arial" w:cs="Arial"/>
        </w:rPr>
        <w:t xml:space="preserve"> et.al,2020)</w:t>
      </w:r>
      <w:r w:rsidRPr="005A4720">
        <w:rPr>
          <w:rFonts w:ascii="Arial" w:hAnsi="Arial" w:cs="Arial"/>
        </w:rPr>
        <w:t>.</w:t>
      </w:r>
    </w:p>
    <w:p w14:paraId="1389E9CB" w14:textId="7C785764" w:rsidR="001E0818" w:rsidRDefault="00742EAE" w:rsidP="00860D14">
      <w:pPr>
        <w:spacing w:line="360" w:lineRule="auto"/>
        <w:rPr>
          <w:rFonts w:ascii="Arial" w:hAnsi="Arial" w:cs="Arial"/>
          <w:b/>
          <w:bCs/>
        </w:rPr>
      </w:pPr>
      <w:r>
        <w:rPr>
          <w:rFonts w:ascii="Arial" w:hAnsi="Arial" w:cs="Arial"/>
          <w:b/>
          <w:bCs/>
        </w:rPr>
        <w:t xml:space="preserve"> </w:t>
      </w:r>
    </w:p>
    <w:p w14:paraId="60478923" w14:textId="3EB3598F" w:rsidR="001E0818" w:rsidRDefault="001E0818" w:rsidP="00860D14">
      <w:pPr>
        <w:spacing w:line="360" w:lineRule="auto"/>
        <w:rPr>
          <w:rFonts w:ascii="Arial" w:hAnsi="Arial" w:cs="Arial"/>
          <w:b/>
          <w:bCs/>
        </w:rPr>
      </w:pPr>
      <w:r>
        <w:rPr>
          <w:rFonts w:ascii="Arial" w:hAnsi="Arial" w:cs="Arial"/>
          <w:b/>
          <w:bCs/>
        </w:rPr>
        <w:t xml:space="preserve">Monitor </w:t>
      </w:r>
    </w:p>
    <w:p w14:paraId="545B2F2E" w14:textId="72F4A8DD" w:rsidR="00AB05C9" w:rsidRDefault="00AB05C9" w:rsidP="00860D14">
      <w:pPr>
        <w:spacing w:line="360" w:lineRule="auto"/>
        <w:rPr>
          <w:rFonts w:ascii="Arial" w:hAnsi="Arial" w:cs="Arial"/>
        </w:rPr>
      </w:pPr>
      <w:r w:rsidRPr="00AB05C9">
        <w:rPr>
          <w:rFonts w:ascii="Arial" w:hAnsi="Arial" w:cs="Arial"/>
        </w:rPr>
        <w:lastRenderedPageBreak/>
        <w:t xml:space="preserve">Rotavirus vaccination was </w:t>
      </w:r>
      <w:r w:rsidR="00E5663C" w:rsidRPr="00AB05C9">
        <w:rPr>
          <w:rFonts w:ascii="Arial" w:hAnsi="Arial" w:cs="Arial"/>
        </w:rPr>
        <w:t>attached</w:t>
      </w:r>
      <w:r w:rsidRPr="00AB05C9">
        <w:rPr>
          <w:rFonts w:ascii="Arial" w:hAnsi="Arial" w:cs="Arial"/>
        </w:rPr>
        <w:t xml:space="preserve"> to the </w:t>
      </w:r>
      <w:r w:rsidR="00E5663C" w:rsidRPr="00AB05C9">
        <w:rPr>
          <w:rFonts w:ascii="Arial" w:hAnsi="Arial" w:cs="Arial"/>
        </w:rPr>
        <w:t>Public</w:t>
      </w:r>
      <w:r w:rsidRPr="00AB05C9">
        <w:rPr>
          <w:rFonts w:ascii="Arial" w:hAnsi="Arial" w:cs="Arial"/>
        </w:rPr>
        <w:t xml:space="preserve"> Immuni</w:t>
      </w:r>
      <w:r w:rsidR="00E5663C">
        <w:rPr>
          <w:rFonts w:ascii="Arial" w:hAnsi="Arial" w:cs="Arial"/>
        </w:rPr>
        <w:t>s</w:t>
      </w:r>
      <w:r w:rsidRPr="00AB05C9">
        <w:rPr>
          <w:rFonts w:ascii="Arial" w:hAnsi="Arial" w:cs="Arial"/>
        </w:rPr>
        <w:t xml:space="preserve">ation </w:t>
      </w:r>
      <w:r w:rsidR="00E5663C" w:rsidRPr="00AB05C9">
        <w:rPr>
          <w:rFonts w:ascii="Arial" w:hAnsi="Arial" w:cs="Arial"/>
        </w:rPr>
        <w:t>System's</w:t>
      </w:r>
      <w:r w:rsidRPr="00AB05C9">
        <w:rPr>
          <w:rFonts w:ascii="Arial" w:hAnsi="Arial" w:cs="Arial"/>
        </w:rPr>
        <w:t xml:space="preserve"> schedule in July 2007 (Buttery et al., 2011). Depending on the vaccine used, oral </w:t>
      </w:r>
      <w:r w:rsidR="00285C66" w:rsidRPr="00AB05C9">
        <w:rPr>
          <w:rFonts w:ascii="Arial" w:hAnsi="Arial" w:cs="Arial"/>
        </w:rPr>
        <w:t>injection</w:t>
      </w:r>
      <w:r w:rsidRPr="00AB05C9">
        <w:rPr>
          <w:rFonts w:ascii="Arial" w:hAnsi="Arial" w:cs="Arial"/>
        </w:rPr>
        <w:t xml:space="preserve"> doses are advised at 2 and 4 months of age or 2 and 4 and 6 months of age. Finishing the vaccination series with the same vaccine brand is preferred. Due to the paucity of safety data for older children and adults, vaccination is not advised in these age groups, and "catch-up" doses are not advised either (Balasubramanian et al., 2018).</w:t>
      </w:r>
    </w:p>
    <w:p w14:paraId="1AC5A0F6" w14:textId="60A27B25" w:rsidR="00602A48" w:rsidRDefault="000A6DF1" w:rsidP="00860D14">
      <w:pPr>
        <w:spacing w:line="360" w:lineRule="auto"/>
        <w:rPr>
          <w:rFonts w:ascii="Arial" w:hAnsi="Arial" w:cs="Arial"/>
        </w:rPr>
      </w:pPr>
      <w:r w:rsidRPr="000A6DF1">
        <w:rPr>
          <w:rFonts w:ascii="Arial" w:hAnsi="Arial" w:cs="Arial"/>
        </w:rPr>
        <w:t xml:space="preserve">Two live attenuated vaccines that offer oral protection against rotavirus disease were approved by the European Union in 2006: </w:t>
      </w:r>
      <w:proofErr w:type="spellStart"/>
      <w:r w:rsidRPr="000A6DF1">
        <w:rPr>
          <w:rFonts w:ascii="Arial" w:hAnsi="Arial" w:cs="Arial"/>
        </w:rPr>
        <w:t>RotaTeq</w:t>
      </w:r>
      <w:proofErr w:type="spellEnd"/>
      <w:r w:rsidRPr="000A6DF1">
        <w:rPr>
          <w:rFonts w:ascii="Arial" w:hAnsi="Arial" w:cs="Arial"/>
        </w:rPr>
        <w:t xml:space="preserve">, a human-bovine rotavirus </w:t>
      </w:r>
      <w:proofErr w:type="spellStart"/>
      <w:r w:rsidRPr="000A6DF1">
        <w:rPr>
          <w:rFonts w:ascii="Arial" w:hAnsi="Arial" w:cs="Arial"/>
        </w:rPr>
        <w:t>reassortant</w:t>
      </w:r>
      <w:proofErr w:type="spellEnd"/>
      <w:r w:rsidRPr="000A6DF1">
        <w:rPr>
          <w:rFonts w:ascii="Arial" w:hAnsi="Arial" w:cs="Arial"/>
        </w:rPr>
        <w:t xml:space="preserve"> pentavalent vaccine, and Rotarix, a monovalent vaccine (RV1) developed from a human rotavirus strain attenuated by serial passage in cell culture (GlaxoSmithKline Biologicals, </w:t>
      </w:r>
      <w:proofErr w:type="spellStart"/>
      <w:r w:rsidRPr="000A6DF1">
        <w:rPr>
          <w:rFonts w:ascii="Arial" w:hAnsi="Arial" w:cs="Arial"/>
        </w:rPr>
        <w:t>Rixensart</w:t>
      </w:r>
      <w:proofErr w:type="spellEnd"/>
      <w:r w:rsidRPr="000A6DF1">
        <w:rPr>
          <w:rFonts w:ascii="Arial" w:hAnsi="Arial" w:cs="Arial"/>
        </w:rPr>
        <w:t>, Belgium)</w:t>
      </w:r>
      <w:r>
        <w:rPr>
          <w:rFonts w:ascii="Arial" w:hAnsi="Arial" w:cs="Arial"/>
        </w:rPr>
        <w:t xml:space="preserve"> </w:t>
      </w:r>
      <w:r w:rsidR="004E75ED">
        <w:rPr>
          <w:rFonts w:ascii="Arial" w:hAnsi="Arial" w:cs="Arial"/>
        </w:rPr>
        <w:t>(</w:t>
      </w:r>
      <w:r w:rsidR="004E75ED">
        <w:rPr>
          <w:rFonts w:ascii="Arial" w:hAnsi="Arial" w:cs="Arial"/>
          <w:color w:val="222222"/>
          <w:sz w:val="20"/>
          <w:szCs w:val="20"/>
          <w:shd w:val="clear" w:color="auto" w:fill="FFFFFF"/>
        </w:rPr>
        <w:t>Pereira et.al,2020)</w:t>
      </w:r>
      <w:r w:rsidR="00602A48" w:rsidRPr="00602A48">
        <w:rPr>
          <w:rFonts w:ascii="Arial" w:hAnsi="Arial" w:cs="Arial"/>
        </w:rPr>
        <w:t>.</w:t>
      </w:r>
      <w:r w:rsidR="00393CF8">
        <w:rPr>
          <w:rFonts w:ascii="Arial" w:hAnsi="Arial" w:cs="Arial"/>
        </w:rPr>
        <w:t xml:space="preserve"> </w:t>
      </w:r>
    </w:p>
    <w:p w14:paraId="28836AEC" w14:textId="02C409F0" w:rsidR="00B21595" w:rsidRDefault="00B21595" w:rsidP="00860D14">
      <w:pPr>
        <w:spacing w:line="360" w:lineRule="auto"/>
        <w:rPr>
          <w:rFonts w:ascii="Arial" w:hAnsi="Arial" w:cs="Arial"/>
        </w:rPr>
      </w:pPr>
      <w:r w:rsidRPr="00B21595">
        <w:rPr>
          <w:rFonts w:ascii="Arial" w:hAnsi="Arial" w:cs="Arial"/>
        </w:rPr>
        <w:t>The efficacy of the vaccination against other genotypes has not been examined in rotavirus low-mortality conditions. When rotavirus vaccinations were added to paediatric immunization programs, investigations on vaccine effectiveness against rotavirus hospitalization showed that protection ranged from 80–90%. Herd immunity also increases the overall effectiveness of vaccination regimens by protecting, for instance, the older siblings of vaccinated individuals (Varghese et al.,2022).</w:t>
      </w:r>
    </w:p>
    <w:p w14:paraId="07DE9BE4" w14:textId="667C2CD7" w:rsidR="00602A48" w:rsidRPr="000F08AD" w:rsidRDefault="00250644" w:rsidP="00860D14">
      <w:pPr>
        <w:spacing w:line="360" w:lineRule="auto"/>
        <w:rPr>
          <w:rFonts w:ascii="Arial" w:hAnsi="Arial" w:cs="Arial"/>
        </w:rPr>
      </w:pPr>
      <w:r w:rsidRPr="00250644">
        <w:rPr>
          <w:rFonts w:ascii="Arial" w:hAnsi="Arial" w:cs="Arial"/>
        </w:rPr>
        <w:t xml:space="preserve">The Rotarix vaccine offers </w:t>
      </w:r>
      <w:proofErr w:type="spellStart"/>
      <w:r w:rsidRPr="00250644">
        <w:rPr>
          <w:rFonts w:ascii="Arial" w:hAnsi="Arial" w:cs="Arial"/>
        </w:rPr>
        <w:t>defense</w:t>
      </w:r>
      <w:proofErr w:type="spellEnd"/>
      <w:r w:rsidRPr="00250644">
        <w:rPr>
          <w:rFonts w:ascii="Arial" w:hAnsi="Arial" w:cs="Arial"/>
        </w:rPr>
        <w:t xml:space="preserve"> against the rotavirus strains that are most common. It offers little </w:t>
      </w:r>
      <w:proofErr w:type="spellStart"/>
      <w:r w:rsidRPr="00250644">
        <w:rPr>
          <w:rFonts w:ascii="Arial" w:hAnsi="Arial" w:cs="Arial"/>
        </w:rPr>
        <w:t>defense</w:t>
      </w:r>
      <w:proofErr w:type="spellEnd"/>
      <w:r w:rsidRPr="00250644">
        <w:rPr>
          <w:rFonts w:ascii="Arial" w:hAnsi="Arial" w:cs="Arial"/>
        </w:rPr>
        <w:t xml:space="preserve"> against other strains of bacteria or viruses that can cause gastroenteritis, such as Salmonella and norovirus. However, as rotavirus is the most common cause of gastroenteritis in young babies, it will have a significant impact on both the overall number of young children who get sick with gastroenteritis and the percentage of kids who end up having a severe illness (</w:t>
      </w:r>
      <w:proofErr w:type="spellStart"/>
      <w:r w:rsidRPr="00250644">
        <w:rPr>
          <w:rFonts w:ascii="Arial" w:hAnsi="Arial" w:cs="Arial"/>
        </w:rPr>
        <w:t>Mutlak</w:t>
      </w:r>
      <w:proofErr w:type="spellEnd"/>
      <w:r w:rsidRPr="00250644">
        <w:rPr>
          <w:rFonts w:ascii="Arial" w:hAnsi="Arial" w:cs="Arial"/>
        </w:rPr>
        <w:t xml:space="preserve"> et al., 2021).</w:t>
      </w:r>
    </w:p>
    <w:p w14:paraId="0B0344A1" w14:textId="77777777" w:rsidR="00BC4279" w:rsidRDefault="001E0818" w:rsidP="00860D14">
      <w:pPr>
        <w:spacing w:line="360" w:lineRule="auto"/>
        <w:rPr>
          <w:rFonts w:ascii="Arial" w:hAnsi="Arial" w:cs="Arial"/>
          <w:b/>
          <w:bCs/>
        </w:rPr>
      </w:pPr>
      <w:r>
        <w:rPr>
          <w:rFonts w:ascii="Arial" w:hAnsi="Arial" w:cs="Arial"/>
          <w:b/>
          <w:bCs/>
        </w:rPr>
        <w:t>Control</w:t>
      </w:r>
    </w:p>
    <w:p w14:paraId="38E56932" w14:textId="581DA3EE" w:rsidR="00BC4279" w:rsidRDefault="004B7876" w:rsidP="00860D14">
      <w:pPr>
        <w:spacing w:line="360" w:lineRule="auto"/>
        <w:rPr>
          <w:rFonts w:ascii="Arial" w:hAnsi="Arial" w:cs="Arial"/>
        </w:rPr>
      </w:pPr>
      <w:r w:rsidRPr="004B7876">
        <w:rPr>
          <w:rFonts w:ascii="Arial" w:hAnsi="Arial" w:cs="Arial"/>
        </w:rPr>
        <w:t>Handwashing and cleanliness are vital aspects of good hygiene.</w:t>
      </w:r>
      <w:r w:rsidR="008317FA" w:rsidRPr="008317FA">
        <w:t xml:space="preserve"> </w:t>
      </w:r>
      <w:r w:rsidR="008317FA" w:rsidRPr="008317FA">
        <w:rPr>
          <w:rFonts w:ascii="Arial" w:hAnsi="Arial" w:cs="Arial"/>
        </w:rPr>
        <w:t xml:space="preserve">Always wash your hands before eating and after using the restroom (and have your child do the same). Whether or not the infant has the virus, always wash your hands after changing a </w:t>
      </w:r>
      <w:r w:rsidR="008317FA">
        <w:rPr>
          <w:rFonts w:ascii="Arial" w:hAnsi="Arial" w:cs="Arial"/>
        </w:rPr>
        <w:t>nappy</w:t>
      </w:r>
      <w:r w:rsidR="008317FA" w:rsidRPr="008317FA">
        <w:rPr>
          <w:rFonts w:ascii="Arial" w:hAnsi="Arial" w:cs="Arial"/>
        </w:rPr>
        <w:t>. Wash your hands after touching someone who has rotavirus or anything they've touched. Infected young</w:t>
      </w:r>
      <w:r w:rsidR="008317FA">
        <w:rPr>
          <w:rFonts w:ascii="Arial" w:hAnsi="Arial" w:cs="Arial"/>
        </w:rPr>
        <w:t xml:space="preserve"> children</w:t>
      </w:r>
      <w:r w:rsidR="008317FA" w:rsidRPr="008317FA">
        <w:rPr>
          <w:rFonts w:ascii="Arial" w:hAnsi="Arial" w:cs="Arial"/>
        </w:rPr>
        <w:t xml:space="preserve"> should avoid contact with other children until their diarrhoea has subsided</w:t>
      </w:r>
      <w:r w:rsidR="000F5164">
        <w:rPr>
          <w:rFonts w:ascii="Arial" w:hAnsi="Arial" w:cs="Arial"/>
        </w:rPr>
        <w:t xml:space="preserve"> (Owen and Laird,2020)</w:t>
      </w:r>
      <w:r w:rsidR="008317FA" w:rsidRPr="008317FA">
        <w:rPr>
          <w:rFonts w:ascii="Arial" w:hAnsi="Arial" w:cs="Arial"/>
        </w:rPr>
        <w:t>.</w:t>
      </w:r>
      <w:r w:rsidR="00636FBB" w:rsidRPr="00636FBB">
        <w:t xml:space="preserve"> </w:t>
      </w:r>
      <w:r w:rsidR="00636FBB" w:rsidRPr="00636FBB">
        <w:rPr>
          <w:rFonts w:ascii="Arial" w:hAnsi="Arial" w:cs="Arial"/>
        </w:rPr>
        <w:t xml:space="preserve">The rotavirus vaccination used in the UK offers </w:t>
      </w:r>
      <w:r w:rsidR="00636FBB" w:rsidRPr="00636FBB">
        <w:rPr>
          <w:rFonts w:ascii="Arial" w:hAnsi="Arial" w:cs="Arial"/>
        </w:rPr>
        <w:t>defence</w:t>
      </w:r>
      <w:r w:rsidR="00636FBB" w:rsidRPr="00636FBB">
        <w:rPr>
          <w:rFonts w:ascii="Arial" w:hAnsi="Arial" w:cs="Arial"/>
        </w:rPr>
        <w:t xml:space="preserve"> against rotavirus infections, which in young children and </w:t>
      </w:r>
      <w:r w:rsidR="00636FBB" w:rsidRPr="00636FBB">
        <w:rPr>
          <w:rFonts w:ascii="Arial" w:hAnsi="Arial" w:cs="Arial"/>
        </w:rPr>
        <w:t>new-borns</w:t>
      </w:r>
      <w:r w:rsidR="00636FBB" w:rsidRPr="00636FBB">
        <w:rPr>
          <w:rFonts w:ascii="Arial" w:hAnsi="Arial" w:cs="Arial"/>
        </w:rPr>
        <w:t xml:space="preserve"> can result in severe vomiting and </w:t>
      </w:r>
      <w:r w:rsidR="00636FBB" w:rsidRPr="00636FBB">
        <w:rPr>
          <w:rFonts w:ascii="Arial" w:hAnsi="Arial" w:cs="Arial"/>
        </w:rPr>
        <w:t>diarrhoea</w:t>
      </w:r>
      <w:r w:rsidR="00636FBB" w:rsidRPr="00636FBB">
        <w:rPr>
          <w:rFonts w:ascii="Arial" w:hAnsi="Arial" w:cs="Arial"/>
        </w:rPr>
        <w:t>. In addition to the usual standard immunizations given at these intervals, babies receive two doses at 8 and 12 weeks. Instead of an injection, this vaccination is administered orally. Using a dropper, a few liquid drops (1.5ml) are administered into the mouth.</w:t>
      </w:r>
      <w:r w:rsidR="000F08AD">
        <w:t xml:space="preserve"> </w:t>
      </w:r>
      <w:r w:rsidR="000F08AD">
        <w:rPr>
          <w:rFonts w:ascii="Arial" w:hAnsi="Arial" w:cs="Arial"/>
        </w:rPr>
        <w:t>(</w:t>
      </w:r>
      <w:r w:rsidR="000B0CEC">
        <w:rPr>
          <w:rFonts w:ascii="Arial" w:hAnsi="Arial" w:cs="Arial"/>
        </w:rPr>
        <w:t>Gower et.al,2020)</w:t>
      </w:r>
      <w:r w:rsidR="0090539A">
        <w:rPr>
          <w:rFonts w:ascii="Arial" w:hAnsi="Arial" w:cs="Arial"/>
        </w:rPr>
        <w:t xml:space="preserve">. </w:t>
      </w:r>
      <w:r w:rsidR="007D3375">
        <w:rPr>
          <w:rFonts w:ascii="Arial" w:hAnsi="Arial" w:cs="Arial"/>
        </w:rPr>
        <w:t>However,</w:t>
      </w:r>
      <w:r w:rsidR="008317FA">
        <w:rPr>
          <w:rFonts w:ascii="Arial" w:hAnsi="Arial" w:cs="Arial"/>
        </w:rPr>
        <w:t xml:space="preserve"> this does not remove the virus as can still get rotavirus. </w:t>
      </w:r>
    </w:p>
    <w:p w14:paraId="03EA3726" w14:textId="0E33386A" w:rsidR="0090539A" w:rsidRDefault="0090539A" w:rsidP="0090539A">
      <w:pPr>
        <w:spacing w:line="360" w:lineRule="auto"/>
        <w:rPr>
          <w:rFonts w:ascii="Arial" w:hAnsi="Arial" w:cs="Arial"/>
        </w:rPr>
      </w:pPr>
      <w:r w:rsidRPr="0090539A">
        <w:rPr>
          <w:rFonts w:ascii="Arial" w:hAnsi="Arial" w:cs="Arial"/>
        </w:rPr>
        <w:lastRenderedPageBreak/>
        <w:t>Treatment is symptomatic and should focus on keeping the patient hydrated</w:t>
      </w:r>
      <w:r>
        <w:rPr>
          <w:rFonts w:ascii="Arial" w:hAnsi="Arial" w:cs="Arial"/>
        </w:rPr>
        <w:t>.</w:t>
      </w:r>
      <w:r w:rsidRPr="0090539A">
        <w:rPr>
          <w:rFonts w:ascii="Arial" w:hAnsi="Arial" w:cs="Arial"/>
        </w:rPr>
        <w:t xml:space="preserve"> Give advice to practice rigorous personal cleanliness and handwashing at home, and to avoid preparing meals for others. Healthcare personnel and food handlers should be kept home from work, and children should be kept home from childcare and school for at least 48 hours after the diarrhoea has stopped</w:t>
      </w:r>
      <w:r w:rsidR="00450F29">
        <w:rPr>
          <w:rFonts w:ascii="Arial" w:hAnsi="Arial" w:cs="Arial"/>
        </w:rPr>
        <w:t xml:space="preserve"> (Porche,2022)</w:t>
      </w:r>
      <w:r w:rsidRPr="0090539A">
        <w:rPr>
          <w:rFonts w:ascii="Arial" w:hAnsi="Arial" w:cs="Arial"/>
        </w:rPr>
        <w:t>.</w:t>
      </w:r>
    </w:p>
    <w:p w14:paraId="5E07E8BD" w14:textId="0A3BF781" w:rsidR="00BD5675" w:rsidRDefault="00BD5675" w:rsidP="0090539A">
      <w:pPr>
        <w:spacing w:line="360" w:lineRule="auto"/>
        <w:rPr>
          <w:rFonts w:ascii="Arial" w:hAnsi="Arial" w:cs="Arial"/>
        </w:rPr>
      </w:pPr>
      <w:r w:rsidRPr="00BD5675">
        <w:rPr>
          <w:rFonts w:ascii="Arial" w:hAnsi="Arial" w:cs="Arial"/>
        </w:rPr>
        <w:t>A rotavirus vaccine's goal should be to mimic the amount of immunity against sickness that develops following a spontaneous infection. The immunization program's objectives therefore include preventing moderate to severe illness, albeit not necessarily mild disease brought on by rotavirus. A successful rotavirus vaccination will undoubtedly decrease the number of kids admitted to hospitals for dehydration or seen in emergency rooms, but it should also lessen the workload for primary care doctors by reducing the amount of office visits or phone calls relating to rotavirus gastroenteritis (Dennehy, 2008).</w:t>
      </w:r>
    </w:p>
    <w:p w14:paraId="0AE3E4E7" w14:textId="23773FBF" w:rsidR="00657737" w:rsidRDefault="00657737" w:rsidP="0090539A">
      <w:pPr>
        <w:spacing w:line="360" w:lineRule="auto"/>
        <w:rPr>
          <w:rFonts w:ascii="Arial" w:hAnsi="Arial" w:cs="Arial"/>
        </w:rPr>
      </w:pPr>
      <w:r>
        <w:rPr>
          <w:rFonts w:ascii="Arial" w:hAnsi="Arial" w:cs="Arial"/>
        </w:rPr>
        <w:t xml:space="preserve">Conclusion </w:t>
      </w:r>
    </w:p>
    <w:p w14:paraId="30D54AB2" w14:textId="1A70E6C9" w:rsidR="00657737" w:rsidRPr="004B7876" w:rsidRDefault="00657737" w:rsidP="0090539A">
      <w:pPr>
        <w:spacing w:line="360" w:lineRule="auto"/>
        <w:rPr>
          <w:rFonts w:ascii="Arial" w:hAnsi="Arial" w:cs="Arial"/>
        </w:rPr>
      </w:pPr>
      <w:r>
        <w:rPr>
          <w:rFonts w:ascii="Arial" w:hAnsi="Arial" w:cs="Arial"/>
        </w:rPr>
        <w:t xml:space="preserve">Overall, the discussion has incorporated the </w:t>
      </w:r>
      <w:r w:rsidR="00425101">
        <w:rPr>
          <w:rFonts w:ascii="Arial" w:hAnsi="Arial" w:cs="Arial"/>
        </w:rPr>
        <w:t>measures</w:t>
      </w:r>
      <w:r>
        <w:rPr>
          <w:rFonts w:ascii="Arial" w:hAnsi="Arial" w:cs="Arial"/>
        </w:rPr>
        <w:t xml:space="preserve">, monitoring and controlling rotavirus. There are </w:t>
      </w:r>
      <w:r w:rsidR="00425101">
        <w:rPr>
          <w:rFonts w:ascii="Arial" w:hAnsi="Arial" w:cs="Arial"/>
        </w:rPr>
        <w:t xml:space="preserve">vaccines and treatments in place to protect children from rotavirus. However, there are also precautions in place that can be done on a regular basis to prevent children from rotavirus like washing hands regularly. There are safety measures, monitoring and controlling strategies which have been mentioned within the discussion. </w:t>
      </w:r>
    </w:p>
    <w:p w14:paraId="59D48DA3" w14:textId="77777777" w:rsidR="00BC4279" w:rsidRDefault="00BC4279" w:rsidP="00860D14">
      <w:pPr>
        <w:spacing w:line="360" w:lineRule="auto"/>
        <w:rPr>
          <w:rFonts w:ascii="Arial" w:hAnsi="Arial" w:cs="Arial"/>
          <w:b/>
          <w:bCs/>
        </w:rPr>
      </w:pPr>
    </w:p>
    <w:p w14:paraId="26677309" w14:textId="77777777" w:rsidR="00BC4279" w:rsidRDefault="00BC4279" w:rsidP="00860D14">
      <w:pPr>
        <w:spacing w:line="360" w:lineRule="auto"/>
        <w:rPr>
          <w:rFonts w:ascii="Arial" w:hAnsi="Arial" w:cs="Arial"/>
          <w:b/>
          <w:bCs/>
        </w:rPr>
      </w:pPr>
    </w:p>
    <w:p w14:paraId="5E229EE5" w14:textId="77777777" w:rsidR="00BC4279" w:rsidRDefault="00BC4279" w:rsidP="00860D14">
      <w:pPr>
        <w:spacing w:line="360" w:lineRule="auto"/>
        <w:rPr>
          <w:rFonts w:ascii="Arial" w:hAnsi="Arial" w:cs="Arial"/>
          <w:b/>
          <w:bCs/>
        </w:rPr>
      </w:pPr>
    </w:p>
    <w:p w14:paraId="58520FF4" w14:textId="5BD1D01F" w:rsidR="00BC4279" w:rsidRDefault="00BC4279" w:rsidP="00860D14">
      <w:pPr>
        <w:spacing w:line="360" w:lineRule="auto"/>
        <w:rPr>
          <w:rFonts w:ascii="Arial" w:hAnsi="Arial" w:cs="Arial"/>
          <w:b/>
          <w:bCs/>
        </w:rPr>
      </w:pPr>
    </w:p>
    <w:p w14:paraId="1B2A0C08" w14:textId="77777777" w:rsidR="007D3375" w:rsidRDefault="007D3375" w:rsidP="00860D14">
      <w:pPr>
        <w:spacing w:line="360" w:lineRule="auto"/>
        <w:rPr>
          <w:rFonts w:ascii="Arial" w:hAnsi="Arial" w:cs="Arial"/>
          <w:b/>
          <w:bCs/>
        </w:rPr>
      </w:pPr>
    </w:p>
    <w:p w14:paraId="43CCE63F" w14:textId="77777777" w:rsidR="00393CF8" w:rsidRDefault="00393CF8" w:rsidP="00860D14">
      <w:pPr>
        <w:spacing w:line="360" w:lineRule="auto"/>
        <w:rPr>
          <w:rFonts w:ascii="Arial" w:hAnsi="Arial" w:cs="Arial"/>
          <w:b/>
          <w:bCs/>
        </w:rPr>
      </w:pPr>
    </w:p>
    <w:p w14:paraId="5E0E7C2E" w14:textId="77777777" w:rsidR="00393CF8" w:rsidRDefault="00393CF8" w:rsidP="00860D14">
      <w:pPr>
        <w:spacing w:line="360" w:lineRule="auto"/>
        <w:rPr>
          <w:rFonts w:ascii="Arial" w:hAnsi="Arial" w:cs="Arial"/>
          <w:b/>
          <w:bCs/>
        </w:rPr>
      </w:pPr>
    </w:p>
    <w:p w14:paraId="6F396BB6" w14:textId="77777777" w:rsidR="00393CF8" w:rsidRDefault="00393CF8" w:rsidP="00860D14">
      <w:pPr>
        <w:spacing w:line="360" w:lineRule="auto"/>
        <w:rPr>
          <w:rFonts w:ascii="Arial" w:hAnsi="Arial" w:cs="Arial"/>
          <w:b/>
          <w:bCs/>
        </w:rPr>
      </w:pPr>
    </w:p>
    <w:p w14:paraId="7C8976B1" w14:textId="77777777" w:rsidR="00393CF8" w:rsidRDefault="00393CF8" w:rsidP="00860D14">
      <w:pPr>
        <w:spacing w:line="360" w:lineRule="auto"/>
        <w:rPr>
          <w:rFonts w:ascii="Arial" w:hAnsi="Arial" w:cs="Arial"/>
          <w:b/>
          <w:bCs/>
        </w:rPr>
      </w:pPr>
    </w:p>
    <w:p w14:paraId="5B923CFF" w14:textId="77777777" w:rsidR="00657737" w:rsidRDefault="00657737" w:rsidP="00860D14">
      <w:pPr>
        <w:spacing w:line="360" w:lineRule="auto"/>
        <w:rPr>
          <w:rFonts w:ascii="Arial" w:hAnsi="Arial" w:cs="Arial"/>
          <w:b/>
          <w:bCs/>
        </w:rPr>
      </w:pPr>
    </w:p>
    <w:p w14:paraId="1EF7D1D2" w14:textId="284166A6" w:rsidR="00657737" w:rsidRPr="00657737" w:rsidRDefault="00BC4279" w:rsidP="00657737">
      <w:pPr>
        <w:spacing w:line="360" w:lineRule="auto"/>
        <w:rPr>
          <w:rFonts w:ascii="Arial" w:hAnsi="Arial" w:cs="Arial"/>
          <w:b/>
          <w:bCs/>
        </w:rPr>
      </w:pPr>
      <w:r>
        <w:rPr>
          <w:rFonts w:ascii="Arial" w:hAnsi="Arial" w:cs="Arial"/>
          <w:b/>
          <w:bCs/>
        </w:rPr>
        <w:t xml:space="preserve">References </w:t>
      </w:r>
    </w:p>
    <w:p w14:paraId="24392115" w14:textId="77777777" w:rsidR="00657737" w:rsidRDefault="00657737" w:rsidP="004B7876">
      <w:pPr>
        <w:pStyle w:val="NormalWeb"/>
        <w:spacing w:before="0" w:beforeAutospacing="0" w:after="0" w:afterAutospacing="0" w:line="480" w:lineRule="auto"/>
        <w:ind w:hanging="720"/>
      </w:pPr>
      <w:r>
        <w:lastRenderedPageBreak/>
        <w:t xml:space="preserve">“Rotavirus Antigen by EIA | ARUP Laboratories Test Directory.” </w:t>
      </w:r>
      <w:r>
        <w:rPr>
          <w:i/>
          <w:iCs/>
        </w:rPr>
        <w:t>Ltd.aruplab.com</w:t>
      </w:r>
      <w:r>
        <w:t>, ltd.aruplab.com/Tests/Pub/0065088.[ Accessed 4 Mar. 2023].</w:t>
      </w:r>
    </w:p>
    <w:p w14:paraId="3EB6FA85" w14:textId="77777777" w:rsidR="00657737" w:rsidRDefault="00657737" w:rsidP="00860D1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Badur</w:t>
      </w:r>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Öztürk</w:t>
      </w:r>
      <w:proofErr w:type="spellEnd"/>
      <w:r>
        <w:rPr>
          <w:rFonts w:ascii="Arial" w:hAnsi="Arial" w:cs="Arial"/>
          <w:color w:val="222222"/>
          <w:sz w:val="20"/>
          <w:szCs w:val="20"/>
          <w:shd w:val="clear" w:color="auto" w:fill="FFFFFF"/>
        </w:rPr>
        <w:t xml:space="preserve">, S., Pereira, P., </w:t>
      </w:r>
      <w:proofErr w:type="spellStart"/>
      <w:r>
        <w:rPr>
          <w:rFonts w:ascii="Arial" w:hAnsi="Arial" w:cs="Arial"/>
          <w:color w:val="222222"/>
          <w:sz w:val="20"/>
          <w:szCs w:val="20"/>
          <w:shd w:val="clear" w:color="auto" w:fill="FFFFFF"/>
        </w:rPr>
        <w:t>AbdelGhany</w:t>
      </w:r>
      <w:proofErr w:type="spellEnd"/>
      <w:r>
        <w:rPr>
          <w:rFonts w:ascii="Arial" w:hAnsi="Arial" w:cs="Arial"/>
          <w:color w:val="222222"/>
          <w:sz w:val="20"/>
          <w:szCs w:val="20"/>
          <w:shd w:val="clear" w:color="auto" w:fill="FFFFFF"/>
        </w:rPr>
        <w:t xml:space="preserve">, M., Khalaf, M., </w:t>
      </w:r>
      <w:proofErr w:type="spellStart"/>
      <w:r>
        <w:rPr>
          <w:rFonts w:ascii="Arial" w:hAnsi="Arial" w:cs="Arial"/>
          <w:color w:val="222222"/>
          <w:sz w:val="20"/>
          <w:szCs w:val="20"/>
          <w:shd w:val="clear" w:color="auto" w:fill="FFFFFF"/>
        </w:rPr>
        <w:t>Lagoubi</w:t>
      </w:r>
      <w:proofErr w:type="spellEnd"/>
      <w:r>
        <w:rPr>
          <w:rFonts w:ascii="Arial" w:hAnsi="Arial" w:cs="Arial"/>
          <w:color w:val="222222"/>
          <w:sz w:val="20"/>
          <w:szCs w:val="20"/>
          <w:shd w:val="clear" w:color="auto" w:fill="FFFFFF"/>
        </w:rPr>
        <w:t xml:space="preserve">, Y., </w:t>
      </w:r>
      <w:proofErr w:type="spellStart"/>
      <w:r>
        <w:rPr>
          <w:rFonts w:ascii="Arial" w:hAnsi="Arial" w:cs="Arial"/>
          <w:color w:val="222222"/>
          <w:sz w:val="20"/>
          <w:szCs w:val="20"/>
          <w:shd w:val="clear" w:color="auto" w:fill="FFFFFF"/>
        </w:rPr>
        <w:t>Ozudogru</w:t>
      </w:r>
      <w:proofErr w:type="spellEnd"/>
      <w:r>
        <w:rPr>
          <w:rFonts w:ascii="Arial" w:hAnsi="Arial" w:cs="Arial"/>
          <w:color w:val="222222"/>
          <w:sz w:val="20"/>
          <w:szCs w:val="20"/>
          <w:shd w:val="clear" w:color="auto" w:fill="FFFFFF"/>
        </w:rPr>
        <w:t xml:space="preserve">, O., Hanif, K. and </w:t>
      </w:r>
      <w:proofErr w:type="spellStart"/>
      <w:r>
        <w:rPr>
          <w:rFonts w:ascii="Arial" w:hAnsi="Arial" w:cs="Arial"/>
          <w:color w:val="222222"/>
          <w:sz w:val="20"/>
          <w:szCs w:val="20"/>
          <w:shd w:val="clear" w:color="auto" w:fill="FFFFFF"/>
        </w:rPr>
        <w:t>Saha</w:t>
      </w:r>
      <w:proofErr w:type="spellEnd"/>
      <w:r>
        <w:rPr>
          <w:rFonts w:ascii="Arial" w:hAnsi="Arial" w:cs="Arial"/>
          <w:color w:val="222222"/>
          <w:sz w:val="20"/>
          <w:szCs w:val="20"/>
          <w:shd w:val="clear" w:color="auto" w:fill="FFFFFF"/>
        </w:rPr>
        <w:t>, D., 2019. Systematic review of the rotavirus infection burden in the WHO-EMRO region. </w:t>
      </w:r>
      <w:r>
        <w:rPr>
          <w:rFonts w:ascii="Arial" w:hAnsi="Arial" w:cs="Arial"/>
          <w:i/>
          <w:iCs/>
          <w:color w:val="222222"/>
          <w:sz w:val="20"/>
          <w:szCs w:val="20"/>
          <w:shd w:val="clear" w:color="auto" w:fill="FFFFFF"/>
        </w:rPr>
        <w:t xml:space="preserve">Human vaccines &amp; </w:t>
      </w:r>
      <w:proofErr w:type="spellStart"/>
      <w:r>
        <w:rPr>
          <w:rFonts w:ascii="Arial" w:hAnsi="Arial" w:cs="Arial"/>
          <w:i/>
          <w:iCs/>
          <w:color w:val="222222"/>
          <w:sz w:val="20"/>
          <w:szCs w:val="20"/>
          <w:shd w:val="clear" w:color="auto" w:fill="FFFFFF"/>
        </w:rPr>
        <w:t>immunotherapeutics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(11), pp.2754-2768.</w:t>
      </w:r>
    </w:p>
    <w:p w14:paraId="0CB59CA2" w14:textId="77777777" w:rsidR="00657737" w:rsidRDefault="00657737" w:rsidP="00860D14">
      <w:pPr>
        <w:spacing w:line="360" w:lineRule="auto"/>
        <w:rPr>
          <w:rFonts w:ascii="Arial" w:hAnsi="Arial" w:cs="Arial"/>
          <w:color w:val="222222"/>
          <w:sz w:val="20"/>
          <w:szCs w:val="20"/>
          <w:shd w:val="clear" w:color="auto" w:fill="FFFFFF"/>
        </w:rPr>
      </w:pPr>
      <w:bookmarkStart w:id="0" w:name="_Hlk128833789"/>
      <w:r>
        <w:rPr>
          <w:rFonts w:ascii="Arial" w:hAnsi="Arial" w:cs="Arial"/>
          <w:color w:val="222222"/>
          <w:sz w:val="20"/>
          <w:szCs w:val="20"/>
          <w:shd w:val="clear" w:color="auto" w:fill="FFFFFF"/>
        </w:rPr>
        <w:t>Balasubramanian</w:t>
      </w:r>
      <w:bookmarkEnd w:id="0"/>
      <w:r>
        <w:rPr>
          <w:rFonts w:ascii="Arial" w:hAnsi="Arial" w:cs="Arial"/>
          <w:color w:val="222222"/>
          <w:sz w:val="20"/>
          <w:szCs w:val="20"/>
          <w:shd w:val="clear" w:color="auto" w:fill="FFFFFF"/>
        </w:rPr>
        <w:t xml:space="preserve">, S., Shah, A., </w:t>
      </w:r>
      <w:proofErr w:type="spellStart"/>
      <w:r>
        <w:rPr>
          <w:rFonts w:ascii="Arial" w:hAnsi="Arial" w:cs="Arial"/>
          <w:color w:val="222222"/>
          <w:sz w:val="20"/>
          <w:szCs w:val="20"/>
          <w:shd w:val="clear" w:color="auto" w:fill="FFFFFF"/>
        </w:rPr>
        <w:t>Pemde</w:t>
      </w:r>
      <w:proofErr w:type="spellEnd"/>
      <w:r>
        <w:rPr>
          <w:rFonts w:ascii="Arial" w:hAnsi="Arial" w:cs="Arial"/>
          <w:color w:val="222222"/>
          <w:sz w:val="20"/>
          <w:szCs w:val="20"/>
          <w:shd w:val="clear" w:color="auto" w:fill="FFFFFF"/>
        </w:rPr>
        <w:t xml:space="preserve">, H.K., Chatterjee, P., </w:t>
      </w:r>
      <w:proofErr w:type="spellStart"/>
      <w:r>
        <w:rPr>
          <w:rFonts w:ascii="Arial" w:hAnsi="Arial" w:cs="Arial"/>
          <w:color w:val="222222"/>
          <w:sz w:val="20"/>
          <w:szCs w:val="20"/>
          <w:shd w:val="clear" w:color="auto" w:fill="FFFFFF"/>
        </w:rPr>
        <w:t>Shivananda</w:t>
      </w:r>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Guduru</w:t>
      </w:r>
      <w:proofErr w:type="spellEnd"/>
      <w:r>
        <w:rPr>
          <w:rFonts w:ascii="Arial" w:hAnsi="Arial" w:cs="Arial"/>
          <w:color w:val="222222"/>
          <w:sz w:val="20"/>
          <w:szCs w:val="20"/>
          <w:shd w:val="clear" w:color="auto" w:fill="FFFFFF"/>
        </w:rPr>
        <w:t xml:space="preserve">, V.K., </w:t>
      </w:r>
      <w:proofErr w:type="spellStart"/>
      <w:r>
        <w:rPr>
          <w:rFonts w:ascii="Arial" w:hAnsi="Arial" w:cs="Arial"/>
          <w:color w:val="222222"/>
          <w:sz w:val="20"/>
          <w:szCs w:val="20"/>
          <w:shd w:val="clear" w:color="auto" w:fill="FFFFFF"/>
        </w:rPr>
        <w:t>Soans</w:t>
      </w:r>
      <w:proofErr w:type="spellEnd"/>
      <w:r>
        <w:rPr>
          <w:rFonts w:ascii="Arial" w:hAnsi="Arial" w:cs="Arial"/>
          <w:color w:val="222222"/>
          <w:sz w:val="20"/>
          <w:szCs w:val="20"/>
          <w:shd w:val="clear" w:color="auto" w:fill="FFFFFF"/>
        </w:rPr>
        <w:t xml:space="preserve">, S., Shastri, D. and Kumar, R., 2018. Indian academy of </w:t>
      </w:r>
      <w:proofErr w:type="spellStart"/>
      <w:r>
        <w:rPr>
          <w:rFonts w:ascii="Arial" w:hAnsi="Arial" w:cs="Arial"/>
          <w:color w:val="222222"/>
          <w:sz w:val="20"/>
          <w:szCs w:val="20"/>
          <w:shd w:val="clear" w:color="auto" w:fill="FFFFFF"/>
        </w:rPr>
        <w:t>pediatrics</w:t>
      </w:r>
      <w:proofErr w:type="spellEnd"/>
      <w:r>
        <w:rPr>
          <w:rFonts w:ascii="Arial" w:hAnsi="Arial" w:cs="Arial"/>
          <w:color w:val="222222"/>
          <w:sz w:val="20"/>
          <w:szCs w:val="20"/>
          <w:shd w:val="clear" w:color="auto" w:fill="FFFFFF"/>
        </w:rPr>
        <w:t xml:space="preserve"> (IAP) advisory committee on vaccines and immunization practices (ACVIP) recommended immunization schedule (2018-19) and update on immunization for children aged 0 through 18 years. </w:t>
      </w:r>
      <w:r>
        <w:rPr>
          <w:rFonts w:ascii="Arial" w:hAnsi="Arial" w:cs="Arial"/>
          <w:i/>
          <w:iCs/>
          <w:color w:val="222222"/>
          <w:sz w:val="20"/>
          <w:szCs w:val="20"/>
          <w:shd w:val="clear" w:color="auto" w:fill="FFFFFF"/>
        </w:rPr>
        <w:t xml:space="preserve">Indian </w:t>
      </w:r>
      <w:proofErr w:type="spellStart"/>
      <w:r>
        <w:rPr>
          <w:rFonts w:ascii="Arial" w:hAnsi="Arial" w:cs="Arial"/>
          <w:i/>
          <w:iCs/>
          <w:color w:val="222222"/>
          <w:sz w:val="20"/>
          <w:szCs w:val="20"/>
          <w:shd w:val="clear" w:color="auto" w:fill="FFFFFF"/>
        </w:rPr>
        <w:t>pediatrics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 pp.1066-1074.</w:t>
      </w:r>
    </w:p>
    <w:p w14:paraId="2E469DF0" w14:textId="77777777" w:rsidR="00657737" w:rsidRDefault="00657737" w:rsidP="00860D1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Bonville, C., </w:t>
      </w:r>
      <w:proofErr w:type="spellStart"/>
      <w:r>
        <w:rPr>
          <w:rFonts w:ascii="Arial" w:hAnsi="Arial" w:cs="Arial"/>
          <w:color w:val="222222"/>
          <w:sz w:val="20"/>
          <w:szCs w:val="20"/>
          <w:shd w:val="clear" w:color="auto" w:fill="FFFFFF"/>
        </w:rPr>
        <w:t>Domachowske</w:t>
      </w:r>
      <w:proofErr w:type="spellEnd"/>
      <w:r>
        <w:rPr>
          <w:rFonts w:ascii="Arial" w:hAnsi="Arial" w:cs="Arial"/>
          <w:color w:val="222222"/>
          <w:sz w:val="20"/>
          <w:szCs w:val="20"/>
          <w:shd w:val="clear" w:color="auto" w:fill="FFFFFF"/>
        </w:rPr>
        <w:t xml:space="preserve">, J. and </w:t>
      </w:r>
      <w:proofErr w:type="spellStart"/>
      <w:r>
        <w:rPr>
          <w:rFonts w:ascii="Arial" w:hAnsi="Arial" w:cs="Arial"/>
          <w:color w:val="222222"/>
          <w:sz w:val="20"/>
          <w:szCs w:val="20"/>
          <w:shd w:val="clear" w:color="auto" w:fill="FFFFFF"/>
        </w:rPr>
        <w:t>Suryadevara</w:t>
      </w:r>
      <w:proofErr w:type="spellEnd"/>
      <w:r>
        <w:rPr>
          <w:rFonts w:ascii="Arial" w:hAnsi="Arial" w:cs="Arial"/>
          <w:color w:val="222222"/>
          <w:sz w:val="20"/>
          <w:szCs w:val="20"/>
          <w:shd w:val="clear" w:color="auto" w:fill="FFFFFF"/>
        </w:rPr>
        <w:t xml:space="preserve">, M., 2020. Rotavirus Infection </w:t>
      </w:r>
      <w:proofErr w:type="spellStart"/>
      <w:r>
        <w:rPr>
          <w:rFonts w:ascii="Arial" w:hAnsi="Arial" w:cs="Arial"/>
          <w:color w:val="222222"/>
          <w:sz w:val="20"/>
          <w:szCs w:val="20"/>
          <w:shd w:val="clear" w:color="auto" w:fill="FFFFFF"/>
        </w:rPr>
        <w:t>Etiology</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Vaccines: A Clinical Overview and Practical Guide</w:t>
      </w:r>
      <w:r>
        <w:rPr>
          <w:rFonts w:ascii="Arial" w:hAnsi="Arial" w:cs="Arial"/>
          <w:color w:val="222222"/>
          <w:sz w:val="20"/>
          <w:szCs w:val="20"/>
          <w:shd w:val="clear" w:color="auto" w:fill="FFFFFF"/>
        </w:rPr>
        <w:t>, p.313.</w:t>
      </w:r>
    </w:p>
    <w:p w14:paraId="6625C4AC" w14:textId="77777777" w:rsidR="00657737" w:rsidRDefault="00657737" w:rsidP="00860D1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Buttery, J.P., Lambert, S.B., </w:t>
      </w:r>
      <w:proofErr w:type="spellStart"/>
      <w:r>
        <w:rPr>
          <w:rFonts w:ascii="Arial" w:hAnsi="Arial" w:cs="Arial"/>
          <w:color w:val="222222"/>
          <w:sz w:val="20"/>
          <w:szCs w:val="20"/>
          <w:shd w:val="clear" w:color="auto" w:fill="FFFFFF"/>
        </w:rPr>
        <w:t>Grimwood</w:t>
      </w:r>
      <w:proofErr w:type="spellEnd"/>
      <w:r>
        <w:rPr>
          <w:rFonts w:ascii="Arial" w:hAnsi="Arial" w:cs="Arial"/>
          <w:color w:val="222222"/>
          <w:sz w:val="20"/>
          <w:szCs w:val="20"/>
          <w:shd w:val="clear" w:color="auto" w:fill="FFFFFF"/>
        </w:rPr>
        <w:t xml:space="preserve">, K., Nissen, M.D., Field, E.J., Macartney, K.K., </w:t>
      </w:r>
      <w:proofErr w:type="spellStart"/>
      <w:r>
        <w:rPr>
          <w:rFonts w:ascii="Arial" w:hAnsi="Arial" w:cs="Arial"/>
          <w:color w:val="222222"/>
          <w:sz w:val="20"/>
          <w:szCs w:val="20"/>
          <w:shd w:val="clear" w:color="auto" w:fill="FFFFFF"/>
        </w:rPr>
        <w:t>Akikusa</w:t>
      </w:r>
      <w:proofErr w:type="spellEnd"/>
      <w:r>
        <w:rPr>
          <w:rFonts w:ascii="Arial" w:hAnsi="Arial" w:cs="Arial"/>
          <w:color w:val="222222"/>
          <w:sz w:val="20"/>
          <w:szCs w:val="20"/>
          <w:shd w:val="clear" w:color="auto" w:fill="FFFFFF"/>
        </w:rPr>
        <w:t>, J.D., Kelly, J.J. and Kirkwood, C.D., 2011. Reduction in rotavirus-associated acute gastroenteritis following introduction of rotavirus vaccine into Australia's National Childhood vaccine schedule. </w:t>
      </w:r>
      <w:r>
        <w:rPr>
          <w:rFonts w:ascii="Arial" w:hAnsi="Arial" w:cs="Arial"/>
          <w:i/>
          <w:iCs/>
          <w:color w:val="222222"/>
          <w:sz w:val="20"/>
          <w:szCs w:val="20"/>
          <w:shd w:val="clear" w:color="auto" w:fill="FFFFFF"/>
        </w:rPr>
        <w:t xml:space="preserve">The </w:t>
      </w:r>
      <w:proofErr w:type="spellStart"/>
      <w:r>
        <w:rPr>
          <w:rFonts w:ascii="Arial" w:hAnsi="Arial" w:cs="Arial"/>
          <w:i/>
          <w:iCs/>
          <w:color w:val="222222"/>
          <w:sz w:val="20"/>
          <w:szCs w:val="20"/>
          <w:shd w:val="clear" w:color="auto" w:fill="FFFFFF"/>
        </w:rPr>
        <w:t>Pediatric</w:t>
      </w:r>
      <w:proofErr w:type="spellEnd"/>
      <w:r>
        <w:rPr>
          <w:rFonts w:ascii="Arial" w:hAnsi="Arial" w:cs="Arial"/>
          <w:i/>
          <w:iCs/>
          <w:color w:val="222222"/>
          <w:sz w:val="20"/>
          <w:szCs w:val="20"/>
          <w:shd w:val="clear" w:color="auto" w:fill="FFFFFF"/>
        </w:rPr>
        <w:t xml:space="preserve"> infectious disease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(1), pp.S25-S29.</w:t>
      </w:r>
    </w:p>
    <w:p w14:paraId="51F6D512" w14:textId="77777777" w:rsidR="00657737" w:rsidRDefault="00657737" w:rsidP="00860D14">
      <w:pPr>
        <w:spacing w:line="360" w:lineRule="auto"/>
        <w:rPr>
          <w:rFonts w:ascii="Arial" w:hAnsi="Arial" w:cs="Arial"/>
          <w:color w:val="222222"/>
          <w:sz w:val="20"/>
          <w:szCs w:val="20"/>
          <w:shd w:val="clear" w:color="auto" w:fill="FFFFFF"/>
        </w:rPr>
      </w:pPr>
      <w:r>
        <w:rPr>
          <w:rFonts w:ascii="Arial" w:hAnsi="Arial" w:cs="Arial"/>
          <w:b/>
          <w:bCs/>
        </w:rPr>
        <w:t xml:space="preserve"> </w:t>
      </w:r>
      <w:r>
        <w:rPr>
          <w:rFonts w:ascii="Arial" w:hAnsi="Arial" w:cs="Arial"/>
          <w:color w:val="222222"/>
          <w:sz w:val="20"/>
          <w:szCs w:val="20"/>
          <w:shd w:val="clear" w:color="auto" w:fill="FFFFFF"/>
        </w:rPr>
        <w:t>Dennehy, P.H., 2008. Rotavirus vaccines: an overview. </w:t>
      </w:r>
      <w:r>
        <w:rPr>
          <w:rFonts w:ascii="Arial" w:hAnsi="Arial" w:cs="Arial"/>
          <w:i/>
          <w:iCs/>
          <w:color w:val="222222"/>
          <w:sz w:val="20"/>
          <w:szCs w:val="20"/>
          <w:shd w:val="clear" w:color="auto" w:fill="FFFFFF"/>
        </w:rPr>
        <w:t>Clinical microbiology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pp.198-208.</w:t>
      </w:r>
    </w:p>
    <w:p w14:paraId="05590489" w14:textId="77777777" w:rsidR="00657737" w:rsidRDefault="00657737" w:rsidP="00860D1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Gower, C.M., Dunning, J., Nawaz, S., Allen, D., Ramsay, M.E. and </w:t>
      </w:r>
      <w:proofErr w:type="spellStart"/>
      <w:r>
        <w:rPr>
          <w:rFonts w:ascii="Arial" w:hAnsi="Arial" w:cs="Arial"/>
          <w:color w:val="222222"/>
          <w:sz w:val="20"/>
          <w:szCs w:val="20"/>
          <w:shd w:val="clear" w:color="auto" w:fill="FFFFFF"/>
        </w:rPr>
        <w:t>Ladhani</w:t>
      </w:r>
      <w:proofErr w:type="spellEnd"/>
      <w:r>
        <w:rPr>
          <w:rFonts w:ascii="Arial" w:hAnsi="Arial" w:cs="Arial"/>
          <w:color w:val="222222"/>
          <w:sz w:val="20"/>
          <w:szCs w:val="20"/>
          <w:shd w:val="clear" w:color="auto" w:fill="FFFFFF"/>
        </w:rPr>
        <w:t>, S., 2020. Vaccine-derived rotavirus strains in infants in England. </w:t>
      </w:r>
      <w:r>
        <w:rPr>
          <w:rFonts w:ascii="Arial" w:hAnsi="Arial" w:cs="Arial"/>
          <w:i/>
          <w:iCs/>
          <w:color w:val="222222"/>
          <w:sz w:val="20"/>
          <w:szCs w:val="20"/>
          <w:shd w:val="clear" w:color="auto" w:fill="FFFFFF"/>
        </w:rPr>
        <w:t>Archives of Disease in Childhood</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105</w:t>
      </w:r>
      <w:r>
        <w:rPr>
          <w:rFonts w:ascii="Arial" w:hAnsi="Arial" w:cs="Arial"/>
          <w:color w:val="222222"/>
          <w:sz w:val="20"/>
          <w:szCs w:val="20"/>
          <w:shd w:val="clear" w:color="auto" w:fill="FFFFFF"/>
        </w:rPr>
        <w:t>(6), pp.553-557.</w:t>
      </w:r>
    </w:p>
    <w:p w14:paraId="430FABF3" w14:textId="77777777" w:rsidR="00657737" w:rsidRDefault="00657737" w:rsidP="00860D1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Hellysaz</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Hagbom</w:t>
      </w:r>
      <w:proofErr w:type="spellEnd"/>
      <w:r>
        <w:rPr>
          <w:rFonts w:ascii="Arial" w:hAnsi="Arial" w:cs="Arial"/>
          <w:color w:val="222222"/>
          <w:sz w:val="20"/>
          <w:szCs w:val="20"/>
          <w:shd w:val="clear" w:color="auto" w:fill="FFFFFF"/>
        </w:rPr>
        <w:t>, M., 2021. Understanding the central nervous system symptoms of rotavirus: a qualitative review. </w:t>
      </w:r>
      <w:r>
        <w:rPr>
          <w:rFonts w:ascii="Arial" w:hAnsi="Arial" w:cs="Arial"/>
          <w:i/>
          <w:iCs/>
          <w:color w:val="222222"/>
          <w:sz w:val="20"/>
          <w:szCs w:val="20"/>
          <w:shd w:val="clear" w:color="auto" w:fill="FFFFFF"/>
        </w:rPr>
        <w:t>Viruses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(4), p.658.</w:t>
      </w:r>
    </w:p>
    <w:p w14:paraId="4B445B40" w14:textId="77777777" w:rsidR="00657737" w:rsidRPr="00BC4279" w:rsidRDefault="00657737" w:rsidP="00860D14">
      <w:pPr>
        <w:spacing w:line="360" w:lineRule="auto"/>
        <w:rPr>
          <w:rFonts w:ascii="Arial" w:hAnsi="Arial" w:cs="Arial"/>
          <w:b/>
          <w:bCs/>
        </w:rPr>
      </w:pPr>
      <w:proofErr w:type="spellStart"/>
      <w:r>
        <w:rPr>
          <w:rFonts w:ascii="Arial" w:hAnsi="Arial" w:cs="Arial"/>
          <w:color w:val="222222"/>
          <w:sz w:val="20"/>
          <w:szCs w:val="20"/>
          <w:shd w:val="clear" w:color="auto" w:fill="FFFFFF"/>
        </w:rPr>
        <w:t>Mutlak</w:t>
      </w:r>
      <w:proofErr w:type="spellEnd"/>
      <w:r>
        <w:rPr>
          <w:rFonts w:ascii="Arial" w:hAnsi="Arial" w:cs="Arial"/>
          <w:color w:val="222222"/>
          <w:sz w:val="20"/>
          <w:szCs w:val="20"/>
          <w:shd w:val="clear" w:color="auto" w:fill="FFFFFF"/>
        </w:rPr>
        <w:t xml:space="preserve">, Q.M., </w:t>
      </w:r>
      <w:proofErr w:type="spellStart"/>
      <w:r>
        <w:rPr>
          <w:rFonts w:ascii="Arial" w:hAnsi="Arial" w:cs="Arial"/>
          <w:color w:val="222222"/>
          <w:sz w:val="20"/>
          <w:szCs w:val="20"/>
          <w:shd w:val="clear" w:color="auto" w:fill="FFFFFF"/>
        </w:rPr>
        <w:t>Abdulridha</w:t>
      </w:r>
      <w:proofErr w:type="spellEnd"/>
      <w:r>
        <w:rPr>
          <w:rFonts w:ascii="Arial" w:hAnsi="Arial" w:cs="Arial"/>
          <w:color w:val="222222"/>
          <w:sz w:val="20"/>
          <w:szCs w:val="20"/>
          <w:shd w:val="clear" w:color="auto" w:fill="FFFFFF"/>
        </w:rPr>
        <w:t>, M.K. and Al-</w:t>
      </w:r>
      <w:proofErr w:type="spellStart"/>
      <w:r>
        <w:rPr>
          <w:rFonts w:ascii="Arial" w:hAnsi="Arial" w:cs="Arial"/>
          <w:color w:val="222222"/>
          <w:sz w:val="20"/>
          <w:szCs w:val="20"/>
          <w:shd w:val="clear" w:color="auto" w:fill="FFFFFF"/>
        </w:rPr>
        <w:t>Huseini</w:t>
      </w:r>
      <w:proofErr w:type="spellEnd"/>
      <w:r>
        <w:rPr>
          <w:rFonts w:ascii="Arial" w:hAnsi="Arial" w:cs="Arial"/>
          <w:color w:val="222222"/>
          <w:sz w:val="20"/>
          <w:szCs w:val="20"/>
          <w:shd w:val="clear" w:color="auto" w:fill="FFFFFF"/>
        </w:rPr>
        <w:t xml:space="preserve">, L.M.A., 2021. Study the Distribution of Rotavirus Genotypes in Vaccinated and </w:t>
      </w:r>
      <w:proofErr w:type="spellStart"/>
      <w:r>
        <w:rPr>
          <w:rFonts w:ascii="Arial" w:hAnsi="Arial" w:cs="Arial"/>
          <w:color w:val="222222"/>
          <w:sz w:val="20"/>
          <w:szCs w:val="20"/>
          <w:shd w:val="clear" w:color="auto" w:fill="FFFFFF"/>
        </w:rPr>
        <w:t>non Vaccinated</w:t>
      </w:r>
      <w:proofErr w:type="spellEnd"/>
      <w:r>
        <w:rPr>
          <w:rFonts w:ascii="Arial" w:hAnsi="Arial" w:cs="Arial"/>
          <w:color w:val="222222"/>
          <w:sz w:val="20"/>
          <w:szCs w:val="20"/>
          <w:shd w:val="clear" w:color="auto" w:fill="FFFFFF"/>
        </w:rPr>
        <w:t xml:space="preserve"> Children in Babylon Province. </w:t>
      </w:r>
      <w:r>
        <w:rPr>
          <w:rFonts w:ascii="Arial" w:hAnsi="Arial" w:cs="Arial"/>
          <w:i/>
          <w:iCs/>
          <w:color w:val="222222"/>
          <w:sz w:val="20"/>
          <w:szCs w:val="20"/>
          <w:shd w:val="clear" w:color="auto" w:fill="FFFFFF"/>
        </w:rPr>
        <w:t>Iraqi Journal of Pharmaceutical Sciences (P-ISSN 1683-3597 E-ISSN 2521-3512)</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(2), pp.167-176.</w:t>
      </w:r>
    </w:p>
    <w:p w14:paraId="186D7527" w14:textId="77777777" w:rsidR="00657737" w:rsidRDefault="00657737" w:rsidP="00860D14">
      <w:pPr>
        <w:spacing w:line="360" w:lineRule="auto"/>
        <w:rPr>
          <w:rFonts w:ascii="Arial" w:hAnsi="Arial" w:cs="Arial"/>
          <w:color w:val="222222"/>
          <w:sz w:val="20"/>
          <w:szCs w:val="20"/>
          <w:shd w:val="clear" w:color="auto" w:fill="FFFFFF"/>
        </w:rPr>
      </w:pPr>
      <w:bookmarkStart w:id="1" w:name="_Hlk128833108"/>
      <w:proofErr w:type="spellStart"/>
      <w:r>
        <w:rPr>
          <w:rFonts w:ascii="Arial" w:hAnsi="Arial" w:cs="Arial"/>
          <w:color w:val="222222"/>
          <w:sz w:val="20"/>
          <w:szCs w:val="20"/>
          <w:shd w:val="clear" w:color="auto" w:fill="FFFFFF"/>
        </w:rPr>
        <w:t>Nakagomi</w:t>
      </w:r>
      <w:proofErr w:type="spellEnd"/>
      <w:r>
        <w:rPr>
          <w:rFonts w:ascii="Arial" w:hAnsi="Arial" w:cs="Arial"/>
          <w:color w:val="222222"/>
          <w:sz w:val="20"/>
          <w:szCs w:val="20"/>
          <w:shd w:val="clear" w:color="auto" w:fill="FFFFFF"/>
        </w:rPr>
        <w:t>,</w:t>
      </w:r>
      <w:bookmarkEnd w:id="1"/>
      <w:r>
        <w:rPr>
          <w:rFonts w:ascii="Arial" w:hAnsi="Arial" w:cs="Arial"/>
          <w:color w:val="222222"/>
          <w:sz w:val="20"/>
          <w:szCs w:val="20"/>
          <w:shd w:val="clear" w:color="auto" w:fill="FFFFFF"/>
        </w:rPr>
        <w:t xml:space="preserve"> T. and </w:t>
      </w:r>
      <w:proofErr w:type="spellStart"/>
      <w:r>
        <w:rPr>
          <w:rFonts w:ascii="Arial" w:hAnsi="Arial" w:cs="Arial"/>
          <w:color w:val="222222"/>
          <w:sz w:val="20"/>
          <w:szCs w:val="20"/>
          <w:shd w:val="clear" w:color="auto" w:fill="FFFFFF"/>
        </w:rPr>
        <w:t>Nakagomi</w:t>
      </w:r>
      <w:proofErr w:type="spellEnd"/>
      <w:r>
        <w:rPr>
          <w:rFonts w:ascii="Arial" w:hAnsi="Arial" w:cs="Arial"/>
          <w:color w:val="222222"/>
          <w:sz w:val="20"/>
          <w:szCs w:val="20"/>
          <w:shd w:val="clear" w:color="auto" w:fill="FFFFFF"/>
        </w:rPr>
        <w:t>, O., 2009. A critical review on a globally-licensed, live, orally-administrable, monovalent human rotavirus vaccine: Rotarix. </w:t>
      </w:r>
      <w:r>
        <w:rPr>
          <w:rFonts w:ascii="Arial" w:hAnsi="Arial" w:cs="Arial"/>
          <w:i/>
          <w:iCs/>
          <w:color w:val="222222"/>
          <w:sz w:val="20"/>
          <w:szCs w:val="20"/>
          <w:shd w:val="clear" w:color="auto" w:fill="FFFFFF"/>
        </w:rPr>
        <w:t>Expert opinion on biological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(8), pp.1073-1086.</w:t>
      </w:r>
    </w:p>
    <w:p w14:paraId="3A3416E9" w14:textId="77777777" w:rsidR="00657737" w:rsidRDefault="00657737" w:rsidP="00860D1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Owen, L. and Laird, K., 2020. The role of textiles as fomites in the healthcare environment: A review of the infection control risk. </w:t>
      </w:r>
      <w:proofErr w:type="spellStart"/>
      <w:r>
        <w:rPr>
          <w:rFonts w:ascii="Arial" w:hAnsi="Arial" w:cs="Arial"/>
          <w:i/>
          <w:iCs/>
          <w:color w:val="222222"/>
          <w:sz w:val="20"/>
          <w:szCs w:val="20"/>
          <w:shd w:val="clear" w:color="auto" w:fill="FFFFFF"/>
        </w:rPr>
        <w:t>PeerJ</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 p.e9790.</w:t>
      </w:r>
    </w:p>
    <w:p w14:paraId="7B5FB5E4" w14:textId="77777777" w:rsidR="00657737" w:rsidRDefault="00657737" w:rsidP="00860D1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Pereira, P., Vetter, V., </w:t>
      </w:r>
      <w:proofErr w:type="spellStart"/>
      <w:r>
        <w:rPr>
          <w:rFonts w:ascii="Arial" w:hAnsi="Arial" w:cs="Arial"/>
          <w:color w:val="222222"/>
          <w:sz w:val="20"/>
          <w:szCs w:val="20"/>
          <w:shd w:val="clear" w:color="auto" w:fill="FFFFFF"/>
        </w:rPr>
        <w:t>Standaert</w:t>
      </w:r>
      <w:proofErr w:type="spellEnd"/>
      <w:r>
        <w:rPr>
          <w:rFonts w:ascii="Arial" w:hAnsi="Arial" w:cs="Arial"/>
          <w:color w:val="222222"/>
          <w:sz w:val="20"/>
          <w:szCs w:val="20"/>
          <w:shd w:val="clear" w:color="auto" w:fill="FFFFFF"/>
        </w:rPr>
        <w:t xml:space="preserve">, B. and </w:t>
      </w:r>
      <w:proofErr w:type="spellStart"/>
      <w:r>
        <w:rPr>
          <w:rFonts w:ascii="Arial" w:hAnsi="Arial" w:cs="Arial"/>
          <w:color w:val="222222"/>
          <w:sz w:val="20"/>
          <w:szCs w:val="20"/>
          <w:shd w:val="clear" w:color="auto" w:fill="FFFFFF"/>
        </w:rPr>
        <w:t>Benninghoff</w:t>
      </w:r>
      <w:proofErr w:type="spellEnd"/>
      <w:r>
        <w:rPr>
          <w:rFonts w:ascii="Arial" w:hAnsi="Arial" w:cs="Arial"/>
          <w:color w:val="222222"/>
          <w:sz w:val="20"/>
          <w:szCs w:val="20"/>
          <w:shd w:val="clear" w:color="auto" w:fill="FFFFFF"/>
        </w:rPr>
        <w:t>, B., 2020. Fifteen years of experience with the oral live-attenuated human rotavirus vaccine: reflections on lessons learned. </w:t>
      </w:r>
      <w:r>
        <w:rPr>
          <w:rFonts w:ascii="Arial" w:hAnsi="Arial" w:cs="Arial"/>
          <w:i/>
          <w:iCs/>
          <w:color w:val="222222"/>
          <w:sz w:val="20"/>
          <w:szCs w:val="20"/>
          <w:shd w:val="clear" w:color="auto" w:fill="FFFFFF"/>
        </w:rPr>
        <w:t>Expert Review of Vaccines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(8), pp.755-769.</w:t>
      </w:r>
    </w:p>
    <w:p w14:paraId="21D1F673" w14:textId="77777777" w:rsidR="00657737" w:rsidRDefault="00657737" w:rsidP="00860D14">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Porche</w:t>
      </w:r>
      <w:proofErr w:type="spellEnd"/>
      <w:r>
        <w:rPr>
          <w:rFonts w:ascii="Arial" w:hAnsi="Arial" w:cs="Arial"/>
          <w:color w:val="222222"/>
          <w:sz w:val="20"/>
          <w:szCs w:val="20"/>
          <w:shd w:val="clear" w:color="auto" w:fill="FFFFFF"/>
        </w:rPr>
        <w:t>, D.J., 2022. NATIONAL NOTIFIABLE INFECTIOUS DISEASES. </w:t>
      </w:r>
      <w:r>
        <w:rPr>
          <w:rFonts w:ascii="Arial" w:hAnsi="Arial" w:cs="Arial"/>
          <w:i/>
          <w:iCs/>
          <w:color w:val="222222"/>
          <w:sz w:val="20"/>
          <w:szCs w:val="20"/>
          <w:shd w:val="clear" w:color="auto" w:fill="FFFFFF"/>
        </w:rPr>
        <w:t>Epidemiology for the Advanced Practice Nurse: A Population Health Approach</w:t>
      </w:r>
      <w:r>
        <w:rPr>
          <w:rFonts w:ascii="Arial" w:hAnsi="Arial" w:cs="Arial"/>
          <w:color w:val="222222"/>
          <w:sz w:val="20"/>
          <w:szCs w:val="20"/>
          <w:shd w:val="clear" w:color="auto" w:fill="FFFFFF"/>
        </w:rPr>
        <w:t>, p.355.</w:t>
      </w:r>
    </w:p>
    <w:p w14:paraId="0EE84EC1" w14:textId="77777777" w:rsidR="00657737" w:rsidRDefault="00657737" w:rsidP="00860D1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Sadiq, A., </w:t>
      </w:r>
      <w:proofErr w:type="spellStart"/>
      <w:r>
        <w:rPr>
          <w:rFonts w:ascii="Arial" w:hAnsi="Arial" w:cs="Arial"/>
          <w:color w:val="222222"/>
          <w:sz w:val="20"/>
          <w:szCs w:val="20"/>
          <w:shd w:val="clear" w:color="auto" w:fill="FFFFFF"/>
        </w:rPr>
        <w:t>Bostan</w:t>
      </w:r>
      <w:proofErr w:type="spellEnd"/>
      <w:r>
        <w:rPr>
          <w:rFonts w:ascii="Arial" w:hAnsi="Arial" w:cs="Arial"/>
          <w:color w:val="222222"/>
          <w:sz w:val="20"/>
          <w:szCs w:val="20"/>
          <w:shd w:val="clear" w:color="auto" w:fill="FFFFFF"/>
        </w:rPr>
        <w:t>, N., Khan, J. and Aziz, A., 2022. Effect of rotavirus genetic diversity on vaccine impact. </w:t>
      </w:r>
      <w:r>
        <w:rPr>
          <w:rFonts w:ascii="Arial" w:hAnsi="Arial" w:cs="Arial"/>
          <w:i/>
          <w:iCs/>
          <w:color w:val="222222"/>
          <w:sz w:val="20"/>
          <w:szCs w:val="20"/>
          <w:shd w:val="clear" w:color="auto" w:fill="FFFFFF"/>
        </w:rPr>
        <w:t>Reviews in Medical Virology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(1), p.e2259.</w:t>
      </w:r>
    </w:p>
    <w:p w14:paraId="012205B4" w14:textId="77777777" w:rsidR="00657737" w:rsidRDefault="00657737" w:rsidP="00860D1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Varghese, T., Kang, G. and Steele, A.D., 2022. Understanding rotavirus vaccine efficacy and effectiveness in countries with high child mortality. </w:t>
      </w:r>
      <w:r>
        <w:rPr>
          <w:rFonts w:ascii="Arial" w:hAnsi="Arial" w:cs="Arial"/>
          <w:i/>
          <w:iCs/>
          <w:color w:val="222222"/>
          <w:sz w:val="20"/>
          <w:szCs w:val="20"/>
          <w:shd w:val="clear" w:color="auto" w:fill="FFFFFF"/>
        </w:rPr>
        <w:t>Vaccines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(3), p.346.</w:t>
      </w:r>
    </w:p>
    <w:p w14:paraId="114177BA" w14:textId="77777777" w:rsidR="00657737" w:rsidRDefault="00657737" w:rsidP="00BC4279">
      <w:pPr>
        <w:pStyle w:val="NormalWeb"/>
        <w:spacing w:before="0" w:beforeAutospacing="0" w:after="0" w:afterAutospacing="0" w:line="480" w:lineRule="auto"/>
        <w:ind w:hanging="720"/>
      </w:pPr>
      <w:r>
        <w:rPr>
          <w:i/>
          <w:iCs/>
        </w:rPr>
        <w:t>WHO Vaccine-Preventable Diseases Surveillance Standards Vaccine-Preventable Diseases Surveillance Standards</w:t>
      </w:r>
      <w:r>
        <w:t>.</w:t>
      </w:r>
    </w:p>
    <w:sectPr w:rsidR="006577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9D7"/>
    <w:rsid w:val="000A6DF1"/>
    <w:rsid w:val="000B0CEC"/>
    <w:rsid w:val="000F08AD"/>
    <w:rsid w:val="000F5164"/>
    <w:rsid w:val="001E0818"/>
    <w:rsid w:val="00250644"/>
    <w:rsid w:val="002746B8"/>
    <w:rsid w:val="00285C66"/>
    <w:rsid w:val="002C3E9C"/>
    <w:rsid w:val="0030093B"/>
    <w:rsid w:val="00393CF8"/>
    <w:rsid w:val="003D6FFC"/>
    <w:rsid w:val="00425101"/>
    <w:rsid w:val="00450F29"/>
    <w:rsid w:val="00493BD4"/>
    <w:rsid w:val="004B7876"/>
    <w:rsid w:val="004E75ED"/>
    <w:rsid w:val="005A4720"/>
    <w:rsid w:val="00602A48"/>
    <w:rsid w:val="00636FBB"/>
    <w:rsid w:val="00657737"/>
    <w:rsid w:val="00664DCF"/>
    <w:rsid w:val="00670801"/>
    <w:rsid w:val="007206EA"/>
    <w:rsid w:val="00742EAE"/>
    <w:rsid w:val="00794BE2"/>
    <w:rsid w:val="007D3375"/>
    <w:rsid w:val="008317FA"/>
    <w:rsid w:val="00860D14"/>
    <w:rsid w:val="0090539A"/>
    <w:rsid w:val="00A11267"/>
    <w:rsid w:val="00A17EF6"/>
    <w:rsid w:val="00A26461"/>
    <w:rsid w:val="00AB05C9"/>
    <w:rsid w:val="00AD06ED"/>
    <w:rsid w:val="00AD287C"/>
    <w:rsid w:val="00AF0DA9"/>
    <w:rsid w:val="00B21595"/>
    <w:rsid w:val="00B759D7"/>
    <w:rsid w:val="00BC4279"/>
    <w:rsid w:val="00BD5675"/>
    <w:rsid w:val="00C45EF1"/>
    <w:rsid w:val="00E44DAD"/>
    <w:rsid w:val="00E5663C"/>
    <w:rsid w:val="00E80E57"/>
    <w:rsid w:val="00EA1D40"/>
    <w:rsid w:val="00FB1CF7"/>
    <w:rsid w:val="00FF6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E1F41"/>
  <w15:chartTrackingRefBased/>
  <w15:docId w15:val="{A99EA55A-A542-4A4E-978E-1217AFE0E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C42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624916">
      <w:bodyDiv w:val="1"/>
      <w:marLeft w:val="0"/>
      <w:marRight w:val="0"/>
      <w:marTop w:val="0"/>
      <w:marBottom w:val="0"/>
      <w:divBdr>
        <w:top w:val="none" w:sz="0" w:space="0" w:color="auto"/>
        <w:left w:val="none" w:sz="0" w:space="0" w:color="auto"/>
        <w:bottom w:val="none" w:sz="0" w:space="0" w:color="auto"/>
        <w:right w:val="none" w:sz="0" w:space="0" w:color="auto"/>
      </w:divBdr>
      <w:divsChild>
        <w:div w:id="1920821876">
          <w:marLeft w:val="0"/>
          <w:marRight w:val="0"/>
          <w:marTop w:val="0"/>
          <w:marBottom w:val="0"/>
          <w:divBdr>
            <w:top w:val="none" w:sz="0" w:space="0" w:color="auto"/>
            <w:left w:val="none" w:sz="0" w:space="0" w:color="auto"/>
            <w:bottom w:val="none" w:sz="0" w:space="0" w:color="auto"/>
            <w:right w:val="none" w:sz="0" w:space="0" w:color="auto"/>
          </w:divBdr>
        </w:div>
      </w:divsChild>
    </w:div>
    <w:div w:id="636692323">
      <w:bodyDiv w:val="1"/>
      <w:marLeft w:val="0"/>
      <w:marRight w:val="0"/>
      <w:marTop w:val="0"/>
      <w:marBottom w:val="0"/>
      <w:divBdr>
        <w:top w:val="none" w:sz="0" w:space="0" w:color="auto"/>
        <w:left w:val="none" w:sz="0" w:space="0" w:color="auto"/>
        <w:bottom w:val="none" w:sz="0" w:space="0" w:color="auto"/>
        <w:right w:val="none" w:sz="0" w:space="0" w:color="auto"/>
      </w:divBdr>
      <w:divsChild>
        <w:div w:id="1964726392">
          <w:marLeft w:val="0"/>
          <w:marRight w:val="0"/>
          <w:marTop w:val="0"/>
          <w:marBottom w:val="0"/>
          <w:divBdr>
            <w:top w:val="none" w:sz="0" w:space="0" w:color="auto"/>
            <w:left w:val="none" w:sz="0" w:space="0" w:color="auto"/>
            <w:bottom w:val="none" w:sz="0" w:space="0" w:color="auto"/>
            <w:right w:val="none" w:sz="0" w:space="0" w:color="auto"/>
          </w:divBdr>
        </w:div>
      </w:divsChild>
    </w:div>
    <w:div w:id="775097890">
      <w:bodyDiv w:val="1"/>
      <w:marLeft w:val="0"/>
      <w:marRight w:val="0"/>
      <w:marTop w:val="0"/>
      <w:marBottom w:val="0"/>
      <w:divBdr>
        <w:top w:val="none" w:sz="0" w:space="0" w:color="auto"/>
        <w:left w:val="none" w:sz="0" w:space="0" w:color="auto"/>
        <w:bottom w:val="none" w:sz="0" w:space="0" w:color="auto"/>
        <w:right w:val="none" w:sz="0" w:space="0" w:color="auto"/>
      </w:divBdr>
      <w:divsChild>
        <w:div w:id="14841284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6</Pages>
  <Words>1472</Words>
  <Characters>8396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Sabha Akhtar</dc:creator>
  <cp:keywords/>
  <dc:description/>
  <cp:lastModifiedBy>Sabha Akhtar</cp:lastModifiedBy>
  <cp:revision>48</cp:revision>
  <dcterms:created xsi:type="dcterms:W3CDTF">2023-03-04T11:06:00Z</dcterms:created>
  <dcterms:modified xsi:type="dcterms:W3CDTF">2023-03-04T17:47:00Z</dcterms:modified>
</cp:coreProperties>
</file>