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81291" w14:textId="0164CD02" w:rsidR="00896C78" w:rsidRDefault="008D397B" w:rsidP="007C42E8">
      <w:pPr>
        <w:tabs>
          <w:tab w:val="num" w:pos="720"/>
        </w:tabs>
      </w:pPr>
      <w:r>
        <w:t>`</w:t>
      </w:r>
    </w:p>
    <w:p w14:paraId="00DD069E" w14:textId="77777777" w:rsidR="00896C78" w:rsidRDefault="00896C78" w:rsidP="007C42E8">
      <w:pPr>
        <w:tabs>
          <w:tab w:val="num" w:pos="720"/>
        </w:tabs>
      </w:pPr>
    </w:p>
    <w:p w14:paraId="3A5388E1" w14:textId="77777777" w:rsidR="00E67D51" w:rsidRDefault="00E67D51" w:rsidP="007C42E8">
      <w:pPr>
        <w:tabs>
          <w:tab w:val="num" w:pos="720"/>
        </w:tabs>
      </w:pPr>
    </w:p>
    <w:p w14:paraId="31B70365" w14:textId="77777777" w:rsidR="00896C78" w:rsidRDefault="00896C78" w:rsidP="007C42E8">
      <w:pPr>
        <w:tabs>
          <w:tab w:val="num" w:pos="720"/>
        </w:tabs>
      </w:pPr>
    </w:p>
    <w:p w14:paraId="550A0EF5" w14:textId="61AED88A" w:rsidR="009777D7" w:rsidRDefault="00F959DF" w:rsidP="00F959DF">
      <w:pPr>
        <w:tabs>
          <w:tab w:val="left" w:pos="3447"/>
        </w:tabs>
      </w:pPr>
      <w:r>
        <w:tab/>
      </w:r>
      <w:r w:rsidRPr="00F959DF">
        <w:rPr>
          <w:noProof/>
        </w:rPr>
        <w:drawing>
          <wp:inline distT="0" distB="0" distL="0" distR="0" wp14:anchorId="29BC01FD" wp14:editId="763B72C5">
            <wp:extent cx="4752340" cy="1898015"/>
            <wp:effectExtent l="0" t="0" r="0" b="0"/>
            <wp:docPr id="294626833" name="Picture 1" descr="University of Wales Trinity Saint David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340" cy="1898015"/>
                    </a:xfrm>
                    <a:prstGeom prst="rect">
                      <a:avLst/>
                    </a:prstGeom>
                    <a:noFill/>
                    <a:ln>
                      <a:noFill/>
                    </a:ln>
                  </pic:spPr>
                </pic:pic>
              </a:graphicData>
            </a:graphic>
          </wp:inline>
        </w:drawing>
      </w:r>
    </w:p>
    <w:p w14:paraId="7DECC1F7" w14:textId="77777777" w:rsidR="00896C78" w:rsidRDefault="00896C78" w:rsidP="007C42E8">
      <w:pPr>
        <w:tabs>
          <w:tab w:val="num" w:pos="720"/>
        </w:tabs>
      </w:pPr>
    </w:p>
    <w:p w14:paraId="7EDA0F52" w14:textId="77777777" w:rsidR="00896C78" w:rsidRDefault="00896C78" w:rsidP="007C42E8">
      <w:pPr>
        <w:tabs>
          <w:tab w:val="num" w:pos="720"/>
        </w:tabs>
      </w:pPr>
    </w:p>
    <w:p w14:paraId="0E8AC0E4" w14:textId="77777777" w:rsidR="00896C78" w:rsidRDefault="00896C78" w:rsidP="007C42E8">
      <w:pPr>
        <w:tabs>
          <w:tab w:val="num" w:pos="720"/>
        </w:tabs>
      </w:pPr>
    </w:p>
    <w:p w14:paraId="7C16A74B" w14:textId="77777777" w:rsidR="00896C78" w:rsidRDefault="00896C78" w:rsidP="007C42E8">
      <w:pPr>
        <w:tabs>
          <w:tab w:val="num" w:pos="720"/>
        </w:tabs>
      </w:pPr>
    </w:p>
    <w:p w14:paraId="0C1CD87E" w14:textId="77777777" w:rsidR="00896C78" w:rsidRDefault="00896C78" w:rsidP="007C42E8">
      <w:pPr>
        <w:tabs>
          <w:tab w:val="num" w:pos="720"/>
        </w:tabs>
      </w:pPr>
    </w:p>
    <w:p w14:paraId="49AA1125" w14:textId="77777777" w:rsidR="00896C78" w:rsidRDefault="00896C78" w:rsidP="007C42E8">
      <w:pPr>
        <w:tabs>
          <w:tab w:val="num" w:pos="720"/>
        </w:tabs>
      </w:pPr>
    </w:p>
    <w:p w14:paraId="1C609B33" w14:textId="77777777" w:rsidR="00896C78" w:rsidRDefault="00896C78" w:rsidP="007C42E8">
      <w:pPr>
        <w:tabs>
          <w:tab w:val="num" w:pos="720"/>
        </w:tabs>
      </w:pPr>
    </w:p>
    <w:p w14:paraId="412EB670" w14:textId="77777777" w:rsidR="00896C78" w:rsidRDefault="00896C78" w:rsidP="007C42E8">
      <w:pPr>
        <w:tabs>
          <w:tab w:val="num" w:pos="720"/>
        </w:tabs>
      </w:pPr>
    </w:p>
    <w:p w14:paraId="3819C865" w14:textId="77777777" w:rsidR="00896C78" w:rsidRDefault="00896C78" w:rsidP="007C42E8">
      <w:pPr>
        <w:tabs>
          <w:tab w:val="num" w:pos="720"/>
        </w:tabs>
      </w:pPr>
    </w:p>
    <w:p w14:paraId="50299F23" w14:textId="50716635" w:rsidR="00E67D51" w:rsidRPr="009340F8" w:rsidRDefault="00E67D51" w:rsidP="007C42E8">
      <w:pPr>
        <w:jc w:val="center"/>
        <w:rPr>
          <w:b/>
          <w:sz w:val="36"/>
          <w:szCs w:val="36"/>
        </w:rPr>
      </w:pPr>
    </w:p>
    <w:p w14:paraId="67CAD063" w14:textId="77777777" w:rsidR="007C42E8" w:rsidRPr="007C42E8" w:rsidRDefault="007C42E8" w:rsidP="007C42E8">
      <w:pPr>
        <w:jc w:val="center"/>
        <w:rPr>
          <w:b/>
        </w:rPr>
      </w:pPr>
      <w:r w:rsidRPr="009340F8">
        <w:rPr>
          <w:b/>
          <w:sz w:val="36"/>
          <w:szCs w:val="36"/>
        </w:rPr>
        <w:t>Module: Changemakers</w:t>
      </w:r>
      <w:r w:rsidRPr="007C42E8">
        <w:rPr>
          <w:b/>
        </w:rPr>
        <w:t>: Creativity and Value Creation</w:t>
      </w:r>
    </w:p>
    <w:p w14:paraId="6AA95B86" w14:textId="77777777" w:rsidR="00896C78" w:rsidRPr="007C42E8" w:rsidRDefault="007C42E8" w:rsidP="007C42E8">
      <w:pPr>
        <w:jc w:val="center"/>
        <w:rPr>
          <w:b/>
        </w:rPr>
      </w:pPr>
      <w:r w:rsidRPr="009340F8">
        <w:rPr>
          <w:b/>
          <w:sz w:val="36"/>
          <w:szCs w:val="36"/>
        </w:rPr>
        <w:t>Module Code</w:t>
      </w:r>
      <w:r w:rsidRPr="007C42E8">
        <w:rPr>
          <w:b/>
        </w:rPr>
        <w:t>: BMHP5014</w:t>
      </w:r>
    </w:p>
    <w:p w14:paraId="7E2923A7" w14:textId="77777777" w:rsidR="007C42E8" w:rsidRPr="009340F8" w:rsidRDefault="007C42E8" w:rsidP="007C42E8">
      <w:pPr>
        <w:jc w:val="center"/>
        <w:rPr>
          <w:b/>
          <w:sz w:val="28"/>
          <w:szCs w:val="28"/>
          <w:lang w:val="en-US"/>
        </w:rPr>
      </w:pPr>
      <w:r w:rsidRPr="009340F8">
        <w:rPr>
          <w:b/>
          <w:sz w:val="36"/>
          <w:szCs w:val="36"/>
        </w:rPr>
        <w:t xml:space="preserve">Assignment Title: Component 1: </w:t>
      </w:r>
      <w:r w:rsidRPr="009340F8">
        <w:rPr>
          <w:b/>
          <w:sz w:val="28"/>
          <w:szCs w:val="28"/>
        </w:rPr>
        <w:t>Online portfolio of set exercises</w:t>
      </w:r>
    </w:p>
    <w:p w14:paraId="0B49C72A" w14:textId="569B9C09" w:rsidR="007C42E8" w:rsidRDefault="007C42E8" w:rsidP="007C42E8">
      <w:pPr>
        <w:jc w:val="center"/>
        <w:rPr>
          <w:lang w:val="en-US"/>
        </w:rPr>
      </w:pPr>
    </w:p>
    <w:p w14:paraId="286A55B9" w14:textId="20429D62" w:rsidR="00896C78" w:rsidRDefault="00896C78" w:rsidP="007C42E8">
      <w:pPr>
        <w:jc w:val="center"/>
        <w:rPr>
          <w:lang w:val="en-US"/>
        </w:rPr>
      </w:pPr>
      <w:r w:rsidRPr="00842EDD">
        <w:rPr>
          <w:sz w:val="36"/>
          <w:szCs w:val="36"/>
          <w:lang w:val="en-US"/>
        </w:rPr>
        <w:t>Name Student</w:t>
      </w:r>
      <w:r w:rsidR="00842EDD">
        <w:rPr>
          <w:lang w:val="en-US"/>
        </w:rPr>
        <w:t>: Laurence Brehouan</w:t>
      </w:r>
    </w:p>
    <w:p w14:paraId="24FE6BFE" w14:textId="4928A622" w:rsidR="00896C78" w:rsidRPr="00842EDD" w:rsidRDefault="00896C78" w:rsidP="00842EDD">
      <w:pPr>
        <w:jc w:val="center"/>
        <w:rPr>
          <w:sz w:val="36"/>
          <w:szCs w:val="36"/>
          <w:lang w:val="en-US"/>
        </w:rPr>
      </w:pPr>
      <w:r w:rsidRPr="00842EDD">
        <w:rPr>
          <w:sz w:val="36"/>
          <w:szCs w:val="36"/>
          <w:lang w:val="en-US"/>
        </w:rPr>
        <w:t>Student ID</w:t>
      </w:r>
      <w:r w:rsidR="00842EDD">
        <w:rPr>
          <w:sz w:val="36"/>
          <w:szCs w:val="36"/>
          <w:lang w:val="en-US"/>
        </w:rPr>
        <w:t>: 2328802</w:t>
      </w:r>
    </w:p>
    <w:p w14:paraId="442A8BD5" w14:textId="06BC5F7F" w:rsidR="001532D2" w:rsidRPr="0058712C" w:rsidRDefault="00842EDD" w:rsidP="0058712C">
      <w:pPr>
        <w:jc w:val="center"/>
        <w:rPr>
          <w:szCs w:val="24"/>
          <w:lang w:val="en-US"/>
        </w:rPr>
      </w:pPr>
      <w:r w:rsidRPr="00842EDD">
        <w:rPr>
          <w:sz w:val="36"/>
          <w:szCs w:val="36"/>
          <w:lang w:val="en-US"/>
        </w:rPr>
        <w:t>Lecturer</w:t>
      </w:r>
      <w:r w:rsidRPr="00842EDD">
        <w:rPr>
          <w:szCs w:val="24"/>
          <w:lang w:val="en-US"/>
        </w:rPr>
        <w:t>: Bian Mashumb</w:t>
      </w:r>
      <w:r w:rsidR="00926A87">
        <w:rPr>
          <w:szCs w:val="24"/>
          <w:lang w:val="en-US"/>
        </w:rPr>
        <w:t>a</w:t>
      </w:r>
      <w:r w:rsidR="002E2975">
        <w:rPr>
          <w:rFonts w:asciiTheme="majorHAnsi" w:hAnsiTheme="majorHAnsi"/>
          <w:spacing w:val="-3"/>
        </w:rPr>
        <w:br w:type="page"/>
      </w:r>
    </w:p>
    <w:p w14:paraId="6F768A78" w14:textId="3EB4728E" w:rsidR="00EA3544" w:rsidRPr="00EA3544" w:rsidRDefault="00E31DA4" w:rsidP="00EA3544">
      <w:pPr>
        <w:pStyle w:val="ListParagraph"/>
        <w:rPr>
          <w:b/>
          <w:bCs/>
        </w:rPr>
      </w:pPr>
      <w:bookmarkStart w:id="0" w:name="_Toc233466225"/>
      <w:r w:rsidRPr="00E31DA4">
        <w:rPr>
          <w:b/>
          <w:bCs/>
          <w:noProof/>
        </w:rPr>
        <w:lastRenderedPageBreak/>
        <w:drawing>
          <wp:inline distT="0" distB="0" distL="0" distR="0" wp14:anchorId="30978ECA" wp14:editId="26FBEB1C">
            <wp:extent cx="2015575" cy="3144385"/>
            <wp:effectExtent l="0" t="0" r="3810" b="0"/>
            <wp:docPr id="449793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65616" cy="3222451"/>
                    </a:xfrm>
                    <a:prstGeom prst="rect">
                      <a:avLst/>
                    </a:prstGeom>
                    <a:noFill/>
                    <a:ln>
                      <a:noFill/>
                    </a:ln>
                  </pic:spPr>
                </pic:pic>
              </a:graphicData>
            </a:graphic>
          </wp:inline>
        </w:drawing>
      </w:r>
      <w:r w:rsidR="00AB6526">
        <w:rPr>
          <w:b/>
          <w:bCs/>
        </w:rPr>
        <w:t xml:space="preserve"> </w:t>
      </w:r>
      <w:r w:rsidR="00637483" w:rsidRPr="00637483">
        <w:rPr>
          <w:b/>
          <w:bCs/>
          <w:noProof/>
        </w:rPr>
        <w:drawing>
          <wp:inline distT="0" distB="0" distL="0" distR="0" wp14:anchorId="229098CD" wp14:editId="29776BC3">
            <wp:extent cx="3283863" cy="2463079"/>
            <wp:effectExtent l="0" t="8572" r="3492" b="3493"/>
            <wp:docPr id="6228028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3327632" cy="2495908"/>
                    </a:xfrm>
                    <a:prstGeom prst="rect">
                      <a:avLst/>
                    </a:prstGeom>
                    <a:noFill/>
                    <a:ln>
                      <a:noFill/>
                    </a:ln>
                  </pic:spPr>
                </pic:pic>
              </a:graphicData>
            </a:graphic>
          </wp:inline>
        </w:drawing>
      </w:r>
    </w:p>
    <w:p w14:paraId="2042AFA4" w14:textId="31AB0CA4" w:rsidR="00637483" w:rsidRPr="00637483" w:rsidRDefault="00637483" w:rsidP="00637483">
      <w:pPr>
        <w:pStyle w:val="ListParagraph"/>
        <w:rPr>
          <w:b/>
          <w:bCs/>
        </w:rPr>
      </w:pPr>
    </w:p>
    <w:p w14:paraId="229EDCD6" w14:textId="620DA459" w:rsidR="0023478A" w:rsidRPr="0023478A" w:rsidRDefault="0023478A" w:rsidP="0023478A">
      <w:pPr>
        <w:pStyle w:val="ListParagraph"/>
        <w:rPr>
          <w:b/>
          <w:bCs/>
        </w:rPr>
      </w:pPr>
    </w:p>
    <w:p w14:paraId="3C1D4F78" w14:textId="03E658CE" w:rsidR="0023478A" w:rsidRPr="0023478A" w:rsidRDefault="0023478A" w:rsidP="0023478A">
      <w:pPr>
        <w:pStyle w:val="ListParagraph"/>
        <w:rPr>
          <w:b/>
          <w:bCs/>
        </w:rPr>
      </w:pPr>
    </w:p>
    <w:p w14:paraId="414DB96B" w14:textId="4B7E8D87" w:rsidR="00E31DA4" w:rsidRPr="00E31DA4" w:rsidRDefault="00E31DA4" w:rsidP="00E31DA4">
      <w:pPr>
        <w:pStyle w:val="ListParagraph"/>
        <w:rPr>
          <w:b/>
          <w:bCs/>
        </w:rPr>
      </w:pPr>
    </w:p>
    <w:p w14:paraId="74952BE1" w14:textId="77777777" w:rsidR="00A315FE" w:rsidRDefault="00A315FE" w:rsidP="00A329ED">
      <w:pPr>
        <w:pStyle w:val="ListParagraph"/>
        <w:widowControl/>
        <w:jc w:val="left"/>
        <w:rPr>
          <w:b/>
          <w:bCs/>
          <w:lang w:val="en-US"/>
        </w:rPr>
      </w:pPr>
    </w:p>
    <w:p w14:paraId="50855527" w14:textId="662A01D5" w:rsidR="00EC1A32" w:rsidRPr="00A329ED" w:rsidRDefault="00EC1A32" w:rsidP="00A329ED">
      <w:pPr>
        <w:widowControl/>
        <w:ind w:left="360"/>
        <w:jc w:val="left"/>
        <w:rPr>
          <w:b/>
          <w:bCs/>
          <w:lang w:val="en-US"/>
        </w:rPr>
      </w:pPr>
      <w:r w:rsidRPr="00A329ED">
        <w:rPr>
          <w:b/>
          <w:bCs/>
          <w:lang w:val="en-US"/>
        </w:rPr>
        <w:t>Task 1: Defining Key Concepts in Practice</w:t>
      </w:r>
      <w:bookmarkEnd w:id="0"/>
    </w:p>
    <w:p w14:paraId="2620A90A" w14:textId="3BAFD9E9" w:rsidR="00A371A0" w:rsidRPr="00A371A0" w:rsidRDefault="00A371A0" w:rsidP="007C42E8">
      <w:pPr>
        <w:ind w:firstLine="720"/>
        <w:rPr>
          <w:lang w:val="en-US"/>
        </w:rPr>
      </w:pPr>
      <w:r w:rsidRPr="00A371A0">
        <w:rPr>
          <w:lang w:val="en-US"/>
        </w:rPr>
        <w:t xml:space="preserve">Innovation in health and social care is when they offer a new or a considerably better idea, process, technology or service that results in better outcomes than the current practice. Rogers’ Diffusion of Innovation Theory is that new ideas take time to spread within </w:t>
      </w:r>
      <w:r w:rsidR="001C7143" w:rsidRPr="00A371A0">
        <w:rPr>
          <w:lang w:val="en-US"/>
        </w:rPr>
        <w:t>organizations</w:t>
      </w:r>
      <w:r w:rsidRPr="00A371A0">
        <w:rPr>
          <w:lang w:val="en-US"/>
        </w:rPr>
        <w:t xml:space="preserve">, if they are perceived as useful, compatible, and manageable (Rogers, 2003). Innovation, however, must not be regarded as improvement for the sake of improvement, since </w:t>
      </w:r>
      <w:r w:rsidR="00384826">
        <w:rPr>
          <w:lang w:val="en-US"/>
        </w:rPr>
        <w:t>i</w:t>
      </w:r>
      <w:r w:rsidR="00384826" w:rsidRPr="00A371A0">
        <w:rPr>
          <w:lang w:val="en-US"/>
        </w:rPr>
        <w:t>nnovations</w:t>
      </w:r>
      <w:r w:rsidRPr="00A371A0">
        <w:rPr>
          <w:lang w:val="en-US"/>
        </w:rPr>
        <w:t xml:space="preserve"> which is not well planned can lead to greater workload or to the exclusion of the users of a service. The digital access, monitoring system and training of clinical staff are crucial for virtual wards to assist patients at home, for instance.</w:t>
      </w:r>
    </w:p>
    <w:p w14:paraId="4E019F60" w14:textId="77777777" w:rsidR="00A371A0" w:rsidRPr="00A371A0" w:rsidRDefault="00A371A0" w:rsidP="007C42E8">
      <w:pPr>
        <w:ind w:firstLine="720"/>
        <w:rPr>
          <w:lang w:val="en-US"/>
        </w:rPr>
      </w:pPr>
      <w:r w:rsidRPr="00A371A0">
        <w:rPr>
          <w:lang w:val="en-US"/>
        </w:rPr>
        <w:t>Creativity is the ability to come up with fresh ideas that are of value in specific situations. According to Amabile's Componential Theory, creativity relies on the knowledge, creative thinking skills and motivation (Amabile, 1996). The importance of creativity in health or social care is because complex problems like staff shortages, communication failures, waiting times cannot always be solved by routine procedures. One real-life example could be repurposing appointments to make them more accessible to vulnerable people at risk of having them fit badly.</w:t>
      </w:r>
    </w:p>
    <w:p w14:paraId="2F4C0F4D" w14:textId="77777777" w:rsidR="00A371A0" w:rsidRPr="00A371A0" w:rsidRDefault="00A371A0" w:rsidP="007C42E8">
      <w:pPr>
        <w:ind w:firstLine="720"/>
        <w:rPr>
          <w:lang w:val="en-US"/>
        </w:rPr>
      </w:pPr>
      <w:r w:rsidRPr="00A371A0">
        <w:rPr>
          <w:lang w:val="en-US"/>
        </w:rPr>
        <w:lastRenderedPageBreak/>
        <w:t xml:space="preserve">Value creation is about enhancing outcomes, experiences and wellbeing, and is value for money in terms of the resources consumed. Porter believes that value is added when the results that healthcare can deliver for patients are improved relative to the increasing costs of providing them (Porter, 2010). This is significant as there is an increasing demand of health and social care and limited resources, therefore the services need to make a difference and not just activity. </w:t>
      </w:r>
    </w:p>
    <w:p w14:paraId="13F3C641" w14:textId="556B90BE" w:rsidR="00EC1A32" w:rsidRPr="00EC1A32" w:rsidRDefault="00A371A0" w:rsidP="007C42E8">
      <w:pPr>
        <w:ind w:firstLine="720"/>
        <w:rPr>
          <w:lang w:val="en-US"/>
        </w:rPr>
      </w:pPr>
      <w:r w:rsidRPr="00A371A0">
        <w:rPr>
          <w:lang w:val="en-US"/>
        </w:rPr>
        <w:t xml:space="preserve">Change is about planned shift from current practice to improved practice. According to Lewin's model, change becomes a process of unfreezing the </w:t>
      </w:r>
      <w:r w:rsidR="001C7143" w:rsidRPr="00A371A0">
        <w:rPr>
          <w:lang w:val="en-US"/>
        </w:rPr>
        <w:t>behaviors</w:t>
      </w:r>
      <w:r w:rsidRPr="00A371A0">
        <w:rPr>
          <w:lang w:val="en-US"/>
        </w:rPr>
        <w:t xml:space="preserve"> taking place, implementing new </w:t>
      </w:r>
      <w:r w:rsidR="001C7143" w:rsidRPr="00A371A0">
        <w:rPr>
          <w:lang w:val="en-US"/>
        </w:rPr>
        <w:t>behaviors</w:t>
      </w:r>
      <w:r w:rsidRPr="00A371A0">
        <w:rPr>
          <w:lang w:val="en-US"/>
        </w:rPr>
        <w:t xml:space="preserve"> and refreezing into the regular practice improved </w:t>
      </w:r>
      <w:r w:rsidR="001C7143" w:rsidRPr="00A371A0">
        <w:rPr>
          <w:lang w:val="en-US"/>
        </w:rPr>
        <w:t>behaviors</w:t>
      </w:r>
      <w:r w:rsidRPr="00A371A0">
        <w:rPr>
          <w:lang w:val="en-US"/>
        </w:rPr>
        <w:t xml:space="preserve"> (Burns, 2017). Change is a must, as innovation and creativity will only turn into theory if services don't change </w:t>
      </w:r>
      <w:r w:rsidR="001C7143" w:rsidRPr="00A371A0">
        <w:rPr>
          <w:lang w:val="en-US"/>
        </w:rPr>
        <w:t>behavior</w:t>
      </w:r>
      <w:r w:rsidRPr="00A371A0">
        <w:rPr>
          <w:lang w:val="en-US"/>
        </w:rPr>
        <w:t>, system and culture. When implementing electronic records, for instance, not only software is needed but staff involvement, staff training and staff acceptance and support.</w:t>
      </w:r>
      <w:r w:rsidR="00A353FD">
        <w:rPr>
          <w:lang w:val="en-US"/>
        </w:rPr>
        <w:t>/</w:t>
      </w:r>
      <w:r w:rsidR="00391AD5">
        <w:rPr>
          <w:lang w:val="en-US"/>
        </w:rPr>
        <w:t xml:space="preserve">                                                                                               </w:t>
      </w:r>
      <w:r w:rsidR="00FC154D">
        <w:rPr>
          <w:lang w:val="en-US"/>
        </w:rPr>
        <w:t>\</w:t>
      </w:r>
    </w:p>
    <w:p w14:paraId="0A0977D2" w14:textId="77777777" w:rsidR="00EC1A32" w:rsidRDefault="00EC1A32" w:rsidP="007C42E8">
      <w:pPr>
        <w:rPr>
          <w:lang w:val="en-US"/>
        </w:rPr>
      </w:pPr>
    </w:p>
    <w:p w14:paraId="287B5408" w14:textId="77777777" w:rsidR="00655418" w:rsidRDefault="00655418" w:rsidP="007C42E8">
      <w:pPr>
        <w:pStyle w:val="Heading1"/>
        <w:rPr>
          <w:lang w:val="en-US"/>
        </w:rPr>
      </w:pPr>
      <w:bookmarkStart w:id="1" w:name="_Toc233466226"/>
    </w:p>
    <w:p w14:paraId="065AC745" w14:textId="77777777" w:rsidR="00655418" w:rsidRDefault="00655418" w:rsidP="007C42E8">
      <w:pPr>
        <w:pStyle w:val="Heading1"/>
        <w:rPr>
          <w:lang w:val="en-US"/>
        </w:rPr>
      </w:pPr>
    </w:p>
    <w:p w14:paraId="5A023D99" w14:textId="77777777" w:rsidR="00655418" w:rsidRDefault="00655418" w:rsidP="007C42E8">
      <w:pPr>
        <w:pStyle w:val="Heading1"/>
        <w:rPr>
          <w:lang w:val="en-US"/>
        </w:rPr>
      </w:pPr>
    </w:p>
    <w:p w14:paraId="28465C5A" w14:textId="5DE611D9" w:rsidR="00EC1A32" w:rsidRDefault="00FD7180" w:rsidP="007C42E8">
      <w:pPr>
        <w:pStyle w:val="Heading1"/>
        <w:rPr>
          <w:lang w:val="en-US"/>
        </w:rPr>
      </w:pPr>
      <w:r>
        <w:rPr>
          <w:lang w:val="en-US"/>
        </w:rPr>
        <w:t>2.</w:t>
      </w:r>
      <w:r>
        <w:rPr>
          <w:lang w:val="en-US"/>
        </w:rPr>
        <w:tab/>
      </w:r>
      <w:r w:rsidR="00EC1A32">
        <w:rPr>
          <w:lang w:val="en-US"/>
        </w:rPr>
        <w:t>Task 2: Mind Map</w:t>
      </w:r>
      <w:bookmarkEnd w:id="1"/>
    </w:p>
    <w:p w14:paraId="2E51B0DA" w14:textId="5E5FD3C7" w:rsidR="00EC1A32" w:rsidRDefault="00EC1A32" w:rsidP="007C42E8">
      <w:pPr>
        <w:keepNext/>
      </w:pPr>
    </w:p>
    <w:p w14:paraId="0EFA71F7" w14:textId="36B9E10C" w:rsidR="00EC1A32" w:rsidRDefault="005550AB" w:rsidP="007C42E8">
      <w:pPr>
        <w:pStyle w:val="Caption"/>
        <w:spacing w:after="0" w:line="360" w:lineRule="auto"/>
        <w:jc w:val="center"/>
      </w:pPr>
      <w:r>
        <w:rPr>
          <w:noProof/>
          <w:lang w:val="en-US" w:eastAsia="en-US"/>
          <w14:ligatures w14:val="none"/>
        </w:rPr>
        <w:drawing>
          <wp:inline distT="0" distB="0" distL="0" distR="0" wp14:anchorId="13FB5770" wp14:editId="72E616C7">
            <wp:extent cx="5731510" cy="46761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676140"/>
                    </a:xfrm>
                    <a:prstGeom prst="rect">
                      <a:avLst/>
                    </a:prstGeom>
                  </pic:spPr>
                </pic:pic>
              </a:graphicData>
            </a:graphic>
          </wp:inline>
        </w:drawing>
      </w:r>
      <w:r w:rsidR="00EC1A32">
        <w:t xml:space="preserve">Figure </w:t>
      </w:r>
      <w:r w:rsidR="00EC1A32">
        <w:fldChar w:fldCharType="begin"/>
      </w:r>
      <w:r w:rsidR="00EC1A32">
        <w:instrText xml:space="preserve"> SEQ Figure \* ARABIC </w:instrText>
      </w:r>
      <w:r w:rsidR="00EC1A32">
        <w:fldChar w:fldCharType="separate"/>
      </w:r>
      <w:r w:rsidR="00EC1A32">
        <w:rPr>
          <w:noProof/>
        </w:rPr>
        <w:t>1</w:t>
      </w:r>
      <w:r w:rsidR="00EC1A32">
        <w:fldChar w:fldCharType="end"/>
      </w:r>
      <w:r w:rsidR="00EC1A32">
        <w:t>: Mind Map</w:t>
      </w:r>
    </w:p>
    <w:p w14:paraId="38F2D13F" w14:textId="77777777" w:rsidR="00EC1A32" w:rsidRDefault="00A371A0" w:rsidP="007C42E8">
      <w:pPr>
        <w:ind w:firstLine="720"/>
      </w:pPr>
      <w:r w:rsidRPr="00A371A0">
        <w:t>The length of waiting time in NHS outpatient services is relevant as delays may exacerbate symptoms, trigger anxiety and diminish confidence in care. The mind map demonstrates that this issue is not a single one, but is one comprised of interrelated stressors including lack of health care workforce, increased demand for care services, limited clinic size, poor scheduling, and barriers to digital access. With a systems thinking perspective these causes relate to broader implications such as delayed diagnoses, staff burn out, increased cost and poorer patient outcomes (Meadows, 2008). These are mainly impacted on disadvantaged communities, people with long-term conditions, older people and carers. Waiting lists can increase and health disparities can increase if there is not action.</w:t>
      </w:r>
    </w:p>
    <w:p w14:paraId="5652206C" w14:textId="77777777" w:rsidR="00EC1A32" w:rsidRDefault="00EC1A32" w:rsidP="007C42E8"/>
    <w:p w14:paraId="27B2B477" w14:textId="77777777" w:rsidR="00EC1A32" w:rsidRPr="00EC1A32" w:rsidRDefault="00FD7180" w:rsidP="007C42E8">
      <w:pPr>
        <w:pStyle w:val="Heading1"/>
        <w:rPr>
          <w:lang w:val="en-US"/>
        </w:rPr>
      </w:pPr>
      <w:bookmarkStart w:id="2" w:name="_Toc233466227"/>
      <w:r>
        <w:rPr>
          <w:lang w:val="en-US"/>
        </w:rPr>
        <w:t>3.</w:t>
      </w:r>
      <w:r>
        <w:rPr>
          <w:lang w:val="en-US"/>
        </w:rPr>
        <w:tab/>
      </w:r>
      <w:r w:rsidR="00EC1A32">
        <w:rPr>
          <w:lang w:val="en-US"/>
        </w:rPr>
        <w:t>Task 3:</w:t>
      </w:r>
      <w:r w:rsidR="00EC1A32" w:rsidRPr="00EC1A32">
        <w:rPr>
          <w:lang w:val="en-US"/>
        </w:rPr>
        <w:t xml:space="preserve"> Self-Reflection of Group Activity</w:t>
      </w:r>
      <w:bookmarkEnd w:id="2"/>
    </w:p>
    <w:p w14:paraId="0DC1FBEC" w14:textId="77777777" w:rsidR="00A371A0" w:rsidRPr="00A371A0" w:rsidRDefault="00A371A0" w:rsidP="007C42E8">
      <w:pPr>
        <w:ind w:firstLine="720"/>
        <w:rPr>
          <w:lang w:val="en-US"/>
        </w:rPr>
      </w:pPr>
      <w:r w:rsidRPr="00A371A0">
        <w:rPr>
          <w:lang w:val="en-US"/>
        </w:rPr>
        <w:t xml:space="preserve">The reflection below, using Gibbs' Reflective Cycle considers the convergent and divergent thinking activity and the impact that this activity has had with regard to team work. The process of divergent thinking is having multiple ideas, whereas convergent thinking is the </w:t>
      </w:r>
      <w:r w:rsidRPr="00A371A0">
        <w:rPr>
          <w:lang w:val="en-US"/>
        </w:rPr>
        <w:lastRenderedPageBreak/>
        <w:t xml:space="preserve">narrowing down of ideas into a practical decision (Rawlings et al., 2025). In the group activity session, several potential solutions to the issue of long delays related to waiting times were created, such as: </w:t>
      </w:r>
      <w:r w:rsidR="007D1B30">
        <w:rPr>
          <w:lang w:val="en-US"/>
        </w:rPr>
        <w:t>d</w:t>
      </w:r>
      <w:r w:rsidRPr="00A371A0">
        <w:rPr>
          <w:lang w:val="en-US"/>
        </w:rPr>
        <w:t xml:space="preserve">igital triage, additional clinics, improved appointment reminders, and more. </w:t>
      </w:r>
    </w:p>
    <w:p w14:paraId="65EA332C" w14:textId="77777777" w:rsidR="00EC1A32" w:rsidRPr="00EC1A32" w:rsidRDefault="00A371A0" w:rsidP="007C42E8">
      <w:pPr>
        <w:ind w:firstLine="720"/>
        <w:rPr>
          <w:lang w:val="en-US"/>
        </w:rPr>
      </w:pPr>
      <w:r w:rsidRPr="00A371A0">
        <w:rPr>
          <w:lang w:val="en-US"/>
        </w:rPr>
        <w:t xml:space="preserve">This demonstrated a divergent thinking to be more free and comfortable as it enabled free talk and creativity. The activity also demonstrated that however creative someone could be, without any guided judgement, it is limited. This is similar to Gibbs' model of reflection which suggests that it is a process that should be shifted from description to evaluation, analysis and action planning (Gibbs, 1988). The key takeaway for the main learning was that good team work, idea generation and disciplined selection is essential for good team work. The contribution was not only in providing ideas, but also in supporting the group to transact from discussion to decision. </w:t>
      </w:r>
    </w:p>
    <w:p w14:paraId="64B9FFCA" w14:textId="77777777" w:rsidR="00EC1A32" w:rsidRDefault="00EC1A32" w:rsidP="007C42E8"/>
    <w:p w14:paraId="4E96DC4C" w14:textId="77777777" w:rsidR="00EC1A32" w:rsidRPr="00EC1A32" w:rsidRDefault="00FD7180" w:rsidP="007C42E8">
      <w:pPr>
        <w:pStyle w:val="Heading1"/>
        <w:rPr>
          <w:lang w:val="en-US"/>
        </w:rPr>
      </w:pPr>
      <w:bookmarkStart w:id="3" w:name="_Toc233466228"/>
      <w:r>
        <w:rPr>
          <w:lang w:val="en-US"/>
        </w:rPr>
        <w:t>4.</w:t>
      </w:r>
      <w:r>
        <w:rPr>
          <w:lang w:val="en-US"/>
        </w:rPr>
        <w:tab/>
      </w:r>
      <w:r w:rsidR="00EC1A32">
        <w:rPr>
          <w:lang w:val="en-US"/>
        </w:rPr>
        <w:t>Task 4:</w:t>
      </w:r>
      <w:r w:rsidR="00EC1A32" w:rsidRPr="00EC1A32">
        <w:rPr>
          <w:lang w:val="en-US"/>
        </w:rPr>
        <w:t xml:space="preserve"> Case Study Analysis of a UK Innovation</w:t>
      </w:r>
      <w:bookmarkEnd w:id="3"/>
    </w:p>
    <w:p w14:paraId="0C8E2960" w14:textId="77777777" w:rsidR="00A371A0" w:rsidRPr="00A371A0" w:rsidRDefault="00A371A0" w:rsidP="007C42E8">
      <w:pPr>
        <w:ind w:firstLine="720"/>
        <w:rPr>
          <w:lang w:val="en-US"/>
        </w:rPr>
      </w:pPr>
      <w:r w:rsidRPr="00A371A0">
        <w:rPr>
          <w:lang w:val="en-US"/>
        </w:rPr>
        <w:t xml:space="preserve">One innovation that has been helpful in the UK is the NHS virtual ward model, which offers the care of hospital level care at home through digital communications, clinical review and ongoing monitoring. This was sought due to the pressures that the hospital must undergo, discharge delays and the growing demand from elderly patients and long‐term conditions (LTC) (Rojas‐García et al., 2018). There was creativity, with re-engineering of the place of care, instead of merely increasing beds in hospitals. </w:t>
      </w:r>
    </w:p>
    <w:p w14:paraId="44D61294" w14:textId="77777777" w:rsidR="00EC1A32" w:rsidRPr="00EC1A32" w:rsidRDefault="00A371A0" w:rsidP="007C42E8">
      <w:pPr>
        <w:ind w:firstLine="720"/>
        <w:rPr>
          <w:lang w:val="en-US"/>
        </w:rPr>
      </w:pPr>
      <w:r w:rsidRPr="00A371A0">
        <w:rPr>
          <w:lang w:val="en-US"/>
        </w:rPr>
        <w:t xml:space="preserve">Value is added in a practical and system level approach. This has many benefits for the patient because they are cared for in their environment, risk can be monitored earlier by the staff and hospital wards save bed-for-acutely unwell patients. The virtual wards offer NHS England a possible solution to hospital at home for patients who are suitable to receive the care at home, with evidence in the hospital-at-home models indicating that it can bring benefits in terms of satisfaction and resource use (UK Parliament, 2025). This is relevant with Rogers Diffusion of Innovation model as the adoption of the model is based on the practicality issue, which means staffs and patients must view the model as useful, safe and workable (Rogers, 2003). </w:t>
      </w:r>
    </w:p>
    <w:p w14:paraId="63939546" w14:textId="77777777" w:rsidR="00EC1A32" w:rsidRDefault="00EC1A32" w:rsidP="007C42E8"/>
    <w:p w14:paraId="2FD292A5" w14:textId="77777777" w:rsidR="00EC1A32" w:rsidRPr="00EC1A32" w:rsidRDefault="00FD7180" w:rsidP="007C42E8">
      <w:pPr>
        <w:pStyle w:val="Heading1"/>
        <w:rPr>
          <w:lang w:val="en-US"/>
        </w:rPr>
      </w:pPr>
      <w:bookmarkStart w:id="4" w:name="_Toc233466229"/>
      <w:r>
        <w:rPr>
          <w:lang w:val="en-US"/>
        </w:rPr>
        <w:t>5.</w:t>
      </w:r>
      <w:r>
        <w:rPr>
          <w:lang w:val="en-US"/>
        </w:rPr>
        <w:tab/>
      </w:r>
      <w:r w:rsidR="00EC1A32">
        <w:rPr>
          <w:lang w:val="en-US"/>
        </w:rPr>
        <w:t>Task 5:</w:t>
      </w:r>
      <w:r w:rsidR="00EC1A32" w:rsidRPr="00EC1A32">
        <w:rPr>
          <w:lang w:val="en-US"/>
        </w:rPr>
        <w:t xml:space="preserve"> Research Task</w:t>
      </w:r>
      <w:bookmarkEnd w:id="4"/>
    </w:p>
    <w:p w14:paraId="3C509337" w14:textId="77777777" w:rsidR="00A371A0" w:rsidRPr="00A371A0" w:rsidRDefault="00A371A0" w:rsidP="007C42E8">
      <w:pPr>
        <w:ind w:firstLine="720"/>
        <w:rPr>
          <w:lang w:val="en-US"/>
        </w:rPr>
      </w:pPr>
      <w:r w:rsidRPr="00A371A0">
        <w:rPr>
          <w:lang w:val="en-US"/>
        </w:rPr>
        <w:t xml:space="preserve">Staff stress in health and social care has been selected as the current issue as stress, if allowed to persist, can lead to a decrease in the quality of care, work absence and decreased retention. In fact, wellbeing amongst staff is tightly coupled to patient safety with stressed staff members being more likely to suffer from staff burnout, reduction in concentration, and </w:t>
      </w:r>
      <w:r w:rsidRPr="00A371A0">
        <w:rPr>
          <w:lang w:val="en-US"/>
        </w:rPr>
        <w:lastRenderedPageBreak/>
        <w:t>reduced emotional availability to attend to their patients (Hall et al., 2016). As this article helps demonstrate staff stress isn't an isolated issue, it's a system risk that may have a direct impact on those using staff services.</w:t>
      </w:r>
    </w:p>
    <w:p w14:paraId="7A2C858F" w14:textId="1C43EA80" w:rsidR="00EC1A32" w:rsidRPr="00EC1A32" w:rsidRDefault="00A371A0" w:rsidP="007C42E8">
      <w:pPr>
        <w:ind w:firstLine="720"/>
        <w:rPr>
          <w:lang w:val="en-US"/>
        </w:rPr>
      </w:pPr>
      <w:r w:rsidRPr="00A371A0">
        <w:rPr>
          <w:lang w:val="en-US"/>
        </w:rPr>
        <w:t xml:space="preserve">In a second piece, Lawrence et al (2022) argue that staff wellbeing depends upon the culture of the </w:t>
      </w:r>
      <w:r w:rsidR="001C7143" w:rsidRPr="00A371A0">
        <w:rPr>
          <w:lang w:val="en-US"/>
        </w:rPr>
        <w:t>organization</w:t>
      </w:r>
      <w:r w:rsidRPr="00A371A0">
        <w:rPr>
          <w:lang w:val="en-US"/>
        </w:rPr>
        <w:t xml:space="preserve">, workload, leadership and team support. This helps to elucidate Maslach's Burnout Theory which makes use of emotional exhaustion, </w:t>
      </w:r>
      <w:r w:rsidR="001C7143" w:rsidRPr="00A371A0">
        <w:rPr>
          <w:lang w:val="en-US"/>
        </w:rPr>
        <w:t>depersonalization</w:t>
      </w:r>
      <w:r w:rsidRPr="00A371A0">
        <w:rPr>
          <w:lang w:val="en-US"/>
        </w:rPr>
        <w:t xml:space="preserve"> and decreased personal accomplishment as means to create a definition of burnout (Maslach and Jackson, 1981). The two articles both agree that the high workload and inadequate support are major contributing factors to stress, however there are some differences in emphasis. Hall et al. place greater emphasis on the patient safety implications and Lawrence et al. (2022) place greater emphasis on leadership and </w:t>
      </w:r>
      <w:r w:rsidR="001C7143" w:rsidRPr="00A371A0">
        <w:rPr>
          <w:lang w:val="en-US"/>
        </w:rPr>
        <w:t>organizational</w:t>
      </w:r>
      <w:r w:rsidRPr="00A371A0">
        <w:rPr>
          <w:lang w:val="en-US"/>
        </w:rPr>
        <w:t xml:space="preserve"> conditions. </w:t>
      </w:r>
    </w:p>
    <w:p w14:paraId="190CC453" w14:textId="77777777" w:rsidR="00EC1A32" w:rsidRDefault="00EC1A32" w:rsidP="007C42E8"/>
    <w:p w14:paraId="19D463EB" w14:textId="77777777" w:rsidR="00B07625" w:rsidRPr="00B07625" w:rsidRDefault="00FD7180" w:rsidP="007C42E8">
      <w:pPr>
        <w:pStyle w:val="Heading1"/>
        <w:rPr>
          <w:lang w:val="en-US"/>
        </w:rPr>
      </w:pPr>
      <w:bookmarkStart w:id="5" w:name="_Toc233466230"/>
      <w:r>
        <w:rPr>
          <w:lang w:val="en-US"/>
        </w:rPr>
        <w:t>6.</w:t>
      </w:r>
      <w:r>
        <w:rPr>
          <w:lang w:val="en-US"/>
        </w:rPr>
        <w:tab/>
      </w:r>
      <w:r w:rsidR="00B07625">
        <w:rPr>
          <w:lang w:val="en-US"/>
        </w:rPr>
        <w:t>Task 6:</w:t>
      </w:r>
      <w:r w:rsidR="00B07625" w:rsidRPr="00B07625">
        <w:rPr>
          <w:lang w:val="en-US"/>
        </w:rPr>
        <w:t xml:space="preserve"> Exploring Digital Innovation in Health and Social Care</w:t>
      </w:r>
      <w:bookmarkEnd w:id="5"/>
    </w:p>
    <w:p w14:paraId="0409F7F4" w14:textId="77777777" w:rsidR="00B07625" w:rsidRDefault="00FD7180" w:rsidP="007C42E8">
      <w:pPr>
        <w:pStyle w:val="Heading2"/>
        <w:rPr>
          <w:lang w:val="en-US"/>
        </w:rPr>
      </w:pPr>
      <w:bookmarkStart w:id="6" w:name="_Toc233466231"/>
      <w:r>
        <w:t>6.1</w:t>
      </w:r>
      <w:r>
        <w:tab/>
      </w:r>
      <w:r w:rsidR="00B07625">
        <w:t>Wearable Health Technologies and Chronic Condition Management</w:t>
      </w:r>
      <w:bookmarkEnd w:id="6"/>
    </w:p>
    <w:p w14:paraId="0D7A0D5B" w14:textId="77777777" w:rsidR="00B07625" w:rsidRDefault="00A371A0" w:rsidP="007C42E8">
      <w:pPr>
        <w:ind w:firstLine="720"/>
        <w:rPr>
          <w:lang w:val="en-US"/>
        </w:rPr>
      </w:pPr>
      <w:r w:rsidRPr="00A371A0">
        <w:rPr>
          <w:lang w:val="en-US"/>
        </w:rPr>
        <w:t>Wearable health technologies can assist individuals with chronic conditions by providing real-time data outside of the healthcare setting as appropriate, enabling patients and healthcare providers to access these devices at any time and in any location. For instance, a smartwatch can track the heartbeat, activity, sleep habits and potential heart rate variations that can alert individuals with heart related issues to early warning indicators. This generates value - care is more preventative and not reactive. The Technology Acceptance Model is applicable because wearable technologies will be used more if they are perceived as useful and easy to use (Davis, 1989). There is growing evidence that remote monitoring is helpful in supporting self-management but should not be used instead of the clinical judgement of the health care provider (Vegesna et al., 2017).</w:t>
      </w:r>
    </w:p>
    <w:p w14:paraId="1E5F1B00" w14:textId="77777777" w:rsidR="00B07625" w:rsidRDefault="00B07625" w:rsidP="007C42E8">
      <w:pPr>
        <w:ind w:firstLine="720"/>
        <w:rPr>
          <w:lang w:val="en-US"/>
        </w:rPr>
      </w:pPr>
    </w:p>
    <w:p w14:paraId="419B98A8" w14:textId="77777777" w:rsidR="00B07625" w:rsidRPr="00B07625" w:rsidRDefault="00FD7180" w:rsidP="007C42E8">
      <w:pPr>
        <w:pStyle w:val="Heading2"/>
        <w:rPr>
          <w:lang w:val="en-US"/>
        </w:rPr>
      </w:pPr>
      <w:bookmarkStart w:id="7" w:name="_Toc233466232"/>
      <w:r>
        <w:t>6.2</w:t>
      </w:r>
      <w:r>
        <w:tab/>
      </w:r>
      <w:r w:rsidR="00B07625">
        <w:t>Electronic Health Records and Interprofessional Communication</w:t>
      </w:r>
      <w:bookmarkEnd w:id="7"/>
    </w:p>
    <w:p w14:paraId="093C2DB7" w14:textId="43C41847" w:rsidR="00B07625" w:rsidRDefault="00A371A0" w:rsidP="007C42E8">
      <w:pPr>
        <w:ind w:firstLine="720"/>
        <w:rPr>
          <w:lang w:val="en-US"/>
        </w:rPr>
      </w:pPr>
      <w:r w:rsidRPr="00A371A0">
        <w:rPr>
          <w:lang w:val="en-US"/>
        </w:rPr>
        <w:t xml:space="preserve">The use of EHRs facilitates better communication between </w:t>
      </w:r>
      <w:r w:rsidR="001C7143" w:rsidRPr="00A371A0">
        <w:rPr>
          <w:lang w:val="en-US"/>
        </w:rPr>
        <w:t>authorized</w:t>
      </w:r>
      <w:r w:rsidRPr="00A371A0">
        <w:rPr>
          <w:lang w:val="en-US"/>
        </w:rPr>
        <w:t xml:space="preserve"> healthcare professionals to access patients' records more efficiently and quickly (Nguyen et al., 2019). This in practice can </w:t>
      </w:r>
      <w:r w:rsidR="001C7143" w:rsidRPr="00A371A0">
        <w:rPr>
          <w:lang w:val="en-US"/>
        </w:rPr>
        <w:t>minimize</w:t>
      </w:r>
      <w:r w:rsidRPr="00A371A0">
        <w:rPr>
          <w:lang w:val="en-US"/>
        </w:rPr>
        <w:t xml:space="preserve"> the repetition of questions, medication errors, and disjointed decision making between the GP, hospital, pharmacy and social care teams. It's not just about the ability to store a huge amount of data in digital format, it's about coordinating care that is safer across the </w:t>
      </w:r>
      <w:r w:rsidR="001C7143" w:rsidRPr="00A371A0">
        <w:rPr>
          <w:lang w:val="en-US"/>
        </w:rPr>
        <w:t>organizational</w:t>
      </w:r>
      <w:r w:rsidRPr="00A371A0">
        <w:rPr>
          <w:lang w:val="en-US"/>
        </w:rPr>
        <w:t xml:space="preserve"> structure. For instance, an emergency clinician can more effectively determine a treatment, given the ability to see allergies, medication history and recent test results. This is the Technology Acceptance Model as it will require adoption by staff </w:t>
      </w:r>
      <w:r w:rsidRPr="00A371A0">
        <w:rPr>
          <w:lang w:val="en-US"/>
        </w:rPr>
        <w:lastRenderedPageBreak/>
        <w:t>based on the perceived usefulness and ease of use (Davis, 1989). Adopting EHR can help enhance information availability, but it is poorly designed with can cause a workload and documentation burden (Kruse et al., 2018).</w:t>
      </w:r>
    </w:p>
    <w:p w14:paraId="64B2804C" w14:textId="77777777" w:rsidR="00B07625" w:rsidRDefault="00B07625" w:rsidP="007C42E8">
      <w:pPr>
        <w:ind w:firstLine="720"/>
        <w:rPr>
          <w:lang w:val="en-US"/>
        </w:rPr>
      </w:pPr>
    </w:p>
    <w:p w14:paraId="2EF0D401" w14:textId="77777777" w:rsidR="00B07625" w:rsidRPr="00B07625" w:rsidRDefault="00FD7180" w:rsidP="007C42E8">
      <w:pPr>
        <w:pStyle w:val="Heading2"/>
        <w:rPr>
          <w:lang w:val="en-US"/>
        </w:rPr>
      </w:pPr>
      <w:bookmarkStart w:id="8" w:name="_Toc233466233"/>
      <w:r>
        <w:t>6.3</w:t>
      </w:r>
      <w:r>
        <w:tab/>
      </w:r>
      <w:r w:rsidR="00B07625">
        <w:t>Digital Technology for Preventative Care and Health Promotion</w:t>
      </w:r>
      <w:bookmarkEnd w:id="8"/>
    </w:p>
    <w:p w14:paraId="6801EF85" w14:textId="178FB766" w:rsidR="00B07625" w:rsidRPr="00B07625" w:rsidRDefault="00A371A0" w:rsidP="007C42E8">
      <w:pPr>
        <w:ind w:firstLine="720"/>
        <w:rPr>
          <w:lang w:val="en-US"/>
        </w:rPr>
      </w:pPr>
      <w:r w:rsidRPr="00A371A0">
        <w:rPr>
          <w:lang w:val="en-US"/>
        </w:rPr>
        <w:t xml:space="preserve">Digital technology can play a role in prevention; it has the potential to detect issues earlier on and help people start healthier </w:t>
      </w:r>
      <w:r w:rsidR="001C7143" w:rsidRPr="00A371A0">
        <w:rPr>
          <w:lang w:val="en-US"/>
        </w:rPr>
        <w:t>behaviors</w:t>
      </w:r>
      <w:r w:rsidRPr="00A371A0">
        <w:rPr>
          <w:lang w:val="en-US"/>
        </w:rPr>
        <w:t xml:space="preserve"> before they get full blown disease (</w:t>
      </w:r>
      <w:proofErr w:type="spellStart"/>
      <w:r w:rsidRPr="00A371A0">
        <w:rPr>
          <w:lang w:val="en-US"/>
        </w:rPr>
        <w:t>Helbostad</w:t>
      </w:r>
      <w:proofErr w:type="spellEnd"/>
      <w:r w:rsidRPr="00A371A0">
        <w:rPr>
          <w:lang w:val="en-US"/>
        </w:rPr>
        <w:t xml:space="preserve"> et al., 2017). A mobile app could remind individuals at risk for type 2 diabetes about food, activity information, diabetes information and screening reminders, for instance. This can build value, as it can assist before a complication arises and small changes could be made which helps to reduce the need for services in the long term. The TAM is a useful model as it can be applied to preventative tools that need to be used as part of everyday life (Davis, 1989). While digital interventions show potential to positively influence health </w:t>
      </w:r>
      <w:r w:rsidR="001C7143" w:rsidRPr="00A371A0">
        <w:rPr>
          <w:lang w:val="en-US"/>
        </w:rPr>
        <w:t>behaviors</w:t>
      </w:r>
      <w:r w:rsidRPr="00A371A0">
        <w:rPr>
          <w:lang w:val="en-US"/>
        </w:rPr>
        <w:t>, one of the challenges is engagement (Murray et al., 2016).</w:t>
      </w:r>
    </w:p>
    <w:p w14:paraId="2D4EB442" w14:textId="77777777" w:rsidR="00EC1A32" w:rsidRDefault="00EC1A32" w:rsidP="007C42E8"/>
    <w:p w14:paraId="3F6613E1" w14:textId="77777777" w:rsidR="00B07625" w:rsidRPr="00B07625" w:rsidRDefault="00FD7180" w:rsidP="007C42E8">
      <w:pPr>
        <w:pStyle w:val="Heading1"/>
        <w:rPr>
          <w:lang w:val="en-US"/>
        </w:rPr>
      </w:pPr>
      <w:bookmarkStart w:id="9" w:name="_Toc233466234"/>
      <w:r>
        <w:rPr>
          <w:lang w:val="en-US"/>
        </w:rPr>
        <w:t>7.</w:t>
      </w:r>
      <w:r>
        <w:rPr>
          <w:lang w:val="en-US"/>
        </w:rPr>
        <w:tab/>
      </w:r>
      <w:r w:rsidR="00B07625">
        <w:rPr>
          <w:lang w:val="en-US"/>
        </w:rPr>
        <w:t>Task 7:</w:t>
      </w:r>
      <w:r w:rsidR="00B07625" w:rsidRPr="00B07625">
        <w:rPr>
          <w:lang w:val="en-US"/>
        </w:rPr>
        <w:t xml:space="preserve"> Understanding the NHS Leadership Framework</w:t>
      </w:r>
      <w:bookmarkEnd w:id="9"/>
    </w:p>
    <w:p w14:paraId="4A1578A7" w14:textId="77777777" w:rsidR="00B07625" w:rsidRPr="00B07625" w:rsidRDefault="00B07625" w:rsidP="007C42E8">
      <w:pPr>
        <w:pStyle w:val="Heading2"/>
        <w:rPr>
          <w:lang w:val="en-US"/>
        </w:rPr>
      </w:pPr>
      <w:bookmarkStart w:id="10" w:name="_Toc233466235"/>
      <w:r>
        <w:rPr>
          <w:lang w:val="en-US"/>
        </w:rPr>
        <w:t>7.1</w:t>
      </w:r>
      <w:r>
        <w:rPr>
          <w:lang w:val="en-US"/>
        </w:rPr>
        <w:tab/>
      </w:r>
      <w:r w:rsidRPr="00B07625">
        <w:rPr>
          <w:lang w:val="en-US"/>
        </w:rPr>
        <w:t>Summary of the NHS Healthcare Leadership Model</w:t>
      </w:r>
      <w:bookmarkEnd w:id="10"/>
    </w:p>
    <w:p w14:paraId="34C2774F" w14:textId="61B1F331" w:rsidR="00B07625" w:rsidRDefault="00A371A0" w:rsidP="007C42E8">
      <w:pPr>
        <w:ind w:firstLine="720"/>
        <w:rPr>
          <w:lang w:val="en-US"/>
        </w:rPr>
      </w:pPr>
      <w:r w:rsidRPr="00A371A0">
        <w:rPr>
          <w:lang w:val="en-US"/>
        </w:rPr>
        <w:t xml:space="preserve">The NHS Healthcare Leadership Model dissects leadership into the </w:t>
      </w:r>
      <w:r w:rsidR="001C7143" w:rsidRPr="00A371A0">
        <w:rPr>
          <w:lang w:val="en-US"/>
        </w:rPr>
        <w:t>behaviors</w:t>
      </w:r>
      <w:r w:rsidRPr="00A371A0">
        <w:rPr>
          <w:lang w:val="en-US"/>
        </w:rPr>
        <w:t xml:space="preserve"> that enable staff to continually enhance the quality of their services, support for other staff and safeguarding patients' health and care (NHS Leadership, 2026). The thrust is into inspiring shared purpose, leading with care, evaluating information, connecting services, sharing the vision, engaging the team, holding to account, developing capability and influencing for results. Leaders of health and social care make a difference: this is of importance as leadership is about more than just ‘letting them know what to do' and about setting up conditions where staff can think, speak and do better. Thus</w:t>
      </w:r>
      <w:r>
        <w:rPr>
          <w:lang w:val="en-US"/>
        </w:rPr>
        <w:t>,</w:t>
      </w:r>
      <w:r w:rsidRPr="00A371A0">
        <w:rPr>
          <w:lang w:val="en-US"/>
        </w:rPr>
        <w:t xml:space="preserve"> leadership should promote a culture of learning (as opposed to blaming). It is also related to transformational leadership which involves enhancing the performance of others by providing a sense of purpose, support and facilitating new cognitive processes (Bass and Avolio, 1994).</w:t>
      </w:r>
    </w:p>
    <w:p w14:paraId="2367E6F8" w14:textId="77777777" w:rsidR="00B07625" w:rsidRPr="00B07625" w:rsidRDefault="00B07625" w:rsidP="007C42E8">
      <w:pPr>
        <w:rPr>
          <w:lang w:val="en-US"/>
        </w:rPr>
      </w:pPr>
    </w:p>
    <w:p w14:paraId="641486B1" w14:textId="3119A34F" w:rsidR="00B07625" w:rsidRPr="00B07625" w:rsidRDefault="00B07625" w:rsidP="007C42E8">
      <w:pPr>
        <w:pStyle w:val="Heading2"/>
        <w:rPr>
          <w:lang w:val="en-US"/>
        </w:rPr>
      </w:pPr>
      <w:bookmarkStart w:id="11" w:name="_Toc233466236"/>
      <w:r>
        <w:rPr>
          <w:lang w:val="en-US"/>
        </w:rPr>
        <w:t>7.2</w:t>
      </w:r>
      <w:r>
        <w:rPr>
          <w:lang w:val="en-US"/>
        </w:rPr>
        <w:tab/>
      </w:r>
      <w:r w:rsidRPr="00B07625">
        <w:rPr>
          <w:lang w:val="en-US"/>
        </w:rPr>
        <w:t xml:space="preserve">Leadership </w:t>
      </w:r>
      <w:r w:rsidR="001C7143" w:rsidRPr="00B07625">
        <w:rPr>
          <w:lang w:val="en-US"/>
        </w:rPr>
        <w:t>Behaviors</w:t>
      </w:r>
      <w:r w:rsidRPr="00B07625">
        <w:rPr>
          <w:lang w:val="en-US"/>
        </w:rPr>
        <w:t xml:space="preserve"> to Encourage Creativity</w:t>
      </w:r>
      <w:bookmarkEnd w:id="11"/>
    </w:p>
    <w:p w14:paraId="028022E6" w14:textId="1662A996" w:rsidR="00B07625" w:rsidRDefault="00A371A0" w:rsidP="007C42E8">
      <w:pPr>
        <w:ind w:firstLine="720"/>
        <w:rPr>
          <w:lang w:val="en-US"/>
        </w:rPr>
      </w:pPr>
      <w:r w:rsidRPr="00A371A0">
        <w:rPr>
          <w:lang w:val="en-US"/>
        </w:rPr>
        <w:t xml:space="preserve">One helpful </w:t>
      </w:r>
      <w:r w:rsidR="001C7143" w:rsidRPr="00A371A0">
        <w:rPr>
          <w:lang w:val="en-US"/>
        </w:rPr>
        <w:t>behavior</w:t>
      </w:r>
      <w:r w:rsidRPr="00A371A0">
        <w:rPr>
          <w:lang w:val="en-US"/>
        </w:rPr>
        <w:t xml:space="preserve"> is giving inspiration… Another way a leader might use this </w:t>
      </w:r>
      <w:r w:rsidR="001C7143" w:rsidRPr="00A371A0">
        <w:rPr>
          <w:lang w:val="en-US"/>
        </w:rPr>
        <w:t>behavior</w:t>
      </w:r>
      <w:r w:rsidRPr="00A371A0">
        <w:rPr>
          <w:lang w:val="en-US"/>
        </w:rPr>
        <w:t xml:space="preserve"> to influence creativity is to help staff become more aware of the importance of improvement; this may be accomplished by helping them connect to why change is needed for their patients rather than as an </w:t>
      </w:r>
      <w:r w:rsidR="001C7143" w:rsidRPr="00A371A0">
        <w:rPr>
          <w:lang w:val="en-US"/>
        </w:rPr>
        <w:t>organi</w:t>
      </w:r>
      <w:r w:rsidR="001C7143">
        <w:rPr>
          <w:lang w:val="en-US"/>
        </w:rPr>
        <w:t>z</w:t>
      </w:r>
      <w:r w:rsidR="001C7143" w:rsidRPr="00A371A0">
        <w:rPr>
          <w:lang w:val="en-US"/>
        </w:rPr>
        <w:t>ation’s</w:t>
      </w:r>
      <w:r w:rsidRPr="00A371A0">
        <w:rPr>
          <w:lang w:val="en-US"/>
        </w:rPr>
        <w:t xml:space="preserve"> goal (Graban, 2018). For instance, if there are </w:t>
      </w:r>
      <w:r w:rsidRPr="00A371A0">
        <w:rPr>
          <w:lang w:val="en-US"/>
        </w:rPr>
        <w:lastRenderedPageBreak/>
        <w:t>delays in discharge planning in a ward, the leader could use this as a platform to re-design this in concept and collaboration with the nurses, therapists, social workers and patients. Time, resources, and honest communication, however, are needed to ensure that shared purpose becomes more than motivational words, but has a real impact.</w:t>
      </w:r>
    </w:p>
    <w:p w14:paraId="08C788EE" w14:textId="77777777" w:rsidR="00B07625" w:rsidRPr="00B07625" w:rsidRDefault="00B07625" w:rsidP="007C42E8">
      <w:pPr>
        <w:rPr>
          <w:lang w:val="en-US"/>
        </w:rPr>
      </w:pPr>
    </w:p>
    <w:p w14:paraId="69DCCEDA" w14:textId="77777777" w:rsidR="00B07625" w:rsidRPr="00B07625" w:rsidRDefault="00B07625" w:rsidP="007C42E8">
      <w:pPr>
        <w:pStyle w:val="Heading2"/>
        <w:rPr>
          <w:lang w:val="en-US"/>
        </w:rPr>
      </w:pPr>
      <w:bookmarkStart w:id="12" w:name="_Toc233466237"/>
      <w:r>
        <w:rPr>
          <w:lang w:val="en-US"/>
        </w:rPr>
        <w:t>7.3</w:t>
      </w:r>
      <w:r>
        <w:rPr>
          <w:lang w:val="en-US"/>
        </w:rPr>
        <w:tab/>
      </w:r>
      <w:r w:rsidRPr="00B07625">
        <w:rPr>
          <w:lang w:val="en-US"/>
        </w:rPr>
        <w:t>Reflective Learning</w:t>
      </w:r>
      <w:bookmarkEnd w:id="12"/>
    </w:p>
    <w:p w14:paraId="56F88176" w14:textId="77777777" w:rsidR="00B07625" w:rsidRPr="00B07625" w:rsidRDefault="00A371A0" w:rsidP="007C42E8">
      <w:pPr>
        <w:ind w:firstLine="720"/>
        <w:rPr>
          <w:lang w:val="en-US"/>
        </w:rPr>
      </w:pPr>
      <w:r w:rsidRPr="00A371A0">
        <w:rPr>
          <w:lang w:val="en-US"/>
        </w:rPr>
        <w:t>The module has expanded its understanding of the meaning of creativity in health and social work not to be restricted to thinking in an artistic manner. It's more of a challenge to accepted solutions, and thinking about how to more effectively address actual challenges. As mentioned before, innovation may have been considered primarily related to digital technology up until now, but the weekly tasks confirmed that it can also be achieved by small changes in communication, leadership and team working (Brunner et al., 2023). Mind mapping proved to be especially effective as it highlighted issues associated with waiting time and linked them with other issues in the system</w:t>
      </w:r>
      <w:r w:rsidR="007D1B30">
        <w:rPr>
          <w:lang w:val="en-US"/>
        </w:rPr>
        <w:t xml:space="preserve">. </w:t>
      </w:r>
      <w:r w:rsidRPr="00A371A0">
        <w:rPr>
          <w:lang w:val="en-US"/>
        </w:rPr>
        <w:t>Future professional practice would involve careful testing of the creative idea, connecting with evidence and determining if the idea improves outcomes for service users.</w:t>
      </w:r>
    </w:p>
    <w:p w14:paraId="168B7B97" w14:textId="77777777" w:rsidR="00B07625" w:rsidRDefault="00B07625" w:rsidP="007C42E8"/>
    <w:p w14:paraId="0010FCAB" w14:textId="77777777" w:rsidR="00B36DD8" w:rsidRPr="00B36DD8" w:rsidRDefault="00FD7180" w:rsidP="007C42E8">
      <w:pPr>
        <w:pStyle w:val="Heading1"/>
        <w:rPr>
          <w:lang w:val="en-US"/>
        </w:rPr>
      </w:pPr>
      <w:bookmarkStart w:id="13" w:name="_Toc233466238"/>
      <w:r>
        <w:rPr>
          <w:lang w:val="en-US"/>
        </w:rPr>
        <w:t>8.</w:t>
      </w:r>
      <w:r>
        <w:rPr>
          <w:lang w:val="en-US"/>
        </w:rPr>
        <w:tab/>
      </w:r>
      <w:r w:rsidR="00B36DD8">
        <w:rPr>
          <w:lang w:val="en-US"/>
        </w:rPr>
        <w:t>Task 8:</w:t>
      </w:r>
      <w:r w:rsidR="00B36DD8" w:rsidRPr="00B36DD8">
        <w:rPr>
          <w:lang w:val="en-US"/>
        </w:rPr>
        <w:t xml:space="preserve"> Self-Reflection Journal Entry</w:t>
      </w:r>
      <w:bookmarkEnd w:id="13"/>
    </w:p>
    <w:p w14:paraId="26B9D110" w14:textId="77777777" w:rsidR="00A371A0" w:rsidRPr="00A371A0" w:rsidRDefault="00A371A0" w:rsidP="007C42E8">
      <w:pPr>
        <w:ind w:firstLine="720"/>
        <w:rPr>
          <w:lang w:val="en-US"/>
        </w:rPr>
      </w:pPr>
      <w:r w:rsidRPr="00A371A0">
        <w:rPr>
          <w:lang w:val="en-US"/>
        </w:rPr>
        <w:t>According to Gibbs' Reflective Cycle this journal is a reflection on how the module has changed understanding of creativity, innovation and value creation</w:t>
      </w:r>
      <w:r>
        <w:rPr>
          <w:lang w:val="en-US"/>
        </w:rPr>
        <w:t xml:space="preserve"> </w:t>
      </w:r>
      <w:r w:rsidRPr="00A371A0">
        <w:rPr>
          <w:lang w:val="en-US"/>
        </w:rPr>
        <w:t xml:space="preserve">(O'Toole et al., 2026). The most significant learning was that creativity is not only about creating new ideas, but also solving practical problems in ways that affect the life of others. The mind map task brought this view to a new perspective, as there were many aspects and links associated to the long waiting times and not one cause. </w:t>
      </w:r>
    </w:p>
    <w:p w14:paraId="41961B58" w14:textId="77777777" w:rsidR="00B36DD8" w:rsidRPr="00B36DD8" w:rsidRDefault="00A371A0" w:rsidP="007C42E8">
      <w:pPr>
        <w:ind w:firstLine="720"/>
        <w:rPr>
          <w:lang w:val="en-US"/>
        </w:rPr>
      </w:pPr>
      <w:r w:rsidRPr="00A371A0">
        <w:rPr>
          <w:lang w:val="en-US"/>
        </w:rPr>
        <w:t>This learning can influence professional practice through developing a more enquiry and collaborative way of practice. As future placements or roles, problems wouldn't be accepted as a normal routine without going through a bit of reflection. Rather, ideas would be shared with other colleagues, evidence based and assessed according to whether they lead to an improvement in the quality of care, access or service-users' experiences.</w:t>
      </w:r>
    </w:p>
    <w:p w14:paraId="36A3DFDA" w14:textId="77777777" w:rsidR="00767669" w:rsidRDefault="00767669" w:rsidP="007C42E8">
      <w:pPr>
        <w:widowControl/>
        <w:jc w:val="left"/>
      </w:pPr>
      <w:r>
        <w:br w:type="page"/>
      </w:r>
    </w:p>
    <w:p w14:paraId="47CF82B7" w14:textId="77777777" w:rsidR="00B36DD8" w:rsidRDefault="00767669" w:rsidP="007C42E8">
      <w:pPr>
        <w:pStyle w:val="Heading1"/>
      </w:pPr>
      <w:bookmarkStart w:id="14" w:name="_Toc233466239"/>
      <w:r>
        <w:lastRenderedPageBreak/>
        <w:t>9.</w:t>
      </w:r>
      <w:r>
        <w:tab/>
        <w:t>References</w:t>
      </w:r>
      <w:bookmarkEnd w:id="14"/>
    </w:p>
    <w:p w14:paraId="7ED67C1F" w14:textId="77777777" w:rsidR="00B575AD" w:rsidRPr="00DD29A5" w:rsidRDefault="00B575AD" w:rsidP="007C42E8">
      <w:pPr>
        <w:ind w:left="720" w:hanging="720"/>
        <w:rPr>
          <w:lang w:val="en-US"/>
        </w:rPr>
      </w:pPr>
      <w:r w:rsidRPr="00DD29A5">
        <w:rPr>
          <w:lang w:val="en-US"/>
        </w:rPr>
        <w:t xml:space="preserve">Amabile, T.M. (1996) </w:t>
      </w:r>
      <w:r w:rsidRPr="00DD29A5">
        <w:rPr>
          <w:i/>
          <w:iCs/>
          <w:lang w:val="en-US"/>
        </w:rPr>
        <w:t>Creativity in Context</w:t>
      </w:r>
      <w:r w:rsidRPr="00DD29A5">
        <w:rPr>
          <w:lang w:val="en-US"/>
        </w:rPr>
        <w:t>. Boulder, CO: Westview Press.</w:t>
      </w:r>
    </w:p>
    <w:p w14:paraId="0564A2B5" w14:textId="77777777" w:rsidR="00B575AD" w:rsidRPr="00DD29A5" w:rsidRDefault="00B575AD" w:rsidP="007C42E8">
      <w:pPr>
        <w:ind w:left="720" w:hanging="720"/>
        <w:rPr>
          <w:lang w:val="en-US"/>
        </w:rPr>
      </w:pPr>
      <w:r w:rsidRPr="00DD29A5">
        <w:rPr>
          <w:lang w:val="en-US"/>
        </w:rPr>
        <w:t xml:space="preserve">Bass, B.M. and Avolio, B.J. (1994) </w:t>
      </w:r>
      <w:r w:rsidRPr="00DD29A5">
        <w:rPr>
          <w:i/>
          <w:iCs/>
          <w:lang w:val="en-US"/>
        </w:rPr>
        <w:t>Improving Organizational Effectiveness through Transformational Leadership</w:t>
      </w:r>
      <w:r w:rsidRPr="00DD29A5">
        <w:rPr>
          <w:lang w:val="en-US"/>
        </w:rPr>
        <w:t>. Thousand Oaks, CA: Sage Publications.</w:t>
      </w:r>
    </w:p>
    <w:p w14:paraId="00C2AD89" w14:textId="77777777" w:rsidR="00B575AD" w:rsidRDefault="00B575AD" w:rsidP="007C42E8">
      <w:pPr>
        <w:ind w:left="720" w:hanging="720"/>
      </w:pPr>
      <w:r w:rsidRPr="009D409C">
        <w:t xml:space="preserve">Brunner, T. J., Schuster, T., </w:t>
      </w:r>
      <w:r>
        <w:t>and</w:t>
      </w:r>
      <w:r w:rsidRPr="009D409C">
        <w:t xml:space="preserve"> Lehmann, C. (2023). Leadership’s long arm: The positive influence of digital leadership on managing technology-driven change over a strengthened service innovation capacity. </w:t>
      </w:r>
      <w:r w:rsidRPr="009D409C">
        <w:rPr>
          <w:i/>
          <w:iCs/>
        </w:rPr>
        <w:t>Frontiers in Psychology</w:t>
      </w:r>
      <w:r w:rsidRPr="009D409C">
        <w:t>, </w:t>
      </w:r>
      <w:r w:rsidRPr="009D409C">
        <w:rPr>
          <w:i/>
          <w:iCs/>
        </w:rPr>
        <w:t>14</w:t>
      </w:r>
      <w:r w:rsidRPr="009D409C">
        <w:t>, 988808.</w:t>
      </w:r>
      <w:r>
        <w:t xml:space="preserve"> </w:t>
      </w:r>
    </w:p>
    <w:p w14:paraId="47880197" w14:textId="77777777" w:rsidR="00B575AD" w:rsidRPr="00DD29A5" w:rsidRDefault="00B575AD" w:rsidP="007C42E8">
      <w:pPr>
        <w:ind w:left="720" w:hanging="720"/>
        <w:rPr>
          <w:lang w:val="en-US"/>
        </w:rPr>
      </w:pPr>
      <w:r w:rsidRPr="00DD29A5">
        <w:rPr>
          <w:lang w:val="en-US"/>
        </w:rPr>
        <w:t xml:space="preserve">Burnes, B. (2017) </w:t>
      </w:r>
      <w:r w:rsidRPr="00DD29A5">
        <w:rPr>
          <w:i/>
          <w:iCs/>
          <w:lang w:val="en-US"/>
        </w:rPr>
        <w:t>Managing Change</w:t>
      </w:r>
      <w:r w:rsidRPr="00DD29A5">
        <w:rPr>
          <w:lang w:val="en-US"/>
        </w:rPr>
        <w:t xml:space="preserve">. 7th </w:t>
      </w:r>
      <w:proofErr w:type="spellStart"/>
      <w:r w:rsidRPr="00DD29A5">
        <w:rPr>
          <w:lang w:val="en-US"/>
        </w:rPr>
        <w:t>edn</w:t>
      </w:r>
      <w:proofErr w:type="spellEnd"/>
      <w:r w:rsidRPr="00DD29A5">
        <w:rPr>
          <w:lang w:val="en-US"/>
        </w:rPr>
        <w:t>. Harlow: Pearson.</w:t>
      </w:r>
    </w:p>
    <w:p w14:paraId="47B1C6C3" w14:textId="77777777" w:rsidR="00B575AD" w:rsidRPr="00DD29A5" w:rsidRDefault="00B575AD" w:rsidP="007C42E8">
      <w:pPr>
        <w:ind w:left="720" w:hanging="720"/>
        <w:rPr>
          <w:lang w:val="en-US"/>
        </w:rPr>
      </w:pPr>
      <w:r w:rsidRPr="00DD29A5">
        <w:rPr>
          <w:lang w:val="en-US"/>
        </w:rPr>
        <w:t xml:space="preserve">Davis, F.D. (1989) ‘Perceived usefulness, perceived ease of use, and user acceptance of information technology’, </w:t>
      </w:r>
      <w:r w:rsidRPr="00DD29A5">
        <w:rPr>
          <w:i/>
          <w:iCs/>
          <w:lang w:val="en-US"/>
        </w:rPr>
        <w:t>MIS Quarterly</w:t>
      </w:r>
      <w:r w:rsidRPr="00DD29A5">
        <w:rPr>
          <w:lang w:val="en-US"/>
        </w:rPr>
        <w:t>, 13(3), pp. 319–340.</w:t>
      </w:r>
    </w:p>
    <w:p w14:paraId="0A230208" w14:textId="77777777" w:rsidR="00B575AD" w:rsidRPr="00DD29A5" w:rsidRDefault="00B575AD" w:rsidP="007C42E8">
      <w:pPr>
        <w:ind w:left="720" w:hanging="720"/>
        <w:rPr>
          <w:lang w:val="en-US"/>
        </w:rPr>
      </w:pPr>
      <w:r w:rsidRPr="00DD29A5">
        <w:rPr>
          <w:lang w:val="en-US"/>
        </w:rPr>
        <w:t xml:space="preserve">Gibbs, G. (1988) </w:t>
      </w:r>
      <w:r w:rsidRPr="00DD29A5">
        <w:rPr>
          <w:i/>
          <w:iCs/>
          <w:lang w:val="en-US"/>
        </w:rPr>
        <w:t>Learning by Doing: A Guide to Teaching and Learning Methods</w:t>
      </w:r>
      <w:r w:rsidRPr="00DD29A5">
        <w:rPr>
          <w:lang w:val="en-US"/>
        </w:rPr>
        <w:t>. Oxford: Oxford Polytechnic.</w:t>
      </w:r>
    </w:p>
    <w:p w14:paraId="7C11A28D" w14:textId="77777777" w:rsidR="00B575AD" w:rsidRDefault="00B575AD" w:rsidP="007C42E8">
      <w:pPr>
        <w:ind w:left="720" w:hanging="720"/>
      </w:pPr>
      <w:r w:rsidRPr="009D409C">
        <w:t>Graban, M. (2018). </w:t>
      </w:r>
      <w:r w:rsidRPr="009D409C">
        <w:rPr>
          <w:i/>
          <w:iCs/>
        </w:rPr>
        <w:t>Lean hospitals: improving quality, patient safety, and employee engagement</w:t>
      </w:r>
      <w:r w:rsidRPr="009D409C">
        <w:t>. Productivity Press.</w:t>
      </w:r>
      <w:r>
        <w:t xml:space="preserve"> </w:t>
      </w:r>
    </w:p>
    <w:p w14:paraId="4B95FD86" w14:textId="77777777" w:rsidR="00B575AD" w:rsidRPr="00DD29A5" w:rsidRDefault="00B575AD" w:rsidP="007C42E8">
      <w:pPr>
        <w:ind w:left="720" w:hanging="720"/>
        <w:rPr>
          <w:lang w:val="en-US"/>
        </w:rPr>
      </w:pPr>
      <w:r w:rsidRPr="00DD29A5">
        <w:t xml:space="preserve">Hall, L. H., Johnson, J., Watt, I., </w:t>
      </w:r>
      <w:proofErr w:type="spellStart"/>
      <w:r w:rsidRPr="00DD29A5">
        <w:t>Tsipa</w:t>
      </w:r>
      <w:proofErr w:type="spellEnd"/>
      <w:r w:rsidRPr="00DD29A5">
        <w:t>, A., and O’Connor, D. B. (2016). Healthcare staff wellbeing, burnout, and patient safety: a systematic review. </w:t>
      </w:r>
      <w:proofErr w:type="spellStart"/>
      <w:r w:rsidRPr="00DD29A5">
        <w:rPr>
          <w:i/>
          <w:iCs/>
        </w:rPr>
        <w:t>PloS</w:t>
      </w:r>
      <w:proofErr w:type="spellEnd"/>
      <w:r w:rsidRPr="00DD29A5">
        <w:rPr>
          <w:i/>
          <w:iCs/>
        </w:rPr>
        <w:t xml:space="preserve"> one</w:t>
      </w:r>
      <w:r w:rsidRPr="00DD29A5">
        <w:t>, </w:t>
      </w:r>
      <w:r w:rsidRPr="00DD29A5">
        <w:rPr>
          <w:i/>
          <w:iCs/>
        </w:rPr>
        <w:t>11</w:t>
      </w:r>
      <w:r w:rsidRPr="00DD29A5">
        <w:t>(7), e0159015.</w:t>
      </w:r>
    </w:p>
    <w:p w14:paraId="542BD2B9" w14:textId="77777777" w:rsidR="00B575AD" w:rsidRDefault="00B575AD" w:rsidP="007C42E8">
      <w:pPr>
        <w:ind w:left="720" w:hanging="720"/>
      </w:pPr>
      <w:proofErr w:type="spellStart"/>
      <w:r w:rsidRPr="009D409C">
        <w:t>Helbostad</w:t>
      </w:r>
      <w:proofErr w:type="spellEnd"/>
      <w:r w:rsidRPr="009D409C">
        <w:t xml:space="preserve">, J.L., </w:t>
      </w:r>
      <w:proofErr w:type="spellStart"/>
      <w:r w:rsidRPr="009D409C">
        <w:t>Vereijken</w:t>
      </w:r>
      <w:proofErr w:type="spellEnd"/>
      <w:r w:rsidRPr="009D409C">
        <w:t xml:space="preserve">, B., Becker, C., Todd, C., Taraldsen, K., </w:t>
      </w:r>
      <w:proofErr w:type="spellStart"/>
      <w:r w:rsidRPr="009D409C">
        <w:t>Pijnappels</w:t>
      </w:r>
      <w:proofErr w:type="spellEnd"/>
      <w:r w:rsidRPr="009D409C">
        <w:t xml:space="preserve">, M., Aminian, K. and Mellone, S., </w:t>
      </w:r>
      <w:r>
        <w:t>(</w:t>
      </w:r>
      <w:r w:rsidRPr="009D409C">
        <w:t>2017</w:t>
      </w:r>
      <w:r>
        <w:t>)</w:t>
      </w:r>
      <w:r w:rsidRPr="009D409C">
        <w:t>. Mobile health applications to promote active and healthy ageing. </w:t>
      </w:r>
      <w:r w:rsidRPr="009D409C">
        <w:rPr>
          <w:i/>
          <w:iCs/>
        </w:rPr>
        <w:t>Sensors</w:t>
      </w:r>
      <w:r w:rsidRPr="009D409C">
        <w:t>, </w:t>
      </w:r>
      <w:r w:rsidRPr="009D409C">
        <w:rPr>
          <w:i/>
          <w:iCs/>
        </w:rPr>
        <w:t>17</w:t>
      </w:r>
      <w:r w:rsidRPr="009D409C">
        <w:t>(3), p.622.</w:t>
      </w:r>
      <w:r>
        <w:t xml:space="preserve"> </w:t>
      </w:r>
    </w:p>
    <w:p w14:paraId="303FE344" w14:textId="77777777" w:rsidR="00B575AD" w:rsidRPr="00DD29A5" w:rsidRDefault="00B575AD" w:rsidP="007C42E8">
      <w:pPr>
        <w:ind w:left="720" w:hanging="720"/>
        <w:rPr>
          <w:lang w:val="en-US"/>
        </w:rPr>
      </w:pPr>
      <w:r w:rsidRPr="00DD29A5">
        <w:rPr>
          <w:lang w:val="en-US"/>
        </w:rPr>
        <w:t xml:space="preserve">Kruse, C.S., Stein, A., Thomas, H. and Kaur, H. (2018) ‘The use of electronic health records to support population health. A systematic review of the literature’, </w:t>
      </w:r>
      <w:r w:rsidRPr="00DD29A5">
        <w:rPr>
          <w:i/>
          <w:iCs/>
          <w:lang w:val="en-US"/>
        </w:rPr>
        <w:t>Journal of Medical Systems</w:t>
      </w:r>
      <w:r w:rsidRPr="00DD29A5">
        <w:rPr>
          <w:lang w:val="en-US"/>
        </w:rPr>
        <w:t>, 42(11), pp. 1–16.</w:t>
      </w:r>
    </w:p>
    <w:p w14:paraId="1DFE7C4D" w14:textId="77777777" w:rsidR="00B575AD" w:rsidRPr="00767669" w:rsidRDefault="00B575AD" w:rsidP="007C42E8">
      <w:pPr>
        <w:ind w:left="720" w:hanging="720"/>
        <w:rPr>
          <w:lang w:val="en-US"/>
        </w:rPr>
      </w:pPr>
      <w:r w:rsidRPr="00DD29A5">
        <w:t>Lawrence, W., Hine, J., Watson, D., Smedley, J., and Walker-Bone, K. (2022). How to improve hospital employees’ health and well-being: a staff consultation. </w:t>
      </w:r>
      <w:r w:rsidRPr="00DD29A5">
        <w:rPr>
          <w:i/>
          <w:iCs/>
        </w:rPr>
        <w:t>BMC Health Services Research</w:t>
      </w:r>
      <w:r w:rsidRPr="00DD29A5">
        <w:t>, </w:t>
      </w:r>
      <w:r w:rsidRPr="00DD29A5">
        <w:rPr>
          <w:i/>
          <w:iCs/>
        </w:rPr>
        <w:t>22</w:t>
      </w:r>
      <w:r w:rsidRPr="00DD29A5">
        <w:t>(1), 1488.</w:t>
      </w:r>
    </w:p>
    <w:p w14:paraId="46F34C38" w14:textId="77777777" w:rsidR="00B575AD" w:rsidRPr="00DD29A5" w:rsidRDefault="00B575AD" w:rsidP="007C42E8">
      <w:pPr>
        <w:ind w:left="720" w:hanging="720"/>
        <w:rPr>
          <w:lang w:val="en-US"/>
        </w:rPr>
      </w:pPr>
      <w:r w:rsidRPr="00DD29A5">
        <w:rPr>
          <w:lang w:val="en-US"/>
        </w:rPr>
        <w:t xml:space="preserve">Maslach, C. and Jackson, S.E. (1981) ‘The measurement of experienced burnout’, </w:t>
      </w:r>
      <w:r w:rsidRPr="00DD29A5">
        <w:rPr>
          <w:i/>
          <w:iCs/>
          <w:lang w:val="en-US"/>
        </w:rPr>
        <w:t xml:space="preserve">Journal of Occupational </w:t>
      </w:r>
      <w:proofErr w:type="spellStart"/>
      <w:r w:rsidRPr="00DD29A5">
        <w:rPr>
          <w:i/>
          <w:iCs/>
          <w:lang w:val="en-US"/>
        </w:rPr>
        <w:t>Behaviour</w:t>
      </w:r>
      <w:proofErr w:type="spellEnd"/>
      <w:r w:rsidRPr="00DD29A5">
        <w:rPr>
          <w:lang w:val="en-US"/>
        </w:rPr>
        <w:t>, 2(2), pp. 99–113.</w:t>
      </w:r>
    </w:p>
    <w:p w14:paraId="7EBFEDA9" w14:textId="77777777" w:rsidR="00B575AD" w:rsidRPr="00DD29A5" w:rsidRDefault="00B575AD" w:rsidP="007C42E8">
      <w:pPr>
        <w:ind w:left="720" w:hanging="720"/>
        <w:rPr>
          <w:lang w:val="en-US"/>
        </w:rPr>
      </w:pPr>
      <w:r w:rsidRPr="00DD29A5">
        <w:rPr>
          <w:lang w:val="en-US"/>
        </w:rPr>
        <w:t xml:space="preserve">Meadows, D.H. (2008) </w:t>
      </w:r>
      <w:r w:rsidRPr="00DD29A5">
        <w:rPr>
          <w:i/>
          <w:iCs/>
          <w:lang w:val="en-US"/>
        </w:rPr>
        <w:t>Thinking in Systems: A Primer</w:t>
      </w:r>
      <w:r w:rsidRPr="00DD29A5">
        <w:rPr>
          <w:lang w:val="en-US"/>
        </w:rPr>
        <w:t>. White River Junction, VT: Chelsea Green Publishing.</w:t>
      </w:r>
    </w:p>
    <w:p w14:paraId="240D6D20" w14:textId="77777777" w:rsidR="00B575AD" w:rsidRDefault="00B575AD" w:rsidP="007C42E8">
      <w:pPr>
        <w:ind w:left="720" w:hanging="720"/>
      </w:pPr>
      <w:proofErr w:type="spellStart"/>
      <w:r w:rsidRPr="009D409C">
        <w:t>Murala</w:t>
      </w:r>
      <w:proofErr w:type="spellEnd"/>
      <w:r w:rsidRPr="009D409C">
        <w:t xml:space="preserve">, D. K., Panda, S. K., </w:t>
      </w:r>
      <w:r>
        <w:t>and</w:t>
      </w:r>
      <w:r w:rsidRPr="009D409C">
        <w:t xml:space="preserve"> Dash, S. P. (2023). </w:t>
      </w:r>
      <w:proofErr w:type="spellStart"/>
      <w:r w:rsidRPr="009D409C">
        <w:t>MedMetaverse</w:t>
      </w:r>
      <w:proofErr w:type="spellEnd"/>
      <w:r w:rsidRPr="009D409C">
        <w:t>: Medical care of chronic disease patients and managing data using artificial intelligence, blockchain, and wearable devices state-of-the-art methodology. </w:t>
      </w:r>
      <w:r w:rsidRPr="009D409C">
        <w:rPr>
          <w:i/>
          <w:iCs/>
        </w:rPr>
        <w:t>IEEE access</w:t>
      </w:r>
      <w:r w:rsidRPr="009D409C">
        <w:t>, </w:t>
      </w:r>
      <w:r w:rsidRPr="009D409C">
        <w:rPr>
          <w:i/>
          <w:iCs/>
        </w:rPr>
        <w:t>11</w:t>
      </w:r>
      <w:r w:rsidRPr="009D409C">
        <w:t>, 138954-138985.</w:t>
      </w:r>
      <w:r>
        <w:t xml:space="preserve"> </w:t>
      </w:r>
    </w:p>
    <w:p w14:paraId="32201A80" w14:textId="77777777" w:rsidR="00B575AD" w:rsidRPr="00DD29A5" w:rsidRDefault="00B575AD" w:rsidP="007C42E8">
      <w:pPr>
        <w:ind w:left="720" w:hanging="720"/>
        <w:rPr>
          <w:lang w:val="en-US"/>
        </w:rPr>
      </w:pPr>
      <w:r w:rsidRPr="00DD29A5">
        <w:t xml:space="preserve">Murray, E., Hekler, E.B., Andersson, G., Collins, L.M., Doherty, A., Hollis, C., Rivera, D.E., West, R. and Wyatt, J.C., (2016). Evaluating digital health interventions: key questions </w:t>
      </w:r>
      <w:r w:rsidRPr="00DD29A5">
        <w:lastRenderedPageBreak/>
        <w:t>and approaches. </w:t>
      </w:r>
      <w:r w:rsidRPr="00DD29A5">
        <w:rPr>
          <w:i/>
          <w:iCs/>
        </w:rPr>
        <w:t>American journal of preventive medicine</w:t>
      </w:r>
      <w:r w:rsidRPr="00DD29A5">
        <w:t>, </w:t>
      </w:r>
      <w:r w:rsidRPr="00DD29A5">
        <w:rPr>
          <w:i/>
          <w:iCs/>
        </w:rPr>
        <w:t>51</w:t>
      </w:r>
      <w:r w:rsidRPr="00DD29A5">
        <w:t>(5), pp.843-851.</w:t>
      </w:r>
    </w:p>
    <w:p w14:paraId="14A56AFB" w14:textId="77777777" w:rsidR="00B575AD" w:rsidRDefault="00B575AD" w:rsidP="007C42E8">
      <w:pPr>
        <w:ind w:left="720" w:hanging="720"/>
      </w:pPr>
      <w:r w:rsidRPr="009D409C">
        <w:t xml:space="preserve">Nguyen, D. C., Pathirana, P. N., Ding, M., </w:t>
      </w:r>
      <w:r>
        <w:t>and</w:t>
      </w:r>
      <w:r w:rsidRPr="009D409C">
        <w:t xml:space="preserve"> Seneviratne, A. (2019). Blockchain for secure </w:t>
      </w:r>
      <w:proofErr w:type="spellStart"/>
      <w:r w:rsidRPr="009D409C">
        <w:t>ehrs</w:t>
      </w:r>
      <w:proofErr w:type="spellEnd"/>
      <w:r w:rsidRPr="009D409C">
        <w:t xml:space="preserve"> sharing of mobile cloud based e-health systems. </w:t>
      </w:r>
      <w:r w:rsidRPr="009D409C">
        <w:rPr>
          <w:i/>
          <w:iCs/>
        </w:rPr>
        <w:t>IEEE access</w:t>
      </w:r>
      <w:r w:rsidRPr="009D409C">
        <w:t>, </w:t>
      </w:r>
      <w:r w:rsidRPr="009D409C">
        <w:rPr>
          <w:i/>
          <w:iCs/>
        </w:rPr>
        <w:t>7</w:t>
      </w:r>
      <w:r w:rsidRPr="009D409C">
        <w:t>, 66792-66806.</w:t>
      </w:r>
      <w:r>
        <w:t xml:space="preserve"> </w:t>
      </w:r>
    </w:p>
    <w:p w14:paraId="2905E7CA" w14:textId="77777777" w:rsidR="00B575AD" w:rsidRPr="00DD29A5" w:rsidRDefault="00B575AD" w:rsidP="007C42E8">
      <w:pPr>
        <w:ind w:left="720" w:hanging="720"/>
        <w:rPr>
          <w:lang w:val="en-US"/>
        </w:rPr>
      </w:pPr>
      <w:r w:rsidRPr="00DD29A5">
        <w:rPr>
          <w:lang w:val="en-US"/>
        </w:rPr>
        <w:t xml:space="preserve">NHS England, (2023). </w:t>
      </w:r>
      <w:r w:rsidRPr="00DD29A5">
        <w:rPr>
          <w:i/>
          <w:iCs/>
          <w:lang w:val="en-US"/>
        </w:rPr>
        <w:t>Virtual Wards Including Hospital at Home</w:t>
      </w:r>
      <w:r w:rsidRPr="00DD29A5">
        <w:rPr>
          <w:lang w:val="en-US"/>
        </w:rPr>
        <w:t>. London: NHS England. Available at: https://www.england.nhs.uk/long-read/virtual-wards-including-hospital-at-home/ (Accessed: 27 June 2026).</w:t>
      </w:r>
    </w:p>
    <w:p w14:paraId="629A0A98" w14:textId="77777777" w:rsidR="00B575AD" w:rsidRDefault="00B575AD" w:rsidP="007C42E8">
      <w:pPr>
        <w:ind w:left="720" w:hanging="720"/>
      </w:pPr>
      <w:r>
        <w:t xml:space="preserve">NHS Leadership, (2026). </w:t>
      </w:r>
      <w:r w:rsidRPr="009D409C">
        <w:t>Healthcare Leadership Model</w:t>
      </w:r>
      <w:r>
        <w:t xml:space="preserve">. Available at: </w:t>
      </w:r>
      <w:hyperlink r:id="rId12" w:history="1">
        <w:r w:rsidRPr="003237B6">
          <w:rPr>
            <w:rStyle w:val="Hyperlink"/>
          </w:rPr>
          <w:t>https://www.leadershipacademy.nhs.uk/healthcare-leadership-model/</w:t>
        </w:r>
      </w:hyperlink>
      <w:r>
        <w:t xml:space="preserve"> [Accessed: 27 June 2025]</w:t>
      </w:r>
    </w:p>
    <w:p w14:paraId="4A955DBB" w14:textId="77777777" w:rsidR="00B575AD" w:rsidRDefault="00B575AD" w:rsidP="007C42E8">
      <w:pPr>
        <w:ind w:left="720" w:hanging="720"/>
      </w:pPr>
      <w:r w:rsidRPr="009D409C">
        <w:t xml:space="preserve">O'Toole, J., Benati, K., Beamish, A., Guy, M., </w:t>
      </w:r>
      <w:r>
        <w:t>and</w:t>
      </w:r>
      <w:r w:rsidRPr="009D409C">
        <w:t xml:space="preserve"> </w:t>
      </w:r>
      <w:proofErr w:type="spellStart"/>
      <w:r w:rsidRPr="009D409C">
        <w:t>Interrigi</w:t>
      </w:r>
      <w:proofErr w:type="spellEnd"/>
      <w:r w:rsidRPr="009D409C">
        <w:t>, F. (2026). Enhancing critical and creative thinking in sustainability education through reflective practice and project-based learning. </w:t>
      </w:r>
      <w:r w:rsidRPr="009D409C">
        <w:rPr>
          <w:i/>
          <w:iCs/>
        </w:rPr>
        <w:t>The International Journal of Management Education</w:t>
      </w:r>
      <w:r w:rsidRPr="009D409C">
        <w:t>, </w:t>
      </w:r>
      <w:r w:rsidRPr="009D409C">
        <w:rPr>
          <w:i/>
          <w:iCs/>
        </w:rPr>
        <w:t>24</w:t>
      </w:r>
      <w:r w:rsidRPr="009D409C">
        <w:t>(2), 101364.</w:t>
      </w:r>
      <w:r>
        <w:t xml:space="preserve"> </w:t>
      </w:r>
    </w:p>
    <w:p w14:paraId="5F39BA14" w14:textId="77777777" w:rsidR="00B575AD" w:rsidRPr="00DD29A5" w:rsidRDefault="00B575AD" w:rsidP="007C42E8">
      <w:pPr>
        <w:ind w:left="720" w:hanging="720"/>
        <w:rPr>
          <w:lang w:val="en-US"/>
        </w:rPr>
      </w:pPr>
      <w:r w:rsidRPr="00DD29A5">
        <w:rPr>
          <w:lang w:val="en-US"/>
        </w:rPr>
        <w:t xml:space="preserve">Porter, M.E. (2010) ‘What is value in health care?’, </w:t>
      </w:r>
      <w:r w:rsidRPr="00DD29A5">
        <w:rPr>
          <w:i/>
          <w:iCs/>
          <w:lang w:val="en-US"/>
        </w:rPr>
        <w:t>New England Journal of Medicine</w:t>
      </w:r>
      <w:r w:rsidRPr="00DD29A5">
        <w:rPr>
          <w:lang w:val="en-US"/>
        </w:rPr>
        <w:t>, 363(26), pp. 2477–2481.</w:t>
      </w:r>
    </w:p>
    <w:p w14:paraId="44A487BA" w14:textId="77777777" w:rsidR="00B575AD" w:rsidRDefault="00B575AD" w:rsidP="007C42E8">
      <w:pPr>
        <w:ind w:left="720" w:hanging="720"/>
      </w:pPr>
      <w:r w:rsidRPr="009D409C">
        <w:t xml:space="preserve">Rawlings, B. S., Chetwynd-Talbot, D., Husband, E., Nuttall, A., Quinn, E., Taggart, R., </w:t>
      </w:r>
      <w:r>
        <w:t>and</w:t>
      </w:r>
      <w:r w:rsidRPr="009D409C">
        <w:t xml:space="preserve"> Roome, H. E. (2025). Divergent thinking is linked with convergent thinking; implications for models of creativity. </w:t>
      </w:r>
      <w:r w:rsidRPr="009D409C">
        <w:rPr>
          <w:i/>
          <w:iCs/>
        </w:rPr>
        <w:t>Thinking &amp; Reasoning</w:t>
      </w:r>
      <w:r w:rsidRPr="009D409C">
        <w:t>, </w:t>
      </w:r>
      <w:r w:rsidRPr="009D409C">
        <w:rPr>
          <w:i/>
          <w:iCs/>
        </w:rPr>
        <w:t>31</w:t>
      </w:r>
      <w:r w:rsidRPr="009D409C">
        <w:t>(4), 586-608.</w:t>
      </w:r>
      <w:r>
        <w:t xml:space="preserve"> </w:t>
      </w:r>
    </w:p>
    <w:p w14:paraId="76F7CB13" w14:textId="77777777" w:rsidR="00B575AD" w:rsidRPr="00DD29A5" w:rsidRDefault="00B575AD" w:rsidP="007C42E8">
      <w:pPr>
        <w:ind w:left="720" w:hanging="720"/>
        <w:rPr>
          <w:lang w:val="en-US"/>
        </w:rPr>
      </w:pPr>
      <w:r w:rsidRPr="00DD29A5">
        <w:rPr>
          <w:lang w:val="en-US"/>
        </w:rPr>
        <w:t xml:space="preserve">Rogers, E.M. (2003) </w:t>
      </w:r>
      <w:r w:rsidRPr="00DD29A5">
        <w:rPr>
          <w:i/>
          <w:iCs/>
          <w:lang w:val="en-US"/>
        </w:rPr>
        <w:t>Diffusion of Innovations</w:t>
      </w:r>
      <w:r w:rsidRPr="00DD29A5">
        <w:rPr>
          <w:lang w:val="en-US"/>
        </w:rPr>
        <w:t xml:space="preserve">. 5th </w:t>
      </w:r>
      <w:proofErr w:type="spellStart"/>
      <w:r w:rsidRPr="00DD29A5">
        <w:rPr>
          <w:lang w:val="en-US"/>
        </w:rPr>
        <w:t>edn</w:t>
      </w:r>
      <w:proofErr w:type="spellEnd"/>
      <w:r w:rsidRPr="00DD29A5">
        <w:rPr>
          <w:lang w:val="en-US"/>
        </w:rPr>
        <w:t>. New York: Free Press.</w:t>
      </w:r>
    </w:p>
    <w:p w14:paraId="1B36964F" w14:textId="77777777" w:rsidR="00B575AD" w:rsidRDefault="00B575AD" w:rsidP="007C42E8">
      <w:pPr>
        <w:ind w:left="720" w:hanging="720"/>
      </w:pPr>
      <w:r w:rsidRPr="009D409C">
        <w:t xml:space="preserve">Rojas‐García, A., Turner, S., Pizzo, E., Hudson, E., Thomas, J., </w:t>
      </w:r>
      <w:r>
        <w:t>and</w:t>
      </w:r>
      <w:r w:rsidRPr="009D409C">
        <w:t xml:space="preserve"> Raine, R. (2018). Impact and experiences of delayed discharge: A mixed‐studies systematic review. </w:t>
      </w:r>
      <w:r w:rsidRPr="009D409C">
        <w:rPr>
          <w:i/>
          <w:iCs/>
        </w:rPr>
        <w:t>Health Expectations</w:t>
      </w:r>
      <w:r w:rsidRPr="009D409C">
        <w:t>, </w:t>
      </w:r>
      <w:r w:rsidRPr="009D409C">
        <w:rPr>
          <w:i/>
          <w:iCs/>
        </w:rPr>
        <w:t>21</w:t>
      </w:r>
      <w:r w:rsidRPr="009D409C">
        <w:t>(1), 41-56.</w:t>
      </w:r>
      <w:r>
        <w:t xml:space="preserve"> </w:t>
      </w:r>
    </w:p>
    <w:p w14:paraId="183118A9" w14:textId="77777777" w:rsidR="00B575AD" w:rsidRDefault="00B575AD" w:rsidP="007C42E8">
      <w:pPr>
        <w:ind w:left="720" w:hanging="720"/>
      </w:pPr>
      <w:r>
        <w:t xml:space="preserve">UK Parliament, (2025). </w:t>
      </w:r>
      <w:r w:rsidRPr="009D409C">
        <w:t>Virtual wards and hospital at home</w:t>
      </w:r>
      <w:r>
        <w:t xml:space="preserve">. Available at: </w:t>
      </w:r>
      <w:hyperlink r:id="rId13" w:history="1">
        <w:r w:rsidRPr="003237B6">
          <w:rPr>
            <w:rStyle w:val="Hyperlink"/>
          </w:rPr>
          <w:t>https://researchbriefings.files.parliament.uk/documents/POST-PN-0744/POST-PN-0744.pdf</w:t>
        </w:r>
      </w:hyperlink>
      <w:r>
        <w:t xml:space="preserve"> [Accessed: 27 June 2025]</w:t>
      </w:r>
    </w:p>
    <w:p w14:paraId="2E8BDB92" w14:textId="77777777" w:rsidR="00B575AD" w:rsidRPr="00DD29A5" w:rsidRDefault="00B575AD" w:rsidP="007C42E8">
      <w:pPr>
        <w:ind w:left="720" w:hanging="720"/>
        <w:rPr>
          <w:lang w:val="en-US"/>
        </w:rPr>
      </w:pPr>
      <w:r w:rsidRPr="00DD29A5">
        <w:t xml:space="preserve">Vegesna, A., Tran, M., </w:t>
      </w:r>
      <w:proofErr w:type="spellStart"/>
      <w:r w:rsidRPr="00DD29A5">
        <w:t>Angelaccio</w:t>
      </w:r>
      <w:proofErr w:type="spellEnd"/>
      <w:r w:rsidRPr="00DD29A5">
        <w:t>, M., and Arcona, S. (2017). Remote patient monitoring via non-invasive digital technologies: a systematic review. </w:t>
      </w:r>
      <w:r w:rsidRPr="00DD29A5">
        <w:rPr>
          <w:i/>
          <w:iCs/>
        </w:rPr>
        <w:t>Telemedicine and e-Health</w:t>
      </w:r>
      <w:r w:rsidRPr="00DD29A5">
        <w:t>, </w:t>
      </w:r>
      <w:r w:rsidRPr="00DD29A5">
        <w:rPr>
          <w:i/>
          <w:iCs/>
        </w:rPr>
        <w:t>23</w:t>
      </w:r>
      <w:r w:rsidRPr="00DD29A5">
        <w:t>(1), 3-17.</w:t>
      </w:r>
    </w:p>
    <w:p w14:paraId="46733127" w14:textId="77777777" w:rsidR="00767669" w:rsidRPr="00EC1A32" w:rsidRDefault="00767669" w:rsidP="007C42E8"/>
    <w:sectPr w:rsidR="00767669" w:rsidRPr="00EC1A32" w:rsidSect="009777D7">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C5875" w14:textId="77777777" w:rsidR="00F01375" w:rsidRDefault="00F01375" w:rsidP="009777D7">
      <w:pPr>
        <w:spacing w:line="240" w:lineRule="auto"/>
      </w:pPr>
      <w:r>
        <w:separator/>
      </w:r>
    </w:p>
  </w:endnote>
  <w:endnote w:type="continuationSeparator" w:id="0">
    <w:p w14:paraId="7B3496BB" w14:textId="77777777" w:rsidR="00F01375" w:rsidRDefault="00F01375" w:rsidP="009777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4367941"/>
      <w:docPartObj>
        <w:docPartGallery w:val="Page Numbers (Bottom of Page)"/>
        <w:docPartUnique/>
      </w:docPartObj>
    </w:sdtPr>
    <w:sdtEndPr>
      <w:rPr>
        <w:noProof/>
      </w:rPr>
    </w:sdtEndPr>
    <w:sdtContent>
      <w:p w14:paraId="25DAB201" w14:textId="77777777" w:rsidR="009777D7" w:rsidRDefault="009777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EB9153" w14:textId="77777777" w:rsidR="009777D7" w:rsidRDefault="00977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AFBA1" w14:textId="77777777" w:rsidR="00F01375" w:rsidRDefault="00F01375" w:rsidP="009777D7">
      <w:pPr>
        <w:spacing w:line="240" w:lineRule="auto"/>
      </w:pPr>
      <w:r>
        <w:separator/>
      </w:r>
    </w:p>
  </w:footnote>
  <w:footnote w:type="continuationSeparator" w:id="0">
    <w:p w14:paraId="6F35EBA6" w14:textId="77777777" w:rsidR="00F01375" w:rsidRDefault="00F01375" w:rsidP="009777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8682A"/>
    <w:multiLevelType w:val="hybridMultilevel"/>
    <w:tmpl w:val="A24CB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E17554"/>
    <w:multiLevelType w:val="multilevel"/>
    <w:tmpl w:val="D7349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9777F0"/>
    <w:multiLevelType w:val="hybridMultilevel"/>
    <w:tmpl w:val="C7F83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7E7866"/>
    <w:multiLevelType w:val="hybridMultilevel"/>
    <w:tmpl w:val="5C52151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7F7864C0"/>
    <w:multiLevelType w:val="singleLevel"/>
    <w:tmpl w:val="B414F5C8"/>
    <w:lvl w:ilvl="0">
      <w:numFmt w:val="bullet"/>
      <w:lvlText w:val="-"/>
      <w:lvlJc w:val="left"/>
      <w:pPr>
        <w:tabs>
          <w:tab w:val="num" w:pos="1080"/>
        </w:tabs>
        <w:ind w:left="1080" w:hanging="360"/>
      </w:pPr>
      <w:rPr>
        <w:rFonts w:hint="default"/>
      </w:rPr>
    </w:lvl>
  </w:abstractNum>
  <w:num w:numId="1" w16cid:durableId="1665206624">
    <w:abstractNumId w:val="4"/>
  </w:num>
  <w:num w:numId="2" w16cid:durableId="1933121512">
    <w:abstractNumId w:val="3"/>
  </w:num>
  <w:num w:numId="3" w16cid:durableId="56440271">
    <w:abstractNumId w:val="0"/>
  </w:num>
  <w:num w:numId="4" w16cid:durableId="684677175">
    <w:abstractNumId w:val="1"/>
  </w:num>
  <w:num w:numId="5" w16cid:durableId="8255102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DFC"/>
    <w:rsid w:val="00000D39"/>
    <w:rsid w:val="000722E0"/>
    <w:rsid w:val="00082CBB"/>
    <w:rsid w:val="00086263"/>
    <w:rsid w:val="00093485"/>
    <w:rsid w:val="0009560A"/>
    <w:rsid w:val="000B233C"/>
    <w:rsid w:val="000D43A3"/>
    <w:rsid w:val="00114B2E"/>
    <w:rsid w:val="00117176"/>
    <w:rsid w:val="00117A05"/>
    <w:rsid w:val="0012150F"/>
    <w:rsid w:val="001532D2"/>
    <w:rsid w:val="00155BAE"/>
    <w:rsid w:val="001614AE"/>
    <w:rsid w:val="001622E4"/>
    <w:rsid w:val="00171A80"/>
    <w:rsid w:val="00193552"/>
    <w:rsid w:val="001C7143"/>
    <w:rsid w:val="001D7A6D"/>
    <w:rsid w:val="001F2C28"/>
    <w:rsid w:val="001F72DA"/>
    <w:rsid w:val="00201E6D"/>
    <w:rsid w:val="00225D47"/>
    <w:rsid w:val="00231CAB"/>
    <w:rsid w:val="0023478A"/>
    <w:rsid w:val="00234CC0"/>
    <w:rsid w:val="00235444"/>
    <w:rsid w:val="00257FF2"/>
    <w:rsid w:val="00264D5C"/>
    <w:rsid w:val="002D3B5D"/>
    <w:rsid w:val="002E2975"/>
    <w:rsid w:val="002E7EF7"/>
    <w:rsid w:val="00325C60"/>
    <w:rsid w:val="00345EA9"/>
    <w:rsid w:val="00346C6B"/>
    <w:rsid w:val="003504E5"/>
    <w:rsid w:val="00354B94"/>
    <w:rsid w:val="003606C1"/>
    <w:rsid w:val="00384826"/>
    <w:rsid w:val="00391AD5"/>
    <w:rsid w:val="00393C5E"/>
    <w:rsid w:val="00393DE6"/>
    <w:rsid w:val="003B24FF"/>
    <w:rsid w:val="003C5961"/>
    <w:rsid w:val="003F4196"/>
    <w:rsid w:val="003F6001"/>
    <w:rsid w:val="003F6357"/>
    <w:rsid w:val="00424E44"/>
    <w:rsid w:val="004628DA"/>
    <w:rsid w:val="004870D1"/>
    <w:rsid w:val="004B7B04"/>
    <w:rsid w:val="004C72DE"/>
    <w:rsid w:val="00505ABD"/>
    <w:rsid w:val="0051616F"/>
    <w:rsid w:val="00530630"/>
    <w:rsid w:val="00542A81"/>
    <w:rsid w:val="0054703C"/>
    <w:rsid w:val="005550AB"/>
    <w:rsid w:val="00581B37"/>
    <w:rsid w:val="0058712C"/>
    <w:rsid w:val="005B2683"/>
    <w:rsid w:val="005B2CED"/>
    <w:rsid w:val="005C00E2"/>
    <w:rsid w:val="005E0F95"/>
    <w:rsid w:val="006276A2"/>
    <w:rsid w:val="00634FC3"/>
    <w:rsid w:val="00637483"/>
    <w:rsid w:val="00643C6D"/>
    <w:rsid w:val="00655418"/>
    <w:rsid w:val="0069066D"/>
    <w:rsid w:val="006C278C"/>
    <w:rsid w:val="006D7A38"/>
    <w:rsid w:val="006F5DFC"/>
    <w:rsid w:val="00726517"/>
    <w:rsid w:val="007653F9"/>
    <w:rsid w:val="00767669"/>
    <w:rsid w:val="00774699"/>
    <w:rsid w:val="00781D98"/>
    <w:rsid w:val="00792851"/>
    <w:rsid w:val="007C02F2"/>
    <w:rsid w:val="007C31B5"/>
    <w:rsid w:val="007C42E8"/>
    <w:rsid w:val="007D1B30"/>
    <w:rsid w:val="007E525F"/>
    <w:rsid w:val="007F2971"/>
    <w:rsid w:val="007F6D80"/>
    <w:rsid w:val="00842EDD"/>
    <w:rsid w:val="00896C78"/>
    <w:rsid w:val="008B390A"/>
    <w:rsid w:val="008D1FF6"/>
    <w:rsid w:val="008D2898"/>
    <w:rsid w:val="008D397B"/>
    <w:rsid w:val="00924838"/>
    <w:rsid w:val="00926A87"/>
    <w:rsid w:val="009340F8"/>
    <w:rsid w:val="009434FC"/>
    <w:rsid w:val="009660E9"/>
    <w:rsid w:val="009777D7"/>
    <w:rsid w:val="00977A88"/>
    <w:rsid w:val="00996199"/>
    <w:rsid w:val="009A269B"/>
    <w:rsid w:val="009B63F9"/>
    <w:rsid w:val="009D58AC"/>
    <w:rsid w:val="00A070D2"/>
    <w:rsid w:val="00A24B06"/>
    <w:rsid w:val="00A315FE"/>
    <w:rsid w:val="00A329ED"/>
    <w:rsid w:val="00A353FD"/>
    <w:rsid w:val="00A371A0"/>
    <w:rsid w:val="00AB2045"/>
    <w:rsid w:val="00AB3CDE"/>
    <w:rsid w:val="00AB6526"/>
    <w:rsid w:val="00B07625"/>
    <w:rsid w:val="00B160B7"/>
    <w:rsid w:val="00B175D3"/>
    <w:rsid w:val="00B36DD8"/>
    <w:rsid w:val="00B4252D"/>
    <w:rsid w:val="00B50C3C"/>
    <w:rsid w:val="00B535A1"/>
    <w:rsid w:val="00B575AD"/>
    <w:rsid w:val="00B6672B"/>
    <w:rsid w:val="00B76614"/>
    <w:rsid w:val="00B950AC"/>
    <w:rsid w:val="00BE530D"/>
    <w:rsid w:val="00C00846"/>
    <w:rsid w:val="00C00D43"/>
    <w:rsid w:val="00C54D37"/>
    <w:rsid w:val="00CA513F"/>
    <w:rsid w:val="00CC158A"/>
    <w:rsid w:val="00CC4CCD"/>
    <w:rsid w:val="00CD4C50"/>
    <w:rsid w:val="00D2170C"/>
    <w:rsid w:val="00D307A5"/>
    <w:rsid w:val="00D46D9F"/>
    <w:rsid w:val="00DB343B"/>
    <w:rsid w:val="00DB61B8"/>
    <w:rsid w:val="00DD1859"/>
    <w:rsid w:val="00DD29A5"/>
    <w:rsid w:val="00DF5671"/>
    <w:rsid w:val="00E02DD6"/>
    <w:rsid w:val="00E06BD5"/>
    <w:rsid w:val="00E31DA4"/>
    <w:rsid w:val="00E332DE"/>
    <w:rsid w:val="00E3782E"/>
    <w:rsid w:val="00E67D51"/>
    <w:rsid w:val="00E861BD"/>
    <w:rsid w:val="00E87CFF"/>
    <w:rsid w:val="00EA11EB"/>
    <w:rsid w:val="00EA3544"/>
    <w:rsid w:val="00EB08A3"/>
    <w:rsid w:val="00EC12EF"/>
    <w:rsid w:val="00EC1A32"/>
    <w:rsid w:val="00F01375"/>
    <w:rsid w:val="00F53A9D"/>
    <w:rsid w:val="00F66D4E"/>
    <w:rsid w:val="00F806B9"/>
    <w:rsid w:val="00F959DF"/>
    <w:rsid w:val="00FC154D"/>
    <w:rsid w:val="00FD7180"/>
    <w:rsid w:val="00FE07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DE0A4"/>
  <w15:chartTrackingRefBased/>
  <w15:docId w15:val="{8A0ED37C-DE22-40F6-9202-3A8250D81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485"/>
    <w:pPr>
      <w:widowControl w:val="0"/>
      <w:spacing w:after="0" w:line="360" w:lineRule="auto"/>
      <w:jc w:val="both"/>
    </w:pPr>
    <w:rPr>
      <w:rFonts w:ascii="Times New Roman" w:eastAsia="Times New Roman" w:hAnsi="Times New Roman" w:cs="Times New Roman"/>
      <w:sz w:val="24"/>
      <w:szCs w:val="20"/>
      <w:lang w:val="en-GB" w:eastAsia="en-GB"/>
      <w14:ligatures w14:val="standardContextual"/>
    </w:rPr>
  </w:style>
  <w:style w:type="paragraph" w:styleId="Heading1">
    <w:name w:val="heading 1"/>
    <w:basedOn w:val="Normal"/>
    <w:next w:val="Normal"/>
    <w:link w:val="Heading1Char"/>
    <w:uiPriority w:val="9"/>
    <w:qFormat/>
    <w:rsid w:val="004B7B04"/>
    <w:pPr>
      <w:outlineLvl w:val="0"/>
    </w:pPr>
    <w:rPr>
      <w:b/>
      <w:bCs/>
    </w:rPr>
  </w:style>
  <w:style w:type="paragraph" w:styleId="Heading2">
    <w:name w:val="heading 2"/>
    <w:basedOn w:val="Heading1"/>
    <w:next w:val="Normal"/>
    <w:link w:val="Heading2Char"/>
    <w:uiPriority w:val="9"/>
    <w:unhideWhenUsed/>
    <w:qFormat/>
    <w:rsid w:val="004B7B04"/>
    <w:pPr>
      <w:outlineLvl w:val="1"/>
    </w:pPr>
    <w:rPr>
      <w:i/>
    </w:rPr>
  </w:style>
  <w:style w:type="paragraph" w:styleId="Heading3">
    <w:name w:val="heading 3"/>
    <w:basedOn w:val="Heading2"/>
    <w:next w:val="Normal"/>
    <w:link w:val="Heading3Char"/>
    <w:uiPriority w:val="9"/>
    <w:unhideWhenUsed/>
    <w:qFormat/>
    <w:rsid w:val="004B7B04"/>
    <w:pPr>
      <w:outlineLvl w:val="2"/>
    </w:pPr>
    <w:rPr>
      <w:b w:val="0"/>
    </w:rPr>
  </w:style>
  <w:style w:type="paragraph" w:styleId="Heading4">
    <w:name w:val="heading 4"/>
    <w:basedOn w:val="Heading3"/>
    <w:next w:val="Normal"/>
    <w:link w:val="Heading4Char"/>
    <w:uiPriority w:val="9"/>
    <w:unhideWhenUsed/>
    <w:qFormat/>
    <w:rsid w:val="004B7B04"/>
    <w:pPr>
      <w:outlineLvl w:val="3"/>
    </w:pPr>
    <w:rPr>
      <w:i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B04"/>
    <w:rPr>
      <w:rFonts w:ascii="Times New Roman" w:hAnsi="Times New Roman"/>
      <w:b/>
      <w:bCs/>
      <w:sz w:val="24"/>
    </w:rPr>
  </w:style>
  <w:style w:type="character" w:customStyle="1" w:styleId="Heading2Char">
    <w:name w:val="Heading 2 Char"/>
    <w:basedOn w:val="DefaultParagraphFont"/>
    <w:link w:val="Heading2"/>
    <w:uiPriority w:val="9"/>
    <w:rsid w:val="004B7B04"/>
    <w:rPr>
      <w:rFonts w:ascii="Times New Roman" w:hAnsi="Times New Roman"/>
      <w:b/>
      <w:bCs/>
      <w:i/>
      <w:sz w:val="24"/>
    </w:rPr>
  </w:style>
  <w:style w:type="character" w:customStyle="1" w:styleId="Heading3Char">
    <w:name w:val="Heading 3 Char"/>
    <w:basedOn w:val="DefaultParagraphFont"/>
    <w:link w:val="Heading3"/>
    <w:uiPriority w:val="9"/>
    <w:rsid w:val="004B7B04"/>
    <w:rPr>
      <w:rFonts w:ascii="Times New Roman" w:hAnsi="Times New Roman"/>
      <w:bCs/>
      <w:i/>
      <w:sz w:val="24"/>
    </w:rPr>
  </w:style>
  <w:style w:type="character" w:customStyle="1" w:styleId="Heading4Char">
    <w:name w:val="Heading 4 Char"/>
    <w:basedOn w:val="DefaultParagraphFont"/>
    <w:link w:val="Heading4"/>
    <w:uiPriority w:val="9"/>
    <w:rsid w:val="004B7B04"/>
    <w:rPr>
      <w:rFonts w:ascii="Times New Roman" w:hAnsi="Times New Roman"/>
      <w:bCs/>
      <w:sz w:val="24"/>
    </w:rPr>
  </w:style>
  <w:style w:type="paragraph" w:styleId="Caption">
    <w:name w:val="caption"/>
    <w:basedOn w:val="Normal"/>
    <w:next w:val="Normal"/>
    <w:uiPriority w:val="35"/>
    <w:unhideWhenUsed/>
    <w:qFormat/>
    <w:rsid w:val="00924838"/>
    <w:pPr>
      <w:spacing w:after="200" w:line="240" w:lineRule="auto"/>
    </w:pPr>
    <w:rPr>
      <w:i/>
      <w:iCs/>
      <w:color w:val="000000" w:themeColor="text1"/>
      <w:sz w:val="18"/>
      <w:szCs w:val="18"/>
    </w:rPr>
  </w:style>
  <w:style w:type="paragraph" w:styleId="ListParagraph">
    <w:name w:val="List Paragraph"/>
    <w:basedOn w:val="Normal"/>
    <w:uiPriority w:val="72"/>
    <w:qFormat/>
    <w:rsid w:val="001622E4"/>
    <w:pPr>
      <w:ind w:left="720"/>
      <w:contextualSpacing/>
    </w:pPr>
  </w:style>
  <w:style w:type="table" w:styleId="PlainTable1">
    <w:name w:val="Plain Table 1"/>
    <w:basedOn w:val="TableNormal"/>
    <w:uiPriority w:val="41"/>
    <w:rsid w:val="004628D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086263"/>
    <w:rPr>
      <w:color w:val="0563C1" w:themeColor="hyperlink"/>
      <w:u w:val="single"/>
    </w:rPr>
  </w:style>
  <w:style w:type="paragraph" w:styleId="TOCHeading">
    <w:name w:val="TOC Heading"/>
    <w:basedOn w:val="Heading1"/>
    <w:next w:val="Normal"/>
    <w:uiPriority w:val="39"/>
    <w:unhideWhenUsed/>
    <w:qFormat/>
    <w:rsid w:val="001532D2"/>
    <w:pPr>
      <w:keepNext/>
      <w:keepLines/>
      <w:widowControl/>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eastAsia="en-US"/>
      <w14:ligatures w14:val="none"/>
    </w:rPr>
  </w:style>
  <w:style w:type="paragraph" w:styleId="TOC1">
    <w:name w:val="toc 1"/>
    <w:basedOn w:val="Normal"/>
    <w:next w:val="Normal"/>
    <w:autoRedefine/>
    <w:uiPriority w:val="39"/>
    <w:unhideWhenUsed/>
    <w:rsid w:val="001532D2"/>
    <w:pPr>
      <w:spacing w:after="100"/>
    </w:pPr>
  </w:style>
  <w:style w:type="paragraph" w:styleId="TOC2">
    <w:name w:val="toc 2"/>
    <w:basedOn w:val="Normal"/>
    <w:next w:val="Normal"/>
    <w:autoRedefine/>
    <w:uiPriority w:val="39"/>
    <w:unhideWhenUsed/>
    <w:rsid w:val="001532D2"/>
    <w:pPr>
      <w:spacing w:after="100"/>
      <w:ind w:left="240"/>
    </w:pPr>
  </w:style>
  <w:style w:type="paragraph" w:styleId="Header">
    <w:name w:val="header"/>
    <w:basedOn w:val="Normal"/>
    <w:link w:val="HeaderChar"/>
    <w:uiPriority w:val="99"/>
    <w:unhideWhenUsed/>
    <w:rsid w:val="009777D7"/>
    <w:pPr>
      <w:tabs>
        <w:tab w:val="center" w:pos="4680"/>
        <w:tab w:val="right" w:pos="9360"/>
      </w:tabs>
      <w:spacing w:line="240" w:lineRule="auto"/>
    </w:pPr>
  </w:style>
  <w:style w:type="character" w:customStyle="1" w:styleId="HeaderChar">
    <w:name w:val="Header Char"/>
    <w:basedOn w:val="DefaultParagraphFont"/>
    <w:link w:val="Header"/>
    <w:uiPriority w:val="99"/>
    <w:rsid w:val="009777D7"/>
    <w:rPr>
      <w:rFonts w:ascii="Times New Roman" w:eastAsia="Times New Roman" w:hAnsi="Times New Roman" w:cs="Times New Roman"/>
      <w:sz w:val="24"/>
      <w:szCs w:val="20"/>
      <w:lang w:val="en-GB" w:eastAsia="en-GB"/>
      <w14:ligatures w14:val="standardContextual"/>
    </w:rPr>
  </w:style>
  <w:style w:type="paragraph" w:styleId="Footer">
    <w:name w:val="footer"/>
    <w:basedOn w:val="Normal"/>
    <w:link w:val="FooterChar"/>
    <w:uiPriority w:val="99"/>
    <w:unhideWhenUsed/>
    <w:rsid w:val="009777D7"/>
    <w:pPr>
      <w:tabs>
        <w:tab w:val="center" w:pos="4680"/>
        <w:tab w:val="right" w:pos="9360"/>
      </w:tabs>
      <w:spacing w:line="240" w:lineRule="auto"/>
    </w:pPr>
  </w:style>
  <w:style w:type="character" w:customStyle="1" w:styleId="FooterChar">
    <w:name w:val="Footer Char"/>
    <w:basedOn w:val="DefaultParagraphFont"/>
    <w:link w:val="Footer"/>
    <w:uiPriority w:val="99"/>
    <w:rsid w:val="009777D7"/>
    <w:rPr>
      <w:rFonts w:ascii="Times New Roman" w:eastAsia="Times New Roman" w:hAnsi="Times New Roman" w:cs="Times New Roman"/>
      <w:sz w:val="24"/>
      <w:szCs w:val="20"/>
      <w:lang w:val="en-GB" w:eastAsia="en-GB"/>
      <w14:ligatures w14:val="standardContextual"/>
    </w:rPr>
  </w:style>
  <w:style w:type="paragraph" w:styleId="NormalWeb">
    <w:name w:val="Normal (Web)"/>
    <w:basedOn w:val="Normal"/>
    <w:uiPriority w:val="99"/>
    <w:semiHidden/>
    <w:unhideWhenUsed/>
    <w:rsid w:val="0023478A"/>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608097">
      <w:bodyDiv w:val="1"/>
      <w:marLeft w:val="0"/>
      <w:marRight w:val="0"/>
      <w:marTop w:val="0"/>
      <w:marBottom w:val="0"/>
      <w:divBdr>
        <w:top w:val="none" w:sz="0" w:space="0" w:color="auto"/>
        <w:left w:val="none" w:sz="0" w:space="0" w:color="auto"/>
        <w:bottom w:val="none" w:sz="0" w:space="0" w:color="auto"/>
        <w:right w:val="none" w:sz="0" w:space="0" w:color="auto"/>
      </w:divBdr>
      <w:divsChild>
        <w:div w:id="818882043">
          <w:marLeft w:val="0"/>
          <w:marRight w:val="0"/>
          <w:marTop w:val="0"/>
          <w:marBottom w:val="0"/>
          <w:divBdr>
            <w:top w:val="none" w:sz="0" w:space="0" w:color="auto"/>
            <w:left w:val="none" w:sz="0" w:space="0" w:color="auto"/>
            <w:bottom w:val="none" w:sz="0" w:space="0" w:color="auto"/>
            <w:right w:val="none" w:sz="0" w:space="0" w:color="auto"/>
          </w:divBdr>
          <w:divsChild>
            <w:div w:id="1601838357">
              <w:marLeft w:val="0"/>
              <w:marRight w:val="0"/>
              <w:marTop w:val="0"/>
              <w:marBottom w:val="0"/>
              <w:divBdr>
                <w:top w:val="none" w:sz="0" w:space="0" w:color="auto"/>
                <w:left w:val="none" w:sz="0" w:space="0" w:color="auto"/>
                <w:bottom w:val="none" w:sz="0" w:space="0" w:color="auto"/>
                <w:right w:val="none" w:sz="0" w:space="0" w:color="auto"/>
              </w:divBdr>
              <w:divsChild>
                <w:div w:id="1195967441">
                  <w:marLeft w:val="0"/>
                  <w:marRight w:val="0"/>
                  <w:marTop w:val="0"/>
                  <w:marBottom w:val="0"/>
                  <w:divBdr>
                    <w:top w:val="none" w:sz="0" w:space="0" w:color="auto"/>
                    <w:left w:val="none" w:sz="0" w:space="0" w:color="auto"/>
                    <w:bottom w:val="none" w:sz="0" w:space="0" w:color="auto"/>
                    <w:right w:val="none" w:sz="0" w:space="0" w:color="auto"/>
                  </w:divBdr>
                  <w:divsChild>
                    <w:div w:id="1808551106">
                      <w:marLeft w:val="0"/>
                      <w:marRight w:val="0"/>
                      <w:marTop w:val="0"/>
                      <w:marBottom w:val="0"/>
                      <w:divBdr>
                        <w:top w:val="none" w:sz="0" w:space="0" w:color="auto"/>
                        <w:left w:val="none" w:sz="0" w:space="0" w:color="auto"/>
                        <w:bottom w:val="none" w:sz="0" w:space="0" w:color="auto"/>
                        <w:right w:val="none" w:sz="0" w:space="0" w:color="auto"/>
                      </w:divBdr>
                      <w:divsChild>
                        <w:div w:id="1229807639">
                          <w:marLeft w:val="0"/>
                          <w:marRight w:val="0"/>
                          <w:marTop w:val="0"/>
                          <w:marBottom w:val="0"/>
                          <w:divBdr>
                            <w:top w:val="none" w:sz="0" w:space="0" w:color="auto"/>
                            <w:left w:val="none" w:sz="0" w:space="0" w:color="auto"/>
                            <w:bottom w:val="none" w:sz="0" w:space="0" w:color="auto"/>
                            <w:right w:val="none" w:sz="0" w:space="0" w:color="auto"/>
                          </w:divBdr>
                          <w:divsChild>
                            <w:div w:id="1975677495">
                              <w:marLeft w:val="0"/>
                              <w:marRight w:val="0"/>
                              <w:marTop w:val="0"/>
                              <w:marBottom w:val="0"/>
                              <w:divBdr>
                                <w:top w:val="none" w:sz="0" w:space="0" w:color="auto"/>
                                <w:left w:val="none" w:sz="0" w:space="0" w:color="auto"/>
                                <w:bottom w:val="none" w:sz="0" w:space="0" w:color="auto"/>
                                <w:right w:val="none" w:sz="0" w:space="0" w:color="auto"/>
                              </w:divBdr>
                              <w:divsChild>
                                <w:div w:id="239409253">
                                  <w:marLeft w:val="0"/>
                                  <w:marRight w:val="0"/>
                                  <w:marTop w:val="0"/>
                                  <w:marBottom w:val="0"/>
                                  <w:divBdr>
                                    <w:top w:val="none" w:sz="0" w:space="0" w:color="auto"/>
                                    <w:left w:val="none" w:sz="0" w:space="0" w:color="auto"/>
                                    <w:bottom w:val="none" w:sz="0" w:space="0" w:color="auto"/>
                                    <w:right w:val="none" w:sz="0" w:space="0" w:color="auto"/>
                                  </w:divBdr>
                                  <w:divsChild>
                                    <w:div w:id="159955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2994182">
      <w:bodyDiv w:val="1"/>
      <w:marLeft w:val="0"/>
      <w:marRight w:val="0"/>
      <w:marTop w:val="0"/>
      <w:marBottom w:val="0"/>
      <w:divBdr>
        <w:top w:val="none" w:sz="0" w:space="0" w:color="auto"/>
        <w:left w:val="none" w:sz="0" w:space="0" w:color="auto"/>
        <w:bottom w:val="none" w:sz="0" w:space="0" w:color="auto"/>
        <w:right w:val="none" w:sz="0" w:space="0" w:color="auto"/>
      </w:divBdr>
    </w:div>
    <w:div w:id="777799763">
      <w:bodyDiv w:val="1"/>
      <w:marLeft w:val="0"/>
      <w:marRight w:val="0"/>
      <w:marTop w:val="0"/>
      <w:marBottom w:val="0"/>
      <w:divBdr>
        <w:top w:val="none" w:sz="0" w:space="0" w:color="auto"/>
        <w:left w:val="none" w:sz="0" w:space="0" w:color="auto"/>
        <w:bottom w:val="none" w:sz="0" w:space="0" w:color="auto"/>
        <w:right w:val="none" w:sz="0" w:space="0" w:color="auto"/>
      </w:divBdr>
    </w:div>
    <w:div w:id="891040310">
      <w:bodyDiv w:val="1"/>
      <w:marLeft w:val="0"/>
      <w:marRight w:val="0"/>
      <w:marTop w:val="0"/>
      <w:marBottom w:val="0"/>
      <w:divBdr>
        <w:top w:val="none" w:sz="0" w:space="0" w:color="auto"/>
        <w:left w:val="none" w:sz="0" w:space="0" w:color="auto"/>
        <w:bottom w:val="none" w:sz="0" w:space="0" w:color="auto"/>
        <w:right w:val="none" w:sz="0" w:space="0" w:color="auto"/>
      </w:divBdr>
    </w:div>
    <w:div w:id="1028795845">
      <w:bodyDiv w:val="1"/>
      <w:marLeft w:val="0"/>
      <w:marRight w:val="0"/>
      <w:marTop w:val="0"/>
      <w:marBottom w:val="0"/>
      <w:divBdr>
        <w:top w:val="none" w:sz="0" w:space="0" w:color="auto"/>
        <w:left w:val="none" w:sz="0" w:space="0" w:color="auto"/>
        <w:bottom w:val="none" w:sz="0" w:space="0" w:color="auto"/>
        <w:right w:val="none" w:sz="0" w:space="0" w:color="auto"/>
      </w:divBdr>
    </w:div>
    <w:div w:id="1104887088">
      <w:bodyDiv w:val="1"/>
      <w:marLeft w:val="0"/>
      <w:marRight w:val="0"/>
      <w:marTop w:val="0"/>
      <w:marBottom w:val="0"/>
      <w:divBdr>
        <w:top w:val="none" w:sz="0" w:space="0" w:color="auto"/>
        <w:left w:val="none" w:sz="0" w:space="0" w:color="auto"/>
        <w:bottom w:val="none" w:sz="0" w:space="0" w:color="auto"/>
        <w:right w:val="none" w:sz="0" w:space="0" w:color="auto"/>
      </w:divBdr>
    </w:div>
    <w:div w:id="1136293720">
      <w:bodyDiv w:val="1"/>
      <w:marLeft w:val="0"/>
      <w:marRight w:val="0"/>
      <w:marTop w:val="0"/>
      <w:marBottom w:val="0"/>
      <w:divBdr>
        <w:top w:val="none" w:sz="0" w:space="0" w:color="auto"/>
        <w:left w:val="none" w:sz="0" w:space="0" w:color="auto"/>
        <w:bottom w:val="none" w:sz="0" w:space="0" w:color="auto"/>
        <w:right w:val="none" w:sz="0" w:space="0" w:color="auto"/>
      </w:divBdr>
    </w:div>
    <w:div w:id="1250847114">
      <w:bodyDiv w:val="1"/>
      <w:marLeft w:val="0"/>
      <w:marRight w:val="0"/>
      <w:marTop w:val="0"/>
      <w:marBottom w:val="0"/>
      <w:divBdr>
        <w:top w:val="none" w:sz="0" w:space="0" w:color="auto"/>
        <w:left w:val="none" w:sz="0" w:space="0" w:color="auto"/>
        <w:bottom w:val="none" w:sz="0" w:space="0" w:color="auto"/>
        <w:right w:val="none" w:sz="0" w:space="0" w:color="auto"/>
      </w:divBdr>
    </w:div>
    <w:div w:id="1325164931">
      <w:bodyDiv w:val="1"/>
      <w:marLeft w:val="0"/>
      <w:marRight w:val="0"/>
      <w:marTop w:val="0"/>
      <w:marBottom w:val="0"/>
      <w:divBdr>
        <w:top w:val="none" w:sz="0" w:space="0" w:color="auto"/>
        <w:left w:val="none" w:sz="0" w:space="0" w:color="auto"/>
        <w:bottom w:val="none" w:sz="0" w:space="0" w:color="auto"/>
        <w:right w:val="none" w:sz="0" w:space="0" w:color="auto"/>
      </w:divBdr>
    </w:div>
    <w:div w:id="1404064844">
      <w:bodyDiv w:val="1"/>
      <w:marLeft w:val="0"/>
      <w:marRight w:val="0"/>
      <w:marTop w:val="0"/>
      <w:marBottom w:val="0"/>
      <w:divBdr>
        <w:top w:val="none" w:sz="0" w:space="0" w:color="auto"/>
        <w:left w:val="none" w:sz="0" w:space="0" w:color="auto"/>
        <w:bottom w:val="none" w:sz="0" w:space="0" w:color="auto"/>
        <w:right w:val="none" w:sz="0" w:space="0" w:color="auto"/>
      </w:divBdr>
    </w:div>
    <w:div w:id="1420638275">
      <w:bodyDiv w:val="1"/>
      <w:marLeft w:val="0"/>
      <w:marRight w:val="0"/>
      <w:marTop w:val="0"/>
      <w:marBottom w:val="0"/>
      <w:divBdr>
        <w:top w:val="none" w:sz="0" w:space="0" w:color="auto"/>
        <w:left w:val="none" w:sz="0" w:space="0" w:color="auto"/>
        <w:bottom w:val="none" w:sz="0" w:space="0" w:color="auto"/>
        <w:right w:val="none" w:sz="0" w:space="0" w:color="auto"/>
      </w:divBdr>
      <w:divsChild>
        <w:div w:id="416169737">
          <w:marLeft w:val="0"/>
          <w:marRight w:val="0"/>
          <w:marTop w:val="0"/>
          <w:marBottom w:val="0"/>
          <w:divBdr>
            <w:top w:val="none" w:sz="0" w:space="0" w:color="auto"/>
            <w:left w:val="none" w:sz="0" w:space="0" w:color="auto"/>
            <w:bottom w:val="none" w:sz="0" w:space="0" w:color="auto"/>
            <w:right w:val="none" w:sz="0" w:space="0" w:color="auto"/>
          </w:divBdr>
          <w:divsChild>
            <w:div w:id="178282470">
              <w:marLeft w:val="0"/>
              <w:marRight w:val="0"/>
              <w:marTop w:val="0"/>
              <w:marBottom w:val="0"/>
              <w:divBdr>
                <w:top w:val="none" w:sz="0" w:space="0" w:color="auto"/>
                <w:left w:val="none" w:sz="0" w:space="0" w:color="auto"/>
                <w:bottom w:val="none" w:sz="0" w:space="0" w:color="auto"/>
                <w:right w:val="none" w:sz="0" w:space="0" w:color="auto"/>
              </w:divBdr>
              <w:divsChild>
                <w:div w:id="851064342">
                  <w:marLeft w:val="0"/>
                  <w:marRight w:val="0"/>
                  <w:marTop w:val="0"/>
                  <w:marBottom w:val="0"/>
                  <w:divBdr>
                    <w:top w:val="none" w:sz="0" w:space="0" w:color="auto"/>
                    <w:left w:val="none" w:sz="0" w:space="0" w:color="auto"/>
                    <w:bottom w:val="none" w:sz="0" w:space="0" w:color="auto"/>
                    <w:right w:val="none" w:sz="0" w:space="0" w:color="auto"/>
                  </w:divBdr>
                  <w:divsChild>
                    <w:div w:id="157115167">
                      <w:marLeft w:val="0"/>
                      <w:marRight w:val="0"/>
                      <w:marTop w:val="0"/>
                      <w:marBottom w:val="0"/>
                      <w:divBdr>
                        <w:top w:val="none" w:sz="0" w:space="0" w:color="auto"/>
                        <w:left w:val="none" w:sz="0" w:space="0" w:color="auto"/>
                        <w:bottom w:val="none" w:sz="0" w:space="0" w:color="auto"/>
                        <w:right w:val="none" w:sz="0" w:space="0" w:color="auto"/>
                      </w:divBdr>
                      <w:divsChild>
                        <w:div w:id="966546808">
                          <w:marLeft w:val="0"/>
                          <w:marRight w:val="0"/>
                          <w:marTop w:val="0"/>
                          <w:marBottom w:val="0"/>
                          <w:divBdr>
                            <w:top w:val="none" w:sz="0" w:space="0" w:color="auto"/>
                            <w:left w:val="none" w:sz="0" w:space="0" w:color="auto"/>
                            <w:bottom w:val="none" w:sz="0" w:space="0" w:color="auto"/>
                            <w:right w:val="none" w:sz="0" w:space="0" w:color="auto"/>
                          </w:divBdr>
                          <w:divsChild>
                            <w:div w:id="888346901">
                              <w:marLeft w:val="0"/>
                              <w:marRight w:val="0"/>
                              <w:marTop w:val="0"/>
                              <w:marBottom w:val="0"/>
                              <w:divBdr>
                                <w:top w:val="none" w:sz="0" w:space="0" w:color="auto"/>
                                <w:left w:val="none" w:sz="0" w:space="0" w:color="auto"/>
                                <w:bottom w:val="none" w:sz="0" w:space="0" w:color="auto"/>
                                <w:right w:val="none" w:sz="0" w:space="0" w:color="auto"/>
                              </w:divBdr>
                              <w:divsChild>
                                <w:div w:id="972561731">
                                  <w:marLeft w:val="0"/>
                                  <w:marRight w:val="0"/>
                                  <w:marTop w:val="0"/>
                                  <w:marBottom w:val="0"/>
                                  <w:divBdr>
                                    <w:top w:val="none" w:sz="0" w:space="0" w:color="auto"/>
                                    <w:left w:val="none" w:sz="0" w:space="0" w:color="auto"/>
                                    <w:bottom w:val="none" w:sz="0" w:space="0" w:color="auto"/>
                                    <w:right w:val="none" w:sz="0" w:space="0" w:color="auto"/>
                                  </w:divBdr>
                                  <w:divsChild>
                                    <w:div w:id="189080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5069994">
      <w:bodyDiv w:val="1"/>
      <w:marLeft w:val="0"/>
      <w:marRight w:val="0"/>
      <w:marTop w:val="0"/>
      <w:marBottom w:val="0"/>
      <w:divBdr>
        <w:top w:val="none" w:sz="0" w:space="0" w:color="auto"/>
        <w:left w:val="none" w:sz="0" w:space="0" w:color="auto"/>
        <w:bottom w:val="none" w:sz="0" w:space="0" w:color="auto"/>
        <w:right w:val="none" w:sz="0" w:space="0" w:color="auto"/>
      </w:divBdr>
    </w:div>
    <w:div w:id="1608655381">
      <w:bodyDiv w:val="1"/>
      <w:marLeft w:val="0"/>
      <w:marRight w:val="0"/>
      <w:marTop w:val="0"/>
      <w:marBottom w:val="0"/>
      <w:divBdr>
        <w:top w:val="none" w:sz="0" w:space="0" w:color="auto"/>
        <w:left w:val="none" w:sz="0" w:space="0" w:color="auto"/>
        <w:bottom w:val="none" w:sz="0" w:space="0" w:color="auto"/>
        <w:right w:val="none" w:sz="0" w:space="0" w:color="auto"/>
      </w:divBdr>
    </w:div>
    <w:div w:id="1876039516">
      <w:bodyDiv w:val="1"/>
      <w:marLeft w:val="0"/>
      <w:marRight w:val="0"/>
      <w:marTop w:val="0"/>
      <w:marBottom w:val="0"/>
      <w:divBdr>
        <w:top w:val="none" w:sz="0" w:space="0" w:color="auto"/>
        <w:left w:val="none" w:sz="0" w:space="0" w:color="auto"/>
        <w:bottom w:val="none" w:sz="0" w:space="0" w:color="auto"/>
        <w:right w:val="none" w:sz="0" w:space="0" w:color="auto"/>
      </w:divBdr>
    </w:div>
    <w:div w:id="2052225819">
      <w:bodyDiv w:val="1"/>
      <w:marLeft w:val="0"/>
      <w:marRight w:val="0"/>
      <w:marTop w:val="0"/>
      <w:marBottom w:val="0"/>
      <w:divBdr>
        <w:top w:val="none" w:sz="0" w:space="0" w:color="auto"/>
        <w:left w:val="none" w:sz="0" w:space="0" w:color="auto"/>
        <w:bottom w:val="none" w:sz="0" w:space="0" w:color="auto"/>
        <w:right w:val="none" w:sz="0" w:space="0" w:color="auto"/>
      </w:divBdr>
      <w:divsChild>
        <w:div w:id="1988971432">
          <w:marLeft w:val="0"/>
          <w:marRight w:val="0"/>
          <w:marTop w:val="0"/>
          <w:marBottom w:val="0"/>
          <w:divBdr>
            <w:top w:val="none" w:sz="0" w:space="0" w:color="auto"/>
            <w:left w:val="none" w:sz="0" w:space="0" w:color="auto"/>
            <w:bottom w:val="none" w:sz="0" w:space="0" w:color="auto"/>
            <w:right w:val="none" w:sz="0" w:space="0" w:color="auto"/>
          </w:divBdr>
          <w:divsChild>
            <w:div w:id="272052487">
              <w:marLeft w:val="0"/>
              <w:marRight w:val="0"/>
              <w:marTop w:val="0"/>
              <w:marBottom w:val="0"/>
              <w:divBdr>
                <w:top w:val="none" w:sz="0" w:space="0" w:color="auto"/>
                <w:left w:val="none" w:sz="0" w:space="0" w:color="auto"/>
                <w:bottom w:val="none" w:sz="0" w:space="0" w:color="auto"/>
                <w:right w:val="none" w:sz="0" w:space="0" w:color="auto"/>
              </w:divBdr>
              <w:divsChild>
                <w:div w:id="1019352726">
                  <w:marLeft w:val="0"/>
                  <w:marRight w:val="0"/>
                  <w:marTop w:val="0"/>
                  <w:marBottom w:val="0"/>
                  <w:divBdr>
                    <w:top w:val="none" w:sz="0" w:space="0" w:color="auto"/>
                    <w:left w:val="none" w:sz="0" w:space="0" w:color="auto"/>
                    <w:bottom w:val="none" w:sz="0" w:space="0" w:color="auto"/>
                    <w:right w:val="none" w:sz="0" w:space="0" w:color="auto"/>
                  </w:divBdr>
                  <w:divsChild>
                    <w:div w:id="2027246156">
                      <w:marLeft w:val="0"/>
                      <w:marRight w:val="0"/>
                      <w:marTop w:val="0"/>
                      <w:marBottom w:val="0"/>
                      <w:divBdr>
                        <w:top w:val="none" w:sz="0" w:space="0" w:color="auto"/>
                        <w:left w:val="none" w:sz="0" w:space="0" w:color="auto"/>
                        <w:bottom w:val="none" w:sz="0" w:space="0" w:color="auto"/>
                        <w:right w:val="none" w:sz="0" w:space="0" w:color="auto"/>
                      </w:divBdr>
                      <w:divsChild>
                        <w:div w:id="1741632449">
                          <w:marLeft w:val="0"/>
                          <w:marRight w:val="0"/>
                          <w:marTop w:val="0"/>
                          <w:marBottom w:val="0"/>
                          <w:divBdr>
                            <w:top w:val="none" w:sz="0" w:space="0" w:color="auto"/>
                            <w:left w:val="none" w:sz="0" w:space="0" w:color="auto"/>
                            <w:bottom w:val="none" w:sz="0" w:space="0" w:color="auto"/>
                            <w:right w:val="none" w:sz="0" w:space="0" w:color="auto"/>
                          </w:divBdr>
                          <w:divsChild>
                            <w:div w:id="750657834">
                              <w:marLeft w:val="0"/>
                              <w:marRight w:val="0"/>
                              <w:marTop w:val="0"/>
                              <w:marBottom w:val="0"/>
                              <w:divBdr>
                                <w:top w:val="none" w:sz="0" w:space="0" w:color="auto"/>
                                <w:left w:val="none" w:sz="0" w:space="0" w:color="auto"/>
                                <w:bottom w:val="none" w:sz="0" w:space="0" w:color="auto"/>
                                <w:right w:val="none" w:sz="0" w:space="0" w:color="auto"/>
                              </w:divBdr>
                              <w:divsChild>
                                <w:div w:id="310449948">
                                  <w:marLeft w:val="0"/>
                                  <w:marRight w:val="0"/>
                                  <w:marTop w:val="0"/>
                                  <w:marBottom w:val="0"/>
                                  <w:divBdr>
                                    <w:top w:val="none" w:sz="0" w:space="0" w:color="auto"/>
                                    <w:left w:val="none" w:sz="0" w:space="0" w:color="auto"/>
                                    <w:bottom w:val="none" w:sz="0" w:space="0" w:color="auto"/>
                                    <w:right w:val="none" w:sz="0" w:space="0" w:color="auto"/>
                                  </w:divBdr>
                                  <w:divsChild>
                                    <w:div w:id="17237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5277978">
      <w:bodyDiv w:val="1"/>
      <w:marLeft w:val="0"/>
      <w:marRight w:val="0"/>
      <w:marTop w:val="0"/>
      <w:marBottom w:val="0"/>
      <w:divBdr>
        <w:top w:val="none" w:sz="0" w:space="0" w:color="auto"/>
        <w:left w:val="none" w:sz="0" w:space="0" w:color="auto"/>
        <w:bottom w:val="none" w:sz="0" w:space="0" w:color="auto"/>
        <w:right w:val="none" w:sz="0" w:space="0" w:color="auto"/>
      </w:divBdr>
      <w:divsChild>
        <w:div w:id="352848182">
          <w:blockQuote w:val="1"/>
          <w:marLeft w:val="720"/>
          <w:marRight w:val="720"/>
          <w:marTop w:val="100"/>
          <w:marBottom w:val="100"/>
          <w:divBdr>
            <w:top w:val="none" w:sz="0" w:space="0" w:color="auto"/>
            <w:left w:val="none" w:sz="0" w:space="0" w:color="auto"/>
            <w:bottom w:val="none" w:sz="0" w:space="0" w:color="auto"/>
            <w:right w:val="none" w:sz="0" w:space="0" w:color="auto"/>
          </w:divBdr>
        </w:div>
        <w:div w:id="1631746225">
          <w:blockQuote w:val="1"/>
          <w:marLeft w:val="720"/>
          <w:marRight w:val="720"/>
          <w:marTop w:val="100"/>
          <w:marBottom w:val="100"/>
          <w:divBdr>
            <w:top w:val="none" w:sz="0" w:space="0" w:color="auto"/>
            <w:left w:val="none" w:sz="0" w:space="0" w:color="auto"/>
            <w:bottom w:val="none" w:sz="0" w:space="0" w:color="auto"/>
            <w:right w:val="none" w:sz="0" w:space="0" w:color="auto"/>
          </w:divBdr>
        </w:div>
        <w:div w:id="1231579139">
          <w:blockQuote w:val="1"/>
          <w:marLeft w:val="720"/>
          <w:marRight w:val="720"/>
          <w:marTop w:val="100"/>
          <w:marBottom w:val="100"/>
          <w:divBdr>
            <w:top w:val="none" w:sz="0" w:space="0" w:color="auto"/>
            <w:left w:val="none" w:sz="0" w:space="0" w:color="auto"/>
            <w:bottom w:val="none" w:sz="0" w:space="0" w:color="auto"/>
            <w:right w:val="none" w:sz="0" w:space="0" w:color="auto"/>
          </w:divBdr>
        </w:div>
        <w:div w:id="1937319632">
          <w:blockQuote w:val="1"/>
          <w:marLeft w:val="720"/>
          <w:marRight w:val="720"/>
          <w:marTop w:val="100"/>
          <w:marBottom w:val="100"/>
          <w:divBdr>
            <w:top w:val="none" w:sz="0" w:space="0" w:color="auto"/>
            <w:left w:val="none" w:sz="0" w:space="0" w:color="auto"/>
            <w:bottom w:val="none" w:sz="0" w:space="0" w:color="auto"/>
            <w:right w:val="none" w:sz="0" w:space="0" w:color="auto"/>
          </w:divBdr>
        </w:div>
        <w:div w:id="296376801">
          <w:blockQuote w:val="1"/>
          <w:marLeft w:val="720"/>
          <w:marRight w:val="720"/>
          <w:marTop w:val="100"/>
          <w:marBottom w:val="100"/>
          <w:divBdr>
            <w:top w:val="none" w:sz="0" w:space="0" w:color="auto"/>
            <w:left w:val="none" w:sz="0" w:space="0" w:color="auto"/>
            <w:bottom w:val="none" w:sz="0" w:space="0" w:color="auto"/>
            <w:right w:val="none" w:sz="0" w:space="0" w:color="auto"/>
          </w:divBdr>
        </w:div>
        <w:div w:id="1089958606">
          <w:blockQuote w:val="1"/>
          <w:marLeft w:val="720"/>
          <w:marRight w:val="720"/>
          <w:marTop w:val="100"/>
          <w:marBottom w:val="100"/>
          <w:divBdr>
            <w:top w:val="none" w:sz="0" w:space="0" w:color="auto"/>
            <w:left w:val="none" w:sz="0" w:space="0" w:color="auto"/>
            <w:bottom w:val="none" w:sz="0" w:space="0" w:color="auto"/>
            <w:right w:val="none" w:sz="0" w:space="0" w:color="auto"/>
          </w:divBdr>
        </w:div>
        <w:div w:id="1947426121">
          <w:blockQuote w:val="1"/>
          <w:marLeft w:val="720"/>
          <w:marRight w:val="720"/>
          <w:marTop w:val="100"/>
          <w:marBottom w:val="100"/>
          <w:divBdr>
            <w:top w:val="none" w:sz="0" w:space="0" w:color="auto"/>
            <w:left w:val="none" w:sz="0" w:space="0" w:color="auto"/>
            <w:bottom w:val="none" w:sz="0" w:space="0" w:color="auto"/>
            <w:right w:val="none" w:sz="0" w:space="0" w:color="auto"/>
          </w:divBdr>
        </w:div>
        <w:div w:id="1720782440">
          <w:blockQuote w:val="1"/>
          <w:marLeft w:val="720"/>
          <w:marRight w:val="720"/>
          <w:marTop w:val="100"/>
          <w:marBottom w:val="100"/>
          <w:divBdr>
            <w:top w:val="none" w:sz="0" w:space="0" w:color="auto"/>
            <w:left w:val="none" w:sz="0" w:space="0" w:color="auto"/>
            <w:bottom w:val="none" w:sz="0" w:space="0" w:color="auto"/>
            <w:right w:val="none" w:sz="0" w:space="0" w:color="auto"/>
          </w:divBdr>
        </w:div>
        <w:div w:id="8873057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04261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briefings.files.parliament.uk/documents/POST-PN-0744/POST-PN-0744.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adershipacademy.nhs.uk/healthcare-leadership-mode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0BF5E-D09B-40F7-A310-A307B0957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2757</Words>
  <Characters>15720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Laurence Brehouan (2328802)</cp:lastModifiedBy>
  <cp:revision>37</cp:revision>
  <dcterms:created xsi:type="dcterms:W3CDTF">2026-06-30T17:58:00Z</dcterms:created>
  <dcterms:modified xsi:type="dcterms:W3CDTF">2026-07-30T10:24:00Z</dcterms:modified>
</cp:coreProperties>
</file>