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7E8AF" w14:textId="77777777" w:rsidR="00844599" w:rsidRDefault="00844599">
      <w:pPr>
        <w:spacing w:after="120"/>
        <w:jc w:val="center"/>
        <w:rPr>
          <w:b/>
          <w:bCs/>
          <w:sz w:val="32"/>
          <w:szCs w:val="32"/>
        </w:rPr>
      </w:pPr>
    </w:p>
    <w:p w14:paraId="47B91727" w14:textId="6CD2811F" w:rsidR="00844599" w:rsidRDefault="00844599">
      <w:pPr>
        <w:spacing w:after="120"/>
        <w:jc w:val="center"/>
        <w:rPr>
          <w:b/>
          <w:bCs/>
          <w:sz w:val="32"/>
          <w:szCs w:val="32"/>
        </w:rPr>
      </w:pPr>
      <w:r>
        <w:rPr>
          <w:b/>
          <w:bCs/>
          <w:sz w:val="32"/>
          <w:szCs w:val="32"/>
        </w:rPr>
        <w:t xml:space="preserve">Lenuta Raducanu </w:t>
      </w:r>
    </w:p>
    <w:p w14:paraId="568EF787" w14:textId="77777777" w:rsidR="00844599" w:rsidRDefault="00844599">
      <w:pPr>
        <w:spacing w:after="120"/>
        <w:jc w:val="center"/>
        <w:rPr>
          <w:b/>
          <w:bCs/>
          <w:sz w:val="32"/>
          <w:szCs w:val="32"/>
        </w:rPr>
      </w:pPr>
    </w:p>
    <w:p w14:paraId="2B52BC70" w14:textId="77777777" w:rsidR="00844599" w:rsidRDefault="00844599">
      <w:pPr>
        <w:spacing w:after="120"/>
        <w:jc w:val="center"/>
        <w:rPr>
          <w:b/>
          <w:bCs/>
          <w:sz w:val="32"/>
          <w:szCs w:val="32"/>
        </w:rPr>
      </w:pPr>
    </w:p>
    <w:p w14:paraId="361D34F3" w14:textId="77777777" w:rsidR="00844599" w:rsidRDefault="00844599">
      <w:pPr>
        <w:spacing w:after="120"/>
        <w:jc w:val="center"/>
        <w:rPr>
          <w:b/>
          <w:bCs/>
          <w:sz w:val="32"/>
          <w:szCs w:val="32"/>
        </w:rPr>
      </w:pPr>
    </w:p>
    <w:p w14:paraId="4BBD5E16" w14:textId="2013E3F7" w:rsidR="003E1B95" w:rsidRDefault="00661B72">
      <w:pPr>
        <w:spacing w:after="120"/>
        <w:jc w:val="center"/>
      </w:pPr>
      <w:r>
        <w:rPr>
          <w:b/>
          <w:bCs/>
          <w:sz w:val="32"/>
          <w:szCs w:val="32"/>
        </w:rPr>
        <w:t>Textual Analysis of Genesis 1–3</w:t>
      </w:r>
    </w:p>
    <w:p w14:paraId="3ACF51AD" w14:textId="77777777" w:rsidR="003E1B95" w:rsidRDefault="00661B72">
      <w:pPr>
        <w:spacing w:after="120"/>
        <w:jc w:val="center"/>
      </w:pPr>
      <w:r>
        <w:rPr>
          <w:i/>
          <w:iCs/>
          <w:sz w:val="26"/>
          <w:szCs w:val="26"/>
        </w:rPr>
        <w:t>A Historical-Critical Interpretation of the Creation and Fall Narratives</w:t>
      </w:r>
    </w:p>
    <w:p w14:paraId="10434E6F" w14:textId="4157AAE9" w:rsidR="00844599" w:rsidRDefault="00661B72">
      <w:pPr>
        <w:spacing w:after="120"/>
        <w:jc w:val="center"/>
      </w:pPr>
      <w:r>
        <w:t>HPRS</w:t>
      </w:r>
      <w:r w:rsidR="00981D1C">
        <w:t xml:space="preserve"> 5907</w:t>
      </w:r>
      <w:r>
        <w:t xml:space="preserve"> – </w:t>
      </w:r>
      <w:r w:rsidR="00C034C8">
        <w:t>Interpreting the</w:t>
      </w:r>
      <w:r w:rsidR="0073572E">
        <w:t xml:space="preserve"> Hebrew Bible from </w:t>
      </w:r>
      <w:r w:rsidR="00C034C8">
        <w:t>Contemporary Perspective</w:t>
      </w:r>
    </w:p>
    <w:p w14:paraId="3E7D31F7" w14:textId="5F77C166" w:rsidR="003E1B95" w:rsidRDefault="00661B72">
      <w:pPr>
        <w:spacing w:after="120"/>
        <w:jc w:val="center"/>
      </w:pPr>
      <w:r>
        <w:t>Assessment One</w:t>
      </w:r>
    </w:p>
    <w:p w14:paraId="63F29B95" w14:textId="37704362" w:rsidR="003E1B95" w:rsidRDefault="003E1B95">
      <w:pPr>
        <w:spacing w:after="480"/>
        <w:jc w:val="center"/>
      </w:pPr>
    </w:p>
    <w:p w14:paraId="6D478E93" w14:textId="77777777" w:rsidR="003E1B95" w:rsidRDefault="00661B72">
      <w:pPr>
        <w:pStyle w:val="Heading1"/>
      </w:pPr>
      <w:r>
        <w:rPr>
          <w:sz w:val="24"/>
          <w:szCs w:val="24"/>
        </w:rPr>
        <w:t>Introduction</w:t>
      </w:r>
    </w:p>
    <w:p w14:paraId="6D35895F" w14:textId="77777777" w:rsidR="003E1B95" w:rsidRDefault="00661B72">
      <w:pPr>
        <w:spacing w:after="200" w:line="360" w:lineRule="auto"/>
        <w:jc w:val="both"/>
      </w:pPr>
      <w:r>
        <w:t>Genesis 1–3, situated at the opening of the Torah within the Hebrew Bible, constitutes one of the most theologically dense and compositionally complex passages in the biblical canon. These chapters present two distinct accounts of creation followed by a narrative of human transgression, establishing foundational themes of divine sovereignty, human identity, and the nature of the relationship between God and humanity. The purpose of this essay is to offer a detailed textual analysis of Genesis 1–3 through the lens of the historical-critical method, with particular attention to source-critical distinctions between the Priestly (P) and Yahwist (J) traditions that scholarship has long identified within this material.</w:t>
      </w:r>
      <w:r>
        <w:rPr>
          <w:rStyle w:val="FootnoteReference"/>
        </w:rPr>
        <w:footnoteReference w:id="1"/>
      </w:r>
      <w:r>
        <w:t xml:space="preserve"> The essay will demonstrate how recognising the compositional history of the text illuminates its theological complexity rather than diminishing its literary coherence. Additionally, a critical evaluation of feminist biblical criticism as a contemporary interpretive perspective will be offered, assessing its strengths and limitations for the discipline of biblical studies. All biblical quotations are taken from the NRSV.</w:t>
      </w:r>
      <w:r>
        <w:rPr>
          <w:rStyle w:val="FootnoteReference"/>
        </w:rPr>
        <w:footnoteReference w:id="2"/>
      </w:r>
    </w:p>
    <w:p w14:paraId="39E3F7F9" w14:textId="77777777" w:rsidR="003E1B95" w:rsidRDefault="00661B72">
      <w:pPr>
        <w:pStyle w:val="Heading1"/>
      </w:pPr>
      <w:r>
        <w:rPr>
          <w:sz w:val="24"/>
          <w:szCs w:val="24"/>
        </w:rPr>
        <w:t>Contextual and Structural Overview</w:t>
      </w:r>
    </w:p>
    <w:p w14:paraId="79ACEC09" w14:textId="77777777" w:rsidR="003E1B95" w:rsidRDefault="00661B72">
      <w:pPr>
        <w:spacing w:after="200" w:line="360" w:lineRule="auto"/>
        <w:jc w:val="both"/>
      </w:pPr>
      <w:r>
        <w:t xml:space="preserve">Genesis 1–3 occupies a unique canonical position as the opening unit of the entire Hebrew Bible. Its placement at the head of the Torah establishes the theological presuppositions upon </w:t>
      </w:r>
      <w:r>
        <w:lastRenderedPageBreak/>
        <w:t>which the remainder of Israelite narrative, law, and prophecy depends. Within the broader structure of Genesis, chapters 1–11 form a primeval history that precedes the patriarchal narratives beginning in chapter 12. Genesis 1–3 functions as the theological prologue to this primeval sequence, introducing the created order and the disruption of that order through human disobedience.</w:t>
      </w:r>
    </w:p>
    <w:p w14:paraId="79E81AA4" w14:textId="77777777" w:rsidR="003E1B95" w:rsidRDefault="00661B72">
      <w:pPr>
        <w:spacing w:after="200" w:line="360" w:lineRule="auto"/>
        <w:jc w:val="both"/>
      </w:pPr>
      <w:r>
        <w:t xml:space="preserve">Scholarship has long recognised that Genesis 1–3 comprises two originally independent literary traditions. Genesis 1:1–2:4a is widely attributed to the Priestly source (P), characterised by its structured, liturgical style, its use of the divine name </w:t>
      </w:r>
      <w:r>
        <w:rPr>
          <w:i/>
          <w:iCs/>
        </w:rPr>
        <w:t>Elohim</w:t>
      </w:r>
      <w:r>
        <w:t xml:space="preserve">, and its concern with cosmic order and divine speech as the mechanism of creation. Genesis 2:4b–3:24 is attributed to the Yahwist source (J), distinguished by its use of the compound divine name </w:t>
      </w:r>
      <w:r>
        <w:rPr>
          <w:i/>
          <w:iCs/>
        </w:rPr>
        <w:t>YHWH Elohim</w:t>
      </w:r>
      <w:r>
        <w:t>, its anthropomorphic portrayal of God, and its intimate, narrative-driven account of the formation of humanity and the garden setting.</w:t>
      </w:r>
      <w:r>
        <w:rPr>
          <w:rStyle w:val="FootnoteReference"/>
        </w:rPr>
        <w:footnoteReference w:id="3"/>
      </w:r>
      <w:r>
        <w:t xml:space="preserve"> Hermann Gunkel was among the first to demonstrate that these two accounts reflect different theological concerns and literary conventions, a position subsequently reinforced by Gerhard von Rad, who argued that P presents creation as ordered cosmic speech-act, while J is concerned with the existential drama of human freedom and limitation.</w:t>
      </w:r>
      <w:r>
        <w:rPr>
          <w:rStyle w:val="FootnoteReference"/>
        </w:rPr>
        <w:footnoteReference w:id="4"/>
      </w:r>
    </w:p>
    <w:p w14:paraId="5852EBB4" w14:textId="77777777" w:rsidR="003E1B95" w:rsidRDefault="00661B72">
      <w:pPr>
        <w:spacing w:after="200" w:line="360" w:lineRule="auto"/>
        <w:jc w:val="both"/>
      </w:pPr>
      <w:r>
        <w:t>The relationship between these two accounts is not one of contradiction but of complementary theological testimony. The final redactor preserved both traditions, placing the majestic Priestly account first to establish the cosmic framework within which the more intimate Yahwist narrative unfolds. This canonical arrangement invites the reader to understand human identity as situated within a divinely ordered cosmos, yet subject to the relational dynamics of obedience, boundary, and consequence.</w:t>
      </w:r>
    </w:p>
    <w:p w14:paraId="0029486A" w14:textId="77777777" w:rsidR="003E1B95" w:rsidRDefault="00661B72">
      <w:pPr>
        <w:pStyle w:val="Heading1"/>
      </w:pPr>
      <w:r>
        <w:rPr>
          <w:sz w:val="24"/>
          <w:szCs w:val="24"/>
        </w:rPr>
        <w:t>Methodological Framework: The Historical-Critical Method</w:t>
      </w:r>
    </w:p>
    <w:p w14:paraId="4ACBACD3" w14:textId="00D6286F" w:rsidR="003E1B95" w:rsidRDefault="00661B72">
      <w:pPr>
        <w:spacing w:after="200" w:line="360" w:lineRule="auto"/>
        <w:jc w:val="both"/>
      </w:pPr>
      <w:r>
        <w:t>The historical-critical method, as applied in this essay, draws primarily upon source criticism, supplemented by attention to redaction and literary form. Source criticism, as systematised by Julius Wellhausen in the late nineteenth century, seeks to identify the distinct documentary traditions underlying the Pentateuch. The Documentary Hypothesis posits four primary sources</w:t>
      </w:r>
      <w:r w:rsidR="00844599">
        <w:t xml:space="preserve"> </w:t>
      </w:r>
      <w:r>
        <w:lastRenderedPageBreak/>
        <w:t xml:space="preserve">Jahwist (J), </w:t>
      </w:r>
      <w:proofErr w:type="spellStart"/>
      <w:r>
        <w:t>Elohist</w:t>
      </w:r>
      <w:proofErr w:type="spellEnd"/>
      <w:r>
        <w:t xml:space="preserve"> (E), Deuteronomist (D), and Priestly (P)</w:t>
      </w:r>
      <w:r w:rsidR="00844599">
        <w:t xml:space="preserve"> </w:t>
      </w:r>
      <w:r>
        <w:t>each reflecting different periods, theological emphases, and social contexts within Israelite history.</w:t>
      </w:r>
      <w:r>
        <w:rPr>
          <w:rStyle w:val="FootnoteReference"/>
        </w:rPr>
        <w:footnoteReference w:id="5"/>
      </w:r>
    </w:p>
    <w:p w14:paraId="02B1FBD7" w14:textId="77777777" w:rsidR="003E1B95" w:rsidRDefault="00661B72">
      <w:pPr>
        <w:spacing w:after="200" w:line="360" w:lineRule="auto"/>
        <w:jc w:val="both"/>
      </w:pPr>
      <w:r>
        <w:t>For Genesis 1–3, the relevant distinction is between P and J. The historical-critical approach enables the interpreter to identify the distinctive vocabulary, theological interests, and narrative techniques of each source, and to consider how the redactional combination of these traditions shapes the final form of the text. Claus Westermann’s magisterial commentary on Genesis 1–11 remains a foundational resource for this approach, offering detailed philological and form-critical analysis of each unit.</w:t>
      </w:r>
      <w:r>
        <w:rPr>
          <w:rStyle w:val="FootnoteReference"/>
        </w:rPr>
        <w:footnoteReference w:id="6"/>
      </w:r>
      <w:r>
        <w:t xml:space="preserve"> This method is appropriate for Genesis 1–3 because the compositional seams between P and J are clearly visible in the text, and attending to them reveals theological nuances that a purely synchronic reading may overlook.</w:t>
      </w:r>
    </w:p>
    <w:p w14:paraId="01171929" w14:textId="77777777" w:rsidR="003E1B95" w:rsidRDefault="00661B72">
      <w:pPr>
        <w:pStyle w:val="Heading1"/>
      </w:pPr>
      <w:r>
        <w:rPr>
          <w:sz w:val="24"/>
          <w:szCs w:val="24"/>
        </w:rPr>
        <w:t>Detailed Textual Analysis</w:t>
      </w:r>
    </w:p>
    <w:p w14:paraId="6E2CFA42" w14:textId="77777777" w:rsidR="003E1B95" w:rsidRDefault="00661B72">
      <w:pPr>
        <w:pStyle w:val="Heading2"/>
      </w:pPr>
      <w:r>
        <w:rPr>
          <w:sz w:val="24"/>
          <w:szCs w:val="24"/>
        </w:rPr>
        <w:t>Genesis 1:1–2:4a: The Priestly Creation Account</w:t>
      </w:r>
    </w:p>
    <w:p w14:paraId="4E89A7F0" w14:textId="32D9D5DC" w:rsidR="003E1B95" w:rsidRDefault="00661B72">
      <w:pPr>
        <w:spacing w:after="200" w:line="360" w:lineRule="auto"/>
        <w:jc w:val="both"/>
      </w:pPr>
      <w:r>
        <w:t xml:space="preserve">The Priestly account opens with the declaration, ‘In the beginning when God created the heavens and the earth’ (Genesis 1:1, NRSV). The Hebrew term </w:t>
      </w:r>
      <w:r>
        <w:rPr>
          <w:i/>
          <w:iCs/>
        </w:rPr>
        <w:t>bara’</w:t>
      </w:r>
      <w:r>
        <w:t xml:space="preserve"> (‘created’) is used exclusively with God as its subject throughout the Hebrew Bible, indicating a distinctive and sovereign act without parallel in human activity.</w:t>
      </w:r>
      <w:r>
        <w:rPr>
          <w:rStyle w:val="FootnoteReference"/>
        </w:rPr>
        <w:footnoteReference w:id="7"/>
      </w:r>
      <w:r>
        <w:t xml:space="preserve"> The initial condition described in verse 2‘the earth was a formless void’ (</w:t>
      </w:r>
      <w:proofErr w:type="spellStart"/>
      <w:r>
        <w:rPr>
          <w:i/>
          <w:iCs/>
        </w:rPr>
        <w:t>tohu</w:t>
      </w:r>
      <w:proofErr w:type="spellEnd"/>
      <w:r>
        <w:rPr>
          <w:i/>
          <w:iCs/>
        </w:rPr>
        <w:t xml:space="preserve"> </w:t>
      </w:r>
      <w:proofErr w:type="spellStart"/>
      <w:r>
        <w:rPr>
          <w:i/>
          <w:iCs/>
        </w:rPr>
        <w:t>wabohu</w:t>
      </w:r>
      <w:proofErr w:type="spellEnd"/>
      <w:r>
        <w:t>)—does not suggest creation from nothing (</w:t>
      </w:r>
      <w:proofErr w:type="spellStart"/>
      <w:r>
        <w:rPr>
          <w:i/>
          <w:iCs/>
        </w:rPr>
        <w:t>creatio</w:t>
      </w:r>
      <w:proofErr w:type="spellEnd"/>
      <w:r>
        <w:rPr>
          <w:i/>
          <w:iCs/>
        </w:rPr>
        <w:t xml:space="preserve"> ex nihilo</w:t>
      </w:r>
      <w:r>
        <w:t>) in its original context, but rather the ordering of pre-existing chaos into a structured cosmos. Von Rad argues that P’s concern is with divine ordering, not ontological origination.</w:t>
      </w:r>
      <w:r>
        <w:rPr>
          <w:rStyle w:val="FootnoteReference"/>
        </w:rPr>
        <w:footnoteReference w:id="8"/>
      </w:r>
    </w:p>
    <w:p w14:paraId="11FC737D" w14:textId="77777777" w:rsidR="003E1B95" w:rsidRDefault="00661B72">
      <w:pPr>
        <w:spacing w:after="200" w:line="360" w:lineRule="auto"/>
        <w:jc w:val="both"/>
      </w:pPr>
      <w:r>
        <w:t xml:space="preserve">The creation sequence follows a carefully structured seven-day framework. Days one to three establish domains (light, sky, land), while days four to six populate those domains with corresponding inhabitants (luminaries, birds and fish, land animals and humanity). This parallelism reflects a literary artistry that Gunkel identified as characteristic of Priestly theological composition: creation is not chaotic or spontaneous but measured, ordered, and </w:t>
      </w:r>
      <w:r>
        <w:lastRenderedPageBreak/>
        <w:t>purposeful.</w:t>
      </w:r>
      <w:r>
        <w:rPr>
          <w:rStyle w:val="FootnoteReference"/>
        </w:rPr>
        <w:footnoteReference w:id="9"/>
      </w:r>
      <w:r>
        <w:t xml:space="preserve"> The repeated formula ‘and God said … and it was so … and God saw that it was good’ reinforces the theme of divine sovereignty through speech.</w:t>
      </w:r>
    </w:p>
    <w:p w14:paraId="1CE738F6" w14:textId="7E632100" w:rsidR="003E1B95" w:rsidRDefault="00661B72">
      <w:pPr>
        <w:spacing w:after="200" w:line="360" w:lineRule="auto"/>
        <w:jc w:val="both"/>
      </w:pPr>
      <w:r>
        <w:t>The climactic moment of the Priestly account is the creation of humanity in 1:26–28. The plural deliberation</w:t>
      </w:r>
      <w:r w:rsidR="00844599">
        <w:t xml:space="preserve"> ‘</w:t>
      </w:r>
      <w:r>
        <w:t xml:space="preserve">Let us make humankind in our </w:t>
      </w:r>
      <w:r w:rsidR="00844599">
        <w:t>image ‘has</w:t>
      </w:r>
      <w:r>
        <w:t xml:space="preserve"> generated extensive scholarly discussion. Walter Brueggemann suggests that the plural reflects a divine council motif, common in ancient Near Eastern literature, rather than a proto-Trinitarian reference.</w:t>
      </w:r>
      <w:r>
        <w:rPr>
          <w:rStyle w:val="FootnoteReference"/>
        </w:rPr>
        <w:footnoteReference w:id="10"/>
      </w:r>
      <w:r>
        <w:t xml:space="preserve"> The term </w:t>
      </w:r>
      <w:proofErr w:type="spellStart"/>
      <w:r>
        <w:rPr>
          <w:i/>
          <w:iCs/>
        </w:rPr>
        <w:t>tselem</w:t>
      </w:r>
      <w:proofErr w:type="spellEnd"/>
      <w:r>
        <w:t xml:space="preserve"> (‘image’) denotes representational function: humanity is created as God’s representative within the created order, charged with dominion (</w:t>
      </w:r>
      <w:proofErr w:type="spellStart"/>
      <w:r>
        <w:rPr>
          <w:i/>
          <w:iCs/>
        </w:rPr>
        <w:t>radah</w:t>
      </w:r>
      <w:proofErr w:type="spellEnd"/>
      <w:r>
        <w:t>) over other creatures. Von Rad interprets this as a royal commissioning, wherein humanity exercises delegated authority over creation.</w:t>
      </w:r>
      <w:r>
        <w:rPr>
          <w:rStyle w:val="FootnoteReference"/>
        </w:rPr>
        <w:footnoteReference w:id="11"/>
      </w:r>
      <w:r>
        <w:t xml:space="preserve"> Significantly, this image-bearing status is attributed to </w:t>
      </w:r>
      <w:proofErr w:type="spellStart"/>
      <w:r>
        <w:rPr>
          <w:i/>
          <w:iCs/>
        </w:rPr>
        <w:t>adam</w:t>
      </w:r>
      <w:proofErr w:type="spellEnd"/>
      <w:r>
        <w:t xml:space="preserve"> collectively</w:t>
      </w:r>
      <w:r w:rsidR="00844599">
        <w:t xml:space="preserve"> </w:t>
      </w:r>
      <w:r>
        <w:t>‘male and female he created them’ (1:27)</w:t>
      </w:r>
      <w:r w:rsidR="00844599">
        <w:t xml:space="preserve"> </w:t>
      </w:r>
      <w:r>
        <w:t>indicating that the Priestly writer ascribes equal dignity to both sexes within the imago Dei.</w:t>
      </w:r>
    </w:p>
    <w:p w14:paraId="6D80F1D5" w14:textId="77777777" w:rsidR="003E1B95" w:rsidRDefault="00661B72">
      <w:pPr>
        <w:spacing w:after="200" w:line="360" w:lineRule="auto"/>
        <w:jc w:val="both"/>
      </w:pPr>
      <w:r>
        <w:t>The seventh day (2:1–4a) completes the account with God’s rest and sanctification of the Sabbath, grounding Israel’s cultic practice in the primordial order of creation. Westermann notes that this aetiological function links cosmology to liturgy, a characteristically Priestly concern.</w:t>
      </w:r>
      <w:r>
        <w:rPr>
          <w:rStyle w:val="FootnoteReference"/>
        </w:rPr>
        <w:footnoteReference w:id="12"/>
      </w:r>
    </w:p>
    <w:p w14:paraId="06CA68A0" w14:textId="77777777" w:rsidR="003E1B95" w:rsidRDefault="00661B72">
      <w:pPr>
        <w:pStyle w:val="Heading2"/>
      </w:pPr>
      <w:r>
        <w:rPr>
          <w:sz w:val="24"/>
          <w:szCs w:val="24"/>
        </w:rPr>
        <w:t>Genesis 2:4b–3:24: The Yahwist Narrative</w:t>
      </w:r>
    </w:p>
    <w:p w14:paraId="1E1C7980" w14:textId="77777777" w:rsidR="003E1B95" w:rsidRDefault="00661B72">
      <w:pPr>
        <w:spacing w:after="200" w:line="360" w:lineRule="auto"/>
        <w:jc w:val="both"/>
      </w:pPr>
      <w:r>
        <w:t>The Yahwist account begins with a different cosmological starting point: ‘In the day that the LORD God made the earth and the heavens’ (2:4b). Here, creation proceeds not through speech but through divine craftsmanship. YHWH God forms (</w:t>
      </w:r>
      <w:proofErr w:type="spellStart"/>
      <w:r>
        <w:rPr>
          <w:i/>
          <w:iCs/>
        </w:rPr>
        <w:t>yatsar</w:t>
      </w:r>
      <w:proofErr w:type="spellEnd"/>
      <w:r>
        <w:t>) the man (</w:t>
      </w:r>
      <w:proofErr w:type="spellStart"/>
      <w:r>
        <w:rPr>
          <w:i/>
          <w:iCs/>
        </w:rPr>
        <w:t>ha’adam</w:t>
      </w:r>
      <w:proofErr w:type="spellEnd"/>
      <w:r>
        <w:t>) from the dust of the ground (</w:t>
      </w:r>
      <w:proofErr w:type="spellStart"/>
      <w:r>
        <w:rPr>
          <w:i/>
          <w:iCs/>
        </w:rPr>
        <w:t>ha’adamah</w:t>
      </w:r>
      <w:proofErr w:type="spellEnd"/>
      <w:r>
        <w:t>), a wordplay that emphasises the intimate connection between humanity and the earth.</w:t>
      </w:r>
      <w:r>
        <w:rPr>
          <w:rStyle w:val="FootnoteReference"/>
        </w:rPr>
        <w:footnoteReference w:id="13"/>
      </w:r>
      <w:r>
        <w:t xml:space="preserve"> The anthropomorphic imagery of God breathing life into the man’s nostrils (2:7) presents a deity far more personally engaged than the transcendent </w:t>
      </w:r>
      <w:r>
        <w:rPr>
          <w:i/>
          <w:iCs/>
        </w:rPr>
        <w:t>Elohim</w:t>
      </w:r>
      <w:r>
        <w:t xml:space="preserve"> of the Priestly account.</w:t>
      </w:r>
    </w:p>
    <w:p w14:paraId="456DDFE4" w14:textId="2BF4B2E8" w:rsidR="003E1B95" w:rsidRDefault="00661B72">
      <w:pPr>
        <w:spacing w:after="200" w:line="360" w:lineRule="auto"/>
        <w:jc w:val="both"/>
      </w:pPr>
      <w:r>
        <w:t>The garden of Eden (2:8–17) establishes a bounded space in which human existence is defined by both provision and prohibition. The two named trees</w:t>
      </w:r>
      <w:r w:rsidR="00844599">
        <w:t xml:space="preserve"> </w:t>
      </w:r>
      <w:r>
        <w:t xml:space="preserve">the tree of life and the tree of the </w:t>
      </w:r>
      <w:r>
        <w:lastRenderedPageBreak/>
        <w:t>knowledge of good and evil</w:t>
      </w:r>
      <w:r w:rsidR="00844599">
        <w:t xml:space="preserve"> </w:t>
      </w:r>
      <w:r>
        <w:t>function as theological symbols. Wenham argues that the prohibition against eating from the tree of knowledge (2:17) establishes the fundamental dynamic of the J narrative: human freedom exists within divinely imposed limits, and the boundary itself constitutes the condition of relationship with God.</w:t>
      </w:r>
      <w:r>
        <w:rPr>
          <w:rStyle w:val="FootnoteReference"/>
        </w:rPr>
        <w:footnoteReference w:id="14"/>
      </w:r>
    </w:p>
    <w:p w14:paraId="2333171B" w14:textId="0552FF53" w:rsidR="003E1B95" w:rsidRDefault="00661B72">
      <w:pPr>
        <w:spacing w:after="200" w:line="360" w:lineRule="auto"/>
        <w:jc w:val="both"/>
      </w:pPr>
      <w:r>
        <w:t xml:space="preserve">The formation of the woman from the man’s rib (2:21–23) is a passage of considerable interpretive significance. The term </w:t>
      </w:r>
      <w:r>
        <w:rPr>
          <w:i/>
          <w:iCs/>
        </w:rPr>
        <w:t>’</w:t>
      </w:r>
      <w:proofErr w:type="spellStart"/>
      <w:r>
        <w:rPr>
          <w:i/>
          <w:iCs/>
        </w:rPr>
        <w:t>ezer</w:t>
      </w:r>
      <w:proofErr w:type="spellEnd"/>
      <w:r>
        <w:rPr>
          <w:i/>
          <w:iCs/>
        </w:rPr>
        <w:t xml:space="preserve"> </w:t>
      </w:r>
      <w:proofErr w:type="spellStart"/>
      <w:r>
        <w:rPr>
          <w:i/>
          <w:iCs/>
        </w:rPr>
        <w:t>kenegdo</w:t>
      </w:r>
      <w:proofErr w:type="spellEnd"/>
      <w:r>
        <w:t xml:space="preserve"> (2:18), often translated ‘helper corresponding to him’, does not imply subordination. In the Hebrew Bible, </w:t>
      </w:r>
      <w:r>
        <w:rPr>
          <w:i/>
          <w:iCs/>
        </w:rPr>
        <w:t>’</w:t>
      </w:r>
      <w:proofErr w:type="spellStart"/>
      <w:r>
        <w:rPr>
          <w:i/>
          <w:iCs/>
        </w:rPr>
        <w:t>ezer</w:t>
      </w:r>
      <w:proofErr w:type="spellEnd"/>
      <w:r>
        <w:t xml:space="preserve"> is most frequently used of God as Israel’s helper (e.g., Psalm 121:2</w:t>
      </w:r>
      <w:r w:rsidR="00844599">
        <w:t>) and</w:t>
      </w:r>
      <w:r>
        <w:t xml:space="preserve"> thus carries connotations of strength and complementarity rather than inferiority. Von Rad interprets the passage as affirming the fundamental sociality of human existence: the man is incomplete without the woman.</w:t>
      </w:r>
      <w:r>
        <w:rPr>
          <w:rStyle w:val="FootnoteReference"/>
        </w:rPr>
        <w:footnoteReference w:id="15"/>
      </w:r>
    </w:p>
    <w:p w14:paraId="7A0A2226" w14:textId="6908B92E" w:rsidR="003E1B95" w:rsidRDefault="00661B72">
      <w:pPr>
        <w:spacing w:after="200" w:line="360" w:lineRule="auto"/>
        <w:jc w:val="both"/>
      </w:pPr>
      <w:r>
        <w:t>Genesis 3 introduces the serpent, described as ‘</w:t>
      </w:r>
      <w:r w:rsidR="00844599">
        <w:t>craftier</w:t>
      </w:r>
      <w:r>
        <w:t>’ (</w:t>
      </w:r>
      <w:r>
        <w:rPr>
          <w:i/>
          <w:iCs/>
        </w:rPr>
        <w:t>’arum</w:t>
      </w:r>
      <w:r>
        <w:t>) than any other creature. The serpent’s dialogue with the woman (3:1–5) represents the first instance of speech in the J narrative that is not God’s, and its rhetorical function is to reframe the divine prohibition as restrictive rather than protective. The woman’s response subtly alters God’s command</w:t>
      </w:r>
      <w:r w:rsidR="00844599">
        <w:t xml:space="preserve"> </w:t>
      </w:r>
      <w:r>
        <w:t>adding ‘nor shall you touch it’ (3:3)</w:t>
      </w:r>
      <w:r w:rsidR="00844599">
        <w:t xml:space="preserve"> </w:t>
      </w:r>
      <w:r>
        <w:t>which may indicate either growing anxiety about the boundary or an exaggeration that the serpent exploits. Brueggemann reads this dialogue as a study in the epistemology of temptation: the serpent introduces doubt into what had been an unquestioned relational structure.</w:t>
      </w:r>
      <w:r>
        <w:rPr>
          <w:rStyle w:val="FootnoteReference"/>
        </w:rPr>
        <w:footnoteReference w:id="16"/>
      </w:r>
    </w:p>
    <w:p w14:paraId="71CD069C" w14:textId="07B52F2A" w:rsidR="003E1B95" w:rsidRDefault="00661B72">
      <w:pPr>
        <w:spacing w:after="200" w:line="360" w:lineRule="auto"/>
        <w:jc w:val="both"/>
      </w:pPr>
      <w:r>
        <w:t>The consequences of transgression (3:14–24) are articulated through divine pronouncements upon the serpent, the woman, and the man. These are not arbitrary punishments but narrative explanations (aetiologies) for conditions familiar to the Israelite audience: the hostility between humans and serpents, the pain of childbirth, the toil of agriculture, and the reality of death. Westermann emphasises that these pronouncements function within J’s narrative theology as explanations of the present human condition, not as juridical sentences imposed by a wrathful deity.</w:t>
      </w:r>
      <w:r>
        <w:rPr>
          <w:rStyle w:val="FootnoteReference"/>
        </w:rPr>
        <w:footnoteReference w:id="17"/>
      </w:r>
      <w:r>
        <w:t xml:space="preserve"> The expulsion from Eden (3:22–24) represents the loss of unmediated access to God and the tree of life, inaugurating a condition of alienation that the remainder of Genesis</w:t>
      </w:r>
      <w:r w:rsidR="00844599">
        <w:t xml:space="preserve"> </w:t>
      </w:r>
      <w:r>
        <w:t>and indeed the Hebrew Bible</w:t>
      </w:r>
      <w:r w:rsidR="00844599">
        <w:t xml:space="preserve"> </w:t>
      </w:r>
      <w:r>
        <w:t>seeks to address.</w:t>
      </w:r>
    </w:p>
    <w:p w14:paraId="618383C8" w14:textId="77777777" w:rsidR="003E1B95" w:rsidRDefault="00661B72">
      <w:pPr>
        <w:pStyle w:val="Heading1"/>
      </w:pPr>
      <w:r>
        <w:rPr>
          <w:sz w:val="24"/>
          <w:szCs w:val="24"/>
        </w:rPr>
        <w:lastRenderedPageBreak/>
        <w:t>Contemporary Perspective: Feminist Biblical Criticism</w:t>
      </w:r>
    </w:p>
    <w:p w14:paraId="0D638C44" w14:textId="0723993E" w:rsidR="003E1B95" w:rsidRDefault="00661B72">
      <w:pPr>
        <w:spacing w:after="200" w:line="360" w:lineRule="auto"/>
        <w:jc w:val="both"/>
      </w:pPr>
      <w:r>
        <w:t xml:space="preserve">Feminist biblical criticism offers a significant contemporary lens through which to re-evaluate Genesis 1–3, particularly given the text’s historical role in legitimating gendered hierarchies within both Jewish and Christian traditions. Phyllis Trible’s landmark study argued that the Yahwist narrative, properly read, does not subordinate women. Trible contends that </w:t>
      </w:r>
      <w:proofErr w:type="spellStart"/>
      <w:r>
        <w:rPr>
          <w:i/>
          <w:iCs/>
        </w:rPr>
        <w:t>ha’adam</w:t>
      </w:r>
      <w:proofErr w:type="spellEnd"/>
      <w:r>
        <w:t xml:space="preserve"> in Genesis 2 is a sexually undifferentiated earth-creature until the creation of woman, at which point both male and female come into being simultaneously.</w:t>
      </w:r>
      <w:r>
        <w:rPr>
          <w:rStyle w:val="FootnoteReference"/>
        </w:rPr>
        <w:footnoteReference w:id="18"/>
      </w:r>
      <w:r>
        <w:t xml:space="preserve"> On this reading, the creation of woman from </w:t>
      </w:r>
      <w:proofErr w:type="spellStart"/>
      <w:r>
        <w:rPr>
          <w:i/>
          <w:iCs/>
        </w:rPr>
        <w:t>ha’adam’s</w:t>
      </w:r>
      <w:proofErr w:type="spellEnd"/>
      <w:r>
        <w:t xml:space="preserve"> rib signifies not derivation and inferiority but intimacy and equality. Trible further argues that the man’s exclamation in 2:23‘bone of my bones and flesh of my flesh’</w:t>
      </w:r>
      <w:r w:rsidR="00844599">
        <w:t xml:space="preserve"> </w:t>
      </w:r>
      <w:r>
        <w:t>is a recognition of equality, not a claim of ownership.</w:t>
      </w:r>
      <w:r>
        <w:rPr>
          <w:rStyle w:val="FootnoteReference"/>
        </w:rPr>
        <w:footnoteReference w:id="19"/>
      </w:r>
    </w:p>
    <w:p w14:paraId="3F08C2CD" w14:textId="77777777" w:rsidR="003E1B95" w:rsidRDefault="00661B72">
      <w:pPr>
        <w:spacing w:after="200" w:line="360" w:lineRule="auto"/>
        <w:jc w:val="both"/>
      </w:pPr>
      <w:r>
        <w:t>The strengths of Trible’s feminist reading are considerable. It challenges centuries of patriarchal interpretation that blamed Eve for the Fall and used Genesis 3:16 to justify female subordination. By attending to Hebrew vocabulary and literary structure, Trible demonstrates that the text itself is more nuanced than its reception history suggests. Her method is philologically rigorous and hermeneutically productive, opening interpretive possibilities that the historical-critical tradition had largely neglected. Her work on the serpent dialogue in Genesis 3 convincingly demonstrates that the woman, not the man, is the active theological agent in the narrative, engaging in reasoning, assessment, and decision.</w:t>
      </w:r>
      <w:r>
        <w:rPr>
          <w:rStyle w:val="FootnoteReference"/>
        </w:rPr>
        <w:footnoteReference w:id="20"/>
      </w:r>
    </w:p>
    <w:p w14:paraId="4E2611DB" w14:textId="77777777" w:rsidR="003E1B95" w:rsidRDefault="00661B72">
      <w:pPr>
        <w:spacing w:after="200" w:line="360" w:lineRule="auto"/>
        <w:jc w:val="both"/>
      </w:pPr>
      <w:r>
        <w:t xml:space="preserve">However, feminist criticism applied to Genesis 1–3 also carries limitations that require critical acknowledgement. Susan Lanser has questioned whether Trible’s reading of </w:t>
      </w:r>
      <w:proofErr w:type="spellStart"/>
      <w:r>
        <w:rPr>
          <w:i/>
          <w:iCs/>
        </w:rPr>
        <w:t>ha’adam</w:t>
      </w:r>
      <w:proofErr w:type="spellEnd"/>
      <w:r>
        <w:t xml:space="preserve"> as sexually undifferentiated is linguistically sustainable, arguing that the Hebrew term carries masculine grammatical markers throughout Genesis 2 and that ancient audiences would have understood it as referring to a male figure.</w:t>
      </w:r>
      <w:r>
        <w:rPr>
          <w:rStyle w:val="FootnoteReference"/>
        </w:rPr>
        <w:footnoteReference w:id="21"/>
      </w:r>
      <w:r>
        <w:t xml:space="preserve"> Pamela Milne has further argued that feminist attempts to recover egalitarian readings from patriarchal texts risk obscuring the genuinely androcentric structures of biblical literature, thereby inadvertently legitimating texts that may require more radical critique.</w:t>
      </w:r>
      <w:r>
        <w:rPr>
          <w:rStyle w:val="FootnoteReference"/>
        </w:rPr>
        <w:footnoteReference w:id="22"/>
      </w:r>
      <w:r>
        <w:t xml:space="preserve"> These objections highlight a genuine tension within feminist </w:t>
      </w:r>
      <w:r>
        <w:lastRenderedPageBreak/>
        <w:t>hermeneutics: the question of whether ancient texts can be recovered for emancipatory purposes or whether their ideological context ultimately constrains their meaning.</w:t>
      </w:r>
    </w:p>
    <w:p w14:paraId="2587E12B" w14:textId="77777777" w:rsidR="003E1B95" w:rsidRDefault="00661B72">
      <w:pPr>
        <w:spacing w:after="200" w:line="360" w:lineRule="auto"/>
        <w:jc w:val="both"/>
      </w:pPr>
      <w:r>
        <w:t>Additionally, there is a methodological tension between feminist criticism and historical-critical scholarship. The historical-critical method prioritises authorial intention and original context, whereas feminist criticism often reads against the grain of the text to expose patriarchal assumptions. Wenham, while sympathetic to feminist concerns, cautions that anachronistic application of modern gender categories to ancient Israelite literature risks distorting the text’s own theological purposes.</w:t>
      </w:r>
      <w:r>
        <w:rPr>
          <w:rStyle w:val="FootnoteReference"/>
        </w:rPr>
        <w:footnoteReference w:id="23"/>
      </w:r>
      <w:r>
        <w:t xml:space="preserve"> David Clines has argued that while the Yahwist narrative grants the woman agency, the overall trajectory of Genesis 2–3 nevertheless re-inscribes patriarchal structures through the divine punishment of 3:16.</w:t>
      </w:r>
      <w:r>
        <w:rPr>
          <w:rStyle w:val="FootnoteReference"/>
        </w:rPr>
        <w:footnoteReference w:id="24"/>
      </w:r>
      <w:r>
        <w:t xml:space="preserve"> A balanced evaluation must therefore acknowledge that feminist criticism enriches the interpretation of Genesis 1–3 by foregrounding questions of gender, power, and reception, while recognising that it operates within the constraints and possibilities of the text’s historical horizon.</w:t>
      </w:r>
    </w:p>
    <w:p w14:paraId="68D5E398" w14:textId="77777777" w:rsidR="003E1B95" w:rsidRDefault="00661B72">
      <w:pPr>
        <w:pStyle w:val="Heading1"/>
      </w:pPr>
      <w:r>
        <w:rPr>
          <w:sz w:val="24"/>
          <w:szCs w:val="24"/>
        </w:rPr>
        <w:t>Conclusion</w:t>
      </w:r>
    </w:p>
    <w:p w14:paraId="7089282A" w14:textId="77777777" w:rsidR="003E1B95" w:rsidRDefault="00661B72">
      <w:pPr>
        <w:spacing w:after="200" w:line="360" w:lineRule="auto"/>
        <w:jc w:val="both"/>
      </w:pPr>
      <w:r>
        <w:t xml:space="preserve">This analysis has demonstrated that the historical-critical method, particularly through source-critical attention to the Priestly and Yahwist traditions, provides a productive framework for interpreting Genesis 1–3. The Priestly account establishes creation as a structured, sovereign act of divine speech, culminating in the formation of humanity in the </w:t>
      </w:r>
      <w:r>
        <w:rPr>
          <w:i/>
          <w:iCs/>
        </w:rPr>
        <w:t>imago Dei</w:t>
      </w:r>
      <w:r>
        <w:t xml:space="preserve"> and the sanctification of the Sabbath. The Yahwist narrative complements this cosmic vision with an intimate exploration of human freedom, relationality, and the consequences of transgression. Together, the two accounts present a theological anthropology in which human dignity is grounded in divine creation, while human alienation is understood as the result of the violation of divinely established boundaries.</w:t>
      </w:r>
    </w:p>
    <w:p w14:paraId="58D6CD51" w14:textId="77777777" w:rsidR="003E1B95" w:rsidRDefault="00661B72">
      <w:pPr>
        <w:spacing w:after="200" w:line="360" w:lineRule="auto"/>
        <w:jc w:val="both"/>
      </w:pPr>
      <w:r>
        <w:t xml:space="preserve">The critical evaluation of feminist biblical criticism has shown that contemporary perspectives can both enrich and challenge historical-critical readings. Trible’s work demonstrates the interpretive gains that emerge when gender dynamics are foregrounded, while the critiques of Lanser and Milne reveal the methodological limits of recovering egalitarian readings from texts composed within patriarchal societies. A rigorous engagement with Genesis 1–3 requires both </w:t>
      </w:r>
      <w:r>
        <w:lastRenderedPageBreak/>
        <w:t>historical sensitivity to the text’s compositional origins and openness to the questions raised by contemporary scholarship.</w:t>
      </w:r>
      <w:r>
        <w:rPr>
          <w:rStyle w:val="FootnoteReference"/>
        </w:rPr>
        <w:footnoteReference w:id="25"/>
      </w:r>
      <w:r>
        <w:rPr>
          <w:rStyle w:val="FootnoteReference"/>
        </w:rPr>
        <w:footnoteReference w:id="26"/>
      </w:r>
    </w:p>
    <w:p w14:paraId="438F7238" w14:textId="77777777" w:rsidR="003E1B95" w:rsidRDefault="00661B72">
      <w:r>
        <w:br w:type="page"/>
      </w:r>
    </w:p>
    <w:p w14:paraId="711DA75B" w14:textId="77777777" w:rsidR="003E1B95" w:rsidRDefault="00661B72">
      <w:pPr>
        <w:pStyle w:val="Heading1"/>
      </w:pPr>
      <w:r>
        <w:rPr>
          <w:sz w:val="24"/>
          <w:szCs w:val="24"/>
        </w:rPr>
        <w:lastRenderedPageBreak/>
        <w:t>Bibliography</w:t>
      </w:r>
    </w:p>
    <w:p w14:paraId="19AA462C" w14:textId="77777777" w:rsidR="003E1B95" w:rsidRDefault="00661B72">
      <w:pPr>
        <w:spacing w:after="160"/>
        <w:jc w:val="both"/>
      </w:pPr>
      <w:r>
        <w:rPr>
          <w:i/>
          <w:iCs/>
        </w:rPr>
        <w:t>The Holy Bible: New Revised Standard Version</w:t>
      </w:r>
      <w:r>
        <w:t xml:space="preserve"> (New York: Division of Christian Education of the National Council of Churches of Christ, 1989)</w:t>
      </w:r>
    </w:p>
    <w:p w14:paraId="3452C00E" w14:textId="77777777" w:rsidR="003E1B95" w:rsidRDefault="00661B72">
      <w:pPr>
        <w:spacing w:after="160"/>
        <w:jc w:val="both"/>
      </w:pPr>
      <w:r>
        <w:t xml:space="preserve">Brueggemann, Walter, </w:t>
      </w:r>
      <w:r>
        <w:rPr>
          <w:i/>
          <w:iCs/>
        </w:rPr>
        <w:t>Genesis</w:t>
      </w:r>
      <w:r>
        <w:t xml:space="preserve"> (Atlanta: John Knox Press, 1982)</w:t>
      </w:r>
    </w:p>
    <w:p w14:paraId="659EAA28" w14:textId="77777777" w:rsidR="003E1B95" w:rsidRDefault="00661B72">
      <w:pPr>
        <w:spacing w:after="160"/>
        <w:jc w:val="both"/>
      </w:pPr>
      <w:r>
        <w:t xml:space="preserve">Clines, David J. A., ‘What Does Eve Do to Help? And Other Irredeemably Androcentric Orientations in Genesis 1–3’, in </w:t>
      </w:r>
      <w:r>
        <w:rPr>
          <w:i/>
          <w:iCs/>
        </w:rPr>
        <w:t>What Does Eve Do to Help? And Other Readerly Questions to the Old Testament</w:t>
      </w:r>
      <w:r>
        <w:t xml:space="preserve"> (Sheffield: JSOT Press, 1990), pp. 25–48</w:t>
      </w:r>
    </w:p>
    <w:p w14:paraId="12F2AEE7" w14:textId="77777777" w:rsidR="003E1B95" w:rsidRDefault="00661B72">
      <w:pPr>
        <w:spacing w:after="160"/>
        <w:jc w:val="both"/>
      </w:pPr>
      <w:r>
        <w:t xml:space="preserve">Gunkel, Hermann, </w:t>
      </w:r>
      <w:r>
        <w:rPr>
          <w:i/>
          <w:iCs/>
        </w:rPr>
        <w:t>Genesis</w:t>
      </w:r>
      <w:r>
        <w:t>, trans. by Mark E. Biddle (Macon, GA: Mercer University Press, 1997)</w:t>
      </w:r>
    </w:p>
    <w:p w14:paraId="032C9CC1" w14:textId="77777777" w:rsidR="003E1B95" w:rsidRDefault="00661B72">
      <w:pPr>
        <w:spacing w:after="160"/>
        <w:jc w:val="both"/>
      </w:pPr>
      <w:r>
        <w:t xml:space="preserve">Lanser, Susan, ‘(Feminist) Criticism in the Garden: Inferring Genesis 2–3’, </w:t>
      </w:r>
      <w:r>
        <w:rPr>
          <w:i/>
          <w:iCs/>
        </w:rPr>
        <w:t>Semeia</w:t>
      </w:r>
      <w:r>
        <w:t>, 41 (1988), 67–84</w:t>
      </w:r>
    </w:p>
    <w:p w14:paraId="61863A81" w14:textId="77777777" w:rsidR="003E1B95" w:rsidRDefault="00661B72">
      <w:pPr>
        <w:spacing w:after="160"/>
        <w:jc w:val="both"/>
      </w:pPr>
      <w:r>
        <w:t xml:space="preserve">Milne, Pamela J., ‘The Patriarchal Stamp of Scripture: The Implications of Structural Analyses for Feminist Hermeneutics’, </w:t>
      </w:r>
      <w:r>
        <w:rPr>
          <w:i/>
          <w:iCs/>
        </w:rPr>
        <w:t>Journal of Feminist Studies in Religion</w:t>
      </w:r>
      <w:r>
        <w:t>, 5.1 (1989), 17–34</w:t>
      </w:r>
    </w:p>
    <w:p w14:paraId="757F4F03" w14:textId="77777777" w:rsidR="003E1B95" w:rsidRDefault="00661B72">
      <w:pPr>
        <w:spacing w:after="160"/>
        <w:jc w:val="both"/>
      </w:pPr>
      <w:r>
        <w:t xml:space="preserve">Trible, Phyllis, </w:t>
      </w:r>
      <w:r>
        <w:rPr>
          <w:i/>
          <w:iCs/>
        </w:rPr>
        <w:t>God and the Rhetoric of Sexuality</w:t>
      </w:r>
      <w:r>
        <w:t xml:space="preserve"> (Philadelphia: Fortress Press, 1978)</w:t>
      </w:r>
    </w:p>
    <w:p w14:paraId="3007295E" w14:textId="77777777" w:rsidR="003E1B95" w:rsidRDefault="00661B72">
      <w:pPr>
        <w:spacing w:after="160"/>
        <w:jc w:val="both"/>
      </w:pPr>
      <w:r>
        <w:t xml:space="preserve">Von Rad, Gerhard, </w:t>
      </w:r>
      <w:r>
        <w:rPr>
          <w:i/>
          <w:iCs/>
        </w:rPr>
        <w:t>Genesis: A Commentary</w:t>
      </w:r>
      <w:r>
        <w:t xml:space="preserve">, rev. </w:t>
      </w:r>
      <w:proofErr w:type="spellStart"/>
      <w:r>
        <w:t>edn</w:t>
      </w:r>
      <w:proofErr w:type="spellEnd"/>
      <w:r>
        <w:t xml:space="preserve"> (London: SCM Press, 1972)</w:t>
      </w:r>
    </w:p>
    <w:p w14:paraId="1DCAB79E" w14:textId="77777777" w:rsidR="003E1B95" w:rsidRDefault="00661B72">
      <w:pPr>
        <w:spacing w:after="160"/>
        <w:jc w:val="both"/>
      </w:pPr>
      <w:r>
        <w:t xml:space="preserve">Wellhausen, Julius, </w:t>
      </w:r>
      <w:r>
        <w:rPr>
          <w:i/>
          <w:iCs/>
        </w:rPr>
        <w:t>Prolegomena to the History of Israel</w:t>
      </w:r>
      <w:r>
        <w:t>, trans. by J. Sutherland Black and Allan Menzies (Edinburgh: Adam and Charles Black, 1885)</w:t>
      </w:r>
    </w:p>
    <w:p w14:paraId="04F2F248" w14:textId="77777777" w:rsidR="003E1B95" w:rsidRDefault="00661B72">
      <w:pPr>
        <w:spacing w:after="160"/>
        <w:jc w:val="both"/>
      </w:pPr>
      <w:r>
        <w:t xml:space="preserve">Wenham, Gordon J., </w:t>
      </w:r>
      <w:r>
        <w:rPr>
          <w:i/>
          <w:iCs/>
        </w:rPr>
        <w:t>Genesis 1–15</w:t>
      </w:r>
      <w:r>
        <w:t>, Word Biblical Commentary, 1 (Waco, TX: Word Books, 1987)</w:t>
      </w:r>
    </w:p>
    <w:p w14:paraId="77456B60" w14:textId="77777777" w:rsidR="003E1B95" w:rsidRDefault="00661B72">
      <w:pPr>
        <w:spacing w:after="160"/>
        <w:jc w:val="both"/>
      </w:pPr>
      <w:r>
        <w:t xml:space="preserve">Westermann, Claus, </w:t>
      </w:r>
      <w:r>
        <w:rPr>
          <w:i/>
          <w:iCs/>
        </w:rPr>
        <w:t>Genesis 1–11: A Continental Commentary</w:t>
      </w:r>
      <w:r>
        <w:t>, trans. by John J. Scullion (Minneapolis: Fortress Press, 1994)</w:t>
      </w:r>
    </w:p>
    <w:sectPr w:rsidR="003E1B9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8FC9B" w14:textId="77777777" w:rsidR="0099633D" w:rsidRDefault="0099633D">
      <w:r>
        <w:separator/>
      </w:r>
    </w:p>
  </w:endnote>
  <w:endnote w:type="continuationSeparator" w:id="0">
    <w:p w14:paraId="76CCA27F" w14:textId="77777777" w:rsidR="0099633D" w:rsidRDefault="009963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46A4B" w14:textId="77777777" w:rsidR="0099633D" w:rsidRDefault="0099633D">
      <w:r>
        <w:separator/>
      </w:r>
    </w:p>
  </w:footnote>
  <w:footnote w:type="continuationSeparator" w:id="0">
    <w:p w14:paraId="71BDD1D0" w14:textId="77777777" w:rsidR="0099633D" w:rsidRDefault="0099633D">
      <w:r>
        <w:continuationSeparator/>
      </w:r>
    </w:p>
  </w:footnote>
  <w:footnote w:id="1">
    <w:p w14:paraId="2DD1C0C8" w14:textId="77777777" w:rsidR="003E1B95" w:rsidRDefault="00661B72">
      <w:pPr>
        <w:spacing w:after="60"/>
      </w:pPr>
      <w:r>
        <w:rPr>
          <w:rStyle w:val="FootnoteReference"/>
        </w:rPr>
        <w:footnoteRef/>
      </w:r>
      <w:r>
        <w:rPr>
          <w:sz w:val="20"/>
          <w:szCs w:val="20"/>
        </w:rPr>
        <w:t>Julius Wellhausen, Prolegomena to the History of Israel, trans. by J. Sutherland Black and Allan Menzies (Edinburgh: Adam and Charles Black, 1885), pp. 1–12.</w:t>
      </w:r>
    </w:p>
  </w:footnote>
  <w:footnote w:id="2">
    <w:p w14:paraId="62DD774B" w14:textId="77777777" w:rsidR="003E1B95" w:rsidRDefault="00661B72">
      <w:pPr>
        <w:spacing w:after="60"/>
      </w:pPr>
      <w:r>
        <w:rPr>
          <w:rStyle w:val="FootnoteReference"/>
        </w:rPr>
        <w:footnoteRef/>
      </w:r>
      <w:r>
        <w:rPr>
          <w:sz w:val="20"/>
          <w:szCs w:val="20"/>
        </w:rPr>
        <w:t>All biblical quotations are taken from the New Revised Standard Version (NRSV) unless otherwise stated.</w:t>
      </w:r>
    </w:p>
  </w:footnote>
  <w:footnote w:id="3">
    <w:p w14:paraId="653672C0" w14:textId="77777777" w:rsidR="003E1B95" w:rsidRDefault="00661B72">
      <w:pPr>
        <w:spacing w:after="60"/>
      </w:pPr>
      <w:r>
        <w:rPr>
          <w:rStyle w:val="FootnoteReference"/>
        </w:rPr>
        <w:footnoteRef/>
      </w:r>
      <w:r>
        <w:rPr>
          <w:sz w:val="20"/>
          <w:szCs w:val="20"/>
        </w:rPr>
        <w:t>Hermann Gunkel, Genesis, trans. by Mark E. Biddle (Macon, GA: Mercer University Press, 1997), pp. 1–18.</w:t>
      </w:r>
    </w:p>
  </w:footnote>
  <w:footnote w:id="4">
    <w:p w14:paraId="74DD2F46" w14:textId="77777777" w:rsidR="003E1B95" w:rsidRDefault="00661B72">
      <w:pPr>
        <w:spacing w:after="60"/>
      </w:pPr>
      <w:r>
        <w:rPr>
          <w:rStyle w:val="FootnoteReference"/>
        </w:rPr>
        <w:footnoteRef/>
      </w:r>
      <w:r>
        <w:rPr>
          <w:sz w:val="20"/>
          <w:szCs w:val="20"/>
        </w:rPr>
        <w:t xml:space="preserve">Gerhard von Rad, Genesis: A Commentary, rev. </w:t>
      </w:r>
      <w:proofErr w:type="spellStart"/>
      <w:r>
        <w:rPr>
          <w:sz w:val="20"/>
          <w:szCs w:val="20"/>
        </w:rPr>
        <w:t>edn</w:t>
      </w:r>
      <w:proofErr w:type="spellEnd"/>
      <w:r>
        <w:rPr>
          <w:sz w:val="20"/>
          <w:szCs w:val="20"/>
        </w:rPr>
        <w:t xml:space="preserve"> (London: SCM Press, 1972), p. 47.</w:t>
      </w:r>
    </w:p>
  </w:footnote>
  <w:footnote w:id="5">
    <w:p w14:paraId="646B9679" w14:textId="77777777" w:rsidR="00844599" w:rsidRDefault="00844599"/>
    <w:p w14:paraId="0E789E84" w14:textId="77777777" w:rsidR="00661B72" w:rsidRDefault="00661B72"/>
  </w:footnote>
  <w:footnote w:id="6">
    <w:p w14:paraId="4465D969" w14:textId="77777777" w:rsidR="003E1B95" w:rsidRDefault="00661B72">
      <w:pPr>
        <w:spacing w:after="60"/>
      </w:pPr>
      <w:r>
        <w:rPr>
          <w:rStyle w:val="FootnoteReference"/>
        </w:rPr>
        <w:footnoteRef/>
      </w:r>
      <w:r>
        <w:rPr>
          <w:sz w:val="20"/>
          <w:szCs w:val="20"/>
        </w:rPr>
        <w:t>Claus Westermann, Genesis 1–11: A Continental Commentary, trans. by John J. Scullion (Minneapolis: Fortress Press, 1994), pp. 74–80.</w:t>
      </w:r>
    </w:p>
  </w:footnote>
  <w:footnote w:id="7">
    <w:p w14:paraId="12527879" w14:textId="77777777" w:rsidR="003E1B95" w:rsidRDefault="00661B72">
      <w:pPr>
        <w:spacing w:after="60"/>
      </w:pPr>
      <w:r>
        <w:rPr>
          <w:rStyle w:val="FootnoteReference"/>
        </w:rPr>
        <w:footnoteRef/>
      </w:r>
      <w:r>
        <w:rPr>
          <w:sz w:val="20"/>
          <w:szCs w:val="20"/>
        </w:rPr>
        <w:t>Westermann, Genesis 1–11, p. 81.</w:t>
      </w:r>
    </w:p>
  </w:footnote>
  <w:footnote w:id="8">
    <w:p w14:paraId="00E47FF2" w14:textId="77777777" w:rsidR="003E1B95" w:rsidRDefault="00661B72">
      <w:pPr>
        <w:spacing w:after="60"/>
      </w:pPr>
      <w:r>
        <w:rPr>
          <w:rStyle w:val="FootnoteReference"/>
        </w:rPr>
        <w:footnoteRef/>
      </w:r>
      <w:r>
        <w:rPr>
          <w:sz w:val="20"/>
          <w:szCs w:val="20"/>
        </w:rPr>
        <w:t>Von Rad, Genesis, p. 58.</w:t>
      </w:r>
    </w:p>
  </w:footnote>
  <w:footnote w:id="9">
    <w:p w14:paraId="590D0D0D" w14:textId="77777777" w:rsidR="003E1B95" w:rsidRDefault="00661B72">
      <w:pPr>
        <w:spacing w:after="60"/>
      </w:pPr>
      <w:r>
        <w:rPr>
          <w:rStyle w:val="FootnoteReference"/>
        </w:rPr>
        <w:footnoteRef/>
      </w:r>
      <w:r>
        <w:rPr>
          <w:sz w:val="20"/>
          <w:szCs w:val="20"/>
        </w:rPr>
        <w:t>Gunkel, Genesis, pp. 22–25.</w:t>
      </w:r>
    </w:p>
  </w:footnote>
  <w:footnote w:id="10">
    <w:p w14:paraId="64BA9705" w14:textId="77777777" w:rsidR="003E1B95" w:rsidRDefault="00661B72">
      <w:pPr>
        <w:spacing w:after="60"/>
      </w:pPr>
      <w:r>
        <w:rPr>
          <w:rStyle w:val="FootnoteReference"/>
        </w:rPr>
        <w:footnoteRef/>
      </w:r>
      <w:r>
        <w:rPr>
          <w:sz w:val="20"/>
          <w:szCs w:val="20"/>
        </w:rPr>
        <w:t>Walter Brueggemann, Genesis (Atlanta: John Knox Press, 1982), p. 40.</w:t>
      </w:r>
    </w:p>
  </w:footnote>
  <w:footnote w:id="11">
    <w:p w14:paraId="65408450" w14:textId="77777777" w:rsidR="003E1B95" w:rsidRDefault="00661B72">
      <w:pPr>
        <w:spacing w:after="60"/>
      </w:pPr>
      <w:r>
        <w:rPr>
          <w:rStyle w:val="FootnoteReference"/>
        </w:rPr>
        <w:footnoteRef/>
      </w:r>
      <w:r>
        <w:rPr>
          <w:sz w:val="20"/>
          <w:szCs w:val="20"/>
        </w:rPr>
        <w:t>Von Rad, Genesis, p. 65.</w:t>
      </w:r>
    </w:p>
  </w:footnote>
  <w:footnote w:id="12">
    <w:p w14:paraId="7720E7AC" w14:textId="77777777" w:rsidR="003E1B95" w:rsidRDefault="00661B72">
      <w:pPr>
        <w:spacing w:after="60"/>
      </w:pPr>
      <w:r>
        <w:rPr>
          <w:rStyle w:val="FootnoteReference"/>
        </w:rPr>
        <w:footnoteRef/>
      </w:r>
      <w:r>
        <w:rPr>
          <w:sz w:val="20"/>
          <w:szCs w:val="20"/>
        </w:rPr>
        <w:t>Westermann, Genesis 1–11, pp. 147–150.</w:t>
      </w:r>
    </w:p>
  </w:footnote>
  <w:footnote w:id="13">
    <w:p w14:paraId="44649FEE" w14:textId="77777777" w:rsidR="003E1B95" w:rsidRDefault="00661B72">
      <w:pPr>
        <w:spacing w:after="60"/>
      </w:pPr>
      <w:r>
        <w:rPr>
          <w:rStyle w:val="FootnoteReference"/>
        </w:rPr>
        <w:footnoteRef/>
      </w:r>
      <w:r>
        <w:rPr>
          <w:sz w:val="20"/>
          <w:szCs w:val="20"/>
        </w:rPr>
        <w:t>Gordon J. Wenham, Genesis 1–15, Word Biblical Commentary, 1 (Waco, TX: Word Books, 1987), p. 61.</w:t>
      </w:r>
    </w:p>
  </w:footnote>
  <w:footnote w:id="14">
    <w:p w14:paraId="63583D68" w14:textId="77777777" w:rsidR="003E1B95" w:rsidRDefault="00661B72">
      <w:pPr>
        <w:spacing w:after="60"/>
      </w:pPr>
      <w:r>
        <w:rPr>
          <w:rStyle w:val="FootnoteReference"/>
        </w:rPr>
        <w:footnoteRef/>
      </w:r>
      <w:r>
        <w:rPr>
          <w:sz w:val="20"/>
          <w:szCs w:val="20"/>
        </w:rPr>
        <w:t>Wenham, Genesis 1–15, pp. 67–69.</w:t>
      </w:r>
    </w:p>
  </w:footnote>
  <w:footnote w:id="15">
    <w:p w14:paraId="4B38B7B7" w14:textId="77777777" w:rsidR="003E1B95" w:rsidRDefault="00661B72">
      <w:pPr>
        <w:spacing w:after="60"/>
      </w:pPr>
      <w:r>
        <w:rPr>
          <w:rStyle w:val="FootnoteReference"/>
        </w:rPr>
        <w:footnoteRef/>
      </w:r>
      <w:r>
        <w:rPr>
          <w:sz w:val="20"/>
          <w:szCs w:val="20"/>
        </w:rPr>
        <w:t>Von Rad, Genesis, p. 82.</w:t>
      </w:r>
    </w:p>
  </w:footnote>
  <w:footnote w:id="16">
    <w:p w14:paraId="59ECC7C3" w14:textId="77777777" w:rsidR="003E1B95" w:rsidRDefault="00661B72">
      <w:pPr>
        <w:spacing w:after="60"/>
      </w:pPr>
      <w:r>
        <w:rPr>
          <w:rStyle w:val="FootnoteReference"/>
        </w:rPr>
        <w:footnoteRef/>
      </w:r>
      <w:r>
        <w:rPr>
          <w:sz w:val="20"/>
          <w:szCs w:val="20"/>
        </w:rPr>
        <w:t>Brueggemann, Genesis, pp. 44–46.</w:t>
      </w:r>
    </w:p>
  </w:footnote>
  <w:footnote w:id="17">
    <w:p w14:paraId="6BB86D56" w14:textId="77777777" w:rsidR="003E1B95" w:rsidRDefault="00661B72">
      <w:pPr>
        <w:spacing w:after="60"/>
      </w:pPr>
      <w:r>
        <w:rPr>
          <w:rStyle w:val="FootnoteReference"/>
        </w:rPr>
        <w:footnoteRef/>
      </w:r>
      <w:r>
        <w:rPr>
          <w:sz w:val="20"/>
          <w:szCs w:val="20"/>
        </w:rPr>
        <w:t>Westermann, Genesis 1–11, pp. 192–195.</w:t>
      </w:r>
    </w:p>
  </w:footnote>
  <w:footnote w:id="18">
    <w:p w14:paraId="1D4772DB" w14:textId="77777777" w:rsidR="003E1B95" w:rsidRDefault="00661B72">
      <w:pPr>
        <w:spacing w:after="60"/>
      </w:pPr>
      <w:r>
        <w:rPr>
          <w:rStyle w:val="FootnoteReference"/>
        </w:rPr>
        <w:footnoteRef/>
      </w:r>
      <w:r>
        <w:rPr>
          <w:sz w:val="20"/>
          <w:szCs w:val="20"/>
        </w:rPr>
        <w:t>Phyllis Trible, God and the Rhetoric of Sexuality (Philadelphia: Fortress Press, 1978), pp. 72–81.</w:t>
      </w:r>
    </w:p>
  </w:footnote>
  <w:footnote w:id="19">
    <w:p w14:paraId="590E03B7" w14:textId="77777777" w:rsidR="003E1B95" w:rsidRDefault="00661B72">
      <w:pPr>
        <w:spacing w:after="60"/>
      </w:pPr>
      <w:r>
        <w:rPr>
          <w:rStyle w:val="FootnoteReference"/>
        </w:rPr>
        <w:footnoteRef/>
      </w:r>
      <w:r>
        <w:rPr>
          <w:sz w:val="20"/>
          <w:szCs w:val="20"/>
        </w:rPr>
        <w:t>Trible, God and the Rhetoric of Sexuality, p. 80.</w:t>
      </w:r>
    </w:p>
  </w:footnote>
  <w:footnote w:id="20">
    <w:p w14:paraId="09B15A40" w14:textId="77777777" w:rsidR="003E1B95" w:rsidRDefault="00661B72">
      <w:pPr>
        <w:spacing w:after="60"/>
      </w:pPr>
      <w:r>
        <w:rPr>
          <w:rStyle w:val="FootnoteReference"/>
        </w:rPr>
        <w:footnoteRef/>
      </w:r>
      <w:r>
        <w:rPr>
          <w:sz w:val="20"/>
          <w:szCs w:val="20"/>
        </w:rPr>
        <w:t>Trible, God and the Rhetoric of Sexuality, pp. 105–115.</w:t>
      </w:r>
    </w:p>
  </w:footnote>
  <w:footnote w:id="21">
    <w:p w14:paraId="73E009C3" w14:textId="77777777" w:rsidR="003E1B95" w:rsidRDefault="00661B72">
      <w:pPr>
        <w:spacing w:after="60"/>
      </w:pPr>
      <w:r>
        <w:rPr>
          <w:rStyle w:val="FootnoteReference"/>
        </w:rPr>
        <w:footnoteRef/>
      </w:r>
      <w:r>
        <w:rPr>
          <w:sz w:val="20"/>
          <w:szCs w:val="20"/>
        </w:rPr>
        <w:t>Susan Lanser, ‘(Feminist) Criticism in the Garden: Inferring Genesis 2–3’, Semeia, 41 (1988), 67–84 (p. 72).</w:t>
      </w:r>
    </w:p>
  </w:footnote>
  <w:footnote w:id="22">
    <w:p w14:paraId="74E366BD" w14:textId="77777777" w:rsidR="003E1B95" w:rsidRDefault="00661B72">
      <w:pPr>
        <w:spacing w:after="60"/>
      </w:pPr>
      <w:r>
        <w:rPr>
          <w:rStyle w:val="FootnoteReference"/>
        </w:rPr>
        <w:footnoteRef/>
      </w:r>
      <w:r>
        <w:rPr>
          <w:sz w:val="20"/>
          <w:szCs w:val="20"/>
        </w:rPr>
        <w:t>Pamela J. Milne, ‘The Patriarchal Stamp of Scripture: The Implications of Structural Analyses for Feminist Hermeneutics’, Journal of Feminist Studies in Religion, 5.1 (1989), 17–34 (pp. 20–22).</w:t>
      </w:r>
    </w:p>
  </w:footnote>
  <w:footnote w:id="23">
    <w:p w14:paraId="52E945E3" w14:textId="77777777" w:rsidR="003E1B95" w:rsidRDefault="00661B72">
      <w:pPr>
        <w:spacing w:after="60"/>
      </w:pPr>
      <w:r>
        <w:rPr>
          <w:rStyle w:val="FootnoteReference"/>
        </w:rPr>
        <w:footnoteRef/>
      </w:r>
      <w:r>
        <w:rPr>
          <w:sz w:val="20"/>
          <w:szCs w:val="20"/>
        </w:rPr>
        <w:t>Wenham, Genesis 1–15, p. 68.</w:t>
      </w:r>
    </w:p>
  </w:footnote>
  <w:footnote w:id="24">
    <w:p w14:paraId="5A2AFE97" w14:textId="77777777" w:rsidR="003E1B95" w:rsidRDefault="00661B72">
      <w:pPr>
        <w:spacing w:after="60"/>
      </w:pPr>
      <w:r>
        <w:rPr>
          <w:rStyle w:val="FootnoteReference"/>
        </w:rPr>
        <w:footnoteRef/>
      </w:r>
      <w:r>
        <w:rPr>
          <w:sz w:val="20"/>
          <w:szCs w:val="20"/>
        </w:rPr>
        <w:t>David J. A. Clines, ‘What Does Eve Do to Help? And Other Irredeemably Androcentric Orientations in Genesis 1–3’, in What Does Eve Do to Help? And Other Readerly Questions to the Old Testament (Sheffield: JSOT Press, 1990), pp. 25–48 (p. 31).</w:t>
      </w:r>
    </w:p>
  </w:footnote>
  <w:footnote w:id="25">
    <w:p w14:paraId="3E75BAA0" w14:textId="77777777" w:rsidR="003E1B95" w:rsidRDefault="00661B72">
      <w:pPr>
        <w:spacing w:after="60"/>
      </w:pPr>
      <w:r>
        <w:rPr>
          <w:rStyle w:val="FootnoteReference"/>
        </w:rPr>
        <w:footnoteRef/>
      </w:r>
      <w:r>
        <w:rPr>
          <w:sz w:val="20"/>
          <w:szCs w:val="20"/>
        </w:rPr>
        <w:t>Von Rad, Genesis, p. 90.</w:t>
      </w:r>
    </w:p>
  </w:footnote>
  <w:footnote w:id="26">
    <w:p w14:paraId="458568D0" w14:textId="77777777" w:rsidR="003E1B95" w:rsidRDefault="00661B72">
      <w:pPr>
        <w:spacing w:after="60"/>
      </w:pPr>
      <w:r>
        <w:rPr>
          <w:rStyle w:val="FootnoteReference"/>
        </w:rPr>
        <w:footnoteRef/>
      </w:r>
      <w:r>
        <w:rPr>
          <w:sz w:val="20"/>
          <w:szCs w:val="20"/>
        </w:rPr>
        <w:t>Brueggemann, Genesis, p. 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C6839"/>
    <w:multiLevelType w:val="hybridMultilevel"/>
    <w:tmpl w:val="6CD48B60"/>
    <w:lvl w:ilvl="0" w:tplc="7BB2FC04">
      <w:start w:val="1"/>
      <w:numFmt w:val="bullet"/>
      <w:lvlText w:val="●"/>
      <w:lvlJc w:val="left"/>
      <w:pPr>
        <w:ind w:left="720" w:hanging="360"/>
      </w:pPr>
    </w:lvl>
    <w:lvl w:ilvl="1" w:tplc="D7B6DCEA">
      <w:start w:val="1"/>
      <w:numFmt w:val="bullet"/>
      <w:lvlText w:val="○"/>
      <w:lvlJc w:val="left"/>
      <w:pPr>
        <w:ind w:left="1440" w:hanging="360"/>
      </w:pPr>
    </w:lvl>
    <w:lvl w:ilvl="2" w:tplc="95207394">
      <w:start w:val="1"/>
      <w:numFmt w:val="bullet"/>
      <w:lvlText w:val="■"/>
      <w:lvlJc w:val="left"/>
      <w:pPr>
        <w:ind w:left="2160" w:hanging="360"/>
      </w:pPr>
    </w:lvl>
    <w:lvl w:ilvl="3" w:tplc="87765F8A">
      <w:start w:val="1"/>
      <w:numFmt w:val="bullet"/>
      <w:lvlText w:val="●"/>
      <w:lvlJc w:val="left"/>
      <w:pPr>
        <w:ind w:left="2880" w:hanging="360"/>
      </w:pPr>
    </w:lvl>
    <w:lvl w:ilvl="4" w:tplc="8C2CEABC">
      <w:start w:val="1"/>
      <w:numFmt w:val="bullet"/>
      <w:lvlText w:val="○"/>
      <w:lvlJc w:val="left"/>
      <w:pPr>
        <w:ind w:left="3600" w:hanging="360"/>
      </w:pPr>
    </w:lvl>
    <w:lvl w:ilvl="5" w:tplc="C668308C">
      <w:start w:val="1"/>
      <w:numFmt w:val="bullet"/>
      <w:lvlText w:val="■"/>
      <w:lvlJc w:val="left"/>
      <w:pPr>
        <w:ind w:left="4320" w:hanging="360"/>
      </w:pPr>
    </w:lvl>
    <w:lvl w:ilvl="6" w:tplc="D734A238">
      <w:start w:val="1"/>
      <w:numFmt w:val="bullet"/>
      <w:lvlText w:val="●"/>
      <w:lvlJc w:val="left"/>
      <w:pPr>
        <w:ind w:left="5040" w:hanging="360"/>
      </w:pPr>
    </w:lvl>
    <w:lvl w:ilvl="7" w:tplc="CB589E7C">
      <w:start w:val="1"/>
      <w:numFmt w:val="bullet"/>
      <w:lvlText w:val="●"/>
      <w:lvlJc w:val="left"/>
      <w:pPr>
        <w:ind w:left="5760" w:hanging="360"/>
      </w:pPr>
    </w:lvl>
    <w:lvl w:ilvl="8" w:tplc="9B72DFD0">
      <w:start w:val="1"/>
      <w:numFmt w:val="bullet"/>
      <w:lvlText w:val="●"/>
      <w:lvlJc w:val="left"/>
      <w:pPr>
        <w:ind w:left="6480" w:hanging="360"/>
      </w:pPr>
    </w:lvl>
  </w:abstractNum>
  <w:num w:numId="1" w16cid:durableId="41918267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B95"/>
    <w:rsid w:val="003518E3"/>
    <w:rsid w:val="003E1B95"/>
    <w:rsid w:val="00661B72"/>
    <w:rsid w:val="0073572E"/>
    <w:rsid w:val="00844599"/>
    <w:rsid w:val="00981D1C"/>
    <w:rsid w:val="0099633D"/>
    <w:rsid w:val="00C034C8"/>
    <w:rsid w:val="00CA1832"/>
    <w:rsid w:val="00F65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5A1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40"/>
      <w:outlineLvl w:val="0"/>
    </w:pPr>
    <w:rPr>
      <w:b/>
      <w:bCs/>
      <w:sz w:val="28"/>
      <w:szCs w:val="28"/>
    </w:rPr>
  </w:style>
  <w:style w:type="paragraph" w:styleId="Heading2">
    <w:name w:val="heading 2"/>
    <w:uiPriority w:val="9"/>
    <w:unhideWhenUsed/>
    <w:qFormat/>
    <w:pPr>
      <w:spacing w:before="280" w:after="20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3518E3"/>
    <w:pPr>
      <w:tabs>
        <w:tab w:val="center" w:pos="4513"/>
        <w:tab w:val="right" w:pos="9026"/>
      </w:tabs>
    </w:pPr>
  </w:style>
  <w:style w:type="character" w:customStyle="1" w:styleId="HeaderChar">
    <w:name w:val="Header Char"/>
    <w:basedOn w:val="DefaultParagraphFont"/>
    <w:link w:val="Header"/>
    <w:uiPriority w:val="99"/>
    <w:rsid w:val="003518E3"/>
  </w:style>
  <w:style w:type="paragraph" w:styleId="Footer">
    <w:name w:val="footer"/>
    <w:basedOn w:val="Normal"/>
    <w:link w:val="FooterChar"/>
    <w:uiPriority w:val="99"/>
    <w:unhideWhenUsed/>
    <w:rsid w:val="003518E3"/>
    <w:pPr>
      <w:tabs>
        <w:tab w:val="center" w:pos="4513"/>
        <w:tab w:val="right" w:pos="9026"/>
      </w:tabs>
    </w:pPr>
  </w:style>
  <w:style w:type="character" w:customStyle="1" w:styleId="FooterChar">
    <w:name w:val="Footer Char"/>
    <w:basedOn w:val="DefaultParagraphFont"/>
    <w:link w:val="Footer"/>
    <w:uiPriority w:val="99"/>
    <w:rsid w:val="00351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2384</Words>
  <Characters>14211</Characters>
  <Application>Microsoft Office Word</Application>
  <DocSecurity>0</DocSecurity>
  <Lines>212</Lines>
  <Paragraphs>53</Paragraphs>
  <ScaleCrop>false</ScaleCrop>
  <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2026-03-15T20:59:00Z</dcterms:created>
  <dcterms:modified xsi:type="dcterms:W3CDTF">2026-03-15T21:43:00Z</dcterms:modified>
</cp:coreProperties>
</file>