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A0F90" w:rsidRPr="00092863" w:rsidRDefault="00A9467F">
      <w:pPr>
        <w:rPr>
          <w:rFonts w:ascii="Times New Roman" w:hAnsi="Times New Roman" w:cs="Times New Roman"/>
          <w:sz w:val="24"/>
          <w:u w:val="single"/>
        </w:rPr>
      </w:pPr>
      <w:r w:rsidRPr="00092863">
        <w:rPr>
          <w:rFonts w:ascii="Times New Roman" w:hAnsi="Times New Roman" w:cs="Times New Roman"/>
          <w:sz w:val="24"/>
          <w:u w:val="single"/>
        </w:rPr>
        <w:t>Analysis of funary cones in Ancient Egypt</w:t>
      </w:r>
    </w:p>
    <w:p w:rsidR="00092863" w:rsidRDefault="00092863">
      <w:pPr>
        <w:rPr>
          <w:rFonts w:ascii="Times New Roman" w:hAnsi="Times New Roman" w:cs="Times New Roman"/>
          <w:sz w:val="24"/>
        </w:rPr>
      </w:pPr>
    </w:p>
    <w:p w:rsidR="00092863" w:rsidRDefault="00092863">
      <w:pPr>
        <w:rPr>
          <w:rFonts w:ascii="Times New Roman" w:hAnsi="Times New Roman" w:cs="Times New Roman"/>
          <w:sz w:val="24"/>
        </w:rPr>
      </w:pPr>
    </w:p>
    <w:p w:rsidR="00DD5B4F" w:rsidRPr="00092863" w:rsidRDefault="00990DB9">
      <w:pPr>
        <w:rPr>
          <w:rFonts w:ascii="Times New Roman" w:hAnsi="Times New Roman" w:cs="Times New Roman"/>
          <w:sz w:val="24"/>
        </w:rPr>
      </w:pPr>
      <w:r w:rsidRPr="00092863">
        <w:rPr>
          <w:rFonts w:ascii="Times New Roman" w:hAnsi="Times New Roman" w:cs="Times New Roman"/>
          <w:sz w:val="24"/>
        </w:rPr>
        <w:t xml:space="preserve">In this analysis I </w:t>
      </w:r>
      <w:r w:rsidR="00DD5B4F" w:rsidRPr="00092863">
        <w:rPr>
          <w:rFonts w:ascii="Times New Roman" w:hAnsi="Times New Roman" w:cs="Times New Roman"/>
          <w:sz w:val="24"/>
        </w:rPr>
        <w:t xml:space="preserve">will be looking at </w:t>
      </w:r>
      <w:r w:rsidRPr="00092863">
        <w:rPr>
          <w:rFonts w:ascii="Times New Roman" w:hAnsi="Times New Roman" w:cs="Times New Roman"/>
          <w:sz w:val="24"/>
        </w:rPr>
        <w:t xml:space="preserve">the Funerary cone of Menthuemhat and his wife, </w:t>
      </w:r>
      <w:r w:rsidR="00080C09" w:rsidRPr="00092863">
        <w:rPr>
          <w:rFonts w:ascii="Times New Roman" w:hAnsi="Times New Roman" w:cs="Times New Roman"/>
          <w:sz w:val="24"/>
        </w:rPr>
        <w:t>Menthuemhat</w:t>
      </w:r>
      <w:r w:rsidRPr="00092863">
        <w:rPr>
          <w:rFonts w:ascii="Times New Roman" w:hAnsi="Times New Roman" w:cs="Times New Roman"/>
          <w:sz w:val="24"/>
        </w:rPr>
        <w:t xml:space="preserve"> b</w:t>
      </w:r>
      <w:r w:rsidR="00D72DD1" w:rsidRPr="00092863">
        <w:rPr>
          <w:rFonts w:ascii="Times New Roman" w:hAnsi="Times New Roman" w:cs="Times New Roman"/>
          <w:sz w:val="24"/>
        </w:rPr>
        <w:t>eing the fourth proph</w:t>
      </w:r>
      <w:r w:rsidR="00080C09" w:rsidRPr="00092863">
        <w:rPr>
          <w:rFonts w:ascii="Times New Roman" w:hAnsi="Times New Roman" w:cs="Times New Roman"/>
          <w:sz w:val="24"/>
        </w:rPr>
        <w:t>et of Amu</w:t>
      </w:r>
      <w:r w:rsidR="00D72DD1" w:rsidRPr="00092863">
        <w:rPr>
          <w:rFonts w:ascii="Times New Roman" w:hAnsi="Times New Roman" w:cs="Times New Roman"/>
          <w:sz w:val="24"/>
        </w:rPr>
        <w:t>n. Menthuemhat was a Theban official who lived around the 25</w:t>
      </w:r>
      <w:r w:rsidR="00D72DD1" w:rsidRPr="00092863">
        <w:rPr>
          <w:rFonts w:ascii="Times New Roman" w:hAnsi="Times New Roman" w:cs="Times New Roman"/>
          <w:sz w:val="24"/>
          <w:vertAlign w:val="superscript"/>
        </w:rPr>
        <w:t>th</w:t>
      </w:r>
      <w:r w:rsidR="00831C57" w:rsidRPr="00092863">
        <w:rPr>
          <w:rFonts w:ascii="Times New Roman" w:hAnsi="Times New Roman" w:cs="Times New Roman"/>
          <w:sz w:val="24"/>
        </w:rPr>
        <w:t xml:space="preserve"> dynasty.</w:t>
      </w:r>
    </w:p>
    <w:p w:rsidR="003E5671" w:rsidRPr="00092863" w:rsidRDefault="008C704D" w:rsidP="00DD5B4F">
      <w:pPr>
        <w:rPr>
          <w:rFonts w:ascii="Times New Roman" w:hAnsi="Times New Roman" w:cs="Times New Roman"/>
          <w:sz w:val="24"/>
        </w:rPr>
      </w:pPr>
      <w:r w:rsidRPr="00092863">
        <w:rPr>
          <w:rFonts w:ascii="Times New Roman" w:hAnsi="Times New Roman" w:cs="Times New Roman"/>
          <w:noProof/>
          <w:color w:val="333333"/>
          <w:sz w:val="24"/>
          <w:lang w:eastAsia="en-GB"/>
        </w:rPr>
        <w:drawing>
          <wp:anchor distT="0" distB="0" distL="114300" distR="114300" simplePos="0" relativeHeight="251658240" behindDoc="1" locked="0" layoutInCell="1" allowOverlap="1" wp14:anchorId="34172EF4" wp14:editId="78711CF4">
            <wp:simplePos x="0" y="0"/>
            <wp:positionH relativeFrom="margin">
              <wp:align>left</wp:align>
            </wp:positionH>
            <wp:positionV relativeFrom="paragraph">
              <wp:posOffset>49220</wp:posOffset>
            </wp:positionV>
            <wp:extent cx="2105246" cy="2806995"/>
            <wp:effectExtent l="0" t="0" r="9525" b="0"/>
            <wp:wrapTight wrapText="bothSides">
              <wp:wrapPolygon edited="0">
                <wp:start x="0" y="0"/>
                <wp:lineTo x="0" y="21405"/>
                <wp:lineTo x="21502" y="21405"/>
                <wp:lineTo x="21502" y="0"/>
                <wp:lineTo x="0" y="0"/>
              </wp:wrapPolygon>
            </wp:wrapTight>
            <wp:docPr id="1" name="Picture 1" descr="&#10;                  Egyptian. Funerary Cone of the Fourth Prophet of Amon, Menthuemhat and His Wife. Clay, Diam. 3 3/8 x 8 1/8 in. (8.6 x 20.7 cm). Brooklyn Museum, Charles Edwin Wilbour Fund, 37.119E. Creative Commons-BY (Photo: Brooklyn Museum, CUR.37.119E_detail2.jpg)               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&#10;                  Egyptian. Funerary Cone of the Fourth Prophet of Amon, Menthuemhat and His Wife. Clay, Diam. 3 3/8 x 8 1/8 in. (8.6 x 20.7 cm). Brooklyn Museum, Charles Edwin Wilbour Fund, 37.119E. Creative Commons-BY (Photo: Brooklyn Museum, CUR.37.119E_detail2.jpg)                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05246" cy="28069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92863">
        <w:rPr>
          <w:rFonts w:ascii="Times New Roman" w:hAnsi="Times New Roman" w:cs="Times New Roman"/>
          <w:sz w:val="24"/>
        </w:rPr>
        <w:t>T</w:t>
      </w:r>
      <w:r w:rsidR="0009228E" w:rsidRPr="00092863">
        <w:rPr>
          <w:rFonts w:ascii="Times New Roman" w:hAnsi="Times New Roman" w:cs="Times New Roman"/>
          <w:sz w:val="24"/>
        </w:rPr>
        <w:t xml:space="preserve">his Funerary cone is about 8.6 x 20.7 cm </w:t>
      </w:r>
      <w:r w:rsidR="00FF5E09" w:rsidRPr="00092863">
        <w:rPr>
          <w:rFonts w:ascii="Times New Roman" w:hAnsi="Times New Roman" w:cs="Times New Roman"/>
          <w:sz w:val="24"/>
        </w:rPr>
        <w:t>which</w:t>
      </w:r>
      <w:r w:rsidR="0009228E" w:rsidRPr="00092863">
        <w:rPr>
          <w:rFonts w:ascii="Times New Roman" w:hAnsi="Times New Roman" w:cs="Times New Roman"/>
          <w:sz w:val="24"/>
        </w:rPr>
        <w:t xml:space="preserve"> is </w:t>
      </w:r>
      <w:r w:rsidR="00FF5E09" w:rsidRPr="00092863">
        <w:rPr>
          <w:rFonts w:ascii="Times New Roman" w:hAnsi="Times New Roman" w:cs="Times New Roman"/>
          <w:sz w:val="24"/>
        </w:rPr>
        <w:t>relatively</w:t>
      </w:r>
      <w:r w:rsidR="0009228E" w:rsidRPr="00092863">
        <w:rPr>
          <w:rFonts w:ascii="Times New Roman" w:hAnsi="Times New Roman" w:cs="Times New Roman"/>
          <w:sz w:val="24"/>
        </w:rPr>
        <w:t xml:space="preserve"> small.</w:t>
      </w:r>
      <w:r w:rsidR="00831C57" w:rsidRPr="00092863">
        <w:rPr>
          <w:rStyle w:val="FootnoteReference"/>
          <w:rFonts w:ascii="Times New Roman" w:hAnsi="Times New Roman" w:cs="Times New Roman"/>
          <w:sz w:val="24"/>
        </w:rPr>
        <w:footnoteReference w:id="1"/>
      </w:r>
      <w:r w:rsidR="0009228E" w:rsidRPr="00092863">
        <w:rPr>
          <w:rFonts w:ascii="Times New Roman" w:hAnsi="Times New Roman" w:cs="Times New Roman"/>
          <w:sz w:val="24"/>
        </w:rPr>
        <w:t xml:space="preserve"> </w:t>
      </w:r>
      <w:r w:rsidR="00B92401" w:rsidRPr="00092863">
        <w:rPr>
          <w:rFonts w:ascii="Times New Roman" w:hAnsi="Times New Roman" w:cs="Times New Roman"/>
          <w:sz w:val="24"/>
        </w:rPr>
        <w:t>It is cone shaped and is</w:t>
      </w:r>
      <w:r w:rsidR="0009228E" w:rsidRPr="00092863">
        <w:rPr>
          <w:rFonts w:ascii="Times New Roman" w:hAnsi="Times New Roman" w:cs="Times New Roman"/>
          <w:sz w:val="24"/>
        </w:rPr>
        <w:t xml:space="preserve"> made out </w:t>
      </w:r>
      <w:r w:rsidR="00FF5E09" w:rsidRPr="00092863">
        <w:rPr>
          <w:rFonts w:ascii="Times New Roman" w:hAnsi="Times New Roman" w:cs="Times New Roman"/>
          <w:sz w:val="24"/>
        </w:rPr>
        <w:t>o</w:t>
      </w:r>
      <w:r w:rsidR="0009228E" w:rsidRPr="00092863">
        <w:rPr>
          <w:rFonts w:ascii="Times New Roman" w:hAnsi="Times New Roman" w:cs="Times New Roman"/>
          <w:sz w:val="24"/>
        </w:rPr>
        <w:t>f a red baked clay</w:t>
      </w:r>
      <w:r w:rsidR="00836E25" w:rsidRPr="00092863">
        <w:rPr>
          <w:rFonts w:ascii="Times New Roman" w:hAnsi="Times New Roman" w:cs="Times New Roman"/>
          <w:sz w:val="24"/>
        </w:rPr>
        <w:t xml:space="preserve"> with raised hieroglyphs on the bottom.</w:t>
      </w:r>
      <w:r w:rsidR="001C4A4F" w:rsidRPr="00092863">
        <w:rPr>
          <w:rFonts w:ascii="Times New Roman" w:hAnsi="Times New Roman" w:cs="Times New Roman"/>
          <w:sz w:val="24"/>
        </w:rPr>
        <w:t xml:space="preserve"> The funerary cones in general were placed in the tomb and the inscriptions were often the name of the deceased with sometimes a short prayer.</w:t>
      </w:r>
      <w:r w:rsidR="00831C57" w:rsidRPr="00092863">
        <w:rPr>
          <w:rFonts w:ascii="Times New Roman" w:hAnsi="Times New Roman" w:cs="Times New Roman"/>
          <w:sz w:val="24"/>
        </w:rPr>
        <w:t xml:space="preserve"> </w:t>
      </w:r>
    </w:p>
    <w:p w:rsidR="001C4A4F" w:rsidRPr="00092863" w:rsidRDefault="001C4A4F" w:rsidP="00DD5B4F">
      <w:pPr>
        <w:rPr>
          <w:rFonts w:ascii="Times New Roman" w:hAnsi="Times New Roman" w:cs="Times New Roman"/>
          <w:sz w:val="24"/>
        </w:rPr>
      </w:pPr>
      <w:r w:rsidRPr="00092863">
        <w:rPr>
          <w:rFonts w:ascii="Times New Roman" w:hAnsi="Times New Roman" w:cs="Times New Roman"/>
          <w:sz w:val="24"/>
        </w:rPr>
        <w:t xml:space="preserve">Not many </w:t>
      </w:r>
      <w:r w:rsidR="008C704D" w:rsidRPr="00092863">
        <w:rPr>
          <w:rFonts w:ascii="Times New Roman" w:hAnsi="Times New Roman" w:cs="Times New Roman"/>
          <w:sz w:val="24"/>
        </w:rPr>
        <w:t>scholars</w:t>
      </w:r>
      <w:r w:rsidRPr="00092863">
        <w:rPr>
          <w:rFonts w:ascii="Times New Roman" w:hAnsi="Times New Roman" w:cs="Times New Roman"/>
          <w:sz w:val="24"/>
        </w:rPr>
        <w:t xml:space="preserve"> know what the exact purpose of the funerary cone is however in my opinion, comparing it to a modern burial the funer</w:t>
      </w:r>
      <w:r w:rsidR="00AB1E9E" w:rsidRPr="00092863">
        <w:rPr>
          <w:rFonts w:ascii="Times New Roman" w:hAnsi="Times New Roman" w:cs="Times New Roman"/>
          <w:sz w:val="24"/>
        </w:rPr>
        <w:t>ary</w:t>
      </w:r>
      <w:r w:rsidRPr="00092863">
        <w:rPr>
          <w:rFonts w:ascii="Times New Roman" w:hAnsi="Times New Roman" w:cs="Times New Roman"/>
          <w:sz w:val="24"/>
        </w:rPr>
        <w:t xml:space="preserve"> cone act as our </w:t>
      </w:r>
      <w:r w:rsidR="008C704D" w:rsidRPr="00092863">
        <w:rPr>
          <w:rFonts w:ascii="Times New Roman" w:hAnsi="Times New Roman" w:cs="Times New Roman"/>
          <w:sz w:val="24"/>
        </w:rPr>
        <w:t>equivalent</w:t>
      </w:r>
      <w:r w:rsidRPr="00092863">
        <w:rPr>
          <w:rFonts w:ascii="Times New Roman" w:hAnsi="Times New Roman" w:cs="Times New Roman"/>
          <w:sz w:val="24"/>
        </w:rPr>
        <w:t xml:space="preserve"> to a headstone. I believe that they could literally just be there to commemorate the person and to give a name to the person in the tomb.</w:t>
      </w:r>
      <w:r w:rsidR="00AB1E9E" w:rsidRPr="00092863">
        <w:rPr>
          <w:rFonts w:ascii="Times New Roman" w:hAnsi="Times New Roman" w:cs="Times New Roman"/>
          <w:sz w:val="24"/>
        </w:rPr>
        <w:t xml:space="preserve"> However in terms of religious significance, I </w:t>
      </w:r>
      <w:r w:rsidR="00800E92" w:rsidRPr="00092863">
        <w:rPr>
          <w:rFonts w:ascii="Times New Roman" w:hAnsi="Times New Roman" w:cs="Times New Roman"/>
          <w:sz w:val="24"/>
        </w:rPr>
        <w:t>believe</w:t>
      </w:r>
      <w:r w:rsidR="00AB1E9E" w:rsidRPr="00092863">
        <w:rPr>
          <w:rFonts w:ascii="Times New Roman" w:hAnsi="Times New Roman" w:cs="Times New Roman"/>
          <w:sz w:val="24"/>
        </w:rPr>
        <w:t xml:space="preserve"> that these funerary cones would of held a lot more importance to the ancient Egyptians</w:t>
      </w:r>
      <w:r w:rsidR="00831C57" w:rsidRPr="00092863">
        <w:rPr>
          <w:rFonts w:ascii="Times New Roman" w:hAnsi="Times New Roman" w:cs="Times New Roman"/>
          <w:sz w:val="24"/>
        </w:rPr>
        <w:t xml:space="preserve"> than a headstone would for a person in the 21</w:t>
      </w:r>
      <w:r w:rsidR="00831C57" w:rsidRPr="00092863">
        <w:rPr>
          <w:rFonts w:ascii="Times New Roman" w:hAnsi="Times New Roman" w:cs="Times New Roman"/>
          <w:sz w:val="24"/>
          <w:vertAlign w:val="superscript"/>
        </w:rPr>
        <w:t>st</w:t>
      </w:r>
      <w:r w:rsidR="00831C57" w:rsidRPr="00092863">
        <w:rPr>
          <w:rFonts w:ascii="Times New Roman" w:hAnsi="Times New Roman" w:cs="Times New Roman"/>
          <w:sz w:val="24"/>
        </w:rPr>
        <w:t xml:space="preserve"> </w:t>
      </w:r>
      <w:r w:rsidR="00C170B0" w:rsidRPr="00092863">
        <w:rPr>
          <w:rFonts w:ascii="Times New Roman" w:hAnsi="Times New Roman" w:cs="Times New Roman"/>
          <w:sz w:val="24"/>
        </w:rPr>
        <w:t>centaury</w:t>
      </w:r>
      <w:r w:rsidR="00831C57" w:rsidRPr="00092863">
        <w:rPr>
          <w:rFonts w:ascii="Times New Roman" w:hAnsi="Times New Roman" w:cs="Times New Roman"/>
          <w:sz w:val="24"/>
        </w:rPr>
        <w:t>.</w:t>
      </w:r>
      <w:r w:rsidR="00AB1E9E" w:rsidRPr="00092863">
        <w:rPr>
          <w:rFonts w:ascii="Times New Roman" w:hAnsi="Times New Roman" w:cs="Times New Roman"/>
          <w:sz w:val="24"/>
        </w:rPr>
        <w:t xml:space="preserve">  Although in both cultures religious significance is important</w:t>
      </w:r>
      <w:r w:rsidR="00831C57" w:rsidRPr="00092863">
        <w:rPr>
          <w:rFonts w:ascii="Times New Roman" w:hAnsi="Times New Roman" w:cs="Times New Roman"/>
          <w:sz w:val="24"/>
        </w:rPr>
        <w:t>,</w:t>
      </w:r>
      <w:r w:rsidR="00AB1E9E" w:rsidRPr="00092863">
        <w:rPr>
          <w:rFonts w:ascii="Times New Roman" w:hAnsi="Times New Roman" w:cs="Times New Roman"/>
          <w:sz w:val="24"/>
        </w:rPr>
        <w:t xml:space="preserve"> to the ancient Egyptians it was an actual way of life, not just a belief. Therefore their personal identity and also religious identity would be tied to the funerary cone, whereas for a lot of modern people it would just be a matter of their personal identity</w:t>
      </w:r>
      <w:r w:rsidR="004A0F90" w:rsidRPr="00092863">
        <w:rPr>
          <w:rFonts w:ascii="Times New Roman" w:hAnsi="Times New Roman" w:cs="Times New Roman"/>
          <w:sz w:val="24"/>
        </w:rPr>
        <w:t>. Some Egyptologist believe however that the Funerary cones co</w:t>
      </w:r>
      <w:r w:rsidR="00831C57" w:rsidRPr="00092863">
        <w:rPr>
          <w:rFonts w:ascii="Times New Roman" w:hAnsi="Times New Roman" w:cs="Times New Roman"/>
          <w:sz w:val="24"/>
        </w:rPr>
        <w:t>uld symbolise something else not</w:t>
      </w:r>
      <w:r w:rsidR="004A0F90" w:rsidRPr="00092863">
        <w:rPr>
          <w:rFonts w:ascii="Times New Roman" w:hAnsi="Times New Roman" w:cs="Times New Roman"/>
          <w:sz w:val="24"/>
        </w:rPr>
        <w:t xml:space="preserve"> just an identity marker and it could have had a purpose relating to protection of the tomb.</w:t>
      </w:r>
      <w:r w:rsidR="00EF0144" w:rsidRPr="00092863">
        <w:rPr>
          <w:rFonts w:ascii="Times New Roman" w:hAnsi="Times New Roman" w:cs="Times New Roman"/>
          <w:sz w:val="24"/>
        </w:rPr>
        <w:t xml:space="preserve"> Earlier cones</w:t>
      </w:r>
      <w:r w:rsidR="00C170B0" w:rsidRPr="00092863">
        <w:rPr>
          <w:rFonts w:ascii="Times New Roman" w:hAnsi="Times New Roman" w:cs="Times New Roman"/>
          <w:sz w:val="24"/>
        </w:rPr>
        <w:t>,</w:t>
      </w:r>
      <w:r w:rsidR="00EF0144" w:rsidRPr="00092863">
        <w:rPr>
          <w:rFonts w:ascii="Times New Roman" w:hAnsi="Times New Roman" w:cs="Times New Roman"/>
          <w:sz w:val="24"/>
        </w:rPr>
        <w:t xml:space="preserve"> for example those dating back to the 11</w:t>
      </w:r>
      <w:r w:rsidR="00EF0144" w:rsidRPr="00092863">
        <w:rPr>
          <w:rFonts w:ascii="Times New Roman" w:hAnsi="Times New Roman" w:cs="Times New Roman"/>
          <w:sz w:val="24"/>
          <w:vertAlign w:val="superscript"/>
        </w:rPr>
        <w:t>th</w:t>
      </w:r>
      <w:r w:rsidR="00EF0144" w:rsidRPr="00092863">
        <w:rPr>
          <w:rFonts w:ascii="Times New Roman" w:hAnsi="Times New Roman" w:cs="Times New Roman"/>
          <w:sz w:val="24"/>
        </w:rPr>
        <w:t xml:space="preserve"> </w:t>
      </w:r>
      <w:r w:rsidR="00BF42A9" w:rsidRPr="00092863">
        <w:rPr>
          <w:rFonts w:ascii="Times New Roman" w:hAnsi="Times New Roman" w:cs="Times New Roman"/>
          <w:sz w:val="24"/>
        </w:rPr>
        <w:t>dynasty</w:t>
      </w:r>
      <w:r w:rsidR="00C170B0" w:rsidRPr="00092863">
        <w:rPr>
          <w:rFonts w:ascii="Times New Roman" w:hAnsi="Times New Roman" w:cs="Times New Roman"/>
          <w:sz w:val="24"/>
        </w:rPr>
        <w:t xml:space="preserve">, </w:t>
      </w:r>
      <w:r w:rsidR="00EF0144" w:rsidRPr="00092863">
        <w:rPr>
          <w:rFonts w:ascii="Times New Roman" w:hAnsi="Times New Roman" w:cs="Times New Roman"/>
          <w:sz w:val="24"/>
        </w:rPr>
        <w:t xml:space="preserve"> di</w:t>
      </w:r>
      <w:r w:rsidR="00BF42A9" w:rsidRPr="00092863">
        <w:rPr>
          <w:rFonts w:ascii="Times New Roman" w:hAnsi="Times New Roman" w:cs="Times New Roman"/>
          <w:sz w:val="24"/>
        </w:rPr>
        <w:t>d</w:t>
      </w:r>
      <w:r w:rsidR="00C170B0" w:rsidRPr="00092863">
        <w:rPr>
          <w:rFonts w:ascii="Times New Roman" w:hAnsi="Times New Roman" w:cs="Times New Roman"/>
          <w:sz w:val="24"/>
        </w:rPr>
        <w:t xml:space="preserve"> not have inscriptions on them,</w:t>
      </w:r>
      <w:r w:rsidR="00070676" w:rsidRPr="00092863">
        <w:rPr>
          <w:rFonts w:ascii="Times New Roman" w:hAnsi="Times New Roman" w:cs="Times New Roman"/>
          <w:sz w:val="24"/>
        </w:rPr>
        <w:t xml:space="preserve"> they were also larger, and the fact that the </w:t>
      </w:r>
      <w:r w:rsidR="00ED3361" w:rsidRPr="00092863">
        <w:rPr>
          <w:rFonts w:ascii="Times New Roman" w:hAnsi="Times New Roman" w:cs="Times New Roman"/>
          <w:sz w:val="24"/>
        </w:rPr>
        <w:t>inscriptions</w:t>
      </w:r>
      <w:r w:rsidR="00070676" w:rsidRPr="00092863">
        <w:rPr>
          <w:rFonts w:ascii="Times New Roman" w:hAnsi="Times New Roman" w:cs="Times New Roman"/>
          <w:sz w:val="24"/>
        </w:rPr>
        <w:t xml:space="preserve"> wer</w:t>
      </w:r>
      <w:r w:rsidR="00ED3361" w:rsidRPr="00092863">
        <w:rPr>
          <w:rFonts w:ascii="Times New Roman" w:hAnsi="Times New Roman" w:cs="Times New Roman"/>
          <w:sz w:val="24"/>
        </w:rPr>
        <w:t>e</w:t>
      </w:r>
      <w:r w:rsidR="00070676" w:rsidRPr="00092863">
        <w:rPr>
          <w:rFonts w:ascii="Times New Roman" w:hAnsi="Times New Roman" w:cs="Times New Roman"/>
          <w:sz w:val="24"/>
        </w:rPr>
        <w:t xml:space="preserve"> only added at a later date</w:t>
      </w:r>
      <w:r w:rsidR="00EF0144" w:rsidRPr="00092863">
        <w:rPr>
          <w:rFonts w:ascii="Times New Roman" w:hAnsi="Times New Roman" w:cs="Times New Roman"/>
          <w:sz w:val="24"/>
        </w:rPr>
        <w:t xml:space="preserve"> this makes me question their purpose as simply an identity marker.</w:t>
      </w:r>
      <w:r w:rsidR="00092863" w:rsidRPr="00092863">
        <w:rPr>
          <w:rStyle w:val="FootnoteReference"/>
          <w:rFonts w:ascii="Times New Roman" w:hAnsi="Times New Roman" w:cs="Times New Roman"/>
          <w:sz w:val="24"/>
        </w:rPr>
        <w:footnoteReference w:id="2"/>
      </w:r>
    </w:p>
    <w:p w:rsidR="00783CD9" w:rsidRPr="00092863" w:rsidRDefault="00783CD9" w:rsidP="00DD5B4F">
      <w:pPr>
        <w:rPr>
          <w:rFonts w:ascii="Times New Roman" w:hAnsi="Times New Roman" w:cs="Times New Roman"/>
          <w:sz w:val="24"/>
        </w:rPr>
      </w:pPr>
    </w:p>
    <w:p w:rsidR="00783CD9" w:rsidRPr="00092863" w:rsidRDefault="00783CD9" w:rsidP="00DD5B4F">
      <w:pPr>
        <w:rPr>
          <w:rFonts w:ascii="Times New Roman" w:hAnsi="Times New Roman" w:cs="Times New Roman"/>
          <w:sz w:val="24"/>
        </w:rPr>
      </w:pPr>
    </w:p>
    <w:p w:rsidR="00783CD9" w:rsidRPr="00092863" w:rsidRDefault="00783CD9" w:rsidP="00DD5B4F">
      <w:pPr>
        <w:rPr>
          <w:rFonts w:ascii="Times New Roman" w:hAnsi="Times New Roman" w:cs="Times New Roman"/>
          <w:sz w:val="24"/>
        </w:rPr>
      </w:pPr>
    </w:p>
    <w:p w:rsidR="00783CD9" w:rsidRPr="00092863" w:rsidRDefault="00783CD9" w:rsidP="00DD5B4F">
      <w:pPr>
        <w:rPr>
          <w:rFonts w:ascii="Times New Roman" w:hAnsi="Times New Roman" w:cs="Times New Roman"/>
          <w:sz w:val="24"/>
        </w:rPr>
      </w:pPr>
    </w:p>
    <w:p w:rsidR="00783CD9" w:rsidRPr="00092863" w:rsidRDefault="00783CD9" w:rsidP="00DD5B4F">
      <w:pPr>
        <w:rPr>
          <w:rFonts w:ascii="Times New Roman" w:hAnsi="Times New Roman" w:cs="Times New Roman"/>
          <w:sz w:val="24"/>
        </w:rPr>
      </w:pPr>
    </w:p>
    <w:p w:rsidR="00783CD9" w:rsidRPr="00092863" w:rsidRDefault="00783CD9" w:rsidP="00DD5B4F">
      <w:pPr>
        <w:rPr>
          <w:rFonts w:ascii="Times New Roman" w:hAnsi="Times New Roman" w:cs="Times New Roman"/>
          <w:sz w:val="24"/>
        </w:rPr>
      </w:pPr>
    </w:p>
    <w:p w:rsidR="00783CD9" w:rsidRPr="00092863" w:rsidRDefault="00783CD9" w:rsidP="00DD5B4F">
      <w:pPr>
        <w:rPr>
          <w:rFonts w:ascii="Times New Roman" w:hAnsi="Times New Roman" w:cs="Times New Roman"/>
          <w:sz w:val="24"/>
        </w:rPr>
      </w:pPr>
    </w:p>
    <w:p w:rsidR="00092863" w:rsidRPr="00092863" w:rsidRDefault="00092863" w:rsidP="00DD5B4F">
      <w:pPr>
        <w:rPr>
          <w:rFonts w:ascii="Times New Roman" w:hAnsi="Times New Roman" w:cs="Times New Roman"/>
          <w:sz w:val="24"/>
        </w:rPr>
      </w:pPr>
    </w:p>
    <w:p w:rsidR="00092863" w:rsidRPr="00092863" w:rsidRDefault="00092863" w:rsidP="00DD5B4F">
      <w:pPr>
        <w:rPr>
          <w:rFonts w:ascii="Times New Roman" w:hAnsi="Times New Roman" w:cs="Times New Roman"/>
          <w:sz w:val="24"/>
        </w:rPr>
      </w:pPr>
    </w:p>
    <w:p w:rsidR="00092863" w:rsidRPr="00092863" w:rsidRDefault="00092863" w:rsidP="00DD5B4F">
      <w:pPr>
        <w:rPr>
          <w:rFonts w:ascii="Times New Roman" w:hAnsi="Times New Roman" w:cs="Times New Roman"/>
          <w:sz w:val="24"/>
        </w:rPr>
      </w:pPr>
    </w:p>
    <w:p w:rsidR="00092863" w:rsidRPr="00092863" w:rsidRDefault="00092863" w:rsidP="00DD5B4F">
      <w:pPr>
        <w:rPr>
          <w:rFonts w:ascii="Times New Roman" w:hAnsi="Times New Roman" w:cs="Times New Roman"/>
          <w:sz w:val="24"/>
        </w:rPr>
      </w:pPr>
      <w:r w:rsidRPr="00092863">
        <w:rPr>
          <w:rFonts w:ascii="Times New Roman" w:hAnsi="Times New Roman" w:cs="Times New Roman"/>
          <w:sz w:val="24"/>
        </w:rPr>
        <w:t>Bibliography</w:t>
      </w:r>
    </w:p>
    <w:p w:rsidR="00092863" w:rsidRPr="00092863" w:rsidRDefault="00092863" w:rsidP="00DD5B4F">
      <w:pPr>
        <w:rPr>
          <w:rFonts w:ascii="Times New Roman" w:hAnsi="Times New Roman" w:cs="Times New Roman"/>
          <w:sz w:val="24"/>
        </w:rPr>
      </w:pPr>
    </w:p>
    <w:p w:rsidR="00092863" w:rsidRPr="00092863" w:rsidRDefault="00092863" w:rsidP="00DD5B4F">
      <w:pPr>
        <w:rPr>
          <w:rFonts w:ascii="Times New Roman" w:hAnsi="Times New Roman" w:cs="Times New Roman"/>
          <w:sz w:val="24"/>
        </w:rPr>
      </w:pPr>
    </w:p>
    <w:p w:rsidR="00783CD9" w:rsidRPr="00092863" w:rsidRDefault="00783CD9" w:rsidP="00DD5B4F">
      <w:pPr>
        <w:rPr>
          <w:rFonts w:ascii="Times New Roman" w:hAnsi="Times New Roman" w:cs="Times New Roman"/>
          <w:sz w:val="24"/>
        </w:rPr>
      </w:pPr>
      <w:bookmarkStart w:id="0" w:name="_GoBack"/>
      <w:bookmarkEnd w:id="0"/>
      <w:r w:rsidRPr="00092863">
        <w:rPr>
          <w:rFonts w:ascii="Times New Roman" w:hAnsi="Times New Roman" w:cs="Times New Roman"/>
          <w:sz w:val="24"/>
        </w:rPr>
        <w:t xml:space="preserve">Jimmy dunn , Funerary cones (funerary stamps) found at: </w:t>
      </w:r>
      <w:hyperlink r:id="rId8" w:history="1">
        <w:r w:rsidRPr="00092863">
          <w:rPr>
            <w:rStyle w:val="Hyperlink"/>
            <w:rFonts w:ascii="Times New Roman" w:hAnsi="Times New Roman" w:cs="Times New Roman"/>
            <w:sz w:val="24"/>
          </w:rPr>
          <w:t>www.touregypt.net/featurestories/funerarycones.htm</w:t>
        </w:r>
      </w:hyperlink>
    </w:p>
    <w:p w:rsidR="00783CD9" w:rsidRPr="00092863" w:rsidRDefault="00783CD9" w:rsidP="00DD5B4F">
      <w:pPr>
        <w:rPr>
          <w:rFonts w:ascii="Times New Roman" w:hAnsi="Times New Roman" w:cs="Times New Roman"/>
          <w:sz w:val="24"/>
        </w:rPr>
      </w:pPr>
    </w:p>
    <w:p w:rsidR="0028481B" w:rsidRDefault="00092863" w:rsidP="00DD5B4F">
      <w:r w:rsidRPr="00092863">
        <w:rPr>
          <w:rStyle w:val="Emphasis"/>
          <w:rFonts w:ascii="Times New Roman" w:hAnsi="Times New Roman" w:cs="Times New Roman"/>
          <w:color w:val="333333"/>
          <w:sz w:val="24"/>
        </w:rPr>
        <w:t>Funerary Cone of the Fourth Prophet of Amon,</w:t>
      </w:r>
      <w:r w:rsidRPr="00092863">
        <w:rPr>
          <w:rStyle w:val="Emphasis"/>
          <w:rFonts w:ascii="Times New Roman" w:hAnsi="Times New Roman" w:cs="Times New Roman"/>
          <w:color w:val="333333"/>
          <w:sz w:val="24"/>
        </w:rPr>
        <w:t xml:space="preserve"> </w:t>
      </w:r>
      <w:r w:rsidR="0028481B" w:rsidRPr="00092863">
        <w:rPr>
          <w:rFonts w:ascii="Times New Roman" w:hAnsi="Times New Roman" w:cs="Times New Roman"/>
          <w:sz w:val="24"/>
        </w:rPr>
        <w:t>Brooklyn museum</w:t>
      </w:r>
      <w:r w:rsidRPr="00092863">
        <w:rPr>
          <w:rFonts w:ascii="Times New Roman" w:hAnsi="Times New Roman" w:cs="Times New Roman"/>
          <w:sz w:val="24"/>
        </w:rPr>
        <w:t>.</w:t>
      </w:r>
      <w:r w:rsidR="0028481B" w:rsidRPr="00092863">
        <w:rPr>
          <w:rFonts w:ascii="Times New Roman" w:hAnsi="Times New Roman" w:cs="Times New Roman"/>
          <w:sz w:val="24"/>
        </w:rPr>
        <w:t xml:space="preserve"> found</w:t>
      </w:r>
      <w:r w:rsidR="0028481B" w:rsidRPr="00092863">
        <w:rPr>
          <w:sz w:val="24"/>
        </w:rPr>
        <w:t xml:space="preserve"> </w:t>
      </w:r>
      <w:r w:rsidR="0028481B">
        <w:t xml:space="preserve">at: </w:t>
      </w:r>
    </w:p>
    <w:p w:rsidR="00783CD9" w:rsidRPr="00DD5B4F" w:rsidRDefault="0028481B" w:rsidP="00DD5B4F">
      <w:r w:rsidRPr="0028481B">
        <w:t>https://www.brooklynmuseum.org/opencollection/objects/116839</w:t>
      </w:r>
    </w:p>
    <w:sectPr w:rsidR="00783CD9" w:rsidRPr="00DD5B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35FF2" w:rsidRDefault="00E35FF2" w:rsidP="00831C57">
      <w:pPr>
        <w:spacing w:after="0" w:line="240" w:lineRule="auto"/>
      </w:pPr>
      <w:r>
        <w:separator/>
      </w:r>
    </w:p>
  </w:endnote>
  <w:endnote w:type="continuationSeparator" w:id="0">
    <w:p w:rsidR="00E35FF2" w:rsidRDefault="00E35FF2" w:rsidP="00831C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35FF2" w:rsidRDefault="00E35FF2" w:rsidP="00831C57">
      <w:pPr>
        <w:spacing w:after="0" w:line="240" w:lineRule="auto"/>
      </w:pPr>
      <w:r>
        <w:separator/>
      </w:r>
    </w:p>
  </w:footnote>
  <w:footnote w:type="continuationSeparator" w:id="0">
    <w:p w:rsidR="00E35FF2" w:rsidRDefault="00E35FF2" w:rsidP="00831C57">
      <w:pPr>
        <w:spacing w:after="0" w:line="240" w:lineRule="auto"/>
      </w:pPr>
      <w:r>
        <w:continuationSeparator/>
      </w:r>
    </w:p>
  </w:footnote>
  <w:footnote w:id="1">
    <w:p w:rsidR="00831C57" w:rsidRDefault="00831C57">
      <w:pPr>
        <w:pStyle w:val="FootnoteText"/>
      </w:pPr>
      <w:r>
        <w:rPr>
          <w:rStyle w:val="FootnoteReference"/>
        </w:rPr>
        <w:footnoteRef/>
      </w:r>
      <w:r>
        <w:t xml:space="preserve"> Brooklyn museum</w:t>
      </w:r>
    </w:p>
  </w:footnote>
  <w:footnote w:id="2">
    <w:p w:rsidR="00092863" w:rsidRDefault="00092863">
      <w:pPr>
        <w:pStyle w:val="FootnoteText"/>
      </w:pPr>
      <w:r>
        <w:rPr>
          <w:rStyle w:val="FootnoteReference"/>
        </w:rPr>
        <w:footnoteRef/>
      </w:r>
      <w:r>
        <w:t xml:space="preserve"> Dunn 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9467F"/>
    <w:rsid w:val="00070676"/>
    <w:rsid w:val="00080C09"/>
    <w:rsid w:val="0009228E"/>
    <w:rsid w:val="00092863"/>
    <w:rsid w:val="001C4A4F"/>
    <w:rsid w:val="0020587C"/>
    <w:rsid w:val="0028481B"/>
    <w:rsid w:val="00384F28"/>
    <w:rsid w:val="003E5671"/>
    <w:rsid w:val="004A0F90"/>
    <w:rsid w:val="006B0CAD"/>
    <w:rsid w:val="00723940"/>
    <w:rsid w:val="00744F83"/>
    <w:rsid w:val="00783CD9"/>
    <w:rsid w:val="00800E92"/>
    <w:rsid w:val="00831C57"/>
    <w:rsid w:val="00836E25"/>
    <w:rsid w:val="008C704D"/>
    <w:rsid w:val="00990DB9"/>
    <w:rsid w:val="00A9467F"/>
    <w:rsid w:val="00AB1E9E"/>
    <w:rsid w:val="00B92401"/>
    <w:rsid w:val="00BF42A9"/>
    <w:rsid w:val="00C170B0"/>
    <w:rsid w:val="00D72DD1"/>
    <w:rsid w:val="00DD5B4F"/>
    <w:rsid w:val="00E35FF2"/>
    <w:rsid w:val="00EB004A"/>
    <w:rsid w:val="00ED3361"/>
    <w:rsid w:val="00EF0144"/>
    <w:rsid w:val="00FF5E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163C6E3-5794-4EA1-8615-CB78B20467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83CD9"/>
    <w:rPr>
      <w:color w:val="0563C1" w:themeColor="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31C5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31C5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31C57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092863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ouregypt.net/featurestories/funerarycones.htm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AF7650E-6833-4041-8F9B-A9DF627193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1775</TotalTime>
  <Pages>2</Pages>
  <Words>322</Words>
  <Characters>1842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tina mcd</dc:creator>
  <cp:keywords/>
  <dc:description/>
  <cp:lastModifiedBy>tina mcd</cp:lastModifiedBy>
  <cp:revision>19</cp:revision>
  <dcterms:created xsi:type="dcterms:W3CDTF">2018-03-11T14:37:00Z</dcterms:created>
  <dcterms:modified xsi:type="dcterms:W3CDTF">2018-03-12T20:12:00Z</dcterms:modified>
</cp:coreProperties>
</file>