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07E3A3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B7F03">
              <w:rPr>
                <w:rFonts w:ascii="Times New Roman" w:hAnsi="Times New Roman" w:cs="Times New Roman"/>
                <w:b/>
                <w:color w:val="auto"/>
                <w:sz w:val="48"/>
              </w:rPr>
              <w:t xml:space="preserve">Christine Jones </w:t>
            </w:r>
          </w:p>
          <w:p w14:paraId="72FE53D4" w14:textId="77777777" w:rsidR="00CB7F03" w:rsidRDefault="00CB7F03" w:rsidP="00CB7F0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proofErr w:type="spellStart"/>
            <w:r>
              <w:rPr>
                <w:rFonts w:ascii="Times New Roman" w:hAnsi="Times New Roman" w:cs="Times New Roman"/>
                <w:b/>
                <w:color w:val="auto"/>
                <w:sz w:val="48"/>
              </w:rPr>
              <w:t>christinejones@gwynedd.llyw.cymru</w:t>
            </w:r>
            <w:proofErr w:type="spellEnd"/>
          </w:p>
          <w:p w14:paraId="21E2DE0F" w14:textId="77777777" w:rsidR="00CB7F03" w:rsidRDefault="00CB7F03" w:rsidP="00CB7F03">
            <w:pPr>
              <w:overflowPunct/>
              <w:autoSpaceDE/>
              <w:autoSpaceDN/>
              <w:adjustRightInd/>
              <w:ind w:right="-957"/>
              <w:textAlignment w:val="auto"/>
              <w:rPr>
                <w:rFonts w:ascii="Times New Roman" w:hAnsi="Times New Roman" w:cs="Times New Roman"/>
                <w:b/>
                <w:color w:val="auto"/>
                <w:sz w:val="48"/>
              </w:rPr>
            </w:pPr>
          </w:p>
          <w:p w14:paraId="176DAA9C" w14:textId="77777777" w:rsidR="00CB7F03" w:rsidRPr="005D3F07" w:rsidRDefault="00CB7F03" w:rsidP="00CB7F03">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2127371</w:t>
            </w:r>
          </w:p>
          <w:p w14:paraId="6536EF3F" w14:textId="77777777" w:rsidR="00CB7F03" w:rsidRPr="005D3F07" w:rsidRDefault="00CB7F03" w:rsidP="00CB7F03">
            <w:pPr>
              <w:overflowPunct/>
              <w:autoSpaceDE/>
              <w:autoSpaceDN/>
              <w:adjustRightInd/>
              <w:ind w:right="-957"/>
              <w:textAlignment w:val="auto"/>
              <w:rPr>
                <w:rFonts w:ascii="Times New Roman" w:hAnsi="Times New Roman" w:cs="Times New Roman"/>
                <w:b/>
                <w:color w:val="auto"/>
                <w:sz w:val="48"/>
              </w:rPr>
            </w:pPr>
          </w:p>
          <w:p w14:paraId="358CBB68" w14:textId="07853628" w:rsidR="00CB7F03" w:rsidRDefault="00CB7F03" w:rsidP="00CB7F0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F84129B" w14:textId="166D6C1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3071A18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124E9315" w14:textId="6B6D5AB4" w:rsidR="00CB7F03" w:rsidRDefault="00CB7F03" w:rsidP="00FF7EBB">
            <w:pPr>
              <w:jc w:val="both"/>
              <w:rPr>
                <w:sz w:val="24"/>
                <w:szCs w:val="24"/>
              </w:rPr>
            </w:pPr>
          </w:p>
          <w:p w14:paraId="1DB9A856" w14:textId="77777777" w:rsidR="00CB7F03" w:rsidRPr="00545A0D" w:rsidRDefault="00CB7F03" w:rsidP="00CB7F03">
            <w:pPr>
              <w:spacing w:after="240" w:line="480" w:lineRule="auto"/>
              <w:rPr>
                <w:sz w:val="24"/>
                <w:szCs w:val="24"/>
              </w:rPr>
            </w:pPr>
            <w:r w:rsidRPr="00545A0D">
              <w:rPr>
                <w:sz w:val="24"/>
                <w:szCs w:val="24"/>
              </w:rPr>
              <w:t>TASK 4 a</w:t>
            </w:r>
          </w:p>
          <w:p w14:paraId="767BABFA" w14:textId="77777777" w:rsidR="00CB7F03" w:rsidRPr="00545A0D" w:rsidRDefault="00CB7F03" w:rsidP="00CB7F03">
            <w:pPr>
              <w:spacing w:after="240" w:line="480" w:lineRule="auto"/>
              <w:rPr>
                <w:sz w:val="24"/>
                <w:szCs w:val="24"/>
              </w:rPr>
            </w:pPr>
            <w:r w:rsidRPr="00545A0D">
              <w:rPr>
                <w:sz w:val="24"/>
                <w:szCs w:val="24"/>
              </w:rPr>
              <w:t xml:space="preserve">Social care in England practices within the framework of The Care Act (2010) along with the No Secrets Guidance policy (Department for Health, 2000). However, the safeguarding of adults and children in Wales has changed considerably since the Social Services and Well-being (Wales) Act (2014) (SSWBA) came into force in 2016. Following this Act, the Wales Safeguarding Procedures (2019) was formed to provide distinct direction and support to practitioners on their duty to safeguard, whilst employing the legislation of the SSWBA (2014) and the statutory guidance of the Working Together to Safeguard People (2016). These guidance’s subsequently employ a standardised practice amidst all sectors in Wales, ensuring that practitioners are enabled to identify individuals at risk, understand how to respond to their needs, recognise their responsibilities within their role and to foster positive relationships to enable person centred best outcomes for all. </w:t>
            </w:r>
          </w:p>
          <w:p w14:paraId="018193A1" w14:textId="77777777" w:rsidR="00CB7F03" w:rsidRPr="00545A0D" w:rsidRDefault="00CB7F03" w:rsidP="00CB7F03">
            <w:pPr>
              <w:spacing w:after="240" w:line="480" w:lineRule="auto"/>
              <w:rPr>
                <w:sz w:val="24"/>
                <w:szCs w:val="24"/>
              </w:rPr>
            </w:pPr>
            <w:r w:rsidRPr="00545A0D">
              <w:rPr>
                <w:sz w:val="24"/>
                <w:szCs w:val="24"/>
              </w:rPr>
              <w:lastRenderedPageBreak/>
              <w:t>Part 7 of the SSWBA (2014) specifies Safeguarding with section 126(1) defining that an adult is at risk if</w:t>
            </w:r>
          </w:p>
          <w:p w14:paraId="63093A10" w14:textId="77777777" w:rsidR="00CB7F03" w:rsidRPr="00545A0D" w:rsidRDefault="00CB7F03" w:rsidP="00CB7F03">
            <w:pPr>
              <w:pStyle w:val="legclearfix"/>
              <w:shd w:val="clear" w:color="auto" w:fill="FFFFFF"/>
              <w:spacing w:before="0" w:beforeAutospacing="0" w:after="240" w:afterAutospacing="0" w:line="480" w:lineRule="auto"/>
              <w:rPr>
                <w:rFonts w:ascii="Arial" w:hAnsi="Arial" w:cs="Arial"/>
              </w:rPr>
            </w:pPr>
            <w:r w:rsidRPr="00545A0D">
              <w:rPr>
                <w:rStyle w:val="legds"/>
                <w:rFonts w:ascii="Arial" w:hAnsi="Arial" w:cs="Arial"/>
              </w:rPr>
              <w:t>(a) is experiencing or is at risk of abuse or neglect,</w:t>
            </w:r>
          </w:p>
          <w:p w14:paraId="740568F4" w14:textId="77777777" w:rsidR="00CB7F03" w:rsidRPr="00545A0D" w:rsidRDefault="00CB7F03" w:rsidP="00CB7F03">
            <w:pPr>
              <w:pStyle w:val="legclearfix"/>
              <w:shd w:val="clear" w:color="auto" w:fill="FFFFFF"/>
              <w:spacing w:before="0" w:beforeAutospacing="0" w:after="240" w:afterAutospacing="0" w:line="480" w:lineRule="auto"/>
              <w:rPr>
                <w:rFonts w:ascii="Arial" w:hAnsi="Arial" w:cs="Arial"/>
              </w:rPr>
            </w:pPr>
            <w:r w:rsidRPr="00545A0D">
              <w:rPr>
                <w:rStyle w:val="legds"/>
                <w:rFonts w:ascii="Arial" w:hAnsi="Arial" w:cs="Arial"/>
              </w:rPr>
              <w:t>(b) has needs for care and support (</w:t>
            </w:r>
            <w:proofErr w:type="gramStart"/>
            <w:r w:rsidRPr="00545A0D">
              <w:rPr>
                <w:rStyle w:val="legds"/>
                <w:rFonts w:ascii="Arial" w:hAnsi="Arial" w:cs="Arial"/>
              </w:rPr>
              <w:t>whether or not</w:t>
            </w:r>
            <w:proofErr w:type="gramEnd"/>
            <w:r w:rsidRPr="00545A0D">
              <w:rPr>
                <w:rStyle w:val="legds"/>
                <w:rFonts w:ascii="Arial" w:hAnsi="Arial" w:cs="Arial"/>
              </w:rPr>
              <w:t xml:space="preserve"> the authority is meeting any of those needs), and</w:t>
            </w:r>
          </w:p>
          <w:p w14:paraId="0E984896" w14:textId="77777777" w:rsidR="00CB7F03" w:rsidRPr="00545A0D" w:rsidRDefault="00CB7F03" w:rsidP="00CB7F03">
            <w:pPr>
              <w:pStyle w:val="legclearfix"/>
              <w:shd w:val="clear" w:color="auto" w:fill="FFFFFF"/>
              <w:spacing w:before="0" w:beforeAutospacing="0" w:after="240" w:afterAutospacing="0" w:line="480" w:lineRule="auto"/>
              <w:rPr>
                <w:rStyle w:val="legds"/>
                <w:rFonts w:ascii="Arial" w:hAnsi="Arial" w:cs="Arial"/>
              </w:rPr>
            </w:pPr>
            <w:r w:rsidRPr="00545A0D">
              <w:rPr>
                <w:rStyle w:val="legds"/>
                <w:rFonts w:ascii="Arial" w:hAnsi="Arial" w:cs="Arial"/>
              </w:rPr>
              <w:t xml:space="preserve">(c) </w:t>
            </w:r>
            <w:proofErr w:type="gramStart"/>
            <w:r w:rsidRPr="00545A0D">
              <w:rPr>
                <w:rStyle w:val="legds"/>
                <w:rFonts w:ascii="Arial" w:hAnsi="Arial" w:cs="Arial"/>
              </w:rPr>
              <w:t>as a result of</w:t>
            </w:r>
            <w:proofErr w:type="gramEnd"/>
            <w:r w:rsidRPr="00545A0D">
              <w:rPr>
                <w:rStyle w:val="legds"/>
                <w:rFonts w:ascii="Arial" w:hAnsi="Arial" w:cs="Arial"/>
              </w:rPr>
              <w:t xml:space="preserve"> those needs is unable to protect himself or herself against the abuse or neglect or the risk of it (SSWBA, 2014).</w:t>
            </w:r>
          </w:p>
          <w:p w14:paraId="0325645C" w14:textId="77777777" w:rsidR="00CB7F03" w:rsidRPr="00545A0D" w:rsidRDefault="00CB7F03" w:rsidP="00CB7F03">
            <w:pPr>
              <w:pStyle w:val="legclearfix"/>
              <w:shd w:val="clear" w:color="auto" w:fill="FFFFFF"/>
              <w:spacing w:before="0" w:beforeAutospacing="0" w:after="240" w:afterAutospacing="0" w:line="480" w:lineRule="auto"/>
              <w:rPr>
                <w:rFonts w:ascii="Arial" w:hAnsi="Arial" w:cs="Arial"/>
              </w:rPr>
            </w:pPr>
            <w:r w:rsidRPr="00545A0D">
              <w:rPr>
                <w:rFonts w:ascii="Arial" w:hAnsi="Arial" w:cs="Arial"/>
              </w:rPr>
              <w:t>Section 126(b) of the SSWBA (2014) places duty on the Local Authority to make inquiries and report where there is “reasonable cause to suspect a person is an adult at risk”, in divergence to the Care Act (2014) in England where it necessitates a “consideration” to investigate rather than a duty. Section 128 of the Act presents a legislative duty on all ‘relevant partners’ to the Local Authority as listed in section 162(4) to also notify an adult at risk, denoting that the safeguarding of individuals is the responsibility of everyone (</w:t>
            </w:r>
            <w:proofErr w:type="spellStart"/>
            <w:r w:rsidRPr="00545A0D">
              <w:rPr>
                <w:rFonts w:ascii="Arial" w:hAnsi="Arial" w:cs="Arial"/>
                <w:shd w:val="clear" w:color="auto" w:fill="FFFFFF"/>
              </w:rPr>
              <w:t>Manthorpe</w:t>
            </w:r>
            <w:proofErr w:type="spellEnd"/>
            <w:r w:rsidRPr="00545A0D">
              <w:rPr>
                <w:rFonts w:ascii="Arial" w:hAnsi="Arial" w:cs="Arial"/>
                <w:shd w:val="clear" w:color="auto" w:fill="FFFFFF"/>
              </w:rPr>
              <w:t>, &amp; Martineau, 2010</w:t>
            </w:r>
            <w:r w:rsidRPr="00545A0D">
              <w:rPr>
                <w:rFonts w:ascii="Arial" w:hAnsi="Arial" w:cs="Arial"/>
              </w:rPr>
              <w:t>). Section 54 states that a Local Authority must construct and maintain a care and support plan to meet an individual’s needs if requested (SSWBA, 2104).</w:t>
            </w:r>
          </w:p>
          <w:p w14:paraId="4C87C3EF" w14:textId="77777777" w:rsidR="00CB7F03" w:rsidRPr="00545A0D" w:rsidRDefault="00CB7F03" w:rsidP="00CB7F03">
            <w:pPr>
              <w:pStyle w:val="legclearfix"/>
              <w:shd w:val="clear" w:color="auto" w:fill="FFFFFF"/>
              <w:spacing w:before="0" w:beforeAutospacing="0" w:after="240" w:afterAutospacing="0" w:line="480" w:lineRule="auto"/>
              <w:rPr>
                <w:rStyle w:val="rynqvb"/>
                <w:rFonts w:ascii="Arial" w:hAnsi="Arial" w:cs="Arial"/>
              </w:rPr>
            </w:pPr>
            <w:r w:rsidRPr="00545A0D">
              <w:rPr>
                <w:rFonts w:ascii="Arial" w:hAnsi="Arial" w:cs="Arial"/>
              </w:rPr>
              <w:t xml:space="preserve">Direction from the Working Together to Safeguard People </w:t>
            </w:r>
            <w:r w:rsidRPr="00545A0D">
              <w:rPr>
                <w:rFonts w:ascii="Arial" w:hAnsi="Arial" w:cs="Arial"/>
                <w:shd w:val="clear" w:color="auto" w:fill="FFFFFF"/>
              </w:rPr>
              <w:t>statutory guidance (2016)</w:t>
            </w:r>
            <w:r w:rsidRPr="00545A0D">
              <w:rPr>
                <w:rFonts w:ascii="Arial" w:hAnsi="Arial" w:cs="Arial"/>
                <w:b/>
                <w:bCs/>
                <w:shd w:val="clear" w:color="auto" w:fill="FFFFFF"/>
              </w:rPr>
              <w:t xml:space="preserve"> </w:t>
            </w:r>
            <w:r w:rsidRPr="00545A0D">
              <w:rPr>
                <w:rFonts w:ascii="Arial" w:hAnsi="Arial" w:cs="Arial"/>
              </w:rPr>
              <w:t xml:space="preserve">establishes a comprehensive structure on how to identify and respond to adults at risk, outlines the provision of Adult Protection and Support Orders (APSOs) (s.127 SSWBA 2014) and formed the collaboration of the National Safeguarding Boards (Social Care Council Wales, 2017a). The safeguarding Boards are made up of 6 collective statutory agencies in Wales as listed in section 162 of SSWBA (2014) who work conjointly with other National </w:t>
            </w:r>
            <w:r w:rsidRPr="00545A0D">
              <w:rPr>
                <w:rFonts w:ascii="Arial" w:hAnsi="Arial" w:cs="Arial"/>
              </w:rPr>
              <w:lastRenderedPageBreak/>
              <w:t>Independent Boards to ensure homogeny and robustness in how services are delivered, as stipulated in section 139(4) of the SSWBA (2014).</w:t>
            </w:r>
          </w:p>
          <w:p w14:paraId="0F748F9B" w14:textId="77777777" w:rsidR="00CB7F03" w:rsidRPr="00545A0D" w:rsidRDefault="00CB7F03" w:rsidP="00CB7F03">
            <w:pPr>
              <w:pStyle w:val="legclearfix"/>
              <w:shd w:val="clear" w:color="auto" w:fill="FFFFFF"/>
              <w:spacing w:before="0" w:beforeAutospacing="0" w:after="240" w:afterAutospacing="0" w:line="480" w:lineRule="auto"/>
              <w:rPr>
                <w:rFonts w:ascii="Arial" w:hAnsi="Arial" w:cs="Arial"/>
              </w:rPr>
            </w:pPr>
            <w:r w:rsidRPr="00545A0D">
              <w:rPr>
                <w:rFonts w:ascii="Arial" w:hAnsi="Arial" w:cs="Arial"/>
              </w:rPr>
              <w:t>Section 127 of the SSWBA (2014) enables the Local Authority to apply for APSOs where an authorised individual may approach a person to establish whether they are at risk (Social Care Wales 2017b). However, it is paramount that The Mental Capacity Act (2005), Mental Capacity (Amendment) Act (2019) and Equality Act (2010), which are substantial regulations underpinned by the European Convention on Human Rights are regarded when safeguarding adults. It is fundamental that these Acts are practiced appropriately, and assessments measured accurately as adults have rights to live independently how they desire and are permitted to make unwise decisions if deemed to have capacity. The Local Authority must ensure everyone is respected equally (Lundy, 2007).</w:t>
            </w:r>
          </w:p>
          <w:p w14:paraId="05B5E762" w14:textId="77777777" w:rsidR="00CB7F03" w:rsidRPr="00545A0D" w:rsidRDefault="00CB7F03" w:rsidP="00CB7F03">
            <w:pPr>
              <w:pStyle w:val="legclearfix"/>
              <w:shd w:val="clear" w:color="auto" w:fill="FFFFFF"/>
              <w:spacing w:before="0" w:beforeAutospacing="0" w:after="240" w:afterAutospacing="0" w:line="480" w:lineRule="auto"/>
              <w:rPr>
                <w:rFonts w:ascii="Arial" w:hAnsi="Arial" w:cs="Arial"/>
              </w:rPr>
            </w:pPr>
            <w:r w:rsidRPr="00545A0D">
              <w:rPr>
                <w:rFonts w:ascii="Arial" w:hAnsi="Arial" w:cs="Arial"/>
              </w:rPr>
              <w:t>WORD COUNT 550</w:t>
            </w:r>
          </w:p>
          <w:p w14:paraId="7BE63105" w14:textId="77777777" w:rsidR="00CB7F03" w:rsidRDefault="00CB7F03" w:rsidP="00CB7F03">
            <w:pPr>
              <w:spacing w:line="480" w:lineRule="auto"/>
              <w:rPr>
                <w:rStyle w:val="rynqvb"/>
                <w:rFonts w:ascii="Helvetica" w:hAnsi="Helvetica" w:cs="Helvetica"/>
                <w:sz w:val="27"/>
                <w:szCs w:val="27"/>
                <w:shd w:val="clear" w:color="auto" w:fill="F5F5F5"/>
              </w:rPr>
            </w:pPr>
          </w:p>
          <w:p w14:paraId="48F376B1" w14:textId="77777777" w:rsidR="00CB7F03" w:rsidRDefault="00CB7F03" w:rsidP="00CB7F03">
            <w:pPr>
              <w:spacing w:line="480" w:lineRule="auto"/>
              <w:rPr>
                <w:sz w:val="24"/>
                <w:szCs w:val="24"/>
              </w:rPr>
            </w:pPr>
          </w:p>
          <w:p w14:paraId="3F1D311A" w14:textId="77777777" w:rsidR="00CB7F03" w:rsidRPr="00545A0D" w:rsidRDefault="00CB7F03" w:rsidP="00CB7F03">
            <w:pPr>
              <w:pStyle w:val="legclearfix"/>
              <w:shd w:val="clear" w:color="auto" w:fill="FFFFFF"/>
              <w:spacing w:before="0" w:beforeAutospacing="0" w:after="120" w:afterAutospacing="0" w:line="480" w:lineRule="auto"/>
              <w:rPr>
                <w:rFonts w:asciiTheme="minorHAnsi" w:hAnsiTheme="minorHAnsi" w:cstheme="minorHAnsi"/>
              </w:rPr>
            </w:pPr>
          </w:p>
          <w:p w14:paraId="5D3D8F91" w14:textId="77777777" w:rsidR="00CB7F03" w:rsidRDefault="00CB7F03"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CB7F03">
      <w:pPr>
        <w:spacing w:after="240" w:line="480" w:lineRule="auto"/>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CB7F03">
            <w:pPr>
              <w:spacing w:after="240" w:line="480" w:lineRule="auto"/>
              <w:jc w:val="both"/>
              <w:rPr>
                <w:b/>
                <w:sz w:val="24"/>
                <w:szCs w:val="24"/>
              </w:rPr>
            </w:pPr>
            <w:r w:rsidRPr="00EB695F">
              <w:rPr>
                <w:b/>
                <w:sz w:val="24"/>
                <w:szCs w:val="24"/>
              </w:rPr>
              <w:t>Question</w:t>
            </w:r>
            <w:r>
              <w:rPr>
                <w:b/>
                <w:sz w:val="24"/>
                <w:szCs w:val="24"/>
              </w:rPr>
              <w:t xml:space="preserve"> b</w:t>
            </w:r>
            <w:r w:rsidRPr="00EB695F">
              <w:rPr>
                <w:b/>
                <w:sz w:val="24"/>
                <w:szCs w:val="24"/>
              </w:rPr>
              <w:t>:</w:t>
            </w:r>
          </w:p>
          <w:p w14:paraId="1C72FF75" w14:textId="77777777" w:rsidR="00CB7F03" w:rsidRDefault="00FC0334" w:rsidP="00CB7F03">
            <w:pPr>
              <w:spacing w:after="240" w:line="480" w:lineRule="auto"/>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0BB65D7" w14:textId="45B3C400" w:rsidR="00CB7F03" w:rsidRPr="00CB7F03" w:rsidRDefault="00FC0334" w:rsidP="00CB7F03">
            <w:pPr>
              <w:spacing w:after="240" w:line="480" w:lineRule="auto"/>
              <w:jc w:val="both"/>
              <w:rPr>
                <w:sz w:val="24"/>
                <w:szCs w:val="24"/>
              </w:rPr>
            </w:pPr>
            <w:r>
              <w:rPr>
                <w:i/>
                <w:sz w:val="24"/>
                <w:szCs w:val="24"/>
              </w:rPr>
              <w:lastRenderedPageBreak/>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14:paraId="1DCA205B" w14:textId="77777777" w:rsidR="00CB7F03" w:rsidRPr="00545A0D" w:rsidRDefault="00CB7F03" w:rsidP="00CB7F03">
            <w:pPr>
              <w:spacing w:after="240" w:line="480" w:lineRule="auto"/>
              <w:rPr>
                <w:color w:val="auto"/>
                <w:sz w:val="24"/>
                <w:szCs w:val="24"/>
              </w:rPr>
            </w:pPr>
            <w:r w:rsidRPr="00545A0D">
              <w:rPr>
                <w:color w:val="auto"/>
                <w:sz w:val="24"/>
                <w:szCs w:val="24"/>
              </w:rPr>
              <w:t>Task 4b</w:t>
            </w:r>
          </w:p>
          <w:p w14:paraId="6E481328" w14:textId="77777777" w:rsidR="00CB7F03" w:rsidRPr="00545A0D" w:rsidRDefault="00CB7F03" w:rsidP="00CB7F03">
            <w:pPr>
              <w:spacing w:after="240" w:line="480" w:lineRule="auto"/>
              <w:rPr>
                <w:color w:val="auto"/>
                <w:sz w:val="24"/>
                <w:szCs w:val="24"/>
              </w:rPr>
            </w:pPr>
            <w:r w:rsidRPr="00545A0D">
              <w:rPr>
                <w:color w:val="auto"/>
                <w:sz w:val="24"/>
                <w:szCs w:val="24"/>
              </w:rPr>
              <w:t>The Social Services and Well-being (Wales) Act (2014) (SSWBA) has amalgamated policies to safeguard both adults and children with its main intention to focus on individuals having a voice and control in important decisions made about their lives, practicing towards prevention and early intervention, and having a robust co-production and multi-agency framework when delivering services.</w:t>
            </w:r>
          </w:p>
          <w:p w14:paraId="5E13C60A" w14:textId="77777777" w:rsidR="00CB7F03" w:rsidRPr="00545A0D" w:rsidRDefault="00CB7F03" w:rsidP="00CB7F03">
            <w:pPr>
              <w:spacing w:after="240" w:line="480" w:lineRule="auto"/>
              <w:rPr>
                <w:color w:val="auto"/>
                <w:sz w:val="24"/>
                <w:szCs w:val="24"/>
              </w:rPr>
            </w:pPr>
            <w:r w:rsidRPr="00545A0D">
              <w:rPr>
                <w:color w:val="auto"/>
                <w:sz w:val="24"/>
                <w:szCs w:val="24"/>
              </w:rPr>
              <w:t xml:space="preserve">Principles in both adults and children’s services are equally significant, however, adults safeguarding differs as its fortified by the central constitution of capacity and consent, and services can be refused by the adult individuals. Children’s safeguarding is propelled by different laws and policies that guide practice such as the Children’s Act (1989). Children have limited rights, and the safeguarding of children can be referred and reported without their consent and of their caregivers as the child’s safety is considered imperative (Appleton, et al, 2020). </w:t>
            </w:r>
          </w:p>
          <w:p w14:paraId="37A145AD" w14:textId="77777777" w:rsidR="00CB7F03" w:rsidRPr="00545A0D" w:rsidRDefault="00CB7F03" w:rsidP="00CB7F03">
            <w:pPr>
              <w:spacing w:after="240" w:line="480" w:lineRule="auto"/>
              <w:rPr>
                <w:rStyle w:val="rynqvb"/>
                <w:color w:val="auto"/>
                <w:sz w:val="24"/>
                <w:szCs w:val="24"/>
              </w:rPr>
            </w:pPr>
            <w:r w:rsidRPr="00545A0D">
              <w:rPr>
                <w:color w:val="auto"/>
                <w:sz w:val="24"/>
                <w:szCs w:val="24"/>
              </w:rPr>
              <w:t>Measuring an adult’s capacity can be problematic to achieve and difficult to ascertain (</w:t>
            </w:r>
            <w:r w:rsidRPr="00545A0D">
              <w:rPr>
                <w:color w:val="auto"/>
                <w:sz w:val="24"/>
                <w:szCs w:val="24"/>
                <w:shd w:val="clear" w:color="auto" w:fill="FFFFFF"/>
              </w:rPr>
              <w:t>Ruck Keene, 2017</w:t>
            </w:r>
            <w:r w:rsidRPr="00545A0D">
              <w:rPr>
                <w:color w:val="auto"/>
                <w:sz w:val="24"/>
                <w:szCs w:val="24"/>
              </w:rPr>
              <w:t xml:space="preserve">). Capacity is defined as an individual’s ability to understand and retain information to make a rigorous decision (Wilson, 2017), and an individual will lack capacity if their mind is found to be impaired in some way (Donnelly, 2016). A capacity assessment can only relate to a specific decision at a certain time, and if deemed not to have full capacity, the professionals involved must ensure that all decisions made, are within the individual’s best interest in the least restrictive way. This would involve considering the individual’s past </w:t>
            </w:r>
            <w:r w:rsidRPr="00545A0D">
              <w:rPr>
                <w:color w:val="auto"/>
                <w:sz w:val="24"/>
                <w:szCs w:val="24"/>
              </w:rPr>
              <w:lastRenderedPageBreak/>
              <w:t xml:space="preserve">knowledge, past decision making and what is important to them (SSWBA, 2014; Mental Capacity Act, 2005). </w:t>
            </w:r>
            <w:r w:rsidRPr="00545A0D">
              <w:rPr>
                <w:rStyle w:val="rynqvb"/>
                <w:color w:val="auto"/>
                <w:sz w:val="24"/>
                <w:szCs w:val="24"/>
              </w:rPr>
              <w:t>There is also a duty to promote and uphold adult’s rights under the United Nations Principles for Older Persons, United Nations Convention on the Rights of Disabled People (UNCRDP) and the Equality Act (2010). However, if an adult is at risk to self or others, they may lose their rights by being detained under the Mental Health Act (1983).</w:t>
            </w:r>
          </w:p>
          <w:p w14:paraId="40FAC1BC" w14:textId="77777777" w:rsidR="00CB7F03" w:rsidRPr="00545A0D" w:rsidRDefault="00CB7F03" w:rsidP="00CB7F03">
            <w:pPr>
              <w:spacing w:after="240" w:line="480" w:lineRule="auto"/>
              <w:rPr>
                <w:rStyle w:val="rynqvb"/>
                <w:color w:val="auto"/>
                <w:sz w:val="24"/>
                <w:szCs w:val="24"/>
              </w:rPr>
            </w:pPr>
            <w:r w:rsidRPr="00545A0D">
              <w:rPr>
                <w:rStyle w:val="rynqvb"/>
                <w:color w:val="auto"/>
                <w:sz w:val="24"/>
                <w:szCs w:val="24"/>
              </w:rPr>
              <w:t>Capacity in children can be measured by Gillick competence, this stipulates if a child under the age of 16 is deemed to have enough competence, intellect, and perception on a situation they are able to voice their choices with regards to their own life (Griffith, 2016).</w:t>
            </w:r>
          </w:p>
          <w:p w14:paraId="6EE71280" w14:textId="77777777" w:rsidR="00CB7F03" w:rsidRPr="00545A0D" w:rsidRDefault="00CB7F03" w:rsidP="00CB7F03">
            <w:pPr>
              <w:spacing w:after="240" w:line="480" w:lineRule="auto"/>
              <w:rPr>
                <w:color w:val="auto"/>
                <w:sz w:val="24"/>
                <w:szCs w:val="24"/>
              </w:rPr>
            </w:pPr>
            <w:r w:rsidRPr="00545A0D">
              <w:rPr>
                <w:color w:val="auto"/>
                <w:sz w:val="24"/>
                <w:szCs w:val="24"/>
              </w:rPr>
              <w:t xml:space="preserve">Adults are empowered to promote their own independence and judge their own wellbeing whereas the protection of children is the responsibility of the adult who has parental responsibility over them (SSWBA, 2014).  </w:t>
            </w:r>
          </w:p>
          <w:p w14:paraId="31BDA419" w14:textId="77777777" w:rsidR="00CB7F03" w:rsidRPr="00545A0D" w:rsidRDefault="00CB7F03" w:rsidP="00CB7F03">
            <w:pPr>
              <w:spacing w:after="240" w:line="480" w:lineRule="auto"/>
              <w:rPr>
                <w:rStyle w:val="rynqvb"/>
                <w:color w:val="auto"/>
                <w:sz w:val="24"/>
                <w:szCs w:val="24"/>
              </w:rPr>
            </w:pPr>
            <w:r w:rsidRPr="00545A0D">
              <w:rPr>
                <w:rStyle w:val="rynqvb"/>
                <w:color w:val="auto"/>
                <w:sz w:val="24"/>
                <w:szCs w:val="24"/>
              </w:rPr>
              <w:t xml:space="preserve">A paramount difference when a child is at risk is that the Local Authority has a duty to investigate under section 47 of the Children Act (1989) and can do so without permission or consent. </w:t>
            </w:r>
          </w:p>
          <w:p w14:paraId="534D26A0" w14:textId="77777777" w:rsidR="00CB7F03" w:rsidRPr="00545A0D" w:rsidRDefault="00CB7F03" w:rsidP="00CB7F03">
            <w:pPr>
              <w:spacing w:after="240" w:line="480" w:lineRule="auto"/>
              <w:rPr>
                <w:rStyle w:val="rynqvb"/>
                <w:sz w:val="24"/>
                <w:szCs w:val="24"/>
              </w:rPr>
            </w:pPr>
          </w:p>
          <w:p w14:paraId="51CFB645" w14:textId="77777777" w:rsidR="00CB7F03" w:rsidRPr="00545A0D" w:rsidRDefault="00CB7F03" w:rsidP="00CB7F03">
            <w:pPr>
              <w:spacing w:after="240" w:line="480" w:lineRule="auto"/>
              <w:rPr>
                <w:rStyle w:val="rynqvb"/>
                <w:color w:val="auto"/>
                <w:sz w:val="24"/>
                <w:szCs w:val="24"/>
                <w:lang w:val="cy-GB"/>
              </w:rPr>
            </w:pPr>
            <w:r w:rsidRPr="00545A0D">
              <w:rPr>
                <w:rStyle w:val="rynqvb"/>
                <w:color w:val="auto"/>
                <w:sz w:val="24"/>
                <w:szCs w:val="24"/>
                <w:lang w:val="cy-GB"/>
              </w:rPr>
              <w:t>WORD COUNT 430</w:t>
            </w:r>
          </w:p>
          <w:p w14:paraId="6897ACB9" w14:textId="77777777" w:rsidR="00CB7F03" w:rsidRPr="00CB7F03" w:rsidRDefault="00CB7F03" w:rsidP="00CB7F03">
            <w:pPr>
              <w:spacing w:after="240" w:line="480" w:lineRule="auto"/>
              <w:jc w:val="both"/>
              <w:rPr>
                <w:iCs/>
                <w:sz w:val="24"/>
                <w:szCs w:val="24"/>
              </w:rPr>
            </w:pPr>
          </w:p>
          <w:p w14:paraId="08760B3D" w14:textId="77777777" w:rsidR="00FC0334" w:rsidRPr="006108C9" w:rsidRDefault="00FC0334" w:rsidP="00CB7F03">
            <w:pPr>
              <w:spacing w:after="240" w:line="480" w:lineRule="auto"/>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EEDB6" w14:textId="77777777" w:rsidR="00EE5027" w:rsidRDefault="00EE5027">
      <w:r>
        <w:separator/>
      </w:r>
    </w:p>
  </w:endnote>
  <w:endnote w:type="continuationSeparator" w:id="0">
    <w:p w14:paraId="21CADDC8" w14:textId="77777777" w:rsidR="00EE5027" w:rsidRDefault="00EE50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A3600" w14:textId="77777777" w:rsidR="00EE5027" w:rsidRDefault="00EE5027">
      <w:r>
        <w:separator/>
      </w:r>
    </w:p>
  </w:footnote>
  <w:footnote w:type="continuationSeparator" w:id="0">
    <w:p w14:paraId="77C882F7" w14:textId="77777777" w:rsidR="00EE5027" w:rsidRDefault="00EE50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7F03"/>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027"/>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rynqvb">
    <w:name w:val="rynqvb"/>
    <w:basedOn w:val="DefaultParagraphFont"/>
    <w:rsid w:val="00CB7F03"/>
  </w:style>
  <w:style w:type="paragraph" w:customStyle="1" w:styleId="legclearfix">
    <w:name w:val="legclearfix"/>
    <w:basedOn w:val="Normal"/>
    <w:rsid w:val="00CB7F0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B7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1135</Words>
  <Characters>6473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Chrissy Jones (PLANT)</cp:lastModifiedBy>
  <cp:revision>2</cp:revision>
  <cp:lastPrinted>2020-02-11T19:20:00Z</cp:lastPrinted>
  <dcterms:created xsi:type="dcterms:W3CDTF">2023-02-23T15:26:00Z</dcterms:created>
  <dcterms:modified xsi:type="dcterms:W3CDTF">2023-02-23T15:26:00Z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