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6704F" w14:textId="72A554DF" w:rsidR="006F4A77" w:rsidRPr="00A45D20" w:rsidRDefault="006F4A77" w:rsidP="006F4A77">
      <w:pPr>
        <w:pStyle w:val="NormalWeb"/>
        <w:spacing w:line="360" w:lineRule="auto"/>
        <w:jc w:val="center"/>
        <w:rPr>
          <w:rFonts w:ascii="Arial" w:hAnsi="Arial" w:cs="Arial"/>
          <w:b/>
          <w:bCs/>
          <w:sz w:val="32"/>
          <w:szCs w:val="32"/>
        </w:rPr>
      </w:pPr>
      <w:bookmarkStart w:id="0" w:name="_Hlk222493572"/>
      <w:r w:rsidRPr="00A45D20">
        <w:rPr>
          <w:rFonts w:ascii="Arial" w:hAnsi="Arial" w:cs="Arial"/>
          <w:b/>
          <w:bCs/>
          <w:sz w:val="32"/>
          <w:szCs w:val="32"/>
        </w:rPr>
        <w:t>Student Name: Jude Adimonye Ubanii</w:t>
      </w:r>
    </w:p>
    <w:p w14:paraId="49EF5E11" w14:textId="77777777" w:rsidR="006F4A77" w:rsidRPr="00A45D20" w:rsidRDefault="006F4A77" w:rsidP="006F4A77">
      <w:pPr>
        <w:pStyle w:val="NormalWeb"/>
        <w:spacing w:line="360" w:lineRule="auto"/>
        <w:jc w:val="center"/>
        <w:rPr>
          <w:rFonts w:ascii="Arial" w:hAnsi="Arial" w:cs="Arial"/>
          <w:b/>
          <w:bCs/>
          <w:sz w:val="32"/>
          <w:szCs w:val="32"/>
        </w:rPr>
      </w:pPr>
      <w:r w:rsidRPr="00A45D20">
        <w:rPr>
          <w:rFonts w:ascii="Arial" w:hAnsi="Arial" w:cs="Arial"/>
          <w:b/>
          <w:bCs/>
          <w:sz w:val="32"/>
          <w:szCs w:val="32"/>
        </w:rPr>
        <w:t>Student ID: 2320539</w:t>
      </w:r>
    </w:p>
    <w:p w14:paraId="7EF88412" w14:textId="77777777" w:rsidR="006F4A77" w:rsidRPr="00A45D20" w:rsidRDefault="006F4A77" w:rsidP="006F4A77">
      <w:pPr>
        <w:pStyle w:val="NormalWeb"/>
        <w:spacing w:line="360" w:lineRule="auto"/>
        <w:jc w:val="center"/>
        <w:rPr>
          <w:rFonts w:ascii="Arial" w:hAnsi="Arial" w:cs="Arial"/>
          <w:b/>
          <w:bCs/>
          <w:sz w:val="32"/>
          <w:szCs w:val="32"/>
        </w:rPr>
      </w:pPr>
      <w:r w:rsidRPr="00A45D20">
        <w:rPr>
          <w:rFonts w:ascii="Arial" w:hAnsi="Arial" w:cs="Arial"/>
          <w:b/>
          <w:bCs/>
          <w:sz w:val="32"/>
          <w:szCs w:val="32"/>
        </w:rPr>
        <w:t>Programme: BSc (Hons) Health and Social Care</w:t>
      </w:r>
    </w:p>
    <w:p w14:paraId="1EEF94D6" w14:textId="7643E33D" w:rsidR="006F4A77" w:rsidRPr="00A45D20" w:rsidRDefault="006F4A77" w:rsidP="006F4A77">
      <w:pPr>
        <w:pStyle w:val="NormalWeb"/>
        <w:spacing w:line="360" w:lineRule="auto"/>
        <w:jc w:val="center"/>
        <w:rPr>
          <w:rFonts w:ascii="Arial" w:hAnsi="Arial" w:cs="Arial"/>
          <w:b/>
          <w:bCs/>
          <w:sz w:val="32"/>
          <w:szCs w:val="32"/>
        </w:rPr>
      </w:pPr>
      <w:r w:rsidRPr="00A45D20">
        <w:rPr>
          <w:rFonts w:ascii="Arial" w:hAnsi="Arial" w:cs="Arial"/>
          <w:b/>
          <w:bCs/>
          <w:sz w:val="32"/>
          <w:szCs w:val="32"/>
        </w:rPr>
        <w:t xml:space="preserve">Module: </w:t>
      </w:r>
      <w:r>
        <w:rPr>
          <w:rFonts w:ascii="Arial" w:hAnsi="Arial" w:cs="Arial"/>
          <w:b/>
          <w:bCs/>
          <w:sz w:val="32"/>
          <w:szCs w:val="32"/>
        </w:rPr>
        <w:t>Psychopathological Classifications and provisions</w:t>
      </w:r>
    </w:p>
    <w:p w14:paraId="682D979A" w14:textId="720E45DF" w:rsidR="006F4A77" w:rsidRPr="00A45D20" w:rsidRDefault="006F4A77" w:rsidP="006F4A77">
      <w:pPr>
        <w:pStyle w:val="NormalWeb"/>
        <w:spacing w:line="360" w:lineRule="auto"/>
        <w:jc w:val="center"/>
        <w:rPr>
          <w:rFonts w:ascii="Arial" w:hAnsi="Arial" w:cs="Arial"/>
          <w:b/>
          <w:bCs/>
          <w:sz w:val="32"/>
          <w:szCs w:val="32"/>
        </w:rPr>
      </w:pPr>
      <w:r w:rsidRPr="00A45D20">
        <w:rPr>
          <w:rFonts w:ascii="Arial" w:hAnsi="Arial" w:cs="Arial"/>
          <w:b/>
          <w:bCs/>
          <w:sz w:val="32"/>
          <w:szCs w:val="32"/>
        </w:rPr>
        <w:t>Module Code: BMHP602</w:t>
      </w:r>
      <w:r>
        <w:rPr>
          <w:rFonts w:ascii="Arial" w:hAnsi="Arial" w:cs="Arial"/>
          <w:b/>
          <w:bCs/>
          <w:sz w:val="32"/>
          <w:szCs w:val="32"/>
        </w:rPr>
        <w:t>9</w:t>
      </w:r>
    </w:p>
    <w:p w14:paraId="34818C60" w14:textId="3430A653" w:rsidR="006F4A77" w:rsidRDefault="006F4A77" w:rsidP="006F4A77">
      <w:pPr>
        <w:pStyle w:val="NormalWeb"/>
        <w:spacing w:line="360" w:lineRule="auto"/>
        <w:jc w:val="center"/>
        <w:rPr>
          <w:rFonts w:ascii="Arial" w:hAnsi="Arial" w:cs="Arial"/>
          <w:b/>
          <w:bCs/>
          <w:sz w:val="32"/>
          <w:szCs w:val="32"/>
        </w:rPr>
      </w:pPr>
      <w:r w:rsidRPr="00A45D20">
        <w:rPr>
          <w:rFonts w:ascii="Arial" w:hAnsi="Arial" w:cs="Arial"/>
          <w:b/>
          <w:bCs/>
          <w:sz w:val="32"/>
          <w:szCs w:val="32"/>
        </w:rPr>
        <w:t>Assignment Title:</w:t>
      </w:r>
      <w:r w:rsidR="00A9089A">
        <w:rPr>
          <w:rFonts w:ascii="Arial" w:hAnsi="Arial" w:cs="Arial"/>
          <w:b/>
          <w:bCs/>
          <w:sz w:val="32"/>
          <w:szCs w:val="32"/>
        </w:rPr>
        <w:t xml:space="preserve"> Component 1: Individual Presentation</w:t>
      </w:r>
      <w:r>
        <w:rPr>
          <w:rFonts w:ascii="Arial" w:hAnsi="Arial" w:cs="Arial"/>
          <w:b/>
          <w:bCs/>
          <w:sz w:val="32"/>
          <w:szCs w:val="32"/>
        </w:rPr>
        <w:t xml:space="preserve"> </w:t>
      </w:r>
      <w:r w:rsidR="00A9089A">
        <w:rPr>
          <w:rFonts w:ascii="Arial" w:hAnsi="Arial" w:cs="Arial"/>
          <w:b/>
          <w:bCs/>
          <w:sz w:val="32"/>
          <w:szCs w:val="32"/>
        </w:rPr>
        <w:t>(</w:t>
      </w:r>
      <w:r>
        <w:rPr>
          <w:rFonts w:ascii="Arial" w:hAnsi="Arial" w:cs="Arial"/>
          <w:b/>
          <w:bCs/>
          <w:sz w:val="32"/>
          <w:szCs w:val="32"/>
        </w:rPr>
        <w:t>Academic Poster</w:t>
      </w:r>
      <w:r w:rsidR="00A9089A">
        <w:rPr>
          <w:rFonts w:ascii="Arial" w:hAnsi="Arial" w:cs="Arial"/>
          <w:b/>
          <w:bCs/>
          <w:sz w:val="32"/>
          <w:szCs w:val="32"/>
        </w:rPr>
        <w:t>)</w:t>
      </w:r>
    </w:p>
    <w:p w14:paraId="293297D4" w14:textId="257195D2" w:rsidR="00F03FE1" w:rsidRDefault="006F4A77" w:rsidP="006F4A77">
      <w:pPr>
        <w:pStyle w:val="NormalWeb"/>
        <w:spacing w:line="360" w:lineRule="auto"/>
        <w:jc w:val="center"/>
        <w:rPr>
          <w:rFonts w:ascii="Arial" w:hAnsi="Arial" w:cs="Arial"/>
          <w:b/>
          <w:bCs/>
          <w:sz w:val="32"/>
          <w:szCs w:val="32"/>
        </w:rPr>
      </w:pPr>
      <w:r w:rsidRPr="00A45D20">
        <w:rPr>
          <w:rFonts w:ascii="Arial" w:hAnsi="Arial" w:cs="Arial"/>
          <w:b/>
          <w:bCs/>
          <w:sz w:val="32"/>
          <w:szCs w:val="32"/>
        </w:rPr>
        <w:t xml:space="preserve">Lecturer Name: </w:t>
      </w:r>
      <w:bookmarkEnd w:id="0"/>
      <w:r>
        <w:rPr>
          <w:rFonts w:ascii="Arial" w:hAnsi="Arial" w:cs="Arial"/>
          <w:b/>
          <w:bCs/>
          <w:sz w:val="32"/>
          <w:szCs w:val="32"/>
        </w:rPr>
        <w:t>Neale Haddon</w:t>
      </w:r>
    </w:p>
    <w:p w14:paraId="118D5A1B" w14:textId="76C675DA" w:rsidR="006F4A77" w:rsidRDefault="006F4A77" w:rsidP="006F4A77">
      <w:pPr>
        <w:pStyle w:val="NormalWeb"/>
        <w:spacing w:line="360" w:lineRule="auto"/>
        <w:jc w:val="center"/>
        <w:rPr>
          <w:rFonts w:ascii="Arial" w:hAnsi="Arial" w:cs="Arial"/>
          <w:b/>
          <w:bCs/>
          <w:sz w:val="32"/>
          <w:szCs w:val="32"/>
        </w:rPr>
      </w:pPr>
    </w:p>
    <w:p w14:paraId="36A4274E" w14:textId="52849F98" w:rsidR="006F4A77" w:rsidRDefault="006F4A77" w:rsidP="006F4A77">
      <w:pPr>
        <w:pStyle w:val="NormalWeb"/>
        <w:spacing w:line="360" w:lineRule="auto"/>
        <w:jc w:val="center"/>
        <w:rPr>
          <w:rFonts w:ascii="Arial" w:hAnsi="Arial" w:cs="Arial"/>
          <w:b/>
          <w:bCs/>
          <w:sz w:val="32"/>
          <w:szCs w:val="32"/>
        </w:rPr>
      </w:pPr>
    </w:p>
    <w:p w14:paraId="44EB7644" w14:textId="1824E5B3" w:rsidR="006F4A77" w:rsidRDefault="006F4A77" w:rsidP="006F4A77">
      <w:pPr>
        <w:pStyle w:val="NormalWeb"/>
        <w:spacing w:line="360" w:lineRule="auto"/>
        <w:jc w:val="center"/>
        <w:rPr>
          <w:rFonts w:ascii="Arial" w:hAnsi="Arial" w:cs="Arial"/>
          <w:b/>
          <w:bCs/>
          <w:sz w:val="32"/>
          <w:szCs w:val="32"/>
        </w:rPr>
      </w:pPr>
    </w:p>
    <w:p w14:paraId="18E83CDE" w14:textId="7CFB29B7" w:rsidR="00D462FA" w:rsidRDefault="00D462FA" w:rsidP="00D462FA">
      <w:pPr>
        <w:spacing w:line="360" w:lineRule="auto"/>
        <w:rPr>
          <w:rFonts w:ascii="Arial" w:hAnsi="Arial" w:cs="Arial"/>
          <w:b/>
          <w:bCs/>
          <w:sz w:val="20"/>
          <w:szCs w:val="20"/>
        </w:rPr>
      </w:pPr>
    </w:p>
    <w:p w14:paraId="6B51EB67" w14:textId="1A8B0C2D" w:rsidR="00D462FA" w:rsidRPr="00D462FA" w:rsidRDefault="006F4A77" w:rsidP="00D462FA">
      <w:pPr>
        <w:spacing w:line="360" w:lineRule="auto"/>
        <w:jc w:val="center"/>
        <w:rPr>
          <w:rFonts w:ascii="Arial" w:hAnsi="Arial" w:cs="Arial"/>
          <w:b/>
          <w:bCs/>
          <w:sz w:val="20"/>
          <w:szCs w:val="20"/>
        </w:rPr>
      </w:pPr>
      <w:r w:rsidRPr="00D462FA">
        <w:rPr>
          <w:rFonts w:ascii="Arial" w:hAnsi="Arial" w:cs="Arial"/>
          <w:b/>
          <w:bCs/>
          <w:sz w:val="20"/>
          <w:szCs w:val="20"/>
        </w:rPr>
        <w:lastRenderedPageBreak/>
        <w:t>Post-Traumatic Stress Disorder (PTSD)</w:t>
      </w:r>
      <w:r w:rsidR="00D462FA" w:rsidRPr="00D462FA">
        <w:rPr>
          <w:rFonts w:ascii="Arial" w:hAnsi="Arial" w:cs="Arial"/>
          <w:b/>
          <w:bCs/>
          <w:noProof/>
          <w:sz w:val="16"/>
          <w:szCs w:val="16"/>
        </w:rPr>
        <w:t xml:space="preserve"> </w:t>
      </w:r>
      <w:r w:rsidRPr="00D462FA">
        <w:rPr>
          <w:rFonts w:ascii="Arial" w:hAnsi="Arial" w:cs="Arial"/>
          <w:b/>
          <w:bCs/>
          <w:sz w:val="20"/>
          <w:szCs w:val="20"/>
        </w:rPr>
        <w:br/>
        <w:t>Evolution of Understanding, Treatment, and Care</w:t>
      </w:r>
    </w:p>
    <w:p w14:paraId="46356A3A" w14:textId="6E6C0417" w:rsidR="00F41E9A" w:rsidRDefault="0015007E" w:rsidP="00D462FA">
      <w:pPr>
        <w:spacing w:line="360" w:lineRule="auto"/>
        <w:jc w:val="center"/>
        <w:rPr>
          <w:rFonts w:ascii="Arial" w:hAnsi="Arial" w:cs="Arial"/>
          <w:b/>
          <w:bCs/>
          <w:noProof/>
          <w:color w:val="000000" w:themeColor="text1"/>
          <w:sz w:val="16"/>
          <w:szCs w:val="16"/>
        </w:rPr>
      </w:pPr>
      <w:r>
        <w:rPr>
          <w:rFonts w:ascii="Arial" w:hAnsi="Arial" w:cs="Arial"/>
          <w:b/>
          <w:bCs/>
          <w:noProof/>
          <w:sz w:val="20"/>
          <w:szCs w:val="20"/>
        </w:rPr>
        <mc:AlternateContent>
          <mc:Choice Requires="wps">
            <w:drawing>
              <wp:anchor distT="0" distB="0" distL="114300" distR="114300" simplePos="0" relativeHeight="251679744" behindDoc="0" locked="0" layoutInCell="1" allowOverlap="1" wp14:anchorId="5D042B6D" wp14:editId="362F7151">
                <wp:simplePos x="0" y="0"/>
                <wp:positionH relativeFrom="column">
                  <wp:posOffset>-845012</wp:posOffset>
                </wp:positionH>
                <wp:positionV relativeFrom="paragraph">
                  <wp:posOffset>53225</wp:posOffset>
                </wp:positionV>
                <wp:extent cx="2657475" cy="3895725"/>
                <wp:effectExtent l="38100" t="38100" r="47625" b="47625"/>
                <wp:wrapNone/>
                <wp:docPr id="1" name="Rectangle 1"/>
                <wp:cNvGraphicFramePr/>
                <a:graphic xmlns:a="http://schemas.openxmlformats.org/drawingml/2006/main">
                  <a:graphicData uri="http://schemas.microsoft.com/office/word/2010/wordprocessingShape">
                    <wps:wsp>
                      <wps:cNvSpPr/>
                      <wps:spPr>
                        <a:xfrm>
                          <a:off x="0" y="0"/>
                          <a:ext cx="2657475" cy="3895725"/>
                        </a:xfrm>
                        <a:prstGeom prst="rect">
                          <a:avLst/>
                        </a:prstGeom>
                        <a:solidFill>
                          <a:srgbClr val="00C092"/>
                        </a:solidFill>
                        <a:ln>
                          <a:noFill/>
                        </a:ln>
                        <a:effectLst/>
                        <a:scene3d>
                          <a:camera prst="orthographicFront">
                            <a:rot lat="0" lon="0" rev="0"/>
                          </a:camera>
                          <a:lightRig rig="chilly" dir="t">
                            <a:rot lat="0" lon="0" rev="18480000"/>
                          </a:lightRig>
                        </a:scene3d>
                        <a:sp3d prstMaterial="clear">
                          <a:bevelT h="63500"/>
                        </a:sp3d>
                      </wps:spPr>
                      <wps:style>
                        <a:lnRef idx="2">
                          <a:schemeClr val="accent1">
                            <a:shade val="50000"/>
                          </a:schemeClr>
                        </a:lnRef>
                        <a:fillRef idx="1">
                          <a:schemeClr val="accent1"/>
                        </a:fillRef>
                        <a:effectRef idx="0">
                          <a:schemeClr val="accent1"/>
                        </a:effectRef>
                        <a:fontRef idx="minor">
                          <a:schemeClr val="lt1"/>
                        </a:fontRef>
                      </wps:style>
                      <wps:txbx>
                        <w:txbxContent>
                          <w:p w14:paraId="03741C5B" w14:textId="77777777" w:rsidR="0015007E" w:rsidRPr="00F41E9A" w:rsidRDefault="0015007E" w:rsidP="0015007E">
                            <w:pPr>
                              <w:spacing w:line="360" w:lineRule="auto"/>
                              <w:rPr>
                                <w:rFonts w:ascii="Arial" w:hAnsi="Arial" w:cs="Arial"/>
                                <w:b/>
                                <w:bCs/>
                                <w:color w:val="000000" w:themeColor="text1"/>
                                <w:sz w:val="20"/>
                                <w:szCs w:val="20"/>
                              </w:rPr>
                            </w:pPr>
                            <w:r w:rsidRPr="00F41E9A">
                              <w:rPr>
                                <w:rFonts w:ascii="Arial" w:hAnsi="Arial" w:cs="Arial"/>
                                <w:b/>
                                <w:bCs/>
                                <w:color w:val="000000" w:themeColor="text1"/>
                                <w:sz w:val="20"/>
                                <w:szCs w:val="20"/>
                              </w:rPr>
                              <w:t>Introduction</w:t>
                            </w:r>
                          </w:p>
                          <w:p w14:paraId="187072E1" w14:textId="77777777" w:rsidR="0015007E" w:rsidRPr="00F41E9A" w:rsidRDefault="0015007E" w:rsidP="0015007E">
                            <w:pPr>
                              <w:spacing w:line="360" w:lineRule="auto"/>
                              <w:rPr>
                                <w:rStyle w:val="suggestionparagraphs"/>
                                <w:rFonts w:ascii="Arial" w:hAnsi="Arial" w:cs="Arial"/>
                                <w:color w:val="000000" w:themeColor="text1"/>
                                <w:sz w:val="13"/>
                                <w:szCs w:val="13"/>
                              </w:rPr>
                            </w:pPr>
                            <w:r w:rsidRPr="00F41E9A">
                              <w:rPr>
                                <w:rStyle w:val="suggestionparagraphs"/>
                                <w:rFonts w:ascii="Arial" w:hAnsi="Arial" w:cs="Arial"/>
                                <w:color w:val="000000" w:themeColor="text1"/>
                                <w:sz w:val="13"/>
                                <w:szCs w:val="13"/>
                              </w:rPr>
                              <w:t>Post-Traumatic Stress Disorder (PTSD) is recognized in the ICD-11 (6B40) as a psychological and behavioural disorder that develops after an individual has encountered a severely threatening experience (World Health Organization, 2022).</w:t>
                            </w:r>
                          </w:p>
                          <w:p w14:paraId="4431C384" w14:textId="77777777" w:rsidR="00910ADF" w:rsidRPr="00910ADF" w:rsidRDefault="0015007E" w:rsidP="00910ADF">
                            <w:pPr>
                              <w:spacing w:line="360" w:lineRule="auto"/>
                              <w:rPr>
                                <w:rFonts w:ascii="Arial" w:hAnsi="Arial" w:cs="Arial"/>
                                <w:color w:val="000000" w:themeColor="text1"/>
                                <w:sz w:val="13"/>
                                <w:szCs w:val="13"/>
                              </w:rPr>
                            </w:pPr>
                            <w:r w:rsidRPr="00F41E9A">
                              <w:rPr>
                                <w:rStyle w:val="suggestionparagraphs"/>
                                <w:rFonts w:ascii="Arial" w:hAnsi="Arial" w:cs="Arial"/>
                                <w:color w:val="000000" w:themeColor="text1"/>
                                <w:sz w:val="13"/>
                                <w:szCs w:val="13"/>
                              </w:rPr>
                              <w:t>Manifestations of this condition can involve distressing recollections, evasion behaviours, a sense of ongoing danger, alongside difficulties like nightmares and emotional detachment that hinder everyday activities (Cloister et al., 2020). Affecting approximately 4% of the global population, PTSD is particularly prevalent among individuals exposed to combat or violence, with a higher incidence noted in women (World Health Organization, 2023). Originally known as “shell shock,” PTSD was officially acknowledged in 1980 (Jones and Westley, 2005).</w:t>
                            </w:r>
                            <w:r w:rsidRPr="00F41E9A">
                              <w:rPr>
                                <w:rStyle w:val="suggestionparagraphs"/>
                                <w:rFonts w:ascii="Arial" w:hAnsi="Arial" w:cs="Arial"/>
                                <w:sz w:val="13"/>
                                <w:szCs w:val="13"/>
                              </w:rPr>
                              <w:br/>
                            </w:r>
                            <w:r w:rsidR="00910ADF" w:rsidRPr="00910ADF">
                              <w:rPr>
                                <w:rFonts w:ascii="Arial" w:hAnsi="Arial" w:cs="Arial"/>
                                <w:color w:val="000000" w:themeColor="text1"/>
                                <w:sz w:val="13"/>
                                <w:szCs w:val="13"/>
                              </w:rPr>
                              <w:t xml:space="preserve">From early misconceptions to current clinical recognition, this poster provides a comprehensive analysis of the development, categorisation, and therapeutic approaches for PTSD. It looks into how sociological, cultural, and political elements—such as stigma and inequality—affect the understanding and delivery of care. The goal is to demonstrate how changes in culture and scientific discoveries have influenced PTSD treatment throughout history. </w:t>
                            </w:r>
                          </w:p>
                          <w:p w14:paraId="2CF3CE79" w14:textId="44266FCD" w:rsidR="0015007E" w:rsidRPr="00F41E9A" w:rsidRDefault="0015007E" w:rsidP="0015007E">
                            <w:pPr>
                              <w:spacing w:line="360" w:lineRule="auto"/>
                              <w:rPr>
                                <w:rStyle w:val="suggestionparagraphs"/>
                                <w:rFonts w:ascii="Arial" w:hAnsi="Arial" w:cs="Arial"/>
                                <w:color w:val="000000" w:themeColor="text1"/>
                                <w:sz w:val="13"/>
                                <w:szCs w:val="13"/>
                              </w:rPr>
                            </w:pPr>
                          </w:p>
                          <w:p w14:paraId="2044BC4B" w14:textId="77777777" w:rsidR="0015007E" w:rsidRPr="00F41E9A" w:rsidRDefault="0015007E" w:rsidP="0015007E">
                            <w:pPr>
                              <w:spacing w:line="360" w:lineRule="auto"/>
                              <w:rPr>
                                <w:rStyle w:val="suggestionparagraphs"/>
                                <w:sz w:val="13"/>
                                <w:szCs w:val="13"/>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042B6D" id="Rectangle 1" o:spid="_x0000_s1026" style="position:absolute;left:0;text-align:left;margin-left:-66.55pt;margin-top:4.2pt;width:209.25pt;height:306.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" fillcolor="#00c092" stroked="f" strokeweight="1pt">
                <v:textbox>
                  <w:txbxContent>
                    <w:p w14:paraId="03741C5B" w14:textId="77777777" w:rsidR="0015007E" w:rsidRPr="00F41E9A" w:rsidRDefault="0015007E" w:rsidP="0015007E">
                      <w:pPr>
                        <w:spacing w:line="360" w:lineRule="auto"/>
                        <w:rPr>
                          <w:rFonts w:ascii="Arial" w:hAnsi="Arial" w:cs="Arial"/>
                          <w:b/>
                          <w:bCs/>
                          <w:color w:val="000000" w:themeColor="text1"/>
                          <w:sz w:val="20"/>
                          <w:szCs w:val="20"/>
                        </w:rPr>
                      </w:pPr>
                      <w:r w:rsidRPr="00F41E9A">
                        <w:rPr>
                          <w:rFonts w:ascii="Arial" w:hAnsi="Arial" w:cs="Arial"/>
                          <w:b/>
                          <w:bCs/>
                          <w:color w:val="000000" w:themeColor="text1"/>
                          <w:sz w:val="20"/>
                          <w:szCs w:val="20"/>
                        </w:rPr>
                        <w:t>Introduction</w:t>
                      </w:r>
                    </w:p>
                    <w:p w14:paraId="187072E1" w14:textId="77777777" w:rsidR="0015007E" w:rsidRPr="00F41E9A" w:rsidRDefault="0015007E" w:rsidP="0015007E">
                      <w:pPr>
                        <w:spacing w:line="360" w:lineRule="auto"/>
                        <w:rPr>
                          <w:rStyle w:val="suggestionparagraphs"/>
                          <w:rFonts w:ascii="Arial" w:hAnsi="Arial" w:cs="Arial"/>
                          <w:color w:val="000000" w:themeColor="text1"/>
                          <w:sz w:val="13"/>
                          <w:szCs w:val="13"/>
                        </w:rPr>
                      </w:pPr>
                      <w:r w:rsidRPr="00F41E9A">
                        <w:rPr>
                          <w:rStyle w:val="suggestionparagraphs"/>
                          <w:rFonts w:ascii="Arial" w:hAnsi="Arial" w:cs="Arial"/>
                          <w:color w:val="000000" w:themeColor="text1"/>
                          <w:sz w:val="13"/>
                          <w:szCs w:val="13"/>
                        </w:rPr>
                        <w:t>Post-Traumatic Stress Disorder (PTSD) is recognized in the ICD-11 (6B40) as a psychological and behavioural disorder that develops after an individual has encountered a severely threatening experience (World Health Organization, 2022).</w:t>
                      </w:r>
                    </w:p>
                    <w:p w14:paraId="4431C384" w14:textId="77777777" w:rsidR="00910ADF" w:rsidRPr="00910ADF" w:rsidRDefault="0015007E" w:rsidP="00910ADF">
                      <w:pPr>
                        <w:spacing w:line="360" w:lineRule="auto"/>
                        <w:rPr>
                          <w:rFonts w:ascii="Arial" w:hAnsi="Arial" w:cs="Arial"/>
                          <w:color w:val="000000" w:themeColor="text1"/>
                          <w:sz w:val="13"/>
                          <w:szCs w:val="13"/>
                        </w:rPr>
                      </w:pPr>
                      <w:r w:rsidRPr="00F41E9A">
                        <w:rPr>
                          <w:rStyle w:val="suggestionparagraphs"/>
                          <w:rFonts w:ascii="Arial" w:hAnsi="Arial" w:cs="Arial"/>
                          <w:color w:val="000000" w:themeColor="text1"/>
                          <w:sz w:val="13"/>
                          <w:szCs w:val="13"/>
                        </w:rPr>
                        <w:t>Manifestations of this condition can involve distressing recollections, evasion behaviours, a sense of ongoing danger, alongside difficulties like nightmares and emotional detachment that hinder everyday activities (Cloister et al., 2020). Affecting approximately 4% of the global population, PTSD is particularly prevalent among individuals exposed to combat or violence, with a higher incidence noted in women (World Health Organization, 2023). Originally known as “shell shock,” PTSD was officially acknowledged in 1980 (Jones and Westley, 2005).</w:t>
                      </w:r>
                      <w:r w:rsidRPr="00F41E9A">
                        <w:rPr>
                          <w:rStyle w:val="suggestionparagraphs"/>
                          <w:rFonts w:ascii="Arial" w:hAnsi="Arial" w:cs="Arial"/>
                          <w:sz w:val="13"/>
                          <w:szCs w:val="13"/>
                        </w:rPr>
                        <w:br/>
                      </w:r>
                      <w:r w:rsidR="00910ADF" w:rsidRPr="00910ADF">
                        <w:rPr>
                          <w:rFonts w:ascii="Arial" w:hAnsi="Arial" w:cs="Arial"/>
                          <w:color w:val="000000" w:themeColor="text1"/>
                          <w:sz w:val="13"/>
                          <w:szCs w:val="13"/>
                        </w:rPr>
                        <w:t xml:space="preserve">From early misconceptions to current clinical recognition, this poster provides a comprehensive analysis of the development, categorisation, and therapeutic approaches for PTSD. It looks into how sociological, cultural, and political elements—such as stigma and inequality—affect the understanding and delivery of care. The goal is to demonstrate how changes in culture and scientific discoveries have influenced PTSD treatment throughout history. </w:t>
                      </w:r>
                    </w:p>
                    <w:p w14:paraId="2CF3CE79" w14:textId="44266FCD" w:rsidR="0015007E" w:rsidRPr="00F41E9A" w:rsidRDefault="0015007E" w:rsidP="0015007E">
                      <w:pPr>
                        <w:spacing w:line="360" w:lineRule="auto"/>
                        <w:rPr>
                          <w:rStyle w:val="suggestionparagraphs"/>
                          <w:rFonts w:ascii="Arial" w:hAnsi="Arial" w:cs="Arial"/>
                          <w:color w:val="000000" w:themeColor="text1"/>
                          <w:sz w:val="13"/>
                          <w:szCs w:val="13"/>
                        </w:rPr>
                      </w:pPr>
                    </w:p>
                    <w:p w14:paraId="2044BC4B" w14:textId="77777777" w:rsidR="0015007E" w:rsidRPr="00F41E9A" w:rsidRDefault="0015007E" w:rsidP="0015007E">
                      <w:pPr>
                        <w:spacing w:line="360" w:lineRule="auto"/>
                        <w:rPr>
                          <w:rStyle w:val="suggestionparagraphs"/>
                          <w:sz w:val="13"/>
                          <w:szCs w:val="13"/>
                        </w:rPr>
                      </w:pPr>
                    </w:p>
                  </w:txbxContent>
                </v:textbox>
              </v:rect>
            </w:pict>
          </mc:Fallback>
        </mc:AlternateContent>
      </w:r>
      <w:r w:rsidR="007E63F9" w:rsidRPr="00A25353">
        <w:rPr>
          <w:noProof/>
          <w:color w:val="000000" w:themeColor="text1"/>
        </w:rPr>
        <w:drawing>
          <wp:anchor distT="0" distB="0" distL="114300" distR="114300" simplePos="0" relativeHeight="251665408" behindDoc="0" locked="0" layoutInCell="1" allowOverlap="1" wp14:anchorId="32B66AA0" wp14:editId="6E846766">
            <wp:simplePos x="0" y="0"/>
            <wp:positionH relativeFrom="column">
              <wp:posOffset>4676775</wp:posOffset>
            </wp:positionH>
            <wp:positionV relativeFrom="paragraph">
              <wp:posOffset>12065</wp:posOffset>
            </wp:positionV>
            <wp:extent cx="2243138" cy="1495425"/>
            <wp:effectExtent l="19050" t="19050" r="24130" b="952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6" cstate="print">
                      <a:extLst>
                        <a:ext uri="{28A0092B-C50C-407E-A947-70E740481C1C}">
                          <a14:useLocalDpi xmlns:a14="http://schemas.microsoft.com/office/drawing/2010/main" val="0"/>
                        </a:ext>
                      </a:extLst>
                    </a:blip>
                    <a:stretch>
                      <a:fillRect/>
                    </a:stretch>
                  </pic:blipFill>
                  <pic:spPr>
                    <a:xfrm>
                      <a:off x="0" y="0"/>
                      <a:ext cx="2243138" cy="1495425"/>
                    </a:xfrm>
                    <a:prstGeom prst="rect">
                      <a:avLst/>
                    </a:prstGeom>
                    <a:ln>
                      <a:solidFill>
                        <a:schemeClr val="tx1">
                          <a:lumMod val="95000"/>
                          <a:lumOff val="5000"/>
                        </a:schemeClr>
                      </a:solidFill>
                    </a:ln>
                  </pic:spPr>
                </pic:pic>
              </a:graphicData>
            </a:graphic>
            <wp14:sizeRelH relativeFrom="margin">
              <wp14:pctWidth>0</wp14:pctWidth>
            </wp14:sizeRelH>
            <wp14:sizeRelV relativeFrom="margin">
              <wp14:pctHeight>0</wp14:pctHeight>
            </wp14:sizeRelV>
          </wp:anchor>
        </w:drawing>
      </w:r>
      <w:r w:rsidR="007E63F9">
        <w:rPr>
          <w:rFonts w:ascii="Arial" w:hAnsi="Arial" w:cs="Arial"/>
          <w:b/>
          <w:bCs/>
          <w:noProof/>
          <w:sz w:val="20"/>
          <w:szCs w:val="20"/>
        </w:rPr>
        <mc:AlternateContent>
          <mc:Choice Requires="wps">
            <w:drawing>
              <wp:anchor distT="0" distB="0" distL="114300" distR="114300" simplePos="0" relativeHeight="251667456" behindDoc="1" locked="0" layoutInCell="1" allowOverlap="1" wp14:anchorId="3A06D881" wp14:editId="5026CDC4">
                <wp:simplePos x="0" y="0"/>
                <wp:positionH relativeFrom="column">
                  <wp:posOffset>7077075</wp:posOffset>
                </wp:positionH>
                <wp:positionV relativeFrom="page">
                  <wp:posOffset>1466850</wp:posOffset>
                </wp:positionV>
                <wp:extent cx="2447925" cy="2552700"/>
                <wp:effectExtent l="38100" t="57150" r="47625" b="38100"/>
                <wp:wrapNone/>
                <wp:docPr id="23" name="Rectangle 23"/>
                <wp:cNvGraphicFramePr/>
                <a:graphic xmlns:a="http://schemas.openxmlformats.org/drawingml/2006/main">
                  <a:graphicData uri="http://schemas.microsoft.com/office/word/2010/wordprocessingShape">
                    <wps:wsp>
                      <wps:cNvSpPr/>
                      <wps:spPr>
                        <a:xfrm>
                          <a:off x="0" y="0"/>
                          <a:ext cx="2447925" cy="2552700"/>
                        </a:xfrm>
                        <a:prstGeom prst="rect">
                          <a:avLst/>
                        </a:prstGeom>
                        <a:solidFill>
                          <a:srgbClr val="92D050"/>
                        </a:solidFill>
                        <a:ln>
                          <a:noFill/>
                        </a:ln>
                        <a:effectLst/>
                        <a:scene3d>
                          <a:camera prst="orthographicFront">
                            <a:rot lat="0" lon="0" rev="0"/>
                          </a:camera>
                          <a:lightRig rig="chilly" dir="t">
                            <a:rot lat="0" lon="0" rev="18480000"/>
                          </a:lightRig>
                        </a:scene3d>
                        <a:sp3d prstMaterial="clear">
                          <a:bevelT h="63500"/>
                        </a:sp3d>
                      </wps:spPr>
                      <wps:style>
                        <a:lnRef idx="2">
                          <a:schemeClr val="accent1">
                            <a:shade val="50000"/>
                          </a:schemeClr>
                        </a:lnRef>
                        <a:fillRef idx="1">
                          <a:schemeClr val="accent1"/>
                        </a:fillRef>
                        <a:effectRef idx="0">
                          <a:schemeClr val="accent1"/>
                        </a:effectRef>
                        <a:fontRef idx="minor">
                          <a:schemeClr val="lt1"/>
                        </a:fontRef>
                      </wps:style>
                      <wps:txbx>
                        <w:txbxContent>
                          <w:p w14:paraId="2581F70D" w14:textId="77777777" w:rsidR="004517A5" w:rsidRDefault="007E63F9" w:rsidP="001405E4">
                            <w:pPr>
                              <w:spacing w:line="360" w:lineRule="auto"/>
                              <w:rPr>
                                <w:rFonts w:ascii="Arial" w:hAnsi="Arial" w:cs="Arial"/>
                                <w:color w:val="000000" w:themeColor="text1"/>
                                <w:sz w:val="13"/>
                                <w:szCs w:val="13"/>
                              </w:rPr>
                            </w:pPr>
                            <w:r w:rsidRPr="007E63F9">
                              <w:rPr>
                                <w:rStyle w:val="suggestionparagraphs"/>
                                <w:rFonts w:ascii="Arial" w:hAnsi="Arial" w:cs="Arial"/>
                                <w:b/>
                                <w:bCs/>
                                <w:color w:val="000000" w:themeColor="text1"/>
                                <w:sz w:val="16"/>
                                <w:szCs w:val="16"/>
                              </w:rPr>
                              <w:t>Current Diagnosti</w:t>
                            </w:r>
                            <w:r w:rsidR="004517A5">
                              <w:rPr>
                                <w:rStyle w:val="suggestionparagraphs"/>
                                <w:rFonts w:ascii="Arial" w:hAnsi="Arial" w:cs="Arial"/>
                                <w:b/>
                                <w:bCs/>
                                <w:color w:val="000000" w:themeColor="text1"/>
                                <w:sz w:val="16"/>
                                <w:szCs w:val="16"/>
                              </w:rPr>
                              <w:t>c</w:t>
                            </w:r>
                            <w:r w:rsidRPr="007E63F9">
                              <w:rPr>
                                <w:rStyle w:val="suggestionparagraphs"/>
                                <w:rFonts w:ascii="Arial" w:hAnsi="Arial" w:cs="Arial"/>
                                <w:b/>
                                <w:bCs/>
                                <w:color w:val="000000" w:themeColor="text1"/>
                                <w:sz w:val="16"/>
                                <w:szCs w:val="16"/>
                              </w:rPr>
                              <w:t xml:space="preserve"> and Evolving Cli</w:t>
                            </w:r>
                            <w:r w:rsidR="001405E4">
                              <w:rPr>
                                <w:rStyle w:val="suggestionparagraphs"/>
                                <w:rFonts w:ascii="Arial" w:hAnsi="Arial" w:cs="Arial"/>
                                <w:b/>
                                <w:bCs/>
                                <w:color w:val="000000" w:themeColor="text1"/>
                                <w:sz w:val="16"/>
                                <w:szCs w:val="16"/>
                              </w:rPr>
                              <w:t>nica</w:t>
                            </w:r>
                            <w:r w:rsidR="004517A5">
                              <w:rPr>
                                <w:rStyle w:val="suggestionparagraphs"/>
                                <w:rFonts w:ascii="Arial" w:hAnsi="Arial" w:cs="Arial"/>
                                <w:b/>
                                <w:bCs/>
                                <w:color w:val="000000" w:themeColor="text1"/>
                                <w:sz w:val="16"/>
                                <w:szCs w:val="16"/>
                              </w:rPr>
                              <w:t>l</w:t>
                            </w:r>
                            <w:r w:rsidRPr="007E63F9">
                              <w:rPr>
                                <w:rStyle w:val="suggestionparagraphs"/>
                                <w:rFonts w:ascii="Arial" w:hAnsi="Arial" w:cs="Arial"/>
                                <w:b/>
                                <w:bCs/>
                                <w:color w:val="000000" w:themeColor="text1"/>
                                <w:sz w:val="16"/>
                                <w:szCs w:val="16"/>
                              </w:rPr>
                              <w:t xml:space="preserve"> Perspectives</w:t>
                            </w:r>
                          </w:p>
                          <w:p w14:paraId="5D0240B2" w14:textId="31B91C5D" w:rsidR="001405E4" w:rsidRPr="001405E4" w:rsidRDefault="001405E4" w:rsidP="001405E4">
                            <w:pPr>
                              <w:spacing w:line="360" w:lineRule="auto"/>
                              <w:rPr>
                                <w:rFonts w:ascii="Arial" w:hAnsi="Arial" w:cs="Arial"/>
                                <w:color w:val="000000" w:themeColor="text1"/>
                                <w:sz w:val="13"/>
                                <w:szCs w:val="13"/>
                              </w:rPr>
                            </w:pPr>
                            <w:r>
                              <w:rPr>
                                <w:rStyle w:val="suggestionparagraphs"/>
                                <w:rFonts w:ascii="Arial" w:hAnsi="Arial" w:cs="Arial"/>
                                <w:color w:val="000000" w:themeColor="text1"/>
                                <w:sz w:val="13"/>
                                <w:szCs w:val="13"/>
                              </w:rPr>
                              <w:t xml:space="preserve"> </w:t>
                            </w:r>
                            <w:r w:rsidRPr="001405E4">
                              <w:rPr>
                                <w:rFonts w:ascii="Arial" w:hAnsi="Arial" w:cs="Arial"/>
                                <w:color w:val="000000" w:themeColor="text1"/>
                                <w:sz w:val="13"/>
                                <w:szCs w:val="13"/>
                              </w:rPr>
                              <w:t xml:space="preserve">According to the ICD-11, PTSD is a mental health disorder that develops after experiencing or witnessing an extremely dangerous event (World Health Organization, 2022). It includes persistent feelings of fear or hypervigilance, intrusive thoughts, and evasive behaviours (Cloister et al., 2020). Complex PTSD, which is linked to prolonged trauma and extra emotional and interpersonal difficulties, is also recognised by the ICD-11 (Cloister et al., 2020). </w:t>
                            </w:r>
                            <w:r w:rsidRPr="001405E4">
                              <w:rPr>
                                <w:rFonts w:ascii="Arial" w:hAnsi="Arial" w:cs="Arial"/>
                                <w:color w:val="000000" w:themeColor="text1"/>
                                <w:sz w:val="13"/>
                                <w:szCs w:val="13"/>
                              </w:rPr>
                              <w:br/>
                              <w:t>Modern diagnostic practices provide timely treatments and inclusive, recovery-oriented care (First et al., 2021), reflecting a biopsychosocial and culturally sensitive methodology (NICE, 2018; Bhangra and Bhai, 2018).</w:t>
                            </w:r>
                          </w:p>
                          <w:p w14:paraId="5E21DD24" w14:textId="3A78CC59" w:rsidR="007E63F9" w:rsidRPr="007E63F9" w:rsidRDefault="007E63F9" w:rsidP="007E63F9">
                            <w:pPr>
                              <w:spacing w:line="360" w:lineRule="auto"/>
                              <w:rPr>
                                <w:rStyle w:val="suggestionparagraphs"/>
                                <w:rFonts w:ascii="Arial" w:hAnsi="Arial" w:cs="Arial"/>
                                <w:color w:val="000000" w:themeColor="text1"/>
                                <w:sz w:val="13"/>
                                <w:szCs w:val="13"/>
                              </w:rPr>
                            </w:pPr>
                            <w:r w:rsidRPr="007E63F9">
                              <w:rPr>
                                <w:rStyle w:val="suggestionparagraphs"/>
                                <w:rFonts w:ascii="Arial" w:hAnsi="Arial" w:cs="Arial"/>
                                <w:color w:val="000000" w:themeColor="text1"/>
                                <w:sz w:val="13"/>
                                <w:szCs w:val="13"/>
                              </w:rPr>
                              <w:t xml:space="preserve"> </w:t>
                            </w:r>
                          </w:p>
                          <w:p w14:paraId="27BCBE2A" w14:textId="7A5CB852" w:rsidR="007E63F9" w:rsidRPr="007E63F9" w:rsidRDefault="007E63F9" w:rsidP="00D462FA">
                            <w:pPr>
                              <w:spacing w:line="360" w:lineRule="auto"/>
                              <w:rPr>
                                <w:rFonts w:ascii="Arial" w:hAnsi="Arial" w:cs="Arial"/>
                                <w:sz w:val="13"/>
                                <w:szCs w:val="13"/>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06D881" id="Rectangle 23" o:spid="_x0000_s1027" style="position:absolute;left:0;text-align:left;margin-left:557.25pt;margin-top:115.5pt;width:192.75pt;height:201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" fillcolor="#92d050" stroked="f" strokeweight="1pt">
                <v:textbox>
                  <w:txbxContent>
                    <w:p w14:paraId="2581F70D" w14:textId="77777777" w:rsidR="004517A5" w:rsidRDefault="007E63F9" w:rsidP="001405E4">
                      <w:pPr>
                        <w:spacing w:line="360" w:lineRule="auto"/>
                        <w:rPr>
                          <w:rFonts w:ascii="Arial" w:hAnsi="Arial" w:cs="Arial"/>
                          <w:color w:val="000000" w:themeColor="text1"/>
                          <w:sz w:val="13"/>
                          <w:szCs w:val="13"/>
                        </w:rPr>
                      </w:pPr>
                      <w:r w:rsidRPr="007E63F9">
                        <w:rPr>
                          <w:rStyle w:val="suggestionparagraphs"/>
                          <w:rFonts w:ascii="Arial" w:hAnsi="Arial" w:cs="Arial"/>
                          <w:b/>
                          <w:bCs/>
                          <w:color w:val="000000" w:themeColor="text1"/>
                          <w:sz w:val="16"/>
                          <w:szCs w:val="16"/>
                        </w:rPr>
                        <w:t>Current Diagnosti</w:t>
                      </w:r>
                      <w:r w:rsidR="004517A5">
                        <w:rPr>
                          <w:rStyle w:val="suggestionparagraphs"/>
                          <w:rFonts w:ascii="Arial" w:hAnsi="Arial" w:cs="Arial"/>
                          <w:b/>
                          <w:bCs/>
                          <w:color w:val="000000" w:themeColor="text1"/>
                          <w:sz w:val="16"/>
                          <w:szCs w:val="16"/>
                        </w:rPr>
                        <w:t>c</w:t>
                      </w:r>
                      <w:r w:rsidRPr="007E63F9">
                        <w:rPr>
                          <w:rStyle w:val="suggestionparagraphs"/>
                          <w:rFonts w:ascii="Arial" w:hAnsi="Arial" w:cs="Arial"/>
                          <w:b/>
                          <w:bCs/>
                          <w:color w:val="000000" w:themeColor="text1"/>
                          <w:sz w:val="16"/>
                          <w:szCs w:val="16"/>
                        </w:rPr>
                        <w:t xml:space="preserve"> and Evolving Cli</w:t>
                      </w:r>
                      <w:r w:rsidR="001405E4">
                        <w:rPr>
                          <w:rStyle w:val="suggestionparagraphs"/>
                          <w:rFonts w:ascii="Arial" w:hAnsi="Arial" w:cs="Arial"/>
                          <w:b/>
                          <w:bCs/>
                          <w:color w:val="000000" w:themeColor="text1"/>
                          <w:sz w:val="16"/>
                          <w:szCs w:val="16"/>
                        </w:rPr>
                        <w:t>nica</w:t>
                      </w:r>
                      <w:r w:rsidR="004517A5">
                        <w:rPr>
                          <w:rStyle w:val="suggestionparagraphs"/>
                          <w:rFonts w:ascii="Arial" w:hAnsi="Arial" w:cs="Arial"/>
                          <w:b/>
                          <w:bCs/>
                          <w:color w:val="000000" w:themeColor="text1"/>
                          <w:sz w:val="16"/>
                          <w:szCs w:val="16"/>
                        </w:rPr>
                        <w:t>l</w:t>
                      </w:r>
                      <w:r w:rsidRPr="007E63F9">
                        <w:rPr>
                          <w:rStyle w:val="suggestionparagraphs"/>
                          <w:rFonts w:ascii="Arial" w:hAnsi="Arial" w:cs="Arial"/>
                          <w:b/>
                          <w:bCs/>
                          <w:color w:val="000000" w:themeColor="text1"/>
                          <w:sz w:val="16"/>
                          <w:szCs w:val="16"/>
                        </w:rPr>
                        <w:t xml:space="preserve"> Perspectives</w:t>
                      </w:r>
                    </w:p>
                    <w:p w14:paraId="5D0240B2" w14:textId="31B91C5D" w:rsidR="001405E4" w:rsidRPr="001405E4" w:rsidRDefault="001405E4" w:rsidP="001405E4">
                      <w:pPr>
                        <w:spacing w:line="360" w:lineRule="auto"/>
                        <w:rPr>
                          <w:rFonts w:ascii="Arial" w:hAnsi="Arial" w:cs="Arial"/>
                          <w:color w:val="000000" w:themeColor="text1"/>
                          <w:sz w:val="13"/>
                          <w:szCs w:val="13"/>
                        </w:rPr>
                      </w:pPr>
                      <w:r>
                        <w:rPr>
                          <w:rStyle w:val="suggestionparagraphs"/>
                          <w:rFonts w:ascii="Arial" w:hAnsi="Arial" w:cs="Arial"/>
                          <w:color w:val="000000" w:themeColor="text1"/>
                          <w:sz w:val="13"/>
                          <w:szCs w:val="13"/>
                        </w:rPr>
                        <w:t xml:space="preserve"> </w:t>
                      </w:r>
                      <w:r w:rsidRPr="001405E4">
                        <w:rPr>
                          <w:rFonts w:ascii="Arial" w:hAnsi="Arial" w:cs="Arial"/>
                          <w:color w:val="000000" w:themeColor="text1"/>
                          <w:sz w:val="13"/>
                          <w:szCs w:val="13"/>
                        </w:rPr>
                        <w:t xml:space="preserve">According to the ICD-11, PTSD is a mental health disorder that develops after experiencing or witnessing an extremely dangerous event (World Health Organization, 2022). It includes persistent feelings of fear or hypervigilance, intrusive thoughts, and evasive behaviours (Cloister et al., 2020). Complex PTSD, which is linked to prolonged trauma and extra emotional and interpersonal difficulties, is also recognised by the ICD-11 (Cloister et al., 2020). </w:t>
                      </w:r>
                      <w:r w:rsidRPr="001405E4">
                        <w:rPr>
                          <w:rFonts w:ascii="Arial" w:hAnsi="Arial" w:cs="Arial"/>
                          <w:color w:val="000000" w:themeColor="text1"/>
                          <w:sz w:val="13"/>
                          <w:szCs w:val="13"/>
                        </w:rPr>
                        <w:br/>
                        <w:t>Modern diagnostic practices provide timely treatments and inclusive, recovery-oriented care (First et al., 2021), reflecting a biopsychosocial and culturally sensitive methodology (NICE, 2018; Bhangra and Bhai, 2018).</w:t>
                      </w:r>
                    </w:p>
                    <w:p w14:paraId="5E21DD24" w14:textId="3A78CC59" w:rsidR="007E63F9" w:rsidRPr="007E63F9" w:rsidRDefault="007E63F9" w:rsidP="007E63F9">
                      <w:pPr>
                        <w:spacing w:line="360" w:lineRule="auto"/>
                        <w:rPr>
                          <w:rStyle w:val="suggestionparagraphs"/>
                          <w:rFonts w:ascii="Arial" w:hAnsi="Arial" w:cs="Arial"/>
                          <w:color w:val="000000" w:themeColor="text1"/>
                          <w:sz w:val="13"/>
                          <w:szCs w:val="13"/>
                        </w:rPr>
                      </w:pPr>
                      <w:r w:rsidRPr="007E63F9">
                        <w:rPr>
                          <w:rStyle w:val="suggestionparagraphs"/>
                          <w:rFonts w:ascii="Arial" w:hAnsi="Arial" w:cs="Arial"/>
                          <w:color w:val="000000" w:themeColor="text1"/>
                          <w:sz w:val="13"/>
                          <w:szCs w:val="13"/>
                        </w:rPr>
                        <w:t xml:space="preserve"> </w:t>
                      </w:r>
                    </w:p>
                    <w:p w14:paraId="27BCBE2A" w14:textId="7A5CB852" w:rsidR="007E63F9" w:rsidRPr="007E63F9" w:rsidRDefault="007E63F9" w:rsidP="00D462FA">
                      <w:pPr>
                        <w:spacing w:line="360" w:lineRule="auto"/>
                        <w:rPr>
                          <w:rFonts w:ascii="Arial" w:hAnsi="Arial" w:cs="Arial"/>
                          <w:sz w:val="13"/>
                          <w:szCs w:val="13"/>
                        </w:rPr>
                      </w:pPr>
                    </w:p>
                  </w:txbxContent>
                </v:textbox>
                <w10:wrap anchory="page"/>
              </v:rect>
            </w:pict>
          </mc:Fallback>
        </mc:AlternateContent>
      </w:r>
      <w:r w:rsidR="00F41E9A" w:rsidRPr="008E6056">
        <w:rPr>
          <w:rFonts w:ascii="Arial" w:hAnsi="Arial" w:cs="Arial"/>
          <w:b/>
          <w:bCs/>
          <w:noProof/>
          <w:color w:val="000000" w:themeColor="text1"/>
          <w:sz w:val="16"/>
          <w:szCs w:val="16"/>
        </w:rPr>
        <w:drawing>
          <wp:anchor distT="0" distB="0" distL="114300" distR="114300" simplePos="0" relativeHeight="251664384" behindDoc="0" locked="0" layoutInCell="1" allowOverlap="1" wp14:anchorId="4FEE0AA0" wp14:editId="5575EA6D">
            <wp:simplePos x="0" y="0"/>
            <wp:positionH relativeFrom="column">
              <wp:posOffset>1885950</wp:posOffset>
            </wp:positionH>
            <wp:positionV relativeFrom="paragraph">
              <wp:posOffset>12700</wp:posOffset>
            </wp:positionV>
            <wp:extent cx="2639040" cy="1257300"/>
            <wp:effectExtent l="19050" t="19050" r="28575" b="1905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7" cstate="print">
                      <a:extLst>
                        <a:ext uri="{28A0092B-C50C-407E-A947-70E740481C1C}">
                          <a14:useLocalDpi xmlns:a14="http://schemas.microsoft.com/office/drawing/2010/main" val="0"/>
                        </a:ext>
                      </a:extLst>
                    </a:blip>
                    <a:srcRect t="10990" b="17575"/>
                    <a:stretch/>
                  </pic:blipFill>
                  <pic:spPr bwMode="auto">
                    <a:xfrm>
                      <a:off x="0" y="0"/>
                      <a:ext cx="2647034" cy="1261108"/>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CA7E7D" w14:textId="29AD59CA" w:rsidR="006F4A77" w:rsidRPr="00D462FA" w:rsidRDefault="00F41E9A" w:rsidP="00F41E9A">
      <w:pPr>
        <w:tabs>
          <w:tab w:val="left" w:pos="9405"/>
        </w:tabs>
        <w:spacing w:line="360" w:lineRule="auto"/>
        <w:rPr>
          <w:rFonts w:ascii="Arial" w:hAnsi="Arial" w:cs="Arial"/>
          <w:b/>
          <w:bCs/>
          <w:sz w:val="24"/>
          <w:szCs w:val="24"/>
        </w:rPr>
      </w:pPr>
      <w:r>
        <w:rPr>
          <w:rFonts w:ascii="Arial" w:hAnsi="Arial" w:cs="Arial"/>
          <w:b/>
          <w:bCs/>
          <w:sz w:val="24"/>
          <w:szCs w:val="24"/>
        </w:rPr>
        <w:tab/>
      </w:r>
    </w:p>
    <w:p w14:paraId="40535254" w14:textId="705583E5" w:rsidR="00D462FA" w:rsidRPr="00D462FA" w:rsidRDefault="00D462FA" w:rsidP="00D462FA">
      <w:pPr>
        <w:rPr>
          <w:lang w:eastAsia="en-GB"/>
        </w:rPr>
      </w:pPr>
    </w:p>
    <w:p w14:paraId="6BBCD470" w14:textId="3F6B8862" w:rsidR="00D462FA" w:rsidRPr="00D462FA" w:rsidRDefault="00D462FA" w:rsidP="00D462FA">
      <w:pPr>
        <w:rPr>
          <w:lang w:eastAsia="en-GB"/>
        </w:rPr>
      </w:pPr>
    </w:p>
    <w:p w14:paraId="08DF41F6" w14:textId="77A7E365" w:rsidR="00D462FA" w:rsidRPr="00D462FA" w:rsidRDefault="00F41E9A" w:rsidP="00D462FA">
      <w:pPr>
        <w:rPr>
          <w:lang w:eastAsia="en-GB"/>
        </w:rPr>
      </w:pPr>
      <w:r>
        <w:rPr>
          <w:rFonts w:ascii="Arial" w:hAnsi="Arial" w:cs="Arial"/>
          <w:b/>
          <w:bCs/>
          <w:noProof/>
          <w:sz w:val="20"/>
          <w:szCs w:val="20"/>
        </w:rPr>
        <mc:AlternateContent>
          <mc:Choice Requires="wps">
            <w:drawing>
              <wp:anchor distT="0" distB="0" distL="114300" distR="114300" simplePos="0" relativeHeight="251661312" behindDoc="0" locked="0" layoutInCell="1" allowOverlap="1" wp14:anchorId="6CDE35C7" wp14:editId="71D8A6C8">
                <wp:simplePos x="0" y="0"/>
                <wp:positionH relativeFrom="margin">
                  <wp:posOffset>1876425</wp:posOffset>
                </wp:positionH>
                <wp:positionV relativeFrom="paragraph">
                  <wp:posOffset>152400</wp:posOffset>
                </wp:positionV>
                <wp:extent cx="2657475" cy="3924300"/>
                <wp:effectExtent l="38100" t="38100" r="47625" b="38100"/>
                <wp:wrapNone/>
                <wp:docPr id="2" name="Rectangle 2"/>
                <wp:cNvGraphicFramePr/>
                <a:graphic xmlns:a="http://schemas.openxmlformats.org/drawingml/2006/main">
                  <a:graphicData uri="http://schemas.microsoft.com/office/word/2010/wordprocessingShape">
                    <wps:wsp>
                      <wps:cNvSpPr/>
                      <wps:spPr>
                        <a:xfrm>
                          <a:off x="0" y="0"/>
                          <a:ext cx="2657475" cy="3924300"/>
                        </a:xfrm>
                        <a:prstGeom prst="rect">
                          <a:avLst/>
                        </a:prstGeom>
                        <a:solidFill>
                          <a:srgbClr val="FFC000"/>
                        </a:solidFill>
                        <a:ln>
                          <a:noFill/>
                        </a:ln>
                        <a:effectLst/>
                        <a:scene3d>
                          <a:camera prst="orthographicFront">
                            <a:rot lat="0" lon="0" rev="0"/>
                          </a:camera>
                          <a:lightRig rig="chilly" dir="t">
                            <a:rot lat="0" lon="0" rev="18480000"/>
                          </a:lightRig>
                        </a:scene3d>
                        <a:sp3d prstMaterial="clear">
                          <a:bevelT h="63500"/>
                        </a:sp3d>
                      </wps:spPr>
                      <wps:style>
                        <a:lnRef idx="2">
                          <a:schemeClr val="accent1">
                            <a:shade val="50000"/>
                          </a:schemeClr>
                        </a:lnRef>
                        <a:fillRef idx="1">
                          <a:schemeClr val="accent1"/>
                        </a:fillRef>
                        <a:effectRef idx="0">
                          <a:schemeClr val="accent1"/>
                        </a:effectRef>
                        <a:fontRef idx="minor">
                          <a:schemeClr val="lt1"/>
                        </a:fontRef>
                      </wps:style>
                      <wps:txbx>
                        <w:txbxContent>
                          <w:p w14:paraId="06AB51F5" w14:textId="77777777" w:rsidR="00A54F5E" w:rsidRPr="00A54F5E" w:rsidRDefault="008E6056" w:rsidP="00A54F5E">
                            <w:pPr>
                              <w:spacing w:line="360" w:lineRule="auto"/>
                              <w:rPr>
                                <w:rFonts w:ascii="Arial" w:hAnsi="Arial" w:cs="Arial"/>
                                <w:color w:val="000000" w:themeColor="text1"/>
                                <w:sz w:val="13"/>
                                <w:szCs w:val="13"/>
                              </w:rPr>
                            </w:pPr>
                            <w:r w:rsidRPr="00D462FA">
                              <w:rPr>
                                <w:b/>
                                <w:bCs/>
                                <w:color w:val="000000" w:themeColor="text1"/>
                                <w:sz w:val="18"/>
                                <w:szCs w:val="18"/>
                              </w:rPr>
                              <w:t>Historical Development and Early Understanding of PTSD</w:t>
                            </w:r>
                            <w:r w:rsidRPr="00D462FA">
                              <w:rPr>
                                <w:rFonts w:ascii="Arial" w:hAnsi="Arial" w:cs="Arial"/>
                                <w:color w:val="000000" w:themeColor="text1"/>
                                <w:sz w:val="13"/>
                                <w:szCs w:val="13"/>
                              </w:rPr>
                              <w:br/>
                            </w:r>
                            <w:r w:rsidR="00A54F5E" w:rsidRPr="00A54F5E">
                              <w:rPr>
                                <w:rFonts w:ascii="Arial" w:hAnsi="Arial" w:cs="Arial"/>
                                <w:color w:val="000000" w:themeColor="text1"/>
                                <w:sz w:val="13"/>
                                <w:szCs w:val="13"/>
                              </w:rPr>
                              <w:t xml:space="preserve">Over the past century, there has been a steady advancement in our understanding of trauma-related diseases. One of the first medical descriptions of psychological trauma dates back to the 1800s, when people who had been in railway accidents were said to have "railway spine" (Young, 1995). Soldiers experiencing anxiety, exhaustion, and tremors during World War I were classified as having "shell shock," but many of them were viewed as weak rather than as traumatised persons (Jones and Westley, 2005). </w:t>
                            </w:r>
                            <w:r w:rsidR="00A54F5E" w:rsidRPr="00A54F5E">
                              <w:rPr>
                                <w:rFonts w:ascii="Arial" w:hAnsi="Arial" w:cs="Arial"/>
                                <w:color w:val="000000" w:themeColor="text1"/>
                                <w:sz w:val="13"/>
                                <w:szCs w:val="13"/>
                              </w:rPr>
                              <w:br/>
                              <w:t xml:space="preserve">By World War II, the term "combat fatigue" signified a greater understanding of the psychological strains of fighting, which resulted in the introduction of early psychological support and relaxation (Brewin, 2018). Demands for official recognition were heightened by the experiences described by Vietnam veterans, such as emotional disengagement and disturbing memories (Summerfield, 2011). The DSM-III officially classified PTSD (American Psychiatric Association, 1980). Over time, sedation and institutional confinement gave way to more structured therapy including exposure techniques (Yehuda and McFarlane, 1995), demonstrating a more compassionate, evidence-based understanding of trauma. </w:t>
                            </w:r>
                          </w:p>
                          <w:p w14:paraId="73E73F4C" w14:textId="7573E7D0" w:rsidR="008E6056" w:rsidRPr="00F41E9A" w:rsidRDefault="008E6056" w:rsidP="008E6056">
                            <w:pPr>
                              <w:spacing w:line="360" w:lineRule="auto"/>
                              <w:rPr>
                                <w:rStyle w:val="suggestionparagraphs"/>
                                <w:rFonts w:ascii="Arial" w:hAnsi="Arial" w:cs="Arial"/>
                                <w:color w:val="000000" w:themeColor="text1"/>
                                <w:sz w:val="13"/>
                                <w:szCs w:val="13"/>
                              </w:rPr>
                            </w:pPr>
                          </w:p>
                          <w:p w14:paraId="286E4ACB" w14:textId="01CFC298" w:rsidR="00DC5C18" w:rsidRPr="00D462FA" w:rsidRDefault="00DC5C18" w:rsidP="008E6056">
                            <w:pPr>
                              <w:spacing w:line="360" w:lineRule="auto"/>
                              <w:rPr>
                                <w:rStyle w:val="suggestionparagraphs"/>
                                <w:rFonts w:ascii="Arial" w:hAnsi="Arial" w:cs="Arial"/>
                                <w:color w:val="000000" w:themeColor="text1"/>
                                <w:sz w:val="12"/>
                                <w:szCs w:val="1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DE35C7" id="Rectangle 2" o:spid="_x0000_s1028" style="position:absolute;margin-left:147.75pt;margin-top:12pt;width:209.25pt;height:309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" fillcolor="#ffc000" stroked="f" strokeweight="1pt">
                <v:textbox>
                  <w:txbxContent>
                    <w:p w14:paraId="06AB51F5" w14:textId="77777777" w:rsidR="00A54F5E" w:rsidRPr="00A54F5E" w:rsidRDefault="008E6056" w:rsidP="00A54F5E">
                      <w:pPr>
                        <w:spacing w:line="360" w:lineRule="auto"/>
                        <w:rPr>
                          <w:rFonts w:ascii="Arial" w:hAnsi="Arial" w:cs="Arial"/>
                          <w:color w:val="000000" w:themeColor="text1"/>
                          <w:sz w:val="13"/>
                          <w:szCs w:val="13"/>
                        </w:rPr>
                      </w:pPr>
                      <w:r w:rsidRPr="00D462FA">
                        <w:rPr>
                          <w:b/>
                          <w:bCs/>
                          <w:color w:val="000000" w:themeColor="text1"/>
                          <w:sz w:val="18"/>
                          <w:szCs w:val="18"/>
                        </w:rPr>
                        <w:t>Historical Development and Early Understanding of PTSD</w:t>
                      </w:r>
                      <w:r w:rsidRPr="00D462FA">
                        <w:rPr>
                          <w:rFonts w:ascii="Arial" w:hAnsi="Arial" w:cs="Arial"/>
                          <w:color w:val="000000" w:themeColor="text1"/>
                          <w:sz w:val="13"/>
                          <w:szCs w:val="13"/>
                        </w:rPr>
                        <w:br/>
                      </w:r>
                      <w:r w:rsidR="00A54F5E" w:rsidRPr="00A54F5E">
                        <w:rPr>
                          <w:rFonts w:ascii="Arial" w:hAnsi="Arial" w:cs="Arial"/>
                          <w:color w:val="000000" w:themeColor="text1"/>
                          <w:sz w:val="13"/>
                          <w:szCs w:val="13"/>
                        </w:rPr>
                        <w:t xml:space="preserve">Over the past century, there has been a steady advancement in our understanding of trauma-related diseases. One of the first medical descriptions of psychological trauma dates back to the 1800s, when people who had been in railway accidents were said to have "railway spine" (Young, 1995). Soldiers experiencing anxiety, exhaustion, and tremors during World War I were classified as having "shell shock," but many of them were viewed as weak rather than as traumatised persons (Jones and Westley, 2005). </w:t>
                      </w:r>
                      <w:r w:rsidR="00A54F5E" w:rsidRPr="00A54F5E">
                        <w:rPr>
                          <w:rFonts w:ascii="Arial" w:hAnsi="Arial" w:cs="Arial"/>
                          <w:color w:val="000000" w:themeColor="text1"/>
                          <w:sz w:val="13"/>
                          <w:szCs w:val="13"/>
                        </w:rPr>
                        <w:br/>
                        <w:t xml:space="preserve">By World War II, the term "combat fatigue" signified a greater understanding of the psychological strains of fighting, which resulted in the introduction of early psychological support and relaxation (Brewin, 2018). Demands for official recognition were heightened by the experiences described by Vietnam veterans, such as emotional disengagement and disturbing memories (Summerfield, 2011). The DSM-III officially classified PTSD (American Psychiatric Association, 1980). Over time, sedation and institutional confinement gave way to more structured therapy including exposure techniques (Yehuda and McFarlane, 1995), demonstrating a more compassionate, evidence-based understanding of trauma. </w:t>
                      </w:r>
                    </w:p>
                    <w:p w14:paraId="73E73F4C" w14:textId="7573E7D0" w:rsidR="008E6056" w:rsidRPr="00F41E9A" w:rsidRDefault="008E6056" w:rsidP="008E6056">
                      <w:pPr>
                        <w:spacing w:line="360" w:lineRule="auto"/>
                        <w:rPr>
                          <w:rStyle w:val="suggestionparagraphs"/>
                          <w:rFonts w:ascii="Arial" w:hAnsi="Arial" w:cs="Arial"/>
                          <w:color w:val="000000" w:themeColor="text1"/>
                          <w:sz w:val="13"/>
                          <w:szCs w:val="13"/>
                        </w:rPr>
                      </w:pPr>
                    </w:p>
                    <w:p w14:paraId="286E4ACB" w14:textId="01CFC298" w:rsidR="00DC5C18" w:rsidRPr="00D462FA" w:rsidRDefault="00DC5C18" w:rsidP="008E6056">
                      <w:pPr>
                        <w:spacing w:line="360" w:lineRule="auto"/>
                        <w:rPr>
                          <w:rStyle w:val="suggestionparagraphs"/>
                          <w:rFonts w:ascii="Arial" w:hAnsi="Arial" w:cs="Arial"/>
                          <w:color w:val="000000" w:themeColor="text1"/>
                          <w:sz w:val="12"/>
                          <w:szCs w:val="12"/>
                        </w:rPr>
                      </w:pPr>
                    </w:p>
                  </w:txbxContent>
                </v:textbox>
                <w10:wrap anchorx="margin"/>
              </v:rect>
            </w:pict>
          </mc:Fallback>
        </mc:AlternateContent>
      </w:r>
    </w:p>
    <w:p w14:paraId="70817F33" w14:textId="250FE90B" w:rsidR="00F41E9A" w:rsidRDefault="00F41E9A" w:rsidP="00F41E9A">
      <w:pPr>
        <w:rPr>
          <w:noProof/>
          <w:color w:val="000000" w:themeColor="text1"/>
        </w:rPr>
      </w:pPr>
      <w:r>
        <w:rPr>
          <w:lang w:eastAsia="en-GB"/>
        </w:rPr>
        <w:tab/>
      </w:r>
      <w:r>
        <w:rPr>
          <w:noProof/>
          <w:color w:val="000000" w:themeColor="text1"/>
        </w:rPr>
        <w:tab/>
      </w:r>
      <w:r>
        <w:rPr>
          <w:noProof/>
          <w:color w:val="000000" w:themeColor="text1"/>
        </w:rPr>
        <w:tab/>
      </w:r>
      <w:r>
        <w:rPr>
          <w:noProof/>
          <w:color w:val="000000" w:themeColor="text1"/>
        </w:rPr>
        <w:tab/>
      </w:r>
      <w:r>
        <w:rPr>
          <w:noProof/>
          <w:color w:val="000000" w:themeColor="text1"/>
        </w:rPr>
        <w:tab/>
      </w:r>
      <w:r>
        <w:rPr>
          <w:noProof/>
          <w:color w:val="000000" w:themeColor="text1"/>
        </w:rPr>
        <w:tab/>
      </w:r>
      <w:r>
        <w:rPr>
          <w:noProof/>
          <w:color w:val="000000" w:themeColor="text1"/>
        </w:rPr>
        <w:tab/>
      </w:r>
      <w:r>
        <w:rPr>
          <w:noProof/>
          <w:color w:val="000000" w:themeColor="text1"/>
        </w:rPr>
        <w:tab/>
      </w:r>
      <w:r>
        <w:rPr>
          <w:noProof/>
          <w:color w:val="000000" w:themeColor="text1"/>
        </w:rPr>
        <w:tab/>
        <w:t xml:space="preserve">  </w:t>
      </w:r>
      <w:r w:rsidR="00A6729F" w:rsidRPr="00A6729F">
        <w:rPr>
          <w:noProof/>
          <w:color w:val="000000" w:themeColor="text1"/>
        </w:rPr>
        <w:t xml:space="preserve">Post-truma stress disorder </w:t>
      </w:r>
      <w:r w:rsidRPr="00A6729F">
        <w:rPr>
          <w:noProof/>
          <w:color w:val="000000" w:themeColor="text1"/>
        </w:rPr>
        <w:t>(Canva</w:t>
      </w:r>
      <w:r w:rsidR="00A6729F" w:rsidRPr="00A6729F">
        <w:rPr>
          <w:noProof/>
          <w:color w:val="000000" w:themeColor="text1"/>
        </w:rPr>
        <w:t>,</w:t>
      </w:r>
      <w:r w:rsidRPr="00A6729F">
        <w:rPr>
          <w:noProof/>
          <w:color w:val="000000" w:themeColor="text1"/>
        </w:rPr>
        <w:t xml:space="preserve"> 2026</w:t>
      </w:r>
      <w:r w:rsidR="007E63F9" w:rsidRPr="00A6729F">
        <w:rPr>
          <w:noProof/>
          <w:color w:val="000000" w:themeColor="text1"/>
        </w:rPr>
        <w:t>)</w:t>
      </w:r>
      <w:r w:rsidR="00A6729F" w:rsidRPr="00A6729F">
        <w:rPr>
          <w:noProof/>
          <w:color w:val="000000" w:themeColor="text1"/>
        </w:rPr>
        <w:t>.</w:t>
      </w:r>
    </w:p>
    <w:p w14:paraId="23F78510" w14:textId="1DA44078" w:rsidR="00D462FA" w:rsidRPr="00D462FA" w:rsidRDefault="007E63F9" w:rsidP="00F41E9A">
      <w:pPr>
        <w:tabs>
          <w:tab w:val="left" w:pos="7515"/>
        </w:tabs>
        <w:rPr>
          <w:lang w:eastAsia="en-GB"/>
        </w:rPr>
      </w:pPr>
      <w:r>
        <w:rPr>
          <w:rFonts w:ascii="Arial" w:hAnsi="Arial" w:cs="Arial"/>
          <w:b/>
          <w:bCs/>
          <w:noProof/>
          <w:sz w:val="20"/>
          <w:szCs w:val="20"/>
        </w:rPr>
        <mc:AlternateContent>
          <mc:Choice Requires="wps">
            <w:drawing>
              <wp:anchor distT="0" distB="0" distL="114300" distR="114300" simplePos="0" relativeHeight="251663360" behindDoc="1" locked="0" layoutInCell="1" allowOverlap="1" wp14:anchorId="58FE6B1F" wp14:editId="095E4E8B">
                <wp:simplePos x="0" y="0"/>
                <wp:positionH relativeFrom="column">
                  <wp:posOffset>4581525</wp:posOffset>
                </wp:positionH>
                <wp:positionV relativeFrom="page">
                  <wp:posOffset>3248025</wp:posOffset>
                </wp:positionV>
                <wp:extent cx="2447925" cy="4114800"/>
                <wp:effectExtent l="57150" t="38100" r="47625" b="38100"/>
                <wp:wrapNone/>
                <wp:docPr id="3" name="Rectangle 3"/>
                <wp:cNvGraphicFramePr/>
                <a:graphic xmlns:a="http://schemas.openxmlformats.org/drawingml/2006/main">
                  <a:graphicData uri="http://schemas.microsoft.com/office/word/2010/wordprocessingShape">
                    <wps:wsp>
                      <wps:cNvSpPr/>
                      <wps:spPr>
                        <a:xfrm>
                          <a:off x="0" y="0"/>
                          <a:ext cx="2447925" cy="4114800"/>
                        </a:xfrm>
                        <a:prstGeom prst="rect">
                          <a:avLst/>
                        </a:prstGeom>
                        <a:solidFill>
                          <a:srgbClr val="002060"/>
                        </a:solidFill>
                        <a:ln>
                          <a:noFill/>
                        </a:ln>
                        <a:effectLst/>
                        <a:scene3d>
                          <a:camera prst="orthographicFront">
                            <a:rot lat="0" lon="0" rev="0"/>
                          </a:camera>
                          <a:lightRig rig="chilly" dir="t">
                            <a:rot lat="0" lon="0" rev="18480000"/>
                          </a:lightRig>
                        </a:scene3d>
                        <a:sp3d prstMaterial="clear">
                          <a:bevelT h="63500"/>
                        </a:sp3d>
                      </wps:spPr>
                      <wps:style>
                        <a:lnRef idx="2">
                          <a:schemeClr val="accent1">
                            <a:shade val="50000"/>
                          </a:schemeClr>
                        </a:lnRef>
                        <a:fillRef idx="1">
                          <a:schemeClr val="accent1"/>
                        </a:fillRef>
                        <a:effectRef idx="0">
                          <a:schemeClr val="accent1"/>
                        </a:effectRef>
                        <a:fontRef idx="minor">
                          <a:schemeClr val="lt1"/>
                        </a:fontRef>
                      </wps:style>
                      <wps:txbx>
                        <w:txbxContent>
                          <w:p w14:paraId="0AF2AAE8" w14:textId="77777777" w:rsidR="00A54F5E" w:rsidRDefault="00D462FA" w:rsidP="00A54F5E">
                            <w:pPr>
                              <w:spacing w:line="360" w:lineRule="auto"/>
                              <w:rPr>
                                <w:rFonts w:ascii="Arial" w:hAnsi="Arial" w:cs="Arial"/>
                                <w:color w:val="000000" w:themeColor="text1"/>
                                <w:sz w:val="13"/>
                                <w:szCs w:val="13"/>
                              </w:rPr>
                            </w:pPr>
                            <w:r w:rsidRPr="00D462FA">
                              <w:rPr>
                                <w:b/>
                                <w:bCs/>
                                <w:color w:val="000000" w:themeColor="text1"/>
                                <w:sz w:val="18"/>
                                <w:szCs w:val="18"/>
                              </w:rPr>
                              <w:t>Modern Trauma Psychiatry and Community-Based Care</w:t>
                            </w:r>
                            <w:r w:rsidRPr="00473C09">
                              <w:rPr>
                                <w:rFonts w:ascii="Arial" w:hAnsi="Arial" w:cs="Arial"/>
                                <w:color w:val="000000" w:themeColor="text1"/>
                              </w:rPr>
                              <w:br/>
                            </w:r>
                            <w:r w:rsidR="00A54F5E" w:rsidRPr="00A54F5E">
                              <w:rPr>
                                <w:rFonts w:ascii="Arial" w:hAnsi="Arial" w:cs="Arial"/>
                                <w:color w:val="000000" w:themeColor="text1"/>
                                <w:sz w:val="13"/>
                                <w:szCs w:val="13"/>
                              </w:rPr>
                              <w:t>A major turning point in mental health care was the official recognition of PTSD in the 1980s, which established trauma as a genuine psychological problem deserving of therapeutic treatment (Yehuda and McFarlane, 1995). Long-term institutionalisation gave way to community-centered rehabilitation and support over time (Summerfield, 2011). Initiatives were started to improve access to crisis intervention, trauma-related therapy, and veteran support, especially in conflict-affected countries (Murphy et al., 2019).</w:t>
                            </w:r>
                          </w:p>
                          <w:p w14:paraId="1080EBC5" w14:textId="37030F95" w:rsidR="00910ADF" w:rsidRPr="00A54F5E" w:rsidRDefault="00910ADF" w:rsidP="00A54F5E">
                            <w:pPr>
                              <w:spacing w:line="360" w:lineRule="auto"/>
                              <w:rPr>
                                <w:rFonts w:ascii="Arial" w:hAnsi="Arial" w:cs="Arial"/>
                                <w:color w:val="000000" w:themeColor="text1"/>
                                <w:sz w:val="13"/>
                                <w:szCs w:val="13"/>
                              </w:rPr>
                            </w:pPr>
                            <w:r w:rsidRPr="00910ADF">
                              <w:rPr>
                                <w:rFonts w:ascii="Arial" w:hAnsi="Arial" w:cs="Arial"/>
                                <w:color w:val="000000" w:themeColor="text1"/>
                                <w:sz w:val="13"/>
                                <w:szCs w:val="13"/>
                              </w:rPr>
                              <w:t>A more all-encompassing approach to care was fostered by the integration of psychological, medical, and social frameworks by interdisciplinary trauma teams (Ramon et al., 2007). Although financial inequities remained a problem, the deinstitutionalisation policy encouraged recovery-focused practices (Thornicroft and Tangela, 2013). As time went on, PTSD was identified not only in combat situations but also in domestic abuse and natural disaster situations (Brewin, 2018). The emergence of trauma-informed treatment in the early 2000s brought attention to the significance of safety, trust, and teamwork (Sweeney et al., 2018).</w:t>
                            </w:r>
                            <w:r w:rsidRPr="00910ADF">
                              <w:rPr>
                                <w:rFonts w:ascii="Arial" w:hAnsi="Arial" w:cs="Arial"/>
                                <w:color w:val="000000" w:themeColor="text1"/>
                                <w:sz w:val="13"/>
                                <w:szCs w:val="13"/>
                              </w:rPr>
                              <w:br/>
                            </w:r>
                          </w:p>
                          <w:p w14:paraId="5FE86D81" w14:textId="1A934DC4" w:rsidR="00A54F5E" w:rsidRDefault="00A54F5E" w:rsidP="00D462FA">
                            <w:pPr>
                              <w:spacing w:line="360" w:lineRule="auto"/>
                              <w:rPr>
                                <w:rStyle w:val="suggestionparagraphs"/>
                                <w:rFonts w:ascii="Arial" w:hAnsi="Arial" w:cs="Arial"/>
                                <w:color w:val="000000" w:themeColor="text1"/>
                                <w:sz w:val="13"/>
                                <w:szCs w:val="13"/>
                              </w:rPr>
                            </w:pPr>
                          </w:p>
                          <w:p w14:paraId="5B191C30" w14:textId="7E36A829" w:rsidR="00D462FA" w:rsidRPr="00D462FA" w:rsidRDefault="00D462FA" w:rsidP="00D462FA">
                            <w:pPr>
                              <w:spacing w:line="360" w:lineRule="auto"/>
                              <w:rPr>
                                <w:rStyle w:val="suggestionparagraphs"/>
                                <w:rFonts w:ascii="Arial" w:hAnsi="Arial" w:cs="Arial"/>
                                <w:sz w:val="13"/>
                                <w:szCs w:val="13"/>
                              </w:rPr>
                            </w:pPr>
                            <w:bookmarkStart w:id="1" w:name="_Hlk223793529"/>
                            <w:r w:rsidRPr="00D462FA">
                              <w:rPr>
                                <w:rStyle w:val="suggestionparagraphs"/>
                                <w:rFonts w:ascii="Arial" w:hAnsi="Arial" w:cs="Arial"/>
                                <w:color w:val="000000" w:themeColor="text1"/>
                                <w:sz w:val="13"/>
                                <w:szCs w:val="13"/>
                              </w:rPr>
                              <w:t xml:space="preserve"> </w:t>
                            </w:r>
                            <w:bookmarkEnd w:id="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FE6B1F" id="Rectangle 3" o:spid="_x0000_s1029" style="position:absolute;margin-left:360.75pt;margin-top:255.75pt;width:192.75pt;height:324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" fillcolor="#002060" stroked="f" strokeweight="1pt">
                <v:textbox>
                  <w:txbxContent>
                    <w:p w14:paraId="0AF2AAE8" w14:textId="77777777" w:rsidR="00A54F5E" w:rsidRDefault="00D462FA" w:rsidP="00A54F5E">
                      <w:pPr>
                        <w:spacing w:line="360" w:lineRule="auto"/>
                        <w:rPr>
                          <w:rFonts w:ascii="Arial" w:hAnsi="Arial" w:cs="Arial"/>
                          <w:color w:val="000000" w:themeColor="text1"/>
                          <w:sz w:val="13"/>
                          <w:szCs w:val="13"/>
                        </w:rPr>
                      </w:pPr>
                      <w:r w:rsidRPr="00D462FA">
                        <w:rPr>
                          <w:b/>
                          <w:bCs/>
                          <w:color w:val="000000" w:themeColor="text1"/>
                          <w:sz w:val="18"/>
                          <w:szCs w:val="18"/>
                        </w:rPr>
                        <w:t>Modern Trauma Psychiatry and Community-Based Care</w:t>
                      </w:r>
                      <w:r w:rsidRPr="00473C09">
                        <w:rPr>
                          <w:rFonts w:ascii="Arial" w:hAnsi="Arial" w:cs="Arial"/>
                          <w:color w:val="000000" w:themeColor="text1"/>
                        </w:rPr>
                        <w:br/>
                      </w:r>
                      <w:r w:rsidR="00A54F5E" w:rsidRPr="00A54F5E">
                        <w:rPr>
                          <w:rFonts w:ascii="Arial" w:hAnsi="Arial" w:cs="Arial"/>
                          <w:color w:val="000000" w:themeColor="text1"/>
                          <w:sz w:val="13"/>
                          <w:szCs w:val="13"/>
                        </w:rPr>
                        <w:t>A major turning point in mental health care was the official recognition of PTSD in the 1980s, which established trauma as a genuine psychological problem deserving of therapeutic treatment (Yehuda and McFarlane, 1995). Long-term institutionalisation gave way to community-centered rehabilitation and support over time (Summerfield, 2011). Initiatives were started to improve access to crisis intervention, trauma-related therapy, and veteran support, especially in conflict-affected countries (Murphy et al., 2019).</w:t>
                      </w:r>
                    </w:p>
                    <w:p w14:paraId="1080EBC5" w14:textId="37030F95" w:rsidR="00910ADF" w:rsidRPr="00A54F5E" w:rsidRDefault="00910ADF" w:rsidP="00A54F5E">
                      <w:pPr>
                        <w:spacing w:line="360" w:lineRule="auto"/>
                        <w:rPr>
                          <w:rFonts w:ascii="Arial" w:hAnsi="Arial" w:cs="Arial"/>
                          <w:color w:val="000000" w:themeColor="text1"/>
                          <w:sz w:val="13"/>
                          <w:szCs w:val="13"/>
                        </w:rPr>
                      </w:pPr>
                      <w:r w:rsidRPr="00910ADF">
                        <w:rPr>
                          <w:rFonts w:ascii="Arial" w:hAnsi="Arial" w:cs="Arial"/>
                          <w:color w:val="000000" w:themeColor="text1"/>
                          <w:sz w:val="13"/>
                          <w:szCs w:val="13"/>
                        </w:rPr>
                        <w:t>A more all-encompassing approach to care was fostered by the integration of psychological, medical, and social frameworks by interdisciplinary trauma teams (Ramon et al., 2007). Although financial inequities remained a problem, the deinstitutionalisation policy encouraged recovery-focused practices (Thornicroft and Tangela, 2013). As time went on, PTSD was identified not only in combat situations but also in domestic abuse and natural disaster situations (Brewin, 2018). The emergence of trauma-informed treatment in the early 2000s brought attention to the significance of safety, trust, and teamwork (Sweeney et al., 2018).</w:t>
                      </w:r>
                      <w:r w:rsidRPr="00910ADF">
                        <w:rPr>
                          <w:rFonts w:ascii="Arial" w:hAnsi="Arial" w:cs="Arial"/>
                          <w:color w:val="000000" w:themeColor="text1"/>
                          <w:sz w:val="13"/>
                          <w:szCs w:val="13"/>
                        </w:rPr>
                        <w:br/>
                      </w:r>
                    </w:p>
                    <w:p w14:paraId="5FE86D81" w14:textId="1A934DC4" w:rsidR="00A54F5E" w:rsidRDefault="00A54F5E" w:rsidP="00D462FA">
                      <w:pPr>
                        <w:spacing w:line="360" w:lineRule="auto"/>
                        <w:rPr>
                          <w:rStyle w:val="suggestionparagraphs"/>
                          <w:rFonts w:ascii="Arial" w:hAnsi="Arial" w:cs="Arial"/>
                          <w:color w:val="000000" w:themeColor="text1"/>
                          <w:sz w:val="13"/>
                          <w:szCs w:val="13"/>
                        </w:rPr>
                      </w:pPr>
                    </w:p>
                    <w:p w14:paraId="5B191C30" w14:textId="7E36A829" w:rsidR="00D462FA" w:rsidRPr="00D462FA" w:rsidRDefault="00D462FA" w:rsidP="00D462FA">
                      <w:pPr>
                        <w:spacing w:line="360" w:lineRule="auto"/>
                        <w:rPr>
                          <w:rStyle w:val="suggestionparagraphs"/>
                          <w:rFonts w:ascii="Arial" w:hAnsi="Arial" w:cs="Arial"/>
                          <w:sz w:val="13"/>
                          <w:szCs w:val="13"/>
                        </w:rPr>
                      </w:pPr>
                      <w:bookmarkStart w:id="2" w:name="_Hlk223793529"/>
                      <w:r w:rsidRPr="00D462FA">
                        <w:rPr>
                          <w:rStyle w:val="suggestionparagraphs"/>
                          <w:rFonts w:ascii="Arial" w:hAnsi="Arial" w:cs="Arial"/>
                          <w:color w:val="000000" w:themeColor="text1"/>
                          <w:sz w:val="13"/>
                          <w:szCs w:val="13"/>
                        </w:rPr>
                        <w:t xml:space="preserve"> </w:t>
                      </w:r>
                      <w:bookmarkEnd w:id="2"/>
                    </w:p>
                  </w:txbxContent>
                </v:textbox>
                <w10:wrap anchory="page"/>
              </v:rect>
            </w:pict>
          </mc:Fallback>
        </mc:AlternateContent>
      </w:r>
    </w:p>
    <w:p w14:paraId="62EF2942" w14:textId="6DCE693D" w:rsidR="00D462FA" w:rsidRPr="00D462FA" w:rsidRDefault="00D462FA" w:rsidP="00D462FA">
      <w:pPr>
        <w:rPr>
          <w:lang w:eastAsia="en-GB"/>
        </w:rPr>
      </w:pPr>
    </w:p>
    <w:p w14:paraId="2DCA4113" w14:textId="71CAF0E1" w:rsidR="00D462FA" w:rsidRPr="00D462FA" w:rsidRDefault="00D462FA" w:rsidP="00D462FA">
      <w:pPr>
        <w:rPr>
          <w:lang w:eastAsia="en-GB"/>
        </w:rPr>
      </w:pPr>
    </w:p>
    <w:p w14:paraId="076F5095" w14:textId="5D13175B" w:rsidR="00D462FA" w:rsidRPr="00D462FA" w:rsidRDefault="007E63F9" w:rsidP="00D462FA">
      <w:pPr>
        <w:rPr>
          <w:lang w:eastAsia="en-GB"/>
        </w:rPr>
      </w:pPr>
      <w:r>
        <w:rPr>
          <w:rFonts w:ascii="Arial" w:hAnsi="Arial" w:cs="Arial"/>
          <w:b/>
          <w:bCs/>
          <w:noProof/>
          <w:sz w:val="20"/>
          <w:szCs w:val="20"/>
        </w:rPr>
        <mc:AlternateContent>
          <mc:Choice Requires="wps">
            <w:drawing>
              <wp:anchor distT="0" distB="0" distL="114300" distR="114300" simplePos="0" relativeHeight="251669504" behindDoc="1" locked="0" layoutInCell="1" allowOverlap="1" wp14:anchorId="66CBF160" wp14:editId="6E6E016D">
                <wp:simplePos x="0" y="0"/>
                <wp:positionH relativeFrom="column">
                  <wp:posOffset>7077075</wp:posOffset>
                </wp:positionH>
                <wp:positionV relativeFrom="page">
                  <wp:posOffset>4105275</wp:posOffset>
                </wp:positionV>
                <wp:extent cx="2447925" cy="3333750"/>
                <wp:effectExtent l="38100" t="38100" r="47625" b="38100"/>
                <wp:wrapNone/>
                <wp:docPr id="24" name="Rectangle 24"/>
                <wp:cNvGraphicFramePr/>
                <a:graphic xmlns:a="http://schemas.openxmlformats.org/drawingml/2006/main">
                  <a:graphicData uri="http://schemas.microsoft.com/office/word/2010/wordprocessingShape">
                    <wps:wsp>
                      <wps:cNvSpPr/>
                      <wps:spPr>
                        <a:xfrm>
                          <a:off x="0" y="0"/>
                          <a:ext cx="2447925" cy="3333750"/>
                        </a:xfrm>
                        <a:prstGeom prst="rect">
                          <a:avLst/>
                        </a:prstGeom>
                        <a:solidFill>
                          <a:srgbClr val="FF0000"/>
                        </a:solidFill>
                        <a:ln>
                          <a:noFill/>
                        </a:ln>
                        <a:effectLst/>
                        <a:scene3d>
                          <a:camera prst="orthographicFront">
                            <a:rot lat="0" lon="0" rev="0"/>
                          </a:camera>
                          <a:lightRig rig="chilly" dir="t">
                            <a:rot lat="0" lon="0" rev="18480000"/>
                          </a:lightRig>
                        </a:scene3d>
                        <a:sp3d prstMaterial="clear">
                          <a:bevelT h="63500"/>
                        </a:sp3d>
                      </wps:spPr>
                      <wps:style>
                        <a:lnRef idx="2">
                          <a:schemeClr val="accent1">
                            <a:shade val="50000"/>
                          </a:schemeClr>
                        </a:lnRef>
                        <a:fillRef idx="1">
                          <a:schemeClr val="accent1"/>
                        </a:fillRef>
                        <a:effectRef idx="0">
                          <a:schemeClr val="accent1"/>
                        </a:effectRef>
                        <a:fontRef idx="minor">
                          <a:schemeClr val="lt1"/>
                        </a:fontRef>
                      </wps:style>
                      <wps:txbx>
                        <w:txbxContent>
                          <w:p w14:paraId="3188019F" w14:textId="77777777" w:rsidR="004517A5" w:rsidRDefault="004517A5" w:rsidP="007E63F9">
                            <w:pPr>
                              <w:spacing w:line="360" w:lineRule="auto"/>
                              <w:rPr>
                                <w:rFonts w:ascii="Arial" w:hAnsi="Arial" w:cs="Arial"/>
                                <w:b/>
                                <w:bCs/>
                                <w:color w:val="000000" w:themeColor="text1"/>
                                <w:sz w:val="16"/>
                                <w:szCs w:val="16"/>
                              </w:rPr>
                            </w:pPr>
                            <w:r w:rsidRPr="004517A5">
                              <w:rPr>
                                <w:rFonts w:ascii="Arial" w:hAnsi="Arial" w:cs="Arial"/>
                                <w:b/>
                                <w:bCs/>
                                <w:color w:val="000000" w:themeColor="text1"/>
                                <w:sz w:val="16"/>
                                <w:szCs w:val="16"/>
                              </w:rPr>
                              <w:t>Political, Social, and Cultural Factors Influencing PTSD Treatment</w:t>
                            </w:r>
                          </w:p>
                          <w:p w14:paraId="2030EA81" w14:textId="77777777" w:rsidR="004517A5" w:rsidRDefault="004517A5" w:rsidP="004517A5">
                            <w:pPr>
                              <w:spacing w:line="360" w:lineRule="auto"/>
                              <w:rPr>
                                <w:rFonts w:ascii="Arial" w:hAnsi="Arial" w:cs="Arial"/>
                                <w:color w:val="000000" w:themeColor="text1"/>
                                <w:sz w:val="13"/>
                                <w:szCs w:val="13"/>
                              </w:rPr>
                            </w:pPr>
                            <w:r w:rsidRPr="004517A5">
                              <w:rPr>
                                <w:rFonts w:ascii="Arial" w:hAnsi="Arial" w:cs="Arial"/>
                                <w:color w:val="000000" w:themeColor="text1"/>
                                <w:sz w:val="13"/>
                                <w:szCs w:val="13"/>
                              </w:rPr>
                              <w:t>Advocacy campaigns and media coverage have raised awareness of PTSD, which has helped to lessen stigma and encourage candid discussion (Brewin, 2018). The understanding and treatment of trauma are greatly influenced by cultural viewpoints, with some cultural groups favouring collective or spiritual healing approaches (Bhangra and Bhai, 2018). Access to diagnosis and treatment is greatly impacted by factors like gender, social class, and relocation, which often limits aid for women and refugees (Morgan et al., 2022)</w:t>
                            </w:r>
                            <w:r>
                              <w:rPr>
                                <w:rFonts w:ascii="Arial" w:hAnsi="Arial" w:cs="Arial"/>
                                <w:color w:val="000000" w:themeColor="text1"/>
                                <w:sz w:val="13"/>
                                <w:szCs w:val="13"/>
                              </w:rPr>
                              <w:t>.</w:t>
                            </w:r>
                          </w:p>
                          <w:p w14:paraId="5DB16DF7" w14:textId="3533D2F6" w:rsidR="004517A5" w:rsidRPr="004517A5" w:rsidRDefault="004517A5" w:rsidP="004517A5">
                            <w:pPr>
                              <w:spacing w:line="360" w:lineRule="auto"/>
                              <w:rPr>
                                <w:rFonts w:ascii="Arial" w:hAnsi="Arial" w:cs="Arial"/>
                                <w:color w:val="000000" w:themeColor="text1"/>
                                <w:sz w:val="13"/>
                                <w:szCs w:val="13"/>
                              </w:rPr>
                            </w:pPr>
                            <w:r>
                              <w:rPr>
                                <w:rFonts w:ascii="Arial" w:hAnsi="Arial" w:cs="Arial"/>
                                <w:color w:val="000000" w:themeColor="text1"/>
                                <w:sz w:val="13"/>
                                <w:szCs w:val="13"/>
                              </w:rPr>
                              <w:t xml:space="preserve"> The</w:t>
                            </w:r>
                            <w:r w:rsidRPr="004517A5">
                              <w:rPr>
                                <w:rFonts w:ascii="Arial" w:hAnsi="Arial" w:cs="Arial"/>
                                <w:color w:val="000000" w:themeColor="text1"/>
                                <w:sz w:val="13"/>
                                <w:szCs w:val="13"/>
                              </w:rPr>
                              <w:t xml:space="preserve"> NHS Long Term Plan and other government initiatives have expanded trauma care, particularly for veterans and victims of violence. However, gaps persist in resource-poor places, highlighting the need for equitable and culturally sensitive PTSD treatment (Murphy et al., 2019; NHS, 2019; Patel et al., 2018; OECD, 2023).</w:t>
                            </w:r>
                          </w:p>
                          <w:p w14:paraId="0A4A4930" w14:textId="77777777" w:rsidR="007E63F9" w:rsidRPr="007E63F9" w:rsidRDefault="007E63F9" w:rsidP="007E63F9">
                            <w:pPr>
                              <w:spacing w:line="360" w:lineRule="auto"/>
                              <w:rPr>
                                <w:rFonts w:ascii="Arial" w:hAnsi="Arial" w:cs="Arial"/>
                                <w:sz w:val="13"/>
                                <w:szCs w:val="13"/>
                              </w:rPr>
                            </w:pPr>
                          </w:p>
                          <w:p w14:paraId="71BF7AE4" w14:textId="77777777" w:rsidR="007E63F9" w:rsidRPr="007E63F9" w:rsidRDefault="007E63F9" w:rsidP="00D462FA">
                            <w:pPr>
                              <w:spacing w:line="360" w:lineRule="auto"/>
                              <w:rPr>
                                <w:rFonts w:ascii="Arial" w:hAnsi="Arial" w:cs="Arial"/>
                                <w:sz w:val="13"/>
                                <w:szCs w:val="13"/>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CBF160" id="Rectangle 24" o:spid="_x0000_s1030" style="position:absolute;margin-left:557.25pt;margin-top:323.25pt;width:192.75pt;height:262.5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" fillcolor="red" stroked="f" strokeweight="1pt">
                <v:textbox>
                  <w:txbxContent>
                    <w:p w14:paraId="3188019F" w14:textId="77777777" w:rsidR="004517A5" w:rsidRDefault="004517A5" w:rsidP="007E63F9">
                      <w:pPr>
                        <w:spacing w:line="360" w:lineRule="auto"/>
                        <w:rPr>
                          <w:rFonts w:ascii="Arial" w:hAnsi="Arial" w:cs="Arial"/>
                          <w:b/>
                          <w:bCs/>
                          <w:color w:val="000000" w:themeColor="text1"/>
                          <w:sz w:val="16"/>
                          <w:szCs w:val="16"/>
                        </w:rPr>
                      </w:pPr>
                      <w:r w:rsidRPr="004517A5">
                        <w:rPr>
                          <w:rFonts w:ascii="Arial" w:hAnsi="Arial" w:cs="Arial"/>
                          <w:b/>
                          <w:bCs/>
                          <w:color w:val="000000" w:themeColor="text1"/>
                          <w:sz w:val="16"/>
                          <w:szCs w:val="16"/>
                        </w:rPr>
                        <w:t>Political, Social, and Cultural Factors Influencing PTSD Treatment</w:t>
                      </w:r>
                    </w:p>
                    <w:p w14:paraId="2030EA81" w14:textId="77777777" w:rsidR="004517A5" w:rsidRDefault="004517A5" w:rsidP="004517A5">
                      <w:pPr>
                        <w:spacing w:line="360" w:lineRule="auto"/>
                        <w:rPr>
                          <w:rFonts w:ascii="Arial" w:hAnsi="Arial" w:cs="Arial"/>
                          <w:color w:val="000000" w:themeColor="text1"/>
                          <w:sz w:val="13"/>
                          <w:szCs w:val="13"/>
                        </w:rPr>
                      </w:pPr>
                      <w:r w:rsidRPr="004517A5">
                        <w:rPr>
                          <w:rFonts w:ascii="Arial" w:hAnsi="Arial" w:cs="Arial"/>
                          <w:color w:val="000000" w:themeColor="text1"/>
                          <w:sz w:val="13"/>
                          <w:szCs w:val="13"/>
                        </w:rPr>
                        <w:t>Advocacy campaigns and media coverage have raised awareness of PTSD, which has helped to lessen stigma and encourage candid discussion (Brewin, 2018). The understanding and treatment of trauma are greatly influenced by cultural viewpoints, with some cultural groups favouring collective or spiritual healing approaches (Bhangra and Bhai, 2018). Access to diagnosis and treatment is greatly impacted by factors like gender, social class, and relocation, which often limits aid for women and refugees (Morgan et al., 2022)</w:t>
                      </w:r>
                      <w:r>
                        <w:rPr>
                          <w:rFonts w:ascii="Arial" w:hAnsi="Arial" w:cs="Arial"/>
                          <w:color w:val="000000" w:themeColor="text1"/>
                          <w:sz w:val="13"/>
                          <w:szCs w:val="13"/>
                        </w:rPr>
                        <w:t>.</w:t>
                      </w:r>
                    </w:p>
                    <w:p w14:paraId="5DB16DF7" w14:textId="3533D2F6" w:rsidR="004517A5" w:rsidRPr="004517A5" w:rsidRDefault="004517A5" w:rsidP="004517A5">
                      <w:pPr>
                        <w:spacing w:line="360" w:lineRule="auto"/>
                        <w:rPr>
                          <w:rFonts w:ascii="Arial" w:hAnsi="Arial" w:cs="Arial"/>
                          <w:color w:val="000000" w:themeColor="text1"/>
                          <w:sz w:val="13"/>
                          <w:szCs w:val="13"/>
                        </w:rPr>
                      </w:pPr>
                      <w:r>
                        <w:rPr>
                          <w:rFonts w:ascii="Arial" w:hAnsi="Arial" w:cs="Arial"/>
                          <w:color w:val="000000" w:themeColor="text1"/>
                          <w:sz w:val="13"/>
                          <w:szCs w:val="13"/>
                        </w:rPr>
                        <w:t xml:space="preserve"> The</w:t>
                      </w:r>
                      <w:r w:rsidRPr="004517A5">
                        <w:rPr>
                          <w:rFonts w:ascii="Arial" w:hAnsi="Arial" w:cs="Arial"/>
                          <w:color w:val="000000" w:themeColor="text1"/>
                          <w:sz w:val="13"/>
                          <w:szCs w:val="13"/>
                        </w:rPr>
                        <w:t xml:space="preserve"> NHS Long Term Plan and other government initiatives have expanded trauma care, particularly for veterans and victims of violence. However, gaps persist in resource-poor places, highlighting the need for equitable and culturally sensitive PTSD treatment (Murphy et al., 2019; NHS, 2019; Patel et al., 2018; OECD, 2023).</w:t>
                      </w:r>
                    </w:p>
                    <w:p w14:paraId="0A4A4930" w14:textId="77777777" w:rsidR="007E63F9" w:rsidRPr="007E63F9" w:rsidRDefault="007E63F9" w:rsidP="007E63F9">
                      <w:pPr>
                        <w:spacing w:line="360" w:lineRule="auto"/>
                        <w:rPr>
                          <w:rFonts w:ascii="Arial" w:hAnsi="Arial" w:cs="Arial"/>
                          <w:sz w:val="13"/>
                          <w:szCs w:val="13"/>
                        </w:rPr>
                      </w:pPr>
                    </w:p>
                    <w:p w14:paraId="71BF7AE4" w14:textId="77777777" w:rsidR="007E63F9" w:rsidRPr="007E63F9" w:rsidRDefault="007E63F9" w:rsidP="00D462FA">
                      <w:pPr>
                        <w:spacing w:line="360" w:lineRule="auto"/>
                        <w:rPr>
                          <w:rFonts w:ascii="Arial" w:hAnsi="Arial" w:cs="Arial"/>
                          <w:sz w:val="13"/>
                          <w:szCs w:val="13"/>
                        </w:rPr>
                      </w:pPr>
                    </w:p>
                  </w:txbxContent>
                </v:textbox>
                <w10:wrap anchory="page"/>
              </v:rect>
            </w:pict>
          </mc:Fallback>
        </mc:AlternateContent>
      </w:r>
    </w:p>
    <w:p w14:paraId="5C7A7CB5" w14:textId="620F06F1" w:rsidR="00D462FA" w:rsidRPr="00D462FA" w:rsidRDefault="00D462FA" w:rsidP="00D462FA">
      <w:pPr>
        <w:rPr>
          <w:lang w:eastAsia="en-GB"/>
        </w:rPr>
      </w:pPr>
    </w:p>
    <w:p w14:paraId="758A278F" w14:textId="253374A4" w:rsidR="00D462FA" w:rsidRPr="00D462FA" w:rsidRDefault="00D462FA" w:rsidP="00D462FA">
      <w:pPr>
        <w:rPr>
          <w:lang w:eastAsia="en-GB"/>
        </w:rPr>
      </w:pPr>
    </w:p>
    <w:p w14:paraId="747CBB4A" w14:textId="79DBB0DD" w:rsidR="00D462FA" w:rsidRPr="00D462FA" w:rsidRDefault="00D462FA" w:rsidP="00D462FA">
      <w:pPr>
        <w:rPr>
          <w:lang w:eastAsia="en-GB"/>
        </w:rPr>
      </w:pPr>
    </w:p>
    <w:p w14:paraId="1826E115" w14:textId="0ABA9F48" w:rsidR="00D462FA" w:rsidRPr="00D462FA" w:rsidRDefault="007E63F9" w:rsidP="00D462FA">
      <w:pPr>
        <w:rPr>
          <w:lang w:eastAsia="en-GB"/>
        </w:rPr>
      </w:pPr>
      <w:r w:rsidRPr="007E63F9">
        <w:rPr>
          <w:noProof/>
          <w:lang w:eastAsia="en-GB"/>
        </w:rPr>
        <w:drawing>
          <wp:anchor distT="0" distB="0" distL="114300" distR="114300" simplePos="0" relativeHeight="251670528" behindDoc="0" locked="0" layoutInCell="1" allowOverlap="1" wp14:anchorId="7508181E" wp14:editId="6BC88F4D">
            <wp:simplePos x="0" y="0"/>
            <wp:positionH relativeFrom="column">
              <wp:posOffset>-590550</wp:posOffset>
            </wp:positionH>
            <wp:positionV relativeFrom="paragraph">
              <wp:posOffset>201295</wp:posOffset>
            </wp:positionV>
            <wp:extent cx="2181225" cy="1660012"/>
            <wp:effectExtent l="38100" t="38100" r="28575" b="35560"/>
            <wp:wrapNone/>
            <wp:docPr id="14352" name="Picture 2">
              <a:extLst xmlns:a="http://schemas.openxmlformats.org/drawingml/2006/main">
                <a:ext uri="{FF2B5EF4-FFF2-40B4-BE49-F238E27FC236}">
                  <a16:creationId xmlns:a16="http://schemas.microsoft.com/office/drawing/2014/main" id="{DCE43BFF-0025-4247-AC0E-35CBAD5604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2" name="Picture 2">
                      <a:extLst>
                        <a:ext uri="{FF2B5EF4-FFF2-40B4-BE49-F238E27FC236}">
                          <a16:creationId xmlns:a16="http://schemas.microsoft.com/office/drawing/2014/main" id="{DCE43BFF-0025-4247-AC0E-35CBAD560408}"/>
                        </a:ext>
                      </a:extLst>
                    </pic:cNvPr>
                    <pic:cNvPicPr>
                      <a:picLocks noChangeAspect="1"/>
                    </pic:cNvPicPr>
                  </pic:nvPicPr>
                  <pic:blipFill>
                    <a:blip r:embed="rId8" cstate="print">
                      <a:extLst>
                        <a:ext uri="{28A0092B-C50C-407E-A947-70E740481C1C}">
                          <a14:useLocalDpi xmlns:a14="http://schemas.microsoft.com/office/drawing/2010/main" val="0"/>
                        </a:ext>
                      </a:extLst>
                    </a:blip>
                    <a:srcRect l="7858" t="8746" r="6065" b="7367"/>
                    <a:stretch>
                      <a:fillRect/>
                    </a:stretch>
                  </pic:blipFill>
                  <pic:spPr bwMode="auto">
                    <a:xfrm>
                      <a:off x="0" y="0"/>
                      <a:ext cx="2181225" cy="1660012"/>
                    </a:xfrm>
                    <a:prstGeom prst="rect">
                      <a:avLst/>
                    </a:prstGeom>
                    <a:noFill/>
                    <a:ln w="28575">
                      <a:solidFill>
                        <a:schemeClr val="tx1"/>
                      </a:solidFill>
                      <a:miter lim="800000"/>
                      <a:headEnd/>
                      <a:tailEnd/>
                    </a:ln>
                  </pic:spPr>
                </pic:pic>
              </a:graphicData>
            </a:graphic>
            <wp14:sizeRelH relativeFrom="margin">
              <wp14:pctWidth>0</wp14:pctWidth>
            </wp14:sizeRelH>
            <wp14:sizeRelV relativeFrom="margin">
              <wp14:pctHeight>0</wp14:pctHeight>
            </wp14:sizeRelV>
          </wp:anchor>
        </w:drawing>
      </w:r>
    </w:p>
    <w:p w14:paraId="56303E83" w14:textId="2B32A221" w:rsidR="00D462FA" w:rsidRPr="00D462FA" w:rsidRDefault="00D462FA" w:rsidP="00D462FA">
      <w:pPr>
        <w:rPr>
          <w:lang w:eastAsia="en-GB"/>
        </w:rPr>
      </w:pPr>
    </w:p>
    <w:p w14:paraId="53656F8C" w14:textId="3409CB2B" w:rsidR="00D462FA" w:rsidRPr="00D462FA" w:rsidRDefault="00D462FA" w:rsidP="00D462FA">
      <w:pPr>
        <w:rPr>
          <w:lang w:eastAsia="en-GB"/>
        </w:rPr>
      </w:pPr>
    </w:p>
    <w:p w14:paraId="2AE84B0C" w14:textId="282D8C37" w:rsidR="00D462FA" w:rsidRPr="00D462FA" w:rsidRDefault="007E63F9" w:rsidP="007E63F9">
      <w:pPr>
        <w:tabs>
          <w:tab w:val="left" w:pos="1425"/>
        </w:tabs>
        <w:rPr>
          <w:lang w:eastAsia="en-GB"/>
        </w:rPr>
      </w:pPr>
      <w:r>
        <w:rPr>
          <w:lang w:eastAsia="en-GB"/>
        </w:rPr>
        <w:tab/>
      </w:r>
    </w:p>
    <w:p w14:paraId="3BC4E123" w14:textId="2E7B75E0" w:rsidR="00D462FA" w:rsidRPr="00D462FA" w:rsidRDefault="007E63F9" w:rsidP="00D462FA">
      <w:pPr>
        <w:rPr>
          <w:lang w:eastAsia="en-GB"/>
        </w:rPr>
      </w:pPr>
      <w:r>
        <w:rPr>
          <w:noProof/>
          <w:lang w:eastAsia="en-GB"/>
        </w:rPr>
        <mc:AlternateContent>
          <mc:Choice Requires="wps">
            <w:drawing>
              <wp:anchor distT="0" distB="0" distL="114300" distR="114300" simplePos="0" relativeHeight="251671552" behindDoc="0" locked="0" layoutInCell="1" allowOverlap="1" wp14:anchorId="7D875C40" wp14:editId="4D4C355A">
                <wp:simplePos x="0" y="0"/>
                <wp:positionH relativeFrom="column">
                  <wp:posOffset>-714375</wp:posOffset>
                </wp:positionH>
                <wp:positionV relativeFrom="paragraph">
                  <wp:posOffset>721360</wp:posOffset>
                </wp:positionV>
                <wp:extent cx="2562225" cy="502285"/>
                <wp:effectExtent l="0" t="0" r="0" b="0"/>
                <wp:wrapNone/>
                <wp:docPr id="25" name="Rectangle 25"/>
                <wp:cNvGraphicFramePr/>
                <a:graphic xmlns:a="http://schemas.openxmlformats.org/drawingml/2006/main">
                  <a:graphicData uri="http://schemas.microsoft.com/office/word/2010/wordprocessingShape">
                    <wps:wsp>
                      <wps:cNvSpPr/>
                      <wps:spPr>
                        <a:xfrm>
                          <a:off x="0" y="0"/>
                          <a:ext cx="2562225" cy="502285"/>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A7C9921" w14:textId="0C2C020E" w:rsidR="007E63F9" w:rsidRPr="007E63F9" w:rsidRDefault="007E63F9" w:rsidP="00C92E2B">
                            <w:pPr>
                              <w:rPr>
                                <w:sz w:val="20"/>
                                <w:szCs w:val="20"/>
                              </w:rPr>
                            </w:pPr>
                            <w:r w:rsidRPr="007E63F9">
                              <w:rPr>
                                <w:rStyle w:val="suggestionparagraphs"/>
                                <w:rFonts w:ascii="Arial" w:hAnsi="Arial" w:cs="Arial"/>
                                <w:b/>
                                <w:bCs/>
                                <w:color w:val="000000" w:themeColor="text1"/>
                                <w:sz w:val="16"/>
                                <w:szCs w:val="16"/>
                              </w:rPr>
                              <w:t>Social, Cultural and Political Contexts Shaping PTSD Car</w:t>
                            </w:r>
                            <w:r w:rsidR="00C92E2B">
                              <w:rPr>
                                <w:rStyle w:val="suggestionparagraphs"/>
                                <w:rFonts w:ascii="Arial" w:hAnsi="Arial" w:cs="Arial"/>
                                <w:b/>
                                <w:bCs/>
                                <w:color w:val="000000" w:themeColor="text1"/>
                                <w:sz w:val="16"/>
                                <w:szCs w:val="16"/>
                              </w:rPr>
                              <w:t>e (M</w:t>
                            </w:r>
                            <w:r w:rsidR="00A6729F">
                              <w:rPr>
                                <w:rStyle w:val="suggestionparagraphs"/>
                                <w:rFonts w:ascii="Arial" w:hAnsi="Arial" w:cs="Arial"/>
                                <w:b/>
                                <w:bCs/>
                                <w:color w:val="000000" w:themeColor="text1"/>
                                <w:sz w:val="16"/>
                                <w:szCs w:val="16"/>
                              </w:rPr>
                              <w:t>organ</w:t>
                            </w:r>
                            <w:r w:rsidR="00C92E2B">
                              <w:rPr>
                                <w:rStyle w:val="suggestionparagraphs"/>
                                <w:rFonts w:ascii="Arial" w:hAnsi="Arial" w:cs="Arial"/>
                                <w:b/>
                                <w:bCs/>
                                <w:color w:val="000000" w:themeColor="text1"/>
                                <w:sz w:val="16"/>
                                <w:szCs w:val="16"/>
                              </w:rPr>
                              <w:t xml:space="preserve"> et al., 20</w:t>
                            </w:r>
                            <w:r w:rsidR="00A6729F">
                              <w:rPr>
                                <w:rStyle w:val="suggestionparagraphs"/>
                                <w:rFonts w:ascii="Arial" w:hAnsi="Arial" w:cs="Arial"/>
                                <w:b/>
                                <w:bCs/>
                                <w:color w:val="000000" w:themeColor="text1"/>
                                <w:sz w:val="16"/>
                                <w:szCs w:val="16"/>
                              </w:rPr>
                              <w:t>22</w:t>
                            </w:r>
                            <w:r w:rsidR="00C92E2B">
                              <w:rPr>
                                <w:rStyle w:val="suggestionparagraphs"/>
                                <w:rFonts w:ascii="Arial" w:hAnsi="Arial" w:cs="Arial"/>
                                <w:b/>
                                <w:bCs/>
                                <w:color w:val="000000" w:themeColor="text1"/>
                                <w:sz w:val="16"/>
                                <w:szCs w:val="16"/>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D875C40" id="Rectangle 25" o:spid="_x0000_s1031" style="position:absolute;margin-left:-56.25pt;margin-top:56.8pt;width:201.75pt;height:39.5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" filled="f" stroked="f" strokeweight="1pt">
                <v:textbox>
                  <w:txbxContent>
                    <w:p w14:paraId="5A7C9921" w14:textId="0C2C020E" w:rsidR="007E63F9" w:rsidRPr="007E63F9" w:rsidRDefault="007E63F9" w:rsidP="00C92E2B">
                      <w:pPr>
                        <w:rPr>
                          <w:sz w:val="20"/>
                          <w:szCs w:val="20"/>
                        </w:rPr>
                      </w:pPr>
                      <w:r w:rsidRPr="007E63F9">
                        <w:rPr>
                          <w:rStyle w:val="suggestionparagraphs"/>
                          <w:rFonts w:ascii="Arial" w:hAnsi="Arial" w:cs="Arial"/>
                          <w:b/>
                          <w:bCs/>
                          <w:color w:val="000000" w:themeColor="text1"/>
                          <w:sz w:val="16"/>
                          <w:szCs w:val="16"/>
                        </w:rPr>
                        <w:t>Social, Cultural and Political Contexts Shaping PTSD Car</w:t>
                      </w:r>
                      <w:r w:rsidR="00C92E2B">
                        <w:rPr>
                          <w:rStyle w:val="suggestionparagraphs"/>
                          <w:rFonts w:ascii="Arial" w:hAnsi="Arial" w:cs="Arial"/>
                          <w:b/>
                          <w:bCs/>
                          <w:color w:val="000000" w:themeColor="text1"/>
                          <w:sz w:val="16"/>
                          <w:szCs w:val="16"/>
                        </w:rPr>
                        <w:t>e (M</w:t>
                      </w:r>
                      <w:r w:rsidR="00A6729F">
                        <w:rPr>
                          <w:rStyle w:val="suggestionparagraphs"/>
                          <w:rFonts w:ascii="Arial" w:hAnsi="Arial" w:cs="Arial"/>
                          <w:b/>
                          <w:bCs/>
                          <w:color w:val="000000" w:themeColor="text1"/>
                          <w:sz w:val="16"/>
                          <w:szCs w:val="16"/>
                        </w:rPr>
                        <w:t>organ</w:t>
                      </w:r>
                      <w:r w:rsidR="00C92E2B">
                        <w:rPr>
                          <w:rStyle w:val="suggestionparagraphs"/>
                          <w:rFonts w:ascii="Arial" w:hAnsi="Arial" w:cs="Arial"/>
                          <w:b/>
                          <w:bCs/>
                          <w:color w:val="000000" w:themeColor="text1"/>
                          <w:sz w:val="16"/>
                          <w:szCs w:val="16"/>
                        </w:rPr>
                        <w:t xml:space="preserve"> et al., 20</w:t>
                      </w:r>
                      <w:r w:rsidR="00A6729F">
                        <w:rPr>
                          <w:rStyle w:val="suggestionparagraphs"/>
                          <w:rFonts w:ascii="Arial" w:hAnsi="Arial" w:cs="Arial"/>
                          <w:b/>
                          <w:bCs/>
                          <w:color w:val="000000" w:themeColor="text1"/>
                          <w:sz w:val="16"/>
                          <w:szCs w:val="16"/>
                        </w:rPr>
                        <w:t>22</w:t>
                      </w:r>
                      <w:r w:rsidR="00C92E2B">
                        <w:rPr>
                          <w:rStyle w:val="suggestionparagraphs"/>
                          <w:rFonts w:ascii="Arial" w:hAnsi="Arial" w:cs="Arial"/>
                          <w:b/>
                          <w:bCs/>
                          <w:color w:val="000000" w:themeColor="text1"/>
                          <w:sz w:val="16"/>
                          <w:szCs w:val="16"/>
                        </w:rPr>
                        <w:t>)</w:t>
                      </w:r>
                    </w:p>
                  </w:txbxContent>
                </v:textbox>
              </v:rect>
            </w:pict>
          </mc:Fallback>
        </mc:AlternateContent>
      </w:r>
    </w:p>
    <w:p w14:paraId="479D32C2" w14:textId="7D57844C" w:rsidR="00D462FA" w:rsidRPr="00D462FA" w:rsidRDefault="001405E4" w:rsidP="00D462FA">
      <w:pPr>
        <w:rPr>
          <w:lang w:eastAsia="en-GB"/>
        </w:rPr>
      </w:pPr>
      <w:r>
        <w:rPr>
          <w:rFonts w:ascii="Arial" w:hAnsi="Arial" w:cs="Arial"/>
          <w:b/>
          <w:bCs/>
          <w:noProof/>
          <w:sz w:val="20"/>
          <w:szCs w:val="20"/>
        </w:rPr>
        <w:lastRenderedPageBreak/>
        <mc:AlternateContent>
          <mc:Choice Requires="wps">
            <w:drawing>
              <wp:anchor distT="0" distB="0" distL="114300" distR="114300" simplePos="0" relativeHeight="251673600" behindDoc="1" locked="0" layoutInCell="1" allowOverlap="1" wp14:anchorId="1E0F5180" wp14:editId="5450A497">
                <wp:simplePos x="0" y="0"/>
                <wp:positionH relativeFrom="column">
                  <wp:posOffset>-787400</wp:posOffset>
                </wp:positionH>
                <wp:positionV relativeFrom="page">
                  <wp:posOffset>207433</wp:posOffset>
                </wp:positionV>
                <wp:extent cx="2487295" cy="3333750"/>
                <wp:effectExtent l="38100" t="38100" r="46355" b="38100"/>
                <wp:wrapNone/>
                <wp:docPr id="26" name="Rectangle 26"/>
                <wp:cNvGraphicFramePr/>
                <a:graphic xmlns:a="http://schemas.openxmlformats.org/drawingml/2006/main">
                  <a:graphicData uri="http://schemas.microsoft.com/office/word/2010/wordprocessingShape">
                    <wps:wsp>
                      <wps:cNvSpPr/>
                      <wps:spPr>
                        <a:xfrm>
                          <a:off x="0" y="0"/>
                          <a:ext cx="2487295" cy="3333750"/>
                        </a:xfrm>
                        <a:prstGeom prst="rect">
                          <a:avLst/>
                        </a:prstGeom>
                        <a:solidFill>
                          <a:srgbClr val="7030A0"/>
                        </a:solidFill>
                        <a:ln>
                          <a:noFill/>
                        </a:ln>
                        <a:effectLst/>
                        <a:scene3d>
                          <a:camera prst="orthographicFront">
                            <a:rot lat="0" lon="0" rev="0"/>
                          </a:camera>
                          <a:lightRig rig="chilly" dir="t">
                            <a:rot lat="0" lon="0" rev="18480000"/>
                          </a:lightRig>
                        </a:scene3d>
                        <a:sp3d prstMaterial="clear">
                          <a:bevelT h="63500"/>
                        </a:sp3d>
                      </wps:spPr>
                      <wps:style>
                        <a:lnRef idx="2">
                          <a:schemeClr val="accent1">
                            <a:shade val="50000"/>
                          </a:schemeClr>
                        </a:lnRef>
                        <a:fillRef idx="1">
                          <a:schemeClr val="accent1"/>
                        </a:fillRef>
                        <a:effectRef idx="0">
                          <a:schemeClr val="accent1"/>
                        </a:effectRef>
                        <a:fontRef idx="minor">
                          <a:schemeClr val="lt1"/>
                        </a:fontRef>
                      </wps:style>
                      <wps:txbx>
                        <w:txbxContent>
                          <w:p w14:paraId="76A22908" w14:textId="77777777" w:rsidR="001405E4" w:rsidRDefault="00C92E2B" w:rsidP="001405E4">
                            <w:pPr>
                              <w:spacing w:line="360" w:lineRule="auto"/>
                              <w:rPr>
                                <w:rFonts w:ascii="Arial" w:hAnsi="Arial" w:cs="Arial"/>
                                <w:color w:val="000000" w:themeColor="text1"/>
                                <w:sz w:val="13"/>
                                <w:szCs w:val="13"/>
                              </w:rPr>
                            </w:pPr>
                            <w:r w:rsidRPr="00C92E2B">
                              <w:rPr>
                                <w:rStyle w:val="suggestionparagraphs"/>
                                <w:rFonts w:ascii="Arial" w:hAnsi="Arial" w:cs="Arial"/>
                                <w:b/>
                                <w:bCs/>
                                <w:color w:val="000000" w:themeColor="text1"/>
                                <w:sz w:val="18"/>
                                <w:szCs w:val="18"/>
                              </w:rPr>
                              <w:t>Modern Treatment and Interventions for PTSD</w:t>
                            </w:r>
                            <w:r w:rsidRPr="00C92E2B">
                              <w:rPr>
                                <w:rFonts w:ascii="Arial" w:hAnsi="Arial" w:cs="Arial"/>
                                <w:color w:val="000000" w:themeColor="text1"/>
                                <w:sz w:val="13"/>
                                <w:szCs w:val="13"/>
                              </w:rPr>
                              <w:br/>
                            </w:r>
                            <w:r w:rsidR="001405E4" w:rsidRPr="001405E4">
                              <w:rPr>
                                <w:rFonts w:ascii="Arial" w:hAnsi="Arial" w:cs="Arial"/>
                                <w:color w:val="000000" w:themeColor="text1"/>
                                <w:sz w:val="13"/>
                                <w:szCs w:val="13"/>
                              </w:rPr>
                              <w:t>Eye Movement Desensitisation and Reprocessing (EMDR) and Trauma-focused Cognitive Behavioural Therapy (CBT) are the main psychological treatments that reduce anxiety and intrusive thoughts (Watts et al., 2013). SSRIs and other medications are used to treat mood, anxiety, and sleep disorders (Hoskins et al., 2015).</w:t>
                            </w:r>
                          </w:p>
                          <w:p w14:paraId="1B180BBA" w14:textId="608C04D4" w:rsidR="001405E4" w:rsidRPr="001405E4" w:rsidRDefault="001405E4" w:rsidP="001405E4">
                            <w:pPr>
                              <w:spacing w:line="360" w:lineRule="auto"/>
                              <w:rPr>
                                <w:rFonts w:ascii="Arial" w:hAnsi="Arial" w:cs="Arial"/>
                                <w:color w:val="000000" w:themeColor="text1"/>
                                <w:sz w:val="13"/>
                                <w:szCs w:val="13"/>
                              </w:rPr>
                            </w:pPr>
                            <w:r w:rsidRPr="001405E4">
                              <w:rPr>
                                <w:rFonts w:ascii="Arial" w:hAnsi="Arial" w:cs="Arial"/>
                                <w:color w:val="000000" w:themeColor="text1"/>
                                <w:sz w:val="13"/>
                                <w:szCs w:val="13"/>
                              </w:rPr>
                              <w:t xml:space="preserve">The goals of community support programs are to promote peer relationships, facilitate social reintegration, and offer recovery-oriented care that aids in the restoration of everyday activities and confidence (Bird et al., 2020). While digital resources such as online CBT and mobile applications improve accessibility in locations with limited resources, trauma-informed care emphasises safety, empowerment, and collaborative approaches (Sweeney et al., 2018; Naslund et al., 2020). The best long-term outcomes come from combining medication, treatment, and community support (Leucht et al., 2017). </w:t>
                            </w:r>
                          </w:p>
                          <w:p w14:paraId="099B0F7F" w14:textId="0486ACB9" w:rsidR="00C92E2B" w:rsidRPr="001405E4" w:rsidRDefault="00C92E2B" w:rsidP="00D462FA">
                            <w:pPr>
                              <w:spacing w:line="360" w:lineRule="auto"/>
                              <w:rPr>
                                <w:rFonts w:ascii="Arial" w:hAnsi="Arial" w:cs="Arial"/>
                                <w:color w:val="000000" w:themeColor="text1"/>
                                <w:sz w:val="13"/>
                                <w:szCs w:val="13"/>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0F5180" id="Rectangle 26" o:spid="_x0000_s1032" style="position:absolute;margin-left:-62pt;margin-top:16.35pt;width:195.85pt;height:262.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" fillcolor="#7030a0" stroked="f" strokeweight="1pt">
                <v:textbox>
                  <w:txbxContent>
                    <w:p w14:paraId="76A22908" w14:textId="77777777" w:rsidR="001405E4" w:rsidRDefault="00C92E2B" w:rsidP="001405E4">
                      <w:pPr>
                        <w:spacing w:line="360" w:lineRule="auto"/>
                        <w:rPr>
                          <w:rFonts w:ascii="Arial" w:hAnsi="Arial" w:cs="Arial"/>
                          <w:color w:val="000000" w:themeColor="text1"/>
                          <w:sz w:val="13"/>
                          <w:szCs w:val="13"/>
                        </w:rPr>
                      </w:pPr>
                      <w:r w:rsidRPr="00C92E2B">
                        <w:rPr>
                          <w:rStyle w:val="suggestionparagraphs"/>
                          <w:rFonts w:ascii="Arial" w:hAnsi="Arial" w:cs="Arial"/>
                          <w:b/>
                          <w:bCs/>
                          <w:color w:val="000000" w:themeColor="text1"/>
                          <w:sz w:val="18"/>
                          <w:szCs w:val="18"/>
                        </w:rPr>
                        <w:t>Modern Treatment and Interventions for PTSD</w:t>
                      </w:r>
                      <w:r w:rsidRPr="00C92E2B">
                        <w:rPr>
                          <w:rFonts w:ascii="Arial" w:hAnsi="Arial" w:cs="Arial"/>
                          <w:color w:val="000000" w:themeColor="text1"/>
                          <w:sz w:val="13"/>
                          <w:szCs w:val="13"/>
                        </w:rPr>
                        <w:br/>
                      </w:r>
                      <w:r w:rsidR="001405E4" w:rsidRPr="001405E4">
                        <w:rPr>
                          <w:rFonts w:ascii="Arial" w:hAnsi="Arial" w:cs="Arial"/>
                          <w:color w:val="000000" w:themeColor="text1"/>
                          <w:sz w:val="13"/>
                          <w:szCs w:val="13"/>
                        </w:rPr>
                        <w:t>Eye Movement Desensitisation and Reprocessing (EMDR) and Trauma-focused Cognitive Behavioural Therapy (CBT) are the main psychological treatments that reduce anxiety and intrusive thoughts (Watts et al., 2013). SSRIs and other medications are used to treat mood, anxiety, and sleep disorders (Hoskins et al., 2015).</w:t>
                      </w:r>
                    </w:p>
                    <w:p w14:paraId="1B180BBA" w14:textId="608C04D4" w:rsidR="001405E4" w:rsidRPr="001405E4" w:rsidRDefault="001405E4" w:rsidP="001405E4">
                      <w:pPr>
                        <w:spacing w:line="360" w:lineRule="auto"/>
                        <w:rPr>
                          <w:rFonts w:ascii="Arial" w:hAnsi="Arial" w:cs="Arial"/>
                          <w:color w:val="000000" w:themeColor="text1"/>
                          <w:sz w:val="13"/>
                          <w:szCs w:val="13"/>
                        </w:rPr>
                      </w:pPr>
                      <w:r w:rsidRPr="001405E4">
                        <w:rPr>
                          <w:rFonts w:ascii="Arial" w:hAnsi="Arial" w:cs="Arial"/>
                          <w:color w:val="000000" w:themeColor="text1"/>
                          <w:sz w:val="13"/>
                          <w:szCs w:val="13"/>
                        </w:rPr>
                        <w:t xml:space="preserve">The goals of community support programs are to promote peer relationships, facilitate social reintegration, and offer recovery-oriented care that aids in the restoration of everyday activities and confidence (Bird et al., 2020). While digital resources such as online CBT and mobile applications improve accessibility in locations with limited resources, trauma-informed care emphasises safety, empowerment, and collaborative approaches (Sweeney et al., 2018; Naslund et al., 2020). The best long-term outcomes come from combining medication, treatment, and community support (Leucht et al., 2017). </w:t>
                      </w:r>
                    </w:p>
                    <w:p w14:paraId="099B0F7F" w14:textId="0486ACB9" w:rsidR="00C92E2B" w:rsidRPr="001405E4" w:rsidRDefault="00C92E2B" w:rsidP="00D462FA">
                      <w:pPr>
                        <w:spacing w:line="360" w:lineRule="auto"/>
                        <w:rPr>
                          <w:rFonts w:ascii="Arial" w:hAnsi="Arial" w:cs="Arial"/>
                          <w:color w:val="000000" w:themeColor="text1"/>
                          <w:sz w:val="13"/>
                          <w:szCs w:val="13"/>
                        </w:rPr>
                      </w:pPr>
                    </w:p>
                  </w:txbxContent>
                </v:textbox>
                <w10:wrap anchory="page"/>
              </v:rect>
            </w:pict>
          </mc:Fallback>
        </mc:AlternateContent>
      </w:r>
      <w:r w:rsidR="00C92E2B">
        <w:rPr>
          <w:rFonts w:ascii="Arial" w:hAnsi="Arial" w:cs="Arial"/>
          <w:b/>
          <w:bCs/>
          <w:noProof/>
          <w:sz w:val="20"/>
          <w:szCs w:val="20"/>
        </w:rPr>
        <mc:AlternateContent>
          <mc:Choice Requires="wps">
            <w:drawing>
              <wp:anchor distT="0" distB="0" distL="114300" distR="114300" simplePos="0" relativeHeight="251677696" behindDoc="1" locked="0" layoutInCell="1" allowOverlap="1" wp14:anchorId="5738F5F3" wp14:editId="62C7AD69">
                <wp:simplePos x="0" y="0"/>
                <wp:positionH relativeFrom="column">
                  <wp:posOffset>4248150</wp:posOffset>
                </wp:positionH>
                <wp:positionV relativeFrom="page">
                  <wp:posOffset>209550</wp:posOffset>
                </wp:positionV>
                <wp:extent cx="2447925" cy="3333750"/>
                <wp:effectExtent l="38100" t="38100" r="47625" b="38100"/>
                <wp:wrapNone/>
                <wp:docPr id="28" name="Rectangle 28"/>
                <wp:cNvGraphicFramePr/>
                <a:graphic xmlns:a="http://schemas.openxmlformats.org/drawingml/2006/main">
                  <a:graphicData uri="http://schemas.microsoft.com/office/word/2010/wordprocessingShape">
                    <wps:wsp>
                      <wps:cNvSpPr/>
                      <wps:spPr>
                        <a:xfrm>
                          <a:off x="0" y="0"/>
                          <a:ext cx="2447925" cy="3333750"/>
                        </a:xfrm>
                        <a:prstGeom prst="rect">
                          <a:avLst/>
                        </a:prstGeom>
                        <a:solidFill>
                          <a:srgbClr val="FFFF00"/>
                        </a:solidFill>
                        <a:ln>
                          <a:noFill/>
                        </a:ln>
                        <a:effectLst/>
                        <a:scene3d>
                          <a:camera prst="orthographicFront">
                            <a:rot lat="0" lon="0" rev="0"/>
                          </a:camera>
                          <a:lightRig rig="chilly" dir="t">
                            <a:rot lat="0" lon="0" rev="18480000"/>
                          </a:lightRig>
                        </a:scene3d>
                        <a:sp3d prstMaterial="clear">
                          <a:bevelT h="63500"/>
                        </a:sp3d>
                      </wps:spPr>
                      <wps:style>
                        <a:lnRef idx="2">
                          <a:schemeClr val="accent1">
                            <a:shade val="50000"/>
                          </a:schemeClr>
                        </a:lnRef>
                        <a:fillRef idx="1">
                          <a:schemeClr val="accent1"/>
                        </a:fillRef>
                        <a:effectRef idx="0">
                          <a:schemeClr val="accent1"/>
                        </a:effectRef>
                        <a:fontRef idx="minor">
                          <a:schemeClr val="lt1"/>
                        </a:fontRef>
                      </wps:style>
                      <wps:txbx>
                        <w:txbxContent>
                          <w:p w14:paraId="50FDBB60" w14:textId="20F7C448" w:rsidR="001405E4" w:rsidRPr="001405E4" w:rsidRDefault="00C92E2B" w:rsidP="001405E4">
                            <w:pPr>
                              <w:spacing w:line="360" w:lineRule="auto"/>
                              <w:rPr>
                                <w:rFonts w:ascii="Arial" w:hAnsi="Arial" w:cs="Arial"/>
                                <w:color w:val="000000" w:themeColor="text1"/>
                                <w:sz w:val="13"/>
                                <w:szCs w:val="13"/>
                              </w:rPr>
                            </w:pPr>
                            <w:r w:rsidRPr="00C92E2B">
                              <w:rPr>
                                <w:rStyle w:val="suggestionparagraphs"/>
                                <w:rFonts w:ascii="Arial" w:hAnsi="Arial" w:cs="Arial"/>
                                <w:b/>
                                <w:bCs/>
                                <w:color w:val="000000" w:themeColor="text1"/>
                                <w:sz w:val="18"/>
                                <w:szCs w:val="18"/>
                              </w:rPr>
                              <w:t>Conclusion</w:t>
                            </w:r>
                            <w:r w:rsidRPr="00C92E2B">
                              <w:rPr>
                                <w:rFonts w:ascii="Arial" w:hAnsi="Arial" w:cs="Arial"/>
                                <w:color w:val="000000" w:themeColor="text1"/>
                                <w:sz w:val="13"/>
                                <w:szCs w:val="13"/>
                              </w:rPr>
                              <w:br/>
                            </w:r>
                            <w:r w:rsidR="001405E4" w:rsidRPr="001405E4">
                              <w:rPr>
                                <w:rFonts w:ascii="Arial" w:hAnsi="Arial" w:cs="Arial"/>
                                <w:color w:val="000000" w:themeColor="text1"/>
                                <w:sz w:val="13"/>
                                <w:szCs w:val="13"/>
                              </w:rPr>
                              <w:t>From early misconceptions about personal weakness to its recognition as a legitimate psychological condition requiring specialised and compassionate care, our understanding of PTSD has changed (Jones and Westley, 2005). A comprehensive, biopsychosocial approach that emphasises both clinical care and societal healing is supported by the ICD-11 (World Health Organization, 2022).</w:t>
                            </w:r>
                            <w:r w:rsidR="001405E4" w:rsidRPr="001405E4">
                              <w:rPr>
                                <w:rFonts w:ascii="Arial" w:hAnsi="Arial" w:cs="Arial"/>
                                <w:color w:val="000000" w:themeColor="text1"/>
                                <w:sz w:val="13"/>
                                <w:szCs w:val="13"/>
                              </w:rPr>
                              <w:br/>
                              <w:t xml:space="preserve">Although results have improved due to advancements in therapy, medicine, and trauma-sensitive practices, there are still gaps in diagnosis and access (NICE, 2018; Patel et al., 2018). To achieve equitable, individualised treatment worldwide, ongoing investments in early intervention techniques, community resources, and culturally competent care are essential (OECD, 2023; Slade, 2017). </w:t>
                            </w:r>
                          </w:p>
                          <w:p w14:paraId="08BC450D" w14:textId="310A45B7" w:rsidR="00C92E2B" w:rsidRPr="00C92E2B" w:rsidRDefault="00C92E2B" w:rsidP="00D462FA">
                            <w:pPr>
                              <w:spacing w:line="360" w:lineRule="auto"/>
                              <w:rPr>
                                <w:rFonts w:ascii="Arial" w:hAnsi="Arial" w:cs="Arial"/>
                                <w:sz w:val="13"/>
                                <w:szCs w:val="13"/>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38F5F3" id="Rectangle 28" o:spid="_x0000_s1033" style="position:absolute;margin-left:334.5pt;margin-top:16.5pt;width:192.75pt;height:262.5pt;z-index:-25163878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" fillcolor="yellow" stroked="f" strokeweight="1pt">
                <v:textbox>
                  <w:txbxContent>
                    <w:p w14:paraId="50FDBB60" w14:textId="20F7C448" w:rsidR="001405E4" w:rsidRPr="001405E4" w:rsidRDefault="00C92E2B" w:rsidP="001405E4">
                      <w:pPr>
                        <w:spacing w:line="360" w:lineRule="auto"/>
                        <w:rPr>
                          <w:rFonts w:ascii="Arial" w:hAnsi="Arial" w:cs="Arial"/>
                          <w:color w:val="000000" w:themeColor="text1"/>
                          <w:sz w:val="13"/>
                          <w:szCs w:val="13"/>
                        </w:rPr>
                      </w:pPr>
                      <w:r w:rsidRPr="00C92E2B">
                        <w:rPr>
                          <w:rStyle w:val="suggestionparagraphs"/>
                          <w:rFonts w:ascii="Arial" w:hAnsi="Arial" w:cs="Arial"/>
                          <w:b/>
                          <w:bCs/>
                          <w:color w:val="000000" w:themeColor="text1"/>
                          <w:sz w:val="18"/>
                          <w:szCs w:val="18"/>
                        </w:rPr>
                        <w:t>Conclusion</w:t>
                      </w:r>
                      <w:r w:rsidRPr="00C92E2B">
                        <w:rPr>
                          <w:rFonts w:ascii="Arial" w:hAnsi="Arial" w:cs="Arial"/>
                          <w:color w:val="000000" w:themeColor="text1"/>
                          <w:sz w:val="13"/>
                          <w:szCs w:val="13"/>
                        </w:rPr>
                        <w:br/>
                      </w:r>
                      <w:r w:rsidR="001405E4" w:rsidRPr="001405E4">
                        <w:rPr>
                          <w:rFonts w:ascii="Arial" w:hAnsi="Arial" w:cs="Arial"/>
                          <w:color w:val="000000" w:themeColor="text1"/>
                          <w:sz w:val="13"/>
                          <w:szCs w:val="13"/>
                        </w:rPr>
                        <w:t>From early misconceptions about personal weakness to its recognition as a legitimate psychological condition requiring specialised and compassionate care, our understanding of PTSD has changed (Jones and Westley, 2005). A comprehensive, biopsychosocial approach that emphasises both clinical care and societal healing is supported by the ICD-11 (World Health Organization, 2022).</w:t>
                      </w:r>
                      <w:r w:rsidR="001405E4" w:rsidRPr="001405E4">
                        <w:rPr>
                          <w:rFonts w:ascii="Arial" w:hAnsi="Arial" w:cs="Arial"/>
                          <w:color w:val="000000" w:themeColor="text1"/>
                          <w:sz w:val="13"/>
                          <w:szCs w:val="13"/>
                        </w:rPr>
                        <w:br/>
                        <w:t xml:space="preserve">Although results have improved due to advancements in therapy, medicine, and trauma-sensitive practices, there are still gaps in diagnosis and access (NICE, 2018; Patel et al., 2018). To achieve equitable, individualised treatment worldwide, ongoing investments in early intervention techniques, community resources, and culturally competent care are essential (OECD, 2023; Slade, 2017). </w:t>
                      </w:r>
                    </w:p>
                    <w:p w14:paraId="08BC450D" w14:textId="310A45B7" w:rsidR="00C92E2B" w:rsidRPr="00C92E2B" w:rsidRDefault="00C92E2B" w:rsidP="00D462FA">
                      <w:pPr>
                        <w:spacing w:line="360" w:lineRule="auto"/>
                        <w:rPr>
                          <w:rFonts w:ascii="Arial" w:hAnsi="Arial" w:cs="Arial"/>
                          <w:sz w:val="13"/>
                          <w:szCs w:val="13"/>
                        </w:rPr>
                      </w:pPr>
                    </w:p>
                  </w:txbxContent>
                </v:textbox>
                <w10:wrap anchory="page"/>
              </v:rect>
            </w:pict>
          </mc:Fallback>
        </mc:AlternateContent>
      </w:r>
      <w:r w:rsidR="00C92E2B">
        <w:rPr>
          <w:rFonts w:ascii="Arial" w:hAnsi="Arial" w:cs="Arial"/>
          <w:b/>
          <w:bCs/>
          <w:noProof/>
          <w:sz w:val="20"/>
          <w:szCs w:val="20"/>
        </w:rPr>
        <mc:AlternateContent>
          <mc:Choice Requires="wps">
            <w:drawing>
              <wp:anchor distT="0" distB="0" distL="114300" distR="114300" simplePos="0" relativeHeight="251675648" behindDoc="1" locked="0" layoutInCell="1" allowOverlap="1" wp14:anchorId="494F82E7" wp14:editId="3A8B70AA">
                <wp:simplePos x="0" y="0"/>
                <wp:positionH relativeFrom="column">
                  <wp:posOffset>1743075</wp:posOffset>
                </wp:positionH>
                <wp:positionV relativeFrom="page">
                  <wp:posOffset>209550</wp:posOffset>
                </wp:positionV>
                <wp:extent cx="2447925" cy="3333750"/>
                <wp:effectExtent l="38100" t="38100" r="47625" b="38100"/>
                <wp:wrapNone/>
                <wp:docPr id="27" name="Rectangle 27"/>
                <wp:cNvGraphicFramePr/>
                <a:graphic xmlns:a="http://schemas.openxmlformats.org/drawingml/2006/main">
                  <a:graphicData uri="http://schemas.microsoft.com/office/word/2010/wordprocessingShape">
                    <wps:wsp>
                      <wps:cNvSpPr/>
                      <wps:spPr>
                        <a:xfrm>
                          <a:off x="0" y="0"/>
                          <a:ext cx="2447925" cy="3333750"/>
                        </a:xfrm>
                        <a:prstGeom prst="rect">
                          <a:avLst/>
                        </a:prstGeom>
                        <a:solidFill>
                          <a:schemeClr val="accent2"/>
                        </a:solidFill>
                        <a:ln>
                          <a:noFill/>
                        </a:ln>
                        <a:effectLst/>
                        <a:scene3d>
                          <a:camera prst="orthographicFront">
                            <a:rot lat="0" lon="0" rev="0"/>
                          </a:camera>
                          <a:lightRig rig="chilly" dir="t">
                            <a:rot lat="0" lon="0" rev="18480000"/>
                          </a:lightRig>
                        </a:scene3d>
                        <a:sp3d prstMaterial="clear">
                          <a:bevelT h="63500"/>
                        </a:sp3d>
                      </wps:spPr>
                      <wps:style>
                        <a:lnRef idx="2">
                          <a:schemeClr val="accent1">
                            <a:shade val="50000"/>
                          </a:schemeClr>
                        </a:lnRef>
                        <a:fillRef idx="1">
                          <a:schemeClr val="accent1"/>
                        </a:fillRef>
                        <a:effectRef idx="0">
                          <a:schemeClr val="accent1"/>
                        </a:effectRef>
                        <a:fontRef idx="minor">
                          <a:schemeClr val="lt1"/>
                        </a:fontRef>
                      </wps:style>
                      <wps:txbx>
                        <w:txbxContent>
                          <w:p w14:paraId="040E3178" w14:textId="77777777" w:rsidR="001405E4" w:rsidRDefault="00C92E2B" w:rsidP="001405E4">
                            <w:pPr>
                              <w:spacing w:line="360" w:lineRule="auto"/>
                              <w:rPr>
                                <w:rFonts w:ascii="Arial" w:hAnsi="Arial" w:cs="Arial"/>
                                <w:color w:val="000000" w:themeColor="text1"/>
                                <w:sz w:val="18"/>
                                <w:szCs w:val="18"/>
                              </w:rPr>
                            </w:pPr>
                            <w:r w:rsidRPr="00C92E2B">
                              <w:rPr>
                                <w:rStyle w:val="suggestionparagraphs"/>
                                <w:rFonts w:ascii="Arial" w:hAnsi="Arial" w:cs="Arial"/>
                                <w:b/>
                                <w:bCs/>
                                <w:color w:val="000000" w:themeColor="text1"/>
                                <w:sz w:val="18"/>
                                <w:szCs w:val="18"/>
                              </w:rPr>
                              <w:t>Current Challenges and Future Directions in PTSD Care</w:t>
                            </w:r>
                          </w:p>
                          <w:p w14:paraId="58011259" w14:textId="49D4CECC" w:rsidR="001405E4" w:rsidRPr="001405E4" w:rsidRDefault="001405E4" w:rsidP="001405E4">
                            <w:pPr>
                              <w:spacing w:line="360" w:lineRule="auto"/>
                              <w:rPr>
                                <w:rFonts w:ascii="Arial" w:hAnsi="Arial" w:cs="Arial"/>
                                <w:color w:val="000000" w:themeColor="text1"/>
                                <w:sz w:val="13"/>
                                <w:szCs w:val="13"/>
                              </w:rPr>
                            </w:pPr>
                            <w:r w:rsidRPr="001405E4">
                              <w:rPr>
                                <w:rFonts w:ascii="Arial" w:hAnsi="Arial" w:cs="Arial"/>
                                <w:color w:val="000000" w:themeColor="text1"/>
                                <w:sz w:val="13"/>
                                <w:szCs w:val="13"/>
                              </w:rPr>
                              <w:t xml:space="preserve">Present Issues and Prospects for PTSD Treatment </w:t>
                            </w:r>
                            <w:r w:rsidRPr="001405E4">
                              <w:rPr>
                                <w:rFonts w:ascii="Arial" w:hAnsi="Arial" w:cs="Arial"/>
                                <w:color w:val="000000" w:themeColor="text1"/>
                                <w:sz w:val="13"/>
                                <w:szCs w:val="13"/>
                              </w:rPr>
                              <w:br/>
                              <w:t>Due to stigma, insufficient screening methods, and cultural differences in symptom expression, many people with PTSD go untreated (Patel et al., 2018). Gender, ethnicity, and socioeconomic status disparities are present; care is often difficult for women, refugees, and underprivileged groups (Morgan et al., 2022).</w:t>
                            </w:r>
                            <w:r w:rsidRPr="001405E4">
                              <w:rPr>
                                <w:rFonts w:ascii="Arial" w:hAnsi="Arial" w:cs="Arial"/>
                                <w:color w:val="000000" w:themeColor="text1"/>
                                <w:sz w:val="13"/>
                                <w:szCs w:val="13"/>
                              </w:rPr>
                              <w:br/>
                              <w:t>Trauma-related services are hampered by a shortage of qualified personnel and inconsistent funding, especially in settings with limited resources (OECD, 2023; Carlson et al., 2021). In order to improve accessibility and continuing care, future strategies include early intervention, community awareness initiatives, integrating services into primary care, and utilising technology platforms like teletherapy (WHO, 2023; Naslund et al., 2020; Brewin, 2018).</w:t>
                            </w:r>
                          </w:p>
                          <w:p w14:paraId="50DB3352" w14:textId="3C29D3F2" w:rsidR="00C92E2B" w:rsidRPr="00C92E2B" w:rsidRDefault="00C92E2B" w:rsidP="00D462FA">
                            <w:pPr>
                              <w:spacing w:line="360" w:lineRule="auto"/>
                              <w:rPr>
                                <w:rFonts w:ascii="Arial" w:hAnsi="Arial" w:cs="Arial"/>
                                <w:sz w:val="13"/>
                                <w:szCs w:val="13"/>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4F82E7" id="Rectangle 27" o:spid="_x0000_s1034" style="position:absolute;margin-left:137.25pt;margin-top:16.5pt;width:192.75pt;height:262.5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" fillcolor="#ed7d31 [3205]" stroked="f" strokeweight="1pt">
                <v:textbox>
                  <w:txbxContent>
                    <w:p w14:paraId="040E3178" w14:textId="77777777" w:rsidR="001405E4" w:rsidRDefault="00C92E2B" w:rsidP="001405E4">
                      <w:pPr>
                        <w:spacing w:line="360" w:lineRule="auto"/>
                        <w:rPr>
                          <w:rFonts w:ascii="Arial" w:hAnsi="Arial" w:cs="Arial"/>
                          <w:color w:val="000000" w:themeColor="text1"/>
                          <w:sz w:val="18"/>
                          <w:szCs w:val="18"/>
                        </w:rPr>
                      </w:pPr>
                      <w:r w:rsidRPr="00C92E2B">
                        <w:rPr>
                          <w:rStyle w:val="suggestionparagraphs"/>
                          <w:rFonts w:ascii="Arial" w:hAnsi="Arial" w:cs="Arial"/>
                          <w:b/>
                          <w:bCs/>
                          <w:color w:val="000000" w:themeColor="text1"/>
                          <w:sz w:val="18"/>
                          <w:szCs w:val="18"/>
                        </w:rPr>
                        <w:t>Current Challenges and Future Directions in PTSD Care</w:t>
                      </w:r>
                    </w:p>
                    <w:p w14:paraId="58011259" w14:textId="49D4CECC" w:rsidR="001405E4" w:rsidRPr="001405E4" w:rsidRDefault="001405E4" w:rsidP="001405E4">
                      <w:pPr>
                        <w:spacing w:line="360" w:lineRule="auto"/>
                        <w:rPr>
                          <w:rFonts w:ascii="Arial" w:hAnsi="Arial" w:cs="Arial"/>
                          <w:color w:val="000000" w:themeColor="text1"/>
                          <w:sz w:val="13"/>
                          <w:szCs w:val="13"/>
                        </w:rPr>
                      </w:pPr>
                      <w:r w:rsidRPr="001405E4">
                        <w:rPr>
                          <w:rFonts w:ascii="Arial" w:hAnsi="Arial" w:cs="Arial"/>
                          <w:color w:val="000000" w:themeColor="text1"/>
                          <w:sz w:val="13"/>
                          <w:szCs w:val="13"/>
                        </w:rPr>
                        <w:t xml:space="preserve">Present Issues and Prospects for PTSD Treatment </w:t>
                      </w:r>
                      <w:r w:rsidRPr="001405E4">
                        <w:rPr>
                          <w:rFonts w:ascii="Arial" w:hAnsi="Arial" w:cs="Arial"/>
                          <w:color w:val="000000" w:themeColor="text1"/>
                          <w:sz w:val="13"/>
                          <w:szCs w:val="13"/>
                        </w:rPr>
                        <w:br/>
                        <w:t>Due to stigma, insufficient screening methods, and cultural differences in symptom expression, many people with PTSD go untreated (Patel et al., 2018). Gender, ethnicity, and socioeconomic status disparities are present; care is often difficult for women, refugees, and underprivileged groups (Morgan et al., 2022).</w:t>
                      </w:r>
                      <w:r w:rsidRPr="001405E4">
                        <w:rPr>
                          <w:rFonts w:ascii="Arial" w:hAnsi="Arial" w:cs="Arial"/>
                          <w:color w:val="000000" w:themeColor="text1"/>
                          <w:sz w:val="13"/>
                          <w:szCs w:val="13"/>
                        </w:rPr>
                        <w:br/>
                        <w:t>Trauma-related services are hampered by a shortage of qualified personnel and inconsistent funding, especially in settings with limited resources (OECD, 2023; Carlson et al., 2021). In order to improve accessibility and continuing care, future strategies include early intervention, community awareness initiatives, integrating services into primary care, and utilising technology platforms like teletherapy (WHO, 2023; Naslund et al., 2020; Brewin, 2018).</w:t>
                      </w:r>
                    </w:p>
                    <w:p w14:paraId="50DB3352" w14:textId="3C29D3F2" w:rsidR="00C92E2B" w:rsidRPr="00C92E2B" w:rsidRDefault="00C92E2B" w:rsidP="00D462FA">
                      <w:pPr>
                        <w:spacing w:line="360" w:lineRule="auto"/>
                        <w:rPr>
                          <w:rFonts w:ascii="Arial" w:hAnsi="Arial" w:cs="Arial"/>
                          <w:sz w:val="13"/>
                          <w:szCs w:val="13"/>
                        </w:rPr>
                      </w:pPr>
                    </w:p>
                  </w:txbxContent>
                </v:textbox>
                <w10:wrap anchory="page"/>
              </v:rect>
            </w:pict>
          </mc:Fallback>
        </mc:AlternateContent>
      </w:r>
    </w:p>
    <w:p w14:paraId="474D8322" w14:textId="2D738E79" w:rsidR="00D462FA" w:rsidRPr="00D462FA" w:rsidRDefault="00D462FA" w:rsidP="00D462FA">
      <w:pPr>
        <w:rPr>
          <w:lang w:eastAsia="en-GB"/>
        </w:rPr>
      </w:pPr>
    </w:p>
    <w:p w14:paraId="0EE3D9C9" w14:textId="56269FDA" w:rsidR="00D462FA" w:rsidRPr="00D462FA" w:rsidRDefault="00D462FA" w:rsidP="00D462FA">
      <w:pPr>
        <w:rPr>
          <w:lang w:eastAsia="en-GB"/>
        </w:rPr>
      </w:pPr>
    </w:p>
    <w:p w14:paraId="22CF5200" w14:textId="0689A1BF" w:rsidR="00D462FA" w:rsidRPr="00D462FA" w:rsidRDefault="00D462FA" w:rsidP="00D462FA">
      <w:pPr>
        <w:rPr>
          <w:lang w:eastAsia="en-GB"/>
        </w:rPr>
      </w:pPr>
    </w:p>
    <w:p w14:paraId="690EC465" w14:textId="769156BE" w:rsidR="00D462FA" w:rsidRPr="00D462FA" w:rsidRDefault="00D462FA" w:rsidP="00D462FA">
      <w:pPr>
        <w:rPr>
          <w:lang w:eastAsia="en-GB"/>
        </w:rPr>
      </w:pPr>
    </w:p>
    <w:p w14:paraId="40B9A11F" w14:textId="2C6703E5" w:rsidR="00D462FA" w:rsidRPr="00D462FA" w:rsidRDefault="00D462FA" w:rsidP="00D462FA">
      <w:pPr>
        <w:rPr>
          <w:lang w:eastAsia="en-GB"/>
        </w:rPr>
      </w:pPr>
    </w:p>
    <w:p w14:paraId="070D35AC" w14:textId="20D0B3EB" w:rsidR="00D462FA" w:rsidRPr="00D462FA" w:rsidRDefault="00D462FA" w:rsidP="00D462FA">
      <w:pPr>
        <w:rPr>
          <w:lang w:eastAsia="en-GB"/>
        </w:rPr>
      </w:pPr>
    </w:p>
    <w:p w14:paraId="01930D33" w14:textId="016E144E" w:rsidR="00D462FA" w:rsidRPr="00D462FA" w:rsidRDefault="00D462FA" w:rsidP="00D462FA">
      <w:pPr>
        <w:rPr>
          <w:lang w:eastAsia="en-GB"/>
        </w:rPr>
      </w:pPr>
    </w:p>
    <w:p w14:paraId="770D9F58" w14:textId="60A6E258" w:rsidR="00D462FA" w:rsidRPr="00D462FA" w:rsidRDefault="00D462FA" w:rsidP="00D462FA">
      <w:pPr>
        <w:rPr>
          <w:lang w:eastAsia="en-GB"/>
        </w:rPr>
      </w:pPr>
    </w:p>
    <w:p w14:paraId="7D4646B9" w14:textId="377A8D21" w:rsidR="00EC58B4" w:rsidRDefault="00D462FA" w:rsidP="00D462FA">
      <w:pPr>
        <w:tabs>
          <w:tab w:val="left" w:pos="7005"/>
        </w:tabs>
        <w:rPr>
          <w:lang w:eastAsia="en-GB"/>
        </w:rPr>
      </w:pPr>
      <w:r>
        <w:rPr>
          <w:lang w:eastAsia="en-GB"/>
        </w:rPr>
        <w:tab/>
      </w:r>
    </w:p>
    <w:p w14:paraId="7384F012" w14:textId="77777777" w:rsidR="00EC58B4" w:rsidRDefault="00EC58B4">
      <w:pPr>
        <w:rPr>
          <w:lang w:eastAsia="en-GB"/>
        </w:rPr>
      </w:pPr>
      <w:r>
        <w:rPr>
          <w:lang w:eastAsia="en-GB"/>
        </w:rPr>
        <w:br w:type="page"/>
      </w:r>
    </w:p>
    <w:p w14:paraId="6160291E" w14:textId="6E5D0797" w:rsidR="004433F6" w:rsidRPr="0015007E" w:rsidRDefault="00BC430A" w:rsidP="004433F6">
      <w:pPr>
        <w:tabs>
          <w:tab w:val="left" w:pos="7005"/>
        </w:tabs>
        <w:rPr>
          <w:b/>
          <w:bCs/>
          <w:lang w:eastAsia="en-GB"/>
        </w:rPr>
      </w:pPr>
      <w:r w:rsidRPr="0015007E">
        <w:rPr>
          <w:b/>
          <w:bCs/>
          <w:lang w:eastAsia="en-GB"/>
        </w:rPr>
        <w:lastRenderedPageBreak/>
        <w:t>Reference List</w:t>
      </w:r>
    </w:p>
    <w:p w14:paraId="4DE2C96E" w14:textId="77777777" w:rsidR="00BC430A" w:rsidRPr="00BC430A" w:rsidRDefault="00BC430A" w:rsidP="00BC430A">
      <w:pPr>
        <w:tabs>
          <w:tab w:val="left" w:pos="7005"/>
        </w:tabs>
        <w:rPr>
          <w:rFonts w:ascii="Arial" w:hAnsi="Arial" w:cs="Arial"/>
          <w:sz w:val="18"/>
          <w:szCs w:val="18"/>
          <w:lang w:eastAsia="en-GB"/>
        </w:rPr>
      </w:pPr>
      <w:r w:rsidRPr="00BC430A">
        <w:rPr>
          <w:rFonts w:ascii="Arial" w:hAnsi="Arial" w:cs="Arial"/>
          <w:sz w:val="18"/>
          <w:szCs w:val="18"/>
          <w:lang w:eastAsia="en-GB"/>
        </w:rPr>
        <w:t xml:space="preserve">American Psychiatric Association (1980) </w:t>
      </w:r>
      <w:r w:rsidRPr="00BC430A">
        <w:rPr>
          <w:rFonts w:ascii="Arial" w:hAnsi="Arial" w:cs="Arial"/>
          <w:i/>
          <w:iCs/>
          <w:sz w:val="18"/>
          <w:szCs w:val="18"/>
          <w:lang w:eastAsia="en-GB"/>
        </w:rPr>
        <w:t>Diagnostic and Statistical Manual of Mental Disorders (DSM-III).</w:t>
      </w:r>
      <w:r w:rsidRPr="00BC430A">
        <w:rPr>
          <w:rFonts w:ascii="Arial" w:hAnsi="Arial" w:cs="Arial"/>
          <w:sz w:val="18"/>
          <w:szCs w:val="18"/>
          <w:lang w:eastAsia="en-GB"/>
        </w:rPr>
        <w:t xml:space="preserve"> Washington, DC: American Psychiatric Association.</w:t>
      </w:r>
      <w:r w:rsidRPr="00BC430A">
        <w:rPr>
          <w:rFonts w:ascii="Arial" w:hAnsi="Arial" w:cs="Arial"/>
          <w:sz w:val="18"/>
          <w:szCs w:val="18"/>
          <w:lang w:eastAsia="en-GB"/>
        </w:rPr>
        <w:br/>
        <w:t xml:space="preserve">Bhugra, D. and Bhui, K. (2018) </w:t>
      </w:r>
      <w:r w:rsidRPr="00BC430A">
        <w:rPr>
          <w:rFonts w:ascii="Arial" w:hAnsi="Arial" w:cs="Arial"/>
          <w:i/>
          <w:iCs/>
          <w:sz w:val="18"/>
          <w:szCs w:val="18"/>
          <w:lang w:eastAsia="en-GB"/>
        </w:rPr>
        <w:t>Textbook of Cultural Psychiatry.</w:t>
      </w:r>
      <w:r w:rsidRPr="00BC430A">
        <w:rPr>
          <w:rFonts w:ascii="Arial" w:hAnsi="Arial" w:cs="Arial"/>
          <w:sz w:val="18"/>
          <w:szCs w:val="18"/>
          <w:lang w:eastAsia="en-GB"/>
        </w:rPr>
        <w:t xml:space="preserve"> 2nd edn. Cambridge: Cambridge University Press.</w:t>
      </w:r>
      <w:r w:rsidRPr="00BC430A">
        <w:rPr>
          <w:rFonts w:ascii="Arial" w:hAnsi="Arial" w:cs="Arial"/>
          <w:sz w:val="18"/>
          <w:szCs w:val="18"/>
          <w:lang w:eastAsia="en-GB"/>
        </w:rPr>
        <w:br/>
        <w:t xml:space="preserve">Bird, V., Premkumar, P., Kendall, T., Whittington, C., Mitchell, J. and Kuipers, E. (2020) ‘Early intervention services, cognitive–behavioural therapy and family intervention in early psychosis: systematic review’, </w:t>
      </w:r>
      <w:r w:rsidRPr="00BC430A">
        <w:rPr>
          <w:rFonts w:ascii="Arial" w:hAnsi="Arial" w:cs="Arial"/>
          <w:i/>
          <w:iCs/>
          <w:sz w:val="18"/>
          <w:szCs w:val="18"/>
          <w:lang w:eastAsia="en-GB"/>
        </w:rPr>
        <w:t>The British Journal of Psychiatry</w:t>
      </w:r>
      <w:r w:rsidRPr="00BC430A">
        <w:rPr>
          <w:rFonts w:ascii="Arial" w:hAnsi="Arial" w:cs="Arial"/>
          <w:sz w:val="18"/>
          <w:szCs w:val="18"/>
          <w:lang w:eastAsia="en-GB"/>
        </w:rPr>
        <w:t>, 206(5), pp. 290–297.</w:t>
      </w:r>
      <w:r w:rsidRPr="00BC430A">
        <w:rPr>
          <w:rFonts w:ascii="Arial" w:hAnsi="Arial" w:cs="Arial"/>
          <w:sz w:val="18"/>
          <w:szCs w:val="18"/>
          <w:lang w:eastAsia="en-GB"/>
        </w:rPr>
        <w:br/>
        <w:t xml:space="preserve">Brewin, C.R. (2018) </w:t>
      </w:r>
      <w:r w:rsidRPr="00BC430A">
        <w:rPr>
          <w:rFonts w:ascii="Arial" w:hAnsi="Arial" w:cs="Arial"/>
          <w:i/>
          <w:iCs/>
          <w:sz w:val="18"/>
          <w:szCs w:val="18"/>
          <w:lang w:eastAsia="en-GB"/>
        </w:rPr>
        <w:t>Posttraumatic Stress Disorder: Malady or Myth?</w:t>
      </w:r>
      <w:r w:rsidRPr="00BC430A">
        <w:rPr>
          <w:rFonts w:ascii="Arial" w:hAnsi="Arial" w:cs="Arial"/>
          <w:sz w:val="18"/>
          <w:szCs w:val="18"/>
          <w:lang w:eastAsia="en-GB"/>
        </w:rPr>
        <w:t xml:space="preserve"> New Haven: Yale University Press.</w:t>
      </w:r>
      <w:r w:rsidRPr="00BC430A">
        <w:rPr>
          <w:rFonts w:ascii="Arial" w:hAnsi="Arial" w:cs="Arial"/>
          <w:sz w:val="18"/>
          <w:szCs w:val="18"/>
          <w:lang w:eastAsia="en-GB"/>
        </w:rPr>
        <w:br/>
        <w:t xml:space="preserve">Canva (2026) </w:t>
      </w:r>
      <w:r w:rsidRPr="00BC430A">
        <w:rPr>
          <w:rFonts w:ascii="Arial" w:hAnsi="Arial" w:cs="Arial"/>
          <w:i/>
          <w:iCs/>
          <w:sz w:val="18"/>
          <w:szCs w:val="18"/>
          <w:lang w:eastAsia="en-GB"/>
        </w:rPr>
        <w:t>Post-traumatic stress disorder awareness infographic template.</w:t>
      </w:r>
      <w:r w:rsidRPr="00BC430A">
        <w:rPr>
          <w:rFonts w:ascii="Arial" w:hAnsi="Arial" w:cs="Arial"/>
          <w:sz w:val="18"/>
          <w:szCs w:val="18"/>
          <w:lang w:eastAsia="en-GB"/>
        </w:rPr>
        <w:t xml:space="preserve"> Available at: </w:t>
      </w:r>
      <w:hyperlink r:id="rId9" w:tgtFrame="_new" w:history="1">
        <w:r w:rsidRPr="00BC430A">
          <w:rPr>
            <w:rStyle w:val="Hyperlink"/>
            <w:rFonts w:ascii="Arial" w:hAnsi="Arial" w:cs="Arial"/>
            <w:sz w:val="18"/>
            <w:szCs w:val="18"/>
            <w:lang w:eastAsia="en-GB"/>
          </w:rPr>
          <w:t>https://www.canva.com</w:t>
        </w:r>
      </w:hyperlink>
      <w:r w:rsidRPr="00BC430A">
        <w:rPr>
          <w:rFonts w:ascii="Arial" w:hAnsi="Arial" w:cs="Arial"/>
          <w:sz w:val="18"/>
          <w:szCs w:val="18"/>
          <w:lang w:eastAsia="en-GB"/>
        </w:rPr>
        <w:t xml:space="preserve"> (Accessed: 6 March 2026).</w:t>
      </w:r>
      <w:r w:rsidRPr="00BC430A">
        <w:rPr>
          <w:rFonts w:ascii="Arial" w:hAnsi="Arial" w:cs="Arial"/>
          <w:sz w:val="18"/>
          <w:szCs w:val="18"/>
          <w:lang w:eastAsia="en-GB"/>
        </w:rPr>
        <w:br/>
        <w:t xml:space="preserve">Charlson, F., van Ommeren, M., Flaxman, A., Cornett, J., Whiteford, H. and Saxena, S. (2021) ‘New WHO prevalence estimates of mental disorders in conflict settings: a systematic review and meta-analysis’, </w:t>
      </w:r>
      <w:r w:rsidRPr="00BC430A">
        <w:rPr>
          <w:rFonts w:ascii="Arial" w:hAnsi="Arial" w:cs="Arial"/>
          <w:i/>
          <w:iCs/>
          <w:sz w:val="18"/>
          <w:szCs w:val="18"/>
          <w:lang w:eastAsia="en-GB"/>
        </w:rPr>
        <w:t>The Lancet</w:t>
      </w:r>
      <w:r w:rsidRPr="00BC430A">
        <w:rPr>
          <w:rFonts w:ascii="Arial" w:hAnsi="Arial" w:cs="Arial"/>
          <w:sz w:val="18"/>
          <w:szCs w:val="18"/>
          <w:lang w:eastAsia="en-GB"/>
        </w:rPr>
        <w:t>, 394(10194), pp. 240–248.</w:t>
      </w:r>
      <w:r w:rsidRPr="00BC430A">
        <w:rPr>
          <w:rFonts w:ascii="Arial" w:hAnsi="Arial" w:cs="Arial"/>
          <w:sz w:val="18"/>
          <w:szCs w:val="18"/>
          <w:lang w:eastAsia="en-GB"/>
        </w:rPr>
        <w:br/>
        <w:t xml:space="preserve">Cloitre, M., Garvert, D.W., Brewin, C.R., Bryant, R.A. and Maercker, A. (2020) ‘Evidence for proposed ICD-11 PTSD and complex PTSD: a latent profile analysis’, </w:t>
      </w:r>
      <w:r w:rsidRPr="00BC430A">
        <w:rPr>
          <w:rFonts w:ascii="Arial" w:hAnsi="Arial" w:cs="Arial"/>
          <w:i/>
          <w:iCs/>
          <w:sz w:val="18"/>
          <w:szCs w:val="18"/>
          <w:lang w:eastAsia="en-GB"/>
        </w:rPr>
        <w:t>European Journal of Psychotraumatology</w:t>
      </w:r>
      <w:r w:rsidRPr="00BC430A">
        <w:rPr>
          <w:rFonts w:ascii="Arial" w:hAnsi="Arial" w:cs="Arial"/>
          <w:sz w:val="18"/>
          <w:szCs w:val="18"/>
          <w:lang w:eastAsia="en-GB"/>
        </w:rPr>
        <w:t>, 5(4), pp. 250–263.</w:t>
      </w:r>
      <w:r w:rsidRPr="00BC430A">
        <w:rPr>
          <w:rFonts w:ascii="Arial" w:hAnsi="Arial" w:cs="Arial"/>
          <w:sz w:val="18"/>
          <w:szCs w:val="18"/>
          <w:lang w:eastAsia="en-GB"/>
        </w:rPr>
        <w:br/>
        <w:t xml:space="preserve">First, M.B., Gaebel, W., Maj, M., Stein, D.J. and Kogan, C.S. (2021) </w:t>
      </w:r>
      <w:r w:rsidRPr="00BC430A">
        <w:rPr>
          <w:rFonts w:ascii="Arial" w:hAnsi="Arial" w:cs="Arial"/>
          <w:i/>
          <w:iCs/>
          <w:sz w:val="18"/>
          <w:szCs w:val="18"/>
          <w:lang w:eastAsia="en-GB"/>
        </w:rPr>
        <w:t>The International Classification of Diseases, 11th Revision (ICD-11) for Mental and Behavioural Disorders: Clinical Descriptions and Diagnostic Guidelines.</w:t>
      </w:r>
      <w:r w:rsidRPr="00BC430A">
        <w:rPr>
          <w:rFonts w:ascii="Arial" w:hAnsi="Arial" w:cs="Arial"/>
          <w:sz w:val="18"/>
          <w:szCs w:val="18"/>
          <w:lang w:eastAsia="en-GB"/>
        </w:rPr>
        <w:t xml:space="preserve"> Geneva: World Health Organization.</w:t>
      </w:r>
      <w:r w:rsidRPr="00BC430A">
        <w:rPr>
          <w:rFonts w:ascii="Arial" w:hAnsi="Arial" w:cs="Arial"/>
          <w:sz w:val="18"/>
          <w:szCs w:val="18"/>
          <w:lang w:eastAsia="en-GB"/>
        </w:rPr>
        <w:br/>
        <w:t xml:space="preserve">Hoskins, M., Pearce, J., Bethell, A., Dankova, L., Barbui, C., Tol, W., van Ommeren, M. and Bisson, J. (2015) ‘Pharmacotherapy for post-traumatic stress disorder: systematic review and meta-analysis’, </w:t>
      </w:r>
      <w:r w:rsidRPr="00BC430A">
        <w:rPr>
          <w:rFonts w:ascii="Arial" w:hAnsi="Arial" w:cs="Arial"/>
          <w:i/>
          <w:iCs/>
          <w:sz w:val="18"/>
          <w:szCs w:val="18"/>
          <w:lang w:eastAsia="en-GB"/>
        </w:rPr>
        <w:t>The British Journal of Psychiatry</w:t>
      </w:r>
      <w:r w:rsidRPr="00BC430A">
        <w:rPr>
          <w:rFonts w:ascii="Arial" w:hAnsi="Arial" w:cs="Arial"/>
          <w:sz w:val="18"/>
          <w:szCs w:val="18"/>
          <w:lang w:eastAsia="en-GB"/>
        </w:rPr>
        <w:t>, 206(2), pp. 93–100.</w:t>
      </w:r>
      <w:r w:rsidRPr="00BC430A">
        <w:rPr>
          <w:rFonts w:ascii="Arial" w:hAnsi="Arial" w:cs="Arial"/>
          <w:sz w:val="18"/>
          <w:szCs w:val="18"/>
          <w:lang w:eastAsia="en-GB"/>
        </w:rPr>
        <w:br/>
        <w:t xml:space="preserve">Jones, E. and Wessely, S. (2005) </w:t>
      </w:r>
      <w:r w:rsidRPr="00BC430A">
        <w:rPr>
          <w:rFonts w:ascii="Arial" w:hAnsi="Arial" w:cs="Arial"/>
          <w:i/>
          <w:iCs/>
          <w:sz w:val="18"/>
          <w:szCs w:val="18"/>
          <w:lang w:eastAsia="en-GB"/>
        </w:rPr>
        <w:t>Shell Shock to PTSD: Military Psychiatry from 1900 to the Gulf War.</w:t>
      </w:r>
      <w:r w:rsidRPr="00BC430A">
        <w:rPr>
          <w:rFonts w:ascii="Arial" w:hAnsi="Arial" w:cs="Arial"/>
          <w:sz w:val="18"/>
          <w:szCs w:val="18"/>
          <w:lang w:eastAsia="en-GB"/>
        </w:rPr>
        <w:t xml:space="preserve"> Hove: Psychology Press.</w:t>
      </w:r>
      <w:r w:rsidRPr="00BC430A">
        <w:rPr>
          <w:rFonts w:ascii="Arial" w:hAnsi="Arial" w:cs="Arial"/>
          <w:sz w:val="18"/>
          <w:szCs w:val="18"/>
          <w:lang w:eastAsia="en-GB"/>
        </w:rPr>
        <w:br/>
        <w:t xml:space="preserve">Leucht, S., Leucht, C., Huhn, M., Chaimani, A., Mavridis, D., Helfer, B., Samara, M. and Cipriani, A. (2017) ‘Comparative efficacy and tolerability of 15 antipsychotic drugs in schizophrenia: a multiple-treatments meta-analysis’, </w:t>
      </w:r>
      <w:r w:rsidRPr="00BC430A">
        <w:rPr>
          <w:rFonts w:ascii="Arial" w:hAnsi="Arial" w:cs="Arial"/>
          <w:i/>
          <w:iCs/>
          <w:sz w:val="18"/>
          <w:szCs w:val="18"/>
          <w:lang w:eastAsia="en-GB"/>
        </w:rPr>
        <w:t>The Lancet</w:t>
      </w:r>
      <w:r w:rsidRPr="00BC430A">
        <w:rPr>
          <w:rFonts w:ascii="Arial" w:hAnsi="Arial" w:cs="Arial"/>
          <w:sz w:val="18"/>
          <w:szCs w:val="18"/>
          <w:lang w:eastAsia="en-GB"/>
        </w:rPr>
        <w:t>, 382(9896), pp. 951–962.</w:t>
      </w:r>
      <w:r w:rsidRPr="00BC430A">
        <w:rPr>
          <w:rFonts w:ascii="Arial" w:hAnsi="Arial" w:cs="Arial"/>
          <w:sz w:val="18"/>
          <w:szCs w:val="18"/>
          <w:lang w:eastAsia="en-GB"/>
        </w:rPr>
        <w:br/>
        <w:t xml:space="preserve">Morgan, C., Knowles, G. and Hutchinson, G. (2022) ‘Social determinants of psychosis: revisiting the evidence for inequality’, </w:t>
      </w:r>
      <w:r w:rsidRPr="00BC430A">
        <w:rPr>
          <w:rFonts w:ascii="Arial" w:hAnsi="Arial" w:cs="Arial"/>
          <w:i/>
          <w:iCs/>
          <w:sz w:val="18"/>
          <w:szCs w:val="18"/>
          <w:lang w:eastAsia="en-GB"/>
        </w:rPr>
        <w:t>Schizophrenia Research</w:t>
      </w:r>
      <w:r w:rsidRPr="00BC430A">
        <w:rPr>
          <w:rFonts w:ascii="Arial" w:hAnsi="Arial" w:cs="Arial"/>
          <w:sz w:val="18"/>
          <w:szCs w:val="18"/>
          <w:lang w:eastAsia="en-GB"/>
        </w:rPr>
        <w:t>, 241, pp. 68–75.</w:t>
      </w:r>
      <w:r w:rsidRPr="00BC430A">
        <w:rPr>
          <w:rFonts w:ascii="Arial" w:hAnsi="Arial" w:cs="Arial"/>
          <w:sz w:val="18"/>
          <w:szCs w:val="18"/>
          <w:lang w:eastAsia="en-GB"/>
        </w:rPr>
        <w:br/>
        <w:t xml:space="preserve">Murphy, D., Palmer, E. and Busuttil, W. (2019) ‘Mental health difficulties and help-seeking behaviours of UK military veterans’, </w:t>
      </w:r>
      <w:r w:rsidRPr="00BC430A">
        <w:rPr>
          <w:rFonts w:ascii="Arial" w:hAnsi="Arial" w:cs="Arial"/>
          <w:i/>
          <w:iCs/>
          <w:sz w:val="18"/>
          <w:szCs w:val="18"/>
          <w:lang w:eastAsia="en-GB"/>
        </w:rPr>
        <w:t>European Journal of Psychotraumatology</w:t>
      </w:r>
      <w:r w:rsidRPr="00BC430A">
        <w:rPr>
          <w:rFonts w:ascii="Arial" w:hAnsi="Arial" w:cs="Arial"/>
          <w:sz w:val="18"/>
          <w:szCs w:val="18"/>
          <w:lang w:eastAsia="en-GB"/>
        </w:rPr>
        <w:t>, 10(1), pp. 1–10.</w:t>
      </w:r>
      <w:r w:rsidRPr="00BC430A">
        <w:rPr>
          <w:rFonts w:ascii="Arial" w:hAnsi="Arial" w:cs="Arial"/>
          <w:sz w:val="18"/>
          <w:szCs w:val="18"/>
          <w:lang w:eastAsia="en-GB"/>
        </w:rPr>
        <w:br/>
        <w:t xml:space="preserve">Naslund, J.A., Aschbrenner, K.A., Araya, R. and Marsch, L.A. (2020) ‘Digital technology for treating and preventing mental disorders in low-income and middle-income countries: a narrative review of the literature’, </w:t>
      </w:r>
      <w:r w:rsidRPr="00BC430A">
        <w:rPr>
          <w:rFonts w:ascii="Arial" w:hAnsi="Arial" w:cs="Arial"/>
          <w:i/>
          <w:iCs/>
          <w:sz w:val="18"/>
          <w:szCs w:val="18"/>
          <w:lang w:eastAsia="en-GB"/>
        </w:rPr>
        <w:t>The Lancet Psychiatry</w:t>
      </w:r>
      <w:r w:rsidRPr="00BC430A">
        <w:rPr>
          <w:rFonts w:ascii="Arial" w:hAnsi="Arial" w:cs="Arial"/>
          <w:sz w:val="18"/>
          <w:szCs w:val="18"/>
          <w:lang w:eastAsia="en-GB"/>
        </w:rPr>
        <w:t>, 4(6), pp. 486–500.</w:t>
      </w:r>
      <w:r w:rsidRPr="00BC430A">
        <w:rPr>
          <w:rFonts w:ascii="Arial" w:hAnsi="Arial" w:cs="Arial"/>
          <w:sz w:val="18"/>
          <w:szCs w:val="18"/>
          <w:lang w:eastAsia="en-GB"/>
        </w:rPr>
        <w:br/>
        <w:t xml:space="preserve">National Health Service (2019) </w:t>
      </w:r>
      <w:r w:rsidRPr="00BC430A">
        <w:rPr>
          <w:rFonts w:ascii="Arial" w:hAnsi="Arial" w:cs="Arial"/>
          <w:i/>
          <w:iCs/>
          <w:sz w:val="18"/>
          <w:szCs w:val="18"/>
          <w:lang w:eastAsia="en-GB"/>
        </w:rPr>
        <w:t>The NHS Long Term Plan.</w:t>
      </w:r>
      <w:r w:rsidRPr="00BC430A">
        <w:rPr>
          <w:rFonts w:ascii="Arial" w:hAnsi="Arial" w:cs="Arial"/>
          <w:sz w:val="18"/>
          <w:szCs w:val="18"/>
          <w:lang w:eastAsia="en-GB"/>
        </w:rPr>
        <w:t xml:space="preserve"> London: NHS England.</w:t>
      </w:r>
      <w:r w:rsidRPr="00BC430A">
        <w:rPr>
          <w:rFonts w:ascii="Arial" w:hAnsi="Arial" w:cs="Arial"/>
          <w:sz w:val="18"/>
          <w:szCs w:val="18"/>
          <w:lang w:eastAsia="en-GB"/>
        </w:rPr>
        <w:br/>
        <w:t xml:space="preserve">National Institute for Health and Care Excellence (NICE) (2018) </w:t>
      </w:r>
      <w:r w:rsidRPr="00BC430A">
        <w:rPr>
          <w:rFonts w:ascii="Arial" w:hAnsi="Arial" w:cs="Arial"/>
          <w:i/>
          <w:iCs/>
          <w:sz w:val="18"/>
          <w:szCs w:val="18"/>
          <w:lang w:eastAsia="en-GB"/>
        </w:rPr>
        <w:t>Post-Traumatic Stress Disorder (NG116): Management.</w:t>
      </w:r>
      <w:r w:rsidRPr="00BC430A">
        <w:rPr>
          <w:rFonts w:ascii="Arial" w:hAnsi="Arial" w:cs="Arial"/>
          <w:sz w:val="18"/>
          <w:szCs w:val="18"/>
          <w:lang w:eastAsia="en-GB"/>
        </w:rPr>
        <w:t xml:space="preserve"> London: NICE.</w:t>
      </w:r>
      <w:r w:rsidRPr="00BC430A">
        <w:rPr>
          <w:rFonts w:ascii="Arial" w:hAnsi="Arial" w:cs="Arial"/>
          <w:sz w:val="18"/>
          <w:szCs w:val="18"/>
          <w:lang w:eastAsia="en-GB"/>
        </w:rPr>
        <w:br/>
        <w:t xml:space="preserve">Organisation for Economic Co-operation and Development (OECD) (2023) </w:t>
      </w:r>
      <w:r w:rsidRPr="00BC430A">
        <w:rPr>
          <w:rFonts w:ascii="Arial" w:hAnsi="Arial" w:cs="Arial"/>
          <w:i/>
          <w:iCs/>
          <w:sz w:val="18"/>
          <w:szCs w:val="18"/>
          <w:lang w:eastAsia="en-GB"/>
        </w:rPr>
        <w:t>Mental Health and Work: Bridging Policy and Practice.</w:t>
      </w:r>
      <w:r w:rsidRPr="00BC430A">
        <w:rPr>
          <w:rFonts w:ascii="Arial" w:hAnsi="Arial" w:cs="Arial"/>
          <w:sz w:val="18"/>
          <w:szCs w:val="18"/>
          <w:lang w:eastAsia="en-GB"/>
        </w:rPr>
        <w:t xml:space="preserve"> Paris: OECD Publishing.</w:t>
      </w:r>
      <w:r w:rsidRPr="00BC430A">
        <w:rPr>
          <w:rFonts w:ascii="Arial" w:hAnsi="Arial" w:cs="Arial"/>
          <w:sz w:val="18"/>
          <w:szCs w:val="18"/>
          <w:lang w:eastAsia="en-GB"/>
        </w:rPr>
        <w:br/>
        <w:t xml:space="preserve">Patel, V., Saxena, S., Lund, C., Thornicroft, G., Baingana, F., Bolton, P. and Unützer, J. (2018) ‘The Lancet Commission on global mental health and sustainable development’, </w:t>
      </w:r>
      <w:r w:rsidRPr="00BC430A">
        <w:rPr>
          <w:rFonts w:ascii="Arial" w:hAnsi="Arial" w:cs="Arial"/>
          <w:i/>
          <w:iCs/>
          <w:sz w:val="18"/>
          <w:szCs w:val="18"/>
          <w:lang w:eastAsia="en-GB"/>
        </w:rPr>
        <w:t>The Lancet</w:t>
      </w:r>
      <w:r w:rsidRPr="00BC430A">
        <w:rPr>
          <w:rFonts w:ascii="Arial" w:hAnsi="Arial" w:cs="Arial"/>
          <w:sz w:val="18"/>
          <w:szCs w:val="18"/>
          <w:lang w:eastAsia="en-GB"/>
        </w:rPr>
        <w:t>, 392(10157), pp. 1553–1598.</w:t>
      </w:r>
      <w:r w:rsidRPr="00BC430A">
        <w:rPr>
          <w:rFonts w:ascii="Arial" w:hAnsi="Arial" w:cs="Arial"/>
          <w:sz w:val="18"/>
          <w:szCs w:val="18"/>
          <w:lang w:eastAsia="en-GB"/>
        </w:rPr>
        <w:br/>
        <w:t xml:space="preserve">Ramon, S., Healy, B. and Renouf, N. (2007) </w:t>
      </w:r>
      <w:r w:rsidRPr="00BC430A">
        <w:rPr>
          <w:rFonts w:ascii="Arial" w:hAnsi="Arial" w:cs="Arial"/>
          <w:i/>
          <w:iCs/>
          <w:sz w:val="18"/>
          <w:szCs w:val="18"/>
          <w:lang w:eastAsia="en-GB"/>
        </w:rPr>
        <w:t>Recovery from Mental Illness: A Social Perspective.</w:t>
      </w:r>
      <w:r w:rsidRPr="00BC430A">
        <w:rPr>
          <w:rFonts w:ascii="Arial" w:hAnsi="Arial" w:cs="Arial"/>
          <w:sz w:val="18"/>
          <w:szCs w:val="18"/>
          <w:lang w:eastAsia="en-GB"/>
        </w:rPr>
        <w:t xml:space="preserve"> London: Routledge.</w:t>
      </w:r>
      <w:r w:rsidRPr="00BC430A">
        <w:rPr>
          <w:rFonts w:ascii="Arial" w:hAnsi="Arial" w:cs="Arial"/>
          <w:sz w:val="18"/>
          <w:szCs w:val="18"/>
          <w:lang w:eastAsia="en-GB"/>
        </w:rPr>
        <w:br/>
        <w:t xml:space="preserve">Slade, M. (2017) </w:t>
      </w:r>
      <w:r w:rsidRPr="00BC430A">
        <w:rPr>
          <w:rFonts w:ascii="Arial" w:hAnsi="Arial" w:cs="Arial"/>
          <w:i/>
          <w:iCs/>
          <w:sz w:val="18"/>
          <w:szCs w:val="18"/>
          <w:lang w:eastAsia="en-GB"/>
        </w:rPr>
        <w:t>Personal Recovery and Mental Illness: A Guide for Mental Health Professionals.</w:t>
      </w:r>
      <w:r w:rsidRPr="00BC430A">
        <w:rPr>
          <w:rFonts w:ascii="Arial" w:hAnsi="Arial" w:cs="Arial"/>
          <w:sz w:val="18"/>
          <w:szCs w:val="18"/>
          <w:lang w:eastAsia="en-GB"/>
        </w:rPr>
        <w:t xml:space="preserve"> Cambridge: Cambridge University Press.</w:t>
      </w:r>
      <w:r w:rsidRPr="00BC430A">
        <w:rPr>
          <w:rFonts w:ascii="Arial" w:hAnsi="Arial" w:cs="Arial"/>
          <w:sz w:val="18"/>
          <w:szCs w:val="18"/>
          <w:lang w:eastAsia="en-GB"/>
        </w:rPr>
        <w:br/>
        <w:t xml:space="preserve">Summerfield, D. (2011) ‘War and mental health: a brief overview’, </w:t>
      </w:r>
      <w:r w:rsidRPr="00BC430A">
        <w:rPr>
          <w:rFonts w:ascii="Arial" w:hAnsi="Arial" w:cs="Arial"/>
          <w:i/>
          <w:iCs/>
          <w:sz w:val="18"/>
          <w:szCs w:val="18"/>
          <w:lang w:eastAsia="en-GB"/>
        </w:rPr>
        <w:t>BMJ</w:t>
      </w:r>
      <w:r w:rsidRPr="00BC430A">
        <w:rPr>
          <w:rFonts w:ascii="Arial" w:hAnsi="Arial" w:cs="Arial"/>
          <w:sz w:val="18"/>
          <w:szCs w:val="18"/>
          <w:lang w:eastAsia="en-GB"/>
        </w:rPr>
        <w:t>, 321(7255), pp. 232–235.</w:t>
      </w:r>
      <w:r w:rsidRPr="00BC430A">
        <w:rPr>
          <w:rFonts w:ascii="Arial" w:hAnsi="Arial" w:cs="Arial"/>
          <w:sz w:val="18"/>
          <w:szCs w:val="18"/>
          <w:lang w:eastAsia="en-GB"/>
        </w:rPr>
        <w:br/>
        <w:t xml:space="preserve">Sweeney, A., Clement, S., Filson, B. and Kennedy, A. (2018) ‘Trauma-informed mental healthcare in the UK: what is it and how can we further its development?’, </w:t>
      </w:r>
      <w:r w:rsidRPr="00BC430A">
        <w:rPr>
          <w:rFonts w:ascii="Arial" w:hAnsi="Arial" w:cs="Arial"/>
          <w:i/>
          <w:iCs/>
          <w:sz w:val="18"/>
          <w:szCs w:val="18"/>
          <w:lang w:eastAsia="en-GB"/>
        </w:rPr>
        <w:t>Mental Health Review Journal</w:t>
      </w:r>
      <w:r w:rsidRPr="00BC430A">
        <w:rPr>
          <w:rFonts w:ascii="Arial" w:hAnsi="Arial" w:cs="Arial"/>
          <w:sz w:val="18"/>
          <w:szCs w:val="18"/>
          <w:lang w:eastAsia="en-GB"/>
        </w:rPr>
        <w:t>, 23(3), pp. 177–189.</w:t>
      </w:r>
      <w:r w:rsidRPr="00BC430A">
        <w:rPr>
          <w:rFonts w:ascii="Arial" w:hAnsi="Arial" w:cs="Arial"/>
          <w:sz w:val="18"/>
          <w:szCs w:val="18"/>
          <w:lang w:eastAsia="en-GB"/>
        </w:rPr>
        <w:br/>
        <w:t xml:space="preserve">Thornicroft, G. and Tansella, M. (2013) </w:t>
      </w:r>
      <w:r w:rsidRPr="00BC430A">
        <w:rPr>
          <w:rFonts w:ascii="Arial" w:hAnsi="Arial" w:cs="Arial"/>
          <w:i/>
          <w:iCs/>
          <w:sz w:val="18"/>
          <w:szCs w:val="18"/>
          <w:lang w:eastAsia="en-GB"/>
        </w:rPr>
        <w:t>The Balanced Care Model: The Case for Both Hospital and Community-Based Mental Health Care.</w:t>
      </w:r>
      <w:r w:rsidRPr="00BC430A">
        <w:rPr>
          <w:rFonts w:ascii="Arial" w:hAnsi="Arial" w:cs="Arial"/>
          <w:sz w:val="18"/>
          <w:szCs w:val="18"/>
          <w:lang w:eastAsia="en-GB"/>
        </w:rPr>
        <w:t xml:space="preserve"> Cambridge: Cambridge University Press.</w:t>
      </w:r>
      <w:r w:rsidRPr="00BC430A">
        <w:rPr>
          <w:rFonts w:ascii="Arial" w:hAnsi="Arial" w:cs="Arial"/>
          <w:sz w:val="18"/>
          <w:szCs w:val="18"/>
          <w:lang w:eastAsia="en-GB"/>
        </w:rPr>
        <w:br/>
        <w:t xml:space="preserve">Watts, B.V., Schnurr, P.P., Mayo, L., Young-Xu, Y., Weeks, W.B. and Friedman, M.J. (2013) ‘Meta-analysis of the efficacy of treatments for posttraumatic stress disorder’, </w:t>
      </w:r>
      <w:r w:rsidRPr="00BC430A">
        <w:rPr>
          <w:rFonts w:ascii="Arial" w:hAnsi="Arial" w:cs="Arial"/>
          <w:i/>
          <w:iCs/>
          <w:sz w:val="18"/>
          <w:szCs w:val="18"/>
          <w:lang w:eastAsia="en-GB"/>
        </w:rPr>
        <w:t>Journal of Clinical Psychiatry</w:t>
      </w:r>
      <w:r w:rsidRPr="00BC430A">
        <w:rPr>
          <w:rFonts w:ascii="Arial" w:hAnsi="Arial" w:cs="Arial"/>
          <w:sz w:val="18"/>
          <w:szCs w:val="18"/>
          <w:lang w:eastAsia="en-GB"/>
        </w:rPr>
        <w:t>, 74(6), pp. e541–e550.</w:t>
      </w:r>
      <w:r w:rsidRPr="00BC430A">
        <w:rPr>
          <w:rFonts w:ascii="Arial" w:hAnsi="Arial" w:cs="Arial"/>
          <w:sz w:val="18"/>
          <w:szCs w:val="18"/>
          <w:lang w:eastAsia="en-GB"/>
        </w:rPr>
        <w:br/>
        <w:t xml:space="preserve">World Health Organization (2022) </w:t>
      </w:r>
      <w:r w:rsidRPr="00BC430A">
        <w:rPr>
          <w:rFonts w:ascii="Arial" w:hAnsi="Arial" w:cs="Arial"/>
          <w:i/>
          <w:iCs/>
          <w:sz w:val="18"/>
          <w:szCs w:val="18"/>
          <w:lang w:eastAsia="en-GB"/>
        </w:rPr>
        <w:t>International Classification of Diseases, 11th Revision (ICD-11): Post-Traumatic Stress Disorder (6B40).</w:t>
      </w:r>
      <w:r w:rsidRPr="00BC430A">
        <w:rPr>
          <w:rFonts w:ascii="Arial" w:hAnsi="Arial" w:cs="Arial"/>
          <w:sz w:val="18"/>
          <w:szCs w:val="18"/>
          <w:lang w:eastAsia="en-GB"/>
        </w:rPr>
        <w:t xml:space="preserve"> Geneva: World Health Organization.</w:t>
      </w:r>
      <w:r w:rsidRPr="00BC430A">
        <w:rPr>
          <w:rFonts w:ascii="Arial" w:hAnsi="Arial" w:cs="Arial"/>
          <w:sz w:val="18"/>
          <w:szCs w:val="18"/>
          <w:lang w:eastAsia="en-GB"/>
        </w:rPr>
        <w:br/>
        <w:t xml:space="preserve">World Health Organization (2023) </w:t>
      </w:r>
      <w:r w:rsidRPr="00BC430A">
        <w:rPr>
          <w:rFonts w:ascii="Arial" w:hAnsi="Arial" w:cs="Arial"/>
          <w:i/>
          <w:iCs/>
          <w:sz w:val="18"/>
          <w:szCs w:val="18"/>
          <w:lang w:eastAsia="en-GB"/>
        </w:rPr>
        <w:t>Post-Traumatic Stress Disorder: Key Facts.</w:t>
      </w:r>
      <w:r w:rsidRPr="00BC430A">
        <w:rPr>
          <w:rFonts w:ascii="Arial" w:hAnsi="Arial" w:cs="Arial"/>
          <w:sz w:val="18"/>
          <w:szCs w:val="18"/>
          <w:lang w:eastAsia="en-GB"/>
        </w:rPr>
        <w:t xml:space="preserve"> Geneva: World Health Organization.</w:t>
      </w:r>
      <w:r w:rsidRPr="00BC430A">
        <w:rPr>
          <w:rFonts w:ascii="Arial" w:hAnsi="Arial" w:cs="Arial"/>
          <w:sz w:val="18"/>
          <w:szCs w:val="18"/>
          <w:lang w:eastAsia="en-GB"/>
        </w:rPr>
        <w:br/>
      </w:r>
      <w:r w:rsidRPr="00BC430A">
        <w:rPr>
          <w:rFonts w:ascii="Arial" w:hAnsi="Arial" w:cs="Arial"/>
          <w:sz w:val="18"/>
          <w:szCs w:val="18"/>
          <w:lang w:eastAsia="en-GB"/>
        </w:rPr>
        <w:lastRenderedPageBreak/>
        <w:t xml:space="preserve">Yehuda, R. and McFarlane, A.C. (1995) ‘Conflict between current knowledge about posttraumatic stress disorder and its original conceptual basis’, </w:t>
      </w:r>
      <w:r w:rsidRPr="00BC430A">
        <w:rPr>
          <w:rFonts w:ascii="Arial" w:hAnsi="Arial" w:cs="Arial"/>
          <w:i/>
          <w:iCs/>
          <w:sz w:val="18"/>
          <w:szCs w:val="18"/>
          <w:lang w:eastAsia="en-GB"/>
        </w:rPr>
        <w:t>American Journal of Psychiatry</w:t>
      </w:r>
      <w:r w:rsidRPr="00BC430A">
        <w:rPr>
          <w:rFonts w:ascii="Arial" w:hAnsi="Arial" w:cs="Arial"/>
          <w:sz w:val="18"/>
          <w:szCs w:val="18"/>
          <w:lang w:eastAsia="en-GB"/>
        </w:rPr>
        <w:t>, 152(12), pp. 1705–1713.</w:t>
      </w:r>
      <w:r w:rsidRPr="00BC430A">
        <w:rPr>
          <w:rFonts w:ascii="Arial" w:hAnsi="Arial" w:cs="Arial"/>
          <w:sz w:val="18"/>
          <w:szCs w:val="18"/>
          <w:lang w:eastAsia="en-GB"/>
        </w:rPr>
        <w:br/>
        <w:t xml:space="preserve">Young, A. (1995) </w:t>
      </w:r>
      <w:r w:rsidRPr="00BC430A">
        <w:rPr>
          <w:rFonts w:ascii="Arial" w:hAnsi="Arial" w:cs="Arial"/>
          <w:i/>
          <w:iCs/>
          <w:sz w:val="18"/>
          <w:szCs w:val="18"/>
          <w:lang w:eastAsia="en-GB"/>
        </w:rPr>
        <w:t>The Harmony of Illusions: Inventing Post-Traumatic Stress Disorder.</w:t>
      </w:r>
      <w:r w:rsidRPr="00BC430A">
        <w:rPr>
          <w:rFonts w:ascii="Arial" w:hAnsi="Arial" w:cs="Arial"/>
          <w:sz w:val="18"/>
          <w:szCs w:val="18"/>
          <w:lang w:eastAsia="en-GB"/>
        </w:rPr>
        <w:t xml:space="preserve"> Princeton: Princeton University Press.</w:t>
      </w:r>
    </w:p>
    <w:p w14:paraId="4EEB2F78" w14:textId="77777777" w:rsidR="00BC430A" w:rsidRPr="0015007E" w:rsidRDefault="00BC430A" w:rsidP="004433F6">
      <w:pPr>
        <w:tabs>
          <w:tab w:val="left" w:pos="7005"/>
        </w:tabs>
        <w:rPr>
          <w:rFonts w:ascii="Arial" w:hAnsi="Arial" w:cs="Arial"/>
          <w:sz w:val="18"/>
          <w:szCs w:val="18"/>
          <w:lang w:eastAsia="en-GB"/>
        </w:rPr>
      </w:pPr>
    </w:p>
    <w:sectPr w:rsidR="00BC430A" w:rsidRPr="0015007E" w:rsidSect="00C92E2B">
      <w:pgSz w:w="16838" w:h="11906" w:orient="landscape"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3003CB" w14:textId="77777777" w:rsidR="002E7990" w:rsidRDefault="002E7990" w:rsidP="00DC5C18">
      <w:pPr>
        <w:spacing w:after="0" w:line="240" w:lineRule="auto"/>
      </w:pPr>
      <w:r>
        <w:separator/>
      </w:r>
    </w:p>
  </w:endnote>
  <w:endnote w:type="continuationSeparator" w:id="0">
    <w:p w14:paraId="568DB704" w14:textId="77777777" w:rsidR="002E7990" w:rsidRDefault="002E7990" w:rsidP="00DC5C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9CE5C" w14:textId="77777777" w:rsidR="002E7990" w:rsidRDefault="002E7990" w:rsidP="00DC5C18">
      <w:pPr>
        <w:spacing w:after="0" w:line="240" w:lineRule="auto"/>
      </w:pPr>
      <w:r>
        <w:separator/>
      </w:r>
    </w:p>
  </w:footnote>
  <w:footnote w:type="continuationSeparator" w:id="0">
    <w:p w14:paraId="6001F132" w14:textId="77777777" w:rsidR="002E7990" w:rsidRDefault="002E7990" w:rsidP="00DC5C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A77"/>
    <w:rsid w:val="001405E4"/>
    <w:rsid w:val="0015007E"/>
    <w:rsid w:val="001E7EB4"/>
    <w:rsid w:val="002A436B"/>
    <w:rsid w:val="002C5D2D"/>
    <w:rsid w:val="002E7990"/>
    <w:rsid w:val="002F0142"/>
    <w:rsid w:val="004433F6"/>
    <w:rsid w:val="004517A5"/>
    <w:rsid w:val="004E6365"/>
    <w:rsid w:val="006F4A77"/>
    <w:rsid w:val="007E63F9"/>
    <w:rsid w:val="00816627"/>
    <w:rsid w:val="008E6056"/>
    <w:rsid w:val="00910ADF"/>
    <w:rsid w:val="0097279C"/>
    <w:rsid w:val="00A25353"/>
    <w:rsid w:val="00A54F5E"/>
    <w:rsid w:val="00A6729F"/>
    <w:rsid w:val="00A9089A"/>
    <w:rsid w:val="00A90A26"/>
    <w:rsid w:val="00BC430A"/>
    <w:rsid w:val="00C92E2B"/>
    <w:rsid w:val="00D462FA"/>
    <w:rsid w:val="00DC5C18"/>
    <w:rsid w:val="00EB0D03"/>
    <w:rsid w:val="00EC58B4"/>
    <w:rsid w:val="00F03FE1"/>
    <w:rsid w:val="00F41E9A"/>
    <w:rsid w:val="00FD1E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EACEB"/>
  <w15:chartTrackingRefBased/>
  <w15:docId w15:val="{B60C6FBD-1822-4309-AFF8-10235B2DE6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F4A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uggestionparagraphs">
    <w:name w:val="suggestion_paragraphs"/>
    <w:basedOn w:val="DefaultParagraphFont"/>
    <w:rsid w:val="006F4A77"/>
  </w:style>
  <w:style w:type="paragraph" w:styleId="Header">
    <w:name w:val="header"/>
    <w:basedOn w:val="Normal"/>
    <w:link w:val="HeaderChar"/>
    <w:uiPriority w:val="99"/>
    <w:unhideWhenUsed/>
    <w:rsid w:val="00DC5C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C18"/>
  </w:style>
  <w:style w:type="paragraph" w:styleId="Footer">
    <w:name w:val="footer"/>
    <w:basedOn w:val="Normal"/>
    <w:link w:val="FooterChar"/>
    <w:uiPriority w:val="99"/>
    <w:unhideWhenUsed/>
    <w:rsid w:val="00DC5C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C18"/>
  </w:style>
  <w:style w:type="character" w:styleId="Hyperlink">
    <w:name w:val="Hyperlink"/>
    <w:basedOn w:val="DefaultParagraphFont"/>
    <w:uiPriority w:val="99"/>
    <w:unhideWhenUsed/>
    <w:rsid w:val="00BC430A"/>
    <w:rPr>
      <w:color w:val="0563C1" w:themeColor="hyperlink"/>
      <w:u w:val="single"/>
    </w:rPr>
  </w:style>
  <w:style w:type="character" w:styleId="UnresolvedMention">
    <w:name w:val="Unresolved Mention"/>
    <w:basedOn w:val="DefaultParagraphFont"/>
    <w:uiPriority w:val="99"/>
    <w:semiHidden/>
    <w:unhideWhenUsed/>
    <w:rsid w:val="00BC43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915263">
      <w:bodyDiv w:val="1"/>
      <w:marLeft w:val="0"/>
      <w:marRight w:val="0"/>
      <w:marTop w:val="0"/>
      <w:marBottom w:val="0"/>
      <w:divBdr>
        <w:top w:val="none" w:sz="0" w:space="0" w:color="auto"/>
        <w:left w:val="none" w:sz="0" w:space="0" w:color="auto"/>
        <w:bottom w:val="none" w:sz="0" w:space="0" w:color="auto"/>
        <w:right w:val="none" w:sz="0" w:space="0" w:color="auto"/>
      </w:divBdr>
    </w:div>
    <w:div w:id="143394983">
      <w:bodyDiv w:val="1"/>
      <w:marLeft w:val="0"/>
      <w:marRight w:val="0"/>
      <w:marTop w:val="0"/>
      <w:marBottom w:val="0"/>
      <w:divBdr>
        <w:top w:val="none" w:sz="0" w:space="0" w:color="auto"/>
        <w:left w:val="none" w:sz="0" w:space="0" w:color="auto"/>
        <w:bottom w:val="none" w:sz="0" w:space="0" w:color="auto"/>
        <w:right w:val="none" w:sz="0" w:space="0" w:color="auto"/>
      </w:divBdr>
    </w:div>
    <w:div w:id="222639512">
      <w:bodyDiv w:val="1"/>
      <w:marLeft w:val="0"/>
      <w:marRight w:val="0"/>
      <w:marTop w:val="0"/>
      <w:marBottom w:val="0"/>
      <w:divBdr>
        <w:top w:val="none" w:sz="0" w:space="0" w:color="auto"/>
        <w:left w:val="none" w:sz="0" w:space="0" w:color="auto"/>
        <w:bottom w:val="none" w:sz="0" w:space="0" w:color="auto"/>
        <w:right w:val="none" w:sz="0" w:space="0" w:color="auto"/>
      </w:divBdr>
    </w:div>
    <w:div w:id="267350840">
      <w:bodyDiv w:val="1"/>
      <w:marLeft w:val="0"/>
      <w:marRight w:val="0"/>
      <w:marTop w:val="0"/>
      <w:marBottom w:val="0"/>
      <w:divBdr>
        <w:top w:val="none" w:sz="0" w:space="0" w:color="auto"/>
        <w:left w:val="none" w:sz="0" w:space="0" w:color="auto"/>
        <w:bottom w:val="none" w:sz="0" w:space="0" w:color="auto"/>
        <w:right w:val="none" w:sz="0" w:space="0" w:color="auto"/>
      </w:divBdr>
    </w:div>
    <w:div w:id="296885914">
      <w:bodyDiv w:val="1"/>
      <w:marLeft w:val="0"/>
      <w:marRight w:val="0"/>
      <w:marTop w:val="0"/>
      <w:marBottom w:val="0"/>
      <w:divBdr>
        <w:top w:val="none" w:sz="0" w:space="0" w:color="auto"/>
        <w:left w:val="none" w:sz="0" w:space="0" w:color="auto"/>
        <w:bottom w:val="none" w:sz="0" w:space="0" w:color="auto"/>
        <w:right w:val="none" w:sz="0" w:space="0" w:color="auto"/>
      </w:divBdr>
    </w:div>
    <w:div w:id="478034228">
      <w:bodyDiv w:val="1"/>
      <w:marLeft w:val="0"/>
      <w:marRight w:val="0"/>
      <w:marTop w:val="0"/>
      <w:marBottom w:val="0"/>
      <w:divBdr>
        <w:top w:val="none" w:sz="0" w:space="0" w:color="auto"/>
        <w:left w:val="none" w:sz="0" w:space="0" w:color="auto"/>
        <w:bottom w:val="none" w:sz="0" w:space="0" w:color="auto"/>
        <w:right w:val="none" w:sz="0" w:space="0" w:color="auto"/>
      </w:divBdr>
    </w:div>
    <w:div w:id="478688752">
      <w:bodyDiv w:val="1"/>
      <w:marLeft w:val="0"/>
      <w:marRight w:val="0"/>
      <w:marTop w:val="0"/>
      <w:marBottom w:val="0"/>
      <w:divBdr>
        <w:top w:val="none" w:sz="0" w:space="0" w:color="auto"/>
        <w:left w:val="none" w:sz="0" w:space="0" w:color="auto"/>
        <w:bottom w:val="none" w:sz="0" w:space="0" w:color="auto"/>
        <w:right w:val="none" w:sz="0" w:space="0" w:color="auto"/>
      </w:divBdr>
    </w:div>
    <w:div w:id="527304213">
      <w:bodyDiv w:val="1"/>
      <w:marLeft w:val="0"/>
      <w:marRight w:val="0"/>
      <w:marTop w:val="0"/>
      <w:marBottom w:val="0"/>
      <w:divBdr>
        <w:top w:val="none" w:sz="0" w:space="0" w:color="auto"/>
        <w:left w:val="none" w:sz="0" w:space="0" w:color="auto"/>
        <w:bottom w:val="none" w:sz="0" w:space="0" w:color="auto"/>
        <w:right w:val="none" w:sz="0" w:space="0" w:color="auto"/>
      </w:divBdr>
    </w:div>
    <w:div w:id="595477995">
      <w:bodyDiv w:val="1"/>
      <w:marLeft w:val="0"/>
      <w:marRight w:val="0"/>
      <w:marTop w:val="0"/>
      <w:marBottom w:val="0"/>
      <w:divBdr>
        <w:top w:val="none" w:sz="0" w:space="0" w:color="auto"/>
        <w:left w:val="none" w:sz="0" w:space="0" w:color="auto"/>
        <w:bottom w:val="none" w:sz="0" w:space="0" w:color="auto"/>
        <w:right w:val="none" w:sz="0" w:space="0" w:color="auto"/>
      </w:divBdr>
    </w:div>
    <w:div w:id="631787760">
      <w:bodyDiv w:val="1"/>
      <w:marLeft w:val="0"/>
      <w:marRight w:val="0"/>
      <w:marTop w:val="0"/>
      <w:marBottom w:val="0"/>
      <w:divBdr>
        <w:top w:val="none" w:sz="0" w:space="0" w:color="auto"/>
        <w:left w:val="none" w:sz="0" w:space="0" w:color="auto"/>
        <w:bottom w:val="none" w:sz="0" w:space="0" w:color="auto"/>
        <w:right w:val="none" w:sz="0" w:space="0" w:color="auto"/>
      </w:divBdr>
    </w:div>
    <w:div w:id="676810534">
      <w:bodyDiv w:val="1"/>
      <w:marLeft w:val="0"/>
      <w:marRight w:val="0"/>
      <w:marTop w:val="0"/>
      <w:marBottom w:val="0"/>
      <w:divBdr>
        <w:top w:val="none" w:sz="0" w:space="0" w:color="auto"/>
        <w:left w:val="none" w:sz="0" w:space="0" w:color="auto"/>
        <w:bottom w:val="none" w:sz="0" w:space="0" w:color="auto"/>
        <w:right w:val="none" w:sz="0" w:space="0" w:color="auto"/>
      </w:divBdr>
    </w:div>
    <w:div w:id="707871234">
      <w:bodyDiv w:val="1"/>
      <w:marLeft w:val="0"/>
      <w:marRight w:val="0"/>
      <w:marTop w:val="0"/>
      <w:marBottom w:val="0"/>
      <w:divBdr>
        <w:top w:val="none" w:sz="0" w:space="0" w:color="auto"/>
        <w:left w:val="none" w:sz="0" w:space="0" w:color="auto"/>
        <w:bottom w:val="none" w:sz="0" w:space="0" w:color="auto"/>
        <w:right w:val="none" w:sz="0" w:space="0" w:color="auto"/>
      </w:divBdr>
    </w:div>
    <w:div w:id="740832269">
      <w:bodyDiv w:val="1"/>
      <w:marLeft w:val="0"/>
      <w:marRight w:val="0"/>
      <w:marTop w:val="0"/>
      <w:marBottom w:val="0"/>
      <w:divBdr>
        <w:top w:val="none" w:sz="0" w:space="0" w:color="auto"/>
        <w:left w:val="none" w:sz="0" w:space="0" w:color="auto"/>
        <w:bottom w:val="none" w:sz="0" w:space="0" w:color="auto"/>
        <w:right w:val="none" w:sz="0" w:space="0" w:color="auto"/>
      </w:divBdr>
    </w:div>
    <w:div w:id="816191550">
      <w:bodyDiv w:val="1"/>
      <w:marLeft w:val="0"/>
      <w:marRight w:val="0"/>
      <w:marTop w:val="0"/>
      <w:marBottom w:val="0"/>
      <w:divBdr>
        <w:top w:val="none" w:sz="0" w:space="0" w:color="auto"/>
        <w:left w:val="none" w:sz="0" w:space="0" w:color="auto"/>
        <w:bottom w:val="none" w:sz="0" w:space="0" w:color="auto"/>
        <w:right w:val="none" w:sz="0" w:space="0" w:color="auto"/>
      </w:divBdr>
    </w:div>
    <w:div w:id="892811539">
      <w:bodyDiv w:val="1"/>
      <w:marLeft w:val="0"/>
      <w:marRight w:val="0"/>
      <w:marTop w:val="0"/>
      <w:marBottom w:val="0"/>
      <w:divBdr>
        <w:top w:val="none" w:sz="0" w:space="0" w:color="auto"/>
        <w:left w:val="none" w:sz="0" w:space="0" w:color="auto"/>
        <w:bottom w:val="none" w:sz="0" w:space="0" w:color="auto"/>
        <w:right w:val="none" w:sz="0" w:space="0" w:color="auto"/>
      </w:divBdr>
    </w:div>
    <w:div w:id="934093506">
      <w:bodyDiv w:val="1"/>
      <w:marLeft w:val="0"/>
      <w:marRight w:val="0"/>
      <w:marTop w:val="0"/>
      <w:marBottom w:val="0"/>
      <w:divBdr>
        <w:top w:val="none" w:sz="0" w:space="0" w:color="auto"/>
        <w:left w:val="none" w:sz="0" w:space="0" w:color="auto"/>
        <w:bottom w:val="none" w:sz="0" w:space="0" w:color="auto"/>
        <w:right w:val="none" w:sz="0" w:space="0" w:color="auto"/>
      </w:divBdr>
    </w:div>
    <w:div w:id="1004893863">
      <w:bodyDiv w:val="1"/>
      <w:marLeft w:val="0"/>
      <w:marRight w:val="0"/>
      <w:marTop w:val="0"/>
      <w:marBottom w:val="0"/>
      <w:divBdr>
        <w:top w:val="none" w:sz="0" w:space="0" w:color="auto"/>
        <w:left w:val="none" w:sz="0" w:space="0" w:color="auto"/>
        <w:bottom w:val="none" w:sz="0" w:space="0" w:color="auto"/>
        <w:right w:val="none" w:sz="0" w:space="0" w:color="auto"/>
      </w:divBdr>
    </w:div>
    <w:div w:id="1051688641">
      <w:bodyDiv w:val="1"/>
      <w:marLeft w:val="0"/>
      <w:marRight w:val="0"/>
      <w:marTop w:val="0"/>
      <w:marBottom w:val="0"/>
      <w:divBdr>
        <w:top w:val="none" w:sz="0" w:space="0" w:color="auto"/>
        <w:left w:val="none" w:sz="0" w:space="0" w:color="auto"/>
        <w:bottom w:val="none" w:sz="0" w:space="0" w:color="auto"/>
        <w:right w:val="none" w:sz="0" w:space="0" w:color="auto"/>
      </w:divBdr>
    </w:div>
    <w:div w:id="1086881555">
      <w:bodyDiv w:val="1"/>
      <w:marLeft w:val="0"/>
      <w:marRight w:val="0"/>
      <w:marTop w:val="0"/>
      <w:marBottom w:val="0"/>
      <w:divBdr>
        <w:top w:val="none" w:sz="0" w:space="0" w:color="auto"/>
        <w:left w:val="none" w:sz="0" w:space="0" w:color="auto"/>
        <w:bottom w:val="none" w:sz="0" w:space="0" w:color="auto"/>
        <w:right w:val="none" w:sz="0" w:space="0" w:color="auto"/>
      </w:divBdr>
    </w:div>
    <w:div w:id="1123813610">
      <w:bodyDiv w:val="1"/>
      <w:marLeft w:val="0"/>
      <w:marRight w:val="0"/>
      <w:marTop w:val="0"/>
      <w:marBottom w:val="0"/>
      <w:divBdr>
        <w:top w:val="none" w:sz="0" w:space="0" w:color="auto"/>
        <w:left w:val="none" w:sz="0" w:space="0" w:color="auto"/>
        <w:bottom w:val="none" w:sz="0" w:space="0" w:color="auto"/>
        <w:right w:val="none" w:sz="0" w:space="0" w:color="auto"/>
      </w:divBdr>
    </w:div>
    <w:div w:id="1244291085">
      <w:bodyDiv w:val="1"/>
      <w:marLeft w:val="0"/>
      <w:marRight w:val="0"/>
      <w:marTop w:val="0"/>
      <w:marBottom w:val="0"/>
      <w:divBdr>
        <w:top w:val="none" w:sz="0" w:space="0" w:color="auto"/>
        <w:left w:val="none" w:sz="0" w:space="0" w:color="auto"/>
        <w:bottom w:val="none" w:sz="0" w:space="0" w:color="auto"/>
        <w:right w:val="none" w:sz="0" w:space="0" w:color="auto"/>
      </w:divBdr>
    </w:div>
    <w:div w:id="1396584473">
      <w:bodyDiv w:val="1"/>
      <w:marLeft w:val="0"/>
      <w:marRight w:val="0"/>
      <w:marTop w:val="0"/>
      <w:marBottom w:val="0"/>
      <w:divBdr>
        <w:top w:val="none" w:sz="0" w:space="0" w:color="auto"/>
        <w:left w:val="none" w:sz="0" w:space="0" w:color="auto"/>
        <w:bottom w:val="none" w:sz="0" w:space="0" w:color="auto"/>
        <w:right w:val="none" w:sz="0" w:space="0" w:color="auto"/>
      </w:divBdr>
    </w:div>
    <w:div w:id="1420325717">
      <w:bodyDiv w:val="1"/>
      <w:marLeft w:val="0"/>
      <w:marRight w:val="0"/>
      <w:marTop w:val="0"/>
      <w:marBottom w:val="0"/>
      <w:divBdr>
        <w:top w:val="none" w:sz="0" w:space="0" w:color="auto"/>
        <w:left w:val="none" w:sz="0" w:space="0" w:color="auto"/>
        <w:bottom w:val="none" w:sz="0" w:space="0" w:color="auto"/>
        <w:right w:val="none" w:sz="0" w:space="0" w:color="auto"/>
      </w:divBdr>
    </w:div>
    <w:div w:id="1420832410">
      <w:bodyDiv w:val="1"/>
      <w:marLeft w:val="0"/>
      <w:marRight w:val="0"/>
      <w:marTop w:val="0"/>
      <w:marBottom w:val="0"/>
      <w:divBdr>
        <w:top w:val="none" w:sz="0" w:space="0" w:color="auto"/>
        <w:left w:val="none" w:sz="0" w:space="0" w:color="auto"/>
        <w:bottom w:val="none" w:sz="0" w:space="0" w:color="auto"/>
        <w:right w:val="none" w:sz="0" w:space="0" w:color="auto"/>
      </w:divBdr>
    </w:div>
    <w:div w:id="1579635210">
      <w:bodyDiv w:val="1"/>
      <w:marLeft w:val="0"/>
      <w:marRight w:val="0"/>
      <w:marTop w:val="0"/>
      <w:marBottom w:val="0"/>
      <w:divBdr>
        <w:top w:val="none" w:sz="0" w:space="0" w:color="auto"/>
        <w:left w:val="none" w:sz="0" w:space="0" w:color="auto"/>
        <w:bottom w:val="none" w:sz="0" w:space="0" w:color="auto"/>
        <w:right w:val="none" w:sz="0" w:space="0" w:color="auto"/>
      </w:divBdr>
    </w:div>
    <w:div w:id="1733189027">
      <w:bodyDiv w:val="1"/>
      <w:marLeft w:val="0"/>
      <w:marRight w:val="0"/>
      <w:marTop w:val="0"/>
      <w:marBottom w:val="0"/>
      <w:divBdr>
        <w:top w:val="none" w:sz="0" w:space="0" w:color="auto"/>
        <w:left w:val="none" w:sz="0" w:space="0" w:color="auto"/>
        <w:bottom w:val="none" w:sz="0" w:space="0" w:color="auto"/>
        <w:right w:val="none" w:sz="0" w:space="0" w:color="auto"/>
      </w:divBdr>
    </w:div>
    <w:div w:id="1888251282">
      <w:bodyDiv w:val="1"/>
      <w:marLeft w:val="0"/>
      <w:marRight w:val="0"/>
      <w:marTop w:val="0"/>
      <w:marBottom w:val="0"/>
      <w:divBdr>
        <w:top w:val="none" w:sz="0" w:space="0" w:color="auto"/>
        <w:left w:val="none" w:sz="0" w:space="0" w:color="auto"/>
        <w:bottom w:val="none" w:sz="0" w:space="0" w:color="auto"/>
        <w:right w:val="none" w:sz="0" w:space="0" w:color="auto"/>
      </w:divBdr>
    </w:div>
    <w:div w:id="2003577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anva.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807</Words>
  <Characters>4605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Jude Adimonye</dc:creator>
  <cp:keywords/>
  <dc:description/>
  <cp:lastModifiedBy>jude ubanii</cp:lastModifiedBy>
  <cp:revision>2</cp:revision>
  <dcterms:created xsi:type="dcterms:W3CDTF">2026-03-07T16:37:00Z</dcterms:created>
  <dcterms:modified xsi:type="dcterms:W3CDTF">2026-03-07T16:37:00Z</dcterms:modified>
</cp:coreProperties>
</file>