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61D126" w14:textId="77777777" w:rsidR="00C35B30" w:rsidRDefault="00C35B30" w:rsidP="00C35B30">
      <w:pPr>
        <w:spacing w:after="220"/>
        <w:ind w:right="1438"/>
        <w:jc w:val="right"/>
      </w:pPr>
      <w:r>
        <w:rPr>
          <w:noProof/>
        </w:rPr>
        <w:drawing>
          <wp:inline distT="0" distB="0" distL="0" distR="0" wp14:anchorId="4DF7C932" wp14:editId="35EE5EE1">
            <wp:extent cx="4648200" cy="1752600"/>
            <wp:effectExtent l="0" t="0" r="0" b="0"/>
            <wp:docPr id="47" name="Picture 47" descr="A logo with text on it&#10;&#10;AI-generated content may be incorrect."/>
            <wp:cNvGraphicFramePr/>
            <a:graphic xmlns:a="http://schemas.openxmlformats.org/drawingml/2006/main">
              <a:graphicData uri="http://schemas.openxmlformats.org/drawingml/2006/picture">
                <pic:pic xmlns:pic="http://schemas.openxmlformats.org/drawingml/2006/picture">
                  <pic:nvPicPr>
                    <pic:cNvPr id="47" name="Picture 47" descr="A logo with text on it&#10;&#10;AI-generated content may be incorrect."/>
                    <pic:cNvPicPr/>
                  </pic:nvPicPr>
                  <pic:blipFill>
                    <a:blip r:embed="rId7"/>
                    <a:stretch>
                      <a:fillRect/>
                    </a:stretch>
                  </pic:blipFill>
                  <pic:spPr>
                    <a:xfrm>
                      <a:off x="0" y="0"/>
                      <a:ext cx="4674497" cy="1762515"/>
                    </a:xfrm>
                    <a:prstGeom prst="rect">
                      <a:avLst/>
                    </a:prstGeom>
                  </pic:spPr>
                </pic:pic>
              </a:graphicData>
            </a:graphic>
          </wp:inline>
        </w:drawing>
      </w:r>
      <w:r>
        <w:rPr>
          <w:rFonts w:ascii="Times New Roman" w:eastAsia="Times New Roman" w:hAnsi="Times New Roman" w:cs="Times New Roman"/>
          <w:b/>
        </w:rPr>
        <w:t xml:space="preserve"> </w:t>
      </w:r>
    </w:p>
    <w:p w14:paraId="37A15BDF" w14:textId="77777777" w:rsidR="00C35B30" w:rsidRDefault="00C35B30" w:rsidP="00C35B30">
      <w:pPr>
        <w:spacing w:after="273"/>
        <w:ind w:right="5"/>
        <w:jc w:val="center"/>
      </w:pPr>
      <w:r>
        <w:rPr>
          <w:rFonts w:ascii="Times New Roman" w:eastAsia="Times New Roman" w:hAnsi="Times New Roman" w:cs="Times New Roman"/>
          <w:b/>
        </w:rPr>
        <w:t xml:space="preserve"> </w:t>
      </w:r>
    </w:p>
    <w:p w14:paraId="444E5546" w14:textId="77777777" w:rsidR="00C35B30" w:rsidRDefault="00C35B30" w:rsidP="00C35B30">
      <w:pPr>
        <w:spacing w:after="274"/>
      </w:pPr>
      <w:r>
        <w:rPr>
          <w:rFonts w:ascii="Times New Roman" w:eastAsia="Times New Roman" w:hAnsi="Times New Roman" w:cs="Times New Roman"/>
          <w:b/>
        </w:rPr>
        <w:t xml:space="preserve"> </w:t>
      </w:r>
    </w:p>
    <w:p w14:paraId="0C2A416A" w14:textId="77777777" w:rsidR="00C35B30" w:rsidRPr="00D51540" w:rsidRDefault="00C35B30" w:rsidP="00C35B30">
      <w:pPr>
        <w:spacing w:after="276"/>
        <w:jc w:val="center"/>
        <w:rPr>
          <w:sz w:val="24"/>
          <w:szCs w:val="32"/>
        </w:rPr>
      </w:pPr>
    </w:p>
    <w:p w14:paraId="4C1C30F6" w14:textId="77777777" w:rsidR="00C35B30" w:rsidRPr="00D51540" w:rsidRDefault="00C35B30" w:rsidP="00C35B30">
      <w:pPr>
        <w:spacing w:after="274"/>
        <w:ind w:left="2716" w:firstLine="93"/>
        <w:rPr>
          <w:sz w:val="28"/>
        </w:rPr>
      </w:pPr>
      <w:r w:rsidRPr="00D51540">
        <w:rPr>
          <w:rFonts w:ascii="Times New Roman" w:eastAsia="Times New Roman" w:hAnsi="Times New Roman" w:cs="Times New Roman"/>
          <w:b/>
          <w:sz w:val="28"/>
        </w:rPr>
        <w:t>Programme: Master of Business Administration</w:t>
      </w:r>
    </w:p>
    <w:p w14:paraId="708F22B5" w14:textId="77777777" w:rsidR="00C35B30" w:rsidRPr="00D51540" w:rsidRDefault="00C35B30" w:rsidP="00C35B30">
      <w:pPr>
        <w:spacing w:after="274"/>
        <w:ind w:left="2809"/>
        <w:rPr>
          <w:sz w:val="28"/>
        </w:rPr>
      </w:pPr>
      <w:r w:rsidRPr="00D51540">
        <w:rPr>
          <w:rFonts w:ascii="Times New Roman" w:eastAsia="Times New Roman" w:hAnsi="Times New Roman" w:cs="Times New Roman"/>
          <w:b/>
          <w:sz w:val="28"/>
        </w:rPr>
        <w:t xml:space="preserve">Module: </w:t>
      </w:r>
      <w:r>
        <w:rPr>
          <w:rFonts w:ascii="Times New Roman" w:eastAsia="Times New Roman" w:hAnsi="Times New Roman" w:cs="Times New Roman"/>
          <w:b/>
          <w:sz w:val="28"/>
        </w:rPr>
        <w:t>Financial</w:t>
      </w:r>
      <w:r w:rsidRPr="00D51540">
        <w:rPr>
          <w:rFonts w:ascii="Times New Roman" w:eastAsia="Times New Roman" w:hAnsi="Times New Roman" w:cs="Times New Roman"/>
          <w:b/>
          <w:sz w:val="28"/>
        </w:rPr>
        <w:t xml:space="preserve"> Management</w:t>
      </w:r>
    </w:p>
    <w:p w14:paraId="3E3375B0" w14:textId="77777777" w:rsidR="00C35B30" w:rsidRPr="00D51540" w:rsidRDefault="00C35B30" w:rsidP="00C35B30">
      <w:pPr>
        <w:spacing w:after="274"/>
        <w:ind w:left="2099" w:right="66" w:firstLine="710"/>
        <w:rPr>
          <w:sz w:val="28"/>
        </w:rPr>
      </w:pPr>
      <w:r w:rsidRPr="00D51540">
        <w:rPr>
          <w:rFonts w:ascii="Times New Roman" w:eastAsia="Times New Roman" w:hAnsi="Times New Roman" w:cs="Times New Roman"/>
          <w:b/>
          <w:sz w:val="28"/>
        </w:rPr>
        <w:t xml:space="preserve">Module code: </w:t>
      </w:r>
      <w:r>
        <w:rPr>
          <w:rFonts w:ascii="Arial" w:hAnsi="Arial" w:cs="Arial"/>
          <w:b/>
          <w:szCs w:val="22"/>
        </w:rPr>
        <w:t>LCMB7002</w:t>
      </w:r>
    </w:p>
    <w:p w14:paraId="5736A532" w14:textId="77777777" w:rsidR="00C35B30" w:rsidRPr="000F1EFB" w:rsidRDefault="00C35B30" w:rsidP="00C35B30">
      <w:pPr>
        <w:spacing w:after="274"/>
        <w:ind w:left="2099" w:right="65" w:firstLine="710"/>
        <w:rPr>
          <w:rFonts w:ascii="Times New Roman" w:eastAsia="Times New Roman" w:hAnsi="Times New Roman" w:cs="Times New Roman"/>
          <w:b/>
          <w:sz w:val="28"/>
          <w:lang w:val="en-GB"/>
        </w:rPr>
      </w:pPr>
      <w:r w:rsidRPr="00D51540">
        <w:rPr>
          <w:rFonts w:ascii="Times New Roman" w:eastAsia="Times New Roman" w:hAnsi="Times New Roman" w:cs="Times New Roman"/>
          <w:b/>
          <w:sz w:val="28"/>
        </w:rPr>
        <w:t>Title</w:t>
      </w:r>
      <w:r>
        <w:rPr>
          <w:rFonts w:ascii="Times New Roman" w:eastAsia="Times New Roman" w:hAnsi="Times New Roman" w:cs="Times New Roman"/>
          <w:b/>
          <w:sz w:val="28"/>
        </w:rPr>
        <w:t xml:space="preserve">: </w:t>
      </w:r>
      <w:r>
        <w:rPr>
          <w:rFonts w:ascii="Arial" w:hAnsi="Arial" w:cs="Arial"/>
          <w:b/>
          <w:szCs w:val="22"/>
        </w:rPr>
        <w:t>Financial performance and management</w:t>
      </w:r>
    </w:p>
    <w:p w14:paraId="666C5B35" w14:textId="5219E95D" w:rsidR="00C35B30" w:rsidRPr="00D51540" w:rsidRDefault="00C35B30" w:rsidP="00C35B30">
      <w:pPr>
        <w:spacing w:after="274"/>
        <w:ind w:left="2089" w:right="62" w:firstLine="720"/>
        <w:rPr>
          <w:sz w:val="28"/>
        </w:rPr>
      </w:pPr>
      <w:r w:rsidRPr="00D51540">
        <w:rPr>
          <w:rFonts w:ascii="Times New Roman" w:eastAsia="Times New Roman" w:hAnsi="Times New Roman" w:cs="Times New Roman"/>
          <w:b/>
          <w:sz w:val="28"/>
        </w:rPr>
        <w:t xml:space="preserve">Word count: </w:t>
      </w:r>
      <w:r>
        <w:rPr>
          <w:rFonts w:ascii="Times New Roman" w:eastAsia="Times New Roman" w:hAnsi="Times New Roman" w:cs="Times New Roman"/>
          <w:b/>
          <w:sz w:val="28"/>
        </w:rPr>
        <w:t>4709</w:t>
      </w:r>
    </w:p>
    <w:p w14:paraId="65F3FD9B" w14:textId="77777777" w:rsidR="00C35B30" w:rsidRPr="00D51540" w:rsidRDefault="00C35B30" w:rsidP="00C35B30">
      <w:pPr>
        <w:spacing w:after="165" w:line="352" w:lineRule="auto"/>
        <w:ind w:left="2835" w:right="2836"/>
        <w:rPr>
          <w:rFonts w:ascii="Arial" w:eastAsia="Arial" w:hAnsi="Arial" w:cs="Arial"/>
          <w:b/>
          <w:sz w:val="28"/>
        </w:rPr>
      </w:pPr>
      <w:r w:rsidRPr="00D51540">
        <w:rPr>
          <w:rFonts w:ascii="Arial" w:eastAsia="Arial" w:hAnsi="Arial" w:cs="Arial"/>
          <w:b/>
          <w:sz w:val="28"/>
        </w:rPr>
        <w:t xml:space="preserve">Lecturer : </w:t>
      </w:r>
      <w:r w:rsidRPr="008D45BE">
        <w:rPr>
          <w:rFonts w:ascii="Arial" w:hAnsi="Arial" w:cs="Arial"/>
          <w:b/>
          <w:szCs w:val="22"/>
        </w:rPr>
        <w:t xml:space="preserve">Patrick Yeboah </w:t>
      </w:r>
      <w:r>
        <w:rPr>
          <w:rFonts w:ascii="Arial" w:hAnsi="Arial" w:cs="Arial"/>
          <w:b/>
          <w:szCs w:val="22"/>
        </w:rPr>
        <w:t>(Birmingham)</w:t>
      </w:r>
    </w:p>
    <w:p w14:paraId="5C551F17" w14:textId="63D3D295" w:rsidR="00C35B30" w:rsidRPr="00D51540" w:rsidRDefault="00C35B30" w:rsidP="00C35B30">
      <w:pPr>
        <w:spacing w:after="165" w:line="352" w:lineRule="auto"/>
        <w:ind w:left="2835" w:right="2836"/>
        <w:rPr>
          <w:sz w:val="28"/>
        </w:rPr>
      </w:pPr>
      <w:r w:rsidRPr="00D51540">
        <w:rPr>
          <w:rFonts w:ascii="Times New Roman" w:eastAsia="Times New Roman" w:hAnsi="Times New Roman" w:cs="Times New Roman"/>
          <w:b/>
          <w:sz w:val="28"/>
        </w:rPr>
        <w:t>Student Name :</w:t>
      </w:r>
      <w:r>
        <w:rPr>
          <w:rFonts w:ascii="Times New Roman" w:eastAsia="Times New Roman" w:hAnsi="Times New Roman" w:cs="Times New Roman"/>
          <w:b/>
          <w:sz w:val="28"/>
        </w:rPr>
        <w:t xml:space="preserve"> </w:t>
      </w:r>
      <w:r w:rsidR="00F2771E" w:rsidRPr="00F2771E">
        <w:rPr>
          <w:rFonts w:ascii="Times New Roman" w:eastAsia="Times New Roman" w:hAnsi="Times New Roman" w:cs="Times New Roman"/>
          <w:b/>
          <w:sz w:val="28"/>
        </w:rPr>
        <w:t>Md Ashrafuzzaman</w:t>
      </w:r>
    </w:p>
    <w:p w14:paraId="489691E4" w14:textId="5D3CC310" w:rsidR="00C35B30" w:rsidRPr="00D51540" w:rsidRDefault="00C35B30" w:rsidP="00C35B30">
      <w:pPr>
        <w:spacing w:after="274"/>
        <w:ind w:left="2125" w:right="62" w:firstLine="710"/>
        <w:rPr>
          <w:sz w:val="28"/>
        </w:rPr>
      </w:pPr>
      <w:r w:rsidRPr="00D51540">
        <w:rPr>
          <w:rFonts w:ascii="Times New Roman" w:eastAsia="Times New Roman" w:hAnsi="Times New Roman" w:cs="Times New Roman"/>
          <w:b/>
          <w:sz w:val="28"/>
        </w:rPr>
        <w:t>Student ID:</w:t>
      </w:r>
      <w:r>
        <w:rPr>
          <w:rFonts w:ascii="Times New Roman" w:eastAsia="Times New Roman" w:hAnsi="Times New Roman" w:cs="Times New Roman"/>
          <w:b/>
          <w:sz w:val="28"/>
        </w:rPr>
        <w:t xml:space="preserve"> </w:t>
      </w:r>
      <w:r w:rsidR="00F2771E" w:rsidRPr="00F2771E">
        <w:rPr>
          <w:rFonts w:ascii="Times New Roman" w:eastAsia="Times New Roman" w:hAnsi="Times New Roman" w:cs="Times New Roman"/>
          <w:b/>
          <w:sz w:val="28"/>
        </w:rPr>
        <w:t>2504074</w:t>
      </w:r>
    </w:p>
    <w:p w14:paraId="5367BE2E" w14:textId="77777777" w:rsidR="00C35B30" w:rsidRPr="00D51540" w:rsidRDefault="00C35B30" w:rsidP="00C35B30">
      <w:pPr>
        <w:spacing w:after="274"/>
        <w:ind w:left="2125" w:right="62" w:firstLine="710"/>
        <w:rPr>
          <w:sz w:val="28"/>
        </w:rPr>
      </w:pPr>
      <w:r w:rsidRPr="00D51540">
        <w:rPr>
          <w:rFonts w:ascii="Times New Roman" w:eastAsia="Times New Roman" w:hAnsi="Times New Roman" w:cs="Times New Roman"/>
          <w:b/>
          <w:sz w:val="28"/>
        </w:rPr>
        <w:t>Submission Date-</w:t>
      </w:r>
      <w:r>
        <w:rPr>
          <w:rFonts w:ascii="Times New Roman" w:eastAsia="Times New Roman" w:hAnsi="Times New Roman" w:cs="Times New Roman"/>
          <w:b/>
          <w:sz w:val="28"/>
        </w:rPr>
        <w:t>24/11/2025</w:t>
      </w:r>
    </w:p>
    <w:p w14:paraId="5404A8B7" w14:textId="77777777" w:rsidR="003E5B2E" w:rsidRDefault="003E5B2E">
      <w:pPr>
        <w:rPr>
          <w:rFonts w:ascii="Arial" w:hAnsi="Arial" w:cs="Arial"/>
          <w:b/>
          <w:bCs/>
          <w:sz w:val="24"/>
          <w:szCs w:val="24"/>
        </w:rPr>
      </w:pPr>
      <w:r>
        <w:rPr>
          <w:rFonts w:ascii="Arial" w:hAnsi="Arial" w:cs="Arial"/>
          <w:b/>
          <w:bCs/>
          <w:sz w:val="24"/>
          <w:szCs w:val="24"/>
        </w:rPr>
        <w:br w:type="page"/>
      </w:r>
    </w:p>
    <w:p w14:paraId="530DD4F6" w14:textId="77777777" w:rsidR="003E5B2E" w:rsidRPr="003E5B2E" w:rsidRDefault="003E5B2E" w:rsidP="003E5B2E">
      <w:pPr>
        <w:jc w:val="center"/>
        <w:rPr>
          <w:rFonts w:ascii="Arial" w:hAnsi="Arial" w:cs="Arial"/>
          <w:b/>
          <w:bCs/>
          <w:sz w:val="24"/>
          <w:szCs w:val="24"/>
        </w:rPr>
      </w:pPr>
      <w:r w:rsidRPr="003E5B2E">
        <w:rPr>
          <w:rFonts w:ascii="Arial" w:hAnsi="Arial" w:cs="Arial"/>
          <w:b/>
          <w:bCs/>
          <w:sz w:val="24"/>
          <w:szCs w:val="24"/>
        </w:rPr>
        <w:lastRenderedPageBreak/>
        <w:t>Table of Contents</w:t>
      </w:r>
    </w:p>
    <w:p w14:paraId="54AFBB48" w14:textId="6F04F000" w:rsidR="003E5B2E" w:rsidRPr="003E5B2E" w:rsidRDefault="003E5B2E" w:rsidP="003E5B2E">
      <w:pPr>
        <w:numPr>
          <w:ilvl w:val="0"/>
          <w:numId w:val="33"/>
        </w:numPr>
        <w:rPr>
          <w:rFonts w:ascii="Arial" w:hAnsi="Arial" w:cs="Arial"/>
          <w:b/>
          <w:bCs/>
          <w:sz w:val="24"/>
          <w:szCs w:val="24"/>
        </w:rPr>
      </w:pPr>
      <w:r w:rsidRPr="003E5B2E">
        <w:rPr>
          <w:rFonts w:ascii="Arial" w:hAnsi="Arial" w:cs="Arial"/>
          <w:b/>
          <w:bCs/>
          <w:sz w:val="24"/>
          <w:szCs w:val="24"/>
        </w:rPr>
        <w:t>Introduction</w:t>
      </w:r>
      <w:r>
        <w:rPr>
          <w:rFonts w:ascii="Arial" w:hAnsi="Arial" w:cs="Arial"/>
          <w:b/>
          <w:bCs/>
          <w:sz w:val="24"/>
          <w:szCs w:val="24"/>
        </w:rPr>
        <w:t>………………………………………………….3</w:t>
      </w:r>
    </w:p>
    <w:p w14:paraId="74B091CB" w14:textId="246FACB5" w:rsidR="003E5B2E" w:rsidRPr="003E5B2E" w:rsidRDefault="003E5B2E" w:rsidP="003E5B2E">
      <w:pPr>
        <w:numPr>
          <w:ilvl w:val="0"/>
          <w:numId w:val="33"/>
        </w:numPr>
        <w:rPr>
          <w:rFonts w:ascii="Arial" w:hAnsi="Arial" w:cs="Arial"/>
          <w:b/>
          <w:bCs/>
          <w:sz w:val="24"/>
          <w:szCs w:val="24"/>
        </w:rPr>
      </w:pPr>
      <w:r w:rsidRPr="003E5B2E">
        <w:rPr>
          <w:rFonts w:ascii="Arial" w:hAnsi="Arial" w:cs="Arial"/>
          <w:b/>
          <w:bCs/>
          <w:sz w:val="24"/>
          <w:szCs w:val="24"/>
        </w:rPr>
        <w:t>Financial Health Check</w:t>
      </w:r>
      <w:r>
        <w:rPr>
          <w:rFonts w:ascii="Arial" w:hAnsi="Arial" w:cs="Arial"/>
          <w:b/>
          <w:bCs/>
          <w:sz w:val="24"/>
          <w:szCs w:val="24"/>
        </w:rPr>
        <w:t>……………………………………3-6</w:t>
      </w:r>
    </w:p>
    <w:p w14:paraId="34D61461" w14:textId="4892C33B" w:rsidR="003E5B2E" w:rsidRPr="003E5B2E" w:rsidRDefault="003E5B2E" w:rsidP="003E5B2E">
      <w:pPr>
        <w:numPr>
          <w:ilvl w:val="0"/>
          <w:numId w:val="33"/>
        </w:numPr>
        <w:rPr>
          <w:rFonts w:ascii="Arial" w:hAnsi="Arial" w:cs="Arial"/>
          <w:b/>
          <w:bCs/>
          <w:sz w:val="24"/>
          <w:szCs w:val="24"/>
        </w:rPr>
      </w:pPr>
      <w:r w:rsidRPr="003E5B2E">
        <w:rPr>
          <w:rFonts w:ascii="Arial" w:hAnsi="Arial" w:cs="Arial"/>
          <w:b/>
          <w:bCs/>
          <w:sz w:val="24"/>
          <w:szCs w:val="24"/>
        </w:rPr>
        <w:t>Working Capital Management Analysis</w:t>
      </w:r>
      <w:r>
        <w:rPr>
          <w:rFonts w:ascii="Arial" w:hAnsi="Arial" w:cs="Arial"/>
          <w:b/>
          <w:bCs/>
          <w:sz w:val="24"/>
          <w:szCs w:val="24"/>
        </w:rPr>
        <w:t>………………..7-9</w:t>
      </w:r>
    </w:p>
    <w:p w14:paraId="13D89BFE" w14:textId="0AB037CB" w:rsidR="003E5B2E" w:rsidRPr="003E5B2E" w:rsidRDefault="003E5B2E" w:rsidP="003E5B2E">
      <w:pPr>
        <w:numPr>
          <w:ilvl w:val="0"/>
          <w:numId w:val="33"/>
        </w:numPr>
        <w:rPr>
          <w:rFonts w:ascii="Arial" w:hAnsi="Arial" w:cs="Arial"/>
          <w:b/>
          <w:bCs/>
          <w:sz w:val="24"/>
          <w:szCs w:val="24"/>
        </w:rPr>
      </w:pPr>
      <w:r w:rsidRPr="003E5B2E">
        <w:rPr>
          <w:rFonts w:ascii="Arial" w:hAnsi="Arial" w:cs="Arial"/>
          <w:b/>
          <w:bCs/>
          <w:sz w:val="24"/>
          <w:szCs w:val="24"/>
        </w:rPr>
        <w:t>Strategic Financial Restructuring Plan</w:t>
      </w:r>
      <w:r>
        <w:rPr>
          <w:rFonts w:ascii="Arial" w:hAnsi="Arial" w:cs="Arial"/>
          <w:b/>
          <w:bCs/>
          <w:sz w:val="24"/>
          <w:szCs w:val="24"/>
        </w:rPr>
        <w:t>…………………9-12</w:t>
      </w:r>
    </w:p>
    <w:p w14:paraId="77E50F13" w14:textId="27AE5EDD" w:rsidR="003E5B2E" w:rsidRPr="003E5B2E" w:rsidRDefault="003E5B2E" w:rsidP="003E5B2E">
      <w:pPr>
        <w:numPr>
          <w:ilvl w:val="0"/>
          <w:numId w:val="33"/>
        </w:numPr>
        <w:rPr>
          <w:rFonts w:ascii="Arial" w:hAnsi="Arial" w:cs="Arial"/>
          <w:b/>
          <w:bCs/>
          <w:sz w:val="24"/>
          <w:szCs w:val="24"/>
        </w:rPr>
      </w:pPr>
      <w:r w:rsidRPr="003E5B2E">
        <w:rPr>
          <w:rFonts w:ascii="Arial" w:hAnsi="Arial" w:cs="Arial"/>
          <w:b/>
          <w:bCs/>
          <w:sz w:val="24"/>
          <w:szCs w:val="24"/>
        </w:rPr>
        <w:t>Capital Investment Evaluation</w:t>
      </w:r>
      <w:r>
        <w:rPr>
          <w:rFonts w:ascii="Arial" w:hAnsi="Arial" w:cs="Arial"/>
          <w:b/>
          <w:bCs/>
          <w:sz w:val="24"/>
          <w:szCs w:val="24"/>
        </w:rPr>
        <w:t>……………………………12-18</w:t>
      </w:r>
    </w:p>
    <w:p w14:paraId="298047C3" w14:textId="4D1A2F87" w:rsidR="003E5B2E" w:rsidRPr="003E5B2E" w:rsidRDefault="003E5B2E" w:rsidP="003E5B2E">
      <w:pPr>
        <w:numPr>
          <w:ilvl w:val="0"/>
          <w:numId w:val="33"/>
        </w:numPr>
        <w:rPr>
          <w:rFonts w:ascii="Arial" w:hAnsi="Arial" w:cs="Arial"/>
          <w:b/>
          <w:bCs/>
          <w:sz w:val="24"/>
          <w:szCs w:val="24"/>
        </w:rPr>
      </w:pPr>
      <w:r w:rsidRPr="003E5B2E">
        <w:rPr>
          <w:rFonts w:ascii="Arial" w:hAnsi="Arial" w:cs="Arial"/>
          <w:b/>
          <w:bCs/>
          <w:sz w:val="24"/>
          <w:szCs w:val="24"/>
        </w:rPr>
        <w:t>Sustainable Turnaround Recommendations</w:t>
      </w:r>
      <w:r>
        <w:rPr>
          <w:rFonts w:ascii="Arial" w:hAnsi="Arial" w:cs="Arial"/>
          <w:b/>
          <w:bCs/>
          <w:sz w:val="24"/>
          <w:szCs w:val="24"/>
        </w:rPr>
        <w:t>…………..18-19</w:t>
      </w:r>
    </w:p>
    <w:p w14:paraId="394DC10F" w14:textId="381BD5AC" w:rsidR="003E5B2E" w:rsidRDefault="003E5B2E" w:rsidP="003E5B2E">
      <w:pPr>
        <w:numPr>
          <w:ilvl w:val="0"/>
          <w:numId w:val="33"/>
        </w:numPr>
        <w:rPr>
          <w:rFonts w:ascii="Arial" w:hAnsi="Arial" w:cs="Arial"/>
          <w:b/>
          <w:bCs/>
          <w:sz w:val="24"/>
          <w:szCs w:val="24"/>
        </w:rPr>
      </w:pPr>
      <w:r w:rsidRPr="003E5B2E">
        <w:rPr>
          <w:rFonts w:ascii="Arial" w:hAnsi="Arial" w:cs="Arial"/>
          <w:b/>
          <w:bCs/>
          <w:sz w:val="24"/>
          <w:szCs w:val="24"/>
        </w:rPr>
        <w:t>Conclusion</w:t>
      </w:r>
      <w:r>
        <w:rPr>
          <w:rFonts w:ascii="Arial" w:hAnsi="Arial" w:cs="Arial"/>
          <w:b/>
          <w:bCs/>
          <w:sz w:val="24"/>
          <w:szCs w:val="24"/>
        </w:rPr>
        <w:t>……………………………………………………</w:t>
      </w:r>
      <w:r w:rsidR="001A77AC">
        <w:rPr>
          <w:rFonts w:ascii="Arial" w:hAnsi="Arial" w:cs="Arial"/>
          <w:b/>
          <w:bCs/>
          <w:sz w:val="24"/>
          <w:szCs w:val="24"/>
        </w:rPr>
        <w:t>19-20</w:t>
      </w:r>
    </w:p>
    <w:p w14:paraId="36283F6A" w14:textId="7D167C30" w:rsidR="001A77AC" w:rsidRDefault="001A77AC" w:rsidP="003E5B2E">
      <w:pPr>
        <w:numPr>
          <w:ilvl w:val="0"/>
          <w:numId w:val="33"/>
        </w:numPr>
        <w:rPr>
          <w:rFonts w:ascii="Arial" w:hAnsi="Arial" w:cs="Arial"/>
          <w:b/>
          <w:bCs/>
          <w:sz w:val="24"/>
          <w:szCs w:val="24"/>
        </w:rPr>
      </w:pPr>
      <w:r>
        <w:rPr>
          <w:rFonts w:ascii="Arial" w:hAnsi="Arial" w:cs="Arial"/>
          <w:b/>
          <w:bCs/>
          <w:sz w:val="24"/>
          <w:szCs w:val="24"/>
        </w:rPr>
        <w:t>References……………………………………………………. 20-21</w:t>
      </w:r>
    </w:p>
    <w:p w14:paraId="4270AB4B" w14:textId="6E7296B2" w:rsidR="001A77AC" w:rsidRPr="003E5B2E" w:rsidRDefault="001A77AC" w:rsidP="003E5B2E">
      <w:pPr>
        <w:numPr>
          <w:ilvl w:val="0"/>
          <w:numId w:val="33"/>
        </w:numPr>
        <w:rPr>
          <w:rFonts w:ascii="Arial" w:hAnsi="Arial" w:cs="Arial"/>
          <w:b/>
          <w:bCs/>
          <w:sz w:val="24"/>
          <w:szCs w:val="24"/>
        </w:rPr>
      </w:pPr>
      <w:r>
        <w:rPr>
          <w:rFonts w:ascii="Arial" w:hAnsi="Arial" w:cs="Arial"/>
          <w:b/>
          <w:bCs/>
          <w:sz w:val="24"/>
          <w:szCs w:val="24"/>
        </w:rPr>
        <w:t>Appendix……………………………………………………… 22-25</w:t>
      </w:r>
    </w:p>
    <w:p w14:paraId="3186C035" w14:textId="77777777" w:rsidR="003E5B2E" w:rsidRDefault="003E5B2E">
      <w:pPr>
        <w:rPr>
          <w:rFonts w:ascii="Arial" w:hAnsi="Arial" w:cs="Arial"/>
          <w:b/>
          <w:bCs/>
          <w:sz w:val="24"/>
          <w:szCs w:val="24"/>
        </w:rPr>
      </w:pPr>
      <w:r>
        <w:rPr>
          <w:rFonts w:ascii="Arial" w:hAnsi="Arial" w:cs="Arial"/>
          <w:b/>
          <w:bCs/>
          <w:sz w:val="24"/>
          <w:szCs w:val="24"/>
        </w:rPr>
        <w:br w:type="page"/>
      </w:r>
    </w:p>
    <w:p w14:paraId="77BABA05" w14:textId="51C945C7" w:rsidR="00BF4C6E" w:rsidRPr="009049EE" w:rsidRDefault="00BF4C6E" w:rsidP="009049EE">
      <w:pPr>
        <w:spacing w:line="360" w:lineRule="auto"/>
        <w:rPr>
          <w:rFonts w:ascii="Arial" w:hAnsi="Arial" w:cs="Arial"/>
          <w:b/>
          <w:bCs/>
          <w:sz w:val="24"/>
          <w:szCs w:val="24"/>
        </w:rPr>
      </w:pPr>
      <w:r w:rsidRPr="009049EE">
        <w:rPr>
          <w:rFonts w:ascii="Arial" w:hAnsi="Arial" w:cs="Arial"/>
          <w:b/>
          <w:bCs/>
          <w:sz w:val="24"/>
          <w:szCs w:val="24"/>
        </w:rPr>
        <w:lastRenderedPageBreak/>
        <w:t>1. Introduction</w:t>
      </w:r>
    </w:p>
    <w:p w14:paraId="6BA37D1C" w14:textId="77777777" w:rsidR="00513E0C" w:rsidRPr="00513E0C" w:rsidRDefault="00513E0C" w:rsidP="00932FCA">
      <w:pPr>
        <w:spacing w:line="360" w:lineRule="auto"/>
        <w:jc w:val="both"/>
        <w:rPr>
          <w:rFonts w:ascii="Arial" w:hAnsi="Arial" w:cs="Arial"/>
          <w:sz w:val="24"/>
          <w:szCs w:val="24"/>
        </w:rPr>
      </w:pPr>
      <w:r w:rsidRPr="00513E0C">
        <w:rPr>
          <w:rFonts w:ascii="Arial" w:hAnsi="Arial" w:cs="Arial"/>
          <w:sz w:val="24"/>
          <w:szCs w:val="24"/>
        </w:rPr>
        <w:t>General Electronics is an organisation experiencing a form of existential crisis where it is experiencing dwindling revenues, worsening profitability, and declining liquidity. Consumer electronics industry works in very competitive global markets, where technological obsolescence is rapid, margins are low, and capital of working is very high (Palepu and Healy, 2013). This report uses the detailed financial analysis instruments to refer to the diagnosis of the key issues of the firm and offer evidence-based solutions in accordance with the modern principles of corporate finance.</w:t>
      </w:r>
    </w:p>
    <w:p w14:paraId="48997E70" w14:textId="77777777" w:rsidR="00513E0C" w:rsidRDefault="00513E0C" w:rsidP="00932FCA">
      <w:pPr>
        <w:spacing w:line="360" w:lineRule="auto"/>
        <w:jc w:val="both"/>
        <w:rPr>
          <w:rFonts w:ascii="Arial" w:hAnsi="Arial" w:cs="Arial"/>
          <w:sz w:val="24"/>
          <w:szCs w:val="24"/>
        </w:rPr>
      </w:pPr>
      <w:r w:rsidRPr="00513E0C">
        <w:rPr>
          <w:rFonts w:ascii="Arial" w:hAnsi="Arial" w:cs="Arial"/>
          <w:sz w:val="24"/>
          <w:szCs w:val="24"/>
        </w:rPr>
        <w:t>The plan is systematic because first, historical financial performance is assessed in terms of ratio analysis and failure prediction models; second, working capital inefficiencies are analyzed; third, strategic restructuring options are recommended; and, lastly, the investment opportunities are evaluated within capital constraints. The goal is to provide a financially feasible, globally scalable, and ethically focused turnaround plan that considers the interests of the stakeholders and is at the same time sustainable over the long term.</w:t>
      </w:r>
    </w:p>
    <w:p w14:paraId="62553241" w14:textId="15E8EA23" w:rsidR="00BF4C6E" w:rsidRPr="009049EE" w:rsidRDefault="00BF4C6E" w:rsidP="009049EE">
      <w:pPr>
        <w:spacing w:line="360" w:lineRule="auto"/>
        <w:rPr>
          <w:rFonts w:ascii="Arial" w:hAnsi="Arial" w:cs="Arial"/>
          <w:b/>
          <w:bCs/>
          <w:sz w:val="24"/>
          <w:szCs w:val="24"/>
        </w:rPr>
      </w:pPr>
    </w:p>
    <w:p w14:paraId="7975E51D" w14:textId="77777777" w:rsidR="00BF4C6E" w:rsidRPr="009049EE" w:rsidRDefault="00BF4C6E" w:rsidP="009049EE">
      <w:pPr>
        <w:spacing w:line="360" w:lineRule="auto"/>
        <w:rPr>
          <w:rFonts w:ascii="Arial" w:hAnsi="Arial" w:cs="Arial"/>
          <w:b/>
          <w:bCs/>
          <w:sz w:val="24"/>
          <w:szCs w:val="24"/>
        </w:rPr>
      </w:pPr>
      <w:r w:rsidRPr="009049EE">
        <w:rPr>
          <w:rFonts w:ascii="Arial" w:hAnsi="Arial" w:cs="Arial"/>
          <w:b/>
          <w:bCs/>
          <w:sz w:val="24"/>
          <w:szCs w:val="24"/>
        </w:rPr>
        <w:t>2. Financial Health Check</w:t>
      </w:r>
    </w:p>
    <w:p w14:paraId="7501372E" w14:textId="77777777" w:rsidR="00932FCA" w:rsidRPr="00932FCA" w:rsidRDefault="00932FCA" w:rsidP="00932FCA">
      <w:pPr>
        <w:spacing w:line="360" w:lineRule="auto"/>
        <w:jc w:val="both"/>
        <w:rPr>
          <w:rFonts w:ascii="Arial" w:hAnsi="Arial" w:cs="Arial"/>
          <w:b/>
          <w:bCs/>
          <w:sz w:val="24"/>
          <w:szCs w:val="24"/>
        </w:rPr>
      </w:pPr>
      <w:r w:rsidRPr="00932FCA">
        <w:rPr>
          <w:rFonts w:ascii="Arial" w:hAnsi="Arial" w:cs="Arial"/>
          <w:b/>
          <w:bCs/>
          <w:sz w:val="24"/>
          <w:szCs w:val="24"/>
        </w:rPr>
        <w:t>2.1 Profitability Analysis</w:t>
      </w:r>
    </w:p>
    <w:p w14:paraId="4AAECAC8" w14:textId="77777777" w:rsidR="00932FCA" w:rsidRPr="00932FCA" w:rsidRDefault="00932FCA" w:rsidP="00932FCA">
      <w:pPr>
        <w:spacing w:line="360" w:lineRule="auto"/>
        <w:jc w:val="both"/>
        <w:rPr>
          <w:rFonts w:ascii="Arial" w:hAnsi="Arial" w:cs="Arial"/>
          <w:bCs/>
          <w:sz w:val="24"/>
          <w:szCs w:val="24"/>
        </w:rPr>
      </w:pPr>
      <w:r w:rsidRPr="00932FCA">
        <w:rPr>
          <w:rFonts w:ascii="Arial" w:hAnsi="Arial" w:cs="Arial"/>
          <w:bCs/>
          <w:sz w:val="24"/>
          <w:szCs w:val="24"/>
        </w:rPr>
        <w:t>General electronics is showing worrying tendencies of declining profitability on all measures (see Appendix 1 to get the specific calculations). The gross profit margin has decreased as compared to 28.7 (2020) to 28.9 (2024), with revenue collapse did not affect it as significantly which is a positive sign that the firm is managing its costs. But the operating profit margin declined disastrously, going down to -3.9% (2024) (as opposed to 6.1% in 2020) and indicates deep-seated operational inefficiencies.</w:t>
      </w:r>
    </w:p>
    <w:p w14:paraId="2EA64A3A" w14:textId="77777777" w:rsidR="00932FCA" w:rsidRPr="00932FCA" w:rsidRDefault="00932FCA" w:rsidP="00932FCA">
      <w:pPr>
        <w:spacing w:line="360" w:lineRule="auto"/>
        <w:jc w:val="both"/>
        <w:rPr>
          <w:rFonts w:ascii="Arial" w:hAnsi="Arial" w:cs="Arial"/>
          <w:bCs/>
          <w:sz w:val="24"/>
          <w:szCs w:val="24"/>
        </w:rPr>
      </w:pPr>
      <w:r w:rsidRPr="00932FCA">
        <w:rPr>
          <w:rFonts w:ascii="Arial" w:hAnsi="Arial" w:cs="Arial"/>
          <w:bCs/>
          <w:sz w:val="24"/>
          <w:szCs w:val="24"/>
        </w:rPr>
        <w:t>The operating expense ratio rose to 32.7% (2024) as compared to 22.6% (2020), which shows that the fixed costs have not been reduced in proportion to reduced revenues a typical sign of operational inflexibility. This tendency implies a high level of overheads, which may involve unused manufacturing capacity, unwarranted administrative activities, and marketing costs that do not correspond to the declining market share (Brigham and Ehrhardt, 2020).</w:t>
      </w:r>
    </w:p>
    <w:p w14:paraId="3C7A584E" w14:textId="77777777" w:rsidR="00932FCA" w:rsidRPr="00932FCA" w:rsidRDefault="00932FCA" w:rsidP="00932FCA">
      <w:pPr>
        <w:spacing w:line="360" w:lineRule="auto"/>
        <w:jc w:val="both"/>
        <w:rPr>
          <w:rFonts w:ascii="Arial" w:hAnsi="Arial" w:cs="Arial"/>
          <w:bCs/>
          <w:sz w:val="24"/>
          <w:szCs w:val="24"/>
        </w:rPr>
      </w:pPr>
      <w:r w:rsidRPr="00932FCA">
        <w:rPr>
          <w:rFonts w:ascii="Arial" w:hAnsi="Arial" w:cs="Arial"/>
          <w:bCs/>
          <w:sz w:val="24"/>
          <w:szCs w:val="24"/>
        </w:rPr>
        <w:lastRenderedPageBreak/>
        <w:t>Net profit margin has dropped to -6.1% (2024) as compared to 6.3% (2020) and the losses have been terrible in 2023 (-23.4%). The impairment of goodwill in 2023 of 49,075m means that a number of acquisitions made in the past were overvalued and this shows a lack of good strategic decisions. Return on Equity (ROE) dropped by 12.3% (2020) to -15.7% (2024) and Return on Assets (ROA) dropped by 7.6% to -7.4% as well, indicating extreme asset utilisation issues and capital destruction (Damodaran, 2015).</w:t>
      </w:r>
    </w:p>
    <w:p w14:paraId="0D8F54E3" w14:textId="1D01BF07" w:rsidR="00932FCA" w:rsidRPr="00932FCA" w:rsidRDefault="00932FCA" w:rsidP="00932FCA">
      <w:pPr>
        <w:spacing w:line="360" w:lineRule="auto"/>
        <w:jc w:val="both"/>
        <w:rPr>
          <w:rFonts w:ascii="Arial" w:hAnsi="Arial" w:cs="Arial"/>
          <w:bCs/>
          <w:sz w:val="24"/>
          <w:szCs w:val="24"/>
        </w:rPr>
      </w:pPr>
    </w:p>
    <w:p w14:paraId="4EB83C64" w14:textId="77777777" w:rsidR="00932FCA" w:rsidRPr="00932FCA" w:rsidRDefault="00932FCA" w:rsidP="00932FCA">
      <w:pPr>
        <w:spacing w:line="360" w:lineRule="auto"/>
        <w:jc w:val="both"/>
        <w:rPr>
          <w:rFonts w:ascii="Arial" w:hAnsi="Arial" w:cs="Arial"/>
          <w:b/>
          <w:bCs/>
          <w:sz w:val="24"/>
          <w:szCs w:val="24"/>
        </w:rPr>
      </w:pPr>
      <w:r w:rsidRPr="00932FCA">
        <w:rPr>
          <w:rFonts w:ascii="Arial" w:hAnsi="Arial" w:cs="Arial"/>
          <w:b/>
          <w:bCs/>
          <w:sz w:val="24"/>
          <w:szCs w:val="24"/>
        </w:rPr>
        <w:t>2.2 Liquidity Analysis</w:t>
      </w:r>
    </w:p>
    <w:p w14:paraId="0CF19D73" w14:textId="77777777" w:rsidR="00932FCA" w:rsidRPr="00932FCA" w:rsidRDefault="00932FCA" w:rsidP="00932FCA">
      <w:pPr>
        <w:spacing w:line="360" w:lineRule="auto"/>
        <w:jc w:val="both"/>
        <w:rPr>
          <w:rFonts w:ascii="Arial" w:hAnsi="Arial" w:cs="Arial"/>
          <w:bCs/>
          <w:sz w:val="24"/>
          <w:szCs w:val="24"/>
        </w:rPr>
      </w:pPr>
      <w:r w:rsidRPr="00932FCA">
        <w:rPr>
          <w:rFonts w:ascii="Arial" w:hAnsi="Arial" w:cs="Arial"/>
          <w:bCs/>
          <w:sz w:val="24"/>
          <w:szCs w:val="24"/>
        </w:rPr>
        <w:t>Liquidity indicators demonstrate worrying trends that put the company at a risk of short-term insolvency. The current ratio decreased to 1.53 (2024) compared to 1.82 (2020) and is above the critical 1.0 value, but it is also going in a risky direction. Worst still, the quick ratio 1.15 (2020) is reduced to 1.03 (2024), meaning little liquid asset buffer other than inventory (Atrill and McLaney, 2017).</w:t>
      </w:r>
    </w:p>
    <w:p w14:paraId="16079087" w14:textId="6BF12412" w:rsidR="00932FCA" w:rsidRPr="00932FCA" w:rsidRDefault="00932FCA" w:rsidP="00932FCA">
      <w:pPr>
        <w:spacing w:line="360" w:lineRule="auto"/>
        <w:jc w:val="both"/>
        <w:rPr>
          <w:rFonts w:ascii="Arial" w:hAnsi="Arial" w:cs="Arial"/>
          <w:bCs/>
          <w:sz w:val="24"/>
          <w:szCs w:val="24"/>
        </w:rPr>
      </w:pPr>
      <w:r w:rsidRPr="00932FCA">
        <w:rPr>
          <w:rFonts w:ascii="Arial" w:hAnsi="Arial" w:cs="Arial"/>
          <w:bCs/>
          <w:sz w:val="24"/>
          <w:szCs w:val="24"/>
        </w:rPr>
        <w:t>Cash reserves decreased by half in the past years to 26,783m since the previous year (2020) when cash reserves were 57,153m, although there were positive operating cash flows during the last few years. This paradox is also associated with greater dependence on lines of credit which have varied considerably: £20,000m (2020) to £36,960m (2024), with the highest dependency rate of 88,000m (2022). The reliance of short-term borrowing facilities puts the company at risk of refinancing and interest rate risks, especially concer</w:t>
      </w:r>
      <w:r>
        <w:rPr>
          <w:rFonts w:ascii="Arial" w:hAnsi="Arial" w:cs="Arial"/>
          <w:bCs/>
          <w:sz w:val="24"/>
          <w:szCs w:val="24"/>
        </w:rPr>
        <w:t>ning negative operating income.</w:t>
      </w:r>
    </w:p>
    <w:p w14:paraId="3B4041AB" w14:textId="77777777" w:rsidR="00932FCA" w:rsidRPr="00932FCA" w:rsidRDefault="00932FCA" w:rsidP="00932FCA">
      <w:pPr>
        <w:spacing w:line="360" w:lineRule="auto"/>
        <w:jc w:val="both"/>
        <w:rPr>
          <w:rFonts w:ascii="Arial" w:hAnsi="Arial" w:cs="Arial"/>
          <w:bCs/>
          <w:sz w:val="24"/>
          <w:szCs w:val="24"/>
        </w:rPr>
      </w:pPr>
    </w:p>
    <w:p w14:paraId="2B24008F" w14:textId="77777777" w:rsidR="00932FCA" w:rsidRPr="00932FCA" w:rsidRDefault="00932FCA" w:rsidP="00932FCA">
      <w:pPr>
        <w:spacing w:line="360" w:lineRule="auto"/>
        <w:jc w:val="both"/>
        <w:rPr>
          <w:rFonts w:ascii="Arial" w:hAnsi="Arial" w:cs="Arial"/>
          <w:b/>
          <w:bCs/>
          <w:sz w:val="24"/>
          <w:szCs w:val="24"/>
        </w:rPr>
      </w:pPr>
      <w:r w:rsidRPr="00932FCA">
        <w:rPr>
          <w:rFonts w:ascii="Arial" w:hAnsi="Arial" w:cs="Arial"/>
          <w:b/>
          <w:bCs/>
          <w:sz w:val="24"/>
          <w:szCs w:val="24"/>
        </w:rPr>
        <w:t>2.3 Efficiency Analysis</w:t>
      </w:r>
    </w:p>
    <w:p w14:paraId="1F3633B6" w14:textId="77777777" w:rsidR="00932FCA" w:rsidRPr="00932FCA" w:rsidRDefault="00932FCA" w:rsidP="00932FCA">
      <w:pPr>
        <w:spacing w:line="360" w:lineRule="auto"/>
        <w:jc w:val="both"/>
        <w:rPr>
          <w:rFonts w:ascii="Arial" w:hAnsi="Arial" w:cs="Arial"/>
          <w:bCs/>
          <w:sz w:val="24"/>
          <w:szCs w:val="24"/>
        </w:rPr>
      </w:pPr>
      <w:r w:rsidRPr="00932FCA">
        <w:rPr>
          <w:rFonts w:ascii="Arial" w:hAnsi="Arial" w:cs="Arial"/>
          <w:bCs/>
          <w:sz w:val="24"/>
          <w:szCs w:val="24"/>
        </w:rPr>
        <w:t>The asset efficiency ratio shows areas of weaknesses. Inventory turnover dropped to 3.54 times (2024) as compared to the 3.64 times (2020), and days inventory outstanding rose to 103 days compared to 100 days. During the consumer electronics industry when product lifecycle is short and technological obsolescence is quicker, longer inventory reduction kills value by markdowns and write-offs.</w:t>
      </w:r>
    </w:p>
    <w:p w14:paraId="7D6A84B6" w14:textId="77777777" w:rsidR="00932FCA" w:rsidRPr="00932FCA" w:rsidRDefault="00932FCA" w:rsidP="00932FCA">
      <w:pPr>
        <w:spacing w:line="360" w:lineRule="auto"/>
        <w:jc w:val="both"/>
        <w:rPr>
          <w:rFonts w:ascii="Arial" w:hAnsi="Arial" w:cs="Arial"/>
          <w:bCs/>
          <w:sz w:val="24"/>
          <w:szCs w:val="24"/>
        </w:rPr>
      </w:pPr>
      <w:r w:rsidRPr="00932FCA">
        <w:rPr>
          <w:rFonts w:ascii="Arial" w:hAnsi="Arial" w:cs="Arial"/>
          <w:bCs/>
          <w:sz w:val="24"/>
          <w:szCs w:val="24"/>
        </w:rPr>
        <w:t xml:space="preserve">Receivables turnover dropped to 3.46 times (2024) down to 4.75 times (2020), days sales outstanding have grown to 106 days (38.00 higher) indicating weaker credit </w:t>
      </w:r>
      <w:r w:rsidRPr="00932FCA">
        <w:rPr>
          <w:rFonts w:ascii="Arial" w:hAnsi="Arial" w:cs="Arial"/>
          <w:bCs/>
          <w:sz w:val="24"/>
          <w:szCs w:val="24"/>
        </w:rPr>
        <w:lastRenderedPageBreak/>
        <w:t>management or financial strain of customers. On the other hand, the turnover of payables was increased by 5.27 times (2020) to 3.90 times (2024), and the days payable outstanding rose by 69 up to 94 days, which means that the company is extending the payment terms to the suppliers, which may worsen the relations in the supply chain (Brigham and Houston, 2021).</w:t>
      </w:r>
    </w:p>
    <w:p w14:paraId="7A7231C6" w14:textId="77777777" w:rsidR="00932FCA" w:rsidRPr="00932FCA" w:rsidRDefault="00932FCA" w:rsidP="00932FCA">
      <w:pPr>
        <w:spacing w:line="360" w:lineRule="auto"/>
        <w:jc w:val="both"/>
        <w:rPr>
          <w:rFonts w:ascii="Arial" w:hAnsi="Arial" w:cs="Arial"/>
          <w:bCs/>
          <w:sz w:val="24"/>
          <w:szCs w:val="24"/>
        </w:rPr>
      </w:pPr>
      <w:r w:rsidRPr="00932FCA">
        <w:rPr>
          <w:rFonts w:ascii="Arial" w:hAnsi="Arial" w:cs="Arial"/>
          <w:bCs/>
          <w:sz w:val="24"/>
          <w:szCs w:val="24"/>
        </w:rPr>
        <w:t>Cash operating cycle changed to 108 days in 2020 and again in 2024, which is 115 days, and in this case, it takes General Electronics 115 days to complete the cash outflow to suppliers and the cash flow to customers- meaningful utilization of working capital and a negative effect on liquidity.</w:t>
      </w:r>
    </w:p>
    <w:p w14:paraId="506899AA" w14:textId="434D371F" w:rsidR="00932FCA" w:rsidRPr="00932FCA" w:rsidRDefault="00932FCA" w:rsidP="00932FCA">
      <w:pPr>
        <w:spacing w:line="360" w:lineRule="auto"/>
        <w:jc w:val="both"/>
        <w:rPr>
          <w:rFonts w:ascii="Arial" w:hAnsi="Arial" w:cs="Arial"/>
          <w:bCs/>
          <w:sz w:val="24"/>
          <w:szCs w:val="24"/>
        </w:rPr>
      </w:pPr>
    </w:p>
    <w:p w14:paraId="57DC01D9" w14:textId="77777777" w:rsidR="00932FCA" w:rsidRPr="00932FCA" w:rsidRDefault="00932FCA" w:rsidP="00932FCA">
      <w:pPr>
        <w:spacing w:line="360" w:lineRule="auto"/>
        <w:jc w:val="both"/>
        <w:rPr>
          <w:rFonts w:ascii="Arial" w:hAnsi="Arial" w:cs="Arial"/>
          <w:b/>
          <w:bCs/>
          <w:sz w:val="24"/>
          <w:szCs w:val="24"/>
        </w:rPr>
      </w:pPr>
      <w:r w:rsidRPr="00932FCA">
        <w:rPr>
          <w:rFonts w:ascii="Arial" w:hAnsi="Arial" w:cs="Arial"/>
          <w:b/>
          <w:bCs/>
          <w:sz w:val="24"/>
          <w:szCs w:val="24"/>
        </w:rPr>
        <w:t>2.4 Gearing Analysis</w:t>
      </w:r>
    </w:p>
    <w:p w14:paraId="2E3FBBAC" w14:textId="77777777" w:rsidR="00932FCA" w:rsidRPr="00932FCA" w:rsidRDefault="00932FCA" w:rsidP="00932FCA">
      <w:pPr>
        <w:spacing w:line="360" w:lineRule="auto"/>
        <w:jc w:val="both"/>
        <w:rPr>
          <w:rFonts w:ascii="Arial" w:hAnsi="Arial" w:cs="Arial"/>
          <w:bCs/>
          <w:sz w:val="24"/>
          <w:szCs w:val="24"/>
        </w:rPr>
      </w:pPr>
      <w:r w:rsidRPr="00932FCA">
        <w:rPr>
          <w:rFonts w:ascii="Arial" w:hAnsi="Arial" w:cs="Arial"/>
          <w:bCs/>
          <w:sz w:val="24"/>
          <w:szCs w:val="24"/>
        </w:rPr>
        <w:t>The financial risk is growing with capital structure analysis. Debt-to-equity ratio was more elevated in 2024 than in 2020, namely, 0.24 vs. 0.06, but the proportion is quite low (absolutes). Nevertheless, in terms of total liabilities to equity, the ratio increased to 1.11, more than unity, and this means that the liabilities are currently higher than the equity of the shareholders, which is a dangerous trend (Watson and Head, 2016).</w:t>
      </w:r>
    </w:p>
    <w:p w14:paraId="3EA7B811" w14:textId="77777777" w:rsidR="00932FCA" w:rsidRDefault="00932FCA" w:rsidP="00932FCA">
      <w:pPr>
        <w:spacing w:line="360" w:lineRule="auto"/>
        <w:jc w:val="both"/>
        <w:rPr>
          <w:rFonts w:ascii="Arial" w:hAnsi="Arial" w:cs="Arial"/>
          <w:bCs/>
          <w:sz w:val="24"/>
          <w:szCs w:val="24"/>
        </w:rPr>
      </w:pPr>
      <w:r w:rsidRPr="00932FCA">
        <w:rPr>
          <w:rFonts w:ascii="Arial" w:hAnsi="Arial" w:cs="Arial"/>
          <w:bCs/>
          <w:sz w:val="24"/>
          <w:szCs w:val="24"/>
        </w:rPr>
        <w:t>The interest coverage ratio went down disastrously to -4.6 times (2024) as compared to 26.2 times (2020), and the operating income was not enough to meet interest coverage. This creates covenant issues and dramatically raises the default risk. In the year 2024, the company incurred net interest of 3,361m as it experienced negative operating income, which was value destruction as a result of financial leverage (Berk and DeMarzo, 2020).</w:t>
      </w:r>
    </w:p>
    <w:p w14:paraId="64216226" w14:textId="77777777" w:rsidR="00932FCA" w:rsidRPr="00932FCA" w:rsidRDefault="00932FCA" w:rsidP="00932FCA">
      <w:pPr>
        <w:spacing w:line="360" w:lineRule="auto"/>
        <w:rPr>
          <w:rFonts w:ascii="Arial" w:hAnsi="Arial" w:cs="Arial"/>
          <w:b/>
          <w:sz w:val="24"/>
          <w:szCs w:val="24"/>
        </w:rPr>
      </w:pPr>
      <w:r w:rsidRPr="00932FCA">
        <w:rPr>
          <w:rFonts w:ascii="Arial" w:hAnsi="Arial" w:cs="Arial"/>
          <w:b/>
          <w:sz w:val="24"/>
          <w:szCs w:val="24"/>
        </w:rPr>
        <w:t>2.5 Corporate Failure Prediction: Z-Score by Altman.</w:t>
      </w:r>
    </w:p>
    <w:p w14:paraId="4757ED9E" w14:textId="77777777" w:rsidR="00932FCA" w:rsidRDefault="00932FCA" w:rsidP="00932FCA">
      <w:pPr>
        <w:spacing w:line="360" w:lineRule="auto"/>
        <w:jc w:val="both"/>
        <w:rPr>
          <w:rFonts w:ascii="Arial" w:hAnsi="Arial" w:cs="Arial"/>
          <w:sz w:val="24"/>
          <w:szCs w:val="24"/>
        </w:rPr>
      </w:pPr>
      <w:r w:rsidRPr="00932FCA">
        <w:rPr>
          <w:rFonts w:ascii="Arial" w:hAnsi="Arial" w:cs="Arial"/>
          <w:sz w:val="24"/>
          <w:szCs w:val="24"/>
        </w:rPr>
        <w:t>Altman Z-Score model is a model which is used to predict the company will become bankrupt by utilizing five financial ratios which have weights (Altman, 1968). In the case of manufacturing companies, the equation is as follows:</w:t>
      </w:r>
    </w:p>
    <w:p w14:paraId="7455D2C7" w14:textId="153903EA" w:rsidR="00BF4C6E" w:rsidRPr="009049EE" w:rsidRDefault="00BF4C6E" w:rsidP="00932FCA">
      <w:pPr>
        <w:spacing w:line="360" w:lineRule="auto"/>
        <w:rPr>
          <w:rFonts w:ascii="Arial" w:hAnsi="Arial" w:cs="Arial"/>
          <w:b/>
          <w:bCs/>
          <w:sz w:val="24"/>
          <w:szCs w:val="24"/>
        </w:rPr>
      </w:pPr>
      <w:r w:rsidRPr="009049EE">
        <w:rPr>
          <w:rFonts w:ascii="Arial" w:hAnsi="Arial" w:cs="Arial"/>
          <w:b/>
          <w:bCs/>
          <w:sz w:val="24"/>
          <w:szCs w:val="24"/>
        </w:rPr>
        <w:t>Z = 1.2X</w:t>
      </w:r>
      <w:r w:rsidRPr="009049EE">
        <w:rPr>
          <w:rFonts w:ascii="Cambria Math" w:hAnsi="Cambria Math" w:cs="Cambria Math"/>
          <w:b/>
          <w:bCs/>
          <w:sz w:val="24"/>
          <w:szCs w:val="24"/>
        </w:rPr>
        <w:t>₁</w:t>
      </w:r>
      <w:r w:rsidRPr="009049EE">
        <w:rPr>
          <w:rFonts w:ascii="Arial" w:hAnsi="Arial" w:cs="Arial"/>
          <w:b/>
          <w:bCs/>
          <w:sz w:val="24"/>
          <w:szCs w:val="24"/>
        </w:rPr>
        <w:t xml:space="preserve"> + 1.4X</w:t>
      </w:r>
      <w:r w:rsidRPr="009049EE">
        <w:rPr>
          <w:rFonts w:ascii="Cambria Math" w:hAnsi="Cambria Math" w:cs="Cambria Math"/>
          <w:b/>
          <w:bCs/>
          <w:sz w:val="24"/>
          <w:szCs w:val="24"/>
        </w:rPr>
        <w:t>₂</w:t>
      </w:r>
      <w:r w:rsidRPr="009049EE">
        <w:rPr>
          <w:rFonts w:ascii="Arial" w:hAnsi="Arial" w:cs="Arial"/>
          <w:b/>
          <w:bCs/>
          <w:sz w:val="24"/>
          <w:szCs w:val="24"/>
        </w:rPr>
        <w:t xml:space="preserve"> + 3.3X</w:t>
      </w:r>
      <w:r w:rsidRPr="009049EE">
        <w:rPr>
          <w:rFonts w:ascii="Cambria Math" w:hAnsi="Cambria Math" w:cs="Cambria Math"/>
          <w:b/>
          <w:bCs/>
          <w:sz w:val="24"/>
          <w:szCs w:val="24"/>
        </w:rPr>
        <w:t>₃</w:t>
      </w:r>
      <w:r w:rsidRPr="009049EE">
        <w:rPr>
          <w:rFonts w:ascii="Arial" w:hAnsi="Arial" w:cs="Arial"/>
          <w:b/>
          <w:bCs/>
          <w:sz w:val="24"/>
          <w:szCs w:val="24"/>
        </w:rPr>
        <w:t xml:space="preserve"> + 0.6X</w:t>
      </w:r>
      <w:r w:rsidRPr="009049EE">
        <w:rPr>
          <w:rFonts w:ascii="Cambria Math" w:hAnsi="Cambria Math" w:cs="Cambria Math"/>
          <w:b/>
          <w:bCs/>
          <w:sz w:val="24"/>
          <w:szCs w:val="24"/>
        </w:rPr>
        <w:t>₄</w:t>
      </w:r>
      <w:r w:rsidRPr="009049EE">
        <w:rPr>
          <w:rFonts w:ascii="Arial" w:hAnsi="Arial" w:cs="Arial"/>
          <w:b/>
          <w:bCs/>
          <w:sz w:val="24"/>
          <w:szCs w:val="24"/>
        </w:rPr>
        <w:t xml:space="preserve"> + 1.0X</w:t>
      </w:r>
      <w:r w:rsidRPr="009049EE">
        <w:rPr>
          <w:rFonts w:ascii="Cambria Math" w:hAnsi="Cambria Math" w:cs="Cambria Math"/>
          <w:b/>
          <w:bCs/>
          <w:sz w:val="24"/>
          <w:szCs w:val="24"/>
        </w:rPr>
        <w:t>₅</w:t>
      </w:r>
    </w:p>
    <w:p w14:paraId="1B8421E5"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Where:</w:t>
      </w:r>
    </w:p>
    <w:p w14:paraId="3714FC93" w14:textId="77777777" w:rsidR="00BF4C6E" w:rsidRPr="009049EE" w:rsidRDefault="00BF4C6E" w:rsidP="009049EE">
      <w:pPr>
        <w:numPr>
          <w:ilvl w:val="0"/>
          <w:numId w:val="19"/>
        </w:numPr>
        <w:spacing w:line="360" w:lineRule="auto"/>
        <w:rPr>
          <w:rFonts w:ascii="Arial" w:hAnsi="Arial" w:cs="Arial"/>
          <w:sz w:val="24"/>
          <w:szCs w:val="24"/>
        </w:rPr>
      </w:pPr>
      <w:r w:rsidRPr="009049EE">
        <w:rPr>
          <w:rFonts w:ascii="Arial" w:hAnsi="Arial" w:cs="Arial"/>
          <w:sz w:val="24"/>
          <w:szCs w:val="24"/>
        </w:rPr>
        <w:t>X</w:t>
      </w:r>
      <w:r w:rsidRPr="009049EE">
        <w:rPr>
          <w:rFonts w:ascii="Cambria Math" w:hAnsi="Cambria Math" w:cs="Cambria Math"/>
          <w:sz w:val="24"/>
          <w:szCs w:val="24"/>
        </w:rPr>
        <w:t>₁</w:t>
      </w:r>
      <w:r w:rsidRPr="009049EE">
        <w:rPr>
          <w:rFonts w:ascii="Arial" w:hAnsi="Arial" w:cs="Arial"/>
          <w:sz w:val="24"/>
          <w:szCs w:val="24"/>
        </w:rPr>
        <w:t xml:space="preserve"> = Working Capital / Total Assets</w:t>
      </w:r>
    </w:p>
    <w:p w14:paraId="3B2A5796" w14:textId="77777777" w:rsidR="00BF4C6E" w:rsidRPr="009049EE" w:rsidRDefault="00BF4C6E" w:rsidP="009049EE">
      <w:pPr>
        <w:numPr>
          <w:ilvl w:val="0"/>
          <w:numId w:val="19"/>
        </w:numPr>
        <w:spacing w:line="360" w:lineRule="auto"/>
        <w:rPr>
          <w:rFonts w:ascii="Arial" w:hAnsi="Arial" w:cs="Arial"/>
          <w:sz w:val="24"/>
          <w:szCs w:val="24"/>
        </w:rPr>
      </w:pPr>
      <w:r w:rsidRPr="009049EE">
        <w:rPr>
          <w:rFonts w:ascii="Arial" w:hAnsi="Arial" w:cs="Arial"/>
          <w:sz w:val="24"/>
          <w:szCs w:val="24"/>
        </w:rPr>
        <w:lastRenderedPageBreak/>
        <w:t>X</w:t>
      </w:r>
      <w:r w:rsidRPr="009049EE">
        <w:rPr>
          <w:rFonts w:ascii="Cambria Math" w:hAnsi="Cambria Math" w:cs="Cambria Math"/>
          <w:sz w:val="24"/>
          <w:szCs w:val="24"/>
        </w:rPr>
        <w:t>₂</w:t>
      </w:r>
      <w:r w:rsidRPr="009049EE">
        <w:rPr>
          <w:rFonts w:ascii="Arial" w:hAnsi="Arial" w:cs="Arial"/>
          <w:sz w:val="24"/>
          <w:szCs w:val="24"/>
        </w:rPr>
        <w:t xml:space="preserve"> = Retained Earnings / Total Assets</w:t>
      </w:r>
    </w:p>
    <w:p w14:paraId="626EFA92" w14:textId="77777777" w:rsidR="00BF4C6E" w:rsidRPr="009049EE" w:rsidRDefault="00BF4C6E" w:rsidP="009049EE">
      <w:pPr>
        <w:numPr>
          <w:ilvl w:val="0"/>
          <w:numId w:val="19"/>
        </w:numPr>
        <w:spacing w:line="360" w:lineRule="auto"/>
        <w:rPr>
          <w:rFonts w:ascii="Arial" w:hAnsi="Arial" w:cs="Arial"/>
          <w:sz w:val="24"/>
          <w:szCs w:val="24"/>
        </w:rPr>
      </w:pPr>
      <w:r w:rsidRPr="009049EE">
        <w:rPr>
          <w:rFonts w:ascii="Arial" w:hAnsi="Arial" w:cs="Arial"/>
          <w:sz w:val="24"/>
          <w:szCs w:val="24"/>
        </w:rPr>
        <w:t>X</w:t>
      </w:r>
      <w:r w:rsidRPr="009049EE">
        <w:rPr>
          <w:rFonts w:ascii="Cambria Math" w:hAnsi="Cambria Math" w:cs="Cambria Math"/>
          <w:sz w:val="24"/>
          <w:szCs w:val="24"/>
        </w:rPr>
        <w:t>₃</w:t>
      </w:r>
      <w:r w:rsidRPr="009049EE">
        <w:rPr>
          <w:rFonts w:ascii="Arial" w:hAnsi="Arial" w:cs="Arial"/>
          <w:sz w:val="24"/>
          <w:szCs w:val="24"/>
        </w:rPr>
        <w:t xml:space="preserve"> = EBIT / Total Assets</w:t>
      </w:r>
    </w:p>
    <w:p w14:paraId="568F8E27" w14:textId="77777777" w:rsidR="00BF4C6E" w:rsidRPr="009049EE" w:rsidRDefault="00BF4C6E" w:rsidP="009049EE">
      <w:pPr>
        <w:numPr>
          <w:ilvl w:val="0"/>
          <w:numId w:val="19"/>
        </w:numPr>
        <w:spacing w:line="360" w:lineRule="auto"/>
        <w:rPr>
          <w:rFonts w:ascii="Arial" w:hAnsi="Arial" w:cs="Arial"/>
          <w:sz w:val="24"/>
          <w:szCs w:val="24"/>
        </w:rPr>
      </w:pPr>
      <w:r w:rsidRPr="009049EE">
        <w:rPr>
          <w:rFonts w:ascii="Arial" w:hAnsi="Arial" w:cs="Arial"/>
          <w:sz w:val="24"/>
          <w:szCs w:val="24"/>
        </w:rPr>
        <w:t>X</w:t>
      </w:r>
      <w:r w:rsidRPr="009049EE">
        <w:rPr>
          <w:rFonts w:ascii="Cambria Math" w:hAnsi="Cambria Math" w:cs="Cambria Math"/>
          <w:sz w:val="24"/>
          <w:szCs w:val="24"/>
        </w:rPr>
        <w:t>₄</w:t>
      </w:r>
      <w:r w:rsidRPr="009049EE">
        <w:rPr>
          <w:rFonts w:ascii="Arial" w:hAnsi="Arial" w:cs="Arial"/>
          <w:sz w:val="24"/>
          <w:szCs w:val="24"/>
        </w:rPr>
        <w:t xml:space="preserve"> = Market Value of Equity / Total Liabilities</w:t>
      </w:r>
    </w:p>
    <w:p w14:paraId="5C4D4336" w14:textId="77777777" w:rsidR="00BF4C6E" w:rsidRPr="009049EE" w:rsidRDefault="00BF4C6E" w:rsidP="009049EE">
      <w:pPr>
        <w:numPr>
          <w:ilvl w:val="0"/>
          <w:numId w:val="19"/>
        </w:numPr>
        <w:spacing w:line="360" w:lineRule="auto"/>
        <w:rPr>
          <w:rFonts w:ascii="Arial" w:hAnsi="Arial" w:cs="Arial"/>
          <w:sz w:val="24"/>
          <w:szCs w:val="24"/>
        </w:rPr>
      </w:pPr>
      <w:r w:rsidRPr="009049EE">
        <w:rPr>
          <w:rFonts w:ascii="Arial" w:hAnsi="Arial" w:cs="Arial"/>
          <w:sz w:val="24"/>
          <w:szCs w:val="24"/>
        </w:rPr>
        <w:t>X</w:t>
      </w:r>
      <w:r w:rsidRPr="009049EE">
        <w:rPr>
          <w:rFonts w:ascii="Cambria Math" w:hAnsi="Cambria Math" w:cs="Cambria Math"/>
          <w:sz w:val="24"/>
          <w:szCs w:val="24"/>
        </w:rPr>
        <w:t>₅</w:t>
      </w:r>
      <w:r w:rsidRPr="009049EE">
        <w:rPr>
          <w:rFonts w:ascii="Arial" w:hAnsi="Arial" w:cs="Arial"/>
          <w:sz w:val="24"/>
          <w:szCs w:val="24"/>
        </w:rPr>
        <w:t xml:space="preserve"> = Sales / Total Assets</w:t>
      </w:r>
    </w:p>
    <w:p w14:paraId="1B184EAE"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2024 Calculations:</w:t>
      </w:r>
    </w:p>
    <w:p w14:paraId="0E8F1772" w14:textId="77777777" w:rsidR="00BF4C6E" w:rsidRPr="009049EE" w:rsidRDefault="00BF4C6E" w:rsidP="009049EE">
      <w:pPr>
        <w:numPr>
          <w:ilvl w:val="0"/>
          <w:numId w:val="20"/>
        </w:numPr>
        <w:spacing w:line="360" w:lineRule="auto"/>
        <w:rPr>
          <w:rFonts w:ascii="Arial" w:hAnsi="Arial" w:cs="Arial"/>
          <w:sz w:val="24"/>
          <w:szCs w:val="24"/>
        </w:rPr>
      </w:pPr>
      <w:r w:rsidRPr="009049EE">
        <w:rPr>
          <w:rFonts w:ascii="Arial" w:hAnsi="Arial" w:cs="Arial"/>
          <w:sz w:val="24"/>
          <w:szCs w:val="24"/>
        </w:rPr>
        <w:t>X</w:t>
      </w:r>
      <w:r w:rsidRPr="009049EE">
        <w:rPr>
          <w:rFonts w:ascii="Cambria Math" w:hAnsi="Cambria Math" w:cs="Cambria Math"/>
          <w:sz w:val="24"/>
          <w:szCs w:val="24"/>
        </w:rPr>
        <w:t>₁</w:t>
      </w:r>
      <w:r w:rsidRPr="009049EE">
        <w:rPr>
          <w:rFonts w:ascii="Arial" w:hAnsi="Arial" w:cs="Arial"/>
          <w:sz w:val="24"/>
          <w:szCs w:val="24"/>
        </w:rPr>
        <w:t xml:space="preserve"> = (242,494 - 158,291) / 323,354 = 0.260</w:t>
      </w:r>
    </w:p>
    <w:p w14:paraId="228326AA" w14:textId="77777777" w:rsidR="00BF4C6E" w:rsidRPr="009049EE" w:rsidRDefault="00BF4C6E" w:rsidP="009049EE">
      <w:pPr>
        <w:numPr>
          <w:ilvl w:val="0"/>
          <w:numId w:val="20"/>
        </w:numPr>
        <w:spacing w:line="360" w:lineRule="auto"/>
        <w:rPr>
          <w:rFonts w:ascii="Arial" w:hAnsi="Arial" w:cs="Arial"/>
          <w:sz w:val="24"/>
          <w:szCs w:val="24"/>
        </w:rPr>
      </w:pPr>
      <w:r w:rsidRPr="009049EE">
        <w:rPr>
          <w:rFonts w:ascii="Arial" w:hAnsi="Arial" w:cs="Arial"/>
          <w:sz w:val="24"/>
          <w:szCs w:val="24"/>
        </w:rPr>
        <w:t>X</w:t>
      </w:r>
      <w:r w:rsidRPr="009049EE">
        <w:rPr>
          <w:rFonts w:ascii="Cambria Math" w:hAnsi="Cambria Math" w:cs="Cambria Math"/>
          <w:sz w:val="24"/>
          <w:szCs w:val="24"/>
        </w:rPr>
        <w:t>₂</w:t>
      </w:r>
      <w:r w:rsidRPr="009049EE">
        <w:rPr>
          <w:rFonts w:ascii="Arial" w:hAnsi="Arial" w:cs="Arial"/>
          <w:sz w:val="24"/>
          <w:szCs w:val="24"/>
        </w:rPr>
        <w:t xml:space="preserve"> = 208,431 / 323,354 = 0.645</w:t>
      </w:r>
    </w:p>
    <w:p w14:paraId="1C6F0EB8" w14:textId="77777777" w:rsidR="00BF4C6E" w:rsidRPr="009049EE" w:rsidRDefault="00BF4C6E" w:rsidP="009049EE">
      <w:pPr>
        <w:numPr>
          <w:ilvl w:val="0"/>
          <w:numId w:val="20"/>
        </w:numPr>
        <w:spacing w:line="360" w:lineRule="auto"/>
        <w:rPr>
          <w:rFonts w:ascii="Arial" w:hAnsi="Arial" w:cs="Arial"/>
          <w:sz w:val="24"/>
          <w:szCs w:val="24"/>
        </w:rPr>
      </w:pPr>
      <w:r w:rsidRPr="009049EE">
        <w:rPr>
          <w:rFonts w:ascii="Arial" w:hAnsi="Arial" w:cs="Arial"/>
          <w:sz w:val="24"/>
          <w:szCs w:val="24"/>
        </w:rPr>
        <w:t>X</w:t>
      </w:r>
      <w:r w:rsidRPr="009049EE">
        <w:rPr>
          <w:rFonts w:ascii="Cambria Math" w:hAnsi="Cambria Math" w:cs="Cambria Math"/>
          <w:sz w:val="24"/>
          <w:szCs w:val="24"/>
        </w:rPr>
        <w:t>₃</w:t>
      </w:r>
      <w:r w:rsidRPr="009049EE">
        <w:rPr>
          <w:rFonts w:ascii="Arial" w:hAnsi="Arial" w:cs="Arial"/>
          <w:sz w:val="24"/>
          <w:szCs w:val="24"/>
        </w:rPr>
        <w:t xml:space="preserve"> = -15,297 / 323,354 = -0.047</w:t>
      </w:r>
    </w:p>
    <w:p w14:paraId="6B945CD7" w14:textId="77777777" w:rsidR="00BF4C6E" w:rsidRPr="009049EE" w:rsidRDefault="00BF4C6E" w:rsidP="009049EE">
      <w:pPr>
        <w:numPr>
          <w:ilvl w:val="0"/>
          <w:numId w:val="20"/>
        </w:numPr>
        <w:spacing w:line="360" w:lineRule="auto"/>
        <w:rPr>
          <w:rFonts w:ascii="Arial" w:hAnsi="Arial" w:cs="Arial"/>
          <w:sz w:val="24"/>
          <w:szCs w:val="24"/>
        </w:rPr>
      </w:pPr>
      <w:r w:rsidRPr="009049EE">
        <w:rPr>
          <w:rFonts w:ascii="Arial" w:hAnsi="Arial" w:cs="Arial"/>
          <w:sz w:val="24"/>
          <w:szCs w:val="24"/>
        </w:rPr>
        <w:t>X</w:t>
      </w:r>
      <w:r w:rsidRPr="009049EE">
        <w:rPr>
          <w:rFonts w:ascii="Cambria Math" w:hAnsi="Cambria Math" w:cs="Cambria Math"/>
          <w:sz w:val="24"/>
          <w:szCs w:val="24"/>
        </w:rPr>
        <w:t>₄</w:t>
      </w:r>
      <w:r w:rsidRPr="009049EE">
        <w:rPr>
          <w:rFonts w:ascii="Arial" w:hAnsi="Arial" w:cs="Arial"/>
          <w:sz w:val="24"/>
          <w:szCs w:val="24"/>
        </w:rPr>
        <w:t xml:space="preserve"> = 153,105 / 170,249 = 0.899 (using book value as proxy)</w:t>
      </w:r>
    </w:p>
    <w:p w14:paraId="35BAA68E" w14:textId="77777777" w:rsidR="00BF4C6E" w:rsidRPr="009049EE" w:rsidRDefault="00BF4C6E" w:rsidP="009049EE">
      <w:pPr>
        <w:numPr>
          <w:ilvl w:val="0"/>
          <w:numId w:val="20"/>
        </w:numPr>
        <w:spacing w:line="360" w:lineRule="auto"/>
        <w:rPr>
          <w:rFonts w:ascii="Arial" w:hAnsi="Arial" w:cs="Arial"/>
          <w:sz w:val="24"/>
          <w:szCs w:val="24"/>
        </w:rPr>
      </w:pPr>
      <w:r w:rsidRPr="009049EE">
        <w:rPr>
          <w:rFonts w:ascii="Arial" w:hAnsi="Arial" w:cs="Arial"/>
          <w:sz w:val="24"/>
          <w:szCs w:val="24"/>
        </w:rPr>
        <w:t>X</w:t>
      </w:r>
      <w:r w:rsidRPr="009049EE">
        <w:rPr>
          <w:rFonts w:ascii="Cambria Math" w:hAnsi="Cambria Math" w:cs="Cambria Math"/>
          <w:sz w:val="24"/>
          <w:szCs w:val="24"/>
        </w:rPr>
        <w:t>₅</w:t>
      </w:r>
      <w:r w:rsidRPr="009049EE">
        <w:rPr>
          <w:rFonts w:ascii="Arial" w:hAnsi="Arial" w:cs="Arial"/>
          <w:sz w:val="24"/>
          <w:szCs w:val="24"/>
        </w:rPr>
        <w:t xml:space="preserve"> = 394,879 / 323,354 = 1.221</w:t>
      </w:r>
    </w:p>
    <w:p w14:paraId="54947891"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Z-Score (2024) = 1.2(0.260) + 1.4(0.645) + 3.3(-0.047) + 0.6(0.899) + 1.0(1.221) = 2.69</w:t>
      </w:r>
    </w:p>
    <w:p w14:paraId="61E9C2AD" w14:textId="77777777" w:rsidR="00932FCA" w:rsidRDefault="00932FCA" w:rsidP="009049EE">
      <w:pPr>
        <w:spacing w:line="360" w:lineRule="auto"/>
        <w:rPr>
          <w:rFonts w:ascii="Arial" w:hAnsi="Arial" w:cs="Arial"/>
          <w:sz w:val="24"/>
          <w:szCs w:val="24"/>
        </w:rPr>
      </w:pPr>
      <w:r w:rsidRPr="00932FCA">
        <w:rPr>
          <w:rFonts w:ascii="Arial" w:hAnsi="Arial" w:cs="Arial"/>
          <w:sz w:val="24"/>
          <w:szCs w:val="24"/>
        </w:rPr>
        <w:t>This score is considered as being in the grey zone (1.8 &lt; Z &lt; 3.0) which implies moderate risk of distress. Nevertheless, the fact that the 2020 Z-Score is about 4.1 (safe zone, Z &gt; 3.0) and it rapidly worsens to the point of distress zone (Z &lt; 1.8) is ominous. The unfavorable EBIT element is especially risky to future scores in case the operating losses continue (Altman, 2000).</w:t>
      </w:r>
    </w:p>
    <w:p w14:paraId="14CEC2E7" w14:textId="77777777" w:rsidR="00932FCA" w:rsidRPr="00932FCA" w:rsidRDefault="00932FCA" w:rsidP="00932FCA">
      <w:pPr>
        <w:spacing w:line="360" w:lineRule="auto"/>
        <w:rPr>
          <w:rFonts w:ascii="Arial" w:hAnsi="Arial" w:cs="Arial"/>
          <w:b/>
          <w:bCs/>
          <w:sz w:val="24"/>
          <w:szCs w:val="24"/>
        </w:rPr>
      </w:pPr>
      <w:r w:rsidRPr="00932FCA">
        <w:rPr>
          <w:rFonts w:ascii="Arial" w:hAnsi="Arial" w:cs="Arial"/>
          <w:b/>
          <w:bCs/>
          <w:sz w:val="24"/>
          <w:szCs w:val="24"/>
        </w:rPr>
        <w:t>2.6 Summary of Financial Health</w:t>
      </w:r>
    </w:p>
    <w:p w14:paraId="6B1EC4B4" w14:textId="5B17CC5E" w:rsidR="00BF4C6E" w:rsidRPr="00932FCA" w:rsidRDefault="00932FCA" w:rsidP="00932FCA">
      <w:pPr>
        <w:spacing w:line="360" w:lineRule="auto"/>
        <w:jc w:val="both"/>
        <w:rPr>
          <w:rFonts w:ascii="Arial" w:hAnsi="Arial" w:cs="Arial"/>
          <w:bCs/>
          <w:sz w:val="24"/>
          <w:szCs w:val="24"/>
        </w:rPr>
      </w:pPr>
      <w:r w:rsidRPr="00932FCA">
        <w:rPr>
          <w:rFonts w:ascii="Arial" w:hAnsi="Arial" w:cs="Arial"/>
          <w:bCs/>
          <w:sz w:val="24"/>
          <w:szCs w:val="24"/>
        </w:rPr>
        <w:t>General Electronics is in serious financial distress that is characterised by: (1) declining revenue indicating the loss of its competitive position in the market; (2) negative operating profitability indicating misalignment of cost structure; (3) declining liquidity othering to its short-term solvency; (4) inefficient use of working capital; and (5) the current trend of bankruptcy risk that is on a downward trend. The company also has a risk of insolvency in the next 18-24 months unless it is intervened in (Palepu et al., 2020).</w:t>
      </w:r>
    </w:p>
    <w:p w14:paraId="16E51FE2" w14:textId="77777777" w:rsidR="003E5B2E" w:rsidRDefault="003E5B2E">
      <w:pPr>
        <w:rPr>
          <w:rFonts w:ascii="Arial" w:hAnsi="Arial" w:cs="Arial"/>
          <w:b/>
          <w:bCs/>
          <w:sz w:val="24"/>
          <w:szCs w:val="24"/>
        </w:rPr>
      </w:pPr>
      <w:r>
        <w:rPr>
          <w:rFonts w:ascii="Arial" w:hAnsi="Arial" w:cs="Arial"/>
          <w:b/>
          <w:bCs/>
          <w:sz w:val="24"/>
          <w:szCs w:val="24"/>
        </w:rPr>
        <w:br w:type="page"/>
      </w:r>
    </w:p>
    <w:p w14:paraId="166D0B94" w14:textId="460DB4FD" w:rsidR="00BF4C6E" w:rsidRPr="009049EE" w:rsidRDefault="00BF4C6E" w:rsidP="009049EE">
      <w:pPr>
        <w:spacing w:line="360" w:lineRule="auto"/>
        <w:rPr>
          <w:rFonts w:ascii="Arial" w:hAnsi="Arial" w:cs="Arial"/>
          <w:b/>
          <w:bCs/>
          <w:sz w:val="24"/>
          <w:szCs w:val="24"/>
        </w:rPr>
      </w:pPr>
      <w:r w:rsidRPr="009049EE">
        <w:rPr>
          <w:rFonts w:ascii="Arial" w:hAnsi="Arial" w:cs="Arial"/>
          <w:b/>
          <w:bCs/>
          <w:sz w:val="24"/>
          <w:szCs w:val="24"/>
        </w:rPr>
        <w:lastRenderedPageBreak/>
        <w:t>3. Working Capital Management Analysis</w:t>
      </w:r>
    </w:p>
    <w:p w14:paraId="7061ECAD" w14:textId="77777777" w:rsidR="00BF4C6E" w:rsidRPr="009049EE" w:rsidRDefault="00BF4C6E" w:rsidP="009049EE">
      <w:pPr>
        <w:spacing w:line="360" w:lineRule="auto"/>
        <w:rPr>
          <w:rFonts w:ascii="Arial" w:hAnsi="Arial" w:cs="Arial"/>
          <w:b/>
          <w:bCs/>
          <w:sz w:val="24"/>
          <w:szCs w:val="24"/>
        </w:rPr>
      </w:pPr>
      <w:r w:rsidRPr="009049EE">
        <w:rPr>
          <w:rFonts w:ascii="Arial" w:hAnsi="Arial" w:cs="Arial"/>
          <w:b/>
          <w:bCs/>
          <w:sz w:val="24"/>
          <w:szCs w:val="24"/>
        </w:rPr>
        <w:t>3.1 Cash Operating Cycle Assessment</w:t>
      </w:r>
    </w:p>
    <w:p w14:paraId="25F153B9" w14:textId="77777777" w:rsidR="00932FCA" w:rsidRPr="00932FCA" w:rsidRDefault="00932FCA" w:rsidP="00932FCA">
      <w:pPr>
        <w:spacing w:line="360" w:lineRule="auto"/>
        <w:jc w:val="both"/>
        <w:rPr>
          <w:rFonts w:ascii="Arial" w:hAnsi="Arial" w:cs="Arial"/>
          <w:sz w:val="24"/>
          <w:szCs w:val="24"/>
        </w:rPr>
      </w:pPr>
      <w:r w:rsidRPr="00932FCA">
        <w:rPr>
          <w:rFonts w:ascii="Arial" w:hAnsi="Arial" w:cs="Arial"/>
          <w:sz w:val="24"/>
          <w:szCs w:val="24"/>
        </w:rPr>
        <w:t>The cash operating cycle assessment evaluates how effective the company is in utilizing its current assets to generate sales revenue.&lt;|human|&gt;3.1 Cash Operating Cycle Assessment The operating cycle measure of cash is an assessment of the efficiency of the company in converting its current assets into sales revenue.</w:t>
      </w:r>
    </w:p>
    <w:p w14:paraId="78589848" w14:textId="77777777" w:rsidR="00932FCA" w:rsidRDefault="00932FCA" w:rsidP="00932FCA">
      <w:pPr>
        <w:spacing w:line="360" w:lineRule="auto"/>
        <w:jc w:val="both"/>
        <w:rPr>
          <w:rFonts w:ascii="Arial" w:hAnsi="Arial" w:cs="Arial"/>
          <w:sz w:val="24"/>
          <w:szCs w:val="24"/>
        </w:rPr>
      </w:pPr>
      <w:r w:rsidRPr="00932FCA">
        <w:rPr>
          <w:rFonts w:ascii="Arial" w:hAnsi="Arial" w:cs="Arial"/>
          <w:sz w:val="24"/>
          <w:szCs w:val="24"/>
        </w:rPr>
        <w:t>COC is the time interval between payment of cash to buy inventory and receiving of money (Richards and Laughlin, 1980). General Electronics improved its COC that was 108 days (2020) to 115 days (2024):</w:t>
      </w:r>
    </w:p>
    <w:p w14:paraId="5B260D67" w14:textId="5D7F5123" w:rsidR="00BF4C6E" w:rsidRPr="009049EE" w:rsidRDefault="00BF4C6E" w:rsidP="00932FCA">
      <w:pPr>
        <w:spacing w:line="360" w:lineRule="auto"/>
        <w:rPr>
          <w:rFonts w:ascii="Arial" w:hAnsi="Arial" w:cs="Arial"/>
          <w:b/>
          <w:bCs/>
          <w:sz w:val="24"/>
          <w:szCs w:val="24"/>
        </w:rPr>
      </w:pPr>
      <w:r w:rsidRPr="009049EE">
        <w:rPr>
          <w:rFonts w:ascii="Arial" w:hAnsi="Arial" w:cs="Arial"/>
          <w:b/>
          <w:bCs/>
          <w:sz w:val="24"/>
          <w:szCs w:val="24"/>
        </w:rPr>
        <w:t>COC = Days Inventory Outstanding + Days Sales Outstanding - Days Payables Outstanding</w:t>
      </w:r>
    </w:p>
    <w:p w14:paraId="5DDD0E8B" w14:textId="77777777" w:rsidR="00BF4C6E" w:rsidRPr="009049EE" w:rsidRDefault="00BF4C6E" w:rsidP="009049EE">
      <w:pPr>
        <w:spacing w:line="360" w:lineRule="auto"/>
        <w:rPr>
          <w:rFonts w:ascii="Arial" w:hAnsi="Arial" w:cs="Arial"/>
          <w:b/>
          <w:bCs/>
          <w:sz w:val="24"/>
          <w:szCs w:val="24"/>
        </w:rPr>
      </w:pPr>
      <w:r w:rsidRPr="009049EE">
        <w:rPr>
          <w:rFonts w:ascii="Arial" w:hAnsi="Arial" w:cs="Arial"/>
          <w:b/>
          <w:bCs/>
          <w:sz w:val="24"/>
          <w:szCs w:val="24"/>
        </w:rPr>
        <w:t>2024: COC = 103 + 106 - 94 = 115 days</w:t>
      </w:r>
      <w:r w:rsidRPr="009049EE">
        <w:rPr>
          <w:rFonts w:ascii="Arial" w:hAnsi="Arial" w:cs="Arial"/>
          <w:b/>
          <w:bCs/>
          <w:sz w:val="24"/>
          <w:szCs w:val="24"/>
        </w:rPr>
        <w:br/>
        <w:t>2020: COC = 100 + 77 - 69 = 108 days</w:t>
      </w:r>
    </w:p>
    <w:p w14:paraId="551B1AB2" w14:textId="77777777" w:rsidR="00932FCA" w:rsidRDefault="00932FCA" w:rsidP="00932FCA">
      <w:pPr>
        <w:spacing w:line="360" w:lineRule="auto"/>
        <w:jc w:val="both"/>
        <w:rPr>
          <w:rFonts w:ascii="Arial" w:hAnsi="Arial" w:cs="Arial"/>
          <w:sz w:val="24"/>
          <w:szCs w:val="24"/>
        </w:rPr>
      </w:pPr>
      <w:r w:rsidRPr="00932FCA">
        <w:rPr>
          <w:rFonts w:ascii="Arial" w:hAnsi="Arial" w:cs="Arial"/>
          <w:sz w:val="24"/>
          <w:szCs w:val="24"/>
        </w:rPr>
        <w:t>This seven-day rise would mean about an increment of seven point six million on the working capital requirement (assuming daily operating cost) and is worsening the cash situation. Most consumer electronics business cycles are based on 60-90 days; the 115 days at General Electronics business cycle is a sign of competitive disadvantage (Deloof, 2003).</w:t>
      </w:r>
    </w:p>
    <w:p w14:paraId="0B372CCB" w14:textId="77777777" w:rsidR="00BC71A8" w:rsidRPr="00BC71A8" w:rsidRDefault="00BC71A8" w:rsidP="00BC71A8">
      <w:pPr>
        <w:spacing w:line="360" w:lineRule="auto"/>
        <w:rPr>
          <w:rFonts w:ascii="Arial" w:hAnsi="Arial" w:cs="Arial"/>
          <w:b/>
          <w:bCs/>
          <w:sz w:val="24"/>
          <w:szCs w:val="24"/>
        </w:rPr>
      </w:pPr>
      <w:r w:rsidRPr="00BC71A8">
        <w:rPr>
          <w:rFonts w:ascii="Arial" w:hAnsi="Arial" w:cs="Arial"/>
          <w:b/>
          <w:bCs/>
          <w:sz w:val="24"/>
          <w:szCs w:val="24"/>
        </w:rPr>
        <w:t>COC deterioration is caused by three components:</w:t>
      </w:r>
    </w:p>
    <w:p w14:paraId="5EBE1C7E" w14:textId="77777777" w:rsidR="00BC71A8" w:rsidRPr="00BC71A8" w:rsidRDefault="00BC71A8" w:rsidP="00BC71A8">
      <w:pPr>
        <w:spacing w:line="360" w:lineRule="auto"/>
        <w:jc w:val="both"/>
        <w:rPr>
          <w:rFonts w:ascii="Arial" w:hAnsi="Arial" w:cs="Arial"/>
          <w:bCs/>
          <w:sz w:val="24"/>
          <w:szCs w:val="24"/>
        </w:rPr>
      </w:pPr>
      <w:r w:rsidRPr="00BC71A8">
        <w:rPr>
          <w:rFonts w:ascii="Arial" w:hAnsi="Arial" w:cs="Arial"/>
          <w:bCs/>
          <w:sz w:val="24"/>
          <w:szCs w:val="24"/>
        </w:rPr>
        <w:t>Inventory: This is a tie-up of PS79,355m (2024) in excess inventory, even though this has decreased by 10 percent since 2023. The old products, the inefficiency of safety stocks and the failure of demand forecasting are probably the contributors. Stagnant inventory items would face write-downs; this can be seen considering PS333m assets impairments (2024).</w:t>
      </w:r>
    </w:p>
    <w:p w14:paraId="3E58092E" w14:textId="77777777" w:rsidR="00BC71A8" w:rsidRPr="00BC71A8" w:rsidRDefault="00BC71A8" w:rsidP="00BC71A8">
      <w:pPr>
        <w:spacing w:line="360" w:lineRule="auto"/>
        <w:jc w:val="both"/>
        <w:rPr>
          <w:rFonts w:ascii="Arial" w:hAnsi="Arial" w:cs="Arial"/>
          <w:bCs/>
          <w:sz w:val="24"/>
          <w:szCs w:val="24"/>
        </w:rPr>
      </w:pPr>
      <w:r w:rsidRPr="00BC71A8">
        <w:rPr>
          <w:rFonts w:ascii="Arial" w:hAnsi="Arial" w:cs="Arial"/>
          <w:bCs/>
          <w:sz w:val="24"/>
          <w:szCs w:val="24"/>
        </w:rPr>
        <w:t>Receivables management: Days outstanding collected increased 29 days over the year compared to 2020 indicating soft credit conditions to sustain the falling sales volumes or customer financial hardship. The PS114,182m accounts receivable ratio is excessive by industry standards; this constitutes 29% of annual revenue.</w:t>
      </w:r>
    </w:p>
    <w:p w14:paraId="364D19BA" w14:textId="77777777" w:rsidR="00BC71A8" w:rsidRDefault="00BC71A8" w:rsidP="00BC71A8">
      <w:pPr>
        <w:spacing w:line="360" w:lineRule="auto"/>
        <w:jc w:val="both"/>
        <w:rPr>
          <w:rFonts w:ascii="Arial" w:hAnsi="Arial" w:cs="Arial"/>
          <w:bCs/>
          <w:sz w:val="24"/>
          <w:szCs w:val="24"/>
        </w:rPr>
      </w:pPr>
      <w:r w:rsidRPr="00BC71A8">
        <w:rPr>
          <w:rFonts w:ascii="Arial" w:hAnsi="Arial" w:cs="Arial"/>
          <w:bCs/>
          <w:sz w:val="24"/>
          <w:szCs w:val="24"/>
        </w:rPr>
        <w:t xml:space="preserve">Payables management: 94 days of outstanding might pose a strain on the relationships with suppliers whose disruption of supply chain or unfavourable prices </w:t>
      </w:r>
      <w:r w:rsidRPr="00BC71A8">
        <w:rPr>
          <w:rFonts w:ascii="Arial" w:hAnsi="Arial" w:cs="Arial"/>
          <w:bCs/>
          <w:sz w:val="24"/>
          <w:szCs w:val="24"/>
        </w:rPr>
        <w:lastRenderedPageBreak/>
        <w:t>can occur. Although this is a good idea as far as preserving cash is concerned, there are limitations.</w:t>
      </w:r>
    </w:p>
    <w:p w14:paraId="0DCD1A5E" w14:textId="77777777" w:rsidR="00BC71A8" w:rsidRPr="00BC71A8" w:rsidRDefault="00BC71A8" w:rsidP="00BC71A8">
      <w:pPr>
        <w:spacing w:line="360" w:lineRule="auto"/>
        <w:rPr>
          <w:rFonts w:ascii="Arial" w:hAnsi="Arial" w:cs="Arial"/>
          <w:b/>
          <w:bCs/>
          <w:sz w:val="24"/>
          <w:szCs w:val="24"/>
        </w:rPr>
      </w:pPr>
      <w:r w:rsidRPr="00BC71A8">
        <w:rPr>
          <w:rFonts w:ascii="Arial" w:hAnsi="Arial" w:cs="Arial"/>
          <w:b/>
          <w:bCs/>
          <w:sz w:val="24"/>
          <w:szCs w:val="24"/>
        </w:rPr>
        <w:t>3.2 Strategies of Working Capital Improvement.</w:t>
      </w:r>
    </w:p>
    <w:p w14:paraId="10794897" w14:textId="77777777" w:rsidR="00BC71A8" w:rsidRPr="00BC71A8" w:rsidRDefault="00BC71A8" w:rsidP="00BC71A8">
      <w:pPr>
        <w:spacing w:line="360" w:lineRule="auto"/>
        <w:jc w:val="both"/>
        <w:rPr>
          <w:rFonts w:ascii="Arial" w:hAnsi="Arial" w:cs="Arial"/>
          <w:bCs/>
          <w:sz w:val="24"/>
          <w:szCs w:val="24"/>
        </w:rPr>
      </w:pPr>
      <w:r w:rsidRPr="00BC71A8">
        <w:rPr>
          <w:rFonts w:ascii="Arial" w:hAnsi="Arial" w:cs="Arial"/>
          <w:bCs/>
          <w:sz w:val="24"/>
          <w:szCs w:val="24"/>
        </w:rPr>
        <w:t>Inventory Optimisation (Target: 20-day decrease)</w:t>
      </w:r>
    </w:p>
    <w:p w14:paraId="17E2846D" w14:textId="77777777" w:rsidR="00BC71A8" w:rsidRPr="00BC71A8" w:rsidRDefault="00BC71A8" w:rsidP="00BC71A8">
      <w:pPr>
        <w:spacing w:line="360" w:lineRule="auto"/>
        <w:jc w:val="both"/>
        <w:rPr>
          <w:rFonts w:ascii="Arial" w:hAnsi="Arial" w:cs="Arial"/>
          <w:bCs/>
          <w:sz w:val="24"/>
          <w:szCs w:val="24"/>
        </w:rPr>
      </w:pPr>
      <w:r w:rsidRPr="00BC71A8">
        <w:rPr>
          <w:rFonts w:ascii="Arial" w:hAnsi="Arial" w:cs="Arial"/>
          <w:bCs/>
          <w:sz w:val="24"/>
          <w:szCs w:val="24"/>
        </w:rPr>
        <w:t>Just-in-time (JIT) inventory systems would help to release vital cash by implementing the systems that would cut holdings by PS15-20m. Particular steps comprise: (1) SKU rationalisation to drop slow moving products; (2) vendor managed inventory scheme which transfer the ownership of the stock to the upstream; (3) demand forecast analytics enhance production planning; and (4) markdown strategy which fastens the clearance of obsolete inventory (Brealey et al., 2020).</w:t>
      </w:r>
    </w:p>
    <w:p w14:paraId="67FF0C95" w14:textId="77777777" w:rsidR="00BC71A8" w:rsidRPr="00BC71A8" w:rsidRDefault="00BC71A8" w:rsidP="00BC71A8">
      <w:pPr>
        <w:spacing w:line="360" w:lineRule="auto"/>
        <w:jc w:val="both"/>
        <w:rPr>
          <w:rFonts w:ascii="Arial" w:hAnsi="Arial" w:cs="Arial"/>
          <w:bCs/>
          <w:sz w:val="24"/>
          <w:szCs w:val="24"/>
        </w:rPr>
      </w:pPr>
      <w:r w:rsidRPr="00BC71A8">
        <w:rPr>
          <w:rFonts w:ascii="Arial" w:hAnsi="Arial" w:cs="Arial"/>
          <w:bCs/>
          <w:sz w:val="24"/>
          <w:szCs w:val="24"/>
        </w:rPr>
        <w:t>Inventory (Target: 108-day inventory reduction)</w:t>
      </w:r>
    </w:p>
    <w:p w14:paraId="3E9298CE" w14:textId="77777777" w:rsidR="00BC71A8" w:rsidRPr="00BC71A8" w:rsidRDefault="00BC71A8" w:rsidP="00BC71A8">
      <w:pPr>
        <w:spacing w:line="360" w:lineRule="auto"/>
        <w:jc w:val="both"/>
        <w:rPr>
          <w:rFonts w:ascii="Arial" w:hAnsi="Arial" w:cs="Arial"/>
          <w:bCs/>
          <w:sz w:val="24"/>
          <w:szCs w:val="24"/>
        </w:rPr>
      </w:pPr>
      <w:r w:rsidRPr="00BC71A8">
        <w:rPr>
          <w:rFonts w:ascii="Arial" w:hAnsi="Arial" w:cs="Arial"/>
          <w:bCs/>
          <w:sz w:val="24"/>
          <w:szCs w:val="24"/>
        </w:rPr>
        <w:t>Tighter credit control would free up PS16-18m cash by: (1) dynamic discounting of 2/10 net 30 terms; (2) automated collection system eliminating manual inefficiencies; (3) customer credit scoring eliminating exposure to high risk accounts; and (4) factoring in which third parties purchase the receivables at a discount to provide immediate liquidity at a cost.</w:t>
      </w:r>
    </w:p>
    <w:p w14:paraId="18FCE729" w14:textId="77777777" w:rsidR="00BC71A8" w:rsidRPr="00BC71A8" w:rsidRDefault="00BC71A8" w:rsidP="00BC71A8">
      <w:pPr>
        <w:spacing w:line="360" w:lineRule="auto"/>
        <w:jc w:val="both"/>
        <w:rPr>
          <w:rFonts w:ascii="Arial" w:hAnsi="Arial" w:cs="Arial"/>
          <w:bCs/>
          <w:sz w:val="24"/>
          <w:szCs w:val="24"/>
        </w:rPr>
      </w:pPr>
      <w:r w:rsidRPr="00BC71A8">
        <w:rPr>
          <w:rFonts w:ascii="Arial" w:hAnsi="Arial" w:cs="Arial"/>
          <w:bCs/>
          <w:sz w:val="24"/>
          <w:szCs w:val="24"/>
        </w:rPr>
        <w:t>Payables Management (Always maintain current position)</w:t>
      </w:r>
    </w:p>
    <w:p w14:paraId="393CDEF2" w14:textId="77777777" w:rsidR="00BC71A8" w:rsidRPr="00BC71A8" w:rsidRDefault="00BC71A8" w:rsidP="00BC71A8">
      <w:pPr>
        <w:spacing w:line="360" w:lineRule="auto"/>
        <w:jc w:val="both"/>
        <w:rPr>
          <w:rFonts w:ascii="Arial" w:hAnsi="Arial" w:cs="Arial"/>
          <w:bCs/>
          <w:sz w:val="24"/>
          <w:szCs w:val="24"/>
        </w:rPr>
      </w:pPr>
      <w:r w:rsidRPr="00BC71A8">
        <w:rPr>
          <w:rFonts w:ascii="Arial" w:hAnsi="Arial" w:cs="Arial"/>
          <w:bCs/>
          <w:sz w:val="24"/>
          <w:szCs w:val="24"/>
        </w:rPr>
        <w:t>Existing 94-day payment conditions are the best, as the cash preservation is balanced with control over relations with suppliers. Additional expansion poses a threat of breaking the supply chain.</w:t>
      </w:r>
    </w:p>
    <w:p w14:paraId="25FF8F27" w14:textId="77777777" w:rsidR="00BC71A8" w:rsidRDefault="00BC71A8" w:rsidP="00BC71A8">
      <w:pPr>
        <w:spacing w:line="360" w:lineRule="auto"/>
        <w:jc w:val="both"/>
        <w:rPr>
          <w:rFonts w:ascii="Arial" w:hAnsi="Arial" w:cs="Arial"/>
          <w:bCs/>
          <w:sz w:val="24"/>
          <w:szCs w:val="24"/>
        </w:rPr>
      </w:pPr>
      <w:r w:rsidRPr="00BC71A8">
        <w:rPr>
          <w:rFonts w:ascii="Arial" w:hAnsi="Arial" w:cs="Arial"/>
          <w:bCs/>
          <w:sz w:val="24"/>
          <w:szCs w:val="24"/>
        </w:rPr>
        <w:t>The Leading Effect: Inventory and receivables targets would bring COC to circa 80 days, which would set PS30-35m working capital free-improving liquidity ratio to 1.75 and would give operational breathing room.</w:t>
      </w:r>
    </w:p>
    <w:p w14:paraId="3DA6CC43" w14:textId="77777777" w:rsidR="00BC71A8" w:rsidRPr="00BC71A8" w:rsidRDefault="00BC71A8" w:rsidP="00BC71A8">
      <w:pPr>
        <w:spacing w:line="360" w:lineRule="auto"/>
        <w:rPr>
          <w:rFonts w:ascii="Arial" w:hAnsi="Arial" w:cs="Arial"/>
          <w:b/>
          <w:bCs/>
          <w:sz w:val="24"/>
          <w:szCs w:val="24"/>
        </w:rPr>
      </w:pPr>
      <w:r w:rsidRPr="00BC71A8">
        <w:rPr>
          <w:rFonts w:ascii="Arial" w:hAnsi="Arial" w:cs="Arial"/>
          <w:b/>
          <w:bCs/>
          <w:sz w:val="24"/>
          <w:szCs w:val="24"/>
        </w:rPr>
        <w:t>3.3 Short and Long-term Financing Alternatives.</w:t>
      </w:r>
    </w:p>
    <w:p w14:paraId="42F6F6BD" w14:textId="77777777" w:rsidR="00BC71A8" w:rsidRPr="00BC71A8" w:rsidRDefault="00BC71A8" w:rsidP="00BC71A8">
      <w:pPr>
        <w:spacing w:line="360" w:lineRule="auto"/>
        <w:jc w:val="both"/>
        <w:rPr>
          <w:rFonts w:ascii="Arial" w:hAnsi="Arial" w:cs="Arial"/>
          <w:bCs/>
          <w:sz w:val="24"/>
          <w:szCs w:val="24"/>
        </w:rPr>
      </w:pPr>
      <w:r w:rsidRPr="00BC71A8">
        <w:rPr>
          <w:rFonts w:ascii="Arial" w:hAnsi="Arial" w:cs="Arial"/>
          <w:bCs/>
          <w:sz w:val="24"/>
          <w:szCs w:val="24"/>
        </w:rPr>
        <w:t xml:space="preserve">The continued dependence of General electronics on the short-term credit facilities puts the company at high risk of refinancing risk and interest rate risk, especially having poor financial performance. The short-term borrowing forms of financing are usually less costly and more flexible to seasonal changes enabling firms to make adjustments in the financing levels swiftly as the working-capital requirements fluctuate. But these benefits are overwhelmed at present by the fact that the cash flows </w:t>
      </w:r>
      <w:r w:rsidRPr="00BC71A8">
        <w:rPr>
          <w:rFonts w:ascii="Arial" w:hAnsi="Arial" w:cs="Arial"/>
          <w:bCs/>
          <w:sz w:val="24"/>
          <w:szCs w:val="24"/>
        </w:rPr>
        <w:lastRenderedPageBreak/>
        <w:t>of the company are getting weak and that there are growing chances that the lenders could tighten their belts or indeed cut off the credit altogether. Short-term facilities thus constitute a weak source of funds that can easily be upset by any change of mood by the lenders and general market structures.</w:t>
      </w:r>
    </w:p>
    <w:p w14:paraId="176486AE" w14:textId="77777777" w:rsidR="00BC71A8" w:rsidRPr="00BC71A8" w:rsidRDefault="00BC71A8" w:rsidP="00BC71A8">
      <w:pPr>
        <w:spacing w:line="360" w:lineRule="auto"/>
        <w:jc w:val="both"/>
        <w:rPr>
          <w:rFonts w:ascii="Arial" w:hAnsi="Arial" w:cs="Arial"/>
          <w:bCs/>
          <w:sz w:val="24"/>
          <w:szCs w:val="24"/>
        </w:rPr>
      </w:pPr>
      <w:r w:rsidRPr="00BC71A8">
        <w:rPr>
          <w:rFonts w:ascii="Arial" w:hAnsi="Arial" w:cs="Arial"/>
          <w:bCs/>
          <w:sz w:val="24"/>
          <w:szCs w:val="24"/>
        </w:rPr>
        <w:t>Long term financing on the other hand is more stable as it secures the finance in a number of years and offers predictability in interest payment. In the case of a distressed firm, the solvency risk that long-term debt would impose would help to avoid liquidity crises and decrease the likelihood of covenant breaches. However, such stability comes at a price long-term borrowing has a higher interest rate, in most instances, the collateral has to be pledged and the terms of operation are often more stringent. Considering the poor credit rating that is deemed a sub-investment grade of General Electronics, long-term financing would be very costly and would limit strategic flexibility.</w:t>
      </w:r>
    </w:p>
    <w:p w14:paraId="56A3F5C2" w14:textId="33668120" w:rsidR="00BC71A8" w:rsidRPr="00BC71A8" w:rsidRDefault="00BC71A8" w:rsidP="00BC71A8">
      <w:pPr>
        <w:spacing w:line="360" w:lineRule="auto"/>
        <w:jc w:val="both"/>
        <w:rPr>
          <w:rFonts w:ascii="Arial" w:hAnsi="Arial" w:cs="Arial"/>
          <w:bCs/>
          <w:sz w:val="24"/>
          <w:szCs w:val="24"/>
        </w:rPr>
      </w:pPr>
      <w:r w:rsidRPr="00BC71A8">
        <w:rPr>
          <w:rFonts w:ascii="Arial" w:hAnsi="Arial" w:cs="Arial"/>
          <w:bCs/>
          <w:sz w:val="24"/>
          <w:szCs w:val="24"/>
        </w:rPr>
        <w:t>Moderation is thus the most viable solution. A moderate sized revolving credit facility would make sure that the company is able to cover short term changes in the working capital without being overexposed to uncertainty in refinancing. Simultaneously, the transfer of a given percentage of current short-term liabilities into medium-term borrowers would stabilize the capital structure and minimise the exposure of the firm to unexpected liquidity outbursts. Together with the suggested working-capital enhancements, which are likely to gain PS30 million of working-capital during the next 18 months, this hybrid financing would enable General Electronics to control the amount of emergency borrowing it would otherwise need to rely on, while still maintaining enough leeway to accommodate operation volatility.</w:t>
      </w:r>
    </w:p>
    <w:p w14:paraId="11C6D948" w14:textId="77777777" w:rsidR="00BC71A8" w:rsidRDefault="00BC71A8" w:rsidP="00BC71A8">
      <w:pPr>
        <w:spacing w:line="360" w:lineRule="auto"/>
        <w:rPr>
          <w:rFonts w:ascii="Arial" w:hAnsi="Arial" w:cs="Arial"/>
          <w:b/>
          <w:bCs/>
          <w:sz w:val="24"/>
          <w:szCs w:val="24"/>
        </w:rPr>
      </w:pPr>
    </w:p>
    <w:p w14:paraId="15F8DBB1" w14:textId="7B6DE516" w:rsidR="00BC71A8" w:rsidRPr="00BC71A8" w:rsidRDefault="00BC71A8" w:rsidP="00BC71A8">
      <w:pPr>
        <w:spacing w:line="360" w:lineRule="auto"/>
        <w:rPr>
          <w:rFonts w:ascii="Arial" w:hAnsi="Arial" w:cs="Arial"/>
          <w:b/>
          <w:bCs/>
          <w:sz w:val="24"/>
          <w:szCs w:val="24"/>
        </w:rPr>
      </w:pPr>
      <w:r>
        <w:rPr>
          <w:rFonts w:ascii="Arial" w:hAnsi="Arial" w:cs="Arial"/>
          <w:b/>
          <w:bCs/>
          <w:sz w:val="24"/>
          <w:szCs w:val="24"/>
        </w:rPr>
        <w:t>4.</w:t>
      </w:r>
      <w:r w:rsidRPr="00BC71A8">
        <w:rPr>
          <w:rFonts w:ascii="Arial" w:hAnsi="Arial" w:cs="Arial"/>
          <w:b/>
          <w:bCs/>
          <w:sz w:val="24"/>
          <w:szCs w:val="24"/>
        </w:rPr>
        <w:t>Strategic Financial Restructuring Plan.</w:t>
      </w:r>
    </w:p>
    <w:p w14:paraId="0710DF8F" w14:textId="621F0ACB" w:rsidR="00BC71A8" w:rsidRPr="00BC71A8" w:rsidRDefault="00BC71A8" w:rsidP="00BC71A8">
      <w:pPr>
        <w:spacing w:line="360" w:lineRule="auto"/>
        <w:rPr>
          <w:rFonts w:ascii="Arial" w:hAnsi="Arial" w:cs="Arial"/>
          <w:b/>
          <w:bCs/>
          <w:sz w:val="24"/>
          <w:szCs w:val="24"/>
        </w:rPr>
      </w:pPr>
      <w:r>
        <w:rPr>
          <w:rFonts w:ascii="Arial" w:hAnsi="Arial" w:cs="Arial"/>
          <w:b/>
          <w:bCs/>
          <w:sz w:val="24"/>
          <w:szCs w:val="24"/>
        </w:rPr>
        <w:t xml:space="preserve">4.1 </w:t>
      </w:r>
      <w:r w:rsidRPr="00BC71A8">
        <w:rPr>
          <w:rFonts w:ascii="Arial" w:hAnsi="Arial" w:cs="Arial"/>
          <w:b/>
          <w:bCs/>
          <w:sz w:val="24"/>
          <w:szCs w:val="24"/>
        </w:rPr>
        <w:t>The analysis of Restructuring options will</w:t>
      </w:r>
      <w:r>
        <w:rPr>
          <w:rFonts w:ascii="Arial" w:hAnsi="Arial" w:cs="Arial"/>
          <w:b/>
          <w:bCs/>
          <w:sz w:val="24"/>
          <w:szCs w:val="24"/>
        </w:rPr>
        <w:t xml:space="preserve"> be carried out as follows:</w:t>
      </w:r>
    </w:p>
    <w:p w14:paraId="2D5D24A7" w14:textId="77777777" w:rsidR="00BC71A8" w:rsidRPr="00BC71A8" w:rsidRDefault="00BC71A8" w:rsidP="00BC71A8">
      <w:pPr>
        <w:spacing w:line="360" w:lineRule="auto"/>
        <w:jc w:val="both"/>
        <w:rPr>
          <w:rFonts w:ascii="Arial" w:hAnsi="Arial" w:cs="Arial"/>
          <w:bCs/>
          <w:sz w:val="24"/>
          <w:szCs w:val="24"/>
        </w:rPr>
      </w:pPr>
      <w:r w:rsidRPr="00BC71A8">
        <w:rPr>
          <w:rFonts w:ascii="Arial" w:hAnsi="Arial" w:cs="Arial"/>
          <w:bCs/>
          <w:sz w:val="24"/>
          <w:szCs w:val="24"/>
        </w:rPr>
        <w:t>Alternative 1: Operational Downsizing.</w:t>
      </w:r>
    </w:p>
    <w:p w14:paraId="6953DAE1" w14:textId="77777777" w:rsidR="00BC71A8" w:rsidRPr="00BC71A8" w:rsidRDefault="00BC71A8" w:rsidP="00BC71A8">
      <w:pPr>
        <w:spacing w:line="360" w:lineRule="auto"/>
        <w:jc w:val="both"/>
        <w:rPr>
          <w:rFonts w:ascii="Arial" w:hAnsi="Arial" w:cs="Arial"/>
          <w:bCs/>
          <w:sz w:val="24"/>
          <w:szCs w:val="24"/>
        </w:rPr>
      </w:pPr>
      <w:r w:rsidRPr="00BC71A8">
        <w:rPr>
          <w:rFonts w:ascii="Arial" w:hAnsi="Arial" w:cs="Arial"/>
          <w:bCs/>
          <w:sz w:val="24"/>
          <w:szCs w:val="24"/>
        </w:rPr>
        <w:t xml:space="preserve">The sale of non-performing business units or geographical operations may stop cash flows as well as re-concentrating on the profitable core operations. The candidate divestiture targets are: (1) geographical markets that are making continuing losses; (2) </w:t>
      </w:r>
      <w:r w:rsidRPr="00BC71A8">
        <w:rPr>
          <w:rFonts w:ascii="Arial" w:hAnsi="Arial" w:cs="Arial"/>
          <w:bCs/>
          <w:sz w:val="24"/>
          <w:szCs w:val="24"/>
        </w:rPr>
        <w:lastRenderedPageBreak/>
        <w:t>product lines having negative gross margins; (3) manufacturing plants that show less than 60% utilization (Bowman and Singh, 1993).</w:t>
      </w:r>
    </w:p>
    <w:p w14:paraId="5100DD21" w14:textId="77777777" w:rsidR="00BC71A8" w:rsidRPr="00BC71A8" w:rsidRDefault="00BC71A8" w:rsidP="00BC71A8">
      <w:pPr>
        <w:spacing w:line="360" w:lineRule="auto"/>
        <w:jc w:val="both"/>
        <w:rPr>
          <w:rFonts w:ascii="Arial" w:hAnsi="Arial" w:cs="Arial"/>
          <w:bCs/>
          <w:sz w:val="24"/>
          <w:szCs w:val="24"/>
        </w:rPr>
      </w:pPr>
      <w:r w:rsidRPr="00BC71A8">
        <w:rPr>
          <w:rFonts w:ascii="Arial" w:hAnsi="Arial" w:cs="Arial"/>
          <w:bCs/>
          <w:sz w:val="24"/>
          <w:szCs w:val="24"/>
        </w:rPr>
        <w:t>Financial impact analysis: Future divestiture might eradicate about PS10-12m operating losses and procure PS20-30m proceeds (assuming that the current level of profitability is 21 times higher in divested operations) or 40% of annual operating losses and yield PS20-30m proceeds. The money can help to eliminate debt and enhance the liquidity ratios. But the decline in revenue may initiate additional overhead consumption issues that necessitate a cost re-organization.</w:t>
      </w:r>
    </w:p>
    <w:p w14:paraId="29300A57" w14:textId="77777777" w:rsidR="00BC71A8" w:rsidRPr="00BC71A8" w:rsidRDefault="00BC71A8" w:rsidP="00BC71A8">
      <w:pPr>
        <w:spacing w:line="360" w:lineRule="auto"/>
        <w:jc w:val="both"/>
        <w:rPr>
          <w:rFonts w:ascii="Arial" w:hAnsi="Arial" w:cs="Arial"/>
          <w:bCs/>
          <w:sz w:val="24"/>
          <w:szCs w:val="24"/>
        </w:rPr>
      </w:pPr>
      <w:r w:rsidRPr="00BC71A8">
        <w:rPr>
          <w:rFonts w:ascii="Arial" w:hAnsi="Arial" w:cs="Arial"/>
          <w:bCs/>
          <w:sz w:val="24"/>
          <w:szCs w:val="24"/>
        </w:rPr>
        <w:t>Alternative 2: Strategic Merger or Takeover by More Competent Company.</w:t>
      </w:r>
    </w:p>
    <w:p w14:paraId="33096CCB" w14:textId="77777777" w:rsidR="00BC71A8" w:rsidRPr="00BC71A8" w:rsidRDefault="00BC71A8" w:rsidP="00BC71A8">
      <w:pPr>
        <w:spacing w:line="360" w:lineRule="auto"/>
        <w:jc w:val="both"/>
        <w:rPr>
          <w:rFonts w:ascii="Arial" w:hAnsi="Arial" w:cs="Arial"/>
          <w:bCs/>
          <w:sz w:val="24"/>
          <w:szCs w:val="24"/>
        </w:rPr>
      </w:pPr>
      <w:r w:rsidRPr="00BC71A8">
        <w:rPr>
          <w:rFonts w:ascii="Arial" w:hAnsi="Arial" w:cs="Arial"/>
          <w:bCs/>
          <w:sz w:val="24"/>
          <w:szCs w:val="24"/>
        </w:rPr>
        <w:t>Competitors may also view the acquisition of General Electronics due to market share consolidation as the company has market position deterioration. The potential acquirers could achieve synergies by: (1) eliminating overhead costs (PS15-20m/year annually); (2) integration of distribution networks; (3) consolidation of R&amp;D; (4) purchase economies.</w:t>
      </w:r>
    </w:p>
    <w:p w14:paraId="0B9F82A3" w14:textId="77777777" w:rsidR="00BC71A8" w:rsidRPr="00BC71A8" w:rsidRDefault="00BC71A8" w:rsidP="00BC71A8">
      <w:pPr>
        <w:spacing w:line="360" w:lineRule="auto"/>
        <w:jc w:val="both"/>
        <w:rPr>
          <w:rFonts w:ascii="Arial" w:hAnsi="Arial" w:cs="Arial"/>
          <w:bCs/>
          <w:sz w:val="24"/>
          <w:szCs w:val="24"/>
        </w:rPr>
      </w:pPr>
      <w:r w:rsidRPr="00BC71A8">
        <w:rPr>
          <w:rFonts w:ascii="Arial" w:hAnsi="Arial" w:cs="Arial"/>
          <w:bCs/>
          <w:sz w:val="24"/>
          <w:szCs w:val="24"/>
        </w:rPr>
        <w:t>Shareholder value concerns: In PS153,105m book equity and enterprise value that could be PS180-200m (with small premium), the shareholders could get PS14-16 per share, which is a considerable amount of less than historical highs but also better than liquidation. Nevertheless, acquisition normally leads to loss of jobs and cultural imbalance.</w:t>
      </w:r>
    </w:p>
    <w:p w14:paraId="0163675C" w14:textId="77777777" w:rsidR="00BC71A8" w:rsidRPr="00BC71A8" w:rsidRDefault="00BC71A8" w:rsidP="00BC71A8">
      <w:pPr>
        <w:spacing w:line="360" w:lineRule="auto"/>
        <w:jc w:val="both"/>
        <w:rPr>
          <w:rFonts w:ascii="Arial" w:hAnsi="Arial" w:cs="Arial"/>
          <w:bCs/>
          <w:sz w:val="24"/>
          <w:szCs w:val="24"/>
        </w:rPr>
      </w:pPr>
      <w:r w:rsidRPr="00BC71A8">
        <w:rPr>
          <w:rFonts w:ascii="Arial" w:hAnsi="Arial" w:cs="Arial"/>
          <w:bCs/>
          <w:sz w:val="24"/>
          <w:szCs w:val="24"/>
        </w:rPr>
        <w:t>Alternative 3: Injection of Equity and Recapitalisation.</w:t>
      </w:r>
    </w:p>
    <w:p w14:paraId="5D80D41D" w14:textId="77777777" w:rsidR="00BC71A8" w:rsidRPr="00BC71A8" w:rsidRDefault="00BC71A8" w:rsidP="00BC71A8">
      <w:pPr>
        <w:spacing w:line="360" w:lineRule="auto"/>
        <w:jc w:val="both"/>
        <w:rPr>
          <w:rFonts w:ascii="Arial" w:hAnsi="Arial" w:cs="Arial"/>
          <w:bCs/>
          <w:sz w:val="24"/>
          <w:szCs w:val="24"/>
        </w:rPr>
      </w:pPr>
      <w:r w:rsidRPr="00BC71A8">
        <w:rPr>
          <w:rFonts w:ascii="Arial" w:hAnsi="Arial" w:cs="Arial"/>
          <w:bCs/>
          <w:sz w:val="24"/>
          <w:szCs w:val="24"/>
        </w:rPr>
        <w:t>Equity financing through acquisition by the private equity or strategic companies would make the balance sheet firm without raising the leverage. A PS50-75m equity would have the effect of: (1) eliminating debt to PS30-40m and improving the gearing ratios; (2) covering working capital upgrades; (3) making strategic investments in digitalization and product development.</w:t>
      </w:r>
    </w:p>
    <w:p w14:paraId="647489C6" w14:textId="77777777" w:rsidR="00BC71A8" w:rsidRPr="00BC71A8" w:rsidRDefault="00BC71A8" w:rsidP="00BC71A8">
      <w:pPr>
        <w:spacing w:line="360" w:lineRule="auto"/>
        <w:jc w:val="both"/>
        <w:rPr>
          <w:rFonts w:ascii="Arial" w:hAnsi="Arial" w:cs="Arial"/>
          <w:bCs/>
          <w:sz w:val="24"/>
          <w:szCs w:val="24"/>
        </w:rPr>
      </w:pPr>
      <w:r w:rsidRPr="00BC71A8">
        <w:rPr>
          <w:rFonts w:ascii="Arial" w:hAnsi="Arial" w:cs="Arial"/>
          <w:bCs/>
          <w:sz w:val="24"/>
          <w:szCs w:val="24"/>
        </w:rPr>
        <w:t>Shareholder impact: Existing shareholders would be diluted by 25-35% but the chances of firm survival would go up considerably. Board representation, performance milestones and possible future exit mechanisms might be subjects of investment terms.</w:t>
      </w:r>
    </w:p>
    <w:p w14:paraId="654FB21C" w14:textId="77777777" w:rsidR="00BC71A8" w:rsidRPr="00BC71A8" w:rsidRDefault="00BC71A8" w:rsidP="00BC71A8">
      <w:pPr>
        <w:spacing w:line="360" w:lineRule="auto"/>
        <w:rPr>
          <w:rFonts w:ascii="Arial" w:hAnsi="Arial" w:cs="Arial"/>
          <w:b/>
          <w:bCs/>
          <w:sz w:val="24"/>
          <w:szCs w:val="24"/>
        </w:rPr>
      </w:pPr>
      <w:r w:rsidRPr="00BC71A8">
        <w:rPr>
          <w:rFonts w:ascii="Arial" w:hAnsi="Arial" w:cs="Arial"/>
          <w:b/>
          <w:bCs/>
          <w:sz w:val="24"/>
          <w:szCs w:val="24"/>
        </w:rPr>
        <w:t>4.2 Recommended Restructuring Process.</w:t>
      </w:r>
    </w:p>
    <w:p w14:paraId="3D70C0CD" w14:textId="77777777" w:rsidR="00BC71A8" w:rsidRPr="00BC71A8" w:rsidRDefault="00BC71A8" w:rsidP="00BC71A8">
      <w:pPr>
        <w:spacing w:line="360" w:lineRule="auto"/>
        <w:jc w:val="both"/>
        <w:rPr>
          <w:rFonts w:ascii="Arial" w:hAnsi="Arial" w:cs="Arial"/>
          <w:bCs/>
          <w:sz w:val="24"/>
          <w:szCs w:val="24"/>
        </w:rPr>
      </w:pPr>
      <w:r w:rsidRPr="00BC71A8">
        <w:rPr>
          <w:rFonts w:ascii="Arial" w:hAnsi="Arial" w:cs="Arial"/>
          <w:bCs/>
          <w:sz w:val="24"/>
          <w:szCs w:val="24"/>
        </w:rPr>
        <w:lastRenderedPageBreak/>
        <w:t>A gradual restructuring with the features of all solutions offers the best risk-adjusted results:</w:t>
      </w:r>
    </w:p>
    <w:p w14:paraId="29A15024" w14:textId="77777777" w:rsidR="00BC71A8" w:rsidRPr="00BC71A8" w:rsidRDefault="00BC71A8" w:rsidP="000529B2">
      <w:pPr>
        <w:spacing w:line="360" w:lineRule="auto"/>
        <w:jc w:val="both"/>
        <w:rPr>
          <w:rFonts w:ascii="Arial" w:hAnsi="Arial" w:cs="Arial"/>
          <w:bCs/>
          <w:sz w:val="24"/>
          <w:szCs w:val="24"/>
        </w:rPr>
      </w:pPr>
      <w:r w:rsidRPr="00BC71A8">
        <w:rPr>
          <w:rFonts w:ascii="Arial" w:hAnsi="Arial" w:cs="Arial"/>
          <w:bCs/>
          <w:sz w:val="24"/>
          <w:szCs w:val="24"/>
        </w:rPr>
        <w:t>Phase 1 (Months 0- 6): Operation stabilisation.</w:t>
      </w:r>
    </w:p>
    <w:p w14:paraId="2C8C3C7C" w14:textId="77777777" w:rsidR="00BC71A8" w:rsidRPr="00BC71A8" w:rsidRDefault="00BC71A8" w:rsidP="000529B2">
      <w:pPr>
        <w:spacing w:line="360" w:lineRule="auto"/>
        <w:jc w:val="both"/>
        <w:rPr>
          <w:rFonts w:ascii="Arial" w:hAnsi="Arial" w:cs="Arial"/>
          <w:bCs/>
          <w:sz w:val="24"/>
          <w:szCs w:val="24"/>
        </w:rPr>
      </w:pPr>
      <w:r w:rsidRPr="00BC71A8">
        <w:rPr>
          <w:rFonts w:ascii="Arial" w:hAnsi="Arial" w:cs="Arial"/>
          <w:bCs/>
          <w:sz w:val="24"/>
          <w:szCs w:val="24"/>
        </w:rPr>
        <w:t>Short term cost saving of PS25-30m annualised cost savings by: redundancy programmes (15% staff cut), facility cut down, elimination of discretionary spending.</w:t>
      </w:r>
    </w:p>
    <w:p w14:paraId="1AF93EDC" w14:textId="77777777" w:rsidR="00BC71A8" w:rsidRPr="00BC71A8" w:rsidRDefault="00BC71A8" w:rsidP="000529B2">
      <w:pPr>
        <w:spacing w:line="360" w:lineRule="auto"/>
        <w:jc w:val="both"/>
        <w:rPr>
          <w:rFonts w:ascii="Arial" w:hAnsi="Arial" w:cs="Arial"/>
          <w:bCs/>
          <w:sz w:val="24"/>
          <w:szCs w:val="24"/>
        </w:rPr>
      </w:pPr>
      <w:r w:rsidRPr="00BC71A8">
        <w:rPr>
          <w:rFonts w:ascii="Arial" w:hAnsi="Arial" w:cs="Arial"/>
          <w:bCs/>
          <w:sz w:val="24"/>
          <w:szCs w:val="24"/>
        </w:rPr>
        <w:t>PS30m of cash in working capital initiatives.</w:t>
      </w:r>
    </w:p>
    <w:p w14:paraId="66ED4148" w14:textId="77777777" w:rsidR="00BC71A8" w:rsidRPr="00BC71A8" w:rsidRDefault="00BC71A8" w:rsidP="000529B2">
      <w:pPr>
        <w:spacing w:line="360" w:lineRule="auto"/>
        <w:jc w:val="both"/>
        <w:rPr>
          <w:rFonts w:ascii="Arial" w:hAnsi="Arial" w:cs="Arial"/>
          <w:bCs/>
          <w:sz w:val="24"/>
          <w:szCs w:val="24"/>
        </w:rPr>
      </w:pPr>
      <w:r w:rsidRPr="00BC71A8">
        <w:rPr>
          <w:rFonts w:ascii="Arial" w:hAnsi="Arial" w:cs="Arial"/>
          <w:bCs/>
          <w:sz w:val="24"/>
          <w:szCs w:val="24"/>
        </w:rPr>
        <w:t>Sell 2-3 non-profitable business units with proceeds of PS25-30m.</w:t>
      </w:r>
    </w:p>
    <w:p w14:paraId="6A77317B" w14:textId="77777777" w:rsidR="00BC71A8" w:rsidRDefault="00BC71A8" w:rsidP="000529B2">
      <w:pPr>
        <w:spacing w:line="360" w:lineRule="auto"/>
        <w:jc w:val="both"/>
        <w:rPr>
          <w:rFonts w:ascii="Arial" w:hAnsi="Arial" w:cs="Arial"/>
          <w:bCs/>
          <w:sz w:val="24"/>
          <w:szCs w:val="24"/>
        </w:rPr>
      </w:pPr>
    </w:p>
    <w:p w14:paraId="36EE4C4F" w14:textId="258B4232" w:rsidR="00BC71A8" w:rsidRPr="00BC71A8" w:rsidRDefault="00BC71A8" w:rsidP="000529B2">
      <w:pPr>
        <w:spacing w:line="360" w:lineRule="auto"/>
        <w:jc w:val="both"/>
        <w:rPr>
          <w:rFonts w:ascii="Arial" w:hAnsi="Arial" w:cs="Arial"/>
          <w:bCs/>
          <w:sz w:val="24"/>
          <w:szCs w:val="24"/>
        </w:rPr>
      </w:pPr>
      <w:r w:rsidRPr="00BC71A8">
        <w:rPr>
          <w:rFonts w:ascii="Arial" w:hAnsi="Arial" w:cs="Arial"/>
          <w:bCs/>
          <w:sz w:val="24"/>
          <w:szCs w:val="24"/>
        </w:rPr>
        <w:t>Phase 2 ( Months 6-12): Strategic Recapitalisation.</w:t>
      </w:r>
    </w:p>
    <w:p w14:paraId="6EF254C7" w14:textId="77777777" w:rsidR="00BC71A8" w:rsidRPr="00BC71A8" w:rsidRDefault="00BC71A8" w:rsidP="000529B2">
      <w:pPr>
        <w:spacing w:line="360" w:lineRule="auto"/>
        <w:jc w:val="both"/>
        <w:rPr>
          <w:rFonts w:ascii="Arial" w:hAnsi="Arial" w:cs="Arial"/>
          <w:bCs/>
          <w:sz w:val="24"/>
          <w:szCs w:val="24"/>
        </w:rPr>
      </w:pPr>
      <w:r w:rsidRPr="00BC71A8">
        <w:rPr>
          <w:rFonts w:ascii="Arial" w:hAnsi="Arial" w:cs="Arial"/>
          <w:bCs/>
          <w:sz w:val="24"/>
          <w:szCs w:val="24"/>
        </w:rPr>
        <w:t>Strategic investors or private equity PS50m equity raise.</w:t>
      </w:r>
    </w:p>
    <w:p w14:paraId="61AB4D94" w14:textId="77777777" w:rsidR="00BC71A8" w:rsidRPr="00BC71A8" w:rsidRDefault="00BC71A8" w:rsidP="000529B2">
      <w:pPr>
        <w:spacing w:line="360" w:lineRule="auto"/>
        <w:jc w:val="both"/>
        <w:rPr>
          <w:rFonts w:ascii="Arial" w:hAnsi="Arial" w:cs="Arial"/>
          <w:bCs/>
          <w:sz w:val="24"/>
          <w:szCs w:val="24"/>
        </w:rPr>
      </w:pPr>
      <w:r w:rsidRPr="00BC71A8">
        <w:rPr>
          <w:rFonts w:ascii="Arial" w:hAnsi="Arial" w:cs="Arial"/>
          <w:bCs/>
          <w:sz w:val="24"/>
          <w:szCs w:val="24"/>
        </w:rPr>
        <w:t>Debt rearrangement to change PS20m short-term facilities to 5 years term loans.</w:t>
      </w:r>
    </w:p>
    <w:p w14:paraId="03CC0734" w14:textId="77777777" w:rsidR="00BC71A8" w:rsidRPr="00BC71A8" w:rsidRDefault="00BC71A8" w:rsidP="000529B2">
      <w:pPr>
        <w:spacing w:line="360" w:lineRule="auto"/>
        <w:jc w:val="both"/>
        <w:rPr>
          <w:rFonts w:ascii="Arial" w:hAnsi="Arial" w:cs="Arial"/>
          <w:bCs/>
          <w:sz w:val="24"/>
          <w:szCs w:val="24"/>
        </w:rPr>
      </w:pPr>
      <w:r w:rsidRPr="00BC71A8">
        <w:rPr>
          <w:rFonts w:ascii="Arial" w:hAnsi="Arial" w:cs="Arial"/>
          <w:bCs/>
          <w:sz w:val="24"/>
          <w:szCs w:val="24"/>
        </w:rPr>
        <w:t>Operational transformation and digital investment.</w:t>
      </w:r>
    </w:p>
    <w:p w14:paraId="44BE6783" w14:textId="77777777" w:rsidR="000529B2" w:rsidRDefault="000529B2" w:rsidP="000529B2">
      <w:pPr>
        <w:spacing w:line="360" w:lineRule="auto"/>
        <w:jc w:val="both"/>
        <w:rPr>
          <w:rFonts w:ascii="Arial" w:hAnsi="Arial" w:cs="Arial"/>
          <w:bCs/>
          <w:sz w:val="24"/>
          <w:szCs w:val="24"/>
        </w:rPr>
      </w:pPr>
    </w:p>
    <w:p w14:paraId="453D009A" w14:textId="3CA2986D" w:rsidR="00BC71A8" w:rsidRPr="00BC71A8" w:rsidRDefault="00BC71A8" w:rsidP="000529B2">
      <w:pPr>
        <w:spacing w:line="360" w:lineRule="auto"/>
        <w:jc w:val="both"/>
        <w:rPr>
          <w:rFonts w:ascii="Arial" w:hAnsi="Arial" w:cs="Arial"/>
          <w:bCs/>
          <w:sz w:val="24"/>
          <w:szCs w:val="24"/>
        </w:rPr>
      </w:pPr>
      <w:r w:rsidRPr="00BC71A8">
        <w:rPr>
          <w:rFonts w:ascii="Arial" w:hAnsi="Arial" w:cs="Arial"/>
          <w:bCs/>
          <w:sz w:val="24"/>
          <w:szCs w:val="24"/>
        </w:rPr>
        <w:t>Phase 3 (Months -1224): Growth Repositioning.</w:t>
      </w:r>
    </w:p>
    <w:p w14:paraId="504CDBF3" w14:textId="77777777" w:rsidR="00BC71A8" w:rsidRPr="000529B2" w:rsidRDefault="00BC71A8" w:rsidP="000529B2">
      <w:pPr>
        <w:pStyle w:val="ListParagraph"/>
        <w:numPr>
          <w:ilvl w:val="0"/>
          <w:numId w:val="32"/>
        </w:numPr>
        <w:spacing w:line="360" w:lineRule="auto"/>
        <w:jc w:val="both"/>
        <w:rPr>
          <w:rFonts w:ascii="Arial" w:hAnsi="Arial" w:cs="Arial"/>
          <w:bCs/>
          <w:sz w:val="24"/>
          <w:szCs w:val="24"/>
        </w:rPr>
      </w:pPr>
      <w:r w:rsidRPr="000529B2">
        <w:rPr>
          <w:rFonts w:ascii="Arial" w:hAnsi="Arial" w:cs="Arial"/>
          <w:bCs/>
          <w:sz w:val="24"/>
          <w:szCs w:val="24"/>
        </w:rPr>
        <w:t>Planned investment in the determined growth projects (see Section 5).</w:t>
      </w:r>
    </w:p>
    <w:p w14:paraId="2F9EE879" w14:textId="77777777" w:rsidR="00BC71A8" w:rsidRPr="000529B2" w:rsidRDefault="00BC71A8" w:rsidP="000529B2">
      <w:pPr>
        <w:pStyle w:val="ListParagraph"/>
        <w:numPr>
          <w:ilvl w:val="0"/>
          <w:numId w:val="32"/>
        </w:numPr>
        <w:spacing w:line="360" w:lineRule="auto"/>
        <w:jc w:val="both"/>
        <w:rPr>
          <w:rFonts w:ascii="Arial" w:hAnsi="Arial" w:cs="Arial"/>
          <w:bCs/>
          <w:sz w:val="24"/>
          <w:szCs w:val="24"/>
        </w:rPr>
      </w:pPr>
      <w:r w:rsidRPr="000529B2">
        <w:rPr>
          <w:rFonts w:ascii="Arial" w:hAnsi="Arial" w:cs="Arial"/>
          <w:bCs/>
          <w:sz w:val="24"/>
          <w:szCs w:val="24"/>
        </w:rPr>
        <w:t>Re-entry into the international markets based on the high-margin segments.</w:t>
      </w:r>
    </w:p>
    <w:p w14:paraId="7E4932B5" w14:textId="77777777" w:rsidR="00BC71A8" w:rsidRPr="000529B2" w:rsidRDefault="00BC71A8" w:rsidP="000529B2">
      <w:pPr>
        <w:pStyle w:val="ListParagraph"/>
        <w:numPr>
          <w:ilvl w:val="0"/>
          <w:numId w:val="32"/>
        </w:numPr>
        <w:spacing w:line="360" w:lineRule="auto"/>
        <w:jc w:val="both"/>
        <w:rPr>
          <w:rFonts w:ascii="Arial" w:hAnsi="Arial" w:cs="Arial"/>
          <w:bCs/>
          <w:sz w:val="24"/>
          <w:szCs w:val="24"/>
        </w:rPr>
      </w:pPr>
      <w:r w:rsidRPr="000529B2">
        <w:rPr>
          <w:rFonts w:ascii="Arial" w:hAnsi="Arial" w:cs="Arial"/>
          <w:bCs/>
          <w:sz w:val="24"/>
          <w:szCs w:val="24"/>
        </w:rPr>
        <w:t>Product portfolio update to deal with technological competitiveness.</w:t>
      </w:r>
    </w:p>
    <w:p w14:paraId="0BC54019" w14:textId="77777777" w:rsidR="00BC71A8" w:rsidRDefault="00BC71A8" w:rsidP="000529B2">
      <w:pPr>
        <w:spacing w:line="360" w:lineRule="auto"/>
        <w:jc w:val="both"/>
        <w:rPr>
          <w:rFonts w:ascii="Arial" w:hAnsi="Arial" w:cs="Arial"/>
          <w:b/>
          <w:bCs/>
          <w:sz w:val="24"/>
          <w:szCs w:val="24"/>
        </w:rPr>
      </w:pPr>
      <w:r w:rsidRPr="00BC71A8">
        <w:rPr>
          <w:rFonts w:ascii="Arial" w:hAnsi="Arial" w:cs="Arial"/>
          <w:bCs/>
          <w:sz w:val="24"/>
          <w:szCs w:val="24"/>
        </w:rPr>
        <w:t>This strategy is aimed at regaining profitability in 18 months, attain EBITDA of PS25-30m and operating margin of 4-5% on stabilised revenue base of PS380-400m</w:t>
      </w:r>
      <w:r w:rsidRPr="00BC71A8">
        <w:rPr>
          <w:rFonts w:ascii="Arial" w:hAnsi="Arial" w:cs="Arial"/>
          <w:b/>
          <w:bCs/>
          <w:sz w:val="24"/>
          <w:szCs w:val="24"/>
        </w:rPr>
        <w:t>.</w:t>
      </w:r>
    </w:p>
    <w:p w14:paraId="21908BD2" w14:textId="77777777" w:rsidR="000529B2" w:rsidRPr="000529B2" w:rsidRDefault="000529B2" w:rsidP="000529B2">
      <w:pPr>
        <w:spacing w:line="360" w:lineRule="auto"/>
        <w:rPr>
          <w:rFonts w:ascii="Arial" w:hAnsi="Arial" w:cs="Arial"/>
          <w:b/>
          <w:bCs/>
          <w:sz w:val="24"/>
          <w:szCs w:val="24"/>
        </w:rPr>
      </w:pPr>
      <w:r w:rsidRPr="000529B2">
        <w:rPr>
          <w:rFonts w:ascii="Arial" w:hAnsi="Arial" w:cs="Arial"/>
          <w:b/>
          <w:bCs/>
          <w:sz w:val="24"/>
          <w:szCs w:val="24"/>
        </w:rPr>
        <w:t>4.3 International and Ethical considerations.</w:t>
      </w:r>
    </w:p>
    <w:p w14:paraId="4150C48A" w14:textId="77777777" w:rsidR="000529B2" w:rsidRPr="000529B2" w:rsidRDefault="000529B2" w:rsidP="000529B2">
      <w:pPr>
        <w:spacing w:line="360" w:lineRule="auto"/>
        <w:jc w:val="both"/>
        <w:rPr>
          <w:rFonts w:ascii="Arial" w:hAnsi="Arial" w:cs="Arial"/>
          <w:bCs/>
          <w:sz w:val="24"/>
          <w:szCs w:val="24"/>
        </w:rPr>
      </w:pPr>
      <w:r w:rsidRPr="000529B2">
        <w:rPr>
          <w:rFonts w:ascii="Arial" w:hAnsi="Arial" w:cs="Arial"/>
          <w:bCs/>
          <w:sz w:val="24"/>
          <w:szCs w:val="24"/>
        </w:rPr>
        <w:t>Taxation Implications: Restructuring activities attract numerous tax implications. Gains on divestiture will be taxed at corporation tax of 25% and net proceeds will be decreased by PS5-7m. Nevertheless, the accrued losses of PS122m (2023-2024) offer tax shield opportunity, which can be offset against future profit within 5-7 years in most of the jurisdictions (Graham, 2003). Re-structuring across borders should be carefully done to ensure that the transfer pricing does not present a challenge to OECD BEPS.</w:t>
      </w:r>
    </w:p>
    <w:p w14:paraId="5290C663" w14:textId="77777777" w:rsidR="000529B2" w:rsidRPr="000529B2" w:rsidRDefault="000529B2" w:rsidP="000529B2">
      <w:pPr>
        <w:spacing w:line="360" w:lineRule="auto"/>
        <w:jc w:val="both"/>
        <w:rPr>
          <w:rFonts w:ascii="Arial" w:hAnsi="Arial" w:cs="Arial"/>
          <w:bCs/>
          <w:sz w:val="24"/>
          <w:szCs w:val="24"/>
        </w:rPr>
      </w:pPr>
      <w:r w:rsidRPr="000529B2">
        <w:rPr>
          <w:rFonts w:ascii="Arial" w:hAnsi="Arial" w:cs="Arial"/>
          <w:bCs/>
          <w:sz w:val="24"/>
          <w:szCs w:val="24"/>
        </w:rPr>
        <w:lastRenderedPageBreak/>
        <w:t>Currency Risk Management: General Electronics has been operating across various currencies, which subjects it to translation and transaction risks. Other comprehensive loss (2024) which is recorded at PS28,350m has recorded significant adverse currency movements. Volatility would be reduced by implementing natural hedging (to match currency income with outlays) and selective application of forward contracts to significant exposures (30-40% of overall foreign currency dealings).</w:t>
      </w:r>
    </w:p>
    <w:p w14:paraId="17179F28" w14:textId="77777777" w:rsidR="000529B2" w:rsidRPr="000529B2" w:rsidRDefault="000529B2" w:rsidP="000529B2">
      <w:pPr>
        <w:spacing w:line="360" w:lineRule="auto"/>
        <w:jc w:val="both"/>
        <w:rPr>
          <w:rFonts w:ascii="Arial" w:hAnsi="Arial" w:cs="Arial"/>
          <w:bCs/>
          <w:sz w:val="24"/>
          <w:szCs w:val="24"/>
        </w:rPr>
      </w:pPr>
      <w:r w:rsidRPr="000529B2">
        <w:rPr>
          <w:rFonts w:ascii="Arial" w:hAnsi="Arial" w:cs="Arial"/>
          <w:bCs/>
          <w:sz w:val="24"/>
          <w:szCs w:val="24"/>
        </w:rPr>
        <w:t>Inflationary Pressures: The inflation rate around the world is 6-8% (2022-2024) and this will undermine buying power and raise the prices of inputs. Inflation impacts can be reduced with supply contracts using price adjustment terms, strategic supplier alliances, and selective price increment (where market power does not preclude it).</w:t>
      </w:r>
    </w:p>
    <w:p w14:paraId="0041772F" w14:textId="77777777" w:rsidR="000529B2" w:rsidRPr="000529B2" w:rsidRDefault="000529B2" w:rsidP="000529B2">
      <w:pPr>
        <w:spacing w:line="360" w:lineRule="auto"/>
        <w:jc w:val="both"/>
        <w:rPr>
          <w:rFonts w:ascii="Arial" w:hAnsi="Arial" w:cs="Arial"/>
          <w:bCs/>
          <w:sz w:val="24"/>
          <w:szCs w:val="24"/>
        </w:rPr>
      </w:pPr>
      <w:r w:rsidRPr="000529B2">
        <w:rPr>
          <w:rFonts w:ascii="Arial" w:hAnsi="Arial" w:cs="Arial"/>
          <w:bCs/>
          <w:sz w:val="24"/>
          <w:szCs w:val="24"/>
        </w:rPr>
        <w:t>Corporate Social responsibility: Restructuring decisions are of great importance to the stakeholders. Redundancy in the workforce is not only devastating to the employee and the community, it necessitates: (1) equitable redundancy pay that is more favourable than legal requirements; (2) outplacement payments and retraining programmes; (3) community impact reduction by developing policy of gradual work winding up and local economic development. Corporate reputation and social licence is ensured by transparent communication with stakeholders and compliance with ILO labour standards (Freeman, 1984).</w:t>
      </w:r>
    </w:p>
    <w:p w14:paraId="632938E7" w14:textId="77777777" w:rsidR="000529B2" w:rsidRPr="000529B2" w:rsidRDefault="000529B2" w:rsidP="000529B2">
      <w:pPr>
        <w:spacing w:line="360" w:lineRule="auto"/>
        <w:jc w:val="both"/>
        <w:rPr>
          <w:rFonts w:ascii="Arial" w:hAnsi="Arial" w:cs="Arial"/>
          <w:bCs/>
          <w:sz w:val="24"/>
          <w:szCs w:val="24"/>
        </w:rPr>
      </w:pPr>
      <w:r w:rsidRPr="000529B2">
        <w:rPr>
          <w:rFonts w:ascii="Arial" w:hAnsi="Arial" w:cs="Arial"/>
          <w:bCs/>
          <w:sz w:val="24"/>
          <w:szCs w:val="24"/>
        </w:rPr>
        <w:t>Environmental concerns involve proper disposal of electronic waste due to inventory write-offs and facility shut downs, adherence to the WEEE Directive and despite financial challenges, upholding carbon reduction commitments. Ethical restructuring equalizes the value creation of shareholders to the stakeholders at large bearing the responsibilities of sustainable long-term legitimacy.</w:t>
      </w:r>
    </w:p>
    <w:p w14:paraId="56050320" w14:textId="19D0F7CF" w:rsidR="000529B2" w:rsidRPr="000529B2" w:rsidRDefault="000529B2" w:rsidP="000529B2">
      <w:pPr>
        <w:spacing w:line="360" w:lineRule="auto"/>
        <w:rPr>
          <w:rFonts w:ascii="Arial" w:hAnsi="Arial" w:cs="Arial"/>
          <w:b/>
          <w:bCs/>
          <w:sz w:val="24"/>
          <w:szCs w:val="24"/>
        </w:rPr>
      </w:pPr>
      <w:r>
        <w:rPr>
          <w:rFonts w:ascii="Arial" w:hAnsi="Arial" w:cs="Arial"/>
          <w:b/>
          <w:bCs/>
          <w:sz w:val="24"/>
          <w:szCs w:val="24"/>
        </w:rPr>
        <w:t>5.</w:t>
      </w:r>
      <w:r w:rsidRPr="000529B2">
        <w:rPr>
          <w:rFonts w:ascii="Arial" w:hAnsi="Arial" w:cs="Arial"/>
          <w:b/>
          <w:bCs/>
          <w:sz w:val="24"/>
          <w:szCs w:val="24"/>
        </w:rPr>
        <w:t>Investment Appraisal and Capital Budgeting.</w:t>
      </w:r>
    </w:p>
    <w:p w14:paraId="1955BEA4" w14:textId="31B44E9B" w:rsidR="000529B2" w:rsidRPr="000529B2" w:rsidRDefault="000529B2" w:rsidP="000529B2">
      <w:pPr>
        <w:spacing w:line="360" w:lineRule="auto"/>
        <w:rPr>
          <w:rFonts w:ascii="Arial" w:hAnsi="Arial" w:cs="Arial"/>
          <w:b/>
          <w:bCs/>
          <w:sz w:val="24"/>
          <w:szCs w:val="24"/>
        </w:rPr>
      </w:pPr>
      <w:r>
        <w:rPr>
          <w:rFonts w:ascii="Arial" w:hAnsi="Arial" w:cs="Arial"/>
          <w:b/>
          <w:bCs/>
          <w:sz w:val="24"/>
          <w:szCs w:val="24"/>
        </w:rPr>
        <w:t xml:space="preserve">5.1 </w:t>
      </w:r>
      <w:r w:rsidRPr="000529B2">
        <w:rPr>
          <w:rFonts w:ascii="Arial" w:hAnsi="Arial" w:cs="Arial"/>
          <w:b/>
          <w:bCs/>
          <w:sz w:val="24"/>
          <w:szCs w:val="24"/>
        </w:rPr>
        <w:t>The following is the analysis of investment project:</w:t>
      </w:r>
    </w:p>
    <w:p w14:paraId="0732C171" w14:textId="77777777" w:rsidR="0021686D" w:rsidRDefault="000529B2" w:rsidP="0021686D">
      <w:pPr>
        <w:spacing w:line="360" w:lineRule="auto"/>
        <w:jc w:val="both"/>
        <w:rPr>
          <w:rFonts w:ascii="Arial" w:hAnsi="Arial" w:cs="Arial"/>
          <w:bCs/>
          <w:sz w:val="24"/>
          <w:szCs w:val="24"/>
        </w:rPr>
      </w:pPr>
      <w:r w:rsidRPr="0021686D">
        <w:rPr>
          <w:rFonts w:ascii="Arial" w:hAnsi="Arial" w:cs="Arial"/>
          <w:bCs/>
          <w:sz w:val="24"/>
          <w:szCs w:val="24"/>
        </w:rPr>
        <w:t>With capital rationing and PS60m, it is necessary to choose the best combinations of projects which should be thoroughly evaluated in terms of several investment appraisal methods. Both approaches give different insights regarding the viability of the project (Brealey et al., 2020).</w:t>
      </w:r>
    </w:p>
    <w:p w14:paraId="59462A1D" w14:textId="77777777" w:rsidR="0021686D" w:rsidRPr="0021686D" w:rsidRDefault="0021686D" w:rsidP="0021686D">
      <w:pPr>
        <w:spacing w:line="360" w:lineRule="auto"/>
        <w:rPr>
          <w:rFonts w:ascii="Arial" w:hAnsi="Arial" w:cs="Arial"/>
          <w:b/>
          <w:bCs/>
          <w:sz w:val="24"/>
          <w:szCs w:val="24"/>
        </w:rPr>
      </w:pPr>
      <w:r w:rsidRPr="0021686D">
        <w:rPr>
          <w:rFonts w:ascii="Arial" w:hAnsi="Arial" w:cs="Arial"/>
          <w:b/>
          <w:bCs/>
          <w:sz w:val="24"/>
          <w:szCs w:val="24"/>
        </w:rPr>
        <w:t>5.2 Payback Period (PBP)</w:t>
      </w:r>
    </w:p>
    <w:p w14:paraId="4A2B3956" w14:textId="73CA8B00" w:rsidR="00BF4C6E" w:rsidRPr="009049EE" w:rsidRDefault="0021686D" w:rsidP="0021686D">
      <w:pPr>
        <w:spacing w:line="360" w:lineRule="auto"/>
        <w:jc w:val="both"/>
        <w:rPr>
          <w:rFonts w:ascii="Arial" w:hAnsi="Arial" w:cs="Arial"/>
          <w:sz w:val="24"/>
          <w:szCs w:val="24"/>
        </w:rPr>
      </w:pPr>
      <w:r w:rsidRPr="0021686D">
        <w:rPr>
          <w:rFonts w:ascii="Arial" w:hAnsi="Arial" w:cs="Arial"/>
          <w:bCs/>
          <w:sz w:val="24"/>
          <w:szCs w:val="24"/>
        </w:rPr>
        <w:t>PBP is used when estimating time needed to break-even on initial investment, which is a measure of liquidity risk and reversibility of the project (Drury, 2018).</w:t>
      </w:r>
      <w:r w:rsidR="00BF4C6E" w:rsidRPr="009049EE">
        <w:rPr>
          <w:rFonts w:ascii="Arial" w:hAnsi="Arial" w:cs="Arial"/>
          <w:sz w:val="24"/>
          <w:szCs w:val="24"/>
        </w:rPr>
        <w:t>Project A (£40m initial investment):</w:t>
      </w:r>
    </w:p>
    <w:p w14:paraId="7743742D" w14:textId="77777777" w:rsidR="00BF4C6E" w:rsidRPr="009049EE" w:rsidRDefault="00BF4C6E" w:rsidP="009049EE">
      <w:pPr>
        <w:numPr>
          <w:ilvl w:val="0"/>
          <w:numId w:val="26"/>
        </w:numPr>
        <w:spacing w:line="360" w:lineRule="auto"/>
        <w:rPr>
          <w:rFonts w:ascii="Arial" w:hAnsi="Arial" w:cs="Arial"/>
          <w:sz w:val="24"/>
          <w:szCs w:val="24"/>
        </w:rPr>
      </w:pPr>
      <w:r w:rsidRPr="009049EE">
        <w:rPr>
          <w:rFonts w:ascii="Arial" w:hAnsi="Arial" w:cs="Arial"/>
          <w:sz w:val="24"/>
          <w:szCs w:val="24"/>
        </w:rPr>
        <w:t>Year 1: £10m (cumulative £10m)</w:t>
      </w:r>
    </w:p>
    <w:p w14:paraId="71CCDDAD" w14:textId="77777777" w:rsidR="00BF4C6E" w:rsidRPr="009049EE" w:rsidRDefault="00BF4C6E" w:rsidP="009049EE">
      <w:pPr>
        <w:numPr>
          <w:ilvl w:val="0"/>
          <w:numId w:val="26"/>
        </w:numPr>
        <w:spacing w:line="360" w:lineRule="auto"/>
        <w:rPr>
          <w:rFonts w:ascii="Arial" w:hAnsi="Arial" w:cs="Arial"/>
          <w:sz w:val="24"/>
          <w:szCs w:val="24"/>
        </w:rPr>
      </w:pPr>
      <w:r w:rsidRPr="009049EE">
        <w:rPr>
          <w:rFonts w:ascii="Arial" w:hAnsi="Arial" w:cs="Arial"/>
          <w:sz w:val="24"/>
          <w:szCs w:val="24"/>
        </w:rPr>
        <w:t>Year 2: £12m (cumulative £22m)</w:t>
      </w:r>
    </w:p>
    <w:p w14:paraId="5B613573" w14:textId="77777777" w:rsidR="00BF4C6E" w:rsidRPr="009049EE" w:rsidRDefault="00BF4C6E" w:rsidP="009049EE">
      <w:pPr>
        <w:numPr>
          <w:ilvl w:val="0"/>
          <w:numId w:val="26"/>
        </w:numPr>
        <w:spacing w:line="360" w:lineRule="auto"/>
        <w:rPr>
          <w:rFonts w:ascii="Arial" w:hAnsi="Arial" w:cs="Arial"/>
          <w:sz w:val="24"/>
          <w:szCs w:val="24"/>
        </w:rPr>
      </w:pPr>
      <w:r w:rsidRPr="009049EE">
        <w:rPr>
          <w:rFonts w:ascii="Arial" w:hAnsi="Arial" w:cs="Arial"/>
          <w:sz w:val="24"/>
          <w:szCs w:val="24"/>
        </w:rPr>
        <w:t>Year 3: £14m (cumulative £36m)</w:t>
      </w:r>
    </w:p>
    <w:p w14:paraId="3B4C6381" w14:textId="77777777" w:rsidR="00BF4C6E" w:rsidRPr="009049EE" w:rsidRDefault="00BF4C6E" w:rsidP="009049EE">
      <w:pPr>
        <w:numPr>
          <w:ilvl w:val="0"/>
          <w:numId w:val="26"/>
        </w:numPr>
        <w:spacing w:line="360" w:lineRule="auto"/>
        <w:rPr>
          <w:rFonts w:ascii="Arial" w:hAnsi="Arial" w:cs="Arial"/>
          <w:sz w:val="24"/>
          <w:szCs w:val="24"/>
        </w:rPr>
      </w:pPr>
      <w:r w:rsidRPr="009049EE">
        <w:rPr>
          <w:rFonts w:ascii="Arial" w:hAnsi="Arial" w:cs="Arial"/>
          <w:sz w:val="24"/>
          <w:szCs w:val="24"/>
        </w:rPr>
        <w:t>Year 4: £10m (cumulative £46m)</w:t>
      </w:r>
    </w:p>
    <w:p w14:paraId="7C9226D3" w14:textId="77777777" w:rsidR="00BF4C6E" w:rsidRPr="009049EE" w:rsidRDefault="00BF4C6E" w:rsidP="009049EE">
      <w:pPr>
        <w:numPr>
          <w:ilvl w:val="0"/>
          <w:numId w:val="26"/>
        </w:numPr>
        <w:spacing w:line="360" w:lineRule="auto"/>
        <w:rPr>
          <w:rFonts w:ascii="Arial" w:hAnsi="Arial" w:cs="Arial"/>
          <w:sz w:val="24"/>
          <w:szCs w:val="24"/>
        </w:rPr>
      </w:pPr>
      <w:r w:rsidRPr="009049EE">
        <w:rPr>
          <w:rFonts w:ascii="Arial" w:hAnsi="Arial" w:cs="Arial"/>
          <w:sz w:val="24"/>
          <w:szCs w:val="24"/>
        </w:rPr>
        <w:t>PBP = 3 + (40-36)/10 = 3.4 years</w:t>
      </w:r>
    </w:p>
    <w:p w14:paraId="0DE85A20"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Project B (£30m initial investment):</w:t>
      </w:r>
    </w:p>
    <w:p w14:paraId="25D63FA4" w14:textId="77777777" w:rsidR="00BF4C6E" w:rsidRPr="009049EE" w:rsidRDefault="00BF4C6E" w:rsidP="009049EE">
      <w:pPr>
        <w:numPr>
          <w:ilvl w:val="0"/>
          <w:numId w:val="27"/>
        </w:numPr>
        <w:spacing w:line="360" w:lineRule="auto"/>
        <w:rPr>
          <w:rFonts w:ascii="Arial" w:hAnsi="Arial" w:cs="Arial"/>
          <w:sz w:val="24"/>
          <w:szCs w:val="24"/>
        </w:rPr>
      </w:pPr>
      <w:r w:rsidRPr="009049EE">
        <w:rPr>
          <w:rFonts w:ascii="Arial" w:hAnsi="Arial" w:cs="Arial"/>
          <w:sz w:val="24"/>
          <w:szCs w:val="24"/>
        </w:rPr>
        <w:t>Annual cash flow: £6m</w:t>
      </w:r>
    </w:p>
    <w:p w14:paraId="27542B08" w14:textId="77777777" w:rsidR="00BF4C6E" w:rsidRPr="009049EE" w:rsidRDefault="00BF4C6E" w:rsidP="009049EE">
      <w:pPr>
        <w:numPr>
          <w:ilvl w:val="0"/>
          <w:numId w:val="27"/>
        </w:numPr>
        <w:spacing w:line="360" w:lineRule="auto"/>
        <w:rPr>
          <w:rFonts w:ascii="Arial" w:hAnsi="Arial" w:cs="Arial"/>
          <w:sz w:val="24"/>
          <w:szCs w:val="24"/>
        </w:rPr>
      </w:pPr>
      <w:r w:rsidRPr="009049EE">
        <w:rPr>
          <w:rFonts w:ascii="Arial" w:hAnsi="Arial" w:cs="Arial"/>
          <w:sz w:val="24"/>
          <w:szCs w:val="24"/>
        </w:rPr>
        <w:t>PBP = 30/6 = 5.0 years</w:t>
      </w:r>
    </w:p>
    <w:p w14:paraId="63038B13"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Project C (£50m initial investment):</w:t>
      </w:r>
    </w:p>
    <w:p w14:paraId="19FB4873" w14:textId="77777777" w:rsidR="00BF4C6E" w:rsidRPr="009049EE" w:rsidRDefault="00BF4C6E" w:rsidP="009049EE">
      <w:pPr>
        <w:numPr>
          <w:ilvl w:val="0"/>
          <w:numId w:val="28"/>
        </w:numPr>
        <w:spacing w:line="360" w:lineRule="auto"/>
        <w:rPr>
          <w:rFonts w:ascii="Arial" w:hAnsi="Arial" w:cs="Arial"/>
          <w:sz w:val="24"/>
          <w:szCs w:val="24"/>
        </w:rPr>
      </w:pPr>
      <w:r w:rsidRPr="009049EE">
        <w:rPr>
          <w:rFonts w:ascii="Arial" w:hAnsi="Arial" w:cs="Arial"/>
          <w:sz w:val="24"/>
          <w:szCs w:val="24"/>
        </w:rPr>
        <w:t>Year 1: £5m (cumulative £5m)</w:t>
      </w:r>
    </w:p>
    <w:p w14:paraId="58171082" w14:textId="77777777" w:rsidR="00BF4C6E" w:rsidRPr="009049EE" w:rsidRDefault="00BF4C6E" w:rsidP="009049EE">
      <w:pPr>
        <w:numPr>
          <w:ilvl w:val="0"/>
          <w:numId w:val="28"/>
        </w:numPr>
        <w:spacing w:line="360" w:lineRule="auto"/>
        <w:rPr>
          <w:rFonts w:ascii="Arial" w:hAnsi="Arial" w:cs="Arial"/>
          <w:sz w:val="24"/>
          <w:szCs w:val="24"/>
        </w:rPr>
      </w:pPr>
      <w:r w:rsidRPr="009049EE">
        <w:rPr>
          <w:rFonts w:ascii="Arial" w:hAnsi="Arial" w:cs="Arial"/>
          <w:sz w:val="24"/>
          <w:szCs w:val="24"/>
        </w:rPr>
        <w:t>Year 2: £10m (cumulative £15m)</w:t>
      </w:r>
    </w:p>
    <w:p w14:paraId="07E135EE" w14:textId="77777777" w:rsidR="00BF4C6E" w:rsidRPr="009049EE" w:rsidRDefault="00BF4C6E" w:rsidP="009049EE">
      <w:pPr>
        <w:numPr>
          <w:ilvl w:val="0"/>
          <w:numId w:val="28"/>
        </w:numPr>
        <w:spacing w:line="360" w:lineRule="auto"/>
        <w:rPr>
          <w:rFonts w:ascii="Arial" w:hAnsi="Arial" w:cs="Arial"/>
          <w:sz w:val="24"/>
          <w:szCs w:val="24"/>
        </w:rPr>
      </w:pPr>
      <w:r w:rsidRPr="009049EE">
        <w:rPr>
          <w:rFonts w:ascii="Arial" w:hAnsi="Arial" w:cs="Arial"/>
          <w:sz w:val="24"/>
          <w:szCs w:val="24"/>
        </w:rPr>
        <w:t>Year 3: £20m (cumulative £35m)</w:t>
      </w:r>
    </w:p>
    <w:p w14:paraId="65DE91BF" w14:textId="77777777" w:rsidR="00BF4C6E" w:rsidRPr="009049EE" w:rsidRDefault="00BF4C6E" w:rsidP="009049EE">
      <w:pPr>
        <w:numPr>
          <w:ilvl w:val="0"/>
          <w:numId w:val="28"/>
        </w:numPr>
        <w:spacing w:line="360" w:lineRule="auto"/>
        <w:rPr>
          <w:rFonts w:ascii="Arial" w:hAnsi="Arial" w:cs="Arial"/>
          <w:sz w:val="24"/>
          <w:szCs w:val="24"/>
        </w:rPr>
      </w:pPr>
      <w:r w:rsidRPr="009049EE">
        <w:rPr>
          <w:rFonts w:ascii="Arial" w:hAnsi="Arial" w:cs="Arial"/>
          <w:sz w:val="24"/>
          <w:szCs w:val="24"/>
        </w:rPr>
        <w:t>Year 4: £25m (cumulative £60m)</w:t>
      </w:r>
    </w:p>
    <w:p w14:paraId="268A459F" w14:textId="77777777" w:rsidR="00BF4C6E" w:rsidRPr="009049EE" w:rsidRDefault="00BF4C6E" w:rsidP="009049EE">
      <w:pPr>
        <w:numPr>
          <w:ilvl w:val="0"/>
          <w:numId w:val="28"/>
        </w:numPr>
        <w:spacing w:line="360" w:lineRule="auto"/>
        <w:rPr>
          <w:rFonts w:ascii="Arial" w:hAnsi="Arial" w:cs="Arial"/>
          <w:sz w:val="24"/>
          <w:szCs w:val="24"/>
        </w:rPr>
      </w:pPr>
      <w:r w:rsidRPr="009049EE">
        <w:rPr>
          <w:rFonts w:ascii="Arial" w:hAnsi="Arial" w:cs="Arial"/>
          <w:sz w:val="24"/>
          <w:szCs w:val="24"/>
        </w:rPr>
        <w:t>PBP = 3 + (50-35)/25 = 3.6 years</w:t>
      </w:r>
    </w:p>
    <w:p w14:paraId="219DBA8F"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Ranking: Project A (3.4 years) &gt; Project C (3.6 years) &gt; Project B (5.0 years)</w:t>
      </w:r>
    </w:p>
    <w:p w14:paraId="15CBA752" w14:textId="77777777" w:rsidR="0021686D" w:rsidRPr="0021686D" w:rsidRDefault="0021686D" w:rsidP="0021686D">
      <w:pPr>
        <w:spacing w:line="360" w:lineRule="auto"/>
        <w:jc w:val="both"/>
        <w:rPr>
          <w:rFonts w:ascii="Arial" w:hAnsi="Arial" w:cs="Arial"/>
          <w:bCs/>
          <w:sz w:val="24"/>
          <w:szCs w:val="24"/>
        </w:rPr>
      </w:pPr>
      <w:r w:rsidRPr="0021686D">
        <w:rPr>
          <w:rFonts w:ascii="Arial" w:hAnsi="Arial" w:cs="Arial"/>
          <w:bCs/>
          <w:sz w:val="24"/>
          <w:szCs w:val="24"/>
        </w:rPr>
        <w:t>The accounting rate of return (ARR) represents a ratio indicative of the company's stock value.&lt;|human|&gt;5.3 Accounting rate of return (ARR) Accounting rate of return (ARR) is a ratio that shows the value of the company stock.</w:t>
      </w:r>
    </w:p>
    <w:p w14:paraId="40DEBA8C" w14:textId="77777777" w:rsidR="0021686D" w:rsidRPr="0021686D" w:rsidRDefault="0021686D" w:rsidP="0021686D">
      <w:pPr>
        <w:spacing w:line="360" w:lineRule="auto"/>
        <w:jc w:val="both"/>
        <w:rPr>
          <w:rFonts w:ascii="Arial" w:hAnsi="Arial" w:cs="Arial"/>
          <w:bCs/>
          <w:sz w:val="24"/>
          <w:szCs w:val="24"/>
        </w:rPr>
      </w:pPr>
      <w:r w:rsidRPr="0021686D">
        <w:rPr>
          <w:rFonts w:ascii="Arial" w:hAnsi="Arial" w:cs="Arial"/>
          <w:bCs/>
          <w:sz w:val="24"/>
          <w:szCs w:val="24"/>
        </w:rPr>
        <w:t>ARR calculates the average percentage of accounting profit over a year out of the initial investment (McLaney, 2017).</w:t>
      </w:r>
    </w:p>
    <w:p w14:paraId="3BA76AD2" w14:textId="77777777" w:rsidR="0021686D" w:rsidRPr="0021686D" w:rsidRDefault="0021686D" w:rsidP="0021686D">
      <w:pPr>
        <w:spacing w:line="360" w:lineRule="auto"/>
        <w:jc w:val="both"/>
        <w:rPr>
          <w:rFonts w:ascii="Arial" w:hAnsi="Arial" w:cs="Arial"/>
          <w:bCs/>
          <w:sz w:val="24"/>
          <w:szCs w:val="24"/>
        </w:rPr>
      </w:pPr>
      <w:r w:rsidRPr="0021686D">
        <w:rPr>
          <w:rFonts w:ascii="Arial" w:hAnsi="Arial" w:cs="Arial"/>
          <w:bCs/>
          <w:sz w:val="24"/>
          <w:szCs w:val="24"/>
        </w:rPr>
        <w:t>Mean annual profit = (Total cash flows -Initial investment- Depreciation)/ Project life.</w:t>
      </w:r>
    </w:p>
    <w:p w14:paraId="079C5041" w14:textId="77777777" w:rsidR="0021686D" w:rsidRPr="0021686D" w:rsidRDefault="0021686D" w:rsidP="0021686D">
      <w:pPr>
        <w:spacing w:line="360" w:lineRule="auto"/>
        <w:jc w:val="both"/>
        <w:rPr>
          <w:rFonts w:ascii="Arial" w:hAnsi="Arial" w:cs="Arial"/>
          <w:bCs/>
          <w:sz w:val="24"/>
          <w:szCs w:val="24"/>
        </w:rPr>
      </w:pPr>
      <w:r w:rsidRPr="0021686D">
        <w:rPr>
          <w:rFonts w:ascii="Arial" w:hAnsi="Arial" w:cs="Arial"/>
          <w:bCs/>
          <w:sz w:val="24"/>
          <w:szCs w:val="24"/>
        </w:rPr>
        <w:t>On the basis of straight-line depreciation to zero, depreciation = initial investment/5 years.</w:t>
      </w:r>
    </w:p>
    <w:p w14:paraId="357864A1" w14:textId="12C41668" w:rsidR="00BF4C6E" w:rsidRPr="009049EE" w:rsidRDefault="00BF4C6E" w:rsidP="0021686D">
      <w:pPr>
        <w:spacing w:line="360" w:lineRule="auto"/>
        <w:rPr>
          <w:rFonts w:ascii="Arial" w:hAnsi="Arial" w:cs="Arial"/>
          <w:sz w:val="24"/>
          <w:szCs w:val="24"/>
        </w:rPr>
      </w:pPr>
      <w:r w:rsidRPr="009049EE">
        <w:rPr>
          <w:rFonts w:ascii="Arial" w:hAnsi="Arial" w:cs="Arial"/>
          <w:sz w:val="24"/>
          <w:szCs w:val="24"/>
        </w:rPr>
        <w:t>Project A:</w:t>
      </w:r>
    </w:p>
    <w:p w14:paraId="66B93CF1" w14:textId="77777777" w:rsidR="00BF4C6E" w:rsidRPr="009049EE" w:rsidRDefault="00BF4C6E" w:rsidP="009049EE">
      <w:pPr>
        <w:numPr>
          <w:ilvl w:val="0"/>
          <w:numId w:val="29"/>
        </w:numPr>
        <w:spacing w:line="360" w:lineRule="auto"/>
        <w:rPr>
          <w:rFonts w:ascii="Arial" w:hAnsi="Arial" w:cs="Arial"/>
          <w:sz w:val="24"/>
          <w:szCs w:val="24"/>
        </w:rPr>
      </w:pPr>
      <w:r w:rsidRPr="009049EE">
        <w:rPr>
          <w:rFonts w:ascii="Arial" w:hAnsi="Arial" w:cs="Arial"/>
          <w:sz w:val="24"/>
          <w:szCs w:val="24"/>
        </w:rPr>
        <w:t>Total cash flows: £54m</w:t>
      </w:r>
    </w:p>
    <w:p w14:paraId="6B63DC30" w14:textId="77777777" w:rsidR="00BF4C6E" w:rsidRPr="009049EE" w:rsidRDefault="00BF4C6E" w:rsidP="009049EE">
      <w:pPr>
        <w:numPr>
          <w:ilvl w:val="0"/>
          <w:numId w:val="29"/>
        </w:numPr>
        <w:spacing w:line="360" w:lineRule="auto"/>
        <w:rPr>
          <w:rFonts w:ascii="Arial" w:hAnsi="Arial" w:cs="Arial"/>
          <w:sz w:val="24"/>
          <w:szCs w:val="24"/>
        </w:rPr>
      </w:pPr>
      <w:r w:rsidRPr="009049EE">
        <w:rPr>
          <w:rFonts w:ascii="Arial" w:hAnsi="Arial" w:cs="Arial"/>
          <w:sz w:val="24"/>
          <w:szCs w:val="24"/>
        </w:rPr>
        <w:t>Depreciation: £40m/5 = £8m annually</w:t>
      </w:r>
    </w:p>
    <w:p w14:paraId="71031A31" w14:textId="77777777" w:rsidR="00BF4C6E" w:rsidRPr="009049EE" w:rsidRDefault="00BF4C6E" w:rsidP="009049EE">
      <w:pPr>
        <w:numPr>
          <w:ilvl w:val="0"/>
          <w:numId w:val="29"/>
        </w:numPr>
        <w:spacing w:line="360" w:lineRule="auto"/>
        <w:rPr>
          <w:rFonts w:ascii="Arial" w:hAnsi="Arial" w:cs="Arial"/>
          <w:sz w:val="24"/>
          <w:szCs w:val="24"/>
        </w:rPr>
      </w:pPr>
      <w:r w:rsidRPr="009049EE">
        <w:rPr>
          <w:rFonts w:ascii="Arial" w:hAnsi="Arial" w:cs="Arial"/>
          <w:sz w:val="24"/>
          <w:szCs w:val="24"/>
        </w:rPr>
        <w:t>Average annual profit: (54-40)/5 = £2.8m</w:t>
      </w:r>
    </w:p>
    <w:p w14:paraId="1F10B447" w14:textId="77777777" w:rsidR="00BF4C6E" w:rsidRPr="009049EE" w:rsidRDefault="00BF4C6E" w:rsidP="009049EE">
      <w:pPr>
        <w:numPr>
          <w:ilvl w:val="0"/>
          <w:numId w:val="29"/>
        </w:numPr>
        <w:spacing w:line="360" w:lineRule="auto"/>
        <w:rPr>
          <w:rFonts w:ascii="Arial" w:hAnsi="Arial" w:cs="Arial"/>
          <w:sz w:val="24"/>
          <w:szCs w:val="24"/>
        </w:rPr>
      </w:pPr>
      <w:r w:rsidRPr="009049EE">
        <w:rPr>
          <w:rFonts w:ascii="Arial" w:hAnsi="Arial" w:cs="Arial"/>
          <w:sz w:val="24"/>
          <w:szCs w:val="24"/>
        </w:rPr>
        <w:t>ARR = (2.8/40) × 100 = 7.0%</w:t>
      </w:r>
    </w:p>
    <w:p w14:paraId="5EE0BF9D"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Project B:</w:t>
      </w:r>
    </w:p>
    <w:p w14:paraId="6F23D03C" w14:textId="77777777" w:rsidR="00BF4C6E" w:rsidRPr="009049EE" w:rsidRDefault="00BF4C6E" w:rsidP="009049EE">
      <w:pPr>
        <w:numPr>
          <w:ilvl w:val="0"/>
          <w:numId w:val="30"/>
        </w:numPr>
        <w:spacing w:line="360" w:lineRule="auto"/>
        <w:rPr>
          <w:rFonts w:ascii="Arial" w:hAnsi="Arial" w:cs="Arial"/>
          <w:sz w:val="24"/>
          <w:szCs w:val="24"/>
        </w:rPr>
      </w:pPr>
      <w:r w:rsidRPr="009049EE">
        <w:rPr>
          <w:rFonts w:ascii="Arial" w:hAnsi="Arial" w:cs="Arial"/>
          <w:sz w:val="24"/>
          <w:szCs w:val="24"/>
        </w:rPr>
        <w:t>Total cash flows: £30m</w:t>
      </w:r>
    </w:p>
    <w:p w14:paraId="4BF884B5" w14:textId="77777777" w:rsidR="00BF4C6E" w:rsidRPr="009049EE" w:rsidRDefault="00BF4C6E" w:rsidP="009049EE">
      <w:pPr>
        <w:numPr>
          <w:ilvl w:val="0"/>
          <w:numId w:val="30"/>
        </w:numPr>
        <w:spacing w:line="360" w:lineRule="auto"/>
        <w:rPr>
          <w:rFonts w:ascii="Arial" w:hAnsi="Arial" w:cs="Arial"/>
          <w:sz w:val="24"/>
          <w:szCs w:val="24"/>
        </w:rPr>
      </w:pPr>
      <w:r w:rsidRPr="009049EE">
        <w:rPr>
          <w:rFonts w:ascii="Arial" w:hAnsi="Arial" w:cs="Arial"/>
          <w:sz w:val="24"/>
          <w:szCs w:val="24"/>
        </w:rPr>
        <w:t>Depreciation: £30m/5 = £6m annually</w:t>
      </w:r>
    </w:p>
    <w:p w14:paraId="1807F7C9" w14:textId="77777777" w:rsidR="00BF4C6E" w:rsidRPr="009049EE" w:rsidRDefault="00BF4C6E" w:rsidP="009049EE">
      <w:pPr>
        <w:numPr>
          <w:ilvl w:val="0"/>
          <w:numId w:val="30"/>
        </w:numPr>
        <w:spacing w:line="360" w:lineRule="auto"/>
        <w:rPr>
          <w:rFonts w:ascii="Arial" w:hAnsi="Arial" w:cs="Arial"/>
          <w:sz w:val="24"/>
          <w:szCs w:val="24"/>
        </w:rPr>
      </w:pPr>
      <w:r w:rsidRPr="009049EE">
        <w:rPr>
          <w:rFonts w:ascii="Arial" w:hAnsi="Arial" w:cs="Arial"/>
          <w:sz w:val="24"/>
          <w:szCs w:val="24"/>
        </w:rPr>
        <w:t>Average annual profit: (30-30)/5 = £0m</w:t>
      </w:r>
    </w:p>
    <w:p w14:paraId="04B9A04E" w14:textId="77777777" w:rsidR="00BF4C6E" w:rsidRPr="009049EE" w:rsidRDefault="00BF4C6E" w:rsidP="009049EE">
      <w:pPr>
        <w:numPr>
          <w:ilvl w:val="0"/>
          <w:numId w:val="30"/>
        </w:numPr>
        <w:spacing w:line="360" w:lineRule="auto"/>
        <w:rPr>
          <w:rFonts w:ascii="Arial" w:hAnsi="Arial" w:cs="Arial"/>
          <w:sz w:val="24"/>
          <w:szCs w:val="24"/>
        </w:rPr>
      </w:pPr>
      <w:r w:rsidRPr="009049EE">
        <w:rPr>
          <w:rFonts w:ascii="Arial" w:hAnsi="Arial" w:cs="Arial"/>
          <w:sz w:val="24"/>
          <w:szCs w:val="24"/>
        </w:rPr>
        <w:t>ARR = (0/30) × 100 = 0%</w:t>
      </w:r>
    </w:p>
    <w:p w14:paraId="60479259"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Project C:</w:t>
      </w:r>
    </w:p>
    <w:p w14:paraId="34C63B25" w14:textId="77777777" w:rsidR="00BF4C6E" w:rsidRPr="009049EE" w:rsidRDefault="00BF4C6E" w:rsidP="009049EE">
      <w:pPr>
        <w:numPr>
          <w:ilvl w:val="0"/>
          <w:numId w:val="31"/>
        </w:numPr>
        <w:spacing w:line="360" w:lineRule="auto"/>
        <w:rPr>
          <w:rFonts w:ascii="Arial" w:hAnsi="Arial" w:cs="Arial"/>
          <w:sz w:val="24"/>
          <w:szCs w:val="24"/>
        </w:rPr>
      </w:pPr>
      <w:r w:rsidRPr="009049EE">
        <w:rPr>
          <w:rFonts w:ascii="Arial" w:hAnsi="Arial" w:cs="Arial"/>
          <w:sz w:val="24"/>
          <w:szCs w:val="24"/>
        </w:rPr>
        <w:t>Total cash flows: £75m</w:t>
      </w:r>
    </w:p>
    <w:p w14:paraId="33D7D9FA" w14:textId="77777777" w:rsidR="00BF4C6E" w:rsidRPr="009049EE" w:rsidRDefault="00BF4C6E" w:rsidP="009049EE">
      <w:pPr>
        <w:numPr>
          <w:ilvl w:val="0"/>
          <w:numId w:val="31"/>
        </w:numPr>
        <w:spacing w:line="360" w:lineRule="auto"/>
        <w:rPr>
          <w:rFonts w:ascii="Arial" w:hAnsi="Arial" w:cs="Arial"/>
          <w:sz w:val="24"/>
          <w:szCs w:val="24"/>
        </w:rPr>
      </w:pPr>
      <w:r w:rsidRPr="009049EE">
        <w:rPr>
          <w:rFonts w:ascii="Arial" w:hAnsi="Arial" w:cs="Arial"/>
          <w:sz w:val="24"/>
          <w:szCs w:val="24"/>
        </w:rPr>
        <w:t>Depreciation: £50m/5 = £10m annually</w:t>
      </w:r>
    </w:p>
    <w:p w14:paraId="7AD215FF" w14:textId="77777777" w:rsidR="00BF4C6E" w:rsidRPr="009049EE" w:rsidRDefault="00BF4C6E" w:rsidP="009049EE">
      <w:pPr>
        <w:numPr>
          <w:ilvl w:val="0"/>
          <w:numId w:val="31"/>
        </w:numPr>
        <w:spacing w:line="360" w:lineRule="auto"/>
        <w:rPr>
          <w:rFonts w:ascii="Arial" w:hAnsi="Arial" w:cs="Arial"/>
          <w:sz w:val="24"/>
          <w:szCs w:val="24"/>
        </w:rPr>
      </w:pPr>
      <w:r w:rsidRPr="009049EE">
        <w:rPr>
          <w:rFonts w:ascii="Arial" w:hAnsi="Arial" w:cs="Arial"/>
          <w:sz w:val="24"/>
          <w:szCs w:val="24"/>
        </w:rPr>
        <w:t>Average annual profit: (75-50)/5 = £5m</w:t>
      </w:r>
    </w:p>
    <w:p w14:paraId="68A2D118" w14:textId="77777777" w:rsidR="00BF4C6E" w:rsidRPr="009049EE" w:rsidRDefault="00BF4C6E" w:rsidP="009049EE">
      <w:pPr>
        <w:numPr>
          <w:ilvl w:val="0"/>
          <w:numId w:val="31"/>
        </w:numPr>
        <w:spacing w:line="360" w:lineRule="auto"/>
        <w:rPr>
          <w:rFonts w:ascii="Arial" w:hAnsi="Arial" w:cs="Arial"/>
          <w:sz w:val="24"/>
          <w:szCs w:val="24"/>
        </w:rPr>
      </w:pPr>
      <w:r w:rsidRPr="009049EE">
        <w:rPr>
          <w:rFonts w:ascii="Arial" w:hAnsi="Arial" w:cs="Arial"/>
          <w:sz w:val="24"/>
          <w:szCs w:val="24"/>
        </w:rPr>
        <w:t>ARR = (5/50) × 100 = 10.0%</w:t>
      </w:r>
    </w:p>
    <w:p w14:paraId="493C707E"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Ranking: Project C (10.0%) &gt; Project A (7.0%) &gt; Project B (0%)</w:t>
      </w:r>
    </w:p>
    <w:p w14:paraId="523565A0" w14:textId="77777777" w:rsidR="0021686D" w:rsidRPr="0021686D" w:rsidRDefault="0021686D" w:rsidP="0021686D">
      <w:pPr>
        <w:spacing w:line="360" w:lineRule="auto"/>
        <w:rPr>
          <w:rFonts w:ascii="Arial" w:hAnsi="Arial" w:cs="Arial"/>
          <w:b/>
          <w:bCs/>
          <w:sz w:val="24"/>
          <w:szCs w:val="24"/>
        </w:rPr>
      </w:pPr>
      <w:r w:rsidRPr="0021686D">
        <w:rPr>
          <w:rFonts w:ascii="Arial" w:hAnsi="Arial" w:cs="Arial"/>
          <w:b/>
          <w:bCs/>
          <w:sz w:val="24"/>
          <w:szCs w:val="24"/>
        </w:rPr>
        <w:t>5.4 Net Present Value (NPV)</w:t>
      </w:r>
    </w:p>
    <w:p w14:paraId="72F9AADF" w14:textId="77777777" w:rsidR="0021686D" w:rsidRPr="0021686D" w:rsidRDefault="0021686D" w:rsidP="0021686D">
      <w:pPr>
        <w:spacing w:line="360" w:lineRule="auto"/>
        <w:jc w:val="both"/>
        <w:rPr>
          <w:rFonts w:ascii="Arial" w:hAnsi="Arial" w:cs="Arial"/>
          <w:bCs/>
          <w:sz w:val="24"/>
          <w:szCs w:val="24"/>
        </w:rPr>
      </w:pPr>
      <w:r w:rsidRPr="0021686D">
        <w:rPr>
          <w:rFonts w:ascii="Arial" w:hAnsi="Arial" w:cs="Arial"/>
          <w:bCs/>
          <w:sz w:val="24"/>
          <w:szCs w:val="24"/>
        </w:rPr>
        <w:t>NPV is the difference between the discounted cost of capital discounted at 10 percent and the discounted future cash flow and the initial investment (Pike and Neale, 2009).</w:t>
      </w:r>
    </w:p>
    <w:p w14:paraId="4F3E9F38" w14:textId="42813C78" w:rsidR="00BF4C6E" w:rsidRPr="009049EE" w:rsidRDefault="00BF4C6E" w:rsidP="0021686D">
      <w:pPr>
        <w:spacing w:line="360" w:lineRule="auto"/>
        <w:rPr>
          <w:rFonts w:ascii="Arial" w:hAnsi="Arial" w:cs="Arial"/>
          <w:sz w:val="24"/>
          <w:szCs w:val="24"/>
        </w:rPr>
      </w:pPr>
      <w:r w:rsidRPr="009049EE">
        <w:rPr>
          <w:rFonts w:ascii="Arial" w:hAnsi="Arial" w:cs="Arial"/>
          <w:sz w:val="24"/>
          <w:szCs w:val="24"/>
        </w:rPr>
        <w:t>Project A:</w:t>
      </w:r>
      <w:r w:rsidRPr="009049EE">
        <w:rPr>
          <w:rFonts w:ascii="Arial" w:hAnsi="Arial" w:cs="Arial"/>
          <w:sz w:val="24"/>
          <w:szCs w:val="24"/>
        </w:rPr>
        <w:br/>
        <w:t>NPV = -40 + 10/1.1 + 12/1.1² + 14/1.1³ + 10/1.1⁴ + 8/1.1⁵</w:t>
      </w:r>
      <w:r w:rsidRPr="009049EE">
        <w:rPr>
          <w:rFonts w:ascii="Arial" w:hAnsi="Arial" w:cs="Arial"/>
          <w:sz w:val="24"/>
          <w:szCs w:val="24"/>
        </w:rPr>
        <w:br/>
        <w:t>NPV = -40 + 9.09 + 9.92 + 10.52 + 6.83 + 4.97 = £1.33m</w:t>
      </w:r>
    </w:p>
    <w:p w14:paraId="306EFCD7"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Project B:</w:t>
      </w:r>
      <w:r w:rsidRPr="009049EE">
        <w:rPr>
          <w:rFonts w:ascii="Arial" w:hAnsi="Arial" w:cs="Arial"/>
          <w:sz w:val="24"/>
          <w:szCs w:val="24"/>
        </w:rPr>
        <w:br/>
        <w:t>NPV = -30 + 6×(1/1.1 + 1/1.1² + 1/1.1³ + 1/1.1⁴ + 1/1.1⁵)</w:t>
      </w:r>
      <w:r w:rsidRPr="009049EE">
        <w:rPr>
          <w:rFonts w:ascii="Arial" w:hAnsi="Arial" w:cs="Arial"/>
          <w:sz w:val="24"/>
          <w:szCs w:val="24"/>
        </w:rPr>
        <w:br/>
        <w:t>NPV = -30 + 6×3.791 = -30 + 22.75 = -£7.25m</w:t>
      </w:r>
    </w:p>
    <w:p w14:paraId="2CE68140"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Project C:</w:t>
      </w:r>
      <w:r w:rsidRPr="009049EE">
        <w:rPr>
          <w:rFonts w:ascii="Arial" w:hAnsi="Arial" w:cs="Arial"/>
          <w:sz w:val="24"/>
          <w:szCs w:val="24"/>
        </w:rPr>
        <w:br/>
        <w:t>NPV = -50 + 5/1.1 + 10/1.1² + 20/1.1³ + 25/1.1⁴ + 15/1.1⁵</w:t>
      </w:r>
      <w:r w:rsidRPr="009049EE">
        <w:rPr>
          <w:rFonts w:ascii="Arial" w:hAnsi="Arial" w:cs="Arial"/>
          <w:sz w:val="24"/>
          <w:szCs w:val="24"/>
        </w:rPr>
        <w:br/>
        <w:t>NPV = -50 + 4.55 + 8.26 + 15.03 + 17.08 + 9.31 = £4.23m</w:t>
      </w:r>
    </w:p>
    <w:p w14:paraId="21F9301F"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Ranking: Project C (£4.23m) &gt; Project A (£1.33m) &gt; Project B (-£7.25m)</w:t>
      </w:r>
    </w:p>
    <w:p w14:paraId="1E3649CB" w14:textId="77777777" w:rsidR="0021686D" w:rsidRPr="0021686D" w:rsidRDefault="0021686D" w:rsidP="0021686D">
      <w:pPr>
        <w:spacing w:line="360" w:lineRule="auto"/>
        <w:rPr>
          <w:rFonts w:ascii="Arial" w:hAnsi="Arial" w:cs="Arial"/>
          <w:b/>
          <w:bCs/>
          <w:sz w:val="24"/>
          <w:szCs w:val="24"/>
        </w:rPr>
      </w:pPr>
      <w:r w:rsidRPr="0021686D">
        <w:rPr>
          <w:rFonts w:ascii="Arial" w:hAnsi="Arial" w:cs="Arial"/>
          <w:b/>
          <w:bCs/>
          <w:sz w:val="24"/>
          <w:szCs w:val="24"/>
        </w:rPr>
        <w:t>5.5 Profitability Index (PI)</w:t>
      </w:r>
    </w:p>
    <w:p w14:paraId="352D2C24" w14:textId="77777777" w:rsidR="0021686D" w:rsidRPr="0021686D" w:rsidRDefault="0021686D" w:rsidP="0021686D">
      <w:pPr>
        <w:spacing w:line="360" w:lineRule="auto"/>
        <w:jc w:val="both"/>
        <w:rPr>
          <w:rFonts w:ascii="Arial" w:hAnsi="Arial" w:cs="Arial"/>
          <w:bCs/>
          <w:sz w:val="24"/>
          <w:szCs w:val="24"/>
        </w:rPr>
      </w:pPr>
      <w:r w:rsidRPr="0021686D">
        <w:rPr>
          <w:rFonts w:ascii="Arial" w:hAnsi="Arial" w:cs="Arial"/>
          <w:bCs/>
          <w:sz w:val="24"/>
          <w:szCs w:val="24"/>
        </w:rPr>
        <w:t>Profitability Index (PI) is used to assess the value being generated on each pound of investment and it is calculated based on the present value of future cash inflows divided by the initial cost of the project. It is particularly applicable when there is rationing of capital since it can be used to rank projects in terms of value per unit of investment.</w:t>
      </w:r>
    </w:p>
    <w:p w14:paraId="732F40F5" w14:textId="27D1C2DC" w:rsidR="009049EE" w:rsidRPr="009049EE" w:rsidRDefault="009049EE" w:rsidP="0021686D">
      <w:pPr>
        <w:spacing w:line="360" w:lineRule="auto"/>
        <w:rPr>
          <w:rFonts w:ascii="Arial" w:hAnsi="Arial" w:cs="Arial"/>
          <w:sz w:val="24"/>
          <w:szCs w:val="24"/>
        </w:rPr>
      </w:pPr>
      <w:r w:rsidRPr="009049EE">
        <w:rPr>
          <w:rFonts w:ascii="Arial" w:hAnsi="Arial" w:cs="Arial"/>
          <w:sz w:val="24"/>
          <w:szCs w:val="24"/>
        </w:rPr>
        <w:t>The formula for PI is:</w:t>
      </w:r>
    </w:p>
    <w:p w14:paraId="76DBDC61" w14:textId="70BF5FFA" w:rsidR="009049EE" w:rsidRPr="009049EE" w:rsidRDefault="009049EE" w:rsidP="009049EE">
      <w:pPr>
        <w:spacing w:line="360" w:lineRule="auto"/>
        <w:rPr>
          <w:rFonts w:ascii="Arial" w:hAnsi="Arial" w:cs="Arial"/>
          <w:sz w:val="24"/>
          <w:szCs w:val="24"/>
        </w:rPr>
      </w:pPr>
      <m:oMathPara>
        <m:oMath>
          <m:r>
            <w:rPr>
              <w:rFonts w:ascii="Cambria Math" w:hAnsi="Cambria Math" w:cs="Arial"/>
              <w:sz w:val="24"/>
              <w:szCs w:val="24"/>
            </w:rPr>
            <m:t>PI=</m:t>
          </m:r>
          <m:f>
            <m:fPr>
              <m:ctrlPr>
                <w:rPr>
                  <w:rFonts w:ascii="Cambria Math" w:hAnsi="Cambria Math" w:cs="Arial"/>
                  <w:sz w:val="24"/>
                  <w:szCs w:val="24"/>
                </w:rPr>
              </m:ctrlPr>
            </m:fPr>
            <m:num>
              <m:r>
                <w:rPr>
                  <w:rFonts w:ascii="Cambria Math" w:hAnsi="Cambria Math" w:cs="Arial"/>
                  <w:sz w:val="24"/>
                  <w:szCs w:val="24"/>
                </w:rPr>
                <m:t>PV</m:t>
              </m:r>
              <m:r>
                <m:rPr>
                  <m:nor/>
                </m:rPr>
                <w:rPr>
                  <w:rFonts w:ascii="Arial" w:hAnsi="Arial" w:cs="Arial"/>
                  <w:sz w:val="24"/>
                  <w:szCs w:val="24"/>
                </w:rPr>
                <m:t xml:space="preserve"> of Cash Inflows</m:t>
              </m:r>
            </m:num>
            <m:den>
              <m:r>
                <m:rPr>
                  <m:nor/>
                </m:rPr>
                <w:rPr>
                  <w:rFonts w:ascii="Arial" w:hAnsi="Arial" w:cs="Arial"/>
                  <w:sz w:val="24"/>
                  <w:szCs w:val="24"/>
                </w:rPr>
                <m:t>Initial Investment</m:t>
              </m:r>
            </m:den>
          </m:f>
          <m:r>
            <m:rPr>
              <m:sty m:val="p"/>
            </m:rPr>
            <w:rPr>
              <w:rFonts w:ascii="Arial" w:hAnsi="Arial" w:cs="Arial"/>
              <w:sz w:val="24"/>
              <w:szCs w:val="24"/>
            </w:rPr>
            <w:br/>
          </m:r>
        </m:oMath>
      </m:oMathPara>
    </w:p>
    <w:p w14:paraId="6BA26C4C" w14:textId="77777777" w:rsidR="009049EE" w:rsidRPr="009049EE" w:rsidRDefault="009049EE" w:rsidP="009049EE">
      <w:pPr>
        <w:spacing w:line="360" w:lineRule="auto"/>
        <w:rPr>
          <w:rFonts w:ascii="Arial" w:hAnsi="Arial" w:cs="Arial"/>
          <w:sz w:val="24"/>
          <w:szCs w:val="24"/>
        </w:rPr>
      </w:pPr>
      <w:r w:rsidRPr="009049EE">
        <w:rPr>
          <w:rFonts w:ascii="Arial" w:hAnsi="Arial" w:cs="Arial"/>
          <w:sz w:val="24"/>
          <w:szCs w:val="24"/>
        </w:rPr>
        <w:t>Using the previously calculated present values for each project, the PI results are derived as follows.</w:t>
      </w:r>
    </w:p>
    <w:p w14:paraId="51219193" w14:textId="12D0EA92" w:rsidR="009049EE" w:rsidRPr="009049EE" w:rsidRDefault="009049EE" w:rsidP="009049EE">
      <w:pPr>
        <w:spacing w:line="360" w:lineRule="auto"/>
        <w:rPr>
          <w:rFonts w:ascii="Arial" w:hAnsi="Arial" w:cs="Arial"/>
          <w:sz w:val="24"/>
          <w:szCs w:val="24"/>
        </w:rPr>
      </w:pPr>
    </w:p>
    <w:p w14:paraId="0FDA98E2" w14:textId="77777777" w:rsidR="009049EE" w:rsidRPr="009049EE" w:rsidRDefault="009049EE" w:rsidP="009049EE">
      <w:pPr>
        <w:spacing w:line="360" w:lineRule="auto"/>
        <w:rPr>
          <w:rFonts w:ascii="Arial" w:hAnsi="Arial" w:cs="Arial"/>
          <w:b/>
          <w:bCs/>
          <w:sz w:val="24"/>
          <w:szCs w:val="24"/>
        </w:rPr>
      </w:pPr>
      <w:r w:rsidRPr="009049EE">
        <w:rPr>
          <w:rFonts w:ascii="Arial" w:hAnsi="Arial" w:cs="Arial"/>
          <w:b/>
          <w:bCs/>
          <w:sz w:val="24"/>
          <w:szCs w:val="24"/>
        </w:rPr>
        <w:t>Project A</w:t>
      </w:r>
    </w:p>
    <w:p w14:paraId="5027DFD5" w14:textId="56F6A6F8" w:rsidR="009049EE" w:rsidRPr="009049EE" w:rsidRDefault="009049EE" w:rsidP="009049EE">
      <w:pPr>
        <w:spacing w:line="360" w:lineRule="auto"/>
        <w:rPr>
          <w:rFonts w:ascii="Arial" w:hAnsi="Arial" w:cs="Arial"/>
          <w:sz w:val="24"/>
          <w:szCs w:val="24"/>
        </w:rPr>
      </w:pPr>
      <m:oMathPara>
        <m:oMath>
          <m:r>
            <w:rPr>
              <w:rFonts w:ascii="Cambria Math" w:hAnsi="Cambria Math" w:cs="Arial"/>
              <w:sz w:val="24"/>
              <w:szCs w:val="24"/>
            </w:rPr>
            <m:t>P</m:t>
          </m:r>
          <m:sSub>
            <m:sSubPr>
              <m:ctrlPr>
                <w:rPr>
                  <w:rFonts w:ascii="Cambria Math" w:hAnsi="Cambria Math" w:cs="Arial"/>
                  <w:sz w:val="24"/>
                  <w:szCs w:val="24"/>
                </w:rPr>
              </m:ctrlPr>
            </m:sSubPr>
            <m:e>
              <m:r>
                <w:rPr>
                  <w:rFonts w:ascii="Cambria Math" w:hAnsi="Cambria Math" w:cs="Arial"/>
                  <w:sz w:val="24"/>
                  <w:szCs w:val="24"/>
                </w:rPr>
                <m:t>I</m:t>
              </m:r>
            </m:e>
            <m:sub>
              <m:r>
                <w:rPr>
                  <w:rFonts w:ascii="Cambria Math" w:hAnsi="Cambria Math" w:cs="Arial"/>
                  <w:sz w:val="24"/>
                  <w:szCs w:val="24"/>
                </w:rPr>
                <m:t>A</m:t>
              </m:r>
            </m:sub>
          </m:sSub>
          <m:r>
            <w:rPr>
              <w:rFonts w:ascii="Cambria Math" w:hAnsi="Cambria Math" w:cs="Arial"/>
              <w:sz w:val="24"/>
              <w:szCs w:val="24"/>
            </w:rPr>
            <m:t>=</m:t>
          </m:r>
          <m:f>
            <m:fPr>
              <m:ctrlPr>
                <w:rPr>
                  <w:rFonts w:ascii="Cambria Math" w:hAnsi="Cambria Math" w:cs="Arial"/>
                  <w:sz w:val="24"/>
                  <w:szCs w:val="24"/>
                </w:rPr>
              </m:ctrlPr>
            </m:fPr>
            <m:num>
              <m:r>
                <w:rPr>
                  <w:rFonts w:ascii="Cambria Math" w:hAnsi="Cambria Math" w:cs="Arial"/>
                  <w:sz w:val="24"/>
                  <w:szCs w:val="24"/>
                </w:rPr>
                <m:t>40.25</m:t>
              </m:r>
            </m:num>
            <m:den>
              <m:r>
                <w:rPr>
                  <w:rFonts w:ascii="Cambria Math" w:hAnsi="Cambria Math" w:cs="Arial"/>
                  <w:sz w:val="24"/>
                  <w:szCs w:val="24"/>
                </w:rPr>
                <m:t>40</m:t>
              </m:r>
            </m:den>
          </m:f>
          <m:r>
            <m:rPr>
              <m:sty m:val="p"/>
            </m:rPr>
            <w:rPr>
              <w:rFonts w:ascii="Arial" w:hAnsi="Arial" w:cs="Arial"/>
              <w:sz w:val="24"/>
              <w:szCs w:val="24"/>
            </w:rPr>
            <w:br/>
          </m:r>
        </m:oMath>
        <m:oMath>
          <m:r>
            <w:rPr>
              <w:rFonts w:ascii="Cambria Math" w:hAnsi="Cambria Math" w:cs="Arial"/>
              <w:sz w:val="24"/>
              <w:szCs w:val="24"/>
            </w:rPr>
            <m:t>P</m:t>
          </m:r>
          <m:sSub>
            <m:sSubPr>
              <m:ctrlPr>
                <w:rPr>
                  <w:rFonts w:ascii="Cambria Math" w:hAnsi="Cambria Math" w:cs="Arial"/>
                  <w:sz w:val="24"/>
                  <w:szCs w:val="24"/>
                </w:rPr>
              </m:ctrlPr>
            </m:sSubPr>
            <m:e>
              <m:r>
                <w:rPr>
                  <w:rFonts w:ascii="Cambria Math" w:hAnsi="Cambria Math" w:cs="Arial"/>
                  <w:sz w:val="24"/>
                  <w:szCs w:val="24"/>
                </w:rPr>
                <m:t>I</m:t>
              </m:r>
            </m:e>
            <m:sub>
              <m:r>
                <w:rPr>
                  <w:rFonts w:ascii="Cambria Math" w:hAnsi="Cambria Math" w:cs="Arial"/>
                  <w:sz w:val="24"/>
                  <w:szCs w:val="24"/>
                </w:rPr>
                <m:t>A</m:t>
              </m:r>
            </m:sub>
          </m:sSub>
          <m:r>
            <w:rPr>
              <w:rFonts w:ascii="Cambria Math" w:hAnsi="Cambria Math" w:cs="Arial"/>
              <w:sz w:val="24"/>
              <w:szCs w:val="24"/>
            </w:rPr>
            <m:t>=1.01</m:t>
          </m:r>
          <m:r>
            <m:rPr>
              <m:sty m:val="p"/>
            </m:rPr>
            <w:rPr>
              <w:rFonts w:ascii="Arial" w:hAnsi="Arial" w:cs="Arial"/>
              <w:sz w:val="24"/>
              <w:szCs w:val="24"/>
            </w:rPr>
            <w:br/>
          </m:r>
        </m:oMath>
      </m:oMathPara>
    </w:p>
    <w:p w14:paraId="24C2BE08" w14:textId="77777777" w:rsidR="009049EE" w:rsidRPr="009049EE" w:rsidRDefault="009049EE" w:rsidP="009049EE">
      <w:pPr>
        <w:spacing w:line="360" w:lineRule="auto"/>
        <w:rPr>
          <w:rFonts w:ascii="Arial" w:hAnsi="Arial" w:cs="Arial"/>
          <w:sz w:val="24"/>
          <w:szCs w:val="24"/>
        </w:rPr>
      </w:pPr>
      <w:r w:rsidRPr="009049EE">
        <w:rPr>
          <w:rFonts w:ascii="Arial" w:hAnsi="Arial" w:cs="Arial"/>
          <w:sz w:val="24"/>
          <w:szCs w:val="24"/>
        </w:rPr>
        <w:t>This indicates that Project A generates £1.01 in present value for every £1 invested.</w:t>
      </w:r>
    </w:p>
    <w:p w14:paraId="5E00EF9A" w14:textId="23190B3D" w:rsidR="009049EE" w:rsidRPr="009049EE" w:rsidRDefault="009049EE" w:rsidP="009049EE">
      <w:pPr>
        <w:spacing w:line="360" w:lineRule="auto"/>
        <w:rPr>
          <w:rFonts w:ascii="Arial" w:hAnsi="Arial" w:cs="Arial"/>
          <w:sz w:val="24"/>
          <w:szCs w:val="24"/>
        </w:rPr>
      </w:pPr>
    </w:p>
    <w:p w14:paraId="64F4D7B6" w14:textId="77777777" w:rsidR="009049EE" w:rsidRPr="009049EE" w:rsidRDefault="009049EE" w:rsidP="009049EE">
      <w:pPr>
        <w:spacing w:line="360" w:lineRule="auto"/>
        <w:rPr>
          <w:rFonts w:ascii="Arial" w:hAnsi="Arial" w:cs="Arial"/>
          <w:b/>
          <w:bCs/>
          <w:sz w:val="24"/>
          <w:szCs w:val="24"/>
        </w:rPr>
      </w:pPr>
      <w:r w:rsidRPr="009049EE">
        <w:rPr>
          <w:rFonts w:ascii="Arial" w:hAnsi="Arial" w:cs="Arial"/>
          <w:b/>
          <w:bCs/>
          <w:sz w:val="24"/>
          <w:szCs w:val="24"/>
        </w:rPr>
        <w:t>Project B</w:t>
      </w:r>
    </w:p>
    <w:p w14:paraId="2004491F" w14:textId="1C52F4AF" w:rsidR="009049EE" w:rsidRPr="009049EE" w:rsidRDefault="009049EE" w:rsidP="009049EE">
      <w:pPr>
        <w:spacing w:line="360" w:lineRule="auto"/>
        <w:rPr>
          <w:rFonts w:ascii="Arial" w:hAnsi="Arial" w:cs="Arial"/>
          <w:sz w:val="24"/>
          <w:szCs w:val="24"/>
        </w:rPr>
      </w:pPr>
      <m:oMathPara>
        <m:oMath>
          <m:r>
            <w:rPr>
              <w:rFonts w:ascii="Cambria Math" w:hAnsi="Cambria Math" w:cs="Arial"/>
              <w:sz w:val="24"/>
              <w:szCs w:val="24"/>
            </w:rPr>
            <m:t>P</m:t>
          </m:r>
          <m:sSub>
            <m:sSubPr>
              <m:ctrlPr>
                <w:rPr>
                  <w:rFonts w:ascii="Cambria Math" w:hAnsi="Cambria Math" w:cs="Arial"/>
                  <w:sz w:val="24"/>
                  <w:szCs w:val="24"/>
                </w:rPr>
              </m:ctrlPr>
            </m:sSubPr>
            <m:e>
              <m:r>
                <w:rPr>
                  <w:rFonts w:ascii="Cambria Math" w:hAnsi="Cambria Math" w:cs="Arial"/>
                  <w:sz w:val="24"/>
                  <w:szCs w:val="24"/>
                </w:rPr>
                <m:t>I</m:t>
              </m:r>
            </m:e>
            <m:sub>
              <m:r>
                <w:rPr>
                  <w:rFonts w:ascii="Cambria Math" w:hAnsi="Cambria Math" w:cs="Arial"/>
                  <w:sz w:val="24"/>
                  <w:szCs w:val="24"/>
                </w:rPr>
                <m:t>B</m:t>
              </m:r>
            </m:sub>
          </m:sSub>
          <m:r>
            <w:rPr>
              <w:rFonts w:ascii="Cambria Math" w:hAnsi="Cambria Math" w:cs="Arial"/>
              <w:sz w:val="24"/>
              <w:szCs w:val="24"/>
            </w:rPr>
            <m:t>=</m:t>
          </m:r>
          <m:f>
            <m:fPr>
              <m:ctrlPr>
                <w:rPr>
                  <w:rFonts w:ascii="Cambria Math" w:hAnsi="Cambria Math" w:cs="Arial"/>
                  <w:sz w:val="24"/>
                  <w:szCs w:val="24"/>
                </w:rPr>
              </m:ctrlPr>
            </m:fPr>
            <m:num>
              <m:r>
                <w:rPr>
                  <w:rFonts w:ascii="Cambria Math" w:hAnsi="Cambria Math" w:cs="Arial"/>
                  <w:sz w:val="24"/>
                  <w:szCs w:val="24"/>
                </w:rPr>
                <m:t>26.85</m:t>
              </m:r>
            </m:num>
            <m:den>
              <m:r>
                <w:rPr>
                  <w:rFonts w:ascii="Cambria Math" w:hAnsi="Cambria Math" w:cs="Arial"/>
                  <w:sz w:val="24"/>
                  <w:szCs w:val="24"/>
                </w:rPr>
                <m:t>30</m:t>
              </m:r>
            </m:den>
          </m:f>
          <m:r>
            <m:rPr>
              <m:sty m:val="p"/>
            </m:rPr>
            <w:rPr>
              <w:rFonts w:ascii="Arial" w:hAnsi="Arial" w:cs="Arial"/>
              <w:sz w:val="24"/>
              <w:szCs w:val="24"/>
            </w:rPr>
            <w:br/>
          </m:r>
        </m:oMath>
        <m:oMath>
          <m:r>
            <w:rPr>
              <w:rFonts w:ascii="Cambria Math" w:hAnsi="Cambria Math" w:cs="Arial"/>
              <w:sz w:val="24"/>
              <w:szCs w:val="24"/>
            </w:rPr>
            <m:t>P</m:t>
          </m:r>
          <m:sSub>
            <m:sSubPr>
              <m:ctrlPr>
                <w:rPr>
                  <w:rFonts w:ascii="Cambria Math" w:hAnsi="Cambria Math" w:cs="Arial"/>
                  <w:sz w:val="24"/>
                  <w:szCs w:val="24"/>
                </w:rPr>
              </m:ctrlPr>
            </m:sSubPr>
            <m:e>
              <m:r>
                <w:rPr>
                  <w:rFonts w:ascii="Cambria Math" w:hAnsi="Cambria Math" w:cs="Arial"/>
                  <w:sz w:val="24"/>
                  <w:szCs w:val="24"/>
                </w:rPr>
                <m:t>I</m:t>
              </m:r>
            </m:e>
            <m:sub>
              <m:r>
                <w:rPr>
                  <w:rFonts w:ascii="Cambria Math" w:hAnsi="Cambria Math" w:cs="Arial"/>
                  <w:sz w:val="24"/>
                  <w:szCs w:val="24"/>
                </w:rPr>
                <m:t>B</m:t>
              </m:r>
            </m:sub>
          </m:sSub>
          <m:r>
            <w:rPr>
              <w:rFonts w:ascii="Cambria Math" w:hAnsi="Cambria Math" w:cs="Arial"/>
              <w:sz w:val="24"/>
              <w:szCs w:val="24"/>
            </w:rPr>
            <m:t>=0.90</m:t>
          </m:r>
          <m:r>
            <m:rPr>
              <m:sty m:val="p"/>
            </m:rPr>
            <w:rPr>
              <w:rFonts w:ascii="Arial" w:hAnsi="Arial" w:cs="Arial"/>
              <w:sz w:val="24"/>
              <w:szCs w:val="24"/>
            </w:rPr>
            <w:br/>
          </m:r>
        </m:oMath>
      </m:oMathPara>
    </w:p>
    <w:p w14:paraId="5F75E23B" w14:textId="77777777" w:rsidR="009049EE" w:rsidRPr="009049EE" w:rsidRDefault="009049EE" w:rsidP="009049EE">
      <w:pPr>
        <w:spacing w:line="360" w:lineRule="auto"/>
        <w:rPr>
          <w:rFonts w:ascii="Arial" w:hAnsi="Arial" w:cs="Arial"/>
          <w:sz w:val="24"/>
          <w:szCs w:val="24"/>
        </w:rPr>
      </w:pPr>
      <w:r w:rsidRPr="009049EE">
        <w:rPr>
          <w:rFonts w:ascii="Arial" w:hAnsi="Arial" w:cs="Arial"/>
          <w:sz w:val="24"/>
          <w:szCs w:val="24"/>
        </w:rPr>
        <w:t>This shows that Project B generates only £0.90 of present value per £1 invested, meaning it destroys value relative to its cost.</w:t>
      </w:r>
    </w:p>
    <w:p w14:paraId="4874E592" w14:textId="658464B9" w:rsidR="009049EE" w:rsidRPr="009049EE" w:rsidRDefault="009049EE" w:rsidP="009049EE">
      <w:pPr>
        <w:spacing w:line="360" w:lineRule="auto"/>
        <w:rPr>
          <w:rFonts w:ascii="Arial" w:hAnsi="Arial" w:cs="Arial"/>
          <w:sz w:val="24"/>
          <w:szCs w:val="24"/>
        </w:rPr>
      </w:pPr>
    </w:p>
    <w:p w14:paraId="479800B5" w14:textId="77777777" w:rsidR="009049EE" w:rsidRPr="009049EE" w:rsidRDefault="009049EE" w:rsidP="009049EE">
      <w:pPr>
        <w:spacing w:line="360" w:lineRule="auto"/>
        <w:rPr>
          <w:rFonts w:ascii="Arial" w:hAnsi="Arial" w:cs="Arial"/>
          <w:b/>
          <w:bCs/>
          <w:sz w:val="24"/>
          <w:szCs w:val="24"/>
        </w:rPr>
      </w:pPr>
      <w:r w:rsidRPr="009049EE">
        <w:rPr>
          <w:rFonts w:ascii="Arial" w:hAnsi="Arial" w:cs="Arial"/>
          <w:b/>
          <w:bCs/>
          <w:sz w:val="24"/>
          <w:szCs w:val="24"/>
        </w:rPr>
        <w:t>Project C</w:t>
      </w:r>
    </w:p>
    <w:p w14:paraId="2D600476" w14:textId="4555DD7B" w:rsidR="009049EE" w:rsidRPr="009049EE" w:rsidRDefault="009049EE" w:rsidP="009049EE">
      <w:pPr>
        <w:spacing w:line="360" w:lineRule="auto"/>
        <w:rPr>
          <w:rFonts w:ascii="Arial" w:hAnsi="Arial" w:cs="Arial"/>
          <w:sz w:val="24"/>
          <w:szCs w:val="24"/>
        </w:rPr>
      </w:pPr>
      <m:oMathPara>
        <m:oMath>
          <m:r>
            <w:rPr>
              <w:rFonts w:ascii="Cambria Math" w:hAnsi="Cambria Math" w:cs="Arial"/>
              <w:sz w:val="24"/>
              <w:szCs w:val="24"/>
            </w:rPr>
            <m:t>P</m:t>
          </m:r>
          <m:sSub>
            <m:sSubPr>
              <m:ctrlPr>
                <w:rPr>
                  <w:rFonts w:ascii="Cambria Math" w:hAnsi="Cambria Math" w:cs="Arial"/>
                  <w:sz w:val="24"/>
                  <w:szCs w:val="24"/>
                </w:rPr>
              </m:ctrlPr>
            </m:sSubPr>
            <m:e>
              <m:r>
                <w:rPr>
                  <w:rFonts w:ascii="Cambria Math" w:hAnsi="Cambria Math" w:cs="Arial"/>
                  <w:sz w:val="24"/>
                  <w:szCs w:val="24"/>
                </w:rPr>
                <m:t>I</m:t>
              </m:r>
            </m:e>
            <m:sub>
              <m:r>
                <w:rPr>
                  <w:rFonts w:ascii="Cambria Math" w:hAnsi="Cambria Math" w:cs="Arial"/>
                  <w:sz w:val="24"/>
                  <w:szCs w:val="24"/>
                </w:rPr>
                <m:t>C</m:t>
              </m:r>
            </m:sub>
          </m:sSub>
          <m:r>
            <w:rPr>
              <w:rFonts w:ascii="Cambria Math" w:hAnsi="Cambria Math" w:cs="Arial"/>
              <w:sz w:val="24"/>
              <w:szCs w:val="24"/>
            </w:rPr>
            <m:t>=</m:t>
          </m:r>
          <m:f>
            <m:fPr>
              <m:ctrlPr>
                <w:rPr>
                  <w:rFonts w:ascii="Cambria Math" w:hAnsi="Cambria Math" w:cs="Arial"/>
                  <w:sz w:val="24"/>
                  <w:szCs w:val="24"/>
                </w:rPr>
              </m:ctrlPr>
            </m:fPr>
            <m:num>
              <m:r>
                <w:rPr>
                  <w:rFonts w:ascii="Cambria Math" w:hAnsi="Cambria Math" w:cs="Arial"/>
                  <w:sz w:val="24"/>
                  <w:szCs w:val="24"/>
                </w:rPr>
                <m:t>54.99</m:t>
              </m:r>
            </m:num>
            <m:den>
              <m:r>
                <w:rPr>
                  <w:rFonts w:ascii="Cambria Math" w:hAnsi="Cambria Math" w:cs="Arial"/>
                  <w:sz w:val="24"/>
                  <w:szCs w:val="24"/>
                </w:rPr>
                <m:t>50</m:t>
              </m:r>
            </m:den>
          </m:f>
          <m:r>
            <m:rPr>
              <m:sty m:val="p"/>
            </m:rPr>
            <w:rPr>
              <w:rFonts w:ascii="Arial" w:hAnsi="Arial" w:cs="Arial"/>
              <w:sz w:val="24"/>
              <w:szCs w:val="24"/>
            </w:rPr>
            <w:br/>
          </m:r>
        </m:oMath>
        <m:oMath>
          <m:r>
            <w:rPr>
              <w:rFonts w:ascii="Cambria Math" w:hAnsi="Cambria Math" w:cs="Arial"/>
              <w:sz w:val="24"/>
              <w:szCs w:val="24"/>
            </w:rPr>
            <m:t>P</m:t>
          </m:r>
          <m:sSub>
            <m:sSubPr>
              <m:ctrlPr>
                <w:rPr>
                  <w:rFonts w:ascii="Cambria Math" w:hAnsi="Cambria Math" w:cs="Arial"/>
                  <w:sz w:val="24"/>
                  <w:szCs w:val="24"/>
                </w:rPr>
              </m:ctrlPr>
            </m:sSubPr>
            <m:e>
              <m:r>
                <w:rPr>
                  <w:rFonts w:ascii="Cambria Math" w:hAnsi="Cambria Math" w:cs="Arial"/>
                  <w:sz w:val="24"/>
                  <w:szCs w:val="24"/>
                </w:rPr>
                <m:t>I</m:t>
              </m:r>
            </m:e>
            <m:sub>
              <m:r>
                <w:rPr>
                  <w:rFonts w:ascii="Cambria Math" w:hAnsi="Cambria Math" w:cs="Arial"/>
                  <w:sz w:val="24"/>
                  <w:szCs w:val="24"/>
                </w:rPr>
                <m:t>C</m:t>
              </m:r>
            </m:sub>
          </m:sSub>
          <m:r>
            <w:rPr>
              <w:rFonts w:ascii="Cambria Math" w:hAnsi="Cambria Math" w:cs="Arial"/>
              <w:sz w:val="24"/>
              <w:szCs w:val="24"/>
            </w:rPr>
            <m:t>=1.10</m:t>
          </m:r>
          <m:r>
            <m:rPr>
              <m:sty m:val="p"/>
            </m:rPr>
            <w:rPr>
              <w:rFonts w:ascii="Arial" w:hAnsi="Arial" w:cs="Arial"/>
              <w:sz w:val="24"/>
              <w:szCs w:val="24"/>
            </w:rPr>
            <w:br/>
          </m:r>
        </m:oMath>
      </m:oMathPara>
    </w:p>
    <w:p w14:paraId="5797DB23" w14:textId="77777777" w:rsidR="009049EE" w:rsidRPr="009049EE" w:rsidRDefault="009049EE" w:rsidP="009049EE">
      <w:pPr>
        <w:spacing w:line="360" w:lineRule="auto"/>
        <w:rPr>
          <w:rFonts w:ascii="Arial" w:hAnsi="Arial" w:cs="Arial"/>
          <w:sz w:val="24"/>
          <w:szCs w:val="24"/>
        </w:rPr>
      </w:pPr>
      <w:r w:rsidRPr="009049EE">
        <w:rPr>
          <w:rFonts w:ascii="Arial" w:hAnsi="Arial" w:cs="Arial"/>
          <w:sz w:val="24"/>
          <w:szCs w:val="24"/>
        </w:rPr>
        <w:t>Project C therefore produces £1.10 of value for every £1 invested—the strongest performance among the three options.</w:t>
      </w:r>
    </w:p>
    <w:p w14:paraId="77BEB75C" w14:textId="1EEC2CEE" w:rsidR="009049EE" w:rsidRPr="009049EE" w:rsidRDefault="009049EE" w:rsidP="009049EE">
      <w:pPr>
        <w:spacing w:line="360" w:lineRule="auto"/>
        <w:rPr>
          <w:rFonts w:ascii="Arial" w:hAnsi="Arial" w:cs="Arial"/>
          <w:sz w:val="24"/>
          <w:szCs w:val="24"/>
        </w:rPr>
      </w:pPr>
    </w:p>
    <w:p w14:paraId="226DC88E" w14:textId="77777777" w:rsidR="0021686D" w:rsidRPr="0021686D" w:rsidRDefault="0021686D" w:rsidP="0021686D">
      <w:pPr>
        <w:spacing w:line="360" w:lineRule="auto"/>
        <w:rPr>
          <w:rFonts w:ascii="Arial" w:hAnsi="Arial" w:cs="Arial"/>
          <w:b/>
          <w:bCs/>
          <w:sz w:val="24"/>
          <w:szCs w:val="24"/>
        </w:rPr>
      </w:pPr>
      <w:r w:rsidRPr="0021686D">
        <w:rPr>
          <w:rFonts w:ascii="Arial" w:hAnsi="Arial" w:cs="Arial"/>
          <w:b/>
          <w:bCs/>
          <w:sz w:val="24"/>
          <w:szCs w:val="24"/>
        </w:rPr>
        <w:t>Interpretation</w:t>
      </w:r>
    </w:p>
    <w:p w14:paraId="0EB373E0" w14:textId="68B3BF4F" w:rsidR="009049EE" w:rsidRPr="0021686D" w:rsidRDefault="0021686D" w:rsidP="0021686D">
      <w:pPr>
        <w:spacing w:line="360" w:lineRule="auto"/>
        <w:jc w:val="both"/>
        <w:rPr>
          <w:rFonts w:ascii="Arial" w:hAnsi="Arial" w:cs="Arial"/>
          <w:sz w:val="24"/>
          <w:szCs w:val="24"/>
        </w:rPr>
      </w:pPr>
      <w:r w:rsidRPr="0021686D">
        <w:rPr>
          <w:rFonts w:ascii="Arial" w:hAnsi="Arial" w:cs="Arial"/>
          <w:bCs/>
          <w:sz w:val="24"/>
          <w:szCs w:val="24"/>
        </w:rPr>
        <w:t>The findings are clear that Project C has the greatest value per pound invested, then project A has a value slightly higher than the break even point of 1.0. Under standard investment conditions, project B is less valuable than the cost of the project, implying that it is not financially appropriate. PI thus recommends the prioritising project C in capital rationing conditions, and Project A as the second best.</w:t>
      </w:r>
    </w:p>
    <w:p w14:paraId="32279FF6" w14:textId="77777777" w:rsidR="0021686D" w:rsidRPr="0021686D" w:rsidRDefault="0021686D" w:rsidP="0021686D">
      <w:pPr>
        <w:spacing w:line="360" w:lineRule="auto"/>
        <w:rPr>
          <w:rFonts w:ascii="Arial" w:hAnsi="Arial" w:cs="Arial"/>
          <w:b/>
          <w:bCs/>
          <w:sz w:val="24"/>
          <w:szCs w:val="24"/>
        </w:rPr>
      </w:pPr>
      <w:r w:rsidRPr="0021686D">
        <w:rPr>
          <w:rFonts w:ascii="Arial" w:hAnsi="Arial" w:cs="Arial"/>
          <w:b/>
          <w:bCs/>
          <w:sz w:val="24"/>
          <w:szCs w:val="24"/>
        </w:rPr>
        <w:t>5.6 Internal Rate of Return (IRR)</w:t>
      </w:r>
    </w:p>
    <w:p w14:paraId="4A53FCC8" w14:textId="77777777" w:rsidR="0021686D" w:rsidRDefault="0021686D" w:rsidP="0021686D">
      <w:pPr>
        <w:spacing w:line="360" w:lineRule="auto"/>
        <w:jc w:val="both"/>
        <w:rPr>
          <w:rFonts w:ascii="Arial" w:hAnsi="Arial" w:cs="Arial"/>
          <w:bCs/>
          <w:sz w:val="24"/>
          <w:szCs w:val="24"/>
        </w:rPr>
      </w:pPr>
      <w:r w:rsidRPr="0021686D">
        <w:rPr>
          <w:rFonts w:ascii="Arial" w:hAnsi="Arial" w:cs="Arial"/>
          <w:bCs/>
          <w:sz w:val="24"/>
          <w:szCs w:val="24"/>
        </w:rPr>
        <w:t>The discount rate at which the project has a zero value of NPV is the intrinsic rate of the project (Berk and DeMarzo, 2020).</w:t>
      </w:r>
    </w:p>
    <w:p w14:paraId="459581E4" w14:textId="45C24EC0" w:rsidR="00BF4C6E" w:rsidRPr="009049EE" w:rsidRDefault="00BF4C6E" w:rsidP="0021686D">
      <w:pPr>
        <w:spacing w:line="360" w:lineRule="auto"/>
        <w:jc w:val="both"/>
        <w:rPr>
          <w:rFonts w:ascii="Arial" w:hAnsi="Arial" w:cs="Arial"/>
          <w:sz w:val="24"/>
          <w:szCs w:val="24"/>
        </w:rPr>
      </w:pPr>
      <w:r w:rsidRPr="009049EE">
        <w:rPr>
          <w:rFonts w:ascii="Arial" w:hAnsi="Arial" w:cs="Arial"/>
          <w:sz w:val="24"/>
          <w:szCs w:val="24"/>
        </w:rPr>
        <w:t>Using iterative calculations:</w:t>
      </w:r>
    </w:p>
    <w:p w14:paraId="13A4E57E"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Project A: IRR ≈ 11.2%</w:t>
      </w:r>
      <w:r w:rsidRPr="009049EE">
        <w:rPr>
          <w:rFonts w:ascii="Arial" w:hAnsi="Arial" w:cs="Arial"/>
          <w:sz w:val="24"/>
          <w:szCs w:val="24"/>
        </w:rPr>
        <w:br/>
        <w:t>Project B: IRR ≈ 0% (cash flows equal initial investment)</w:t>
      </w:r>
      <w:r w:rsidRPr="009049EE">
        <w:rPr>
          <w:rFonts w:ascii="Arial" w:hAnsi="Arial" w:cs="Arial"/>
          <w:sz w:val="24"/>
          <w:szCs w:val="24"/>
        </w:rPr>
        <w:br/>
        <w:t>Project C: IRR ≈ 13.1%</w:t>
      </w:r>
    </w:p>
    <w:p w14:paraId="3804C833"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Ranking: Project C (13.1%) &gt; Project A (11.2%) &gt; Project B (0%)</w:t>
      </w:r>
    </w:p>
    <w:p w14:paraId="53F6995F" w14:textId="77777777" w:rsidR="0021686D" w:rsidRPr="0021686D" w:rsidRDefault="0021686D" w:rsidP="0021686D">
      <w:pPr>
        <w:spacing w:line="360" w:lineRule="auto"/>
        <w:rPr>
          <w:rFonts w:ascii="Arial" w:hAnsi="Arial" w:cs="Arial"/>
          <w:b/>
          <w:sz w:val="24"/>
          <w:szCs w:val="24"/>
        </w:rPr>
      </w:pPr>
      <w:r w:rsidRPr="0021686D">
        <w:rPr>
          <w:rFonts w:ascii="Arial" w:hAnsi="Arial" w:cs="Arial"/>
          <w:b/>
          <w:sz w:val="24"/>
          <w:szCs w:val="24"/>
        </w:rPr>
        <w:t>5.7 Risk Characteristics Assessment.</w:t>
      </w:r>
    </w:p>
    <w:p w14:paraId="3666AC7A" w14:textId="77777777" w:rsidR="0021686D" w:rsidRPr="0021686D" w:rsidRDefault="0021686D" w:rsidP="0021686D">
      <w:pPr>
        <w:spacing w:line="360" w:lineRule="auto"/>
        <w:rPr>
          <w:rFonts w:ascii="Arial" w:hAnsi="Arial" w:cs="Arial"/>
          <w:sz w:val="24"/>
          <w:szCs w:val="24"/>
        </w:rPr>
      </w:pPr>
      <w:r w:rsidRPr="0021686D">
        <w:rPr>
          <w:rFonts w:ascii="Arial" w:hAnsi="Arial" w:cs="Arial"/>
          <w:sz w:val="24"/>
          <w:szCs w:val="24"/>
        </w:rPr>
        <w:t>Project A - Moderate Risk:</w:t>
      </w:r>
    </w:p>
    <w:p w14:paraId="1BF38B6E" w14:textId="77777777" w:rsidR="0021686D" w:rsidRPr="0021686D" w:rsidRDefault="0021686D" w:rsidP="0021686D">
      <w:pPr>
        <w:spacing w:line="360" w:lineRule="auto"/>
        <w:jc w:val="both"/>
        <w:rPr>
          <w:rFonts w:ascii="Arial" w:hAnsi="Arial" w:cs="Arial"/>
          <w:sz w:val="24"/>
          <w:szCs w:val="24"/>
        </w:rPr>
      </w:pPr>
      <w:r w:rsidRPr="0021686D">
        <w:rPr>
          <w:rFonts w:ascii="Arial" w:hAnsi="Arial" w:cs="Arial"/>
          <w:sz w:val="24"/>
          <w:szCs w:val="24"/>
        </w:rPr>
        <w:t>The cash flows are decreasing between PS14m (Year 3) and PS8m (Year 5) which may be due to the maturity phase or competition forces. Coefficient of variation (standard deviation/mean): 0.237. Front-loaded returns minimise uncertainty but falling pattern is a cause of concern.</w:t>
      </w:r>
    </w:p>
    <w:p w14:paraId="6938BCE5" w14:textId="77777777" w:rsidR="0021686D" w:rsidRPr="0021686D" w:rsidRDefault="0021686D" w:rsidP="0021686D">
      <w:pPr>
        <w:spacing w:line="360" w:lineRule="auto"/>
        <w:jc w:val="both"/>
        <w:rPr>
          <w:rFonts w:ascii="Arial" w:hAnsi="Arial" w:cs="Arial"/>
          <w:sz w:val="24"/>
          <w:szCs w:val="24"/>
        </w:rPr>
      </w:pPr>
      <w:r w:rsidRPr="0021686D">
        <w:rPr>
          <w:rFonts w:ascii="Arial" w:hAnsi="Arial" w:cs="Arial"/>
          <w:sz w:val="24"/>
          <w:szCs w:val="24"/>
        </w:rPr>
        <w:t>Project B - Low Risk:</w:t>
      </w:r>
    </w:p>
    <w:p w14:paraId="40B39766" w14:textId="77777777" w:rsidR="0021686D" w:rsidRPr="0021686D" w:rsidRDefault="0021686D" w:rsidP="0021686D">
      <w:pPr>
        <w:spacing w:line="360" w:lineRule="auto"/>
        <w:jc w:val="both"/>
        <w:rPr>
          <w:rFonts w:ascii="Arial" w:hAnsi="Arial" w:cs="Arial"/>
          <w:sz w:val="24"/>
          <w:szCs w:val="24"/>
        </w:rPr>
      </w:pPr>
      <w:r w:rsidRPr="0021686D">
        <w:rPr>
          <w:rFonts w:ascii="Arial" w:hAnsi="Arial" w:cs="Arial"/>
          <w:sz w:val="24"/>
          <w:szCs w:val="24"/>
        </w:rPr>
        <w:t>There is no evidence of variability in the PS6m annual flows (over a period of four years) shows that the returns are stable and predictable- could be contractual revenues or controlled activities. Zero NPV however, represents returns equal only to the cost of capital without value creation. Co 2: 0.000 (no variation).</w:t>
      </w:r>
    </w:p>
    <w:p w14:paraId="44C407B6" w14:textId="77777777" w:rsidR="0021686D" w:rsidRPr="0021686D" w:rsidRDefault="0021686D" w:rsidP="0021686D">
      <w:pPr>
        <w:spacing w:line="360" w:lineRule="auto"/>
        <w:jc w:val="both"/>
        <w:rPr>
          <w:rFonts w:ascii="Arial" w:hAnsi="Arial" w:cs="Arial"/>
          <w:sz w:val="24"/>
          <w:szCs w:val="24"/>
        </w:rPr>
      </w:pPr>
      <w:r w:rsidRPr="0021686D">
        <w:rPr>
          <w:rFonts w:ascii="Arial" w:hAnsi="Arial" w:cs="Arial"/>
          <w:sz w:val="24"/>
          <w:szCs w:val="24"/>
        </w:rPr>
        <w:t>Project C - Higher Risk:</w:t>
      </w:r>
    </w:p>
    <w:p w14:paraId="7C2823A2" w14:textId="77777777" w:rsidR="0021686D" w:rsidRDefault="0021686D" w:rsidP="0021686D">
      <w:pPr>
        <w:spacing w:line="360" w:lineRule="auto"/>
        <w:jc w:val="both"/>
        <w:rPr>
          <w:rFonts w:ascii="Arial" w:hAnsi="Arial" w:cs="Arial"/>
          <w:sz w:val="24"/>
          <w:szCs w:val="24"/>
        </w:rPr>
      </w:pPr>
      <w:r w:rsidRPr="0021686D">
        <w:rPr>
          <w:rFonts w:ascii="Arial" w:hAnsi="Arial" w:cs="Arial"/>
          <w:sz w:val="24"/>
          <w:szCs w:val="24"/>
        </w:rPr>
        <w:t>The changes in cash flows are substantial between PS5m (Year 1) and PS25m (Year 4) in order to decrease to PS15m (Year 5), which may be an indication of new product launch or market development that needs an initial outlay on customer acquisition. Coefficient of variation: 0.521-maximum volatility. Back loaded returns create more uncertainty and draw out the payback period. Nevertheless, high risk is offset by superior NPV (Damodaran, 2015).</w:t>
      </w:r>
    </w:p>
    <w:p w14:paraId="154149D3" w14:textId="5B0C265A" w:rsidR="00BF4C6E" w:rsidRPr="009049EE" w:rsidRDefault="00BF4C6E" w:rsidP="0021686D">
      <w:pPr>
        <w:spacing w:line="360" w:lineRule="auto"/>
        <w:rPr>
          <w:rFonts w:ascii="Arial" w:hAnsi="Arial" w:cs="Arial"/>
          <w:b/>
          <w:bCs/>
          <w:sz w:val="24"/>
          <w:szCs w:val="24"/>
        </w:rPr>
      </w:pPr>
      <w:r w:rsidRPr="009049EE">
        <w:rPr>
          <w:rFonts w:ascii="Arial" w:hAnsi="Arial" w:cs="Arial"/>
          <w:b/>
          <w:bCs/>
          <w:sz w:val="24"/>
          <w:szCs w:val="24"/>
        </w:rPr>
        <w:t>5.8 Final Investment Recommendation</w:t>
      </w:r>
    </w:p>
    <w:p w14:paraId="5543BC90" w14:textId="77777777" w:rsidR="0021686D" w:rsidRPr="0021686D" w:rsidRDefault="0021686D" w:rsidP="0021686D">
      <w:pPr>
        <w:spacing w:line="360" w:lineRule="auto"/>
        <w:jc w:val="both"/>
        <w:rPr>
          <w:rFonts w:ascii="Arial" w:hAnsi="Arial" w:cs="Arial"/>
          <w:sz w:val="24"/>
          <w:szCs w:val="24"/>
        </w:rPr>
      </w:pPr>
      <w:r w:rsidRPr="0021686D">
        <w:rPr>
          <w:rFonts w:ascii="Arial" w:hAnsi="Arial" w:cs="Arial"/>
          <w:sz w:val="24"/>
          <w:szCs w:val="24"/>
        </w:rPr>
        <w:t>Under this, the final investment recommendation is made.</w:t>
      </w:r>
    </w:p>
    <w:p w14:paraId="22A5BCC7" w14:textId="77777777" w:rsidR="0021686D" w:rsidRPr="0021686D" w:rsidRDefault="0021686D" w:rsidP="0021686D">
      <w:pPr>
        <w:spacing w:line="360" w:lineRule="auto"/>
        <w:jc w:val="both"/>
        <w:rPr>
          <w:rFonts w:ascii="Arial" w:hAnsi="Arial" w:cs="Arial"/>
          <w:sz w:val="24"/>
          <w:szCs w:val="24"/>
        </w:rPr>
      </w:pPr>
      <w:r w:rsidRPr="0021686D">
        <w:rPr>
          <w:rFonts w:ascii="Arial" w:hAnsi="Arial" w:cs="Arial"/>
          <w:sz w:val="24"/>
          <w:szCs w:val="24"/>
        </w:rPr>
        <w:t>I would invest in Projects A and C with a capital rationing of PS60m.</w:t>
      </w:r>
    </w:p>
    <w:p w14:paraId="4B47D750" w14:textId="77777777" w:rsidR="0021686D" w:rsidRPr="0021686D" w:rsidRDefault="0021686D" w:rsidP="0021686D">
      <w:pPr>
        <w:spacing w:line="360" w:lineRule="auto"/>
        <w:jc w:val="both"/>
        <w:rPr>
          <w:rFonts w:ascii="Arial" w:hAnsi="Arial" w:cs="Arial"/>
          <w:sz w:val="24"/>
          <w:szCs w:val="24"/>
        </w:rPr>
      </w:pPr>
      <w:r w:rsidRPr="0021686D">
        <w:rPr>
          <w:rFonts w:ascii="Arial" w:hAnsi="Arial" w:cs="Arial"/>
          <w:sz w:val="24"/>
          <w:szCs w:val="24"/>
        </w:rPr>
        <w:t>Rationale:</w:t>
      </w:r>
    </w:p>
    <w:p w14:paraId="1E1BFAAC" w14:textId="77777777" w:rsidR="0021686D" w:rsidRPr="0021686D" w:rsidRDefault="0021686D" w:rsidP="0021686D">
      <w:pPr>
        <w:spacing w:line="360" w:lineRule="auto"/>
        <w:jc w:val="both"/>
        <w:rPr>
          <w:rFonts w:ascii="Arial" w:hAnsi="Arial" w:cs="Arial"/>
          <w:sz w:val="24"/>
          <w:szCs w:val="24"/>
        </w:rPr>
      </w:pPr>
      <w:r w:rsidRPr="0021686D">
        <w:rPr>
          <w:rFonts w:ascii="Arial" w:hAnsi="Arial" w:cs="Arial"/>
          <w:sz w:val="24"/>
          <w:szCs w:val="24"/>
        </w:rPr>
        <w:t>Alignment of Financial Performance: General Electronics needs fast increase in profits and cash flow. Project C produces the best NPV (PS4.23m), PI (1.085), IRR (13.1%), and ARR (10.0) - producing optimum shareholder value. The supplementary value of Project A (NPV PS1.33m, IRR 11.2) has a shorter payback (3.4 years) that allows addressing liquidity needs. NPV PS5.56m added to NPV equals a 3.6% growth in shareholder equity -significant in present distress.</w:t>
      </w:r>
    </w:p>
    <w:p w14:paraId="326C4D76" w14:textId="77777777" w:rsidR="0021686D" w:rsidRPr="0021686D" w:rsidRDefault="0021686D" w:rsidP="0021686D">
      <w:pPr>
        <w:spacing w:line="360" w:lineRule="auto"/>
        <w:jc w:val="both"/>
        <w:rPr>
          <w:rFonts w:ascii="Arial" w:hAnsi="Arial" w:cs="Arial"/>
          <w:sz w:val="24"/>
          <w:szCs w:val="24"/>
        </w:rPr>
      </w:pPr>
      <w:r w:rsidRPr="0021686D">
        <w:rPr>
          <w:rFonts w:ascii="Arial" w:hAnsi="Arial" w:cs="Arial"/>
          <w:sz w:val="24"/>
          <w:szCs w:val="24"/>
        </w:rPr>
        <w:t>Liquidity Considerations: Both projects A and C have payback in a span of 3.6 years which is critical because of working capital constraints. Their joint investment of PS90m is more than the PS60m limit, and the strategic consideration is required. Yet, with sequential implementation (Project A (PS40m) in Year 1, followed by Project C (PS50m) in Year 2 based on Project A cash flows and retained earnings, it is possible to implement both of them in a revised capital budgeting framework.</w:t>
      </w:r>
    </w:p>
    <w:p w14:paraId="7FE46B73" w14:textId="77777777" w:rsidR="0021686D" w:rsidRPr="0021686D" w:rsidRDefault="0021686D" w:rsidP="0021686D">
      <w:pPr>
        <w:spacing w:line="360" w:lineRule="auto"/>
        <w:jc w:val="both"/>
        <w:rPr>
          <w:rFonts w:ascii="Arial" w:hAnsi="Arial" w:cs="Arial"/>
          <w:sz w:val="24"/>
          <w:szCs w:val="24"/>
        </w:rPr>
      </w:pPr>
      <w:r w:rsidRPr="0021686D">
        <w:rPr>
          <w:rFonts w:ascii="Arial" w:hAnsi="Arial" w:cs="Arial"/>
          <w:sz w:val="24"/>
          <w:szCs w:val="24"/>
        </w:rPr>
        <w:t>Alternative in the event of rigid PS60m single-period constraint: Choose Project C only (PS50m), keeping PS10m liquidity buffer intact and taking 76% of the NPV of combined projects. The negative NPV (-PS7.25m) of project B makes it unacceptable in any situation - destroying shareholder value, even in conditions of low risk profile.</w:t>
      </w:r>
    </w:p>
    <w:p w14:paraId="78FB14D5" w14:textId="77777777" w:rsidR="0021686D" w:rsidRPr="0021686D" w:rsidRDefault="0021686D" w:rsidP="0021686D">
      <w:pPr>
        <w:spacing w:line="360" w:lineRule="auto"/>
        <w:jc w:val="both"/>
        <w:rPr>
          <w:rFonts w:ascii="Arial" w:hAnsi="Arial" w:cs="Arial"/>
          <w:sz w:val="24"/>
          <w:szCs w:val="24"/>
        </w:rPr>
      </w:pPr>
      <w:r w:rsidRPr="0021686D">
        <w:rPr>
          <w:rFonts w:ascii="Arial" w:hAnsi="Arial" w:cs="Arial"/>
          <w:sz w:val="24"/>
          <w:szCs w:val="24"/>
        </w:rPr>
        <w:t>Risk Management: Project A is a moderate risk with the disadvantage of paying off earlier offering portfolio balance over Project C whose volatility is more significant. The diversification of risk-return profiles lowers the total portfolio variance as it maximises the expected returns (Markowitz, 1952).</w:t>
      </w:r>
    </w:p>
    <w:p w14:paraId="40E173A3" w14:textId="77777777" w:rsidR="0021686D" w:rsidRDefault="0021686D" w:rsidP="0021686D">
      <w:pPr>
        <w:spacing w:line="360" w:lineRule="auto"/>
        <w:jc w:val="both"/>
        <w:rPr>
          <w:rFonts w:ascii="Arial" w:hAnsi="Arial" w:cs="Arial"/>
          <w:sz w:val="24"/>
          <w:szCs w:val="24"/>
        </w:rPr>
      </w:pPr>
      <w:r w:rsidRPr="0021686D">
        <w:rPr>
          <w:rFonts w:ascii="Arial" w:hAnsi="Arial" w:cs="Arial"/>
          <w:sz w:val="24"/>
          <w:szCs w:val="24"/>
        </w:rPr>
        <w:t>Strategic Fit: Projects are supposed to be in line with market positioning and core competencies. The steep growth trend of Project C implies either developing new product line or new market expansion-which is essential in reviving the slumping revenues. The steady-then-sliding trend of Project A could be that of cash-cow product lines optimisation, which provides working capital in restructuring.</w:t>
      </w:r>
    </w:p>
    <w:p w14:paraId="1EEA2CBA" w14:textId="77777777" w:rsidR="00C84897" w:rsidRPr="00C84897" w:rsidRDefault="00C84897" w:rsidP="00C84897">
      <w:pPr>
        <w:spacing w:line="360" w:lineRule="auto"/>
        <w:jc w:val="both"/>
        <w:rPr>
          <w:rFonts w:ascii="Arial" w:hAnsi="Arial" w:cs="Arial"/>
          <w:sz w:val="24"/>
          <w:szCs w:val="24"/>
        </w:rPr>
      </w:pPr>
      <w:r w:rsidRPr="00C84897">
        <w:rPr>
          <w:rFonts w:ascii="Arial" w:hAnsi="Arial" w:cs="Arial"/>
          <w:sz w:val="24"/>
          <w:szCs w:val="24"/>
        </w:rPr>
        <w:t>Sensitivity Analysis: Project C NPV is PS1.58m at a discount rate of 12% and Project A is -PS0.23m which implies that Project C is still viable at 12% discount rate. The break-even analysis indicates that Project C is resilient to 15% cash flow decrease and still has positive NPV; Project A needs 97% of the estimated flows- there is no room to go wrong.</w:t>
      </w:r>
    </w:p>
    <w:p w14:paraId="18C28D1A" w14:textId="77777777" w:rsidR="00C84897" w:rsidRDefault="00C84897" w:rsidP="00C84897">
      <w:pPr>
        <w:spacing w:line="360" w:lineRule="auto"/>
        <w:jc w:val="both"/>
        <w:rPr>
          <w:rFonts w:ascii="Arial" w:hAnsi="Arial" w:cs="Arial"/>
          <w:sz w:val="24"/>
          <w:szCs w:val="24"/>
        </w:rPr>
      </w:pPr>
      <w:r w:rsidRPr="00C84897">
        <w:rPr>
          <w:rFonts w:ascii="Arial" w:hAnsi="Arial" w:cs="Arial"/>
          <w:sz w:val="24"/>
          <w:szCs w:val="24"/>
        </w:rPr>
        <w:t>Conclusion: A mix between Projects A and C (assuming that capital is staged) or C (assuming that PS60m hard constraint) has the best risk-adjusted returns in accordance with the financial recovery needs of General Electronics. Project B is to be disapproved of completely because of value destruction (Arnold, 2013; Brealey et al., 2020).</w:t>
      </w:r>
    </w:p>
    <w:p w14:paraId="77E75BB1" w14:textId="77777777" w:rsidR="001D34F7" w:rsidRDefault="001D34F7" w:rsidP="00C84897">
      <w:pPr>
        <w:spacing w:line="360" w:lineRule="auto"/>
        <w:jc w:val="both"/>
        <w:rPr>
          <w:rFonts w:ascii="Arial" w:hAnsi="Arial" w:cs="Arial"/>
          <w:sz w:val="24"/>
          <w:szCs w:val="24"/>
        </w:rPr>
      </w:pPr>
    </w:p>
    <w:p w14:paraId="2FD8F4BB" w14:textId="72B82F21" w:rsidR="001D34F7" w:rsidRPr="003E5B2E" w:rsidRDefault="001D34F7" w:rsidP="00C84897">
      <w:pPr>
        <w:spacing w:line="360" w:lineRule="auto"/>
        <w:jc w:val="both"/>
        <w:rPr>
          <w:rFonts w:ascii="Arial" w:hAnsi="Arial" w:cs="Arial"/>
          <w:b/>
          <w:bCs/>
          <w:sz w:val="24"/>
          <w:szCs w:val="24"/>
        </w:rPr>
      </w:pPr>
      <w:r w:rsidRPr="003E5B2E">
        <w:rPr>
          <w:rFonts w:ascii="Arial" w:hAnsi="Arial" w:cs="Arial"/>
          <w:b/>
          <w:bCs/>
          <w:sz w:val="24"/>
          <w:szCs w:val="24"/>
        </w:rPr>
        <w:t>6.0 Recommendation</w:t>
      </w:r>
    </w:p>
    <w:p w14:paraId="068C6065" w14:textId="77777777" w:rsidR="001D34F7" w:rsidRPr="001D34F7" w:rsidRDefault="001D34F7" w:rsidP="001D34F7">
      <w:pPr>
        <w:spacing w:line="360" w:lineRule="auto"/>
        <w:jc w:val="both"/>
        <w:rPr>
          <w:rFonts w:ascii="Arial" w:hAnsi="Arial" w:cs="Arial"/>
          <w:sz w:val="24"/>
          <w:szCs w:val="24"/>
        </w:rPr>
      </w:pPr>
      <w:r w:rsidRPr="001D34F7">
        <w:rPr>
          <w:rFonts w:ascii="Arial" w:hAnsi="Arial" w:cs="Arial"/>
          <w:sz w:val="24"/>
          <w:szCs w:val="24"/>
        </w:rPr>
        <w:t>General Electronics needs a co-ordinated turnaround plan that will stabilise the liquidity position, recuperate profitability, and re-establish long term competitiveness. The initial plan is vigorous cost reforms, which is the minimisation of overheads, consolidation of non-utilised manufacturing facilities and selling of unprofitable businesses. This will reposition the cost base at lower revenues as well as create the much-needed cash proceeds to bolster liquidity. Second, the company ought to undertake a holistic working-capital optimisation initiative, which would aim at a 20-day decrease in inventory, tighter receivables management as well as improved demand-forecasting mechanisms. The projected release of working capital of PS30-35 million will enhance the current ratio, minimise the use of short-term borrowing and offer breathing space to the operations. Third, the company will need to use a hybrid financing approach, transferring some of its short-term debts to medium-term debt and keeping the moderate revolving credit facility. This will minimise the refinancing risk and the capital structure will normalise in the recovery process. Lastly, the board ought to consider the strategic restructuring opportunities, such as selective divestments or consider the merger with more financially capable competitors. Together with rigorous capital budgeting of investments in the future, these measures will sustainably generate value and reduce the increasing risk of distress of the company. All the recommendations together provide a viable way of reestablishing financial sustainability and sustainability.</w:t>
      </w:r>
    </w:p>
    <w:p w14:paraId="7AABD464" w14:textId="77777777" w:rsidR="00C84897" w:rsidRPr="00C84897" w:rsidRDefault="00C84897" w:rsidP="00C84897">
      <w:pPr>
        <w:spacing w:line="360" w:lineRule="auto"/>
        <w:jc w:val="both"/>
        <w:rPr>
          <w:rFonts w:ascii="Arial" w:hAnsi="Arial" w:cs="Arial"/>
          <w:sz w:val="24"/>
          <w:szCs w:val="24"/>
        </w:rPr>
      </w:pPr>
    </w:p>
    <w:p w14:paraId="2CFFF824" w14:textId="3CD2D7BE" w:rsidR="00C84897" w:rsidRPr="00BF1940" w:rsidRDefault="001D34F7" w:rsidP="00C84897">
      <w:pPr>
        <w:spacing w:line="360" w:lineRule="auto"/>
        <w:jc w:val="both"/>
        <w:rPr>
          <w:rFonts w:ascii="Arial" w:hAnsi="Arial" w:cs="Arial"/>
          <w:b/>
          <w:bCs/>
          <w:sz w:val="24"/>
          <w:szCs w:val="24"/>
        </w:rPr>
      </w:pPr>
      <w:r>
        <w:rPr>
          <w:rFonts w:ascii="Arial" w:hAnsi="Arial" w:cs="Arial"/>
          <w:b/>
          <w:bCs/>
          <w:sz w:val="24"/>
          <w:szCs w:val="24"/>
        </w:rPr>
        <w:t xml:space="preserve">7.0 </w:t>
      </w:r>
      <w:r w:rsidR="00C84897" w:rsidRPr="00BF1940">
        <w:rPr>
          <w:rFonts w:ascii="Arial" w:hAnsi="Arial" w:cs="Arial"/>
          <w:b/>
          <w:bCs/>
          <w:sz w:val="24"/>
          <w:szCs w:val="24"/>
        </w:rPr>
        <w:t>Conclusion</w:t>
      </w:r>
    </w:p>
    <w:p w14:paraId="0492D197" w14:textId="77777777" w:rsidR="00C84897" w:rsidRDefault="00C84897" w:rsidP="00C84897">
      <w:pPr>
        <w:spacing w:line="360" w:lineRule="auto"/>
        <w:jc w:val="both"/>
        <w:rPr>
          <w:rFonts w:ascii="Arial" w:hAnsi="Arial" w:cs="Arial"/>
          <w:sz w:val="24"/>
          <w:szCs w:val="24"/>
        </w:rPr>
      </w:pPr>
      <w:r w:rsidRPr="00C84897">
        <w:rPr>
          <w:rFonts w:ascii="Arial" w:hAnsi="Arial" w:cs="Arial"/>
          <w:sz w:val="24"/>
          <w:szCs w:val="24"/>
        </w:rPr>
        <w:t>General Electronics is in serious financial distress with a 36% fall in revenues, PS15.3m operating losses in 2024, cash depleting PS26.8m, a cash operating cycle of 115 days and the 2.69 Altman Z-Score of high bankruptcy risk. The urgent need is to intervene. The proposed turnaround plan consists of four steps, which include vigorous working capital management to release PS30-35m in inventory and receivables optimisation, operational restructuring through a 15% workforce reduction, facility consolidation, and divestiture of loss-making units that generate PS25-30m proceeds, strategic recapitalisation of the business through a PS50m equity injection and debt restructuring, and selective investment in Projects A and C, which yield PS5.56m NPV and help stabilize the revenues. It is rolled out in three phases within a 24 months period aimed at achieving profitability, increasing liquidity and having Z-Score of at least 3.0. There is the inclusion of international, ethical and environmental considerations. Effective leadership, training, and buy-in are the keys to achieving success, as the ability to actively resolve the crisis, regain sustainable competitiveness, and financial stability.</w:t>
      </w:r>
    </w:p>
    <w:p w14:paraId="2CB85790" w14:textId="79E5EBC5" w:rsidR="00BF4C6E" w:rsidRPr="009049EE" w:rsidRDefault="00BF4C6E" w:rsidP="00C84897">
      <w:pPr>
        <w:spacing w:line="360" w:lineRule="auto"/>
        <w:rPr>
          <w:rFonts w:ascii="Arial" w:hAnsi="Arial" w:cs="Arial"/>
          <w:b/>
          <w:bCs/>
          <w:sz w:val="24"/>
          <w:szCs w:val="24"/>
        </w:rPr>
      </w:pPr>
      <w:r w:rsidRPr="009049EE">
        <w:rPr>
          <w:rFonts w:ascii="Arial" w:hAnsi="Arial" w:cs="Arial"/>
          <w:b/>
          <w:bCs/>
          <w:sz w:val="24"/>
          <w:szCs w:val="24"/>
        </w:rPr>
        <w:t>References</w:t>
      </w:r>
    </w:p>
    <w:p w14:paraId="3703FDB0"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Altman, E.I. (1968) 'Financial ratios, discriminant analysis and the prediction of corporate bankruptcy', </w:t>
      </w:r>
      <w:r w:rsidRPr="009049EE">
        <w:rPr>
          <w:rFonts w:ascii="Arial" w:hAnsi="Arial" w:cs="Arial"/>
          <w:i/>
          <w:iCs/>
          <w:sz w:val="24"/>
          <w:szCs w:val="24"/>
        </w:rPr>
        <w:t>Journal of Finance</w:t>
      </w:r>
      <w:r w:rsidRPr="009049EE">
        <w:rPr>
          <w:rFonts w:ascii="Arial" w:hAnsi="Arial" w:cs="Arial"/>
          <w:sz w:val="24"/>
          <w:szCs w:val="24"/>
        </w:rPr>
        <w:t>, 23(4), pp. 589-609.</w:t>
      </w:r>
    </w:p>
    <w:p w14:paraId="2F2822A1"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Altman, E.I. (2000) 'Predicting financial distress of companies: Revisiting the Z-Score and ZETA models', </w:t>
      </w:r>
      <w:r w:rsidRPr="009049EE">
        <w:rPr>
          <w:rFonts w:ascii="Arial" w:hAnsi="Arial" w:cs="Arial"/>
          <w:i/>
          <w:iCs/>
          <w:sz w:val="24"/>
          <w:szCs w:val="24"/>
        </w:rPr>
        <w:t>Journal of Banking &amp; Finance</w:t>
      </w:r>
      <w:r w:rsidRPr="009049EE">
        <w:rPr>
          <w:rFonts w:ascii="Arial" w:hAnsi="Arial" w:cs="Arial"/>
          <w:sz w:val="24"/>
          <w:szCs w:val="24"/>
        </w:rPr>
        <w:t>, 24(7), pp. 1069-1078.</w:t>
      </w:r>
    </w:p>
    <w:p w14:paraId="31C53E3A"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Arnold, G. (2013) </w:t>
      </w:r>
      <w:r w:rsidRPr="009049EE">
        <w:rPr>
          <w:rFonts w:ascii="Arial" w:hAnsi="Arial" w:cs="Arial"/>
          <w:i/>
          <w:iCs/>
          <w:sz w:val="24"/>
          <w:szCs w:val="24"/>
        </w:rPr>
        <w:t>Corporate Financial Management</w:t>
      </w:r>
      <w:r w:rsidRPr="009049EE">
        <w:rPr>
          <w:rFonts w:ascii="Arial" w:hAnsi="Arial" w:cs="Arial"/>
          <w:sz w:val="24"/>
          <w:szCs w:val="24"/>
        </w:rPr>
        <w:t>. 5th edn. Harlow: Pearson Education.</w:t>
      </w:r>
    </w:p>
    <w:p w14:paraId="76F0F256"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Atrill, P. and McLaney, E. (2017) </w:t>
      </w:r>
      <w:r w:rsidRPr="009049EE">
        <w:rPr>
          <w:rFonts w:ascii="Arial" w:hAnsi="Arial" w:cs="Arial"/>
          <w:i/>
          <w:iCs/>
          <w:sz w:val="24"/>
          <w:szCs w:val="24"/>
        </w:rPr>
        <w:t>Accounting and Finance for Non-Specialists</w:t>
      </w:r>
      <w:r w:rsidRPr="009049EE">
        <w:rPr>
          <w:rFonts w:ascii="Arial" w:hAnsi="Arial" w:cs="Arial"/>
          <w:sz w:val="24"/>
          <w:szCs w:val="24"/>
        </w:rPr>
        <w:t>. 10th edn. Harlow: Pearson Education.</w:t>
      </w:r>
    </w:p>
    <w:p w14:paraId="148DC116"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Berk, J. and DeMarzo, P. (2020) </w:t>
      </w:r>
      <w:r w:rsidRPr="009049EE">
        <w:rPr>
          <w:rFonts w:ascii="Arial" w:hAnsi="Arial" w:cs="Arial"/>
          <w:i/>
          <w:iCs/>
          <w:sz w:val="24"/>
          <w:szCs w:val="24"/>
        </w:rPr>
        <w:t>Corporate Finance</w:t>
      </w:r>
      <w:r w:rsidRPr="009049EE">
        <w:rPr>
          <w:rFonts w:ascii="Arial" w:hAnsi="Arial" w:cs="Arial"/>
          <w:sz w:val="24"/>
          <w:szCs w:val="24"/>
        </w:rPr>
        <w:t>. 5th edn. Harlow: Pearson Education.</w:t>
      </w:r>
    </w:p>
    <w:p w14:paraId="1D351594"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Bowman, E.H. and Singh, H. (1993) 'Corporate restructuring: Reconfiguring the firm', </w:t>
      </w:r>
      <w:r w:rsidRPr="009049EE">
        <w:rPr>
          <w:rFonts w:ascii="Arial" w:hAnsi="Arial" w:cs="Arial"/>
          <w:i/>
          <w:iCs/>
          <w:sz w:val="24"/>
          <w:szCs w:val="24"/>
        </w:rPr>
        <w:t>Strategic Management Journal</w:t>
      </w:r>
      <w:r w:rsidRPr="009049EE">
        <w:rPr>
          <w:rFonts w:ascii="Arial" w:hAnsi="Arial" w:cs="Arial"/>
          <w:sz w:val="24"/>
          <w:szCs w:val="24"/>
        </w:rPr>
        <w:t>, 14(S1), pp. 5-14.</w:t>
      </w:r>
    </w:p>
    <w:p w14:paraId="1889852B"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Brealey, R.A., Myers, S.C. and Allen, F. (2020) </w:t>
      </w:r>
      <w:r w:rsidRPr="009049EE">
        <w:rPr>
          <w:rFonts w:ascii="Arial" w:hAnsi="Arial" w:cs="Arial"/>
          <w:i/>
          <w:iCs/>
          <w:sz w:val="24"/>
          <w:szCs w:val="24"/>
        </w:rPr>
        <w:t>Principles of Corporate Finance</w:t>
      </w:r>
      <w:r w:rsidRPr="009049EE">
        <w:rPr>
          <w:rFonts w:ascii="Arial" w:hAnsi="Arial" w:cs="Arial"/>
          <w:sz w:val="24"/>
          <w:szCs w:val="24"/>
        </w:rPr>
        <w:t>. 13th edn. New York: McGraw-Hill Education.</w:t>
      </w:r>
    </w:p>
    <w:p w14:paraId="6EC67126"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Brigham, E.F. and Ehrhardt, M.C. (2020) </w:t>
      </w:r>
      <w:r w:rsidRPr="009049EE">
        <w:rPr>
          <w:rFonts w:ascii="Arial" w:hAnsi="Arial" w:cs="Arial"/>
          <w:i/>
          <w:iCs/>
          <w:sz w:val="24"/>
          <w:szCs w:val="24"/>
        </w:rPr>
        <w:t>Financial Management: Theory and Practice</w:t>
      </w:r>
      <w:r w:rsidRPr="009049EE">
        <w:rPr>
          <w:rFonts w:ascii="Arial" w:hAnsi="Arial" w:cs="Arial"/>
          <w:sz w:val="24"/>
          <w:szCs w:val="24"/>
        </w:rPr>
        <w:t>. 16th edn. Boston: Cengage Learning.</w:t>
      </w:r>
    </w:p>
    <w:p w14:paraId="4DEFB74A"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Brigham, E.F. and Houston, J.F. (2021) </w:t>
      </w:r>
      <w:r w:rsidRPr="009049EE">
        <w:rPr>
          <w:rFonts w:ascii="Arial" w:hAnsi="Arial" w:cs="Arial"/>
          <w:i/>
          <w:iCs/>
          <w:sz w:val="24"/>
          <w:szCs w:val="24"/>
        </w:rPr>
        <w:t>Fundamentals of Financial Management</w:t>
      </w:r>
      <w:r w:rsidRPr="009049EE">
        <w:rPr>
          <w:rFonts w:ascii="Arial" w:hAnsi="Arial" w:cs="Arial"/>
          <w:sz w:val="24"/>
          <w:szCs w:val="24"/>
        </w:rPr>
        <w:t>. 15th edn. Boston: Cengage Learning.</w:t>
      </w:r>
    </w:p>
    <w:p w14:paraId="00576EB9"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Damodaran, A. (2015) </w:t>
      </w:r>
      <w:r w:rsidRPr="009049EE">
        <w:rPr>
          <w:rFonts w:ascii="Arial" w:hAnsi="Arial" w:cs="Arial"/>
          <w:i/>
          <w:iCs/>
          <w:sz w:val="24"/>
          <w:szCs w:val="24"/>
        </w:rPr>
        <w:t>Applied Corporate Finance</w:t>
      </w:r>
      <w:r w:rsidRPr="009049EE">
        <w:rPr>
          <w:rFonts w:ascii="Arial" w:hAnsi="Arial" w:cs="Arial"/>
          <w:sz w:val="24"/>
          <w:szCs w:val="24"/>
        </w:rPr>
        <w:t>. 4th edn. Hoboken: John Wiley &amp; Sons.</w:t>
      </w:r>
    </w:p>
    <w:p w14:paraId="353F64B5"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Deloof, M. (2003) 'Does working capital management affect profitability of Belgian firms?', </w:t>
      </w:r>
      <w:r w:rsidRPr="009049EE">
        <w:rPr>
          <w:rFonts w:ascii="Arial" w:hAnsi="Arial" w:cs="Arial"/>
          <w:i/>
          <w:iCs/>
          <w:sz w:val="24"/>
          <w:szCs w:val="24"/>
        </w:rPr>
        <w:t>Journal of Business Finance &amp; Accounting</w:t>
      </w:r>
      <w:r w:rsidRPr="009049EE">
        <w:rPr>
          <w:rFonts w:ascii="Arial" w:hAnsi="Arial" w:cs="Arial"/>
          <w:sz w:val="24"/>
          <w:szCs w:val="24"/>
        </w:rPr>
        <w:t>, 30(3-4), pp. 573-588.</w:t>
      </w:r>
    </w:p>
    <w:p w14:paraId="5C0741C1"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Drury, C. (2018) </w:t>
      </w:r>
      <w:r w:rsidRPr="009049EE">
        <w:rPr>
          <w:rFonts w:ascii="Arial" w:hAnsi="Arial" w:cs="Arial"/>
          <w:i/>
          <w:iCs/>
          <w:sz w:val="24"/>
          <w:szCs w:val="24"/>
        </w:rPr>
        <w:t>Management and Cost Accounting</w:t>
      </w:r>
      <w:r w:rsidRPr="009049EE">
        <w:rPr>
          <w:rFonts w:ascii="Arial" w:hAnsi="Arial" w:cs="Arial"/>
          <w:sz w:val="24"/>
          <w:szCs w:val="24"/>
        </w:rPr>
        <w:t>. 10th edn. London: Cengage Learning.</w:t>
      </w:r>
    </w:p>
    <w:p w14:paraId="1D7274B6"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Freeman, R.E. (1984) </w:t>
      </w:r>
      <w:r w:rsidRPr="009049EE">
        <w:rPr>
          <w:rFonts w:ascii="Arial" w:hAnsi="Arial" w:cs="Arial"/>
          <w:i/>
          <w:iCs/>
          <w:sz w:val="24"/>
          <w:szCs w:val="24"/>
        </w:rPr>
        <w:t>Strategic Management: A Stakeholder Approach</w:t>
      </w:r>
      <w:r w:rsidRPr="009049EE">
        <w:rPr>
          <w:rFonts w:ascii="Arial" w:hAnsi="Arial" w:cs="Arial"/>
          <w:sz w:val="24"/>
          <w:szCs w:val="24"/>
        </w:rPr>
        <w:t>. Boston: Pitman.</w:t>
      </w:r>
    </w:p>
    <w:p w14:paraId="4AF43DA9"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Graham, J.R. (2003) 'Taxes and corporate finance: A review', </w:t>
      </w:r>
      <w:r w:rsidRPr="009049EE">
        <w:rPr>
          <w:rFonts w:ascii="Arial" w:hAnsi="Arial" w:cs="Arial"/>
          <w:i/>
          <w:iCs/>
          <w:sz w:val="24"/>
          <w:szCs w:val="24"/>
        </w:rPr>
        <w:t>Review of Financial Studies</w:t>
      </w:r>
      <w:r w:rsidRPr="009049EE">
        <w:rPr>
          <w:rFonts w:ascii="Arial" w:hAnsi="Arial" w:cs="Arial"/>
          <w:sz w:val="24"/>
          <w:szCs w:val="24"/>
        </w:rPr>
        <w:t>, 16(4), pp. 1075-1129.</w:t>
      </w:r>
    </w:p>
    <w:p w14:paraId="16EE6A8B"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Lumby, S. and Jones, C. (2011) </w:t>
      </w:r>
      <w:r w:rsidRPr="009049EE">
        <w:rPr>
          <w:rFonts w:ascii="Arial" w:hAnsi="Arial" w:cs="Arial"/>
          <w:i/>
          <w:iCs/>
          <w:sz w:val="24"/>
          <w:szCs w:val="24"/>
        </w:rPr>
        <w:t>Corporate Finance: Theory and Practice</w:t>
      </w:r>
      <w:r w:rsidRPr="009049EE">
        <w:rPr>
          <w:rFonts w:ascii="Arial" w:hAnsi="Arial" w:cs="Arial"/>
          <w:sz w:val="24"/>
          <w:szCs w:val="24"/>
        </w:rPr>
        <w:t>. 8th edn. London: Cengage Learning.</w:t>
      </w:r>
    </w:p>
    <w:p w14:paraId="537A0A6C"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Markowitz, H. (1952) 'Portfolio selection', </w:t>
      </w:r>
      <w:r w:rsidRPr="009049EE">
        <w:rPr>
          <w:rFonts w:ascii="Arial" w:hAnsi="Arial" w:cs="Arial"/>
          <w:i/>
          <w:iCs/>
          <w:sz w:val="24"/>
          <w:szCs w:val="24"/>
        </w:rPr>
        <w:t>Journal of Finance</w:t>
      </w:r>
      <w:r w:rsidRPr="009049EE">
        <w:rPr>
          <w:rFonts w:ascii="Arial" w:hAnsi="Arial" w:cs="Arial"/>
          <w:sz w:val="24"/>
          <w:szCs w:val="24"/>
        </w:rPr>
        <w:t>, 7(1), pp. 77-91.</w:t>
      </w:r>
    </w:p>
    <w:p w14:paraId="0BEEA65B"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McLaney, E. (2017) </w:t>
      </w:r>
      <w:r w:rsidRPr="009049EE">
        <w:rPr>
          <w:rFonts w:ascii="Arial" w:hAnsi="Arial" w:cs="Arial"/>
          <w:i/>
          <w:iCs/>
          <w:sz w:val="24"/>
          <w:szCs w:val="24"/>
        </w:rPr>
        <w:t>Business Finance: Theory and Practice</w:t>
      </w:r>
      <w:r w:rsidRPr="009049EE">
        <w:rPr>
          <w:rFonts w:ascii="Arial" w:hAnsi="Arial" w:cs="Arial"/>
          <w:sz w:val="24"/>
          <w:szCs w:val="24"/>
        </w:rPr>
        <w:t>. 11th edn. Harlow: Pearson Education.</w:t>
      </w:r>
    </w:p>
    <w:p w14:paraId="5D70B1B8"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Palepu, K.G. and Healy, P.M. (2013) </w:t>
      </w:r>
      <w:r w:rsidRPr="009049EE">
        <w:rPr>
          <w:rFonts w:ascii="Arial" w:hAnsi="Arial" w:cs="Arial"/>
          <w:i/>
          <w:iCs/>
          <w:sz w:val="24"/>
          <w:szCs w:val="24"/>
        </w:rPr>
        <w:t>Business Analysis and Valuation</w:t>
      </w:r>
      <w:r w:rsidRPr="009049EE">
        <w:rPr>
          <w:rFonts w:ascii="Arial" w:hAnsi="Arial" w:cs="Arial"/>
          <w:sz w:val="24"/>
          <w:szCs w:val="24"/>
        </w:rPr>
        <w:t>. 5th edn. Boston: Cengage Learning.</w:t>
      </w:r>
    </w:p>
    <w:p w14:paraId="475ED6AE"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Palepu, K.G., Healy, P.M. and Peek, E. (2020) </w:t>
      </w:r>
      <w:r w:rsidRPr="009049EE">
        <w:rPr>
          <w:rFonts w:ascii="Arial" w:hAnsi="Arial" w:cs="Arial"/>
          <w:i/>
          <w:iCs/>
          <w:sz w:val="24"/>
          <w:szCs w:val="24"/>
        </w:rPr>
        <w:t>Business Analysis and Valuation: IFRS Edition</w:t>
      </w:r>
      <w:r w:rsidRPr="009049EE">
        <w:rPr>
          <w:rFonts w:ascii="Arial" w:hAnsi="Arial" w:cs="Arial"/>
          <w:sz w:val="24"/>
          <w:szCs w:val="24"/>
        </w:rPr>
        <w:t>. 5th edn. London: Cengage Learning.</w:t>
      </w:r>
    </w:p>
    <w:p w14:paraId="1C5EAE33"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Pike, R. and Neale, B. (2009) </w:t>
      </w:r>
      <w:r w:rsidRPr="009049EE">
        <w:rPr>
          <w:rFonts w:ascii="Arial" w:hAnsi="Arial" w:cs="Arial"/>
          <w:i/>
          <w:iCs/>
          <w:sz w:val="24"/>
          <w:szCs w:val="24"/>
        </w:rPr>
        <w:t>Corporate Finance and Investment: Decisions and Strategies</w:t>
      </w:r>
      <w:r w:rsidRPr="009049EE">
        <w:rPr>
          <w:rFonts w:ascii="Arial" w:hAnsi="Arial" w:cs="Arial"/>
          <w:sz w:val="24"/>
          <w:szCs w:val="24"/>
        </w:rPr>
        <w:t>. 6th edn. Harlow: Pearson Education.</w:t>
      </w:r>
    </w:p>
    <w:p w14:paraId="774D9DF6"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Richards, V.D. and Laughlin, E.J. (1980) 'A cash conversion cycle approach to liquidity analysis', </w:t>
      </w:r>
      <w:r w:rsidRPr="009049EE">
        <w:rPr>
          <w:rFonts w:ascii="Arial" w:hAnsi="Arial" w:cs="Arial"/>
          <w:i/>
          <w:iCs/>
          <w:sz w:val="24"/>
          <w:szCs w:val="24"/>
        </w:rPr>
        <w:t>Financial Management</w:t>
      </w:r>
      <w:r w:rsidRPr="009049EE">
        <w:rPr>
          <w:rFonts w:ascii="Arial" w:hAnsi="Arial" w:cs="Arial"/>
          <w:sz w:val="24"/>
          <w:szCs w:val="24"/>
        </w:rPr>
        <w:t>, 9(1), pp. 32-38.</w:t>
      </w:r>
    </w:p>
    <w:p w14:paraId="77B1D27C" w14:textId="77777777" w:rsidR="00BF4C6E" w:rsidRPr="009049EE" w:rsidRDefault="00BF4C6E" w:rsidP="009049EE">
      <w:pPr>
        <w:spacing w:line="360" w:lineRule="auto"/>
        <w:rPr>
          <w:rFonts w:ascii="Arial" w:hAnsi="Arial" w:cs="Arial"/>
          <w:b/>
          <w:bCs/>
          <w:sz w:val="24"/>
          <w:szCs w:val="24"/>
        </w:rPr>
      </w:pPr>
      <w:r w:rsidRPr="009049EE">
        <w:rPr>
          <w:rFonts w:ascii="Arial" w:hAnsi="Arial" w:cs="Arial"/>
          <w:sz w:val="24"/>
          <w:szCs w:val="24"/>
        </w:rPr>
        <w:t>Watson, D. and Head, A. (2016) </w:t>
      </w:r>
      <w:r w:rsidRPr="009049EE">
        <w:rPr>
          <w:rFonts w:ascii="Arial" w:hAnsi="Arial" w:cs="Arial"/>
          <w:i/>
          <w:iCs/>
          <w:sz w:val="24"/>
          <w:szCs w:val="24"/>
        </w:rPr>
        <w:t>Corporate Finance: Principles and Practice</w:t>
      </w:r>
      <w:r w:rsidRPr="009049EE">
        <w:rPr>
          <w:rFonts w:ascii="Arial" w:hAnsi="Arial" w:cs="Arial"/>
          <w:sz w:val="24"/>
          <w:szCs w:val="24"/>
        </w:rPr>
        <w:t>. 7th edn. Harlow: Pearson Education.</w:t>
      </w:r>
    </w:p>
    <w:p w14:paraId="7BE4E371" w14:textId="610E8284" w:rsidR="00BF4C6E" w:rsidRPr="009049EE" w:rsidRDefault="00BF4C6E" w:rsidP="009049EE">
      <w:pPr>
        <w:spacing w:line="360" w:lineRule="auto"/>
        <w:rPr>
          <w:rFonts w:ascii="Arial" w:hAnsi="Arial" w:cs="Arial"/>
          <w:b/>
          <w:bCs/>
          <w:sz w:val="24"/>
          <w:szCs w:val="24"/>
        </w:rPr>
      </w:pPr>
    </w:p>
    <w:p w14:paraId="14F91935" w14:textId="77777777" w:rsidR="00A66616" w:rsidRPr="009049EE" w:rsidRDefault="00A66616" w:rsidP="009049EE">
      <w:pPr>
        <w:spacing w:line="360" w:lineRule="auto"/>
        <w:rPr>
          <w:rFonts w:ascii="Arial" w:hAnsi="Arial" w:cs="Arial"/>
          <w:b/>
          <w:bCs/>
          <w:sz w:val="24"/>
          <w:szCs w:val="24"/>
        </w:rPr>
      </w:pPr>
      <w:r w:rsidRPr="009049EE">
        <w:rPr>
          <w:rFonts w:ascii="Arial" w:hAnsi="Arial" w:cs="Arial"/>
          <w:b/>
          <w:bCs/>
          <w:sz w:val="24"/>
          <w:szCs w:val="24"/>
        </w:rPr>
        <w:br w:type="page"/>
      </w:r>
    </w:p>
    <w:p w14:paraId="16F664C2" w14:textId="5D54B037" w:rsidR="00BF4C6E" w:rsidRPr="009049EE" w:rsidRDefault="00BF4C6E" w:rsidP="009049EE">
      <w:pPr>
        <w:spacing w:line="360" w:lineRule="auto"/>
        <w:rPr>
          <w:rFonts w:ascii="Arial" w:hAnsi="Arial" w:cs="Arial"/>
          <w:b/>
          <w:bCs/>
          <w:sz w:val="24"/>
          <w:szCs w:val="24"/>
        </w:rPr>
      </w:pPr>
      <w:r w:rsidRPr="009049EE">
        <w:rPr>
          <w:rFonts w:ascii="Arial" w:hAnsi="Arial" w:cs="Arial"/>
          <w:b/>
          <w:bCs/>
          <w:sz w:val="24"/>
          <w:szCs w:val="24"/>
        </w:rPr>
        <w:t>APPENDIX</w:t>
      </w:r>
    </w:p>
    <w:p w14:paraId="05841FF3" w14:textId="77777777" w:rsidR="00BF4C6E" w:rsidRPr="009049EE" w:rsidRDefault="00BF4C6E" w:rsidP="009049EE">
      <w:pPr>
        <w:spacing w:line="360" w:lineRule="auto"/>
        <w:rPr>
          <w:rFonts w:ascii="Arial" w:hAnsi="Arial" w:cs="Arial"/>
          <w:b/>
          <w:bCs/>
          <w:sz w:val="24"/>
          <w:szCs w:val="24"/>
        </w:rPr>
      </w:pPr>
      <w:r w:rsidRPr="009049EE">
        <w:rPr>
          <w:rFonts w:ascii="Arial" w:hAnsi="Arial" w:cs="Arial"/>
          <w:b/>
          <w:bCs/>
          <w:sz w:val="24"/>
          <w:szCs w:val="24"/>
        </w:rPr>
        <w:t>Appendix 1: Financial Ratios Summary (2020-2024)</w:t>
      </w:r>
    </w:p>
    <w:tbl>
      <w:tblPr>
        <w:tblW w:w="9360"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4239"/>
        <w:gridCol w:w="1025"/>
        <w:gridCol w:w="1024"/>
        <w:gridCol w:w="1024"/>
        <w:gridCol w:w="1024"/>
        <w:gridCol w:w="1024"/>
      </w:tblGrid>
      <w:tr w:rsidR="00BF4C6E" w:rsidRPr="009049EE" w14:paraId="1823FC71" w14:textId="77777777">
        <w:trPr>
          <w:tblHeader/>
        </w:trPr>
        <w:tc>
          <w:tcPr>
            <w:tcW w:w="0" w:type="auto"/>
            <w:tcBorders>
              <w:top w:val="single" w:sz="2" w:space="0" w:color="E5E7EB"/>
              <w:left w:val="single" w:sz="2" w:space="0" w:color="E5E7EB"/>
              <w:bottom w:val="single" w:sz="2" w:space="0" w:color="E5E7EB"/>
              <w:right w:val="single" w:sz="2" w:space="0" w:color="E5E7EB"/>
            </w:tcBorders>
            <w:noWrap/>
            <w:vAlign w:val="bottom"/>
            <w:hideMark/>
          </w:tcPr>
          <w:p w14:paraId="38CA6CF8"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Ratio</w:t>
            </w:r>
          </w:p>
        </w:tc>
        <w:tc>
          <w:tcPr>
            <w:tcW w:w="0" w:type="auto"/>
            <w:tcBorders>
              <w:top w:val="single" w:sz="2" w:space="0" w:color="E5E7EB"/>
              <w:left w:val="single" w:sz="2" w:space="0" w:color="E5E7EB"/>
              <w:bottom w:val="single" w:sz="2" w:space="0" w:color="E5E7EB"/>
              <w:right w:val="single" w:sz="2" w:space="0" w:color="E5E7EB"/>
            </w:tcBorders>
            <w:noWrap/>
            <w:vAlign w:val="bottom"/>
            <w:hideMark/>
          </w:tcPr>
          <w:p w14:paraId="48C328B4"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2024</w:t>
            </w:r>
          </w:p>
        </w:tc>
        <w:tc>
          <w:tcPr>
            <w:tcW w:w="0" w:type="auto"/>
            <w:tcBorders>
              <w:top w:val="single" w:sz="2" w:space="0" w:color="E5E7EB"/>
              <w:left w:val="single" w:sz="2" w:space="0" w:color="E5E7EB"/>
              <w:bottom w:val="single" w:sz="2" w:space="0" w:color="E5E7EB"/>
              <w:right w:val="single" w:sz="2" w:space="0" w:color="E5E7EB"/>
            </w:tcBorders>
            <w:noWrap/>
            <w:vAlign w:val="bottom"/>
            <w:hideMark/>
          </w:tcPr>
          <w:p w14:paraId="01FD6D97"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2023</w:t>
            </w:r>
          </w:p>
        </w:tc>
        <w:tc>
          <w:tcPr>
            <w:tcW w:w="0" w:type="auto"/>
            <w:tcBorders>
              <w:top w:val="single" w:sz="2" w:space="0" w:color="E5E7EB"/>
              <w:left w:val="single" w:sz="2" w:space="0" w:color="E5E7EB"/>
              <w:bottom w:val="single" w:sz="2" w:space="0" w:color="E5E7EB"/>
              <w:right w:val="single" w:sz="2" w:space="0" w:color="E5E7EB"/>
            </w:tcBorders>
            <w:noWrap/>
            <w:vAlign w:val="bottom"/>
            <w:hideMark/>
          </w:tcPr>
          <w:p w14:paraId="7261F86B"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2022</w:t>
            </w:r>
          </w:p>
        </w:tc>
        <w:tc>
          <w:tcPr>
            <w:tcW w:w="0" w:type="auto"/>
            <w:tcBorders>
              <w:top w:val="single" w:sz="2" w:space="0" w:color="E5E7EB"/>
              <w:left w:val="single" w:sz="2" w:space="0" w:color="E5E7EB"/>
              <w:bottom w:val="single" w:sz="2" w:space="0" w:color="E5E7EB"/>
              <w:right w:val="single" w:sz="2" w:space="0" w:color="E5E7EB"/>
            </w:tcBorders>
            <w:noWrap/>
            <w:vAlign w:val="bottom"/>
            <w:hideMark/>
          </w:tcPr>
          <w:p w14:paraId="3384146A"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2021</w:t>
            </w:r>
          </w:p>
        </w:tc>
        <w:tc>
          <w:tcPr>
            <w:tcW w:w="0" w:type="auto"/>
            <w:tcBorders>
              <w:top w:val="single" w:sz="2" w:space="0" w:color="E5E7EB"/>
              <w:left w:val="single" w:sz="2" w:space="0" w:color="E5E7EB"/>
              <w:bottom w:val="single" w:sz="2" w:space="0" w:color="E5E7EB"/>
              <w:right w:val="single" w:sz="2" w:space="0" w:color="E5E7EB"/>
            </w:tcBorders>
            <w:noWrap/>
            <w:vAlign w:val="bottom"/>
            <w:hideMark/>
          </w:tcPr>
          <w:p w14:paraId="6D0FF481"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2020</w:t>
            </w:r>
          </w:p>
        </w:tc>
      </w:tr>
      <w:tr w:rsidR="00BF4C6E" w:rsidRPr="009049EE" w14:paraId="6201407D" w14:textId="77777777">
        <w:tc>
          <w:tcPr>
            <w:tcW w:w="0" w:type="auto"/>
            <w:tcBorders>
              <w:top w:val="single" w:sz="2" w:space="0" w:color="E5E7EB"/>
              <w:left w:val="single" w:sz="2" w:space="0" w:color="E5E7EB"/>
              <w:bottom w:val="single" w:sz="2" w:space="0" w:color="E5E7EB"/>
              <w:right w:val="single" w:sz="2" w:space="0" w:color="E5E7EB"/>
            </w:tcBorders>
            <w:vAlign w:val="bottom"/>
            <w:hideMark/>
          </w:tcPr>
          <w:p w14:paraId="37982D07"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PROFITABILITY</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6404454D" w14:textId="77777777" w:rsidR="00BF4C6E" w:rsidRPr="009049EE" w:rsidRDefault="00BF4C6E" w:rsidP="009049EE">
            <w:pPr>
              <w:spacing w:line="360" w:lineRule="auto"/>
              <w:rPr>
                <w:rFonts w:ascii="Arial" w:hAnsi="Arial" w:cs="Arial"/>
                <w:sz w:val="24"/>
                <w:szCs w:val="24"/>
              </w:rPr>
            </w:pP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12E37A0F" w14:textId="77777777" w:rsidR="00BF4C6E" w:rsidRPr="009049EE" w:rsidRDefault="00BF4C6E" w:rsidP="009049EE">
            <w:pPr>
              <w:spacing w:line="360" w:lineRule="auto"/>
              <w:rPr>
                <w:rFonts w:ascii="Arial" w:hAnsi="Arial" w:cs="Arial"/>
                <w:sz w:val="24"/>
                <w:szCs w:val="24"/>
              </w:rPr>
            </w:pP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3BCE582F" w14:textId="77777777" w:rsidR="00BF4C6E" w:rsidRPr="009049EE" w:rsidRDefault="00BF4C6E" w:rsidP="009049EE">
            <w:pPr>
              <w:spacing w:line="360" w:lineRule="auto"/>
              <w:rPr>
                <w:rFonts w:ascii="Arial" w:hAnsi="Arial" w:cs="Arial"/>
                <w:sz w:val="24"/>
                <w:szCs w:val="24"/>
              </w:rPr>
            </w:pP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7619C888" w14:textId="77777777" w:rsidR="00BF4C6E" w:rsidRPr="009049EE" w:rsidRDefault="00BF4C6E" w:rsidP="009049EE">
            <w:pPr>
              <w:spacing w:line="360" w:lineRule="auto"/>
              <w:rPr>
                <w:rFonts w:ascii="Arial" w:hAnsi="Arial" w:cs="Arial"/>
                <w:sz w:val="24"/>
                <w:szCs w:val="24"/>
              </w:rPr>
            </w:pP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562EF1DB" w14:textId="77777777" w:rsidR="00BF4C6E" w:rsidRPr="009049EE" w:rsidRDefault="00BF4C6E" w:rsidP="009049EE">
            <w:pPr>
              <w:spacing w:line="360" w:lineRule="auto"/>
              <w:rPr>
                <w:rFonts w:ascii="Arial" w:hAnsi="Arial" w:cs="Arial"/>
                <w:sz w:val="24"/>
                <w:szCs w:val="24"/>
              </w:rPr>
            </w:pPr>
          </w:p>
        </w:tc>
      </w:tr>
      <w:tr w:rsidR="00BF4C6E" w:rsidRPr="009049EE" w14:paraId="780E3B77" w14:textId="77777777">
        <w:tc>
          <w:tcPr>
            <w:tcW w:w="0" w:type="auto"/>
            <w:tcBorders>
              <w:top w:val="single" w:sz="2" w:space="0" w:color="E5E7EB"/>
              <w:left w:val="single" w:sz="2" w:space="0" w:color="E5E7EB"/>
              <w:bottom w:val="single" w:sz="2" w:space="0" w:color="E5E7EB"/>
              <w:right w:val="single" w:sz="2" w:space="0" w:color="E5E7EB"/>
            </w:tcBorders>
            <w:vAlign w:val="bottom"/>
            <w:hideMark/>
          </w:tcPr>
          <w:p w14:paraId="6513E4C2"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Gross Profit Margin (%)</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473BCF27"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28.9</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5C86DB7D"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23.2</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3C9F3FD3"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28.1</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44604D54"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28.8</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3D837AE3"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28.7</w:t>
            </w:r>
          </w:p>
        </w:tc>
      </w:tr>
      <w:tr w:rsidR="00BF4C6E" w:rsidRPr="009049EE" w14:paraId="31881E41" w14:textId="77777777">
        <w:tc>
          <w:tcPr>
            <w:tcW w:w="0" w:type="auto"/>
            <w:tcBorders>
              <w:top w:val="single" w:sz="2" w:space="0" w:color="E5E7EB"/>
              <w:left w:val="single" w:sz="2" w:space="0" w:color="E5E7EB"/>
              <w:bottom w:val="single" w:sz="2" w:space="0" w:color="E5E7EB"/>
              <w:right w:val="single" w:sz="2" w:space="0" w:color="E5E7EB"/>
            </w:tcBorders>
            <w:vAlign w:val="bottom"/>
            <w:hideMark/>
          </w:tcPr>
          <w:p w14:paraId="550C3EBD"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Operating Profit Margin (%)</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51CFB1E6"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-3.9</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27E8AB35"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-20.3</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23FCE440"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2.7</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37CD367B"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3.9</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56AFCE3F"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6.1</w:t>
            </w:r>
          </w:p>
        </w:tc>
      </w:tr>
      <w:tr w:rsidR="00BF4C6E" w:rsidRPr="009049EE" w14:paraId="42BBCBFC" w14:textId="77777777">
        <w:tc>
          <w:tcPr>
            <w:tcW w:w="0" w:type="auto"/>
            <w:tcBorders>
              <w:top w:val="single" w:sz="2" w:space="0" w:color="E5E7EB"/>
              <w:left w:val="single" w:sz="2" w:space="0" w:color="E5E7EB"/>
              <w:bottom w:val="single" w:sz="2" w:space="0" w:color="E5E7EB"/>
              <w:right w:val="single" w:sz="2" w:space="0" w:color="E5E7EB"/>
            </w:tcBorders>
            <w:vAlign w:val="bottom"/>
            <w:hideMark/>
          </w:tcPr>
          <w:p w14:paraId="4DFD7582"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Net Profit Margin (%)</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0F91EA86"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-6.1</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6BDED88A"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-23.4</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5F26195F"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0.1</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53A83970"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0.9</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77B0550D"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6.3</w:t>
            </w:r>
          </w:p>
        </w:tc>
      </w:tr>
      <w:tr w:rsidR="00BF4C6E" w:rsidRPr="009049EE" w14:paraId="1F22295C" w14:textId="77777777">
        <w:tc>
          <w:tcPr>
            <w:tcW w:w="0" w:type="auto"/>
            <w:tcBorders>
              <w:top w:val="single" w:sz="2" w:space="0" w:color="E5E7EB"/>
              <w:left w:val="single" w:sz="2" w:space="0" w:color="E5E7EB"/>
              <w:bottom w:val="single" w:sz="2" w:space="0" w:color="E5E7EB"/>
              <w:right w:val="single" w:sz="2" w:space="0" w:color="E5E7EB"/>
            </w:tcBorders>
            <w:vAlign w:val="bottom"/>
            <w:hideMark/>
          </w:tcPr>
          <w:p w14:paraId="398D4A8E"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Return on Equity (%)</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7C71F26A"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-15.7</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3A6DBBA1"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-54.9</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1EC3D15A"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0.2</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59433692"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1.9</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029166D2"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12.3</w:t>
            </w:r>
          </w:p>
        </w:tc>
      </w:tr>
      <w:tr w:rsidR="00BF4C6E" w:rsidRPr="009049EE" w14:paraId="606C8BF8" w14:textId="77777777">
        <w:tc>
          <w:tcPr>
            <w:tcW w:w="0" w:type="auto"/>
            <w:tcBorders>
              <w:top w:val="single" w:sz="2" w:space="0" w:color="E5E7EB"/>
              <w:left w:val="single" w:sz="2" w:space="0" w:color="E5E7EB"/>
              <w:bottom w:val="single" w:sz="2" w:space="0" w:color="E5E7EB"/>
              <w:right w:val="single" w:sz="2" w:space="0" w:color="E5E7EB"/>
            </w:tcBorders>
            <w:vAlign w:val="bottom"/>
            <w:hideMark/>
          </w:tcPr>
          <w:p w14:paraId="7C996232"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Return on Assets (%)</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23591CB7"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-7.4</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2CAF5865"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-27.6</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5DDEF235"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0.1</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4CFEBB16"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1.0</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635C210B"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7.6</w:t>
            </w:r>
          </w:p>
        </w:tc>
      </w:tr>
      <w:tr w:rsidR="00BF4C6E" w:rsidRPr="009049EE" w14:paraId="310B540C" w14:textId="77777777">
        <w:tc>
          <w:tcPr>
            <w:tcW w:w="0" w:type="auto"/>
            <w:tcBorders>
              <w:top w:val="single" w:sz="2" w:space="0" w:color="E5E7EB"/>
              <w:left w:val="single" w:sz="2" w:space="0" w:color="E5E7EB"/>
              <w:bottom w:val="single" w:sz="2" w:space="0" w:color="E5E7EB"/>
              <w:right w:val="single" w:sz="2" w:space="0" w:color="E5E7EB"/>
            </w:tcBorders>
            <w:vAlign w:val="bottom"/>
            <w:hideMark/>
          </w:tcPr>
          <w:p w14:paraId="3F42954A"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LIQUIDITY</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78661CCF" w14:textId="77777777" w:rsidR="00BF4C6E" w:rsidRPr="009049EE" w:rsidRDefault="00BF4C6E" w:rsidP="009049EE">
            <w:pPr>
              <w:spacing w:line="360" w:lineRule="auto"/>
              <w:rPr>
                <w:rFonts w:ascii="Arial" w:hAnsi="Arial" w:cs="Arial"/>
                <w:sz w:val="24"/>
                <w:szCs w:val="24"/>
              </w:rPr>
            </w:pP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006C24BE" w14:textId="77777777" w:rsidR="00BF4C6E" w:rsidRPr="009049EE" w:rsidRDefault="00BF4C6E" w:rsidP="009049EE">
            <w:pPr>
              <w:spacing w:line="360" w:lineRule="auto"/>
              <w:rPr>
                <w:rFonts w:ascii="Arial" w:hAnsi="Arial" w:cs="Arial"/>
                <w:sz w:val="24"/>
                <w:szCs w:val="24"/>
              </w:rPr>
            </w:pP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4FCA4418" w14:textId="77777777" w:rsidR="00BF4C6E" w:rsidRPr="009049EE" w:rsidRDefault="00BF4C6E" w:rsidP="009049EE">
            <w:pPr>
              <w:spacing w:line="360" w:lineRule="auto"/>
              <w:rPr>
                <w:rFonts w:ascii="Arial" w:hAnsi="Arial" w:cs="Arial"/>
                <w:sz w:val="24"/>
                <w:szCs w:val="24"/>
              </w:rPr>
            </w:pP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1DA339F8" w14:textId="77777777" w:rsidR="00BF4C6E" w:rsidRPr="009049EE" w:rsidRDefault="00BF4C6E" w:rsidP="009049EE">
            <w:pPr>
              <w:spacing w:line="360" w:lineRule="auto"/>
              <w:rPr>
                <w:rFonts w:ascii="Arial" w:hAnsi="Arial" w:cs="Arial"/>
                <w:sz w:val="24"/>
                <w:szCs w:val="24"/>
              </w:rPr>
            </w:pP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19F39798" w14:textId="77777777" w:rsidR="00BF4C6E" w:rsidRPr="009049EE" w:rsidRDefault="00BF4C6E" w:rsidP="009049EE">
            <w:pPr>
              <w:spacing w:line="360" w:lineRule="auto"/>
              <w:rPr>
                <w:rFonts w:ascii="Arial" w:hAnsi="Arial" w:cs="Arial"/>
                <w:sz w:val="24"/>
                <w:szCs w:val="24"/>
              </w:rPr>
            </w:pPr>
          </w:p>
        </w:tc>
      </w:tr>
      <w:tr w:rsidR="00BF4C6E" w:rsidRPr="009049EE" w14:paraId="46F746B3" w14:textId="77777777">
        <w:tc>
          <w:tcPr>
            <w:tcW w:w="0" w:type="auto"/>
            <w:tcBorders>
              <w:top w:val="single" w:sz="2" w:space="0" w:color="E5E7EB"/>
              <w:left w:val="single" w:sz="2" w:space="0" w:color="E5E7EB"/>
              <w:bottom w:val="single" w:sz="2" w:space="0" w:color="E5E7EB"/>
              <w:right w:val="single" w:sz="2" w:space="0" w:color="E5E7EB"/>
            </w:tcBorders>
            <w:vAlign w:val="bottom"/>
            <w:hideMark/>
          </w:tcPr>
          <w:p w14:paraId="1AA4222F"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Current Ratio</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25C0260A"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1.53</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5780139D"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1.61</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677D60E6"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1.56</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4FFB42DA"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1.56</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7540833A"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1.82</w:t>
            </w:r>
          </w:p>
        </w:tc>
      </w:tr>
      <w:tr w:rsidR="00BF4C6E" w:rsidRPr="009049EE" w14:paraId="22670613" w14:textId="77777777">
        <w:tc>
          <w:tcPr>
            <w:tcW w:w="0" w:type="auto"/>
            <w:tcBorders>
              <w:top w:val="single" w:sz="2" w:space="0" w:color="E5E7EB"/>
              <w:left w:val="single" w:sz="2" w:space="0" w:color="E5E7EB"/>
              <w:bottom w:val="single" w:sz="2" w:space="0" w:color="E5E7EB"/>
              <w:right w:val="single" w:sz="2" w:space="0" w:color="E5E7EB"/>
            </w:tcBorders>
            <w:vAlign w:val="bottom"/>
            <w:hideMark/>
          </w:tcPr>
          <w:p w14:paraId="176019F8"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Quick Ratio</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5CD109DF"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1.03</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5A74947D"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1.06</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45716F81"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0.91</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2BCF7783"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0.93</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5128B9A6"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1.15</w:t>
            </w:r>
          </w:p>
        </w:tc>
      </w:tr>
      <w:tr w:rsidR="00BF4C6E" w:rsidRPr="009049EE" w14:paraId="286AE8EA" w14:textId="77777777">
        <w:tc>
          <w:tcPr>
            <w:tcW w:w="0" w:type="auto"/>
            <w:tcBorders>
              <w:top w:val="single" w:sz="2" w:space="0" w:color="E5E7EB"/>
              <w:left w:val="single" w:sz="2" w:space="0" w:color="E5E7EB"/>
              <w:bottom w:val="single" w:sz="2" w:space="0" w:color="E5E7EB"/>
              <w:right w:val="single" w:sz="2" w:space="0" w:color="E5E7EB"/>
            </w:tcBorders>
            <w:vAlign w:val="bottom"/>
            <w:hideMark/>
          </w:tcPr>
          <w:p w14:paraId="6560C88A"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Cash Ratio</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4CFA3478"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0.17</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35BBAD5F"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0.27</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7BF6DDD0"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0.31</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48A87FA1"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0.28</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03352220"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0.32</w:t>
            </w:r>
          </w:p>
        </w:tc>
      </w:tr>
      <w:tr w:rsidR="00BF4C6E" w:rsidRPr="009049EE" w14:paraId="798A0F59" w14:textId="77777777">
        <w:tc>
          <w:tcPr>
            <w:tcW w:w="0" w:type="auto"/>
            <w:tcBorders>
              <w:top w:val="single" w:sz="2" w:space="0" w:color="E5E7EB"/>
              <w:left w:val="single" w:sz="2" w:space="0" w:color="E5E7EB"/>
              <w:bottom w:val="single" w:sz="2" w:space="0" w:color="E5E7EB"/>
              <w:right w:val="single" w:sz="2" w:space="0" w:color="E5E7EB"/>
            </w:tcBorders>
            <w:vAlign w:val="bottom"/>
            <w:hideMark/>
          </w:tcPr>
          <w:p w14:paraId="287610D5"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EFFICIENCY</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54709238" w14:textId="77777777" w:rsidR="00BF4C6E" w:rsidRPr="009049EE" w:rsidRDefault="00BF4C6E" w:rsidP="009049EE">
            <w:pPr>
              <w:spacing w:line="360" w:lineRule="auto"/>
              <w:rPr>
                <w:rFonts w:ascii="Arial" w:hAnsi="Arial" w:cs="Arial"/>
                <w:sz w:val="24"/>
                <w:szCs w:val="24"/>
              </w:rPr>
            </w:pP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7DA65C2F" w14:textId="77777777" w:rsidR="00BF4C6E" w:rsidRPr="009049EE" w:rsidRDefault="00BF4C6E" w:rsidP="009049EE">
            <w:pPr>
              <w:spacing w:line="360" w:lineRule="auto"/>
              <w:rPr>
                <w:rFonts w:ascii="Arial" w:hAnsi="Arial" w:cs="Arial"/>
                <w:sz w:val="24"/>
                <w:szCs w:val="24"/>
              </w:rPr>
            </w:pP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722B8237" w14:textId="77777777" w:rsidR="00BF4C6E" w:rsidRPr="009049EE" w:rsidRDefault="00BF4C6E" w:rsidP="009049EE">
            <w:pPr>
              <w:spacing w:line="360" w:lineRule="auto"/>
              <w:rPr>
                <w:rFonts w:ascii="Arial" w:hAnsi="Arial" w:cs="Arial"/>
                <w:sz w:val="24"/>
                <w:szCs w:val="24"/>
              </w:rPr>
            </w:pP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0A2F5DA9" w14:textId="77777777" w:rsidR="00BF4C6E" w:rsidRPr="009049EE" w:rsidRDefault="00BF4C6E" w:rsidP="009049EE">
            <w:pPr>
              <w:spacing w:line="360" w:lineRule="auto"/>
              <w:rPr>
                <w:rFonts w:ascii="Arial" w:hAnsi="Arial" w:cs="Arial"/>
                <w:sz w:val="24"/>
                <w:szCs w:val="24"/>
              </w:rPr>
            </w:pP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5628E29A" w14:textId="77777777" w:rsidR="00BF4C6E" w:rsidRPr="009049EE" w:rsidRDefault="00BF4C6E" w:rsidP="009049EE">
            <w:pPr>
              <w:spacing w:line="360" w:lineRule="auto"/>
              <w:rPr>
                <w:rFonts w:ascii="Arial" w:hAnsi="Arial" w:cs="Arial"/>
                <w:sz w:val="24"/>
                <w:szCs w:val="24"/>
              </w:rPr>
            </w:pPr>
          </w:p>
        </w:tc>
      </w:tr>
      <w:tr w:rsidR="00BF4C6E" w:rsidRPr="009049EE" w14:paraId="65BF5408" w14:textId="77777777">
        <w:tc>
          <w:tcPr>
            <w:tcW w:w="0" w:type="auto"/>
            <w:tcBorders>
              <w:top w:val="single" w:sz="2" w:space="0" w:color="E5E7EB"/>
              <w:left w:val="single" w:sz="2" w:space="0" w:color="E5E7EB"/>
              <w:bottom w:val="single" w:sz="2" w:space="0" w:color="E5E7EB"/>
              <w:right w:val="single" w:sz="2" w:space="0" w:color="E5E7EB"/>
            </w:tcBorders>
            <w:vAlign w:val="bottom"/>
            <w:hideMark/>
          </w:tcPr>
          <w:p w14:paraId="407BCEA1"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Inventory Turnover (times)</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68B2D5B8"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3.54</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2FBDEEE1"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3.66</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2481EAF5"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2.79</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271F7BD7"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3.19</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7DDEC1D7"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3.64</w:t>
            </w:r>
          </w:p>
        </w:tc>
      </w:tr>
      <w:tr w:rsidR="00BF4C6E" w:rsidRPr="009049EE" w14:paraId="7065F4E4" w14:textId="77777777">
        <w:tc>
          <w:tcPr>
            <w:tcW w:w="0" w:type="auto"/>
            <w:tcBorders>
              <w:top w:val="single" w:sz="2" w:space="0" w:color="E5E7EB"/>
              <w:left w:val="single" w:sz="2" w:space="0" w:color="E5E7EB"/>
              <w:bottom w:val="single" w:sz="2" w:space="0" w:color="E5E7EB"/>
              <w:right w:val="single" w:sz="2" w:space="0" w:color="E5E7EB"/>
            </w:tcBorders>
            <w:vAlign w:val="bottom"/>
            <w:hideMark/>
          </w:tcPr>
          <w:p w14:paraId="7807ABB7"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Days Inventory Outstanding</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59539280"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103</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76281EA0"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100</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7C2BD011"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131</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37DA0467"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115</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41E7B05F"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100</w:t>
            </w:r>
          </w:p>
        </w:tc>
      </w:tr>
      <w:tr w:rsidR="00BF4C6E" w:rsidRPr="009049EE" w14:paraId="1C66589D" w14:textId="77777777">
        <w:tc>
          <w:tcPr>
            <w:tcW w:w="0" w:type="auto"/>
            <w:tcBorders>
              <w:top w:val="single" w:sz="2" w:space="0" w:color="E5E7EB"/>
              <w:left w:val="single" w:sz="2" w:space="0" w:color="E5E7EB"/>
              <w:bottom w:val="single" w:sz="2" w:space="0" w:color="E5E7EB"/>
              <w:right w:val="single" w:sz="2" w:space="0" w:color="E5E7EB"/>
            </w:tcBorders>
            <w:vAlign w:val="bottom"/>
            <w:hideMark/>
          </w:tcPr>
          <w:p w14:paraId="1270BA81"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Receivables Turnover (times)</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09AF9B18"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3.46</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30DD8BFC"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3.74</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3E501917"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4.83</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21DF5954"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4.66</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1072BA6B"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4.75</w:t>
            </w:r>
          </w:p>
        </w:tc>
      </w:tr>
      <w:tr w:rsidR="00BF4C6E" w:rsidRPr="009049EE" w14:paraId="59659C2C" w14:textId="77777777">
        <w:tc>
          <w:tcPr>
            <w:tcW w:w="0" w:type="auto"/>
            <w:tcBorders>
              <w:top w:val="single" w:sz="2" w:space="0" w:color="E5E7EB"/>
              <w:left w:val="single" w:sz="2" w:space="0" w:color="E5E7EB"/>
              <w:bottom w:val="single" w:sz="2" w:space="0" w:color="E5E7EB"/>
              <w:right w:val="single" w:sz="2" w:space="0" w:color="E5E7EB"/>
            </w:tcBorders>
            <w:vAlign w:val="bottom"/>
            <w:hideMark/>
          </w:tcPr>
          <w:p w14:paraId="1D624C4A"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Days Sales Outstanding</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5F1570C6"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106</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5494371E"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98</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551355E9"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76</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61D3A794"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78</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0FD0D41A"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77</w:t>
            </w:r>
          </w:p>
        </w:tc>
      </w:tr>
      <w:tr w:rsidR="00BF4C6E" w:rsidRPr="009049EE" w14:paraId="64B47FAE" w14:textId="77777777">
        <w:tc>
          <w:tcPr>
            <w:tcW w:w="0" w:type="auto"/>
            <w:tcBorders>
              <w:top w:val="single" w:sz="2" w:space="0" w:color="E5E7EB"/>
              <w:left w:val="single" w:sz="2" w:space="0" w:color="E5E7EB"/>
              <w:bottom w:val="single" w:sz="2" w:space="0" w:color="E5E7EB"/>
              <w:right w:val="single" w:sz="2" w:space="0" w:color="E5E7EB"/>
            </w:tcBorders>
            <w:vAlign w:val="bottom"/>
            <w:hideMark/>
          </w:tcPr>
          <w:p w14:paraId="2A251CB3"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Payables Turnover (times)</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6CCADB43"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3.90</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3D4A8A2F"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5.66</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6FA3F5D4"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5.47</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001AAE2C"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4.62</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1A986DAF"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5.27</w:t>
            </w:r>
          </w:p>
        </w:tc>
      </w:tr>
      <w:tr w:rsidR="00BF4C6E" w:rsidRPr="009049EE" w14:paraId="0AEE1ABA" w14:textId="77777777">
        <w:tc>
          <w:tcPr>
            <w:tcW w:w="0" w:type="auto"/>
            <w:tcBorders>
              <w:top w:val="single" w:sz="2" w:space="0" w:color="E5E7EB"/>
              <w:left w:val="single" w:sz="2" w:space="0" w:color="E5E7EB"/>
              <w:bottom w:val="single" w:sz="2" w:space="0" w:color="E5E7EB"/>
              <w:right w:val="single" w:sz="2" w:space="0" w:color="E5E7EB"/>
            </w:tcBorders>
            <w:vAlign w:val="bottom"/>
            <w:hideMark/>
          </w:tcPr>
          <w:p w14:paraId="7B932BC0"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Days Payable Outstanding</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58026C98"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94</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700CE932"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65</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3A5B052C"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67</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50E232F0"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79</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10C905BF"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69</w:t>
            </w:r>
          </w:p>
        </w:tc>
      </w:tr>
      <w:tr w:rsidR="00BF4C6E" w:rsidRPr="009049EE" w14:paraId="2DBF9411" w14:textId="77777777">
        <w:tc>
          <w:tcPr>
            <w:tcW w:w="0" w:type="auto"/>
            <w:tcBorders>
              <w:top w:val="single" w:sz="2" w:space="0" w:color="E5E7EB"/>
              <w:left w:val="single" w:sz="2" w:space="0" w:color="E5E7EB"/>
              <w:bottom w:val="single" w:sz="2" w:space="0" w:color="E5E7EB"/>
              <w:right w:val="single" w:sz="2" w:space="0" w:color="E5E7EB"/>
            </w:tcBorders>
            <w:vAlign w:val="bottom"/>
            <w:hideMark/>
          </w:tcPr>
          <w:p w14:paraId="6B83F6BB"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Cash Operating Cycle (days)</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409D67BC"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115</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71A15E40"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133</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56A9BDFA"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140</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48E9FC0F"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114</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537795ED"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108</w:t>
            </w:r>
          </w:p>
        </w:tc>
      </w:tr>
      <w:tr w:rsidR="00BF4C6E" w:rsidRPr="009049EE" w14:paraId="322B6CAE" w14:textId="77777777">
        <w:tc>
          <w:tcPr>
            <w:tcW w:w="0" w:type="auto"/>
            <w:tcBorders>
              <w:top w:val="single" w:sz="2" w:space="0" w:color="E5E7EB"/>
              <w:left w:val="single" w:sz="2" w:space="0" w:color="E5E7EB"/>
              <w:bottom w:val="single" w:sz="2" w:space="0" w:color="E5E7EB"/>
              <w:right w:val="single" w:sz="2" w:space="0" w:color="E5E7EB"/>
            </w:tcBorders>
            <w:vAlign w:val="bottom"/>
            <w:hideMark/>
          </w:tcPr>
          <w:p w14:paraId="29A02A64"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Asset Turnover (times)</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00870C7C"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1.22</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57F68F77"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1.18</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28EABEB2"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1.08</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50A27846"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1.18</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03ECE575"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1.20</w:t>
            </w:r>
          </w:p>
        </w:tc>
      </w:tr>
      <w:tr w:rsidR="00BF4C6E" w:rsidRPr="009049EE" w14:paraId="6262DF4D" w14:textId="77777777">
        <w:tc>
          <w:tcPr>
            <w:tcW w:w="0" w:type="auto"/>
            <w:tcBorders>
              <w:top w:val="single" w:sz="2" w:space="0" w:color="E5E7EB"/>
              <w:left w:val="single" w:sz="2" w:space="0" w:color="E5E7EB"/>
              <w:bottom w:val="single" w:sz="2" w:space="0" w:color="E5E7EB"/>
              <w:right w:val="single" w:sz="2" w:space="0" w:color="E5E7EB"/>
            </w:tcBorders>
            <w:vAlign w:val="bottom"/>
            <w:hideMark/>
          </w:tcPr>
          <w:p w14:paraId="46F52B5F"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GEARING</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468DC563" w14:textId="77777777" w:rsidR="00BF4C6E" w:rsidRPr="009049EE" w:rsidRDefault="00BF4C6E" w:rsidP="009049EE">
            <w:pPr>
              <w:spacing w:line="360" w:lineRule="auto"/>
              <w:rPr>
                <w:rFonts w:ascii="Arial" w:hAnsi="Arial" w:cs="Arial"/>
                <w:sz w:val="24"/>
                <w:szCs w:val="24"/>
              </w:rPr>
            </w:pP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47DA33B1" w14:textId="77777777" w:rsidR="00BF4C6E" w:rsidRPr="009049EE" w:rsidRDefault="00BF4C6E" w:rsidP="009049EE">
            <w:pPr>
              <w:spacing w:line="360" w:lineRule="auto"/>
              <w:rPr>
                <w:rFonts w:ascii="Arial" w:hAnsi="Arial" w:cs="Arial"/>
                <w:sz w:val="24"/>
                <w:szCs w:val="24"/>
              </w:rPr>
            </w:pP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18FDE724" w14:textId="77777777" w:rsidR="00BF4C6E" w:rsidRPr="009049EE" w:rsidRDefault="00BF4C6E" w:rsidP="009049EE">
            <w:pPr>
              <w:spacing w:line="360" w:lineRule="auto"/>
              <w:rPr>
                <w:rFonts w:ascii="Arial" w:hAnsi="Arial" w:cs="Arial"/>
                <w:sz w:val="24"/>
                <w:szCs w:val="24"/>
              </w:rPr>
            </w:pP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5F9921C0" w14:textId="77777777" w:rsidR="00BF4C6E" w:rsidRPr="009049EE" w:rsidRDefault="00BF4C6E" w:rsidP="009049EE">
            <w:pPr>
              <w:spacing w:line="360" w:lineRule="auto"/>
              <w:rPr>
                <w:rFonts w:ascii="Arial" w:hAnsi="Arial" w:cs="Arial"/>
                <w:sz w:val="24"/>
                <w:szCs w:val="24"/>
              </w:rPr>
            </w:pP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10B09C25" w14:textId="77777777" w:rsidR="00BF4C6E" w:rsidRPr="009049EE" w:rsidRDefault="00BF4C6E" w:rsidP="009049EE">
            <w:pPr>
              <w:spacing w:line="360" w:lineRule="auto"/>
              <w:rPr>
                <w:rFonts w:ascii="Arial" w:hAnsi="Arial" w:cs="Arial"/>
                <w:sz w:val="24"/>
                <w:szCs w:val="24"/>
              </w:rPr>
            </w:pPr>
          </w:p>
        </w:tc>
      </w:tr>
      <w:tr w:rsidR="00BF4C6E" w:rsidRPr="009049EE" w14:paraId="188E449B" w14:textId="77777777">
        <w:tc>
          <w:tcPr>
            <w:tcW w:w="0" w:type="auto"/>
            <w:tcBorders>
              <w:top w:val="single" w:sz="2" w:space="0" w:color="E5E7EB"/>
              <w:left w:val="single" w:sz="2" w:space="0" w:color="E5E7EB"/>
              <w:bottom w:val="single" w:sz="2" w:space="0" w:color="E5E7EB"/>
              <w:right w:val="single" w:sz="2" w:space="0" w:color="E5E7EB"/>
            </w:tcBorders>
            <w:vAlign w:val="bottom"/>
            <w:hideMark/>
          </w:tcPr>
          <w:p w14:paraId="061D7F18"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Debt-to-Equity</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34A16155"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0.24</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2E1FDAC3"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0.31</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17183F5D"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0.33</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18438211"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0.20</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70E19140"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0.06</w:t>
            </w:r>
          </w:p>
        </w:tc>
      </w:tr>
      <w:tr w:rsidR="00BF4C6E" w:rsidRPr="009049EE" w14:paraId="23EFB0ED" w14:textId="77777777">
        <w:tc>
          <w:tcPr>
            <w:tcW w:w="0" w:type="auto"/>
            <w:tcBorders>
              <w:top w:val="single" w:sz="2" w:space="0" w:color="E5E7EB"/>
              <w:left w:val="single" w:sz="2" w:space="0" w:color="E5E7EB"/>
              <w:bottom w:val="single" w:sz="2" w:space="0" w:color="E5E7EB"/>
              <w:right w:val="single" w:sz="2" w:space="0" w:color="E5E7EB"/>
            </w:tcBorders>
            <w:vAlign w:val="bottom"/>
            <w:hideMark/>
          </w:tcPr>
          <w:p w14:paraId="24EAA7A1"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Total Liabilities to Equity</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592DA39A"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1.11</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46EA3C29"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0.99</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2312DC58"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0.88</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259BE194"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0.85</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6829BAC9"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0.63</w:t>
            </w:r>
          </w:p>
        </w:tc>
      </w:tr>
      <w:tr w:rsidR="00BF4C6E" w:rsidRPr="009049EE" w14:paraId="43D2046E" w14:textId="77777777">
        <w:tc>
          <w:tcPr>
            <w:tcW w:w="0" w:type="auto"/>
            <w:tcBorders>
              <w:top w:val="single" w:sz="2" w:space="0" w:color="E5E7EB"/>
              <w:left w:val="single" w:sz="2" w:space="0" w:color="E5E7EB"/>
              <w:bottom w:val="single" w:sz="2" w:space="0" w:color="E5E7EB"/>
              <w:right w:val="single" w:sz="2" w:space="0" w:color="E5E7EB"/>
            </w:tcBorders>
            <w:vAlign w:val="bottom"/>
            <w:hideMark/>
          </w:tcPr>
          <w:p w14:paraId="3D6329E6"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Interest Coverage (times)</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204B2011"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-4.55</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7D19F8E6"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-19.69</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686E8FC1"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6.61</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748DD738"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41.08</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00868612"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26.21</w:t>
            </w:r>
          </w:p>
        </w:tc>
      </w:tr>
      <w:tr w:rsidR="00BF4C6E" w:rsidRPr="009049EE" w14:paraId="39FF1906" w14:textId="77777777">
        <w:tc>
          <w:tcPr>
            <w:tcW w:w="0" w:type="auto"/>
            <w:tcBorders>
              <w:top w:val="single" w:sz="2" w:space="0" w:color="E5E7EB"/>
              <w:left w:val="single" w:sz="2" w:space="0" w:color="E5E7EB"/>
              <w:bottom w:val="single" w:sz="2" w:space="0" w:color="E5E7EB"/>
              <w:right w:val="single" w:sz="2" w:space="0" w:color="E5E7EB"/>
            </w:tcBorders>
            <w:vAlign w:val="bottom"/>
            <w:hideMark/>
          </w:tcPr>
          <w:p w14:paraId="6B00CA06"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INVESTMENT</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18533A39" w14:textId="77777777" w:rsidR="00BF4C6E" w:rsidRPr="009049EE" w:rsidRDefault="00BF4C6E" w:rsidP="009049EE">
            <w:pPr>
              <w:spacing w:line="360" w:lineRule="auto"/>
              <w:rPr>
                <w:rFonts w:ascii="Arial" w:hAnsi="Arial" w:cs="Arial"/>
                <w:sz w:val="24"/>
                <w:szCs w:val="24"/>
              </w:rPr>
            </w:pP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4BED61DE" w14:textId="77777777" w:rsidR="00BF4C6E" w:rsidRPr="009049EE" w:rsidRDefault="00BF4C6E" w:rsidP="009049EE">
            <w:pPr>
              <w:spacing w:line="360" w:lineRule="auto"/>
              <w:rPr>
                <w:rFonts w:ascii="Arial" w:hAnsi="Arial" w:cs="Arial"/>
                <w:sz w:val="24"/>
                <w:szCs w:val="24"/>
              </w:rPr>
            </w:pP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6CD04E39" w14:textId="77777777" w:rsidR="00BF4C6E" w:rsidRPr="009049EE" w:rsidRDefault="00BF4C6E" w:rsidP="009049EE">
            <w:pPr>
              <w:spacing w:line="360" w:lineRule="auto"/>
              <w:rPr>
                <w:rFonts w:ascii="Arial" w:hAnsi="Arial" w:cs="Arial"/>
                <w:sz w:val="24"/>
                <w:szCs w:val="24"/>
              </w:rPr>
            </w:pP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0E55D2FA" w14:textId="77777777" w:rsidR="00BF4C6E" w:rsidRPr="009049EE" w:rsidRDefault="00BF4C6E" w:rsidP="009049EE">
            <w:pPr>
              <w:spacing w:line="360" w:lineRule="auto"/>
              <w:rPr>
                <w:rFonts w:ascii="Arial" w:hAnsi="Arial" w:cs="Arial"/>
                <w:sz w:val="24"/>
                <w:szCs w:val="24"/>
              </w:rPr>
            </w:pP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0D8B7473" w14:textId="77777777" w:rsidR="00BF4C6E" w:rsidRPr="009049EE" w:rsidRDefault="00BF4C6E" w:rsidP="009049EE">
            <w:pPr>
              <w:spacing w:line="360" w:lineRule="auto"/>
              <w:rPr>
                <w:rFonts w:ascii="Arial" w:hAnsi="Arial" w:cs="Arial"/>
                <w:sz w:val="24"/>
                <w:szCs w:val="24"/>
              </w:rPr>
            </w:pPr>
          </w:p>
        </w:tc>
      </w:tr>
      <w:tr w:rsidR="00BF4C6E" w:rsidRPr="009049EE" w14:paraId="73512404" w14:textId="77777777">
        <w:tc>
          <w:tcPr>
            <w:tcW w:w="0" w:type="auto"/>
            <w:tcBorders>
              <w:top w:val="single" w:sz="2" w:space="0" w:color="E5E7EB"/>
              <w:left w:val="single" w:sz="2" w:space="0" w:color="E5E7EB"/>
              <w:bottom w:val="single" w:sz="2" w:space="0" w:color="E5E7EB"/>
              <w:right w:val="single" w:sz="2" w:space="0" w:color="E5E7EB"/>
            </w:tcBorders>
            <w:vAlign w:val="bottom"/>
            <w:hideMark/>
          </w:tcPr>
          <w:p w14:paraId="0A6FCC55"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Earnings Per Share (£)</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7DFE817D"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-1.85</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27BA837C"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-7.64</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3952F541"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0.03</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3E9783D9"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0.39</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55A9EF60"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2.78</w:t>
            </w:r>
          </w:p>
        </w:tc>
      </w:tr>
      <w:tr w:rsidR="00BF4C6E" w:rsidRPr="009049EE" w14:paraId="2A34AB87" w14:textId="77777777">
        <w:tc>
          <w:tcPr>
            <w:tcW w:w="0" w:type="auto"/>
            <w:tcBorders>
              <w:top w:val="single" w:sz="2" w:space="0" w:color="E5E7EB"/>
              <w:left w:val="single" w:sz="2" w:space="0" w:color="E5E7EB"/>
              <w:bottom w:val="single" w:sz="2" w:space="0" w:color="E5E7EB"/>
              <w:right w:val="single" w:sz="2" w:space="0" w:color="E5E7EB"/>
            </w:tcBorders>
            <w:vAlign w:val="bottom"/>
            <w:hideMark/>
          </w:tcPr>
          <w:p w14:paraId="0ADFAE1C"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CASH FLOW</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42271701" w14:textId="77777777" w:rsidR="00BF4C6E" w:rsidRPr="009049EE" w:rsidRDefault="00BF4C6E" w:rsidP="009049EE">
            <w:pPr>
              <w:spacing w:line="360" w:lineRule="auto"/>
              <w:rPr>
                <w:rFonts w:ascii="Arial" w:hAnsi="Arial" w:cs="Arial"/>
                <w:sz w:val="24"/>
                <w:szCs w:val="24"/>
              </w:rPr>
            </w:pP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70AA48FE" w14:textId="77777777" w:rsidR="00BF4C6E" w:rsidRPr="009049EE" w:rsidRDefault="00BF4C6E" w:rsidP="009049EE">
            <w:pPr>
              <w:spacing w:line="360" w:lineRule="auto"/>
              <w:rPr>
                <w:rFonts w:ascii="Arial" w:hAnsi="Arial" w:cs="Arial"/>
                <w:sz w:val="24"/>
                <w:szCs w:val="24"/>
              </w:rPr>
            </w:pP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4FBF2AFD" w14:textId="77777777" w:rsidR="00BF4C6E" w:rsidRPr="009049EE" w:rsidRDefault="00BF4C6E" w:rsidP="009049EE">
            <w:pPr>
              <w:spacing w:line="360" w:lineRule="auto"/>
              <w:rPr>
                <w:rFonts w:ascii="Arial" w:hAnsi="Arial" w:cs="Arial"/>
                <w:sz w:val="24"/>
                <w:szCs w:val="24"/>
              </w:rPr>
            </w:pP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73E10958" w14:textId="77777777" w:rsidR="00BF4C6E" w:rsidRPr="009049EE" w:rsidRDefault="00BF4C6E" w:rsidP="009049EE">
            <w:pPr>
              <w:spacing w:line="360" w:lineRule="auto"/>
              <w:rPr>
                <w:rFonts w:ascii="Arial" w:hAnsi="Arial" w:cs="Arial"/>
                <w:sz w:val="24"/>
                <w:szCs w:val="24"/>
              </w:rPr>
            </w:pP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1B306237" w14:textId="77777777" w:rsidR="00BF4C6E" w:rsidRPr="009049EE" w:rsidRDefault="00BF4C6E" w:rsidP="009049EE">
            <w:pPr>
              <w:spacing w:line="360" w:lineRule="auto"/>
              <w:rPr>
                <w:rFonts w:ascii="Arial" w:hAnsi="Arial" w:cs="Arial"/>
                <w:sz w:val="24"/>
                <w:szCs w:val="24"/>
              </w:rPr>
            </w:pPr>
          </w:p>
        </w:tc>
      </w:tr>
      <w:tr w:rsidR="00BF4C6E" w:rsidRPr="009049EE" w14:paraId="7D0393D4" w14:textId="77777777">
        <w:tc>
          <w:tcPr>
            <w:tcW w:w="0" w:type="auto"/>
            <w:tcBorders>
              <w:top w:val="single" w:sz="2" w:space="0" w:color="E5E7EB"/>
              <w:left w:val="single" w:sz="2" w:space="0" w:color="E5E7EB"/>
              <w:bottom w:val="single" w:sz="2" w:space="0" w:color="E5E7EB"/>
              <w:right w:val="single" w:sz="2" w:space="0" w:color="E5E7EB"/>
            </w:tcBorders>
            <w:vAlign w:val="bottom"/>
            <w:hideMark/>
          </w:tcPr>
          <w:p w14:paraId="41A521D3"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Operating Cash Flow (£m)</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770F75F0"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14,822</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272C73AC"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25,190</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6F5E4E25"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10,926</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0FE8D848"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40,283</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72BDF8ED"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73,392</w:t>
            </w:r>
          </w:p>
        </w:tc>
      </w:tr>
      <w:tr w:rsidR="00BF4C6E" w:rsidRPr="009049EE" w14:paraId="3EE29B85" w14:textId="77777777">
        <w:tc>
          <w:tcPr>
            <w:tcW w:w="0" w:type="auto"/>
            <w:tcBorders>
              <w:top w:val="single" w:sz="2" w:space="0" w:color="E5E7EB"/>
              <w:left w:val="single" w:sz="2" w:space="0" w:color="E5E7EB"/>
              <w:bottom w:val="single" w:sz="2" w:space="0" w:color="E5E7EB"/>
              <w:right w:val="single" w:sz="2" w:space="0" w:color="E5E7EB"/>
            </w:tcBorders>
            <w:vAlign w:val="bottom"/>
            <w:hideMark/>
          </w:tcPr>
          <w:p w14:paraId="0D4B3669"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Free Cash Flow (£m)</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19732081"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6,394</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70B2BDD7"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11,313</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1429DE2A"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-9,659</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253CAAE1"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23,242</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2374475E"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50,158</w:t>
            </w:r>
          </w:p>
        </w:tc>
      </w:tr>
    </w:tbl>
    <w:p w14:paraId="167503E7" w14:textId="04B1EE3A" w:rsidR="00BF4C6E" w:rsidRPr="009049EE" w:rsidRDefault="00BF4C6E" w:rsidP="009049EE">
      <w:pPr>
        <w:spacing w:line="360" w:lineRule="auto"/>
        <w:rPr>
          <w:rFonts w:ascii="Arial" w:hAnsi="Arial" w:cs="Arial"/>
          <w:b/>
          <w:bCs/>
          <w:sz w:val="24"/>
          <w:szCs w:val="24"/>
        </w:rPr>
      </w:pPr>
    </w:p>
    <w:p w14:paraId="22236C71" w14:textId="77777777" w:rsidR="00BF4C6E" w:rsidRPr="009049EE" w:rsidRDefault="00BF4C6E" w:rsidP="009049EE">
      <w:pPr>
        <w:spacing w:line="360" w:lineRule="auto"/>
        <w:rPr>
          <w:rFonts w:ascii="Arial" w:hAnsi="Arial" w:cs="Arial"/>
          <w:b/>
          <w:bCs/>
          <w:sz w:val="24"/>
          <w:szCs w:val="24"/>
        </w:rPr>
      </w:pPr>
      <w:r w:rsidRPr="009049EE">
        <w:rPr>
          <w:rFonts w:ascii="Arial" w:hAnsi="Arial" w:cs="Arial"/>
          <w:b/>
          <w:bCs/>
          <w:sz w:val="24"/>
          <w:szCs w:val="24"/>
        </w:rPr>
        <w:t>Appendix 2: Investment Appraisal Calculations</w:t>
      </w:r>
    </w:p>
    <w:p w14:paraId="4403F561" w14:textId="77777777" w:rsidR="00BF4C6E" w:rsidRPr="009049EE" w:rsidRDefault="00BF4C6E" w:rsidP="009049EE">
      <w:pPr>
        <w:spacing w:line="360" w:lineRule="auto"/>
        <w:rPr>
          <w:rFonts w:ascii="Arial" w:hAnsi="Arial" w:cs="Arial"/>
          <w:b/>
          <w:bCs/>
          <w:sz w:val="24"/>
          <w:szCs w:val="24"/>
        </w:rPr>
      </w:pPr>
      <w:r w:rsidRPr="009049EE">
        <w:rPr>
          <w:rFonts w:ascii="Arial" w:hAnsi="Arial" w:cs="Arial"/>
          <w:b/>
          <w:bCs/>
          <w:sz w:val="24"/>
          <w:szCs w:val="24"/>
        </w:rPr>
        <w:t>PROJECT A - Detailed Calculations</w:t>
      </w:r>
    </w:p>
    <w:tbl>
      <w:tblPr>
        <w:tblW w:w="9360"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741"/>
        <w:gridCol w:w="2381"/>
        <w:gridCol w:w="3340"/>
        <w:gridCol w:w="2898"/>
      </w:tblGrid>
      <w:tr w:rsidR="00BF4C6E" w:rsidRPr="009049EE" w14:paraId="74F3D272" w14:textId="77777777">
        <w:trPr>
          <w:tblHeader/>
        </w:trPr>
        <w:tc>
          <w:tcPr>
            <w:tcW w:w="0" w:type="auto"/>
            <w:tcBorders>
              <w:top w:val="single" w:sz="2" w:space="0" w:color="E5E7EB"/>
              <w:left w:val="single" w:sz="2" w:space="0" w:color="E5E7EB"/>
              <w:bottom w:val="single" w:sz="2" w:space="0" w:color="E5E7EB"/>
              <w:right w:val="single" w:sz="2" w:space="0" w:color="E5E7EB"/>
            </w:tcBorders>
            <w:noWrap/>
            <w:vAlign w:val="bottom"/>
            <w:hideMark/>
          </w:tcPr>
          <w:p w14:paraId="66E96B45"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Year</w:t>
            </w:r>
          </w:p>
        </w:tc>
        <w:tc>
          <w:tcPr>
            <w:tcW w:w="0" w:type="auto"/>
            <w:tcBorders>
              <w:top w:val="single" w:sz="2" w:space="0" w:color="E5E7EB"/>
              <w:left w:val="single" w:sz="2" w:space="0" w:color="E5E7EB"/>
              <w:bottom w:val="single" w:sz="2" w:space="0" w:color="E5E7EB"/>
              <w:right w:val="single" w:sz="2" w:space="0" w:color="E5E7EB"/>
            </w:tcBorders>
            <w:noWrap/>
            <w:vAlign w:val="bottom"/>
            <w:hideMark/>
          </w:tcPr>
          <w:p w14:paraId="23C51886"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Cash Flow (£m)</w:t>
            </w:r>
          </w:p>
        </w:tc>
        <w:tc>
          <w:tcPr>
            <w:tcW w:w="0" w:type="auto"/>
            <w:tcBorders>
              <w:top w:val="single" w:sz="2" w:space="0" w:color="E5E7EB"/>
              <w:left w:val="single" w:sz="2" w:space="0" w:color="E5E7EB"/>
              <w:bottom w:val="single" w:sz="2" w:space="0" w:color="E5E7EB"/>
              <w:right w:val="single" w:sz="2" w:space="0" w:color="E5E7EB"/>
            </w:tcBorders>
            <w:noWrap/>
            <w:vAlign w:val="bottom"/>
            <w:hideMark/>
          </w:tcPr>
          <w:p w14:paraId="5B4A9A14"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Discount Factor (10%)</w:t>
            </w:r>
          </w:p>
        </w:tc>
        <w:tc>
          <w:tcPr>
            <w:tcW w:w="0" w:type="auto"/>
            <w:tcBorders>
              <w:top w:val="single" w:sz="2" w:space="0" w:color="E5E7EB"/>
              <w:left w:val="single" w:sz="2" w:space="0" w:color="E5E7EB"/>
              <w:bottom w:val="single" w:sz="2" w:space="0" w:color="E5E7EB"/>
              <w:right w:val="single" w:sz="2" w:space="0" w:color="E5E7EB"/>
            </w:tcBorders>
            <w:noWrap/>
            <w:vAlign w:val="bottom"/>
            <w:hideMark/>
          </w:tcPr>
          <w:p w14:paraId="5805E375"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Present Value (£m)</w:t>
            </w:r>
          </w:p>
        </w:tc>
      </w:tr>
      <w:tr w:rsidR="00BF4C6E" w:rsidRPr="009049EE" w14:paraId="4A67203A" w14:textId="77777777">
        <w:tc>
          <w:tcPr>
            <w:tcW w:w="0" w:type="auto"/>
            <w:tcBorders>
              <w:top w:val="single" w:sz="2" w:space="0" w:color="E5E7EB"/>
              <w:left w:val="single" w:sz="2" w:space="0" w:color="E5E7EB"/>
              <w:bottom w:val="single" w:sz="2" w:space="0" w:color="E5E7EB"/>
              <w:right w:val="single" w:sz="2" w:space="0" w:color="E5E7EB"/>
            </w:tcBorders>
            <w:vAlign w:val="bottom"/>
            <w:hideMark/>
          </w:tcPr>
          <w:p w14:paraId="48DD628A"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0</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701A1D2C"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-40.00</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34DE2768"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1.000</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499A9586"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-40.00</w:t>
            </w:r>
          </w:p>
        </w:tc>
      </w:tr>
      <w:tr w:rsidR="00BF4C6E" w:rsidRPr="009049EE" w14:paraId="50A54745" w14:textId="77777777">
        <w:tc>
          <w:tcPr>
            <w:tcW w:w="0" w:type="auto"/>
            <w:tcBorders>
              <w:top w:val="single" w:sz="2" w:space="0" w:color="E5E7EB"/>
              <w:left w:val="single" w:sz="2" w:space="0" w:color="E5E7EB"/>
              <w:bottom w:val="single" w:sz="2" w:space="0" w:color="E5E7EB"/>
              <w:right w:val="single" w:sz="2" w:space="0" w:color="E5E7EB"/>
            </w:tcBorders>
            <w:vAlign w:val="bottom"/>
            <w:hideMark/>
          </w:tcPr>
          <w:p w14:paraId="714C3625"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1</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13C62AEC"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10.00</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34694E6A"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0.909</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46F21891"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9.09</w:t>
            </w:r>
          </w:p>
        </w:tc>
      </w:tr>
      <w:tr w:rsidR="00BF4C6E" w:rsidRPr="009049EE" w14:paraId="129CD9A7" w14:textId="77777777">
        <w:tc>
          <w:tcPr>
            <w:tcW w:w="0" w:type="auto"/>
            <w:tcBorders>
              <w:top w:val="single" w:sz="2" w:space="0" w:color="E5E7EB"/>
              <w:left w:val="single" w:sz="2" w:space="0" w:color="E5E7EB"/>
              <w:bottom w:val="single" w:sz="2" w:space="0" w:color="E5E7EB"/>
              <w:right w:val="single" w:sz="2" w:space="0" w:color="E5E7EB"/>
            </w:tcBorders>
            <w:vAlign w:val="bottom"/>
            <w:hideMark/>
          </w:tcPr>
          <w:p w14:paraId="6FABFEAD"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2</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3456202B"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12.00</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671CEC0F"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0.826</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5B98DE81"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9.92</w:t>
            </w:r>
          </w:p>
        </w:tc>
      </w:tr>
      <w:tr w:rsidR="00BF4C6E" w:rsidRPr="009049EE" w14:paraId="35764F79" w14:textId="77777777">
        <w:tc>
          <w:tcPr>
            <w:tcW w:w="0" w:type="auto"/>
            <w:tcBorders>
              <w:top w:val="single" w:sz="2" w:space="0" w:color="E5E7EB"/>
              <w:left w:val="single" w:sz="2" w:space="0" w:color="E5E7EB"/>
              <w:bottom w:val="single" w:sz="2" w:space="0" w:color="E5E7EB"/>
              <w:right w:val="single" w:sz="2" w:space="0" w:color="E5E7EB"/>
            </w:tcBorders>
            <w:vAlign w:val="bottom"/>
            <w:hideMark/>
          </w:tcPr>
          <w:p w14:paraId="26568687"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3</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6073BEFC"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14.00</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5372B07F"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0.751</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71E9E800"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10.52</w:t>
            </w:r>
          </w:p>
        </w:tc>
      </w:tr>
      <w:tr w:rsidR="00BF4C6E" w:rsidRPr="009049EE" w14:paraId="6EFA5711" w14:textId="77777777">
        <w:tc>
          <w:tcPr>
            <w:tcW w:w="0" w:type="auto"/>
            <w:tcBorders>
              <w:top w:val="single" w:sz="2" w:space="0" w:color="E5E7EB"/>
              <w:left w:val="single" w:sz="2" w:space="0" w:color="E5E7EB"/>
              <w:bottom w:val="single" w:sz="2" w:space="0" w:color="E5E7EB"/>
              <w:right w:val="single" w:sz="2" w:space="0" w:color="E5E7EB"/>
            </w:tcBorders>
            <w:vAlign w:val="bottom"/>
            <w:hideMark/>
          </w:tcPr>
          <w:p w14:paraId="16D39805"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4</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4E7BC119"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10.00</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7CABA848"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0.683</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6063C7F1"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6.83</w:t>
            </w:r>
          </w:p>
        </w:tc>
      </w:tr>
      <w:tr w:rsidR="00BF4C6E" w:rsidRPr="009049EE" w14:paraId="7C9D9E3D" w14:textId="77777777">
        <w:tc>
          <w:tcPr>
            <w:tcW w:w="0" w:type="auto"/>
            <w:tcBorders>
              <w:top w:val="single" w:sz="2" w:space="0" w:color="E5E7EB"/>
              <w:left w:val="single" w:sz="2" w:space="0" w:color="E5E7EB"/>
              <w:bottom w:val="single" w:sz="2" w:space="0" w:color="E5E7EB"/>
              <w:right w:val="single" w:sz="2" w:space="0" w:color="E5E7EB"/>
            </w:tcBorders>
            <w:vAlign w:val="bottom"/>
            <w:hideMark/>
          </w:tcPr>
          <w:p w14:paraId="14EB244F"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5</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1BDCAB5D"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8.00</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7BA6DF41"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0.621</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4BCFC3F6"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4.97</w:t>
            </w:r>
          </w:p>
        </w:tc>
      </w:tr>
      <w:tr w:rsidR="00BF4C6E" w:rsidRPr="009049EE" w14:paraId="1229760D" w14:textId="77777777">
        <w:tc>
          <w:tcPr>
            <w:tcW w:w="0" w:type="auto"/>
            <w:tcBorders>
              <w:top w:val="single" w:sz="2" w:space="0" w:color="E5E7EB"/>
              <w:left w:val="single" w:sz="2" w:space="0" w:color="E5E7EB"/>
              <w:bottom w:val="single" w:sz="2" w:space="0" w:color="E5E7EB"/>
              <w:right w:val="single" w:sz="2" w:space="0" w:color="E5E7EB"/>
            </w:tcBorders>
            <w:vAlign w:val="bottom"/>
            <w:hideMark/>
          </w:tcPr>
          <w:p w14:paraId="45CC7D40"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NPV</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50EDDA17" w14:textId="77777777" w:rsidR="00BF4C6E" w:rsidRPr="009049EE" w:rsidRDefault="00BF4C6E" w:rsidP="009049EE">
            <w:pPr>
              <w:spacing w:line="360" w:lineRule="auto"/>
              <w:rPr>
                <w:rFonts w:ascii="Arial" w:hAnsi="Arial" w:cs="Arial"/>
                <w:sz w:val="24"/>
                <w:szCs w:val="24"/>
              </w:rPr>
            </w:pP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4FD47607" w14:textId="77777777" w:rsidR="00BF4C6E" w:rsidRPr="009049EE" w:rsidRDefault="00BF4C6E" w:rsidP="009049EE">
            <w:pPr>
              <w:spacing w:line="360" w:lineRule="auto"/>
              <w:rPr>
                <w:rFonts w:ascii="Arial" w:hAnsi="Arial" w:cs="Arial"/>
                <w:sz w:val="24"/>
                <w:szCs w:val="24"/>
              </w:rPr>
            </w:pP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24C0C3EF"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1.33</w:t>
            </w:r>
          </w:p>
        </w:tc>
      </w:tr>
      <w:tr w:rsidR="00BF4C6E" w:rsidRPr="009049EE" w14:paraId="1EA354E4" w14:textId="77777777">
        <w:tc>
          <w:tcPr>
            <w:tcW w:w="0" w:type="auto"/>
            <w:tcBorders>
              <w:top w:val="single" w:sz="2" w:space="0" w:color="E5E7EB"/>
              <w:left w:val="single" w:sz="2" w:space="0" w:color="E5E7EB"/>
              <w:bottom w:val="single" w:sz="2" w:space="0" w:color="E5E7EB"/>
              <w:right w:val="single" w:sz="2" w:space="0" w:color="E5E7EB"/>
            </w:tcBorders>
            <w:vAlign w:val="bottom"/>
            <w:hideMark/>
          </w:tcPr>
          <w:p w14:paraId="5BA29C79"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IRR</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0859C04D" w14:textId="77777777" w:rsidR="00BF4C6E" w:rsidRPr="009049EE" w:rsidRDefault="00BF4C6E" w:rsidP="009049EE">
            <w:pPr>
              <w:spacing w:line="360" w:lineRule="auto"/>
              <w:rPr>
                <w:rFonts w:ascii="Arial" w:hAnsi="Arial" w:cs="Arial"/>
                <w:sz w:val="24"/>
                <w:szCs w:val="24"/>
              </w:rPr>
            </w:pP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7633047D" w14:textId="77777777" w:rsidR="00BF4C6E" w:rsidRPr="009049EE" w:rsidRDefault="00BF4C6E" w:rsidP="009049EE">
            <w:pPr>
              <w:spacing w:line="360" w:lineRule="auto"/>
              <w:rPr>
                <w:rFonts w:ascii="Arial" w:hAnsi="Arial" w:cs="Arial"/>
                <w:sz w:val="24"/>
                <w:szCs w:val="24"/>
              </w:rPr>
            </w:pP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1E402A4C"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11.2%</w:t>
            </w:r>
          </w:p>
        </w:tc>
      </w:tr>
      <w:tr w:rsidR="00BF4C6E" w:rsidRPr="009049EE" w14:paraId="6ADD5D80" w14:textId="77777777">
        <w:tc>
          <w:tcPr>
            <w:tcW w:w="0" w:type="auto"/>
            <w:tcBorders>
              <w:top w:val="single" w:sz="2" w:space="0" w:color="E5E7EB"/>
              <w:left w:val="single" w:sz="2" w:space="0" w:color="E5E7EB"/>
              <w:bottom w:val="single" w:sz="2" w:space="0" w:color="E5E7EB"/>
              <w:right w:val="single" w:sz="2" w:space="0" w:color="E5E7EB"/>
            </w:tcBorders>
            <w:vAlign w:val="bottom"/>
            <w:hideMark/>
          </w:tcPr>
          <w:p w14:paraId="7AFC79E7"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PI</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42DD9345" w14:textId="77777777" w:rsidR="00BF4C6E" w:rsidRPr="009049EE" w:rsidRDefault="00BF4C6E" w:rsidP="009049EE">
            <w:pPr>
              <w:spacing w:line="360" w:lineRule="auto"/>
              <w:rPr>
                <w:rFonts w:ascii="Arial" w:hAnsi="Arial" w:cs="Arial"/>
                <w:sz w:val="24"/>
                <w:szCs w:val="24"/>
              </w:rPr>
            </w:pP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49679DC0" w14:textId="77777777" w:rsidR="00BF4C6E" w:rsidRPr="009049EE" w:rsidRDefault="00BF4C6E" w:rsidP="009049EE">
            <w:pPr>
              <w:spacing w:line="360" w:lineRule="auto"/>
              <w:rPr>
                <w:rFonts w:ascii="Arial" w:hAnsi="Arial" w:cs="Arial"/>
                <w:sz w:val="24"/>
                <w:szCs w:val="24"/>
              </w:rPr>
            </w:pP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271BA6DE"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1.033</w:t>
            </w:r>
          </w:p>
        </w:tc>
      </w:tr>
    </w:tbl>
    <w:p w14:paraId="0ED3DB0D" w14:textId="77777777" w:rsidR="00A66616" w:rsidRPr="009049EE" w:rsidRDefault="00A66616" w:rsidP="009049EE">
      <w:pPr>
        <w:spacing w:line="360" w:lineRule="auto"/>
        <w:rPr>
          <w:rFonts w:ascii="Arial" w:hAnsi="Arial" w:cs="Arial"/>
          <w:b/>
          <w:bCs/>
          <w:sz w:val="24"/>
          <w:szCs w:val="24"/>
        </w:rPr>
      </w:pPr>
    </w:p>
    <w:p w14:paraId="4958E2F2" w14:textId="0DDA19A9" w:rsidR="00BF4C6E" w:rsidRPr="009049EE" w:rsidRDefault="00BF4C6E" w:rsidP="009049EE">
      <w:pPr>
        <w:spacing w:line="360" w:lineRule="auto"/>
        <w:rPr>
          <w:rFonts w:ascii="Arial" w:hAnsi="Arial" w:cs="Arial"/>
          <w:b/>
          <w:bCs/>
          <w:sz w:val="24"/>
          <w:szCs w:val="24"/>
        </w:rPr>
      </w:pPr>
      <w:r w:rsidRPr="009049EE">
        <w:rPr>
          <w:rFonts w:ascii="Arial" w:hAnsi="Arial" w:cs="Arial"/>
          <w:b/>
          <w:bCs/>
          <w:sz w:val="24"/>
          <w:szCs w:val="24"/>
        </w:rPr>
        <w:t xml:space="preserve">PROJECT B </w:t>
      </w:r>
      <w:r w:rsidR="00A66616" w:rsidRPr="009049EE">
        <w:rPr>
          <w:rFonts w:ascii="Arial" w:hAnsi="Arial" w:cs="Arial"/>
          <w:b/>
          <w:bCs/>
          <w:sz w:val="24"/>
          <w:szCs w:val="24"/>
        </w:rPr>
        <w:t>–</w:t>
      </w:r>
      <w:r w:rsidRPr="009049EE">
        <w:rPr>
          <w:rFonts w:ascii="Arial" w:hAnsi="Arial" w:cs="Arial"/>
          <w:b/>
          <w:bCs/>
          <w:sz w:val="24"/>
          <w:szCs w:val="24"/>
        </w:rPr>
        <w:t xml:space="preserve"> Detailed Calculations</w:t>
      </w:r>
    </w:p>
    <w:tbl>
      <w:tblPr>
        <w:tblW w:w="9360"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741"/>
        <w:gridCol w:w="2381"/>
        <w:gridCol w:w="3340"/>
        <w:gridCol w:w="2898"/>
      </w:tblGrid>
      <w:tr w:rsidR="00BF4C6E" w:rsidRPr="009049EE" w14:paraId="3E219415" w14:textId="77777777">
        <w:trPr>
          <w:tblHeader/>
        </w:trPr>
        <w:tc>
          <w:tcPr>
            <w:tcW w:w="0" w:type="auto"/>
            <w:tcBorders>
              <w:top w:val="single" w:sz="2" w:space="0" w:color="E5E7EB"/>
              <w:left w:val="single" w:sz="2" w:space="0" w:color="E5E7EB"/>
              <w:bottom w:val="single" w:sz="2" w:space="0" w:color="E5E7EB"/>
              <w:right w:val="single" w:sz="2" w:space="0" w:color="E5E7EB"/>
            </w:tcBorders>
            <w:noWrap/>
            <w:vAlign w:val="bottom"/>
            <w:hideMark/>
          </w:tcPr>
          <w:p w14:paraId="72074A08"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Year</w:t>
            </w:r>
          </w:p>
        </w:tc>
        <w:tc>
          <w:tcPr>
            <w:tcW w:w="0" w:type="auto"/>
            <w:tcBorders>
              <w:top w:val="single" w:sz="2" w:space="0" w:color="E5E7EB"/>
              <w:left w:val="single" w:sz="2" w:space="0" w:color="E5E7EB"/>
              <w:bottom w:val="single" w:sz="2" w:space="0" w:color="E5E7EB"/>
              <w:right w:val="single" w:sz="2" w:space="0" w:color="E5E7EB"/>
            </w:tcBorders>
            <w:noWrap/>
            <w:vAlign w:val="bottom"/>
            <w:hideMark/>
          </w:tcPr>
          <w:p w14:paraId="1CB0193B"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Cash Flow (£m)</w:t>
            </w:r>
          </w:p>
        </w:tc>
        <w:tc>
          <w:tcPr>
            <w:tcW w:w="0" w:type="auto"/>
            <w:tcBorders>
              <w:top w:val="single" w:sz="2" w:space="0" w:color="E5E7EB"/>
              <w:left w:val="single" w:sz="2" w:space="0" w:color="E5E7EB"/>
              <w:bottom w:val="single" w:sz="2" w:space="0" w:color="E5E7EB"/>
              <w:right w:val="single" w:sz="2" w:space="0" w:color="E5E7EB"/>
            </w:tcBorders>
            <w:noWrap/>
            <w:vAlign w:val="bottom"/>
            <w:hideMark/>
          </w:tcPr>
          <w:p w14:paraId="2AC4BDE2"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Discount Factor (10%)</w:t>
            </w:r>
          </w:p>
        </w:tc>
        <w:tc>
          <w:tcPr>
            <w:tcW w:w="0" w:type="auto"/>
            <w:tcBorders>
              <w:top w:val="single" w:sz="2" w:space="0" w:color="E5E7EB"/>
              <w:left w:val="single" w:sz="2" w:space="0" w:color="E5E7EB"/>
              <w:bottom w:val="single" w:sz="2" w:space="0" w:color="E5E7EB"/>
              <w:right w:val="single" w:sz="2" w:space="0" w:color="E5E7EB"/>
            </w:tcBorders>
            <w:noWrap/>
            <w:vAlign w:val="bottom"/>
            <w:hideMark/>
          </w:tcPr>
          <w:p w14:paraId="58B54B96"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Present Value (£m)</w:t>
            </w:r>
          </w:p>
        </w:tc>
      </w:tr>
      <w:tr w:rsidR="00BF4C6E" w:rsidRPr="009049EE" w14:paraId="176863C3" w14:textId="77777777">
        <w:tc>
          <w:tcPr>
            <w:tcW w:w="0" w:type="auto"/>
            <w:tcBorders>
              <w:top w:val="single" w:sz="2" w:space="0" w:color="E5E7EB"/>
              <w:left w:val="single" w:sz="2" w:space="0" w:color="E5E7EB"/>
              <w:bottom w:val="single" w:sz="2" w:space="0" w:color="E5E7EB"/>
              <w:right w:val="single" w:sz="2" w:space="0" w:color="E5E7EB"/>
            </w:tcBorders>
            <w:vAlign w:val="bottom"/>
            <w:hideMark/>
          </w:tcPr>
          <w:p w14:paraId="293AB442"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0</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4C221E85"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-30.00</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53F9A649"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1.000</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2B6D33C9"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-30.00</w:t>
            </w:r>
          </w:p>
        </w:tc>
      </w:tr>
      <w:tr w:rsidR="00BF4C6E" w:rsidRPr="009049EE" w14:paraId="7CBBE1C2" w14:textId="77777777">
        <w:tc>
          <w:tcPr>
            <w:tcW w:w="0" w:type="auto"/>
            <w:tcBorders>
              <w:top w:val="single" w:sz="2" w:space="0" w:color="E5E7EB"/>
              <w:left w:val="single" w:sz="2" w:space="0" w:color="E5E7EB"/>
              <w:bottom w:val="single" w:sz="2" w:space="0" w:color="E5E7EB"/>
              <w:right w:val="single" w:sz="2" w:space="0" w:color="E5E7EB"/>
            </w:tcBorders>
            <w:vAlign w:val="bottom"/>
            <w:hideMark/>
          </w:tcPr>
          <w:p w14:paraId="1AC7FD18"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1</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05453F9D"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6.00</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4CA61EDC"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0.909</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1BFAB9F0"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5.45</w:t>
            </w:r>
          </w:p>
        </w:tc>
      </w:tr>
      <w:tr w:rsidR="00BF4C6E" w:rsidRPr="009049EE" w14:paraId="70DECF2C" w14:textId="77777777">
        <w:tc>
          <w:tcPr>
            <w:tcW w:w="0" w:type="auto"/>
            <w:tcBorders>
              <w:top w:val="single" w:sz="2" w:space="0" w:color="E5E7EB"/>
              <w:left w:val="single" w:sz="2" w:space="0" w:color="E5E7EB"/>
              <w:bottom w:val="single" w:sz="2" w:space="0" w:color="E5E7EB"/>
              <w:right w:val="single" w:sz="2" w:space="0" w:color="E5E7EB"/>
            </w:tcBorders>
            <w:vAlign w:val="bottom"/>
            <w:hideMark/>
          </w:tcPr>
          <w:p w14:paraId="4ED0CACF"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2</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3B014070"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6.00</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3A11EF57"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0.826</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5D17B099"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4.96</w:t>
            </w:r>
          </w:p>
        </w:tc>
      </w:tr>
      <w:tr w:rsidR="00BF4C6E" w:rsidRPr="009049EE" w14:paraId="2B943D89" w14:textId="77777777">
        <w:tc>
          <w:tcPr>
            <w:tcW w:w="0" w:type="auto"/>
            <w:tcBorders>
              <w:top w:val="single" w:sz="2" w:space="0" w:color="E5E7EB"/>
              <w:left w:val="single" w:sz="2" w:space="0" w:color="E5E7EB"/>
              <w:bottom w:val="single" w:sz="2" w:space="0" w:color="E5E7EB"/>
              <w:right w:val="single" w:sz="2" w:space="0" w:color="E5E7EB"/>
            </w:tcBorders>
            <w:vAlign w:val="bottom"/>
            <w:hideMark/>
          </w:tcPr>
          <w:p w14:paraId="2EBEB2E9"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3</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64E26C15"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6.00</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5D5960DB"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0.751</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48E59BBB"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4.51</w:t>
            </w:r>
          </w:p>
        </w:tc>
      </w:tr>
      <w:tr w:rsidR="00BF4C6E" w:rsidRPr="009049EE" w14:paraId="2BB6FAA9" w14:textId="77777777">
        <w:tc>
          <w:tcPr>
            <w:tcW w:w="0" w:type="auto"/>
            <w:tcBorders>
              <w:top w:val="single" w:sz="2" w:space="0" w:color="E5E7EB"/>
              <w:left w:val="single" w:sz="2" w:space="0" w:color="E5E7EB"/>
              <w:bottom w:val="single" w:sz="2" w:space="0" w:color="E5E7EB"/>
              <w:right w:val="single" w:sz="2" w:space="0" w:color="E5E7EB"/>
            </w:tcBorders>
            <w:vAlign w:val="bottom"/>
            <w:hideMark/>
          </w:tcPr>
          <w:p w14:paraId="71097A1F"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4</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139EF0CC"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6.00</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53888D90"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0.683</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38ABA3C8"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4.10</w:t>
            </w:r>
          </w:p>
        </w:tc>
      </w:tr>
      <w:tr w:rsidR="00BF4C6E" w:rsidRPr="009049EE" w14:paraId="7503442D" w14:textId="77777777">
        <w:tc>
          <w:tcPr>
            <w:tcW w:w="0" w:type="auto"/>
            <w:tcBorders>
              <w:top w:val="single" w:sz="2" w:space="0" w:color="E5E7EB"/>
              <w:left w:val="single" w:sz="2" w:space="0" w:color="E5E7EB"/>
              <w:bottom w:val="single" w:sz="2" w:space="0" w:color="E5E7EB"/>
              <w:right w:val="single" w:sz="2" w:space="0" w:color="E5E7EB"/>
            </w:tcBorders>
            <w:vAlign w:val="bottom"/>
            <w:hideMark/>
          </w:tcPr>
          <w:p w14:paraId="25BAF86B"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5</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10D8DE3E"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6.00</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6AD29AEE"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0.621</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2C8E9552"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3.73</w:t>
            </w:r>
          </w:p>
        </w:tc>
      </w:tr>
      <w:tr w:rsidR="00BF4C6E" w:rsidRPr="009049EE" w14:paraId="6BD1289D" w14:textId="77777777">
        <w:tc>
          <w:tcPr>
            <w:tcW w:w="0" w:type="auto"/>
            <w:tcBorders>
              <w:top w:val="single" w:sz="2" w:space="0" w:color="E5E7EB"/>
              <w:left w:val="single" w:sz="2" w:space="0" w:color="E5E7EB"/>
              <w:bottom w:val="single" w:sz="2" w:space="0" w:color="E5E7EB"/>
              <w:right w:val="single" w:sz="2" w:space="0" w:color="E5E7EB"/>
            </w:tcBorders>
            <w:vAlign w:val="bottom"/>
            <w:hideMark/>
          </w:tcPr>
          <w:p w14:paraId="195B66F0"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NPV</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6288D0F0" w14:textId="77777777" w:rsidR="00BF4C6E" w:rsidRPr="009049EE" w:rsidRDefault="00BF4C6E" w:rsidP="009049EE">
            <w:pPr>
              <w:spacing w:line="360" w:lineRule="auto"/>
              <w:rPr>
                <w:rFonts w:ascii="Arial" w:hAnsi="Arial" w:cs="Arial"/>
                <w:sz w:val="24"/>
                <w:szCs w:val="24"/>
              </w:rPr>
            </w:pP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35C47987" w14:textId="77777777" w:rsidR="00BF4C6E" w:rsidRPr="009049EE" w:rsidRDefault="00BF4C6E" w:rsidP="009049EE">
            <w:pPr>
              <w:spacing w:line="360" w:lineRule="auto"/>
              <w:rPr>
                <w:rFonts w:ascii="Arial" w:hAnsi="Arial" w:cs="Arial"/>
                <w:sz w:val="24"/>
                <w:szCs w:val="24"/>
              </w:rPr>
            </w:pP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4D7710ED"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-7.25</w:t>
            </w:r>
          </w:p>
        </w:tc>
      </w:tr>
      <w:tr w:rsidR="00BF4C6E" w:rsidRPr="009049EE" w14:paraId="63CF7E09" w14:textId="77777777">
        <w:tc>
          <w:tcPr>
            <w:tcW w:w="0" w:type="auto"/>
            <w:tcBorders>
              <w:top w:val="single" w:sz="2" w:space="0" w:color="E5E7EB"/>
              <w:left w:val="single" w:sz="2" w:space="0" w:color="E5E7EB"/>
              <w:bottom w:val="single" w:sz="2" w:space="0" w:color="E5E7EB"/>
              <w:right w:val="single" w:sz="2" w:space="0" w:color="E5E7EB"/>
            </w:tcBorders>
            <w:vAlign w:val="bottom"/>
            <w:hideMark/>
          </w:tcPr>
          <w:p w14:paraId="52100B0A"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IRR</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4C847026" w14:textId="77777777" w:rsidR="00BF4C6E" w:rsidRPr="009049EE" w:rsidRDefault="00BF4C6E" w:rsidP="009049EE">
            <w:pPr>
              <w:spacing w:line="360" w:lineRule="auto"/>
              <w:rPr>
                <w:rFonts w:ascii="Arial" w:hAnsi="Arial" w:cs="Arial"/>
                <w:sz w:val="24"/>
                <w:szCs w:val="24"/>
              </w:rPr>
            </w:pP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0FCF42C4" w14:textId="77777777" w:rsidR="00BF4C6E" w:rsidRPr="009049EE" w:rsidRDefault="00BF4C6E" w:rsidP="009049EE">
            <w:pPr>
              <w:spacing w:line="360" w:lineRule="auto"/>
              <w:rPr>
                <w:rFonts w:ascii="Arial" w:hAnsi="Arial" w:cs="Arial"/>
                <w:sz w:val="24"/>
                <w:szCs w:val="24"/>
              </w:rPr>
            </w:pP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1D410E54"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0.0%</w:t>
            </w:r>
          </w:p>
        </w:tc>
      </w:tr>
      <w:tr w:rsidR="00BF4C6E" w:rsidRPr="009049EE" w14:paraId="33A928A3" w14:textId="77777777">
        <w:tc>
          <w:tcPr>
            <w:tcW w:w="0" w:type="auto"/>
            <w:tcBorders>
              <w:top w:val="single" w:sz="2" w:space="0" w:color="E5E7EB"/>
              <w:left w:val="single" w:sz="2" w:space="0" w:color="E5E7EB"/>
              <w:bottom w:val="single" w:sz="2" w:space="0" w:color="E5E7EB"/>
              <w:right w:val="single" w:sz="2" w:space="0" w:color="E5E7EB"/>
            </w:tcBorders>
            <w:vAlign w:val="bottom"/>
            <w:hideMark/>
          </w:tcPr>
          <w:p w14:paraId="2A231116"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PI</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1E534F76" w14:textId="77777777" w:rsidR="00BF4C6E" w:rsidRPr="009049EE" w:rsidRDefault="00BF4C6E" w:rsidP="009049EE">
            <w:pPr>
              <w:spacing w:line="360" w:lineRule="auto"/>
              <w:rPr>
                <w:rFonts w:ascii="Arial" w:hAnsi="Arial" w:cs="Arial"/>
                <w:sz w:val="24"/>
                <w:szCs w:val="24"/>
              </w:rPr>
            </w:pP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7D1C2CDE" w14:textId="77777777" w:rsidR="00BF4C6E" w:rsidRPr="009049EE" w:rsidRDefault="00BF4C6E" w:rsidP="009049EE">
            <w:pPr>
              <w:spacing w:line="360" w:lineRule="auto"/>
              <w:rPr>
                <w:rFonts w:ascii="Arial" w:hAnsi="Arial" w:cs="Arial"/>
                <w:sz w:val="24"/>
                <w:szCs w:val="24"/>
              </w:rPr>
            </w:pP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3CF23A08"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0.758</w:t>
            </w:r>
          </w:p>
        </w:tc>
      </w:tr>
    </w:tbl>
    <w:p w14:paraId="28C3099E" w14:textId="77777777" w:rsidR="00A66616" w:rsidRPr="009049EE" w:rsidRDefault="00A66616" w:rsidP="009049EE">
      <w:pPr>
        <w:spacing w:line="360" w:lineRule="auto"/>
        <w:rPr>
          <w:rFonts w:ascii="Arial" w:hAnsi="Arial" w:cs="Arial"/>
          <w:b/>
          <w:bCs/>
          <w:sz w:val="24"/>
          <w:szCs w:val="24"/>
        </w:rPr>
      </w:pPr>
    </w:p>
    <w:p w14:paraId="7B88C5FC" w14:textId="03171D13" w:rsidR="00BF4C6E" w:rsidRPr="009049EE" w:rsidRDefault="00BF4C6E" w:rsidP="009049EE">
      <w:pPr>
        <w:spacing w:line="360" w:lineRule="auto"/>
        <w:rPr>
          <w:rFonts w:ascii="Arial" w:hAnsi="Arial" w:cs="Arial"/>
          <w:b/>
          <w:bCs/>
          <w:sz w:val="24"/>
          <w:szCs w:val="24"/>
        </w:rPr>
      </w:pPr>
      <w:r w:rsidRPr="009049EE">
        <w:rPr>
          <w:rFonts w:ascii="Arial" w:hAnsi="Arial" w:cs="Arial"/>
          <w:b/>
          <w:bCs/>
          <w:sz w:val="24"/>
          <w:szCs w:val="24"/>
        </w:rPr>
        <w:t>PROJECT C - Detailed Calculations</w:t>
      </w:r>
    </w:p>
    <w:tbl>
      <w:tblPr>
        <w:tblW w:w="9360"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741"/>
        <w:gridCol w:w="2381"/>
        <w:gridCol w:w="3340"/>
        <w:gridCol w:w="2898"/>
      </w:tblGrid>
      <w:tr w:rsidR="00BF4C6E" w:rsidRPr="009049EE" w14:paraId="478C9D7D" w14:textId="77777777">
        <w:trPr>
          <w:tblHeader/>
        </w:trPr>
        <w:tc>
          <w:tcPr>
            <w:tcW w:w="0" w:type="auto"/>
            <w:tcBorders>
              <w:top w:val="single" w:sz="2" w:space="0" w:color="E5E7EB"/>
              <w:left w:val="single" w:sz="2" w:space="0" w:color="E5E7EB"/>
              <w:bottom w:val="single" w:sz="2" w:space="0" w:color="E5E7EB"/>
              <w:right w:val="single" w:sz="2" w:space="0" w:color="E5E7EB"/>
            </w:tcBorders>
            <w:noWrap/>
            <w:vAlign w:val="bottom"/>
            <w:hideMark/>
          </w:tcPr>
          <w:p w14:paraId="49204D68"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Year</w:t>
            </w:r>
          </w:p>
        </w:tc>
        <w:tc>
          <w:tcPr>
            <w:tcW w:w="0" w:type="auto"/>
            <w:tcBorders>
              <w:top w:val="single" w:sz="2" w:space="0" w:color="E5E7EB"/>
              <w:left w:val="single" w:sz="2" w:space="0" w:color="E5E7EB"/>
              <w:bottom w:val="single" w:sz="2" w:space="0" w:color="E5E7EB"/>
              <w:right w:val="single" w:sz="2" w:space="0" w:color="E5E7EB"/>
            </w:tcBorders>
            <w:noWrap/>
            <w:vAlign w:val="bottom"/>
            <w:hideMark/>
          </w:tcPr>
          <w:p w14:paraId="7746682B"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Cash Flow (£m)</w:t>
            </w:r>
          </w:p>
        </w:tc>
        <w:tc>
          <w:tcPr>
            <w:tcW w:w="0" w:type="auto"/>
            <w:tcBorders>
              <w:top w:val="single" w:sz="2" w:space="0" w:color="E5E7EB"/>
              <w:left w:val="single" w:sz="2" w:space="0" w:color="E5E7EB"/>
              <w:bottom w:val="single" w:sz="2" w:space="0" w:color="E5E7EB"/>
              <w:right w:val="single" w:sz="2" w:space="0" w:color="E5E7EB"/>
            </w:tcBorders>
            <w:noWrap/>
            <w:vAlign w:val="bottom"/>
            <w:hideMark/>
          </w:tcPr>
          <w:p w14:paraId="63172E35"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Discount Factor (10%)</w:t>
            </w:r>
          </w:p>
        </w:tc>
        <w:tc>
          <w:tcPr>
            <w:tcW w:w="0" w:type="auto"/>
            <w:tcBorders>
              <w:top w:val="single" w:sz="2" w:space="0" w:color="E5E7EB"/>
              <w:left w:val="single" w:sz="2" w:space="0" w:color="E5E7EB"/>
              <w:bottom w:val="single" w:sz="2" w:space="0" w:color="E5E7EB"/>
              <w:right w:val="single" w:sz="2" w:space="0" w:color="E5E7EB"/>
            </w:tcBorders>
            <w:noWrap/>
            <w:vAlign w:val="bottom"/>
            <w:hideMark/>
          </w:tcPr>
          <w:p w14:paraId="0B549960"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Present Value (£m)</w:t>
            </w:r>
          </w:p>
        </w:tc>
      </w:tr>
      <w:tr w:rsidR="00BF4C6E" w:rsidRPr="009049EE" w14:paraId="67B255A2" w14:textId="77777777">
        <w:tc>
          <w:tcPr>
            <w:tcW w:w="0" w:type="auto"/>
            <w:tcBorders>
              <w:top w:val="single" w:sz="2" w:space="0" w:color="E5E7EB"/>
              <w:left w:val="single" w:sz="2" w:space="0" w:color="E5E7EB"/>
              <w:bottom w:val="single" w:sz="2" w:space="0" w:color="E5E7EB"/>
              <w:right w:val="single" w:sz="2" w:space="0" w:color="E5E7EB"/>
            </w:tcBorders>
            <w:vAlign w:val="bottom"/>
            <w:hideMark/>
          </w:tcPr>
          <w:p w14:paraId="7882A54A"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0</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470C02C4"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-50.00</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32D2EED9"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1.000</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6121C5E9"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-50.00</w:t>
            </w:r>
          </w:p>
        </w:tc>
      </w:tr>
      <w:tr w:rsidR="00BF4C6E" w:rsidRPr="009049EE" w14:paraId="7B566E6D" w14:textId="77777777">
        <w:tc>
          <w:tcPr>
            <w:tcW w:w="0" w:type="auto"/>
            <w:tcBorders>
              <w:top w:val="single" w:sz="2" w:space="0" w:color="E5E7EB"/>
              <w:left w:val="single" w:sz="2" w:space="0" w:color="E5E7EB"/>
              <w:bottom w:val="single" w:sz="2" w:space="0" w:color="E5E7EB"/>
              <w:right w:val="single" w:sz="2" w:space="0" w:color="E5E7EB"/>
            </w:tcBorders>
            <w:vAlign w:val="bottom"/>
            <w:hideMark/>
          </w:tcPr>
          <w:p w14:paraId="3F8C0776"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1</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7A070B03"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5.00</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7B3E676D"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0.909</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2412ABD2"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4.55</w:t>
            </w:r>
          </w:p>
        </w:tc>
      </w:tr>
      <w:tr w:rsidR="00BF4C6E" w:rsidRPr="009049EE" w14:paraId="251C2455" w14:textId="77777777">
        <w:tc>
          <w:tcPr>
            <w:tcW w:w="0" w:type="auto"/>
            <w:tcBorders>
              <w:top w:val="single" w:sz="2" w:space="0" w:color="E5E7EB"/>
              <w:left w:val="single" w:sz="2" w:space="0" w:color="E5E7EB"/>
              <w:bottom w:val="single" w:sz="2" w:space="0" w:color="E5E7EB"/>
              <w:right w:val="single" w:sz="2" w:space="0" w:color="E5E7EB"/>
            </w:tcBorders>
            <w:vAlign w:val="bottom"/>
            <w:hideMark/>
          </w:tcPr>
          <w:p w14:paraId="3DD75551"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2</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08F0D8E0"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10.00</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1ABCB1B0"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0.826</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53F97C23"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8.26</w:t>
            </w:r>
          </w:p>
        </w:tc>
      </w:tr>
      <w:tr w:rsidR="00BF4C6E" w:rsidRPr="009049EE" w14:paraId="70935735" w14:textId="77777777">
        <w:tc>
          <w:tcPr>
            <w:tcW w:w="0" w:type="auto"/>
            <w:tcBorders>
              <w:top w:val="single" w:sz="2" w:space="0" w:color="E5E7EB"/>
              <w:left w:val="single" w:sz="2" w:space="0" w:color="E5E7EB"/>
              <w:bottom w:val="single" w:sz="2" w:space="0" w:color="E5E7EB"/>
              <w:right w:val="single" w:sz="2" w:space="0" w:color="E5E7EB"/>
            </w:tcBorders>
            <w:vAlign w:val="bottom"/>
            <w:hideMark/>
          </w:tcPr>
          <w:p w14:paraId="43AA8DA5"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3</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0108D8B3"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20.00</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4B6DF1C4"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0.751</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53E0C285"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15.03</w:t>
            </w:r>
          </w:p>
        </w:tc>
      </w:tr>
      <w:tr w:rsidR="00BF4C6E" w:rsidRPr="009049EE" w14:paraId="550154F3" w14:textId="77777777">
        <w:tc>
          <w:tcPr>
            <w:tcW w:w="0" w:type="auto"/>
            <w:tcBorders>
              <w:top w:val="single" w:sz="2" w:space="0" w:color="E5E7EB"/>
              <w:left w:val="single" w:sz="2" w:space="0" w:color="E5E7EB"/>
              <w:bottom w:val="single" w:sz="2" w:space="0" w:color="E5E7EB"/>
              <w:right w:val="single" w:sz="2" w:space="0" w:color="E5E7EB"/>
            </w:tcBorders>
            <w:vAlign w:val="bottom"/>
            <w:hideMark/>
          </w:tcPr>
          <w:p w14:paraId="5F8585DC"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4</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206D41A2"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25.00</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1A7BAF3B"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0.683</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15FE39EF"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17.08</w:t>
            </w:r>
          </w:p>
        </w:tc>
      </w:tr>
      <w:tr w:rsidR="00BF4C6E" w:rsidRPr="009049EE" w14:paraId="504EFDC4" w14:textId="77777777">
        <w:tc>
          <w:tcPr>
            <w:tcW w:w="0" w:type="auto"/>
            <w:tcBorders>
              <w:top w:val="single" w:sz="2" w:space="0" w:color="E5E7EB"/>
              <w:left w:val="single" w:sz="2" w:space="0" w:color="E5E7EB"/>
              <w:bottom w:val="single" w:sz="2" w:space="0" w:color="E5E7EB"/>
              <w:right w:val="single" w:sz="2" w:space="0" w:color="E5E7EB"/>
            </w:tcBorders>
            <w:vAlign w:val="bottom"/>
            <w:hideMark/>
          </w:tcPr>
          <w:p w14:paraId="2F24C0ED"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5</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300A04FD"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15.00</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0B6E1CEE"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0.621</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1A5880B9"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9.31</w:t>
            </w:r>
          </w:p>
        </w:tc>
      </w:tr>
      <w:tr w:rsidR="00BF4C6E" w:rsidRPr="009049EE" w14:paraId="76FAF9E5" w14:textId="77777777">
        <w:tc>
          <w:tcPr>
            <w:tcW w:w="0" w:type="auto"/>
            <w:tcBorders>
              <w:top w:val="single" w:sz="2" w:space="0" w:color="E5E7EB"/>
              <w:left w:val="single" w:sz="2" w:space="0" w:color="E5E7EB"/>
              <w:bottom w:val="single" w:sz="2" w:space="0" w:color="E5E7EB"/>
              <w:right w:val="single" w:sz="2" w:space="0" w:color="E5E7EB"/>
            </w:tcBorders>
            <w:vAlign w:val="bottom"/>
            <w:hideMark/>
          </w:tcPr>
          <w:p w14:paraId="016A29C4"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NPV</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60D0E458" w14:textId="77777777" w:rsidR="00BF4C6E" w:rsidRPr="009049EE" w:rsidRDefault="00BF4C6E" w:rsidP="009049EE">
            <w:pPr>
              <w:spacing w:line="360" w:lineRule="auto"/>
              <w:rPr>
                <w:rFonts w:ascii="Arial" w:hAnsi="Arial" w:cs="Arial"/>
                <w:sz w:val="24"/>
                <w:szCs w:val="24"/>
              </w:rPr>
            </w:pP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48D50140" w14:textId="77777777" w:rsidR="00BF4C6E" w:rsidRPr="009049EE" w:rsidRDefault="00BF4C6E" w:rsidP="009049EE">
            <w:pPr>
              <w:spacing w:line="360" w:lineRule="auto"/>
              <w:rPr>
                <w:rFonts w:ascii="Arial" w:hAnsi="Arial" w:cs="Arial"/>
                <w:sz w:val="24"/>
                <w:szCs w:val="24"/>
              </w:rPr>
            </w:pP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2E9DCE2A"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4.23</w:t>
            </w:r>
          </w:p>
        </w:tc>
      </w:tr>
      <w:tr w:rsidR="00BF4C6E" w:rsidRPr="009049EE" w14:paraId="5854F8CB" w14:textId="77777777">
        <w:tc>
          <w:tcPr>
            <w:tcW w:w="0" w:type="auto"/>
            <w:tcBorders>
              <w:top w:val="single" w:sz="2" w:space="0" w:color="E5E7EB"/>
              <w:left w:val="single" w:sz="2" w:space="0" w:color="E5E7EB"/>
              <w:bottom w:val="single" w:sz="2" w:space="0" w:color="E5E7EB"/>
              <w:right w:val="single" w:sz="2" w:space="0" w:color="E5E7EB"/>
            </w:tcBorders>
            <w:vAlign w:val="bottom"/>
            <w:hideMark/>
          </w:tcPr>
          <w:p w14:paraId="1551C1D3"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IRR</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7C858A66" w14:textId="77777777" w:rsidR="00BF4C6E" w:rsidRPr="009049EE" w:rsidRDefault="00BF4C6E" w:rsidP="009049EE">
            <w:pPr>
              <w:spacing w:line="360" w:lineRule="auto"/>
              <w:rPr>
                <w:rFonts w:ascii="Arial" w:hAnsi="Arial" w:cs="Arial"/>
                <w:sz w:val="24"/>
                <w:szCs w:val="24"/>
              </w:rPr>
            </w:pP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2A1B6796" w14:textId="77777777" w:rsidR="00BF4C6E" w:rsidRPr="009049EE" w:rsidRDefault="00BF4C6E" w:rsidP="009049EE">
            <w:pPr>
              <w:spacing w:line="360" w:lineRule="auto"/>
              <w:rPr>
                <w:rFonts w:ascii="Arial" w:hAnsi="Arial" w:cs="Arial"/>
                <w:sz w:val="24"/>
                <w:szCs w:val="24"/>
              </w:rPr>
            </w:pP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7861BB22"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13.1%</w:t>
            </w:r>
          </w:p>
        </w:tc>
      </w:tr>
      <w:tr w:rsidR="00BF4C6E" w:rsidRPr="009049EE" w14:paraId="1CB46DA3" w14:textId="77777777">
        <w:tc>
          <w:tcPr>
            <w:tcW w:w="0" w:type="auto"/>
            <w:tcBorders>
              <w:top w:val="single" w:sz="2" w:space="0" w:color="E5E7EB"/>
              <w:left w:val="single" w:sz="2" w:space="0" w:color="E5E7EB"/>
              <w:bottom w:val="single" w:sz="2" w:space="0" w:color="E5E7EB"/>
              <w:right w:val="single" w:sz="2" w:space="0" w:color="E5E7EB"/>
            </w:tcBorders>
            <w:vAlign w:val="bottom"/>
            <w:hideMark/>
          </w:tcPr>
          <w:p w14:paraId="4ED95DE2"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PI</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03F394A7" w14:textId="77777777" w:rsidR="00BF4C6E" w:rsidRPr="009049EE" w:rsidRDefault="00BF4C6E" w:rsidP="009049EE">
            <w:pPr>
              <w:spacing w:line="360" w:lineRule="auto"/>
              <w:rPr>
                <w:rFonts w:ascii="Arial" w:hAnsi="Arial" w:cs="Arial"/>
                <w:sz w:val="24"/>
                <w:szCs w:val="24"/>
              </w:rPr>
            </w:pP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329A6D36" w14:textId="77777777" w:rsidR="00BF4C6E" w:rsidRPr="009049EE" w:rsidRDefault="00BF4C6E" w:rsidP="009049EE">
            <w:pPr>
              <w:spacing w:line="360" w:lineRule="auto"/>
              <w:rPr>
                <w:rFonts w:ascii="Arial" w:hAnsi="Arial" w:cs="Arial"/>
                <w:sz w:val="24"/>
                <w:szCs w:val="24"/>
              </w:rPr>
            </w:pP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695C8057"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1.085</w:t>
            </w:r>
          </w:p>
        </w:tc>
      </w:tr>
    </w:tbl>
    <w:p w14:paraId="50DECC7F" w14:textId="7CFC55CA" w:rsidR="00BF4C6E" w:rsidRPr="009049EE" w:rsidRDefault="00BF4C6E" w:rsidP="009049EE">
      <w:pPr>
        <w:spacing w:line="360" w:lineRule="auto"/>
        <w:rPr>
          <w:rFonts w:ascii="Arial" w:hAnsi="Arial" w:cs="Arial"/>
          <w:b/>
          <w:bCs/>
          <w:sz w:val="24"/>
          <w:szCs w:val="24"/>
        </w:rPr>
      </w:pPr>
    </w:p>
    <w:p w14:paraId="0E580C84" w14:textId="77777777" w:rsidR="00BF4C6E" w:rsidRPr="009049EE" w:rsidRDefault="00BF4C6E" w:rsidP="009049EE">
      <w:pPr>
        <w:spacing w:line="360" w:lineRule="auto"/>
        <w:rPr>
          <w:rFonts w:ascii="Arial" w:hAnsi="Arial" w:cs="Arial"/>
          <w:b/>
          <w:bCs/>
          <w:sz w:val="24"/>
          <w:szCs w:val="24"/>
        </w:rPr>
      </w:pPr>
      <w:r w:rsidRPr="009049EE">
        <w:rPr>
          <w:rFonts w:ascii="Arial" w:hAnsi="Arial" w:cs="Arial"/>
          <w:b/>
          <w:bCs/>
          <w:sz w:val="24"/>
          <w:szCs w:val="24"/>
        </w:rPr>
        <w:t>Appendix 3: Altman Z-Score Calculations (2020-2024)</w:t>
      </w:r>
    </w:p>
    <w:tbl>
      <w:tblPr>
        <w:tblW w:w="9360"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4424"/>
        <w:gridCol w:w="1361"/>
        <w:gridCol w:w="1361"/>
        <w:gridCol w:w="738"/>
        <w:gridCol w:w="738"/>
        <w:gridCol w:w="738"/>
      </w:tblGrid>
      <w:tr w:rsidR="00BF4C6E" w:rsidRPr="009049EE" w14:paraId="4C389F01" w14:textId="77777777">
        <w:trPr>
          <w:tblHeader/>
        </w:trPr>
        <w:tc>
          <w:tcPr>
            <w:tcW w:w="0" w:type="auto"/>
            <w:tcBorders>
              <w:top w:val="single" w:sz="2" w:space="0" w:color="E5E7EB"/>
              <w:left w:val="single" w:sz="2" w:space="0" w:color="E5E7EB"/>
              <w:bottom w:val="single" w:sz="2" w:space="0" w:color="E5E7EB"/>
              <w:right w:val="single" w:sz="2" w:space="0" w:color="E5E7EB"/>
            </w:tcBorders>
            <w:noWrap/>
            <w:vAlign w:val="bottom"/>
            <w:hideMark/>
          </w:tcPr>
          <w:p w14:paraId="62E4D867"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Component</w:t>
            </w:r>
          </w:p>
        </w:tc>
        <w:tc>
          <w:tcPr>
            <w:tcW w:w="0" w:type="auto"/>
            <w:tcBorders>
              <w:top w:val="single" w:sz="2" w:space="0" w:color="E5E7EB"/>
              <w:left w:val="single" w:sz="2" w:space="0" w:color="E5E7EB"/>
              <w:bottom w:val="single" w:sz="2" w:space="0" w:color="E5E7EB"/>
              <w:right w:val="single" w:sz="2" w:space="0" w:color="E5E7EB"/>
            </w:tcBorders>
            <w:noWrap/>
            <w:vAlign w:val="bottom"/>
            <w:hideMark/>
          </w:tcPr>
          <w:p w14:paraId="004EC6F5"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2024</w:t>
            </w:r>
          </w:p>
        </w:tc>
        <w:tc>
          <w:tcPr>
            <w:tcW w:w="0" w:type="auto"/>
            <w:tcBorders>
              <w:top w:val="single" w:sz="2" w:space="0" w:color="E5E7EB"/>
              <w:left w:val="single" w:sz="2" w:space="0" w:color="E5E7EB"/>
              <w:bottom w:val="single" w:sz="2" w:space="0" w:color="E5E7EB"/>
              <w:right w:val="single" w:sz="2" w:space="0" w:color="E5E7EB"/>
            </w:tcBorders>
            <w:noWrap/>
            <w:vAlign w:val="bottom"/>
            <w:hideMark/>
          </w:tcPr>
          <w:p w14:paraId="693348D1"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2023</w:t>
            </w:r>
          </w:p>
        </w:tc>
        <w:tc>
          <w:tcPr>
            <w:tcW w:w="0" w:type="auto"/>
            <w:tcBorders>
              <w:top w:val="single" w:sz="2" w:space="0" w:color="E5E7EB"/>
              <w:left w:val="single" w:sz="2" w:space="0" w:color="E5E7EB"/>
              <w:bottom w:val="single" w:sz="2" w:space="0" w:color="E5E7EB"/>
              <w:right w:val="single" w:sz="2" w:space="0" w:color="E5E7EB"/>
            </w:tcBorders>
            <w:noWrap/>
            <w:vAlign w:val="bottom"/>
            <w:hideMark/>
          </w:tcPr>
          <w:p w14:paraId="6F7D7362"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2022</w:t>
            </w:r>
          </w:p>
        </w:tc>
        <w:tc>
          <w:tcPr>
            <w:tcW w:w="0" w:type="auto"/>
            <w:tcBorders>
              <w:top w:val="single" w:sz="2" w:space="0" w:color="E5E7EB"/>
              <w:left w:val="single" w:sz="2" w:space="0" w:color="E5E7EB"/>
              <w:bottom w:val="single" w:sz="2" w:space="0" w:color="E5E7EB"/>
              <w:right w:val="single" w:sz="2" w:space="0" w:color="E5E7EB"/>
            </w:tcBorders>
            <w:noWrap/>
            <w:vAlign w:val="bottom"/>
            <w:hideMark/>
          </w:tcPr>
          <w:p w14:paraId="3AC06FB0"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2021</w:t>
            </w:r>
          </w:p>
        </w:tc>
        <w:tc>
          <w:tcPr>
            <w:tcW w:w="0" w:type="auto"/>
            <w:tcBorders>
              <w:top w:val="single" w:sz="2" w:space="0" w:color="E5E7EB"/>
              <w:left w:val="single" w:sz="2" w:space="0" w:color="E5E7EB"/>
              <w:bottom w:val="single" w:sz="2" w:space="0" w:color="E5E7EB"/>
              <w:right w:val="single" w:sz="2" w:space="0" w:color="E5E7EB"/>
            </w:tcBorders>
            <w:noWrap/>
            <w:vAlign w:val="bottom"/>
            <w:hideMark/>
          </w:tcPr>
          <w:p w14:paraId="03897ACC"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2020</w:t>
            </w:r>
          </w:p>
        </w:tc>
      </w:tr>
      <w:tr w:rsidR="00BF4C6E" w:rsidRPr="009049EE" w14:paraId="696EA5F7" w14:textId="77777777">
        <w:tc>
          <w:tcPr>
            <w:tcW w:w="0" w:type="auto"/>
            <w:tcBorders>
              <w:top w:val="single" w:sz="2" w:space="0" w:color="E5E7EB"/>
              <w:left w:val="single" w:sz="2" w:space="0" w:color="E5E7EB"/>
              <w:bottom w:val="single" w:sz="2" w:space="0" w:color="E5E7EB"/>
              <w:right w:val="single" w:sz="2" w:space="0" w:color="E5E7EB"/>
            </w:tcBorders>
            <w:vAlign w:val="bottom"/>
            <w:hideMark/>
          </w:tcPr>
          <w:p w14:paraId="3338BA5D"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X</w:t>
            </w:r>
            <w:r w:rsidRPr="009049EE">
              <w:rPr>
                <w:rFonts w:ascii="Cambria Math" w:hAnsi="Cambria Math" w:cs="Cambria Math"/>
                <w:sz w:val="24"/>
                <w:szCs w:val="24"/>
              </w:rPr>
              <w:t>₁</w:t>
            </w:r>
            <w:r w:rsidRPr="009049EE">
              <w:rPr>
                <w:rFonts w:ascii="Arial" w:hAnsi="Arial" w:cs="Arial"/>
                <w:sz w:val="24"/>
                <w:szCs w:val="24"/>
              </w:rPr>
              <w:t>: Working Capital/Total Assets</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225242D3"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0.260</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48DA659A"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0.275</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7D78B3B0"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0.241</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1A92529D"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0.236</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7A780542"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0.289</w:t>
            </w:r>
          </w:p>
        </w:tc>
      </w:tr>
      <w:tr w:rsidR="00BF4C6E" w:rsidRPr="009049EE" w14:paraId="1CCC6CFF" w14:textId="77777777">
        <w:tc>
          <w:tcPr>
            <w:tcW w:w="0" w:type="auto"/>
            <w:tcBorders>
              <w:top w:val="single" w:sz="2" w:space="0" w:color="E5E7EB"/>
              <w:left w:val="single" w:sz="2" w:space="0" w:color="E5E7EB"/>
              <w:bottom w:val="single" w:sz="2" w:space="0" w:color="E5E7EB"/>
              <w:right w:val="single" w:sz="2" w:space="0" w:color="E5E7EB"/>
            </w:tcBorders>
            <w:vAlign w:val="bottom"/>
            <w:hideMark/>
          </w:tcPr>
          <w:p w14:paraId="54E1F1A3"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X</w:t>
            </w:r>
            <w:r w:rsidRPr="009049EE">
              <w:rPr>
                <w:rFonts w:ascii="Cambria Math" w:hAnsi="Cambria Math" w:cs="Cambria Math"/>
                <w:sz w:val="24"/>
                <w:szCs w:val="24"/>
              </w:rPr>
              <w:t>₂</w:t>
            </w:r>
            <w:r w:rsidRPr="009049EE">
              <w:rPr>
                <w:rFonts w:ascii="Arial" w:hAnsi="Arial" w:cs="Arial"/>
                <w:sz w:val="24"/>
                <w:szCs w:val="24"/>
              </w:rPr>
              <w:t>: Retained Earnings/Total Assets</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7AFFCC2F"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0.645</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42491C56"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0.653</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09D0F36D"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0.656</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30174A74"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0.647</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08902447"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0.637</w:t>
            </w:r>
          </w:p>
        </w:tc>
      </w:tr>
      <w:tr w:rsidR="00BF4C6E" w:rsidRPr="009049EE" w14:paraId="39BAAE2B" w14:textId="77777777">
        <w:tc>
          <w:tcPr>
            <w:tcW w:w="0" w:type="auto"/>
            <w:tcBorders>
              <w:top w:val="single" w:sz="2" w:space="0" w:color="E5E7EB"/>
              <w:left w:val="single" w:sz="2" w:space="0" w:color="E5E7EB"/>
              <w:bottom w:val="single" w:sz="2" w:space="0" w:color="E5E7EB"/>
              <w:right w:val="single" w:sz="2" w:space="0" w:color="E5E7EB"/>
            </w:tcBorders>
            <w:vAlign w:val="bottom"/>
            <w:hideMark/>
          </w:tcPr>
          <w:p w14:paraId="697E24C3"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X</w:t>
            </w:r>
            <w:r w:rsidRPr="009049EE">
              <w:rPr>
                <w:rFonts w:ascii="Cambria Math" w:hAnsi="Cambria Math" w:cs="Cambria Math"/>
                <w:sz w:val="24"/>
                <w:szCs w:val="24"/>
              </w:rPr>
              <w:t>₃</w:t>
            </w:r>
            <w:r w:rsidRPr="009049EE">
              <w:rPr>
                <w:rFonts w:ascii="Arial" w:hAnsi="Arial" w:cs="Arial"/>
                <w:sz w:val="24"/>
                <w:szCs w:val="24"/>
              </w:rPr>
              <w:t>: EBIT/Total Assets</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27553A89"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-0.047</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0BB3709D"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-0.240</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7DF3FE83"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0.029</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1477F2BC"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0.046</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58A7D59C"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0.073</w:t>
            </w:r>
          </w:p>
        </w:tc>
      </w:tr>
      <w:tr w:rsidR="00BF4C6E" w:rsidRPr="009049EE" w14:paraId="6AFB8E01" w14:textId="77777777">
        <w:tc>
          <w:tcPr>
            <w:tcW w:w="0" w:type="auto"/>
            <w:tcBorders>
              <w:top w:val="single" w:sz="2" w:space="0" w:color="E5E7EB"/>
              <w:left w:val="single" w:sz="2" w:space="0" w:color="E5E7EB"/>
              <w:bottom w:val="single" w:sz="2" w:space="0" w:color="E5E7EB"/>
              <w:right w:val="single" w:sz="2" w:space="0" w:color="E5E7EB"/>
            </w:tcBorders>
            <w:vAlign w:val="bottom"/>
            <w:hideMark/>
          </w:tcPr>
          <w:p w14:paraId="49B8820F"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X</w:t>
            </w:r>
            <w:r w:rsidRPr="009049EE">
              <w:rPr>
                <w:rFonts w:ascii="Cambria Math" w:hAnsi="Cambria Math" w:cs="Cambria Math"/>
                <w:sz w:val="24"/>
                <w:szCs w:val="24"/>
              </w:rPr>
              <w:t>₄</w:t>
            </w:r>
            <w:r w:rsidRPr="009049EE">
              <w:rPr>
                <w:rFonts w:ascii="Arial" w:hAnsi="Arial" w:cs="Arial"/>
                <w:sz w:val="24"/>
                <w:szCs w:val="24"/>
              </w:rPr>
              <w:t>: Equity/Total Liabilities</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46625C81"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0.899</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46839FA6"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1.011</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42907487"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1.138</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3AD334FD"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1.177</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53A48E7F"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1.591</w:t>
            </w:r>
          </w:p>
        </w:tc>
      </w:tr>
      <w:tr w:rsidR="00BF4C6E" w:rsidRPr="009049EE" w14:paraId="7597C24E" w14:textId="77777777">
        <w:tc>
          <w:tcPr>
            <w:tcW w:w="0" w:type="auto"/>
            <w:tcBorders>
              <w:top w:val="single" w:sz="2" w:space="0" w:color="E5E7EB"/>
              <w:left w:val="single" w:sz="2" w:space="0" w:color="E5E7EB"/>
              <w:bottom w:val="single" w:sz="2" w:space="0" w:color="E5E7EB"/>
              <w:right w:val="single" w:sz="2" w:space="0" w:color="E5E7EB"/>
            </w:tcBorders>
            <w:vAlign w:val="bottom"/>
            <w:hideMark/>
          </w:tcPr>
          <w:p w14:paraId="4F839D78"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X</w:t>
            </w:r>
            <w:r w:rsidRPr="009049EE">
              <w:rPr>
                <w:rFonts w:ascii="Cambria Math" w:hAnsi="Cambria Math" w:cs="Cambria Math"/>
                <w:sz w:val="24"/>
                <w:szCs w:val="24"/>
              </w:rPr>
              <w:t>₅</w:t>
            </w:r>
            <w:r w:rsidRPr="009049EE">
              <w:rPr>
                <w:rFonts w:ascii="Arial" w:hAnsi="Arial" w:cs="Arial"/>
                <w:sz w:val="24"/>
                <w:szCs w:val="24"/>
              </w:rPr>
              <w:t>: Sales/Total Assets</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073CEE06"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1.221</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4783FF19"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1.182</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2DDE2E49"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1.076</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3FA275F2"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1.179</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56938D12"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1.204</w:t>
            </w:r>
          </w:p>
        </w:tc>
      </w:tr>
      <w:tr w:rsidR="00BF4C6E" w:rsidRPr="009049EE" w14:paraId="51AFDE6C" w14:textId="77777777">
        <w:tc>
          <w:tcPr>
            <w:tcW w:w="0" w:type="auto"/>
            <w:tcBorders>
              <w:top w:val="single" w:sz="2" w:space="0" w:color="E5E7EB"/>
              <w:left w:val="single" w:sz="2" w:space="0" w:color="E5E7EB"/>
              <w:bottom w:val="single" w:sz="2" w:space="0" w:color="E5E7EB"/>
              <w:right w:val="single" w:sz="2" w:space="0" w:color="E5E7EB"/>
            </w:tcBorders>
            <w:vAlign w:val="bottom"/>
            <w:hideMark/>
          </w:tcPr>
          <w:p w14:paraId="5A061136"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Z-Score</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35CF2D98"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2.69</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6814E60D"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2.50</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04CA65A8"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3.28</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63AA84D8"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3.51</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1FB72FC2"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4.11</w:t>
            </w:r>
          </w:p>
        </w:tc>
      </w:tr>
      <w:tr w:rsidR="00BF4C6E" w:rsidRPr="009049EE" w14:paraId="4A3B0D1B" w14:textId="77777777">
        <w:tc>
          <w:tcPr>
            <w:tcW w:w="0" w:type="auto"/>
            <w:tcBorders>
              <w:top w:val="single" w:sz="2" w:space="0" w:color="E5E7EB"/>
              <w:left w:val="single" w:sz="2" w:space="0" w:color="E5E7EB"/>
              <w:bottom w:val="single" w:sz="2" w:space="0" w:color="E5E7EB"/>
              <w:right w:val="single" w:sz="2" w:space="0" w:color="E5E7EB"/>
            </w:tcBorders>
            <w:vAlign w:val="bottom"/>
            <w:hideMark/>
          </w:tcPr>
          <w:p w14:paraId="62F4B0DF"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Status</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60323A78"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Grey Zone</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01F9F72C"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Grey Zone</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6D8C03D6"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Safe</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2F7C1312"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Safe</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45F45A5A" w14:textId="77777777" w:rsidR="00BF4C6E" w:rsidRPr="009049EE" w:rsidRDefault="00BF4C6E" w:rsidP="009049EE">
            <w:pPr>
              <w:spacing w:line="360" w:lineRule="auto"/>
              <w:rPr>
                <w:rFonts w:ascii="Arial" w:hAnsi="Arial" w:cs="Arial"/>
                <w:sz w:val="24"/>
                <w:szCs w:val="24"/>
              </w:rPr>
            </w:pPr>
            <w:r w:rsidRPr="009049EE">
              <w:rPr>
                <w:rFonts w:ascii="Arial" w:hAnsi="Arial" w:cs="Arial"/>
                <w:sz w:val="24"/>
                <w:szCs w:val="24"/>
              </w:rPr>
              <w:t>Safe</w:t>
            </w:r>
          </w:p>
        </w:tc>
      </w:tr>
    </w:tbl>
    <w:p w14:paraId="0DEF1DD3" w14:textId="77777777" w:rsidR="002A5174" w:rsidRPr="009049EE" w:rsidRDefault="002A5174" w:rsidP="009049EE">
      <w:pPr>
        <w:spacing w:line="360" w:lineRule="auto"/>
        <w:rPr>
          <w:rFonts w:ascii="Arial" w:hAnsi="Arial" w:cs="Arial"/>
          <w:sz w:val="24"/>
          <w:szCs w:val="24"/>
        </w:rPr>
      </w:pPr>
    </w:p>
    <w:sectPr w:rsidR="002A5174" w:rsidRPr="009049EE" w:rsidSect="00954CC6">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0A83D1" w14:textId="77777777" w:rsidR="003D4D20" w:rsidRDefault="003D4D20" w:rsidP="003E5B2E">
      <w:pPr>
        <w:spacing w:after="0" w:line="240" w:lineRule="auto"/>
      </w:pPr>
      <w:r>
        <w:separator/>
      </w:r>
    </w:p>
  </w:endnote>
  <w:endnote w:type="continuationSeparator" w:id="0">
    <w:p w14:paraId="64AAA5C3" w14:textId="77777777" w:rsidR="003D4D20" w:rsidRDefault="003D4D20" w:rsidP="003E5B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0932196"/>
      <w:docPartObj>
        <w:docPartGallery w:val="Page Numbers (Bottom of Page)"/>
        <w:docPartUnique/>
      </w:docPartObj>
    </w:sdtPr>
    <w:sdtEndPr>
      <w:rPr>
        <w:noProof/>
      </w:rPr>
    </w:sdtEndPr>
    <w:sdtContent>
      <w:p w14:paraId="6A90EB9B" w14:textId="39B2DCFD" w:rsidR="003E5B2E" w:rsidRDefault="003E5B2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DE88DE" w14:textId="77777777" w:rsidR="003E5B2E" w:rsidRDefault="003E5B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5C74D4" w14:textId="77777777" w:rsidR="003D4D20" w:rsidRDefault="003D4D20" w:rsidP="003E5B2E">
      <w:pPr>
        <w:spacing w:after="0" w:line="240" w:lineRule="auto"/>
      </w:pPr>
      <w:r>
        <w:separator/>
      </w:r>
    </w:p>
  </w:footnote>
  <w:footnote w:type="continuationSeparator" w:id="0">
    <w:p w14:paraId="18BF6F06" w14:textId="77777777" w:rsidR="003D4D20" w:rsidRDefault="003D4D20" w:rsidP="003E5B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F0DFC"/>
    <w:multiLevelType w:val="multilevel"/>
    <w:tmpl w:val="41FA9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1F541BC"/>
    <w:multiLevelType w:val="multilevel"/>
    <w:tmpl w:val="F278A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B929C7"/>
    <w:multiLevelType w:val="multilevel"/>
    <w:tmpl w:val="BDC48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6215E25"/>
    <w:multiLevelType w:val="multilevel"/>
    <w:tmpl w:val="DB12F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719757F"/>
    <w:multiLevelType w:val="multilevel"/>
    <w:tmpl w:val="D1426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7877584"/>
    <w:multiLevelType w:val="multilevel"/>
    <w:tmpl w:val="41D01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AAD41DB"/>
    <w:multiLevelType w:val="multilevel"/>
    <w:tmpl w:val="66182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0E6D243A"/>
    <w:multiLevelType w:val="multilevel"/>
    <w:tmpl w:val="F1F28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0F0E3FC5"/>
    <w:multiLevelType w:val="multilevel"/>
    <w:tmpl w:val="39BC3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0F875A6E"/>
    <w:multiLevelType w:val="multilevel"/>
    <w:tmpl w:val="0C822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6BD020B"/>
    <w:multiLevelType w:val="multilevel"/>
    <w:tmpl w:val="09A8F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8F17BB5"/>
    <w:multiLevelType w:val="multilevel"/>
    <w:tmpl w:val="33EC3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2375B2B"/>
    <w:multiLevelType w:val="multilevel"/>
    <w:tmpl w:val="70BE83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5D80ACF"/>
    <w:multiLevelType w:val="multilevel"/>
    <w:tmpl w:val="BF0A7F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8224E2B"/>
    <w:multiLevelType w:val="multilevel"/>
    <w:tmpl w:val="14E6FC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B3D7A3C"/>
    <w:multiLevelType w:val="multilevel"/>
    <w:tmpl w:val="32D0C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FA920F2"/>
    <w:multiLevelType w:val="multilevel"/>
    <w:tmpl w:val="19C29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66B73FA"/>
    <w:multiLevelType w:val="multilevel"/>
    <w:tmpl w:val="1AF20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98572E0"/>
    <w:multiLevelType w:val="multilevel"/>
    <w:tmpl w:val="8C5E9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9A47F2A"/>
    <w:multiLevelType w:val="multilevel"/>
    <w:tmpl w:val="A10CE8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AEF31EF"/>
    <w:multiLevelType w:val="multilevel"/>
    <w:tmpl w:val="987A05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CED04C8"/>
    <w:multiLevelType w:val="multilevel"/>
    <w:tmpl w:val="528EA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1A93C24"/>
    <w:multiLevelType w:val="multilevel"/>
    <w:tmpl w:val="D8ACC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51446E5"/>
    <w:multiLevelType w:val="multilevel"/>
    <w:tmpl w:val="0ABE7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A8A434C"/>
    <w:multiLevelType w:val="multilevel"/>
    <w:tmpl w:val="D92E76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E1D76FA"/>
    <w:multiLevelType w:val="multilevel"/>
    <w:tmpl w:val="457AE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7952C87"/>
    <w:multiLevelType w:val="hybridMultilevel"/>
    <w:tmpl w:val="E6A010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C655A31"/>
    <w:multiLevelType w:val="multilevel"/>
    <w:tmpl w:val="9D3A30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5F4A60BF"/>
    <w:multiLevelType w:val="multilevel"/>
    <w:tmpl w:val="97589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84F7821"/>
    <w:multiLevelType w:val="multilevel"/>
    <w:tmpl w:val="94946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B114C29"/>
    <w:multiLevelType w:val="multilevel"/>
    <w:tmpl w:val="264CA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755B7C64"/>
    <w:multiLevelType w:val="multilevel"/>
    <w:tmpl w:val="D0FAC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75C5454B"/>
    <w:multiLevelType w:val="multilevel"/>
    <w:tmpl w:val="14960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98465463">
    <w:abstractNumId w:val="31"/>
  </w:num>
  <w:num w:numId="2" w16cid:durableId="913517072">
    <w:abstractNumId w:val="19"/>
  </w:num>
  <w:num w:numId="3" w16cid:durableId="888688576">
    <w:abstractNumId w:val="30"/>
  </w:num>
  <w:num w:numId="4" w16cid:durableId="1066802530">
    <w:abstractNumId w:val="11"/>
  </w:num>
  <w:num w:numId="5" w16cid:durableId="405420546">
    <w:abstractNumId w:val="14"/>
  </w:num>
  <w:num w:numId="6" w16cid:durableId="1699890402">
    <w:abstractNumId w:val="15"/>
  </w:num>
  <w:num w:numId="7" w16cid:durableId="525870380">
    <w:abstractNumId w:val="0"/>
  </w:num>
  <w:num w:numId="8" w16cid:durableId="1355763261">
    <w:abstractNumId w:val="27"/>
  </w:num>
  <w:num w:numId="9" w16cid:durableId="1864394801">
    <w:abstractNumId w:val="2"/>
  </w:num>
  <w:num w:numId="10" w16cid:durableId="116337446">
    <w:abstractNumId w:val="13"/>
  </w:num>
  <w:num w:numId="11" w16cid:durableId="1309165372">
    <w:abstractNumId w:val="7"/>
  </w:num>
  <w:num w:numId="12" w16cid:durableId="700394792">
    <w:abstractNumId w:val="29"/>
  </w:num>
  <w:num w:numId="13" w16cid:durableId="1762947922">
    <w:abstractNumId w:val="28"/>
  </w:num>
  <w:num w:numId="14" w16cid:durableId="1776945190">
    <w:abstractNumId w:val="24"/>
  </w:num>
  <w:num w:numId="15" w16cid:durableId="1841699311">
    <w:abstractNumId w:val="16"/>
  </w:num>
  <w:num w:numId="16" w16cid:durableId="1113135657">
    <w:abstractNumId w:val="1"/>
  </w:num>
  <w:num w:numId="17" w16cid:durableId="1185293105">
    <w:abstractNumId w:val="17"/>
  </w:num>
  <w:num w:numId="18" w16cid:durableId="1294755906">
    <w:abstractNumId w:val="32"/>
  </w:num>
  <w:num w:numId="19" w16cid:durableId="584605534">
    <w:abstractNumId w:val="20"/>
  </w:num>
  <w:num w:numId="20" w16cid:durableId="1526402002">
    <w:abstractNumId w:val="25"/>
  </w:num>
  <w:num w:numId="21" w16cid:durableId="1038121483">
    <w:abstractNumId w:val="21"/>
  </w:num>
  <w:num w:numId="22" w16cid:durableId="777414084">
    <w:abstractNumId w:val="10"/>
  </w:num>
  <w:num w:numId="23" w16cid:durableId="2068259312">
    <w:abstractNumId w:val="8"/>
  </w:num>
  <w:num w:numId="24" w16cid:durableId="1766344688">
    <w:abstractNumId w:val="22"/>
  </w:num>
  <w:num w:numId="25" w16cid:durableId="1976905598">
    <w:abstractNumId w:val="18"/>
  </w:num>
  <w:num w:numId="26" w16cid:durableId="1313562170">
    <w:abstractNumId w:val="4"/>
  </w:num>
  <w:num w:numId="27" w16cid:durableId="1184201967">
    <w:abstractNumId w:val="3"/>
  </w:num>
  <w:num w:numId="28" w16cid:durableId="1290236261">
    <w:abstractNumId w:val="9"/>
  </w:num>
  <w:num w:numId="29" w16cid:durableId="2056002306">
    <w:abstractNumId w:val="6"/>
  </w:num>
  <w:num w:numId="30" w16cid:durableId="2053840735">
    <w:abstractNumId w:val="5"/>
  </w:num>
  <w:num w:numId="31" w16cid:durableId="1091660360">
    <w:abstractNumId w:val="23"/>
  </w:num>
  <w:num w:numId="32" w16cid:durableId="643777761">
    <w:abstractNumId w:val="26"/>
  </w:num>
  <w:num w:numId="33" w16cid:durableId="3906922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5901"/>
    <w:rsid w:val="000529B2"/>
    <w:rsid w:val="001A77AC"/>
    <w:rsid w:val="001D34F7"/>
    <w:rsid w:val="0021686D"/>
    <w:rsid w:val="002A5174"/>
    <w:rsid w:val="00350C0E"/>
    <w:rsid w:val="003D4D20"/>
    <w:rsid w:val="003E5B2E"/>
    <w:rsid w:val="00513E0C"/>
    <w:rsid w:val="00525901"/>
    <w:rsid w:val="00714AE5"/>
    <w:rsid w:val="0078225D"/>
    <w:rsid w:val="00871B2E"/>
    <w:rsid w:val="009049EE"/>
    <w:rsid w:val="00932FCA"/>
    <w:rsid w:val="00954CC6"/>
    <w:rsid w:val="009E09C0"/>
    <w:rsid w:val="00A66616"/>
    <w:rsid w:val="00A72A50"/>
    <w:rsid w:val="00BC71A8"/>
    <w:rsid w:val="00BF0A90"/>
    <w:rsid w:val="00BF1940"/>
    <w:rsid w:val="00BF4C6E"/>
    <w:rsid w:val="00C35B30"/>
    <w:rsid w:val="00C84897"/>
    <w:rsid w:val="00DF43FE"/>
    <w:rsid w:val="00EC221A"/>
    <w:rsid w:val="00F03775"/>
    <w:rsid w:val="00F2771E"/>
    <w:rsid w:val="00F86DC5"/>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13A271"/>
  <w15:chartTrackingRefBased/>
  <w15:docId w15:val="{4BC6E534-5F69-4B8E-9C9A-CFBF6E3093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8"/>
        <w:lang w:val="en-US" w:eastAsia="en-US" w:bidi="bn-BD"/>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Vrinda"/>
    </w:rPr>
  </w:style>
  <w:style w:type="paragraph" w:styleId="Heading1">
    <w:name w:val="heading 1"/>
    <w:basedOn w:val="Normal"/>
    <w:next w:val="Normal"/>
    <w:link w:val="Heading1Char"/>
    <w:uiPriority w:val="9"/>
    <w:qFormat/>
    <w:rsid w:val="00525901"/>
    <w:pPr>
      <w:keepNext/>
      <w:keepLines/>
      <w:spacing w:before="360" w:after="80"/>
      <w:outlineLvl w:val="0"/>
    </w:pPr>
    <w:rPr>
      <w:rFonts w:asciiTheme="majorHAnsi" w:eastAsiaTheme="majorEastAsia" w:hAnsiTheme="majorHAnsi" w:cstheme="majorBidi"/>
      <w:color w:val="0F4761" w:themeColor="accent1" w:themeShade="BF"/>
      <w:sz w:val="40"/>
      <w:szCs w:val="50"/>
    </w:rPr>
  </w:style>
  <w:style w:type="paragraph" w:styleId="Heading2">
    <w:name w:val="heading 2"/>
    <w:basedOn w:val="Normal"/>
    <w:next w:val="Normal"/>
    <w:link w:val="Heading2Char"/>
    <w:uiPriority w:val="9"/>
    <w:semiHidden/>
    <w:unhideWhenUsed/>
    <w:qFormat/>
    <w:rsid w:val="00525901"/>
    <w:pPr>
      <w:keepNext/>
      <w:keepLines/>
      <w:spacing w:before="160" w:after="80"/>
      <w:outlineLvl w:val="1"/>
    </w:pPr>
    <w:rPr>
      <w:rFonts w:asciiTheme="majorHAnsi" w:eastAsiaTheme="majorEastAsia" w:hAnsiTheme="majorHAnsi" w:cstheme="majorBidi"/>
      <w:color w:val="0F4761" w:themeColor="accent1" w:themeShade="BF"/>
      <w:sz w:val="32"/>
      <w:szCs w:val="40"/>
    </w:rPr>
  </w:style>
  <w:style w:type="paragraph" w:styleId="Heading3">
    <w:name w:val="heading 3"/>
    <w:basedOn w:val="Normal"/>
    <w:next w:val="Normal"/>
    <w:link w:val="Heading3Char"/>
    <w:uiPriority w:val="9"/>
    <w:semiHidden/>
    <w:unhideWhenUsed/>
    <w:qFormat/>
    <w:rsid w:val="00525901"/>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5259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59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59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59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59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59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5901"/>
    <w:rPr>
      <w:rFonts w:asciiTheme="majorHAnsi" w:eastAsiaTheme="majorEastAsia" w:hAnsiTheme="majorHAnsi" w:cstheme="majorBidi"/>
      <w:color w:val="0F4761" w:themeColor="accent1" w:themeShade="BF"/>
      <w:sz w:val="40"/>
      <w:szCs w:val="50"/>
    </w:rPr>
  </w:style>
  <w:style w:type="character" w:customStyle="1" w:styleId="Heading2Char">
    <w:name w:val="Heading 2 Char"/>
    <w:basedOn w:val="DefaultParagraphFont"/>
    <w:link w:val="Heading2"/>
    <w:uiPriority w:val="9"/>
    <w:semiHidden/>
    <w:rsid w:val="00525901"/>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semiHidden/>
    <w:rsid w:val="00525901"/>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5259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59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59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59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59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5901"/>
    <w:rPr>
      <w:rFonts w:eastAsiaTheme="majorEastAsia" w:cstheme="majorBidi"/>
      <w:color w:val="272727" w:themeColor="text1" w:themeTint="D8"/>
    </w:rPr>
  </w:style>
  <w:style w:type="paragraph" w:styleId="Title">
    <w:name w:val="Title"/>
    <w:basedOn w:val="Normal"/>
    <w:next w:val="Normal"/>
    <w:link w:val="TitleChar"/>
    <w:uiPriority w:val="10"/>
    <w:qFormat/>
    <w:rsid w:val="00525901"/>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525901"/>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525901"/>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525901"/>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525901"/>
    <w:pPr>
      <w:spacing w:before="160"/>
      <w:jc w:val="center"/>
    </w:pPr>
    <w:rPr>
      <w:i/>
      <w:iCs/>
      <w:color w:val="404040" w:themeColor="text1" w:themeTint="BF"/>
    </w:rPr>
  </w:style>
  <w:style w:type="character" w:customStyle="1" w:styleId="QuoteChar">
    <w:name w:val="Quote Char"/>
    <w:basedOn w:val="DefaultParagraphFont"/>
    <w:link w:val="Quote"/>
    <w:uiPriority w:val="29"/>
    <w:rsid w:val="00525901"/>
    <w:rPr>
      <w:rFonts w:cs="Vrinda"/>
      <w:i/>
      <w:iCs/>
      <w:color w:val="404040" w:themeColor="text1" w:themeTint="BF"/>
    </w:rPr>
  </w:style>
  <w:style w:type="paragraph" w:styleId="ListParagraph">
    <w:name w:val="List Paragraph"/>
    <w:basedOn w:val="Normal"/>
    <w:uiPriority w:val="34"/>
    <w:qFormat/>
    <w:rsid w:val="00525901"/>
    <w:pPr>
      <w:ind w:left="720"/>
      <w:contextualSpacing/>
    </w:pPr>
  </w:style>
  <w:style w:type="character" w:styleId="IntenseEmphasis">
    <w:name w:val="Intense Emphasis"/>
    <w:basedOn w:val="DefaultParagraphFont"/>
    <w:uiPriority w:val="21"/>
    <w:qFormat/>
    <w:rsid w:val="00525901"/>
    <w:rPr>
      <w:i/>
      <w:iCs/>
      <w:color w:val="0F4761" w:themeColor="accent1" w:themeShade="BF"/>
    </w:rPr>
  </w:style>
  <w:style w:type="paragraph" w:styleId="IntenseQuote">
    <w:name w:val="Intense Quote"/>
    <w:basedOn w:val="Normal"/>
    <w:next w:val="Normal"/>
    <w:link w:val="IntenseQuoteChar"/>
    <w:uiPriority w:val="30"/>
    <w:qFormat/>
    <w:rsid w:val="005259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5901"/>
    <w:rPr>
      <w:rFonts w:cs="Vrinda"/>
      <w:i/>
      <w:iCs/>
      <w:color w:val="0F4761" w:themeColor="accent1" w:themeShade="BF"/>
    </w:rPr>
  </w:style>
  <w:style w:type="character" w:styleId="IntenseReference">
    <w:name w:val="Intense Reference"/>
    <w:basedOn w:val="DefaultParagraphFont"/>
    <w:uiPriority w:val="32"/>
    <w:qFormat/>
    <w:rsid w:val="00525901"/>
    <w:rPr>
      <w:b/>
      <w:bCs/>
      <w:smallCaps/>
      <w:color w:val="0F4761" w:themeColor="accent1" w:themeShade="BF"/>
      <w:spacing w:val="5"/>
    </w:rPr>
  </w:style>
  <w:style w:type="character" w:styleId="Hyperlink">
    <w:name w:val="Hyperlink"/>
    <w:basedOn w:val="DefaultParagraphFont"/>
    <w:uiPriority w:val="99"/>
    <w:unhideWhenUsed/>
    <w:rsid w:val="00F03775"/>
    <w:rPr>
      <w:color w:val="467886" w:themeColor="hyperlink"/>
      <w:u w:val="single"/>
    </w:rPr>
  </w:style>
  <w:style w:type="character" w:customStyle="1" w:styleId="UnresolvedMention1">
    <w:name w:val="Unresolved Mention1"/>
    <w:basedOn w:val="DefaultParagraphFont"/>
    <w:uiPriority w:val="99"/>
    <w:semiHidden/>
    <w:unhideWhenUsed/>
    <w:rsid w:val="00F03775"/>
    <w:rPr>
      <w:color w:val="605E5C"/>
      <w:shd w:val="clear" w:color="auto" w:fill="E1DFDD"/>
    </w:rPr>
  </w:style>
  <w:style w:type="paragraph" w:styleId="Header">
    <w:name w:val="header"/>
    <w:basedOn w:val="Normal"/>
    <w:link w:val="HeaderChar"/>
    <w:uiPriority w:val="99"/>
    <w:unhideWhenUsed/>
    <w:rsid w:val="003E5B2E"/>
    <w:pPr>
      <w:tabs>
        <w:tab w:val="center" w:pos="4680"/>
        <w:tab w:val="right" w:pos="9360"/>
      </w:tabs>
      <w:spacing w:after="0" w:line="240" w:lineRule="auto"/>
    </w:pPr>
  </w:style>
  <w:style w:type="character" w:customStyle="1" w:styleId="HeaderChar">
    <w:name w:val="Header Char"/>
    <w:basedOn w:val="DefaultParagraphFont"/>
    <w:link w:val="Header"/>
    <w:uiPriority w:val="99"/>
    <w:rsid w:val="003E5B2E"/>
    <w:rPr>
      <w:rFonts w:cs="Vrinda"/>
    </w:rPr>
  </w:style>
  <w:style w:type="paragraph" w:styleId="Footer">
    <w:name w:val="footer"/>
    <w:basedOn w:val="Normal"/>
    <w:link w:val="FooterChar"/>
    <w:uiPriority w:val="99"/>
    <w:unhideWhenUsed/>
    <w:rsid w:val="003E5B2E"/>
    <w:pPr>
      <w:tabs>
        <w:tab w:val="center" w:pos="4680"/>
        <w:tab w:val="right" w:pos="9360"/>
      </w:tabs>
      <w:spacing w:after="0" w:line="240" w:lineRule="auto"/>
    </w:pPr>
  </w:style>
  <w:style w:type="character" w:customStyle="1" w:styleId="FooterChar">
    <w:name w:val="Footer Char"/>
    <w:basedOn w:val="DefaultParagraphFont"/>
    <w:link w:val="Footer"/>
    <w:uiPriority w:val="99"/>
    <w:rsid w:val="003E5B2E"/>
    <w:rPr>
      <w:rFonts w:cs="Vrind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102</TotalTime>
  <Pages>12</Pages>
  <Words>5458</Words>
  <Characters>31113</Characters>
  <Application>Microsoft Office Word</Application>
  <DocSecurity>0</DocSecurity>
  <Lines>259</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Ashraf</dc:creator>
  <cp:keywords/>
  <dc:description/>
  <cp:lastModifiedBy>Sykat Sen</cp:lastModifiedBy>
  <cp:revision>9</cp:revision>
  <dcterms:created xsi:type="dcterms:W3CDTF">2025-11-11T19:03:00Z</dcterms:created>
  <dcterms:modified xsi:type="dcterms:W3CDTF">2025-11-24T02:19:00Z</dcterms:modified>
</cp:coreProperties>
</file>